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0DA94">
      <w:pPr>
        <w:spacing w:line="360" w:lineRule="auto"/>
        <w:jc w:val="center"/>
        <w:rPr>
          <w:rFonts w:hint="eastAsia" w:ascii="方正小标宋简体" w:hAnsi="方正小标宋简体" w:eastAsia="方正小标宋简体" w:cs="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317E0827">
      <w:pPr>
        <w:spacing w:line="360" w:lineRule="auto"/>
        <w:jc w:val="center"/>
        <w:rPr>
          <w:rFonts w:hint="eastAsia" w:ascii="宋体" w:hAnsi="宋体"/>
          <w:i/>
          <w:color w:val="auto"/>
          <w:sz w:val="52"/>
          <w:szCs w:val="52"/>
          <w:highlight w:val="none"/>
        </w:rPr>
      </w:pPr>
    </w:p>
    <w:p w14:paraId="4B0B9656">
      <w:pPr>
        <w:spacing w:line="360" w:lineRule="auto"/>
        <w:jc w:val="center"/>
        <w:rPr>
          <w:rFonts w:hint="eastAsia" w:ascii="方正小标宋简体" w:hAnsi="方正小标宋简体" w:eastAsia="方正小标宋简体" w:cs="方正小标宋简体"/>
          <w:b/>
          <w:color w:val="auto"/>
          <w:sz w:val="44"/>
          <w:szCs w:val="44"/>
          <w:highlight w:val="none"/>
        </w:rPr>
      </w:pPr>
    </w:p>
    <w:p w14:paraId="169336BD">
      <w:pPr>
        <w:spacing w:line="360" w:lineRule="auto"/>
        <w:jc w:val="center"/>
        <w:rPr>
          <w:rFonts w:hint="eastAsia" w:ascii="方正小标宋简体" w:hAnsi="方正小标宋简体" w:eastAsia="方正小标宋简体" w:cs="方正小标宋简体"/>
          <w:b/>
          <w:color w:val="auto"/>
          <w:sz w:val="44"/>
          <w:szCs w:val="44"/>
          <w:highlight w:val="none"/>
        </w:rPr>
      </w:pPr>
    </w:p>
    <w:p w14:paraId="28A7ADCE">
      <w:pPr>
        <w:snapToGrid w:val="0"/>
        <w:spacing w:before="156" w:beforeLines="50" w:line="360" w:lineRule="auto"/>
        <w:jc w:val="center"/>
        <w:rPr>
          <w:rFonts w:hint="eastAsia"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43C373B4">
      <w:pPr>
        <w:snapToGrid w:val="0"/>
        <w:spacing w:before="156" w:beforeLines="50" w:line="360" w:lineRule="auto"/>
        <w:jc w:val="center"/>
        <w:rPr>
          <w:rFonts w:hint="eastAsia"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3C3A9F40">
      <w:pPr>
        <w:snapToGrid w:val="0"/>
        <w:spacing w:line="360" w:lineRule="auto"/>
        <w:rPr>
          <w:rFonts w:hint="eastAsia" w:ascii="仿宋_GB2312" w:hAnsi="宋体" w:eastAsia="仿宋_GB2312"/>
          <w:color w:val="auto"/>
          <w:sz w:val="30"/>
          <w:szCs w:val="72"/>
          <w:highlight w:val="none"/>
        </w:rPr>
      </w:pPr>
    </w:p>
    <w:p w14:paraId="7927EADF">
      <w:pPr>
        <w:pStyle w:val="26"/>
        <w:snapToGrid w:val="0"/>
        <w:spacing w:line="360" w:lineRule="auto"/>
        <w:ind w:firstLine="1205" w:firstLineChars="400"/>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pacing w:val="-20"/>
          <w:sz w:val="30"/>
          <w:szCs w:val="30"/>
          <w:highlight w:val="none"/>
        </w:rPr>
        <w:t>永福县人民法院办公区域与生活区域物理隔离工程</w:t>
      </w:r>
    </w:p>
    <w:p w14:paraId="0B6A5457">
      <w:pPr>
        <w:snapToGrid w:val="0"/>
        <w:spacing w:line="360" w:lineRule="auto"/>
        <w:ind w:firstLine="1145" w:firstLineChars="400"/>
        <w:rPr>
          <w:rFonts w:hint="eastAsia" w:ascii="仿宋_GB2312" w:hAnsi="宋体" w:eastAsia="仿宋_GB2312"/>
          <w:color w:val="auto"/>
          <w:sz w:val="30"/>
          <w:szCs w:val="72"/>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：GLZC2025-C2-990103-YZLZ</w:t>
      </w:r>
    </w:p>
    <w:p w14:paraId="093253AB">
      <w:pPr>
        <w:pStyle w:val="26"/>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w w:val="95"/>
          <w:sz w:val="30"/>
          <w:szCs w:val="30"/>
          <w:highlight w:val="none"/>
          <w:lang w:eastAsia="zh-CN"/>
        </w:rPr>
        <w:t>永福县人民法院</w:t>
      </w:r>
      <w:r>
        <w:rPr>
          <w:rFonts w:hint="eastAsia" w:ascii="仿宋_GB2312" w:hAnsi="宋体" w:eastAsia="仿宋_GB2312"/>
          <w:b/>
          <w:bCs/>
          <w:color w:val="auto"/>
          <w:w w:val="95"/>
          <w:sz w:val="30"/>
          <w:szCs w:val="30"/>
          <w:highlight w:val="none"/>
        </w:rPr>
        <w:t xml:space="preserve"> </w:t>
      </w:r>
    </w:p>
    <w:p w14:paraId="6AC0743A">
      <w:pPr>
        <w:pStyle w:val="26"/>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14:paraId="7437BC3E">
      <w:pPr>
        <w:pStyle w:val="26"/>
        <w:snapToGrid w:val="0"/>
        <w:spacing w:line="360" w:lineRule="auto"/>
        <w:ind w:firstLine="1125" w:firstLineChars="393"/>
        <w:rPr>
          <w:rFonts w:hint="eastAsia" w:ascii="仿宋_GB2312" w:hAnsi="宋体" w:eastAsia="仿宋_GB2312"/>
          <w:b/>
          <w:bCs/>
          <w:color w:val="auto"/>
          <w:w w:val="95"/>
          <w:sz w:val="30"/>
          <w:szCs w:val="30"/>
          <w:highlight w:val="none"/>
        </w:rPr>
      </w:pPr>
    </w:p>
    <w:p w14:paraId="193D9B4D">
      <w:pPr>
        <w:pStyle w:val="26"/>
        <w:snapToGrid w:val="0"/>
        <w:spacing w:line="360" w:lineRule="auto"/>
        <w:ind w:left="420" w:firstLine="841" w:firstLineChars="294"/>
        <w:rPr>
          <w:rFonts w:hint="eastAsia" w:ascii="仿宋_GB2312" w:eastAsia="仿宋_GB2312"/>
          <w:color w:val="auto"/>
          <w:szCs w:val="20"/>
          <w:highlight w:val="none"/>
          <w:lang w:eastAsia="zh-CN"/>
        </w:rPr>
      </w:pPr>
      <w:r>
        <w:rPr>
          <w:rFonts w:hint="eastAsia" w:ascii="仿宋_GB2312" w:hAnsi="宋体" w:eastAsia="仿宋_GB2312"/>
          <w:b/>
          <w:bCs/>
          <w:color w:val="auto"/>
          <w:w w:val="95"/>
          <w:sz w:val="30"/>
          <w:szCs w:val="30"/>
          <w:highlight w:val="none"/>
        </w:rPr>
        <w:t xml:space="preserve">               </w:t>
      </w:r>
      <w:bookmarkStart w:id="1531" w:name="_GoBack"/>
      <w:bookmarkEnd w:id="1531"/>
      <w:r>
        <w:rPr>
          <w:rFonts w:hint="eastAsia" w:ascii="仿宋_GB2312" w:hAnsi="宋体" w:eastAsia="仿宋_GB2312"/>
          <w:b/>
          <w:bCs/>
          <w:color w:val="auto"/>
          <w:w w:val="95"/>
          <w:sz w:val="30"/>
          <w:szCs w:val="30"/>
          <w:highlight w:val="none"/>
          <w:lang w:eastAsia="zh-CN"/>
        </w:rPr>
        <w:t>2025年</w:t>
      </w:r>
      <w:r>
        <w:rPr>
          <w:rFonts w:hint="eastAsia" w:ascii="仿宋_GB2312" w:hAnsi="宋体" w:eastAsia="仿宋_GB2312"/>
          <w:b/>
          <w:bCs/>
          <w:color w:val="auto"/>
          <w:w w:val="95"/>
          <w:sz w:val="30"/>
          <w:szCs w:val="30"/>
          <w:highlight w:val="none"/>
          <w:lang w:val="en-US" w:eastAsia="zh-CN"/>
        </w:rPr>
        <w:t>4</w:t>
      </w:r>
      <w:r>
        <w:rPr>
          <w:rFonts w:hint="eastAsia" w:ascii="仿宋_GB2312" w:hAnsi="宋体" w:eastAsia="仿宋_GB2312"/>
          <w:b/>
          <w:bCs/>
          <w:color w:val="auto"/>
          <w:w w:val="95"/>
          <w:sz w:val="30"/>
          <w:szCs w:val="30"/>
          <w:highlight w:val="none"/>
          <w:lang w:eastAsia="zh-CN"/>
        </w:rPr>
        <w:t>月</w:t>
      </w:r>
      <w:r>
        <w:rPr>
          <w:rFonts w:hint="eastAsia" w:ascii="仿宋_GB2312" w:hAnsi="宋体" w:eastAsia="仿宋_GB2312"/>
          <w:b/>
          <w:bCs/>
          <w:color w:val="auto"/>
          <w:w w:val="95"/>
          <w:sz w:val="30"/>
          <w:szCs w:val="30"/>
          <w:highlight w:val="none"/>
          <w:lang w:val="en-US" w:eastAsia="zh-CN"/>
        </w:rPr>
        <w:t>9</w:t>
      </w:r>
      <w:r>
        <w:rPr>
          <w:rFonts w:hint="eastAsia" w:ascii="仿宋_GB2312" w:hAnsi="宋体" w:eastAsia="仿宋_GB2312"/>
          <w:b/>
          <w:bCs/>
          <w:color w:val="auto"/>
          <w:w w:val="95"/>
          <w:sz w:val="30"/>
          <w:szCs w:val="30"/>
          <w:highlight w:val="none"/>
          <w:lang w:eastAsia="zh-CN"/>
        </w:rPr>
        <w:t>日</w:t>
      </w:r>
    </w:p>
    <w:p w14:paraId="6B7B875A">
      <w:pPr>
        <w:spacing w:line="360" w:lineRule="auto"/>
        <w:jc w:val="center"/>
        <w:rPr>
          <w:rFonts w:hint="eastAsia" w:ascii="宋体" w:hAnsi="宋体"/>
          <w:b/>
          <w:color w:val="auto"/>
          <w:sz w:val="44"/>
          <w:szCs w:val="44"/>
          <w:highlight w:val="none"/>
        </w:rPr>
      </w:pPr>
      <w:r>
        <w:rPr>
          <w:rFonts w:hint="eastAsia" w:ascii="黑体" w:hAnsi="黑体" w:eastAsia="黑体" w:cs="宋体"/>
          <w:b/>
          <w:bCs/>
          <w:color w:val="auto"/>
          <w:kern w:val="0"/>
          <w:sz w:val="32"/>
          <w:szCs w:val="32"/>
          <w:highlight w:val="none"/>
        </w:rPr>
        <w:br w:type="page"/>
      </w:r>
      <w:r>
        <w:rPr>
          <w:rFonts w:hint="eastAsia" w:ascii="宋体" w:hAnsi="宋体"/>
          <w:b/>
          <w:color w:val="auto"/>
          <w:sz w:val="44"/>
          <w:szCs w:val="44"/>
          <w:highlight w:val="none"/>
        </w:rPr>
        <w:t>目  录</w:t>
      </w:r>
    </w:p>
    <w:p w14:paraId="7D04723D">
      <w:pPr>
        <w:spacing w:line="400" w:lineRule="exact"/>
        <w:jc w:val="center"/>
        <w:rPr>
          <w:rFonts w:hint="eastAsia" w:ascii="宋体" w:hAnsi="宋体"/>
          <w:b/>
          <w:color w:val="auto"/>
          <w:sz w:val="44"/>
          <w:szCs w:val="44"/>
          <w:highlight w:val="none"/>
        </w:rPr>
      </w:pPr>
    </w:p>
    <w:p w14:paraId="2E9F99C1">
      <w:pPr>
        <w:pStyle w:val="33"/>
        <w:tabs>
          <w:tab w:val="right" w:leader="dot" w:pos="8869"/>
        </w:tabs>
        <w:snapToGrid w:val="0"/>
        <w:spacing w:line="500" w:lineRule="atLeast"/>
        <w:rPr>
          <w:rStyle w:val="57"/>
          <w:rFonts w:hint="eastAsia"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fldChar w:fldCharType="begin"/>
      </w:r>
      <w:r>
        <w:rPr>
          <w:rFonts w:asciiTheme="minorEastAsia" w:hAnsiTheme="minorEastAsia" w:eastAsiaTheme="minorEastAsia"/>
          <w:b/>
          <w:color w:val="auto"/>
          <w:sz w:val="28"/>
          <w:szCs w:val="28"/>
          <w:highlight w:val="none"/>
        </w:rPr>
        <w:instrText xml:space="preserve"> </w:instrText>
      </w:r>
      <w:r>
        <w:rPr>
          <w:rFonts w:hint="eastAsia" w:asciiTheme="minorEastAsia" w:hAnsiTheme="minorEastAsia" w:eastAsiaTheme="minorEastAsia"/>
          <w:b/>
          <w:color w:val="auto"/>
          <w:sz w:val="28"/>
          <w:szCs w:val="28"/>
          <w:highlight w:val="none"/>
        </w:rPr>
        <w:instrText xml:space="preserve">TOC \o "1-3" \h \z \u</w:instrText>
      </w:r>
      <w:r>
        <w:rPr>
          <w:rFonts w:asciiTheme="minorEastAsia" w:hAnsiTheme="minorEastAsia" w:eastAsiaTheme="minorEastAsia"/>
          <w:b/>
          <w:color w:val="auto"/>
          <w:sz w:val="28"/>
          <w:szCs w:val="28"/>
          <w:highlight w:val="none"/>
        </w:rPr>
        <w:instrText xml:space="preserve"> </w:instrText>
      </w:r>
      <w:r>
        <w:rPr>
          <w:rFonts w:asciiTheme="minorEastAsia" w:hAnsiTheme="minorEastAsia" w:eastAsiaTheme="minorEastAsia"/>
          <w:b/>
          <w:color w:val="auto"/>
          <w:sz w:val="28"/>
          <w:szCs w:val="28"/>
          <w:highlight w:val="none"/>
        </w:rPr>
        <w:fldChar w:fldCharType="separate"/>
      </w:r>
      <w:r>
        <w:rPr>
          <w:color w:val="auto"/>
          <w:highlight w:val="none"/>
        </w:rPr>
        <w:fldChar w:fldCharType="begin"/>
      </w:r>
      <w:r>
        <w:rPr>
          <w:color w:val="auto"/>
          <w:highlight w:val="none"/>
        </w:rPr>
        <w:instrText xml:space="preserve"> HYPERLINK \l "_Toc74323456"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第一章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竞争性磋商公告</w:t>
      </w:r>
      <w:r>
        <w:rPr>
          <w:rStyle w:val="57"/>
          <w:rFonts w:asciiTheme="minorEastAsia" w:hAnsiTheme="minorEastAsia" w:eastAsiaTheme="minorEastAsia"/>
          <w:b/>
          <w:color w:val="auto"/>
          <w:sz w:val="28"/>
          <w:szCs w:val="28"/>
          <w:highlight w:val="none"/>
        </w:rPr>
        <w:tab/>
      </w:r>
      <w:r>
        <w:rPr>
          <w:rStyle w:val="57"/>
          <w:rFonts w:asciiTheme="minorEastAsia" w:hAnsiTheme="minorEastAsia" w:eastAsiaTheme="minorEastAsia"/>
          <w:b/>
          <w:color w:val="auto"/>
          <w:sz w:val="28"/>
          <w:szCs w:val="28"/>
          <w:highlight w:val="none"/>
        </w:rPr>
        <w:fldChar w:fldCharType="begin"/>
      </w:r>
      <w:r>
        <w:rPr>
          <w:rStyle w:val="57"/>
          <w:rFonts w:asciiTheme="minorEastAsia" w:hAnsiTheme="minorEastAsia" w:eastAsiaTheme="minorEastAsia"/>
          <w:b/>
          <w:color w:val="auto"/>
          <w:sz w:val="28"/>
          <w:szCs w:val="28"/>
          <w:highlight w:val="none"/>
        </w:rPr>
        <w:instrText xml:space="preserve"> PAGEREF _Toc74323456 \h </w:instrText>
      </w:r>
      <w:r>
        <w:rPr>
          <w:rStyle w:val="57"/>
          <w:rFonts w:asciiTheme="minorEastAsia" w:hAnsiTheme="minorEastAsia" w:eastAsiaTheme="minorEastAsia"/>
          <w:b/>
          <w:color w:val="auto"/>
          <w:sz w:val="28"/>
          <w:szCs w:val="28"/>
          <w:highlight w:val="none"/>
        </w:rPr>
        <w:fldChar w:fldCharType="separate"/>
      </w:r>
      <w:r>
        <w:rPr>
          <w:rStyle w:val="57"/>
          <w:rFonts w:asciiTheme="minorEastAsia" w:hAnsiTheme="minorEastAsia" w:eastAsiaTheme="minorEastAsia"/>
          <w:b/>
          <w:color w:val="auto"/>
          <w:sz w:val="28"/>
          <w:szCs w:val="28"/>
          <w:highlight w:val="none"/>
        </w:rPr>
        <w:t>2</w:t>
      </w:r>
      <w:r>
        <w:rPr>
          <w:rStyle w:val="57"/>
          <w:rFonts w:asciiTheme="minorEastAsia" w:hAnsiTheme="minorEastAsia" w:eastAsiaTheme="minorEastAsia"/>
          <w:b/>
          <w:color w:val="auto"/>
          <w:sz w:val="28"/>
          <w:szCs w:val="28"/>
          <w:highlight w:val="none"/>
        </w:rPr>
        <w:fldChar w:fldCharType="end"/>
      </w:r>
      <w:r>
        <w:rPr>
          <w:rStyle w:val="57"/>
          <w:rFonts w:asciiTheme="minorEastAsia" w:hAnsiTheme="minorEastAsia" w:eastAsiaTheme="minorEastAsia"/>
          <w:b/>
          <w:color w:val="auto"/>
          <w:sz w:val="28"/>
          <w:szCs w:val="28"/>
          <w:highlight w:val="none"/>
        </w:rPr>
        <w:fldChar w:fldCharType="end"/>
      </w:r>
    </w:p>
    <w:p w14:paraId="3BDA43E0">
      <w:pPr>
        <w:pStyle w:val="33"/>
        <w:tabs>
          <w:tab w:val="right" w:leader="dot" w:pos="8869"/>
        </w:tabs>
        <w:snapToGrid w:val="0"/>
        <w:spacing w:line="500" w:lineRule="atLeast"/>
        <w:rPr>
          <w:rStyle w:val="57"/>
          <w:rFonts w:hint="eastAsia" w:asciiTheme="minorEastAsia" w:hAnsiTheme="minorEastAsia" w:eastAsiaTheme="minorEastAsia"/>
          <w:b/>
          <w:color w:val="auto"/>
          <w:sz w:val="28"/>
          <w:szCs w:val="28"/>
          <w:highlight w:val="none"/>
        </w:rPr>
      </w:pPr>
      <w:r>
        <w:rPr>
          <w:color w:val="auto"/>
          <w:highlight w:val="none"/>
        </w:rPr>
        <w:fldChar w:fldCharType="begin"/>
      </w:r>
      <w:r>
        <w:rPr>
          <w:color w:val="auto"/>
          <w:highlight w:val="none"/>
        </w:rPr>
        <w:instrText xml:space="preserve"> HYPERLINK \l "_Toc74323457"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第二章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供应</w:t>
      </w:r>
      <w:bookmarkStart w:id="0" w:name="_Hlt82161237"/>
      <w:r>
        <w:rPr>
          <w:rStyle w:val="57"/>
          <w:rFonts w:hint="eastAsia" w:asciiTheme="minorEastAsia" w:hAnsiTheme="minorEastAsia" w:eastAsiaTheme="minorEastAsia"/>
          <w:b/>
          <w:color w:val="auto"/>
          <w:sz w:val="28"/>
          <w:szCs w:val="28"/>
          <w:highlight w:val="none"/>
        </w:rPr>
        <w:t>商</w:t>
      </w:r>
      <w:bookmarkEnd w:id="0"/>
      <w:r>
        <w:rPr>
          <w:rStyle w:val="57"/>
          <w:rFonts w:hint="eastAsia" w:asciiTheme="minorEastAsia" w:hAnsiTheme="minorEastAsia" w:eastAsiaTheme="minorEastAsia"/>
          <w:b/>
          <w:color w:val="auto"/>
          <w:sz w:val="28"/>
          <w:szCs w:val="28"/>
          <w:highlight w:val="none"/>
        </w:rPr>
        <w:t>须知</w:t>
      </w:r>
      <w:r>
        <w:rPr>
          <w:rStyle w:val="57"/>
          <w:rFonts w:asciiTheme="minorEastAsia" w:hAnsiTheme="minorEastAsia" w:eastAsiaTheme="minorEastAsia"/>
          <w:b/>
          <w:color w:val="auto"/>
          <w:sz w:val="28"/>
          <w:szCs w:val="28"/>
          <w:highlight w:val="none"/>
        </w:rPr>
        <w:tab/>
      </w:r>
      <w:r>
        <w:rPr>
          <w:rStyle w:val="57"/>
          <w:rFonts w:asciiTheme="minorEastAsia" w:hAnsiTheme="minorEastAsia" w:eastAsiaTheme="minorEastAsia"/>
          <w:b/>
          <w:color w:val="auto"/>
          <w:sz w:val="28"/>
          <w:szCs w:val="28"/>
          <w:highlight w:val="none"/>
        </w:rPr>
        <w:fldChar w:fldCharType="begin"/>
      </w:r>
      <w:r>
        <w:rPr>
          <w:rStyle w:val="57"/>
          <w:rFonts w:asciiTheme="minorEastAsia" w:hAnsiTheme="minorEastAsia" w:eastAsiaTheme="minorEastAsia"/>
          <w:b/>
          <w:color w:val="auto"/>
          <w:sz w:val="28"/>
          <w:szCs w:val="28"/>
          <w:highlight w:val="none"/>
        </w:rPr>
        <w:instrText xml:space="preserve"> PAGEREF _Toc74323457 \h </w:instrText>
      </w:r>
      <w:r>
        <w:rPr>
          <w:rStyle w:val="57"/>
          <w:rFonts w:asciiTheme="minorEastAsia" w:hAnsiTheme="minorEastAsia" w:eastAsiaTheme="minorEastAsia"/>
          <w:b/>
          <w:color w:val="auto"/>
          <w:sz w:val="28"/>
          <w:szCs w:val="28"/>
          <w:highlight w:val="none"/>
        </w:rPr>
        <w:fldChar w:fldCharType="separate"/>
      </w:r>
      <w:r>
        <w:rPr>
          <w:rStyle w:val="57"/>
          <w:rFonts w:asciiTheme="minorEastAsia" w:hAnsiTheme="minorEastAsia" w:eastAsiaTheme="minorEastAsia"/>
          <w:b/>
          <w:color w:val="auto"/>
          <w:sz w:val="28"/>
          <w:szCs w:val="28"/>
          <w:highlight w:val="none"/>
        </w:rPr>
        <w:t>5</w:t>
      </w:r>
      <w:r>
        <w:rPr>
          <w:rStyle w:val="57"/>
          <w:rFonts w:asciiTheme="minorEastAsia" w:hAnsiTheme="minorEastAsia" w:eastAsiaTheme="minorEastAsia"/>
          <w:b/>
          <w:color w:val="auto"/>
          <w:sz w:val="28"/>
          <w:szCs w:val="28"/>
          <w:highlight w:val="none"/>
        </w:rPr>
        <w:fldChar w:fldCharType="end"/>
      </w:r>
      <w:r>
        <w:rPr>
          <w:rStyle w:val="57"/>
          <w:rFonts w:asciiTheme="minorEastAsia" w:hAnsiTheme="minorEastAsia" w:eastAsiaTheme="minorEastAsia"/>
          <w:b/>
          <w:color w:val="auto"/>
          <w:sz w:val="28"/>
          <w:szCs w:val="28"/>
          <w:highlight w:val="none"/>
        </w:rPr>
        <w:fldChar w:fldCharType="end"/>
      </w:r>
    </w:p>
    <w:p w14:paraId="3F6ABC25">
      <w:pPr>
        <w:pStyle w:val="33"/>
        <w:tabs>
          <w:tab w:val="right" w:leader="dot" w:pos="8869"/>
        </w:tabs>
        <w:snapToGrid w:val="0"/>
        <w:spacing w:line="500" w:lineRule="atLeast"/>
        <w:rPr>
          <w:rStyle w:val="57"/>
          <w:rFonts w:hint="eastAsia" w:asciiTheme="minorEastAsia" w:hAnsiTheme="minorEastAsia" w:eastAsiaTheme="minorEastAsia"/>
          <w:b/>
          <w:color w:val="auto"/>
          <w:sz w:val="28"/>
          <w:szCs w:val="28"/>
          <w:highlight w:val="none"/>
        </w:rPr>
      </w:pPr>
      <w:r>
        <w:rPr>
          <w:color w:val="auto"/>
          <w:highlight w:val="none"/>
        </w:rPr>
        <w:fldChar w:fldCharType="begin"/>
      </w:r>
      <w:r>
        <w:rPr>
          <w:color w:val="auto"/>
          <w:highlight w:val="none"/>
        </w:rPr>
        <w:instrText xml:space="preserve"> HYPERLINK \l "_Toc74323458"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第三章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采购需</w:t>
      </w:r>
      <w:bookmarkStart w:id="1" w:name="_Hlt82166940"/>
      <w:r>
        <w:rPr>
          <w:rStyle w:val="57"/>
          <w:rFonts w:hint="eastAsia" w:asciiTheme="minorEastAsia" w:hAnsiTheme="minorEastAsia" w:eastAsiaTheme="minorEastAsia"/>
          <w:b/>
          <w:color w:val="auto"/>
          <w:sz w:val="28"/>
          <w:szCs w:val="28"/>
          <w:highlight w:val="none"/>
        </w:rPr>
        <w:t>求</w:t>
      </w:r>
      <w:bookmarkEnd w:id="1"/>
      <w:r>
        <w:rPr>
          <w:rStyle w:val="57"/>
          <w:rFonts w:asciiTheme="minorEastAsia" w:hAnsiTheme="minorEastAsia" w:eastAsiaTheme="minorEastAsia"/>
          <w:b/>
          <w:color w:val="auto"/>
          <w:sz w:val="28"/>
          <w:szCs w:val="28"/>
          <w:highlight w:val="none"/>
        </w:rPr>
        <w:tab/>
      </w:r>
      <w:r>
        <w:rPr>
          <w:rStyle w:val="57"/>
          <w:rFonts w:hint="eastAsia" w:asciiTheme="minorEastAsia" w:hAnsiTheme="minorEastAsia" w:eastAsiaTheme="minorEastAsia"/>
          <w:b/>
          <w:color w:val="auto"/>
          <w:sz w:val="28"/>
          <w:szCs w:val="28"/>
          <w:highlight w:val="none"/>
        </w:rPr>
        <w:t>23</w:t>
      </w:r>
      <w:r>
        <w:rPr>
          <w:rStyle w:val="57"/>
          <w:rFonts w:hint="eastAsia" w:asciiTheme="minorEastAsia" w:hAnsiTheme="minorEastAsia" w:eastAsiaTheme="minorEastAsia"/>
          <w:b/>
          <w:color w:val="auto"/>
          <w:sz w:val="28"/>
          <w:szCs w:val="28"/>
          <w:highlight w:val="none"/>
        </w:rPr>
        <w:fldChar w:fldCharType="end"/>
      </w:r>
    </w:p>
    <w:p w14:paraId="7CC0B420">
      <w:pPr>
        <w:pStyle w:val="33"/>
        <w:tabs>
          <w:tab w:val="right" w:leader="dot" w:pos="8869"/>
        </w:tabs>
        <w:snapToGrid w:val="0"/>
        <w:spacing w:line="500" w:lineRule="atLeast"/>
        <w:rPr>
          <w:rStyle w:val="57"/>
          <w:rFonts w:hint="default" w:asciiTheme="minorEastAsia" w:hAnsiTheme="minorEastAsia" w:eastAsiaTheme="minorEastAsia"/>
          <w:b/>
          <w:color w:val="auto"/>
          <w:sz w:val="28"/>
          <w:szCs w:val="28"/>
          <w:highlight w:val="none"/>
          <w:lang w:val="en-US" w:eastAsia="zh-CN"/>
        </w:rPr>
      </w:pPr>
      <w:r>
        <w:rPr>
          <w:color w:val="auto"/>
          <w:highlight w:val="none"/>
        </w:rPr>
        <w:fldChar w:fldCharType="begin"/>
      </w:r>
      <w:r>
        <w:rPr>
          <w:color w:val="auto"/>
          <w:highlight w:val="none"/>
        </w:rPr>
        <w:instrText xml:space="preserve"> HYPERLINK \l "_Toc74323459"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第四章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评审程序、</w:t>
      </w:r>
      <w:bookmarkStart w:id="2" w:name="_Hlt82166000"/>
      <w:r>
        <w:rPr>
          <w:rStyle w:val="57"/>
          <w:rFonts w:hint="eastAsia" w:asciiTheme="minorEastAsia" w:hAnsiTheme="minorEastAsia" w:eastAsiaTheme="minorEastAsia"/>
          <w:b/>
          <w:color w:val="auto"/>
          <w:sz w:val="28"/>
          <w:szCs w:val="28"/>
          <w:highlight w:val="none"/>
        </w:rPr>
        <w:t>评</w:t>
      </w:r>
      <w:bookmarkEnd w:id="2"/>
      <w:r>
        <w:rPr>
          <w:rStyle w:val="57"/>
          <w:rFonts w:hint="eastAsia" w:asciiTheme="minorEastAsia" w:hAnsiTheme="minorEastAsia" w:eastAsiaTheme="minorEastAsia"/>
          <w:b/>
          <w:color w:val="auto"/>
          <w:sz w:val="28"/>
          <w:szCs w:val="28"/>
          <w:highlight w:val="none"/>
        </w:rPr>
        <w:t>审方法和评审标准</w:t>
      </w:r>
      <w:r>
        <w:rPr>
          <w:rStyle w:val="57"/>
          <w:rFonts w:asciiTheme="minorEastAsia" w:hAnsiTheme="minorEastAsia" w:eastAsiaTheme="minorEastAsia"/>
          <w:b/>
          <w:color w:val="auto"/>
          <w:sz w:val="28"/>
          <w:szCs w:val="28"/>
          <w:highlight w:val="none"/>
        </w:rPr>
        <w:tab/>
      </w:r>
      <w:r>
        <w:rPr>
          <w:rStyle w:val="57"/>
          <w:rFonts w:hint="eastAsia" w:asciiTheme="minorEastAsia" w:hAnsiTheme="minorEastAsia" w:eastAsiaTheme="minorEastAsia"/>
          <w:b/>
          <w:color w:val="auto"/>
          <w:sz w:val="28"/>
          <w:szCs w:val="28"/>
          <w:highlight w:val="none"/>
        </w:rPr>
        <w:fldChar w:fldCharType="end"/>
      </w:r>
      <w:r>
        <w:rPr>
          <w:rStyle w:val="57"/>
          <w:rFonts w:hint="eastAsia" w:asciiTheme="minorEastAsia" w:hAnsiTheme="minorEastAsia" w:eastAsiaTheme="minorEastAsia"/>
          <w:b/>
          <w:color w:val="auto"/>
          <w:sz w:val="28"/>
          <w:szCs w:val="28"/>
          <w:highlight w:val="none"/>
          <w:lang w:val="en-US" w:eastAsia="zh-CN"/>
        </w:rPr>
        <w:t>27</w:t>
      </w:r>
    </w:p>
    <w:p w14:paraId="07CB23EB">
      <w:pPr>
        <w:pStyle w:val="33"/>
        <w:tabs>
          <w:tab w:val="right" w:leader="dot" w:pos="8869"/>
        </w:tabs>
        <w:snapToGrid w:val="0"/>
        <w:spacing w:line="500" w:lineRule="atLeast"/>
        <w:rPr>
          <w:rStyle w:val="57"/>
          <w:rFonts w:hint="default" w:asciiTheme="minorEastAsia" w:hAnsiTheme="minorEastAsia" w:eastAsiaTheme="minorEastAsia"/>
          <w:b/>
          <w:color w:val="auto"/>
          <w:sz w:val="28"/>
          <w:szCs w:val="28"/>
          <w:highlight w:val="none"/>
          <w:lang w:val="en-US" w:eastAsia="zh-CN"/>
        </w:rPr>
      </w:pPr>
      <w:r>
        <w:rPr>
          <w:color w:val="auto"/>
          <w:highlight w:val="none"/>
        </w:rPr>
        <w:fldChar w:fldCharType="begin"/>
      </w:r>
      <w:r>
        <w:rPr>
          <w:color w:val="auto"/>
          <w:highlight w:val="none"/>
        </w:rPr>
        <w:instrText xml:space="preserve"> HYPERLINK \l "_Toc74323460"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第五章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工程量清单及图纸</w:t>
      </w:r>
      <w:r>
        <w:rPr>
          <w:rStyle w:val="57"/>
          <w:rFonts w:hint="eastAsia" w:asciiTheme="minorEastAsia" w:hAnsiTheme="minorEastAsia" w:eastAsiaTheme="minorEastAsia"/>
          <w:b/>
          <w:color w:val="auto"/>
          <w:sz w:val="28"/>
          <w:szCs w:val="28"/>
          <w:highlight w:val="none"/>
          <w:lang w:val="en-US" w:eastAsia="zh-CN"/>
        </w:rPr>
        <w:t>(另附)</w:t>
      </w:r>
      <w:r>
        <w:rPr>
          <w:rStyle w:val="57"/>
          <w:rFonts w:asciiTheme="minorEastAsia" w:hAnsiTheme="minorEastAsia" w:eastAsiaTheme="minorEastAsia"/>
          <w:b/>
          <w:color w:val="auto"/>
          <w:sz w:val="28"/>
          <w:szCs w:val="28"/>
          <w:highlight w:val="none"/>
        </w:rPr>
        <w:tab/>
      </w:r>
      <w:r>
        <w:rPr>
          <w:rStyle w:val="57"/>
          <w:rFonts w:hint="eastAsia" w:asciiTheme="minorEastAsia" w:hAnsiTheme="minorEastAsia" w:eastAsiaTheme="minorEastAsia"/>
          <w:b/>
          <w:color w:val="auto"/>
          <w:sz w:val="28"/>
          <w:szCs w:val="28"/>
          <w:highlight w:val="none"/>
        </w:rPr>
        <w:fldChar w:fldCharType="end"/>
      </w:r>
      <w:r>
        <w:rPr>
          <w:rStyle w:val="57"/>
          <w:rFonts w:hint="eastAsia" w:asciiTheme="minorEastAsia" w:hAnsiTheme="minorEastAsia" w:eastAsiaTheme="minorEastAsia"/>
          <w:b/>
          <w:color w:val="auto"/>
          <w:sz w:val="28"/>
          <w:szCs w:val="28"/>
          <w:highlight w:val="none"/>
          <w:lang w:val="en-US" w:eastAsia="zh-CN"/>
        </w:rPr>
        <w:t>36</w:t>
      </w:r>
    </w:p>
    <w:p w14:paraId="172D9E41">
      <w:pPr>
        <w:pStyle w:val="33"/>
        <w:tabs>
          <w:tab w:val="right" w:leader="dot" w:pos="8869"/>
        </w:tabs>
        <w:snapToGrid w:val="0"/>
        <w:spacing w:line="500" w:lineRule="atLeast"/>
        <w:rPr>
          <w:rStyle w:val="57"/>
          <w:rFonts w:hint="eastAsia" w:asciiTheme="minorEastAsia" w:hAnsiTheme="minorEastAsia" w:eastAsiaTheme="minorEastAsia"/>
          <w:b/>
          <w:color w:val="auto"/>
          <w:sz w:val="28"/>
          <w:szCs w:val="28"/>
          <w:highlight w:val="none"/>
          <w:lang w:val="en-US" w:eastAsia="zh-CN"/>
        </w:rPr>
      </w:pPr>
      <w:r>
        <w:rPr>
          <w:rStyle w:val="57"/>
          <w:rFonts w:hint="eastAsia" w:asciiTheme="minorEastAsia" w:hAnsiTheme="minorEastAsia" w:eastAsiaTheme="minorEastAsia"/>
          <w:b/>
          <w:color w:val="auto"/>
          <w:sz w:val="28"/>
          <w:szCs w:val="28"/>
          <w:highlight w:val="none"/>
          <w:u w:val="none"/>
        </w:rPr>
        <w:t>第六章</w:t>
      </w:r>
      <w:r>
        <w:rPr>
          <w:rStyle w:val="57"/>
          <w:rFonts w:asciiTheme="minorEastAsia" w:hAnsiTheme="minorEastAsia" w:eastAsiaTheme="minorEastAsia"/>
          <w:b/>
          <w:color w:val="auto"/>
          <w:sz w:val="28"/>
          <w:szCs w:val="28"/>
          <w:highlight w:val="none"/>
          <w:u w:val="none"/>
        </w:rPr>
        <w:t xml:space="preserve"> </w:t>
      </w:r>
      <w:r>
        <w:rPr>
          <w:rStyle w:val="57"/>
          <w:rFonts w:hint="eastAsia" w:asciiTheme="minorEastAsia" w:hAnsiTheme="minorEastAsia" w:eastAsiaTheme="minorEastAsia"/>
          <w:b/>
          <w:color w:val="auto"/>
          <w:sz w:val="28"/>
          <w:szCs w:val="28"/>
          <w:highlight w:val="none"/>
          <w:u w:val="none"/>
        </w:rPr>
        <w:t>响应文件格式</w:t>
      </w:r>
      <w:r>
        <w:rPr>
          <w:rStyle w:val="57"/>
          <w:rFonts w:asciiTheme="minorEastAsia" w:hAnsiTheme="minorEastAsia" w:eastAsiaTheme="minorEastAsia"/>
          <w:b/>
          <w:color w:val="auto"/>
          <w:sz w:val="28"/>
          <w:szCs w:val="28"/>
          <w:highlight w:val="none"/>
          <w:u w:val="none"/>
        </w:rPr>
        <w:tab/>
      </w:r>
      <w:r>
        <w:rPr>
          <w:rStyle w:val="57"/>
          <w:rFonts w:hint="eastAsia" w:asciiTheme="minorEastAsia" w:hAnsiTheme="minorEastAsia" w:eastAsiaTheme="minorEastAsia"/>
          <w:b/>
          <w:color w:val="auto"/>
          <w:sz w:val="28"/>
          <w:szCs w:val="28"/>
          <w:highlight w:val="none"/>
          <w:u w:val="none"/>
        </w:rPr>
        <w:t>4</w:t>
      </w:r>
      <w:r>
        <w:rPr>
          <w:rStyle w:val="57"/>
          <w:rFonts w:hint="eastAsia" w:asciiTheme="minorEastAsia" w:hAnsiTheme="minorEastAsia" w:eastAsiaTheme="minorEastAsia"/>
          <w:b/>
          <w:color w:val="auto"/>
          <w:sz w:val="28"/>
          <w:szCs w:val="28"/>
          <w:highlight w:val="none"/>
          <w:u w:val="none"/>
          <w:lang w:val="en-US" w:eastAsia="zh-CN"/>
        </w:rPr>
        <w:t>2</w:t>
      </w:r>
    </w:p>
    <w:p w14:paraId="4C1CD9B6">
      <w:pPr>
        <w:pStyle w:val="33"/>
        <w:tabs>
          <w:tab w:val="right" w:leader="dot" w:pos="8869"/>
        </w:tabs>
        <w:snapToGrid w:val="0"/>
        <w:spacing w:line="500" w:lineRule="atLeast"/>
        <w:rPr>
          <w:rFonts w:hint="eastAsia" w:asciiTheme="minorEastAsia" w:hAnsiTheme="minorEastAsia" w:eastAsiaTheme="minorEastAsia"/>
          <w:b/>
          <w:color w:val="auto"/>
          <w:sz w:val="28"/>
          <w:szCs w:val="28"/>
          <w:highlight w:val="none"/>
        </w:rPr>
      </w:pPr>
      <w:r>
        <w:rPr>
          <w:color w:val="auto"/>
          <w:highlight w:val="none"/>
        </w:rPr>
        <w:fldChar w:fldCharType="begin"/>
      </w:r>
      <w:r>
        <w:rPr>
          <w:color w:val="auto"/>
          <w:highlight w:val="none"/>
        </w:rPr>
        <w:instrText xml:space="preserve"> HYPERLINK \l "_Toc74323461"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第七章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合同文本</w:t>
      </w:r>
      <w:r>
        <w:rPr>
          <w:rStyle w:val="57"/>
          <w:rFonts w:asciiTheme="minorEastAsia" w:hAnsiTheme="minorEastAsia" w:eastAsiaTheme="minorEastAsia"/>
          <w:b/>
          <w:color w:val="auto"/>
          <w:sz w:val="28"/>
          <w:szCs w:val="28"/>
          <w:highlight w:val="none"/>
        </w:rPr>
        <w:tab/>
      </w:r>
      <w:r>
        <w:rPr>
          <w:rStyle w:val="57"/>
          <w:rFonts w:asciiTheme="minorEastAsia" w:hAnsiTheme="minorEastAsia" w:eastAsiaTheme="minorEastAsia"/>
          <w:b/>
          <w:color w:val="auto"/>
          <w:sz w:val="28"/>
          <w:szCs w:val="28"/>
          <w:highlight w:val="none"/>
        </w:rPr>
        <w:fldChar w:fldCharType="begin"/>
      </w:r>
      <w:r>
        <w:rPr>
          <w:rStyle w:val="57"/>
          <w:rFonts w:asciiTheme="minorEastAsia" w:hAnsiTheme="minorEastAsia" w:eastAsiaTheme="minorEastAsia"/>
          <w:b/>
          <w:color w:val="auto"/>
          <w:sz w:val="28"/>
          <w:szCs w:val="28"/>
          <w:highlight w:val="none"/>
        </w:rPr>
        <w:instrText xml:space="preserve"> PAGEREF _Toc74323461 \h </w:instrText>
      </w:r>
      <w:r>
        <w:rPr>
          <w:rStyle w:val="57"/>
          <w:rFonts w:asciiTheme="minorEastAsia" w:hAnsiTheme="minorEastAsia" w:eastAsiaTheme="minorEastAsia"/>
          <w:b/>
          <w:color w:val="auto"/>
          <w:sz w:val="28"/>
          <w:szCs w:val="28"/>
          <w:highlight w:val="none"/>
        </w:rPr>
        <w:fldChar w:fldCharType="separate"/>
      </w:r>
      <w:r>
        <w:rPr>
          <w:rStyle w:val="57"/>
          <w:rFonts w:asciiTheme="minorEastAsia" w:hAnsiTheme="minorEastAsia" w:eastAsiaTheme="minorEastAsia"/>
          <w:b/>
          <w:color w:val="auto"/>
          <w:sz w:val="28"/>
          <w:szCs w:val="28"/>
          <w:highlight w:val="none"/>
        </w:rPr>
        <w:t>7</w:t>
      </w:r>
      <w:r>
        <w:rPr>
          <w:rStyle w:val="57"/>
          <w:rFonts w:hint="eastAsia" w:asciiTheme="minorEastAsia" w:hAnsiTheme="minorEastAsia" w:eastAsiaTheme="minorEastAsia"/>
          <w:b/>
          <w:color w:val="auto"/>
          <w:sz w:val="28"/>
          <w:szCs w:val="28"/>
          <w:highlight w:val="none"/>
          <w:lang w:val="en-US" w:eastAsia="zh-CN"/>
        </w:rPr>
        <w:t>7</w:t>
      </w:r>
      <w:r>
        <w:rPr>
          <w:rStyle w:val="57"/>
          <w:rFonts w:asciiTheme="minorEastAsia" w:hAnsiTheme="minorEastAsia" w:eastAsiaTheme="minorEastAsia"/>
          <w:b/>
          <w:color w:val="auto"/>
          <w:sz w:val="28"/>
          <w:szCs w:val="28"/>
          <w:highlight w:val="none"/>
        </w:rPr>
        <w:fldChar w:fldCharType="end"/>
      </w:r>
      <w:r>
        <w:rPr>
          <w:rStyle w:val="57"/>
          <w:rFonts w:asciiTheme="minorEastAsia" w:hAnsiTheme="minorEastAsia" w:eastAsiaTheme="minorEastAsia"/>
          <w:b/>
          <w:color w:val="auto"/>
          <w:sz w:val="28"/>
          <w:szCs w:val="28"/>
          <w:highlight w:val="none"/>
        </w:rPr>
        <w:fldChar w:fldCharType="end"/>
      </w:r>
    </w:p>
    <w:p w14:paraId="09D8FA81">
      <w:pPr>
        <w:pStyle w:val="39"/>
        <w:tabs>
          <w:tab w:val="right" w:leader="dot" w:pos="8931"/>
          <w:tab w:val="clear" w:pos="8296"/>
        </w:tabs>
        <w:snapToGrid w:val="0"/>
        <w:spacing w:line="500" w:lineRule="atLeast"/>
        <w:ind w:left="0" w:leftChars="0"/>
        <w:rPr>
          <w:rFonts w:hint="eastAsia"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fldChar w:fldCharType="end"/>
      </w:r>
    </w:p>
    <w:p w14:paraId="640EE31B">
      <w:pPr>
        <w:spacing w:line="400" w:lineRule="exact"/>
        <w:jc w:val="left"/>
        <w:rPr>
          <w:rFonts w:hint="eastAsia" w:ascii="宋体" w:hAnsi="宋体"/>
          <w:b/>
          <w:color w:val="auto"/>
          <w:sz w:val="32"/>
          <w:szCs w:val="32"/>
          <w:highlight w:val="none"/>
        </w:rPr>
      </w:pPr>
    </w:p>
    <w:p w14:paraId="2A2B5E26">
      <w:pPr>
        <w:spacing w:line="400" w:lineRule="exact"/>
        <w:jc w:val="center"/>
        <w:rPr>
          <w:rFonts w:hint="eastAsia" w:ascii="宋体" w:hAnsi="宋体"/>
          <w:b/>
          <w:color w:val="auto"/>
          <w:sz w:val="32"/>
          <w:szCs w:val="32"/>
          <w:highlight w:val="none"/>
        </w:rPr>
      </w:pPr>
    </w:p>
    <w:p w14:paraId="5CC79B63">
      <w:pPr>
        <w:spacing w:line="400" w:lineRule="exact"/>
        <w:jc w:val="center"/>
        <w:rPr>
          <w:rFonts w:hint="eastAsia" w:ascii="宋体" w:hAnsi="宋体"/>
          <w:b/>
          <w:color w:val="auto"/>
          <w:sz w:val="32"/>
          <w:szCs w:val="32"/>
          <w:highlight w:val="none"/>
        </w:rPr>
      </w:pPr>
    </w:p>
    <w:p w14:paraId="70A11F05">
      <w:pPr>
        <w:spacing w:line="400" w:lineRule="exact"/>
        <w:jc w:val="center"/>
        <w:rPr>
          <w:rFonts w:hint="eastAsia" w:ascii="宋体" w:hAnsi="宋体"/>
          <w:b/>
          <w:color w:val="auto"/>
          <w:sz w:val="32"/>
          <w:szCs w:val="32"/>
          <w:highlight w:val="none"/>
        </w:rPr>
      </w:pPr>
    </w:p>
    <w:p w14:paraId="702FFEE5">
      <w:pPr>
        <w:spacing w:line="400" w:lineRule="exact"/>
        <w:jc w:val="center"/>
        <w:rPr>
          <w:rFonts w:hint="eastAsia" w:ascii="宋体" w:hAnsi="宋体"/>
          <w:b/>
          <w:color w:val="auto"/>
          <w:sz w:val="32"/>
          <w:szCs w:val="32"/>
          <w:highlight w:val="none"/>
        </w:rPr>
      </w:pPr>
    </w:p>
    <w:p w14:paraId="3743A28D">
      <w:pPr>
        <w:spacing w:line="400" w:lineRule="exact"/>
        <w:rPr>
          <w:rFonts w:hint="eastAsia" w:ascii="宋体" w:hAnsi="宋体"/>
          <w:b/>
          <w:color w:val="auto"/>
          <w:sz w:val="32"/>
          <w:szCs w:val="32"/>
          <w:highlight w:val="none"/>
        </w:rPr>
        <w:sectPr>
          <w:headerReference r:id="rId5" w:type="first"/>
          <w:footerReference r:id="rId7" w:type="first"/>
          <w:headerReference r:id="rId3" w:type="default"/>
          <w:footerReference r:id="rId6" w:type="default"/>
          <w:headerReference r:id="rId4" w:type="even"/>
          <w:pgSz w:w="11906" w:h="16838"/>
          <w:pgMar w:top="1440" w:right="1440" w:bottom="1440" w:left="1587" w:header="851" w:footer="992" w:gutter="0"/>
          <w:pgNumType w:start="0"/>
          <w:cols w:space="720" w:num="1"/>
          <w:titlePg/>
          <w:docGrid w:type="lines" w:linePitch="312" w:charSpace="0"/>
        </w:sectPr>
      </w:pPr>
    </w:p>
    <w:p w14:paraId="065BDCE4">
      <w:pPr>
        <w:pStyle w:val="2"/>
        <w:spacing w:after="340" w:line="360" w:lineRule="auto"/>
        <w:jc w:val="center"/>
        <w:rPr>
          <w:color w:val="auto"/>
          <w:highlight w:val="none"/>
        </w:rPr>
      </w:pPr>
      <w:bookmarkStart w:id="3" w:name="_Toc74323456"/>
      <w:r>
        <w:rPr>
          <w:rFonts w:hint="eastAsia"/>
          <w:color w:val="auto"/>
          <w:highlight w:val="none"/>
        </w:rPr>
        <w:t>第一章 竞争性磋商公告</w:t>
      </w:r>
      <w:bookmarkEnd w:id="3"/>
    </w:p>
    <w:p w14:paraId="0D35D77F">
      <w:pPr>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竞争性磋商公告</w:t>
      </w:r>
    </w:p>
    <w:p w14:paraId="6598CD3F">
      <w:pPr>
        <w:spacing w:line="360" w:lineRule="auto"/>
        <w:rPr>
          <w:rFonts w:hint="eastAsia" w:ascii="宋体" w:hAnsi="宋体"/>
          <w:color w:val="auto"/>
          <w:szCs w:val="21"/>
          <w:highlight w:val="none"/>
        </w:rPr>
      </w:pPr>
    </w:p>
    <w:p w14:paraId="3206C6E0">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highlight w:val="none"/>
        </w:rPr>
      </w:pPr>
      <w:bookmarkStart w:id="4" w:name="_Hlk37430271"/>
      <w:r>
        <w:rPr>
          <w:rFonts w:hint="eastAsia" w:ascii="宋体" w:hAnsi="宋体"/>
          <w:color w:val="auto"/>
          <w:szCs w:val="21"/>
          <w:highlight w:val="none"/>
        </w:rPr>
        <w:t>项目概况</w:t>
      </w:r>
    </w:p>
    <w:p w14:paraId="490842C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lang w:eastAsia="zh-CN"/>
        </w:rPr>
        <w:t>永福县人民法院办公区域与生活区域物理隔离工程</w:t>
      </w:r>
      <w:r>
        <w:rPr>
          <w:rFonts w:hint="eastAsia" w:ascii="宋体" w:hAnsi="宋体"/>
          <w:color w:val="auto"/>
          <w:szCs w:val="21"/>
          <w:highlight w:val="none"/>
        </w:rPr>
        <w:t>采购项目的潜在供应商应在广西政府采购云平台（</w:t>
      </w:r>
      <w:r>
        <w:rPr>
          <w:color w:val="auto"/>
          <w:highlight w:val="none"/>
        </w:rPr>
        <w:fldChar w:fldCharType="begin"/>
      </w:r>
      <w:r>
        <w:rPr>
          <w:color w:val="auto"/>
          <w:highlight w:val="none"/>
        </w:rPr>
        <w:instrText xml:space="preserve"> HYPERLINK "http://www.gcy.zfcg.gxzf.gov.cn）获取（下载）竞争性磋商文件，并于2024年" </w:instrText>
      </w:r>
      <w:r>
        <w:rPr>
          <w:color w:val="auto"/>
          <w:highlight w:val="none"/>
        </w:rPr>
        <w:fldChar w:fldCharType="separate"/>
      </w:r>
      <w:r>
        <w:rPr>
          <w:rFonts w:hint="eastAsia"/>
          <w:color w:val="auto"/>
          <w:highlight w:val="none"/>
        </w:rPr>
        <w:t>www.gcy.zfcg.gxzf.gov.cn）获取（下载）竞争性磋商文件，并于</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rPr>
        <w:t>年</w:t>
      </w:r>
      <w:r>
        <w:rPr>
          <w:rFonts w:hint="eastAsia"/>
          <w:color w:val="auto"/>
          <w:highlight w:val="none"/>
        </w:rPr>
        <w:fldChar w:fldCharType="end"/>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rPr>
        <w:t>月</w:t>
      </w:r>
      <w:r>
        <w:rPr>
          <w:rFonts w:hint="eastAsia" w:ascii="宋体" w:hAnsi="宋体"/>
          <w:bCs/>
          <w:color w:val="auto"/>
          <w:szCs w:val="21"/>
          <w:highlight w:val="none"/>
          <w:u w:val="single"/>
          <w:lang w:val="en-US" w:eastAsia="zh-CN"/>
        </w:rPr>
        <w:t>21</w:t>
      </w:r>
      <w:r>
        <w:rPr>
          <w:rFonts w:hint="eastAsia" w:ascii="宋体" w:hAnsi="宋体"/>
          <w:bCs/>
          <w:color w:val="auto"/>
          <w:szCs w:val="21"/>
          <w:highlight w:val="none"/>
        </w:rPr>
        <w:t>日</w:t>
      </w:r>
      <w:r>
        <w:rPr>
          <w:rFonts w:hint="eastAsia" w:ascii="宋体" w:hAnsi="宋体"/>
          <w:bCs/>
          <w:color w:val="auto"/>
          <w:szCs w:val="21"/>
          <w:highlight w:val="none"/>
          <w:u w:val="single"/>
        </w:rPr>
        <w:t>9</w:t>
      </w:r>
      <w:r>
        <w:rPr>
          <w:rFonts w:hint="eastAsia" w:ascii="宋体" w:hAnsi="宋体"/>
          <w:bCs/>
          <w:color w:val="auto"/>
          <w:szCs w:val="21"/>
          <w:highlight w:val="none"/>
        </w:rPr>
        <w:t>时</w:t>
      </w:r>
      <w:r>
        <w:rPr>
          <w:rFonts w:hint="eastAsia" w:ascii="宋体" w:hAnsi="宋体"/>
          <w:bCs/>
          <w:color w:val="auto"/>
          <w:szCs w:val="21"/>
          <w:highlight w:val="none"/>
          <w:u w:val="single"/>
        </w:rPr>
        <w:t>30</w:t>
      </w:r>
      <w:r>
        <w:rPr>
          <w:rFonts w:hint="eastAsia" w:ascii="宋体" w:hAnsi="宋体"/>
          <w:bCs/>
          <w:color w:val="auto"/>
          <w:szCs w:val="21"/>
          <w:highlight w:val="none"/>
        </w:rPr>
        <w:t>分（北京时间）前提交（上传）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5CF7EB52">
      <w:pPr>
        <w:spacing w:line="380" w:lineRule="exact"/>
        <w:ind w:firstLine="354" w:firstLineChars="147"/>
        <w:rPr>
          <w:rFonts w:hint="eastAsia" w:ascii="黑体" w:hAnsi="黑体" w:eastAsia="黑体"/>
          <w:b/>
          <w:color w:val="auto"/>
          <w:sz w:val="24"/>
          <w:highlight w:val="none"/>
        </w:rPr>
      </w:pPr>
      <w:bookmarkStart w:id="5" w:name="_Toc28359012"/>
      <w:bookmarkStart w:id="6" w:name="_Toc35393798"/>
      <w:bookmarkStart w:id="7" w:name="_Toc44229878"/>
      <w:bookmarkStart w:id="8" w:name="_Toc35393629"/>
      <w:bookmarkStart w:id="9" w:name="_Toc28359089"/>
      <w:bookmarkStart w:id="10" w:name="_Toc71365905"/>
      <w:r>
        <w:rPr>
          <w:rFonts w:hint="eastAsia" w:ascii="黑体" w:hAnsi="黑体" w:eastAsia="黑体"/>
          <w:b/>
          <w:color w:val="auto"/>
          <w:sz w:val="24"/>
          <w:highlight w:val="none"/>
        </w:rPr>
        <w:t>一、项目基本情况</w:t>
      </w:r>
      <w:bookmarkEnd w:id="5"/>
      <w:bookmarkEnd w:id="6"/>
      <w:bookmarkEnd w:id="7"/>
      <w:bookmarkEnd w:id="8"/>
      <w:bookmarkEnd w:id="9"/>
      <w:bookmarkEnd w:id="10"/>
    </w:p>
    <w:p w14:paraId="2E0B86C0">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项目编号：GLZC2025-C2-990103-YZLZ（代理编号：YZLGL2025-C2-006-GLZC）</w:t>
      </w:r>
    </w:p>
    <w:p w14:paraId="0B3D450D">
      <w:pPr>
        <w:spacing w:line="380" w:lineRule="exact"/>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bookmarkStart w:id="11" w:name="OLE_LINK2"/>
      <w:r>
        <w:rPr>
          <w:rFonts w:hint="eastAsia" w:ascii="宋体" w:hAnsi="宋体"/>
          <w:color w:val="auto"/>
          <w:szCs w:val="21"/>
          <w:highlight w:val="none"/>
          <w:lang w:eastAsia="zh-CN"/>
        </w:rPr>
        <w:t>永福县人民法院办公区域与生活区域物理隔离工程</w:t>
      </w:r>
    </w:p>
    <w:bookmarkEnd w:id="11"/>
    <w:p w14:paraId="488EBA45">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采购方式：竞争性磋商</w:t>
      </w:r>
    </w:p>
    <w:p w14:paraId="268CCBE6">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预算金额：1058123.74元</w:t>
      </w:r>
    </w:p>
    <w:p w14:paraId="02770070">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最高限价（如有）：无</w:t>
      </w:r>
    </w:p>
    <w:p w14:paraId="2A587FE9">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采购需求：标的的名称、数量：</w:t>
      </w:r>
      <w:r>
        <w:rPr>
          <w:rFonts w:hint="eastAsia" w:ascii="宋体" w:hAnsi="宋体"/>
          <w:color w:val="auto"/>
          <w:szCs w:val="21"/>
          <w:highlight w:val="none"/>
          <w:lang w:eastAsia="zh-CN"/>
        </w:rPr>
        <w:t>永福县人民法院办公区域与生活区域物理隔离工程</w:t>
      </w:r>
      <w:r>
        <w:rPr>
          <w:rFonts w:hint="eastAsia" w:ascii="宋体" w:hAnsi="宋体"/>
          <w:color w:val="auto"/>
          <w:szCs w:val="21"/>
          <w:highlight w:val="none"/>
        </w:rPr>
        <w:t>1项；简要技术需求或者服务要求：（1）建设地点：广西桂林永福县永福镇五里桥开发区；（2）工程内容：新建框架结构生活区门卫室1座，建筑面积18.36㎡，新建办公区门卫室1座，建筑面积43.24㎡，对190米旧围墙维修改造，新建115.20米隔离围栏，迁移砍伐院内苗木，新建沥青道路建设744.59㎡，对办公区及生活区室外水电改造，新增院内绿化工程等，具体详见图纸及工程量清单；（3）质量要求：</w:t>
      </w:r>
      <w:r>
        <w:rPr>
          <w:rFonts w:hint="eastAsia" w:ascii="宋体" w:hAnsi="宋体"/>
          <w:color w:val="auto"/>
          <w:highlight w:val="none"/>
        </w:rPr>
        <w:t>达到现行国家施工验收规范合格标准</w:t>
      </w:r>
      <w:r>
        <w:rPr>
          <w:rFonts w:hint="eastAsia" w:ascii="宋体" w:hAnsi="宋体"/>
          <w:color w:val="auto"/>
          <w:szCs w:val="21"/>
          <w:highlight w:val="none"/>
        </w:rPr>
        <w:t>。</w:t>
      </w:r>
    </w:p>
    <w:p w14:paraId="202FE278">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合同履行期限：自接到采购人或采购人委托的监理单位发出开工令之日起</w:t>
      </w:r>
      <w:r>
        <w:rPr>
          <w:rFonts w:hint="eastAsia" w:ascii="宋体" w:hAnsi="宋体"/>
          <w:color w:val="auto"/>
          <w:szCs w:val="21"/>
          <w:highlight w:val="none"/>
          <w:u w:val="single"/>
          <w:lang w:val="en-US" w:eastAsia="zh-CN"/>
        </w:rPr>
        <w:t>45</w:t>
      </w:r>
      <w:r>
        <w:rPr>
          <w:rFonts w:hint="eastAsia" w:ascii="宋体" w:hAnsi="宋体"/>
          <w:color w:val="auto"/>
          <w:szCs w:val="21"/>
          <w:highlight w:val="none"/>
        </w:rPr>
        <w:t>天（日历天）内。</w:t>
      </w:r>
    </w:p>
    <w:p w14:paraId="680FD162">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否</w:t>
      </w:r>
      <w:r>
        <w:rPr>
          <w:rFonts w:hint="eastAsia" w:ascii="宋体" w:hAnsi="宋体"/>
          <w:color w:val="auto"/>
          <w:szCs w:val="21"/>
          <w:highlight w:val="none"/>
        </w:rPr>
        <w:t>）接受联合体。</w:t>
      </w:r>
    </w:p>
    <w:p w14:paraId="41E09ADB">
      <w:pPr>
        <w:spacing w:line="380" w:lineRule="exact"/>
        <w:ind w:firstLine="354" w:firstLineChars="147"/>
        <w:rPr>
          <w:rFonts w:hint="eastAsia" w:ascii="黑体" w:hAnsi="黑体" w:eastAsia="黑体"/>
          <w:b/>
          <w:color w:val="auto"/>
          <w:sz w:val="24"/>
          <w:highlight w:val="none"/>
        </w:rPr>
      </w:pPr>
      <w:bookmarkStart w:id="12" w:name="_Toc44229879"/>
      <w:bookmarkStart w:id="13" w:name="_Toc28359013"/>
      <w:bookmarkStart w:id="14" w:name="_Toc28359090"/>
      <w:bookmarkStart w:id="15" w:name="_Toc35393799"/>
      <w:bookmarkStart w:id="16" w:name="_Toc71365906"/>
      <w:bookmarkStart w:id="17" w:name="_Toc35393630"/>
      <w:r>
        <w:rPr>
          <w:rFonts w:hint="eastAsia" w:ascii="黑体" w:hAnsi="黑体" w:eastAsia="黑体"/>
          <w:b/>
          <w:color w:val="auto"/>
          <w:sz w:val="24"/>
          <w:highlight w:val="none"/>
        </w:rPr>
        <w:t>二、申请人的资格条件：</w:t>
      </w:r>
      <w:bookmarkEnd w:id="12"/>
      <w:bookmarkEnd w:id="13"/>
      <w:bookmarkEnd w:id="14"/>
      <w:bookmarkEnd w:id="15"/>
      <w:bookmarkEnd w:id="16"/>
      <w:bookmarkEnd w:id="17"/>
    </w:p>
    <w:p w14:paraId="60A19FDE">
      <w:pPr>
        <w:spacing w:line="380" w:lineRule="exact"/>
        <w:ind w:firstLine="420" w:firstLineChars="200"/>
        <w:rPr>
          <w:rFonts w:hint="eastAsia" w:ascii="宋体" w:hAnsi="宋体"/>
          <w:color w:val="auto"/>
          <w:szCs w:val="21"/>
          <w:highlight w:val="none"/>
        </w:rPr>
      </w:pPr>
      <w:bookmarkStart w:id="18" w:name="_Toc35393631"/>
      <w:bookmarkStart w:id="19" w:name="_Toc28359091"/>
      <w:bookmarkStart w:id="20" w:name="_Toc44229880"/>
      <w:bookmarkStart w:id="21" w:name="_Toc35393800"/>
      <w:bookmarkStart w:id="22" w:name="_Toc28359014"/>
      <w:r>
        <w:rPr>
          <w:rFonts w:hint="eastAsia" w:ascii="宋体" w:hAnsi="宋体"/>
          <w:color w:val="auto"/>
          <w:szCs w:val="21"/>
          <w:highlight w:val="none"/>
        </w:rPr>
        <w:t>1.满足《中华人民共和国政府采购法》第二十二条规定；</w:t>
      </w:r>
    </w:p>
    <w:p w14:paraId="337EFF76">
      <w:pPr>
        <w:spacing w:line="380"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s="宋体"/>
          <w:color w:val="auto"/>
          <w:szCs w:val="21"/>
          <w:highlight w:val="none"/>
        </w:rPr>
        <w:t>本项目专门面向中小企业采购【供应商须满足《政府采购促进中小企业发展管理办法》</w:t>
      </w:r>
      <w:r>
        <w:rPr>
          <w:rFonts w:hint="eastAsia" w:ascii="宋体" w:hAnsi="宋体" w:cs="宋体"/>
          <w:color w:val="auto"/>
          <w:szCs w:val="21"/>
          <w:highlight w:val="none"/>
          <w:lang w:eastAsia="zh-CN"/>
        </w:rPr>
        <w:t>（</w:t>
      </w:r>
      <w:r>
        <w:rPr>
          <w:rFonts w:hint="eastAsia" w:ascii="宋体" w:hAnsi="宋体" w:cs="宋体"/>
          <w:color w:val="auto"/>
          <w:szCs w:val="21"/>
          <w:highlight w:val="none"/>
        </w:rPr>
        <w:t>财库〔2020〕46号</w:t>
      </w:r>
      <w:r>
        <w:rPr>
          <w:rFonts w:hint="eastAsia" w:ascii="宋体" w:hAnsi="宋体" w:cs="宋体"/>
          <w:color w:val="auto"/>
          <w:szCs w:val="21"/>
          <w:highlight w:val="none"/>
          <w:lang w:eastAsia="zh-CN"/>
        </w:rPr>
        <w:t>）</w:t>
      </w:r>
      <w:r>
        <w:rPr>
          <w:rFonts w:hint="eastAsia" w:ascii="宋体" w:hAnsi="宋体" w:cs="宋体"/>
          <w:color w:val="auto"/>
          <w:szCs w:val="21"/>
          <w:highlight w:val="none"/>
        </w:rPr>
        <w:t>第二条规定；供应商如为监狱企业、残疾人福利单位的，视同小型、微型企业】</w:t>
      </w:r>
      <w:r>
        <w:rPr>
          <w:rFonts w:hint="eastAsia" w:ascii="宋体" w:hAnsi="宋体"/>
          <w:color w:val="auto"/>
          <w:szCs w:val="21"/>
          <w:highlight w:val="none"/>
        </w:rPr>
        <w:t>；</w:t>
      </w:r>
    </w:p>
    <w:p w14:paraId="2A1B165A">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3.本项目的特定资格要求：供应商须具备</w:t>
      </w:r>
      <w:r>
        <w:rPr>
          <w:rFonts w:hint="eastAsia" w:asciiTheme="majorEastAsia" w:hAnsiTheme="majorEastAsia" w:eastAsiaTheme="majorEastAsia"/>
          <w:color w:val="auto"/>
          <w:szCs w:val="20"/>
          <w:highlight w:val="none"/>
        </w:rPr>
        <w:t>建筑工程施工总承包三级以上（含三级）资质</w:t>
      </w:r>
      <w:r>
        <w:rPr>
          <w:rFonts w:hint="eastAsia" w:ascii="宋体" w:hAnsi="宋体"/>
          <w:color w:val="auto"/>
          <w:szCs w:val="21"/>
          <w:highlight w:val="none"/>
        </w:rPr>
        <w:t>；并具备有效的安全生产许可证，在人员、设备、资金等方面具有相应的履约能力。</w:t>
      </w:r>
    </w:p>
    <w:p w14:paraId="6C355548">
      <w:pPr>
        <w:spacing w:line="380" w:lineRule="exact"/>
        <w:ind w:firstLine="354" w:firstLineChars="147"/>
        <w:rPr>
          <w:rFonts w:hint="eastAsia" w:ascii="黑体" w:hAnsi="黑体" w:eastAsia="黑体"/>
          <w:b/>
          <w:color w:val="auto"/>
          <w:sz w:val="24"/>
          <w:highlight w:val="none"/>
        </w:rPr>
      </w:pPr>
      <w:bookmarkStart w:id="23" w:name="_Toc71365907"/>
      <w:r>
        <w:rPr>
          <w:rFonts w:hint="eastAsia" w:ascii="黑体" w:hAnsi="黑体" w:eastAsia="黑体"/>
          <w:b/>
          <w:color w:val="auto"/>
          <w:sz w:val="24"/>
          <w:highlight w:val="none"/>
        </w:rPr>
        <w:t>三、获取竞争性磋商文件</w:t>
      </w:r>
      <w:bookmarkEnd w:id="18"/>
      <w:bookmarkEnd w:id="19"/>
      <w:bookmarkEnd w:id="20"/>
      <w:bookmarkEnd w:id="21"/>
      <w:bookmarkEnd w:id="22"/>
      <w:bookmarkEnd w:id="23"/>
    </w:p>
    <w:p w14:paraId="55159C26">
      <w:pPr>
        <w:spacing w:line="380" w:lineRule="exact"/>
        <w:ind w:firstLine="424" w:firstLineChars="202"/>
        <w:rPr>
          <w:rFonts w:hint="eastAsia" w:ascii="宋体" w:hAnsi="宋体" w:cs="宋体"/>
          <w:bCs/>
          <w:color w:val="auto"/>
          <w:kern w:val="0"/>
          <w:szCs w:val="21"/>
          <w:highlight w:val="none"/>
        </w:rPr>
      </w:pPr>
      <w:bookmarkStart w:id="24" w:name="_Toc35393632"/>
      <w:bookmarkStart w:id="25" w:name="_Toc28359092"/>
      <w:bookmarkStart w:id="26" w:name="_Toc28359015"/>
      <w:bookmarkStart w:id="27" w:name="_Toc44229881"/>
      <w:bookmarkStart w:id="28" w:name="_Toc35393801"/>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lang w:eastAsia="zh-CN"/>
        </w:rPr>
        <w:t>2025年</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lang w:eastAsia="zh-CN"/>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lang w:eastAsia="zh-CN"/>
        </w:rPr>
        <w:t>2025年</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21</w:t>
      </w:r>
      <w:r>
        <w:rPr>
          <w:rFonts w:hint="eastAsia" w:ascii="宋体" w:hAnsi="宋体" w:cs="宋体"/>
          <w:bCs/>
          <w:color w:val="auto"/>
          <w:kern w:val="0"/>
          <w:szCs w:val="21"/>
          <w:highlight w:val="none"/>
          <w:lang w:eastAsia="zh-CN"/>
        </w:rPr>
        <w:t>日</w:t>
      </w:r>
      <w:r>
        <w:rPr>
          <w:rFonts w:hint="eastAsia" w:ascii="宋体" w:hAnsi="宋体" w:cs="宋体"/>
          <w:bCs/>
          <w:color w:val="auto"/>
          <w:kern w:val="0"/>
          <w:szCs w:val="21"/>
          <w:highlight w:val="none"/>
        </w:rPr>
        <w:t>，每天上午00</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00至11</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59，下午12</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00至23</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59（北京时间，法定节假日除外）</w:t>
      </w:r>
    </w:p>
    <w:p w14:paraId="39143459">
      <w:pPr>
        <w:spacing w:line="380" w:lineRule="exact"/>
        <w:ind w:firstLine="424" w:firstLineChars="202"/>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w:t>
      </w:r>
      <w:r>
        <w:rPr>
          <w:rFonts w:hint="eastAsia" w:ascii="宋体" w:hAnsi="宋体"/>
          <w:bCs/>
          <w:color w:val="auto"/>
          <w:szCs w:val="21"/>
          <w:highlight w:val="none"/>
        </w:rPr>
        <w:t>www.gcy.zfcg.gxzf.gov.cn</w:t>
      </w:r>
      <w:r>
        <w:rPr>
          <w:rFonts w:hint="eastAsia" w:ascii="宋体" w:hAnsi="宋体" w:cs="宋体"/>
          <w:bCs/>
          <w:color w:val="auto"/>
          <w:kern w:val="0"/>
          <w:szCs w:val="21"/>
          <w:highlight w:val="none"/>
        </w:rPr>
        <w:t>）</w:t>
      </w:r>
    </w:p>
    <w:p w14:paraId="57290C4D">
      <w:pPr>
        <w:spacing w:line="380" w:lineRule="exact"/>
        <w:ind w:firstLine="424" w:firstLineChars="202"/>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方式：网上下载。本项目不提供纸质文件，潜在供应商需使用账号登录或者使用CA登录广西政府采购云平台（www.gcy.zfcg.gxzf.gov.cn）-进入“项目采购”应用，在获取采购文件菜单中选择项目，获取竞争性磋商文件。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制作需要基于广西政府采购云平台获取的磋商文件编制，</w:t>
      </w:r>
      <w:r>
        <w:rPr>
          <w:rFonts w:hint="eastAsia" w:ascii="宋体" w:hAnsi="宋体" w:cs="宋体"/>
          <w:bCs/>
          <w:color w:val="auto"/>
          <w:kern w:val="0"/>
          <w:szCs w:val="21"/>
          <w:highlight w:val="none"/>
        </w:rPr>
        <w:t>通过其他方式获取磋商文件的，将有可能导致供应商无法在</w:t>
      </w:r>
      <w:r>
        <w:rPr>
          <w:rFonts w:hint="eastAsia" w:ascii="宋体" w:hAnsi="宋体"/>
          <w:color w:val="auto"/>
          <w:szCs w:val="21"/>
          <w:highlight w:val="none"/>
        </w:rPr>
        <w:t>广西政府采购云平台</w:t>
      </w:r>
      <w:r>
        <w:rPr>
          <w:rFonts w:hint="eastAsia" w:ascii="宋体" w:hAnsi="宋体" w:cs="宋体"/>
          <w:bCs/>
          <w:color w:val="auto"/>
          <w:kern w:val="0"/>
          <w:szCs w:val="21"/>
          <w:highlight w:val="none"/>
        </w:rPr>
        <w:t>编制及上传响应文件。</w:t>
      </w:r>
    </w:p>
    <w:p w14:paraId="5CC9DB3C">
      <w:pPr>
        <w:spacing w:line="380" w:lineRule="exact"/>
        <w:ind w:firstLine="424" w:firstLineChars="202"/>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售价：0元</w:t>
      </w:r>
    </w:p>
    <w:p w14:paraId="46EC70E7">
      <w:pPr>
        <w:spacing w:line="380" w:lineRule="exact"/>
        <w:ind w:firstLine="354" w:firstLineChars="147"/>
        <w:rPr>
          <w:rFonts w:hint="eastAsia" w:ascii="黑体" w:hAnsi="黑体" w:eastAsia="黑体"/>
          <w:b/>
          <w:color w:val="auto"/>
          <w:sz w:val="24"/>
          <w:highlight w:val="none"/>
        </w:rPr>
      </w:pPr>
      <w:bookmarkStart w:id="29" w:name="_Toc71365908"/>
      <w:r>
        <w:rPr>
          <w:rFonts w:hint="eastAsia" w:ascii="黑体" w:hAnsi="黑体" w:eastAsia="黑体"/>
          <w:b/>
          <w:color w:val="auto"/>
          <w:sz w:val="24"/>
          <w:highlight w:val="none"/>
        </w:rPr>
        <w:t>四、响应文件提交</w:t>
      </w:r>
      <w:bookmarkEnd w:id="24"/>
      <w:bookmarkEnd w:id="25"/>
      <w:bookmarkEnd w:id="26"/>
      <w:bookmarkEnd w:id="27"/>
      <w:bookmarkEnd w:id="28"/>
      <w:bookmarkEnd w:id="29"/>
    </w:p>
    <w:p w14:paraId="77B41B2A">
      <w:pPr>
        <w:spacing w:line="380" w:lineRule="exact"/>
        <w:ind w:firstLine="420" w:firstLineChars="200"/>
        <w:rPr>
          <w:rFonts w:hint="eastAsia" w:ascii="宋体" w:hAnsi="宋体"/>
          <w:color w:val="auto"/>
          <w:szCs w:val="21"/>
          <w:highlight w:val="none"/>
        </w:rPr>
      </w:pPr>
      <w:bookmarkStart w:id="30" w:name="_Toc44229882"/>
      <w:bookmarkStart w:id="31" w:name="_Toc28359016"/>
      <w:bookmarkStart w:id="32" w:name="_Toc35393802"/>
      <w:bookmarkStart w:id="33" w:name="_Toc28359093"/>
      <w:bookmarkStart w:id="34" w:name="_Toc35393633"/>
      <w:r>
        <w:rPr>
          <w:rFonts w:hint="eastAsia" w:ascii="宋体" w:hAnsi="宋体"/>
          <w:color w:val="auto"/>
          <w:szCs w:val="21"/>
          <w:highlight w:val="none"/>
        </w:rPr>
        <w:t>截止时间：</w:t>
      </w:r>
      <w:r>
        <w:rPr>
          <w:rFonts w:hint="eastAsia" w:ascii="宋体" w:hAnsi="宋体" w:cs="宋体"/>
          <w:bCs/>
          <w:color w:val="auto"/>
          <w:kern w:val="0"/>
          <w:szCs w:val="21"/>
          <w:highlight w:val="none"/>
          <w:lang w:eastAsia="zh-CN"/>
        </w:rPr>
        <w:t>2025年</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21</w:t>
      </w:r>
      <w:r>
        <w:rPr>
          <w:rFonts w:hint="eastAsia" w:ascii="宋体" w:hAnsi="宋体" w:cs="宋体"/>
          <w:bCs/>
          <w:color w:val="auto"/>
          <w:kern w:val="0"/>
          <w:szCs w:val="21"/>
          <w:highlight w:val="none"/>
          <w:lang w:eastAsia="zh-CN"/>
        </w:rPr>
        <w:t>日</w:t>
      </w:r>
      <w:r>
        <w:rPr>
          <w:rFonts w:hint="eastAsia" w:ascii="宋体" w:hAnsi="宋体"/>
          <w:bCs/>
          <w:color w:val="auto"/>
          <w:szCs w:val="21"/>
          <w:highlight w:val="none"/>
        </w:rPr>
        <w:t>上</w:t>
      </w:r>
      <w:r>
        <w:rPr>
          <w:rFonts w:hint="eastAsia" w:ascii="宋体" w:hAnsi="宋体"/>
          <w:color w:val="auto"/>
          <w:szCs w:val="21"/>
          <w:highlight w:val="none"/>
        </w:rPr>
        <w:t>午9点30分（北京时间）</w:t>
      </w:r>
    </w:p>
    <w:p w14:paraId="538324E0">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地点：广西政府采购云平台（</w:t>
      </w:r>
      <w:r>
        <w:rPr>
          <w:rFonts w:hint="eastAsia" w:ascii="宋体" w:hAnsi="宋体"/>
          <w:bCs/>
          <w:color w:val="auto"/>
          <w:szCs w:val="21"/>
          <w:highlight w:val="none"/>
        </w:rPr>
        <w:t>www.gcy.zfcg.gxzf.gov.cn</w:t>
      </w:r>
      <w:r>
        <w:rPr>
          <w:rFonts w:hint="eastAsia" w:ascii="宋体" w:hAnsi="宋体"/>
          <w:color w:val="auto"/>
          <w:szCs w:val="21"/>
          <w:highlight w:val="none"/>
        </w:rPr>
        <w:t>）</w:t>
      </w:r>
    </w:p>
    <w:p w14:paraId="692A80B6">
      <w:pPr>
        <w:spacing w:line="380" w:lineRule="exact"/>
        <w:ind w:firstLine="354" w:firstLineChars="147"/>
        <w:rPr>
          <w:rFonts w:hint="eastAsia" w:ascii="黑体" w:hAnsi="黑体" w:eastAsia="黑体"/>
          <w:b/>
          <w:color w:val="auto"/>
          <w:sz w:val="24"/>
          <w:highlight w:val="none"/>
        </w:rPr>
      </w:pPr>
      <w:bookmarkStart w:id="35" w:name="_Toc71365909"/>
      <w:r>
        <w:rPr>
          <w:rFonts w:hint="eastAsia" w:ascii="黑体" w:hAnsi="黑体" w:eastAsia="黑体"/>
          <w:b/>
          <w:color w:val="auto"/>
          <w:sz w:val="24"/>
          <w:highlight w:val="none"/>
        </w:rPr>
        <w:t>五、开启</w:t>
      </w:r>
      <w:bookmarkEnd w:id="30"/>
      <w:bookmarkEnd w:id="31"/>
      <w:bookmarkEnd w:id="32"/>
      <w:bookmarkEnd w:id="33"/>
      <w:bookmarkEnd w:id="34"/>
      <w:bookmarkEnd w:id="35"/>
    </w:p>
    <w:p w14:paraId="1E98B011">
      <w:pPr>
        <w:spacing w:line="380" w:lineRule="exact"/>
        <w:ind w:firstLine="420" w:firstLineChars="200"/>
        <w:rPr>
          <w:rFonts w:hint="eastAsia"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cs="宋体"/>
          <w:bCs/>
          <w:color w:val="auto"/>
          <w:kern w:val="0"/>
          <w:szCs w:val="21"/>
          <w:highlight w:val="none"/>
          <w:lang w:eastAsia="zh-CN"/>
        </w:rPr>
        <w:t>2025年</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21</w:t>
      </w:r>
      <w:r>
        <w:rPr>
          <w:rFonts w:hint="eastAsia" w:ascii="宋体" w:hAnsi="宋体" w:cs="宋体"/>
          <w:bCs/>
          <w:color w:val="auto"/>
          <w:kern w:val="0"/>
          <w:szCs w:val="21"/>
          <w:highlight w:val="none"/>
          <w:lang w:eastAsia="zh-CN"/>
        </w:rPr>
        <w:t>日</w:t>
      </w:r>
      <w:r>
        <w:rPr>
          <w:rFonts w:hint="eastAsia" w:ascii="宋体" w:hAnsi="宋体"/>
          <w:bCs/>
          <w:color w:val="auto"/>
          <w:szCs w:val="21"/>
          <w:highlight w:val="none"/>
        </w:rPr>
        <w:t>上</w:t>
      </w:r>
      <w:r>
        <w:rPr>
          <w:rFonts w:hint="eastAsia" w:ascii="宋体" w:hAnsi="宋体"/>
          <w:color w:val="auto"/>
          <w:szCs w:val="21"/>
          <w:highlight w:val="none"/>
        </w:rPr>
        <w:t>午9点30分</w:t>
      </w:r>
      <w:r>
        <w:rPr>
          <w:rFonts w:hint="eastAsia" w:ascii="宋体" w:hAnsi="宋体"/>
          <w:bCs/>
          <w:color w:val="auto"/>
          <w:szCs w:val="21"/>
          <w:highlight w:val="none"/>
        </w:rPr>
        <w:t>（北京时间）</w:t>
      </w:r>
    </w:p>
    <w:p w14:paraId="62A74FDE">
      <w:pPr>
        <w:spacing w:line="380" w:lineRule="exact"/>
        <w:ind w:firstLine="420" w:firstLineChars="200"/>
        <w:rPr>
          <w:rFonts w:hint="eastAsia" w:ascii="宋体" w:hAnsi="宋体"/>
          <w:bCs/>
          <w:color w:val="auto"/>
          <w:szCs w:val="21"/>
          <w:highlight w:val="none"/>
          <w:u w:val="single"/>
        </w:rPr>
      </w:pPr>
      <w:r>
        <w:rPr>
          <w:rFonts w:hint="eastAsia" w:ascii="宋体" w:hAnsi="宋体"/>
          <w:color w:val="auto"/>
          <w:szCs w:val="21"/>
          <w:highlight w:val="none"/>
        </w:rPr>
        <w:t>地点：广西政府采购云平台（</w:t>
      </w:r>
      <w:r>
        <w:rPr>
          <w:rFonts w:hint="eastAsia" w:ascii="宋体" w:hAnsi="宋体"/>
          <w:bCs/>
          <w:color w:val="auto"/>
          <w:szCs w:val="21"/>
          <w:highlight w:val="none"/>
        </w:rPr>
        <w:t>www.gcy.zfcg.gxzf.gov.cn</w:t>
      </w:r>
      <w:r>
        <w:rPr>
          <w:rFonts w:hint="eastAsia" w:ascii="宋体" w:hAnsi="宋体"/>
          <w:color w:val="auto"/>
          <w:szCs w:val="21"/>
          <w:highlight w:val="none"/>
        </w:rPr>
        <w:t>）</w:t>
      </w:r>
    </w:p>
    <w:p w14:paraId="47AFF3BB">
      <w:pPr>
        <w:spacing w:line="380" w:lineRule="exact"/>
        <w:ind w:firstLine="354" w:firstLineChars="147"/>
        <w:rPr>
          <w:rFonts w:hint="eastAsia" w:ascii="黑体" w:hAnsi="黑体" w:eastAsia="黑体"/>
          <w:b/>
          <w:color w:val="auto"/>
          <w:sz w:val="24"/>
          <w:highlight w:val="none"/>
        </w:rPr>
      </w:pPr>
      <w:bookmarkStart w:id="36" w:name="_Toc35393634"/>
      <w:bookmarkStart w:id="37" w:name="_Toc35393803"/>
      <w:bookmarkStart w:id="38" w:name="_Toc28359017"/>
      <w:bookmarkStart w:id="39" w:name="_Toc44229883"/>
      <w:bookmarkStart w:id="40" w:name="_Toc28359094"/>
      <w:bookmarkStart w:id="41" w:name="_Toc71365910"/>
      <w:r>
        <w:rPr>
          <w:rFonts w:hint="eastAsia" w:ascii="黑体" w:hAnsi="黑体" w:eastAsia="黑体"/>
          <w:b/>
          <w:color w:val="auto"/>
          <w:sz w:val="24"/>
          <w:highlight w:val="none"/>
        </w:rPr>
        <w:t>六、公告期限</w:t>
      </w:r>
      <w:bookmarkEnd w:id="36"/>
      <w:bookmarkEnd w:id="37"/>
      <w:bookmarkEnd w:id="38"/>
      <w:bookmarkEnd w:id="39"/>
      <w:bookmarkEnd w:id="40"/>
      <w:bookmarkEnd w:id="41"/>
    </w:p>
    <w:p w14:paraId="44261EFB">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057F590E">
      <w:pPr>
        <w:spacing w:line="380" w:lineRule="exact"/>
        <w:ind w:firstLine="354" w:firstLineChars="147"/>
        <w:rPr>
          <w:rFonts w:hint="eastAsia" w:ascii="黑体" w:hAnsi="黑体" w:eastAsia="黑体"/>
          <w:b/>
          <w:color w:val="auto"/>
          <w:sz w:val="24"/>
          <w:highlight w:val="none"/>
        </w:rPr>
      </w:pPr>
      <w:bookmarkStart w:id="42" w:name="_Toc44229884"/>
      <w:bookmarkStart w:id="43" w:name="_Toc71365911"/>
      <w:bookmarkStart w:id="44" w:name="_Toc35393635"/>
      <w:bookmarkStart w:id="45" w:name="_Toc35393804"/>
      <w:r>
        <w:rPr>
          <w:rFonts w:hint="eastAsia" w:ascii="黑体" w:hAnsi="黑体" w:eastAsia="黑体"/>
          <w:b/>
          <w:color w:val="auto"/>
          <w:sz w:val="24"/>
          <w:highlight w:val="none"/>
        </w:rPr>
        <w:t>七、其他补充事宜</w:t>
      </w:r>
      <w:bookmarkEnd w:id="42"/>
      <w:bookmarkEnd w:id="43"/>
      <w:bookmarkEnd w:id="44"/>
      <w:bookmarkEnd w:id="45"/>
    </w:p>
    <w:p w14:paraId="018827B6">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5F681861">
      <w:pPr>
        <w:keepNext w:val="0"/>
        <w:keepLines w:val="0"/>
        <w:pageBreakBefore w:val="0"/>
        <w:widowControl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中国政府采购网（www.ccgp.gov.cn）、广西壮族自治区政府采购网（zfcg.gxzf.gov.cn）、</w:t>
      </w:r>
      <w:r>
        <w:rPr>
          <w:rFonts w:ascii="宋体" w:hAnsi="宋体"/>
          <w:bCs/>
          <w:color w:val="auto"/>
          <w:highlight w:val="none"/>
        </w:rPr>
        <w:t>桂林市政府采购网（</w:t>
      </w:r>
      <w:r>
        <w:rPr>
          <w:rFonts w:hint="eastAsia" w:ascii="宋体" w:hAnsi="宋体"/>
          <w:bCs/>
          <w:color w:val="auto"/>
          <w:highlight w:val="none"/>
        </w:rPr>
        <w:t>gl.zfcg.zcygov.cn</w:t>
      </w:r>
      <w:r>
        <w:rPr>
          <w:rFonts w:ascii="宋体" w:hAnsi="宋体"/>
          <w:bCs/>
          <w:color w:val="auto"/>
          <w:highlight w:val="none"/>
        </w:rPr>
        <w:t>）</w:t>
      </w:r>
      <w:r>
        <w:rPr>
          <w:rFonts w:hint="eastAsia" w:ascii="宋体" w:hAnsi="宋体" w:cs="宋体"/>
          <w:i/>
          <w:color w:val="auto"/>
          <w:kern w:val="0"/>
          <w:szCs w:val="21"/>
          <w:highlight w:val="none"/>
        </w:rPr>
        <w:t>。</w:t>
      </w:r>
    </w:p>
    <w:p w14:paraId="377C21F9">
      <w:pPr>
        <w:spacing w:line="380" w:lineRule="exact"/>
        <w:ind w:firstLine="420" w:firstLineChars="200"/>
        <w:rPr>
          <w:rFonts w:hint="eastAsia" w:ascii="宋体" w:hAnsi="宋体" w:cs="宋体"/>
          <w:color w:val="auto"/>
          <w:kern w:val="0"/>
          <w:szCs w:val="21"/>
          <w:highlight w:val="none"/>
        </w:rPr>
      </w:pPr>
      <w:bookmarkStart w:id="46" w:name="_Hlk37429674"/>
      <w:bookmarkStart w:id="47" w:name="_Toc35393636"/>
      <w:bookmarkStart w:id="48" w:name="_Toc28359095"/>
      <w:bookmarkStart w:id="49" w:name="_Toc28359018"/>
      <w:bookmarkStart w:id="50" w:name="_Toc44229885"/>
      <w:bookmarkStart w:id="51" w:name="_Toc35393805"/>
      <w:r>
        <w:rPr>
          <w:rFonts w:hint="eastAsia" w:ascii="宋体" w:hAnsi="宋体" w:cs="宋体"/>
          <w:color w:val="auto"/>
          <w:kern w:val="0"/>
          <w:szCs w:val="21"/>
          <w:highlight w:val="none"/>
        </w:rPr>
        <w:t>2</w:t>
      </w:r>
      <w:r>
        <w:rPr>
          <w:rFonts w:ascii="宋体" w:hAnsi="宋体" w:cs="宋体"/>
          <w:color w:val="auto"/>
          <w:kern w:val="0"/>
          <w:szCs w:val="21"/>
          <w:highlight w:val="none"/>
        </w:rPr>
        <w:t>.</w:t>
      </w:r>
      <w:r>
        <w:rPr>
          <w:rFonts w:hint="eastAsia" w:ascii="宋体" w:hAnsi="宋体" w:cs="宋体"/>
          <w:color w:val="auto"/>
          <w:kern w:val="0"/>
          <w:szCs w:val="21"/>
          <w:highlight w:val="none"/>
        </w:rPr>
        <w:t>本项目需要落实的政府采购政策</w:t>
      </w:r>
    </w:p>
    <w:p w14:paraId="30301F81">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41356DBB">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39BF7EEB">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0274CB00">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559C795E">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bookmarkEnd w:id="46"/>
    <w:p w14:paraId="6EE8F818">
      <w:pPr>
        <w:widowControl/>
        <w:spacing w:line="380" w:lineRule="exact"/>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7A82A59B">
      <w:pPr>
        <w:keepNext w:val="0"/>
        <w:keepLines w:val="0"/>
        <w:pageBreakBefore w:val="0"/>
        <w:widowControl w:val="0"/>
        <w:kinsoku/>
        <w:wordWrap w:val="0"/>
        <w:overflowPunct/>
        <w:topLinePunct w:val="0"/>
        <w:autoSpaceDE/>
        <w:autoSpaceDN/>
        <w:bidi w:val="0"/>
        <w:adjustRightInd/>
        <w:snapToGrid/>
        <w:spacing w:line="380" w:lineRule="exact"/>
        <w:ind w:firstLine="424" w:firstLineChars="202"/>
        <w:textAlignment w:val="auto"/>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bCs/>
          <w:color w:val="auto"/>
          <w:szCs w:val="21"/>
          <w:highlight w:val="none"/>
        </w:rPr>
        <w:t>www.gcy.zfcg.gxzf.gov.cn</w:t>
      </w:r>
      <w:r>
        <w:rPr>
          <w:rFonts w:hint="eastAsia" w:ascii="宋体" w:hAnsi="宋体"/>
          <w:color w:val="auto"/>
          <w:szCs w:val="21"/>
          <w:highlight w:val="none"/>
        </w:rPr>
        <w:t>）</w:t>
      </w:r>
      <w:r>
        <w:rPr>
          <w:rFonts w:hint="eastAsia" w:ascii="宋体" w:hAnsi="宋体"/>
          <w:bCs/>
          <w:color w:val="auto"/>
          <w:szCs w:val="21"/>
          <w:highlight w:val="none"/>
        </w:rPr>
        <w:t>实行在线电子竞标，供应商应按照本项目竞争性磋商文件和广西政府采购云平台的要求编制、加密</w:t>
      </w:r>
      <w:r>
        <w:rPr>
          <w:rFonts w:hint="eastAsia" w:ascii="宋体" w:hAnsi="宋体"/>
          <w:color w:val="auto"/>
          <w:szCs w:val="21"/>
          <w:highlight w:val="none"/>
        </w:rPr>
        <w:t>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011812F0">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r>
        <w:rPr>
          <w:rFonts w:hint="eastAsia" w:ascii="宋体" w:hAnsi="宋体"/>
          <w:color w:val="auto"/>
          <w:szCs w:val="21"/>
          <w:highlight w:val="none"/>
          <w:lang w:eastAsia="zh-CN"/>
        </w:rPr>
        <w:t>或</w:t>
      </w:r>
      <w:r>
        <w:rPr>
          <w:rFonts w:hint="eastAsia" w:ascii="宋体" w:hAnsi="宋体" w:cs="宋体"/>
          <w:bCs/>
          <w:color w:val="auto"/>
          <w:sz w:val="21"/>
          <w:szCs w:val="21"/>
          <w:highlight w:val="none"/>
          <w:lang w:val="en-US" w:eastAsia="zh-CN"/>
        </w:rPr>
        <w:t>0771-3381253</w:t>
      </w:r>
      <w:r>
        <w:rPr>
          <w:rFonts w:hint="eastAsia" w:ascii="宋体" w:hAnsi="宋体"/>
          <w:color w:val="auto"/>
          <w:szCs w:val="21"/>
          <w:highlight w:val="none"/>
        </w:rPr>
        <w:t>）。</w:t>
      </w:r>
    </w:p>
    <w:p w14:paraId="139B3CC2">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4576A177">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w:t>
      </w:r>
      <w:r>
        <w:rPr>
          <w:rFonts w:hint="eastAsia" w:ascii="宋体" w:hAnsi="宋体"/>
          <w:color w:val="auto"/>
          <w:szCs w:val="21"/>
          <w:highlight w:val="none"/>
          <w:lang w:eastAsia="zh-CN"/>
        </w:rPr>
        <w:t>至</w:t>
      </w:r>
      <w:r>
        <w:rPr>
          <w:rFonts w:hint="eastAsia" w:ascii="宋体" w:hAnsi="宋体"/>
          <w:color w:val="auto"/>
          <w:szCs w:val="21"/>
          <w:highlight w:val="none"/>
        </w:rPr>
        <w:t>提交响应文件截止时间</w:t>
      </w:r>
      <w:r>
        <w:rPr>
          <w:rFonts w:hint="eastAsia" w:ascii="宋体" w:hAnsi="宋体"/>
          <w:color w:val="auto"/>
          <w:szCs w:val="21"/>
          <w:highlight w:val="none"/>
          <w:lang w:eastAsia="zh-CN"/>
        </w:rPr>
        <w:t>止</w:t>
      </w:r>
      <w:r>
        <w:rPr>
          <w:rFonts w:hint="eastAsia" w:ascii="宋体" w:hAnsi="宋体"/>
          <w:color w:val="auto"/>
          <w:szCs w:val="21"/>
          <w:highlight w:val="none"/>
        </w:rPr>
        <w:t>未完成提交（上传）的，视为撤回响应文件。提交响应文件截止时间以后提交（上传）的响应文件，广西政府采购云平台将予以拒收。</w:t>
      </w:r>
    </w:p>
    <w:p w14:paraId="731D200A">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（4）供应商需要在</w:t>
      </w:r>
      <w:r>
        <w:rPr>
          <w:rFonts w:hint="eastAsia" w:ascii="宋体" w:hAnsi="宋体"/>
          <w:color w:val="auto"/>
          <w:szCs w:val="21"/>
          <w:highlight w:val="none"/>
          <w:lang w:eastAsia="zh-CN"/>
        </w:rPr>
        <w:t>具备</w:t>
      </w:r>
      <w:r>
        <w:rPr>
          <w:rFonts w:hint="eastAsia" w:ascii="宋体" w:hAnsi="宋体"/>
          <w:color w:val="auto"/>
          <w:szCs w:val="21"/>
          <w:highlight w:val="none"/>
        </w:rPr>
        <w:t>摄像头及语音功能且互联网网络状况良好的电脑登录广西政府采购云平台远程开标大厅参与本次磋商，否则后果自负。</w:t>
      </w:r>
    </w:p>
    <w:p w14:paraId="598F7D7D">
      <w:pPr>
        <w:spacing w:line="380" w:lineRule="exact"/>
        <w:ind w:firstLine="354" w:firstLineChars="147"/>
        <w:rPr>
          <w:rFonts w:hint="eastAsia"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7"/>
      <w:bookmarkEnd w:id="48"/>
      <w:bookmarkEnd w:id="49"/>
      <w:bookmarkEnd w:id="50"/>
      <w:bookmarkEnd w:id="51"/>
    </w:p>
    <w:p w14:paraId="70CE145A">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1.采购人信息</w:t>
      </w:r>
    </w:p>
    <w:p w14:paraId="2CEFA8C6">
      <w:pPr>
        <w:spacing w:line="380" w:lineRule="exact"/>
        <w:ind w:firstLine="424" w:firstLineChars="202"/>
        <w:rPr>
          <w:rFonts w:hint="eastAsia" w:ascii="宋体" w:hAnsi="宋体" w:eastAsia="宋体"/>
          <w:color w:val="auto"/>
          <w:szCs w:val="21"/>
          <w:highlight w:val="none"/>
          <w:lang w:eastAsia="zh-CN"/>
        </w:rPr>
      </w:pPr>
      <w:r>
        <w:rPr>
          <w:rFonts w:hint="eastAsia" w:ascii="宋体" w:hAnsi="宋体"/>
          <w:color w:val="auto"/>
          <w:szCs w:val="21"/>
          <w:highlight w:val="none"/>
        </w:rPr>
        <w:t>名称：</w:t>
      </w:r>
      <w:r>
        <w:rPr>
          <w:rFonts w:hint="eastAsia" w:ascii="宋体" w:hAnsi="宋体"/>
          <w:color w:val="auto"/>
          <w:szCs w:val="21"/>
          <w:highlight w:val="none"/>
          <w:lang w:eastAsia="zh-CN"/>
        </w:rPr>
        <w:t>永福县人民法院</w:t>
      </w:r>
    </w:p>
    <w:p w14:paraId="012A72F3">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地址：广西桂林永福县永福镇五里桥开发区</w:t>
      </w:r>
    </w:p>
    <w:p w14:paraId="54887E89">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联系方式：</w:t>
      </w:r>
      <w:bookmarkStart w:id="52" w:name="_Toc28359009"/>
      <w:bookmarkStart w:id="53" w:name="_Toc28359086"/>
      <w:r>
        <w:rPr>
          <w:rFonts w:hint="eastAsia" w:ascii="宋体" w:hAnsi="宋体"/>
          <w:color w:val="auto"/>
          <w:szCs w:val="21"/>
          <w:highlight w:val="none"/>
          <w:lang w:eastAsia="zh-CN"/>
        </w:rPr>
        <w:t>黄伟师</w:t>
      </w:r>
      <w:r>
        <w:rPr>
          <w:rFonts w:hint="eastAsia" w:ascii="宋体" w:hAnsi="宋体"/>
          <w:color w:val="auto"/>
          <w:szCs w:val="21"/>
          <w:highlight w:val="none"/>
        </w:rPr>
        <w:t xml:space="preserve">  0773-8512286</w:t>
      </w:r>
    </w:p>
    <w:p w14:paraId="136B38B2">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2.采购代理机构信息</w:t>
      </w:r>
      <w:bookmarkEnd w:id="52"/>
      <w:bookmarkEnd w:id="53"/>
    </w:p>
    <w:p w14:paraId="136ACB53">
      <w:pPr>
        <w:spacing w:line="380" w:lineRule="exact"/>
        <w:ind w:firstLine="424" w:firstLineChars="202"/>
        <w:rPr>
          <w:rFonts w:hint="eastAsia" w:ascii="宋体" w:hAnsi="宋体"/>
          <w:color w:val="auto"/>
          <w:szCs w:val="21"/>
          <w:highlight w:val="none"/>
        </w:rPr>
      </w:pPr>
      <w:bookmarkStart w:id="54" w:name="_Toc28359010"/>
      <w:bookmarkStart w:id="55" w:name="_Toc28359087"/>
      <w:r>
        <w:rPr>
          <w:rFonts w:hint="eastAsia" w:ascii="宋体" w:hAnsi="宋体"/>
          <w:color w:val="auto"/>
          <w:szCs w:val="21"/>
          <w:highlight w:val="none"/>
        </w:rPr>
        <w:t>名称：云之龙咨询集团有限公司</w:t>
      </w:r>
    </w:p>
    <w:p w14:paraId="0306EDA6">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地址：广西桂林市临桂区西城北路2号耀辉•美好家园2幢12层1号房</w:t>
      </w:r>
    </w:p>
    <w:p w14:paraId="3BD79926">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rPr>
        <w:t>0773-2887388  2887399</w:t>
      </w:r>
      <w:r>
        <w:rPr>
          <w:rFonts w:hint="eastAsia" w:ascii="宋体" w:hAnsi="宋体"/>
          <w:color w:val="auto"/>
          <w:szCs w:val="21"/>
          <w:highlight w:val="none"/>
        </w:rPr>
        <w:t xml:space="preserve">  传真：</w:t>
      </w:r>
      <w:r>
        <w:rPr>
          <w:rFonts w:ascii="宋体" w:hAnsi="宋体"/>
          <w:color w:val="auto"/>
          <w:szCs w:val="21"/>
          <w:highlight w:val="none"/>
        </w:rPr>
        <w:t>0773-2889218</w:t>
      </w:r>
    </w:p>
    <w:p w14:paraId="591B2836">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3.项目联系方式</w:t>
      </w:r>
      <w:bookmarkEnd w:id="54"/>
      <w:bookmarkEnd w:id="55"/>
    </w:p>
    <w:p w14:paraId="01E2958F">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项目联系人：李贞</w:t>
      </w:r>
      <w:r>
        <w:rPr>
          <w:rFonts w:ascii="宋体" w:hAnsi="宋体"/>
          <w:color w:val="auto"/>
          <w:szCs w:val="21"/>
          <w:highlight w:val="none"/>
        </w:rPr>
        <w:tab/>
      </w:r>
    </w:p>
    <w:p w14:paraId="6C903EAD">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rPr>
        <w:t>0773-2887388  2887399</w:t>
      </w:r>
    </w:p>
    <w:bookmarkEnd w:id="4"/>
    <w:p w14:paraId="74C167BC">
      <w:pPr>
        <w:spacing w:line="400" w:lineRule="exact"/>
        <w:jc w:val="center"/>
        <w:rPr>
          <w:rFonts w:hint="eastAsia" w:ascii="宋体" w:hAnsi="宋体"/>
          <w:color w:val="auto"/>
          <w:sz w:val="32"/>
          <w:szCs w:val="32"/>
          <w:highlight w:val="none"/>
        </w:rPr>
      </w:pPr>
    </w:p>
    <w:p w14:paraId="3AB59600">
      <w:pPr>
        <w:spacing w:line="400" w:lineRule="exact"/>
        <w:jc w:val="center"/>
        <w:rPr>
          <w:rFonts w:hint="eastAsia" w:ascii="宋体" w:hAnsi="宋体"/>
          <w:color w:val="auto"/>
          <w:sz w:val="32"/>
          <w:szCs w:val="32"/>
          <w:highlight w:val="none"/>
        </w:rPr>
      </w:pPr>
    </w:p>
    <w:p w14:paraId="63485DD5">
      <w:pPr>
        <w:spacing w:line="400" w:lineRule="exact"/>
        <w:jc w:val="center"/>
        <w:rPr>
          <w:rFonts w:hint="eastAsia" w:ascii="宋体" w:hAnsi="宋体"/>
          <w:color w:val="auto"/>
          <w:sz w:val="32"/>
          <w:szCs w:val="32"/>
          <w:highlight w:val="none"/>
        </w:rPr>
      </w:pPr>
    </w:p>
    <w:p w14:paraId="6A449A6E">
      <w:pPr>
        <w:spacing w:line="400" w:lineRule="exact"/>
        <w:jc w:val="center"/>
        <w:rPr>
          <w:rFonts w:hint="eastAsia" w:ascii="宋体" w:hAnsi="宋体"/>
          <w:color w:val="auto"/>
          <w:sz w:val="32"/>
          <w:szCs w:val="32"/>
          <w:highlight w:val="none"/>
        </w:rPr>
      </w:pPr>
    </w:p>
    <w:p w14:paraId="64E556EF">
      <w:pPr>
        <w:widowControl/>
        <w:jc w:val="left"/>
        <w:rPr>
          <w:rFonts w:hint="eastAsia" w:ascii="宋体" w:hAnsi="宋体"/>
          <w:color w:val="auto"/>
          <w:sz w:val="32"/>
          <w:szCs w:val="32"/>
          <w:highlight w:val="none"/>
        </w:rPr>
      </w:pPr>
      <w:r>
        <w:rPr>
          <w:rFonts w:ascii="宋体" w:hAnsi="宋体"/>
          <w:color w:val="auto"/>
          <w:sz w:val="32"/>
          <w:szCs w:val="32"/>
          <w:highlight w:val="none"/>
        </w:rPr>
        <w:br w:type="page"/>
      </w:r>
    </w:p>
    <w:p w14:paraId="4D44FB05">
      <w:pPr>
        <w:pStyle w:val="2"/>
        <w:spacing w:before="300" w:after="300" w:line="360" w:lineRule="auto"/>
        <w:jc w:val="center"/>
        <w:rPr>
          <w:color w:val="auto"/>
          <w:highlight w:val="none"/>
        </w:rPr>
      </w:pPr>
      <w:bookmarkStart w:id="56" w:name="_Toc74323457"/>
      <w:r>
        <w:rPr>
          <w:rFonts w:hint="eastAsia"/>
          <w:color w:val="auto"/>
          <w:highlight w:val="none"/>
        </w:rPr>
        <w:t>第二章 供应商须知</w:t>
      </w:r>
      <w:bookmarkEnd w:id="56"/>
    </w:p>
    <w:p w14:paraId="6A5ED3BE">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p w14:paraId="52EE1390">
      <w:pPr>
        <w:spacing w:line="400" w:lineRule="exact"/>
        <w:jc w:val="center"/>
        <w:rPr>
          <w:rFonts w:hint="eastAsia" w:ascii="宋体" w:hAnsi="宋体"/>
          <w:b/>
          <w:color w:val="auto"/>
          <w:sz w:val="32"/>
          <w:szCs w:val="32"/>
          <w:highlight w:val="none"/>
        </w:rPr>
      </w:pP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186E3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1271589A">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2160C4E5">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5B6D6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7C5C6B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59643783">
            <w:pPr>
              <w:spacing w:line="360" w:lineRule="auto"/>
              <w:rPr>
                <w:rFonts w:hint="eastAsia"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74B273C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7D11902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该采购项目的其他采购活动。</w:t>
            </w:r>
          </w:p>
          <w:p w14:paraId="25D4452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2.2对在“信用中国”网站（</w:t>
            </w:r>
            <w:r>
              <w:rPr>
                <w:rFonts w:ascii="宋体" w:hAnsi="宋体" w:cs="宋体"/>
                <w:color w:val="auto"/>
                <w:szCs w:val="21"/>
                <w:highlight w:val="none"/>
              </w:rPr>
              <w:t>www.creditchina.gov.cn</w:t>
            </w:r>
            <w:r>
              <w:rPr>
                <w:rFonts w:hint="eastAsia" w:ascii="宋体" w:hAnsi="宋体" w:cs="宋体"/>
                <w:color w:val="auto"/>
                <w:szCs w:val="21"/>
                <w:highlight w:val="none"/>
              </w:rPr>
              <w:t>） 、中国政府采购网（</w:t>
            </w:r>
            <w:r>
              <w:rPr>
                <w:rFonts w:ascii="宋体" w:hAnsi="宋体" w:cs="宋体"/>
                <w:color w:val="auto"/>
                <w:szCs w:val="21"/>
                <w:highlight w:val="none"/>
              </w:rPr>
              <w:t>www.ccgp.gov.cn</w:t>
            </w:r>
            <w:r>
              <w:rPr>
                <w:rFonts w:hint="eastAsia" w:ascii="宋体" w:hAnsi="宋体" w:cs="宋体"/>
                <w:color w:val="auto"/>
                <w:szCs w:val="21"/>
                <w:highlight w:val="none"/>
              </w:rPr>
              <w:t>）被列入失信被执行人、重大税收违法失信主体、政府采购严重违法失信行为记录名单及其他不符合《中华人民共和国政府采购法》第二十二条规定条件的供应商，不得参与政府采购活动。</w:t>
            </w:r>
          </w:p>
        </w:tc>
      </w:tr>
      <w:tr w14:paraId="76B6D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EB9185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6DE7F53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65E7D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024C6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14:paraId="5339A7D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本项目不接受联合体参与磋商</w:t>
            </w:r>
          </w:p>
        </w:tc>
      </w:tr>
      <w:tr w14:paraId="47459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93E195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2E5F5F9F">
            <w:pPr>
              <w:pStyle w:val="17"/>
              <w:spacing w:line="360" w:lineRule="auto"/>
              <w:rPr>
                <w:rFonts w:hint="eastAsia" w:ascii="宋体" w:hAnsi="宋体"/>
                <w:color w:val="auto"/>
                <w:highlight w:val="none"/>
              </w:rPr>
            </w:pPr>
            <w:r>
              <w:rPr>
                <w:color w:val="auto"/>
                <w:highlight w:val="none"/>
              </w:rPr>
              <w:sym w:font="Wingdings" w:char="00FE"/>
            </w:r>
            <w:r>
              <w:rPr>
                <w:rFonts w:hint="eastAsia" w:ascii="宋体" w:hAnsi="宋体"/>
                <w:color w:val="auto"/>
                <w:highlight w:val="none"/>
              </w:rPr>
              <w:t>不允许分包</w:t>
            </w:r>
          </w:p>
          <w:p w14:paraId="1BE42D02">
            <w:pPr>
              <w:pStyle w:val="17"/>
              <w:spacing w:line="360" w:lineRule="auto"/>
              <w:rPr>
                <w:rFonts w:hint="eastAsia" w:ascii="宋体" w:hAnsi="宋体"/>
                <w:color w:val="auto"/>
                <w:highlight w:val="none"/>
              </w:rPr>
            </w:pPr>
            <w:r>
              <w:rPr>
                <w:rFonts w:hint="eastAsia" w:ascii="宋体" w:hAnsi="宋体"/>
                <w:color w:val="auto"/>
                <w:highlight w:val="none"/>
              </w:rPr>
              <w:t>□允许分包</w:t>
            </w:r>
          </w:p>
          <w:p w14:paraId="1B9F5BD4">
            <w:pPr>
              <w:pStyle w:val="17"/>
              <w:spacing w:line="360" w:lineRule="auto"/>
              <w:rPr>
                <w:rFonts w:hint="eastAsia" w:ascii="宋体" w:hAnsi="宋体"/>
                <w:color w:val="auto"/>
                <w:highlight w:val="none"/>
                <w:u w:val="single"/>
              </w:rPr>
            </w:pPr>
            <w:r>
              <w:rPr>
                <w:rFonts w:hint="eastAsia" w:ascii="宋体" w:hAnsi="宋体"/>
                <w:color w:val="auto"/>
                <w:highlight w:val="none"/>
              </w:rPr>
              <w:t>分包内容：</w:t>
            </w:r>
            <w:r>
              <w:rPr>
                <w:rFonts w:hint="eastAsia" w:ascii="宋体" w:hAnsi="宋体"/>
                <w:color w:val="auto"/>
                <w:highlight w:val="none"/>
                <w:u w:val="single"/>
              </w:rPr>
              <w:t xml:space="preserve">                                     </w:t>
            </w:r>
            <w:r>
              <w:rPr>
                <w:rFonts w:hint="eastAsia" w:ascii="宋体" w:hAnsi="宋体"/>
                <w:color w:val="auto"/>
                <w:highlight w:val="none"/>
              </w:rPr>
              <w:t>。</w:t>
            </w:r>
          </w:p>
          <w:p w14:paraId="4B928D09">
            <w:pPr>
              <w:pStyle w:val="17"/>
              <w:spacing w:line="360" w:lineRule="auto"/>
              <w:rPr>
                <w:rFonts w:hint="eastAsia" w:ascii="宋体" w:hAnsi="宋体"/>
                <w:color w:val="auto"/>
                <w:highlight w:val="none"/>
                <w:u w:val="single"/>
              </w:rPr>
            </w:pPr>
            <w:r>
              <w:rPr>
                <w:rFonts w:hint="eastAsia" w:ascii="宋体" w:hAnsi="宋体"/>
                <w:color w:val="auto"/>
                <w:highlight w:val="none"/>
              </w:rPr>
              <w:t>分包金额或者比例：</w:t>
            </w:r>
            <w:r>
              <w:rPr>
                <w:rFonts w:hint="eastAsia" w:ascii="宋体" w:hAnsi="宋体"/>
                <w:color w:val="auto"/>
                <w:highlight w:val="none"/>
                <w:u w:val="single"/>
              </w:rPr>
              <w:t xml:space="preserve">                                     </w:t>
            </w:r>
            <w:r>
              <w:rPr>
                <w:rFonts w:hint="eastAsia" w:ascii="宋体" w:hAnsi="宋体"/>
                <w:color w:val="auto"/>
                <w:highlight w:val="none"/>
              </w:rPr>
              <w:t>。</w:t>
            </w:r>
          </w:p>
          <w:p w14:paraId="503974E0">
            <w:pPr>
              <w:pStyle w:val="17"/>
              <w:spacing w:line="360" w:lineRule="auto"/>
              <w:rPr>
                <w:rFonts w:hint="eastAsia" w:ascii="宋体" w:hAnsi="宋体"/>
                <w:color w:val="auto"/>
                <w:highlight w:val="none"/>
              </w:rPr>
            </w:pPr>
            <w:r>
              <w:rPr>
                <w:rFonts w:hint="eastAsia" w:ascii="宋体" w:hAnsi="宋体"/>
                <w:color w:val="auto"/>
                <w:highlight w:val="none"/>
              </w:rPr>
              <w:t>分包供应商必须具备的资质：</w:t>
            </w:r>
            <w:r>
              <w:rPr>
                <w:rFonts w:hint="eastAsia" w:ascii="宋体" w:hAnsi="宋体"/>
                <w:color w:val="auto"/>
                <w:highlight w:val="none"/>
                <w:u w:val="single"/>
              </w:rPr>
              <w:t xml:space="preserve">                                </w:t>
            </w:r>
            <w:r>
              <w:rPr>
                <w:rFonts w:hint="eastAsia" w:ascii="宋体" w:hAnsi="宋体"/>
                <w:color w:val="auto"/>
                <w:highlight w:val="none"/>
              </w:rPr>
              <w:t>。</w:t>
            </w:r>
          </w:p>
        </w:tc>
      </w:tr>
      <w:tr w14:paraId="456E1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2CD801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30B6DFDF">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72B743BA">
            <w:pPr>
              <w:pStyle w:val="17"/>
              <w:spacing w:line="360" w:lineRule="auto"/>
              <w:rPr>
                <w:rFonts w:hint="eastAsia" w:ascii="宋体" w:hAnsi="宋体"/>
                <w:color w:val="auto"/>
                <w:highlight w:val="none"/>
              </w:rPr>
            </w:pPr>
            <w:r>
              <w:rPr>
                <w:rFonts w:hint="eastAsia" w:ascii="宋体" w:hAnsi="宋体"/>
                <w:color w:val="auto"/>
                <w:highlight w:val="none"/>
              </w:rPr>
              <w:t>1.供应商为法人或者其他组织的提供其营业执照等证明文件复印件（如营业执照或者事业单位法人证书或者执业许可证或者登记证书等）；（</w:t>
            </w:r>
            <w:r>
              <w:rPr>
                <w:rFonts w:hint="eastAsia" w:ascii="宋体" w:hAnsi="宋体"/>
                <w:b/>
                <w:color w:val="auto"/>
                <w:highlight w:val="none"/>
              </w:rPr>
              <w:t>必须提供，否则响应文件按无效处理</w:t>
            </w:r>
            <w:r>
              <w:rPr>
                <w:rFonts w:hint="eastAsia" w:ascii="宋体" w:hAnsi="宋体"/>
                <w:color w:val="auto"/>
                <w:highlight w:val="none"/>
              </w:rPr>
              <w:t>）</w:t>
            </w:r>
          </w:p>
          <w:p w14:paraId="7BAE2EFA">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月以来任意一个月的依法缴纳税收的</w:t>
            </w:r>
            <w:r>
              <w:rPr>
                <w:rFonts w:hint="eastAsia" w:ascii="宋体" w:hAnsi="宋体" w:cs="宋体"/>
                <w:color w:val="auto"/>
                <w:szCs w:val="21"/>
                <w:highlight w:val="none"/>
                <w:lang w:eastAsia="zh-CN"/>
              </w:rPr>
              <w:t>证明材料</w:t>
            </w:r>
            <w:r>
              <w:rPr>
                <w:rFonts w:hint="eastAsia" w:ascii="宋体" w:hAnsi="宋体" w:cs="宋体"/>
                <w:color w:val="auto"/>
                <w:szCs w:val="21"/>
                <w:highlight w:val="none"/>
              </w:rPr>
              <w:t>复印件；</w:t>
            </w:r>
            <w:r>
              <w:rPr>
                <w:rFonts w:hint="eastAsia"/>
                <w:color w:val="auto"/>
                <w:highlight w:val="none"/>
              </w:rPr>
              <w:t>依法免税的</w:t>
            </w:r>
            <w:r>
              <w:rPr>
                <w:rFonts w:hint="eastAsia"/>
                <w:color w:val="auto"/>
                <w:highlight w:val="none"/>
                <w:lang w:eastAsia="zh-CN"/>
              </w:rPr>
              <w:t>供应商</w:t>
            </w:r>
            <w:r>
              <w:rPr>
                <w:rFonts w:hint="eastAsia"/>
                <w:color w:val="auto"/>
                <w:highlight w:val="none"/>
              </w:rPr>
              <w:t>，必须提供</w:t>
            </w:r>
            <w:r>
              <w:rPr>
                <w:rFonts w:hint="eastAsia"/>
                <w:color w:val="auto"/>
                <w:highlight w:val="none"/>
                <w:lang w:eastAsia="zh-CN"/>
              </w:rPr>
              <w:t>符合免税条件的证明材料</w:t>
            </w:r>
            <w:r>
              <w:rPr>
                <w:rFonts w:hint="eastAsia"/>
                <w:color w:val="auto"/>
                <w:highlight w:val="none"/>
              </w:rPr>
              <w:t>。</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w:t>
            </w:r>
            <w:r>
              <w:rPr>
                <w:rFonts w:hint="eastAsia" w:ascii="宋体" w:hAnsi="宋体" w:cs="宋体"/>
                <w:color w:val="auto"/>
                <w:szCs w:val="21"/>
                <w:highlight w:val="none"/>
                <w:lang w:eastAsia="zh-CN"/>
              </w:rPr>
              <w:t>则无需提供</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644D2920">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月以来任意一个月的依法缴纳社会保障资金的缴费</w:t>
            </w:r>
            <w:r>
              <w:rPr>
                <w:rFonts w:hint="eastAsia" w:ascii="宋体" w:hAnsi="宋体" w:cs="宋体"/>
                <w:color w:val="auto"/>
                <w:szCs w:val="21"/>
                <w:highlight w:val="none"/>
                <w:lang w:eastAsia="zh-CN"/>
              </w:rPr>
              <w:t>证明材料</w:t>
            </w:r>
            <w:r>
              <w:rPr>
                <w:rFonts w:hint="eastAsia" w:ascii="宋体" w:hAnsi="宋体" w:cs="宋体"/>
                <w:color w:val="auto"/>
                <w:szCs w:val="21"/>
                <w:highlight w:val="none"/>
              </w:rPr>
              <w:t>（专用收据</w:t>
            </w:r>
            <w:r>
              <w:rPr>
                <w:rFonts w:hint="eastAsia" w:ascii="宋体" w:hAnsi="宋体" w:cs="宋体"/>
                <w:color w:val="auto"/>
                <w:szCs w:val="21"/>
                <w:highlight w:val="none"/>
                <w:lang w:eastAsia="zh-CN"/>
              </w:rPr>
              <w:t>、</w:t>
            </w:r>
            <w:r>
              <w:rPr>
                <w:rFonts w:hint="eastAsia" w:ascii="宋体" w:hAnsi="宋体" w:cs="宋体"/>
                <w:color w:val="auto"/>
                <w:szCs w:val="21"/>
                <w:highlight w:val="none"/>
              </w:rPr>
              <w:t>社会保险缴纳清单</w:t>
            </w:r>
            <w:r>
              <w:rPr>
                <w:rFonts w:hint="eastAsia" w:ascii="宋体" w:hAnsi="宋体" w:cs="宋体"/>
                <w:color w:val="auto"/>
                <w:szCs w:val="21"/>
                <w:highlight w:val="none"/>
                <w:lang w:eastAsia="zh-CN"/>
              </w:rPr>
              <w:t>或社保部门的证明</w:t>
            </w:r>
            <w:r>
              <w:rPr>
                <w:rFonts w:hint="eastAsia" w:ascii="宋体" w:hAnsi="宋体" w:cs="宋体"/>
                <w:color w:val="auto"/>
                <w:szCs w:val="21"/>
                <w:highlight w:val="none"/>
              </w:rPr>
              <w:t>）复印件；</w:t>
            </w:r>
            <w:r>
              <w:rPr>
                <w:rFonts w:hint="eastAsia"/>
                <w:color w:val="auto"/>
                <w:highlight w:val="none"/>
              </w:rPr>
              <w:t>依法不需要缴纳社会保障资金的</w:t>
            </w:r>
            <w:r>
              <w:rPr>
                <w:rFonts w:hint="eastAsia"/>
                <w:color w:val="auto"/>
                <w:highlight w:val="none"/>
                <w:lang w:eastAsia="zh-CN"/>
              </w:rPr>
              <w:t>供应商</w:t>
            </w:r>
            <w:r>
              <w:rPr>
                <w:rFonts w:hint="eastAsia"/>
                <w:color w:val="auto"/>
                <w:highlight w:val="none"/>
              </w:rPr>
              <w:t>，必须提供相应文件证明不需要缴纳社会保障资金。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w:t>
            </w:r>
            <w:r>
              <w:rPr>
                <w:rFonts w:hint="eastAsia" w:ascii="宋体" w:hAnsi="宋体" w:cs="宋体"/>
                <w:color w:val="auto"/>
                <w:szCs w:val="21"/>
                <w:highlight w:val="none"/>
                <w:lang w:eastAsia="zh-CN"/>
              </w:rPr>
              <w:t>则无需提供</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7F2F97A6">
            <w:pPr>
              <w:spacing w:line="360" w:lineRule="auto"/>
              <w:contextualSpacing/>
              <w:jc w:val="left"/>
              <w:rPr>
                <w:rFonts w:hint="eastAsia" w:ascii="宋体" w:hAnsi="宋体" w:cs="宋体"/>
                <w:b/>
                <w:color w:val="auto"/>
                <w:szCs w:val="21"/>
                <w:highlight w:val="none"/>
              </w:rPr>
            </w:pPr>
            <w:r>
              <w:rPr>
                <w:rFonts w:hint="eastAsia" w:ascii="宋体" w:hAnsi="宋体" w:cs="宋体"/>
                <w:color w:val="auto"/>
                <w:szCs w:val="21"/>
                <w:highlight w:val="none"/>
              </w:rPr>
              <w:t>4.供应商</w:t>
            </w:r>
            <w:r>
              <w:rPr>
                <w:rFonts w:hint="eastAsia"/>
                <w:color w:val="auto"/>
                <w:szCs w:val="21"/>
                <w:highlight w:val="none"/>
              </w:rPr>
              <w:t>财务状况报告</w:t>
            </w:r>
            <w:r>
              <w:rPr>
                <w:rFonts w:hint="eastAsia" w:ascii="宋体" w:hAnsi="宋体" w:cs="宋体"/>
                <w:color w:val="auto"/>
                <w:szCs w:val="21"/>
                <w:highlight w:val="none"/>
              </w:rPr>
              <w:t>【2023年度</w:t>
            </w:r>
            <w:r>
              <w:rPr>
                <w:rFonts w:hint="eastAsia" w:ascii="宋体" w:hAnsi="宋体" w:cs="宋体"/>
                <w:color w:val="auto"/>
                <w:szCs w:val="21"/>
                <w:highlight w:val="none"/>
                <w:lang w:eastAsia="zh-CN"/>
              </w:rPr>
              <w:t>或</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年度经会计师事务所或审计机构审计的财务状况报告复印件（包括资产负债表、现金流量表、利润表），</w:t>
            </w:r>
            <w:r>
              <w:rPr>
                <w:rFonts w:hint="eastAsia" w:asciiTheme="minorEastAsia" w:hAnsiTheme="minorEastAsia" w:eastAsiaTheme="minorEastAsia"/>
                <w:color w:val="auto"/>
                <w:szCs w:val="21"/>
                <w:highlight w:val="none"/>
              </w:rPr>
              <w:t>或者20</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年以来银行出具的资信证明，或者2</w:t>
            </w:r>
            <w:r>
              <w:rPr>
                <w:rFonts w:asciiTheme="minorEastAsia" w:hAnsiTheme="minorEastAsia" w:eastAsiaTheme="minorEastAsia"/>
                <w:color w:val="auto"/>
                <w:szCs w:val="21"/>
                <w:highlight w:val="none"/>
              </w:rPr>
              <w:t>02</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年</w:t>
            </w:r>
            <w:r>
              <w:rPr>
                <w:rFonts w:hint="eastAsia"/>
                <w:color w:val="auto"/>
                <w:szCs w:val="21"/>
                <w:highlight w:val="none"/>
              </w:rPr>
              <w:t>以来中国人民银行征信中心出具的信用报告；供应商属于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或银行出具的资信证明或者中国人民银行征信中心出具的企业信用报告】</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，否则响应文件按无效处理</w:t>
            </w:r>
            <w:r>
              <w:rPr>
                <w:rFonts w:hint="eastAsia" w:ascii="宋体" w:hAnsi="宋体" w:cs="宋体"/>
                <w:bCs/>
                <w:color w:val="auto"/>
                <w:szCs w:val="21"/>
                <w:highlight w:val="none"/>
              </w:rPr>
              <w:t>）</w:t>
            </w:r>
          </w:p>
          <w:p w14:paraId="5FD9B22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D93EC37">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6.竞标声明（格式后附）；（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7514B0F">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olor w:val="auto"/>
                <w:szCs w:val="21"/>
                <w:highlight w:val="none"/>
              </w:rPr>
              <w:t>本项目的特定资格要求</w:t>
            </w:r>
            <w:r>
              <w:rPr>
                <w:rFonts w:hint="eastAsia" w:ascii="宋体" w:hAnsi="宋体"/>
                <w:color w:val="auto"/>
                <w:szCs w:val="21"/>
                <w:highlight w:val="none"/>
                <w:lang w:eastAsia="zh-CN"/>
              </w:rPr>
              <w:t>的证明材料：</w:t>
            </w:r>
          </w:p>
          <w:p w14:paraId="345B1F93">
            <w:pPr>
              <w:snapToGrid w:val="0"/>
              <w:spacing w:line="360" w:lineRule="auto"/>
              <w:jc w:val="left"/>
              <w:rPr>
                <w:rFonts w:hint="eastAsia" w:ascii="宋体" w:hAnsi="宋体" w:cs="宋体"/>
                <w:b/>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供应商有效的</w:t>
            </w:r>
            <w:r>
              <w:rPr>
                <w:rFonts w:hint="eastAsia" w:asciiTheme="majorEastAsia" w:hAnsiTheme="majorEastAsia" w:eastAsiaTheme="majorEastAsia"/>
                <w:color w:val="auto"/>
                <w:szCs w:val="20"/>
                <w:highlight w:val="none"/>
              </w:rPr>
              <w:t>建筑工程施工总承包三级以上（含三级）</w:t>
            </w:r>
            <w:r>
              <w:rPr>
                <w:rFonts w:hint="eastAsia" w:ascii="宋体" w:hAnsi="宋体"/>
                <w:color w:val="auto"/>
                <w:szCs w:val="21"/>
                <w:highlight w:val="none"/>
              </w:rPr>
              <w:t>资质</w:t>
            </w:r>
            <w:r>
              <w:rPr>
                <w:rFonts w:hint="eastAsia" w:ascii="宋体" w:hAnsi="宋体" w:cs="宋体"/>
                <w:color w:val="auto"/>
                <w:szCs w:val="21"/>
                <w:highlight w:val="none"/>
              </w:rPr>
              <w:t>证书复印件；</w:t>
            </w:r>
            <w:r>
              <w:rPr>
                <w:rFonts w:hint="eastAsia" w:ascii="宋体" w:hAnsi="宋体" w:cs="宋体"/>
                <w:b/>
                <w:color w:val="auto"/>
                <w:szCs w:val="21"/>
                <w:highlight w:val="none"/>
              </w:rPr>
              <w:t>（必须提供，否则响应文件按无效处理）</w:t>
            </w:r>
          </w:p>
          <w:p w14:paraId="26D72930">
            <w:pPr>
              <w:snapToGrid w:val="0"/>
              <w:spacing w:line="360" w:lineRule="auto"/>
              <w:jc w:val="left"/>
              <w:rPr>
                <w:rFonts w:hint="eastAsia" w:ascii="宋体" w:hAnsi="宋体" w:cs="宋体"/>
                <w:b/>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供应商的有效的安全生产许可证复印件；</w:t>
            </w:r>
            <w:r>
              <w:rPr>
                <w:rFonts w:hint="eastAsia" w:ascii="宋体" w:hAnsi="宋体" w:cs="宋体"/>
                <w:b/>
                <w:color w:val="auto"/>
                <w:szCs w:val="21"/>
                <w:highlight w:val="none"/>
              </w:rPr>
              <w:t>（必须提供，否则响应文件按无效处理）</w:t>
            </w:r>
          </w:p>
          <w:p w14:paraId="2753E7A9">
            <w:pPr>
              <w:snapToGrid w:val="0"/>
              <w:spacing w:line="360" w:lineRule="auto"/>
              <w:jc w:val="left"/>
              <w:rPr>
                <w:rFonts w:hint="eastAsia" w:ascii="宋体" w:hAnsi="宋体" w:cs="宋体"/>
                <w:b/>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供应商在人员、设备、资金等方面具有相应履约能力的承诺函；（格式后附）</w:t>
            </w:r>
            <w:r>
              <w:rPr>
                <w:rFonts w:hint="eastAsia" w:ascii="宋体" w:hAnsi="宋体" w:cs="宋体"/>
                <w:b/>
                <w:color w:val="auto"/>
                <w:szCs w:val="21"/>
                <w:highlight w:val="none"/>
              </w:rPr>
              <w:t>（必须提供，否则响应文件按无效处理）</w:t>
            </w:r>
          </w:p>
          <w:p w14:paraId="58EB1456">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.本项目专门面向中小企业采购, 供应商须满足《政府采购促进中小企业发展管理办法》(财库〔2020〕46号)第二条规定。监狱企业、残疾人福利单位视同小型、微型企业。供应商根据自身情况，必须提供以下任一证明材料：</w:t>
            </w:r>
            <w:r>
              <w:rPr>
                <w:rFonts w:hint="eastAsia" w:ascii="宋体" w:hAnsi="宋体" w:cs="宋体"/>
                <w:b/>
                <w:bCs/>
                <w:color w:val="auto"/>
                <w:szCs w:val="21"/>
                <w:highlight w:val="none"/>
              </w:rPr>
              <w:t>（必须提供，否则响应文件按无效处理）</w:t>
            </w:r>
          </w:p>
          <w:p w14:paraId="4D780E31">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①供应商如为符合政策要求的中小企业且承接本项目工程的，提供《中小企业声明函》；</w:t>
            </w:r>
          </w:p>
          <w:p w14:paraId="11C55DAC">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②供应商如属于监狱企业且承接本项目工程的，提供由省级以上监狱管理局、戒毒管理局(含新疆生产建设兵团)出具的属于监狱企业的证明文件；</w:t>
            </w:r>
          </w:p>
          <w:p w14:paraId="5BA74A3A">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③供应商如属于符合条件的残疾人福利性单位且承接本项目工程的，提供《残疾人福利性单位声明函》（并对声明的真实性负责）。</w:t>
            </w:r>
          </w:p>
          <w:p w14:paraId="3BD77C7F">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.除磋商文件规定必须提供以外，供应商认为需要提供的其他证明材料；</w:t>
            </w:r>
          </w:p>
          <w:p w14:paraId="54CFDD6A">
            <w:pPr>
              <w:snapToGrid w:val="0"/>
              <w:spacing w:line="360" w:lineRule="auto"/>
              <w:jc w:val="left"/>
              <w:rPr>
                <w:rFonts w:hint="eastAsia" w:ascii="宋体" w:hAnsi="宋体"/>
                <w:b/>
                <w:color w:val="auto"/>
                <w:highlight w:val="none"/>
              </w:rPr>
            </w:pPr>
            <w:r>
              <w:rPr>
                <w:rFonts w:hint="eastAsia" w:ascii="宋体" w:hAnsi="宋体" w:cs="宋体"/>
                <w:b/>
                <w:color w:val="auto"/>
                <w:szCs w:val="21"/>
                <w:highlight w:val="none"/>
              </w:rPr>
              <w:t>注：以上标明“必须提供”的材料，必须加盖供应商</w:t>
            </w:r>
            <w:r>
              <w:rPr>
                <w:rFonts w:hint="eastAsia"/>
                <w:b/>
                <w:color w:val="auto"/>
                <w:highlight w:val="none"/>
              </w:rPr>
              <w:t>电子签章</w:t>
            </w:r>
            <w:r>
              <w:rPr>
                <w:rFonts w:hint="eastAsia" w:ascii="宋体" w:hAnsi="宋体" w:cs="宋体"/>
                <w:b/>
                <w:color w:val="auto"/>
                <w:szCs w:val="21"/>
                <w:highlight w:val="none"/>
              </w:rPr>
              <w:t>，</w:t>
            </w:r>
            <w:r>
              <w:rPr>
                <w:rFonts w:hint="eastAsia" w:ascii="宋体" w:hAnsi="宋体" w:cs="Courier New"/>
                <w:b/>
                <w:color w:val="auto"/>
                <w:szCs w:val="21"/>
                <w:highlight w:val="none"/>
              </w:rPr>
              <w:t>必须提供的材料在第六章“响应文件格式”中有要求法定代表人或委托代理人签字（或者电子签名）的，必须由法定代表人或委托代理人签字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p>
        </w:tc>
      </w:tr>
      <w:tr w14:paraId="24310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C848E5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7454F4A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报价文件</w:t>
            </w:r>
          </w:p>
          <w:p w14:paraId="7A3B414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1.竞标函及竞标函附录（格式后附）；（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4E431B4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2.已标价工程量清单；（</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7F7A435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3.供应商认为需要提供的其他有关资料。</w:t>
            </w:r>
          </w:p>
          <w:p w14:paraId="10764490">
            <w:pPr>
              <w:snapToGrid w:val="0"/>
              <w:spacing w:line="360" w:lineRule="auto"/>
              <w:ind w:firstLine="8" w:firstLineChars="4"/>
              <w:jc w:val="left"/>
              <w:rPr>
                <w:b/>
                <w:color w:val="auto"/>
                <w:highlight w:val="none"/>
              </w:rPr>
            </w:pPr>
            <w:r>
              <w:rPr>
                <w:rFonts w:hint="eastAsia" w:ascii="宋体" w:hAnsi="宋体" w:cs="宋体"/>
                <w:b/>
                <w:color w:val="auto"/>
                <w:szCs w:val="21"/>
                <w:highlight w:val="none"/>
              </w:rPr>
              <w:t>注：</w:t>
            </w:r>
            <w:r>
              <w:rPr>
                <w:rFonts w:hint="eastAsia" w:ascii="宋体" w:hAnsi="宋体" w:cs="Courier New"/>
                <w:b/>
                <w:color w:val="auto"/>
                <w:szCs w:val="21"/>
                <w:highlight w:val="none"/>
              </w:rPr>
              <w:t>以上标明“必须提供”的材料，必须加盖供应商电子签章，必须提供的材料在第六章“响应文件格式”中有要求法定代表人或委托代理人签字（或者电子签名）的，必须由法定代表人或委托代理人签字（或者电子签名），否则响应文件按无效处理。</w:t>
            </w:r>
          </w:p>
        </w:tc>
      </w:tr>
      <w:tr w14:paraId="08609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04315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23E68EFC">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商务技术文件</w:t>
            </w:r>
          </w:p>
          <w:p w14:paraId="5F0816F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466BFA6">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04D3380C">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p w14:paraId="18743EAD">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.技术及其他要求、商务要求响应承诺表（格式后附）；（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E952E1E">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.项目管理机构配备情况表（含项目经理、技术负责人、专职安全生产管理人员、施工员、质量员、材料员的基本情况，并附以下证明材料：①项目经理具有</w:t>
            </w:r>
            <w:r>
              <w:rPr>
                <w:rFonts w:hint="eastAsia" w:ascii="宋体" w:hAnsi="宋体" w:cs="宋体"/>
                <w:bCs/>
                <w:color w:val="auto"/>
                <w:szCs w:val="21"/>
                <w:highlight w:val="none"/>
              </w:rPr>
              <w:t>建筑工程</w:t>
            </w:r>
            <w:r>
              <w:rPr>
                <w:rFonts w:hint="eastAsia" w:ascii="宋体" w:hAnsi="宋体" w:cs="宋体"/>
                <w:color w:val="auto"/>
                <w:szCs w:val="21"/>
                <w:highlight w:val="none"/>
              </w:rPr>
              <w:t>专业二级以上（含二级）注册建造师执业资格证书复印件及有效的安全生产考核合格证书复印件（B类）；②技术负责人的与本项目相关的</w:t>
            </w:r>
            <w:r>
              <w:rPr>
                <w:rFonts w:hint="eastAsia" w:ascii="宋体" w:hAnsi="宋体" w:cs="宋体"/>
                <w:color w:val="auto"/>
                <w:szCs w:val="21"/>
                <w:highlight w:val="none"/>
                <w:lang w:eastAsia="zh-CN"/>
              </w:rPr>
              <w:t>建筑</w:t>
            </w:r>
            <w:r>
              <w:rPr>
                <w:rFonts w:hint="eastAsia" w:ascii="宋体" w:hAnsi="宋体" w:cs="宋体"/>
                <w:color w:val="auto"/>
                <w:szCs w:val="21"/>
                <w:highlight w:val="none"/>
              </w:rPr>
              <w:t>工程专业中级及以上职称证书复印件；③专职安全生产管理人员须具有安全生产考核合格证书复印件（C类）；④施工员、质量员、材料员须具有施工现场专业人员职业培训合格证书复印件；⑤以上项目管理机构人员的身份证复印件及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月以来任意一个月供应商为以上项目管理机构人员交纳的社保证明材料复印件（如聘请的员工自签订劳动合同之日起不足1个月的，则提供有效的劳动合同复印件）（格式后附）；（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 xml:space="preserve">） </w:t>
            </w:r>
          </w:p>
          <w:p w14:paraId="7C17025F">
            <w:pPr>
              <w:spacing w:line="360" w:lineRule="auto"/>
              <w:rPr>
                <w:rFonts w:hint="eastAsia" w:ascii="宋体" w:hAnsi="宋体" w:cs="宋体"/>
                <w:b/>
                <w:color w:val="auto"/>
                <w:szCs w:val="21"/>
                <w:highlight w:val="none"/>
              </w:rPr>
            </w:pPr>
            <w:r>
              <w:rPr>
                <w:rFonts w:hint="eastAsia" w:ascii="宋体" w:hAnsi="宋体"/>
                <w:color w:val="auto"/>
                <w:szCs w:val="21"/>
                <w:highlight w:val="none"/>
                <w:lang w:val="en-US" w:eastAsia="zh-CN"/>
              </w:rPr>
              <w:t>6</w:t>
            </w:r>
            <w:r>
              <w:rPr>
                <w:rFonts w:hint="eastAsia" w:ascii="宋体" w:hAnsi="宋体"/>
                <w:b/>
                <w:color w:val="auto"/>
                <w:szCs w:val="21"/>
                <w:highlight w:val="none"/>
              </w:rPr>
              <w:t>.</w:t>
            </w:r>
            <w:r>
              <w:rPr>
                <w:rFonts w:hint="eastAsia" w:ascii="宋体" w:hAnsi="宋体"/>
                <w:color w:val="auto"/>
                <w:szCs w:val="21"/>
                <w:highlight w:val="none"/>
              </w:rPr>
              <w:t>供应商关于拟派项目经理的承诺书</w:t>
            </w:r>
            <w:r>
              <w:rPr>
                <w:rFonts w:hint="eastAsia" w:ascii="宋体" w:hAnsi="宋体" w:cs="宋体"/>
                <w:color w:val="auto"/>
                <w:szCs w:val="21"/>
                <w:highlight w:val="none"/>
              </w:rPr>
              <w:t>（格式后附）；</w:t>
            </w:r>
            <w:r>
              <w:rPr>
                <w:rFonts w:hint="eastAsia" w:ascii="宋体" w:hAnsi="宋体" w:cs="宋体"/>
                <w:b/>
                <w:color w:val="auto"/>
                <w:szCs w:val="21"/>
                <w:highlight w:val="none"/>
              </w:rPr>
              <w:t xml:space="preserve">（必须提供，否则响应文件按无效处理） </w:t>
            </w:r>
          </w:p>
          <w:p w14:paraId="19C2EFAC">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.农民工工资保证金交纳与使用承诺书（格式后附）；</w:t>
            </w:r>
            <w:r>
              <w:rPr>
                <w:rFonts w:hint="eastAsia" w:ascii="宋体" w:hAnsi="宋体" w:cs="宋体"/>
                <w:b/>
                <w:color w:val="auto"/>
                <w:szCs w:val="21"/>
                <w:highlight w:val="none"/>
              </w:rPr>
              <w:t xml:space="preserve">（必须提供，否则响应文件按无效处理） </w:t>
            </w:r>
          </w:p>
          <w:p w14:paraId="66716862">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ascii="宋体" w:hAnsi="宋体" w:cs="宋体"/>
                <w:color w:val="auto"/>
                <w:szCs w:val="21"/>
                <w:highlight w:val="none"/>
              </w:rPr>
              <w:t>.</w:t>
            </w:r>
            <w:r>
              <w:rPr>
                <w:rFonts w:hint="eastAsia" w:ascii="宋体" w:hAnsi="宋体" w:cs="宋体"/>
                <w:color w:val="auto"/>
                <w:szCs w:val="21"/>
                <w:highlight w:val="none"/>
              </w:rPr>
              <w:t>施工组织设计（</w:t>
            </w:r>
            <w:r>
              <w:rPr>
                <w:rFonts w:hint="eastAsia"/>
                <w:color w:val="auto"/>
                <w:highlight w:val="none"/>
              </w:rPr>
              <w:t>包括但不限于：①</w:t>
            </w:r>
            <w:r>
              <w:rPr>
                <w:rFonts w:hint="eastAsia" w:cs="宋体" w:asciiTheme="majorEastAsia" w:hAnsiTheme="majorEastAsia" w:eastAsiaTheme="majorEastAsia"/>
                <w:color w:val="auto"/>
                <w:spacing w:val="-2"/>
                <w:highlight w:val="none"/>
              </w:rPr>
              <w:t>主要</w:t>
            </w:r>
            <w:r>
              <w:rPr>
                <w:rFonts w:hint="eastAsia" w:cs="宋体" w:asciiTheme="majorEastAsia" w:hAnsiTheme="majorEastAsia" w:eastAsiaTheme="majorEastAsia"/>
                <w:color w:val="auto"/>
                <w:spacing w:val="-1"/>
                <w:highlight w:val="none"/>
              </w:rPr>
              <w:t>施工方</w:t>
            </w:r>
            <w:r>
              <w:rPr>
                <w:rFonts w:hint="eastAsia" w:cs="宋体" w:asciiTheme="majorEastAsia" w:hAnsiTheme="majorEastAsia" w:eastAsiaTheme="majorEastAsia"/>
                <w:color w:val="auto"/>
                <w:spacing w:val="7"/>
                <w:highlight w:val="none"/>
              </w:rPr>
              <w:t>法</w:t>
            </w:r>
            <w:r>
              <w:rPr>
                <w:rFonts w:hint="eastAsia"/>
                <w:color w:val="auto"/>
                <w:highlight w:val="none"/>
              </w:rPr>
              <w:t>；②</w:t>
            </w:r>
            <w:r>
              <w:rPr>
                <w:rFonts w:hint="eastAsia" w:ascii="宋体" w:hAnsi="宋体" w:cs="宋体"/>
                <w:color w:val="auto"/>
                <w:kern w:val="0"/>
                <w:highlight w:val="none"/>
              </w:rPr>
              <w:t>拟投入的主要物资计划</w:t>
            </w:r>
            <w:r>
              <w:rPr>
                <w:rFonts w:hint="eastAsia"/>
                <w:color w:val="auto"/>
                <w:highlight w:val="none"/>
              </w:rPr>
              <w:t>；③</w:t>
            </w:r>
            <w:r>
              <w:rPr>
                <w:rFonts w:hint="eastAsia" w:cs="宋体" w:asciiTheme="majorEastAsia" w:hAnsiTheme="majorEastAsia" w:eastAsiaTheme="majorEastAsia"/>
                <w:color w:val="auto"/>
                <w:spacing w:val="-2"/>
                <w:highlight w:val="none"/>
              </w:rPr>
              <w:t>劳动力安排</w:t>
            </w:r>
            <w:r>
              <w:rPr>
                <w:rFonts w:hint="eastAsia" w:cs="宋体" w:asciiTheme="majorEastAsia" w:hAnsiTheme="majorEastAsia" w:eastAsiaTheme="majorEastAsia"/>
                <w:color w:val="auto"/>
                <w:spacing w:val="5"/>
                <w:highlight w:val="none"/>
              </w:rPr>
              <w:t>计划</w:t>
            </w:r>
            <w:r>
              <w:rPr>
                <w:rFonts w:hint="eastAsia"/>
                <w:color w:val="auto"/>
                <w:highlight w:val="none"/>
              </w:rPr>
              <w:t>；④</w:t>
            </w:r>
            <w:r>
              <w:rPr>
                <w:rFonts w:hint="eastAsia" w:cs="宋体" w:asciiTheme="majorEastAsia" w:hAnsiTheme="majorEastAsia" w:eastAsiaTheme="majorEastAsia"/>
                <w:color w:val="auto"/>
                <w:spacing w:val="-1"/>
                <w:highlight w:val="none"/>
              </w:rPr>
              <w:t>确保工程质量的技术组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olor w:val="auto"/>
                <w:highlight w:val="none"/>
              </w:rPr>
              <w:t>；⑤</w:t>
            </w:r>
            <w:r>
              <w:rPr>
                <w:rFonts w:hint="eastAsia" w:cs="宋体" w:asciiTheme="majorEastAsia" w:hAnsiTheme="majorEastAsia" w:eastAsiaTheme="majorEastAsia"/>
                <w:color w:val="auto"/>
                <w:spacing w:val="-1"/>
                <w:highlight w:val="none"/>
              </w:rPr>
              <w:t>确保安全生产的技术组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olor w:val="auto"/>
                <w:highlight w:val="none"/>
              </w:rPr>
              <w:t>；⑥</w:t>
            </w:r>
            <w:r>
              <w:rPr>
                <w:rFonts w:hint="eastAsia" w:cs="宋体" w:asciiTheme="majorEastAsia" w:hAnsiTheme="majorEastAsia" w:eastAsiaTheme="majorEastAsia"/>
                <w:color w:val="auto"/>
                <w:spacing w:val="-1"/>
                <w:highlight w:val="none"/>
              </w:rPr>
              <w:t>确保工期的技术组织</w:t>
            </w:r>
            <w:r>
              <w:rPr>
                <w:rFonts w:hint="eastAsia" w:cs="宋体" w:asciiTheme="majorEastAsia" w:hAnsiTheme="majorEastAsia" w:eastAsiaTheme="majorEastAsia"/>
                <w:color w:val="auto"/>
                <w:highlight w:val="none"/>
              </w:rPr>
              <w:t>措</w:t>
            </w:r>
            <w:r>
              <w:rPr>
                <w:rFonts w:hint="eastAsia" w:cs="宋体" w:asciiTheme="majorEastAsia" w:hAnsiTheme="majorEastAsia" w:eastAsiaTheme="majorEastAsia"/>
                <w:color w:val="auto"/>
                <w:spacing w:val="7"/>
                <w:highlight w:val="none"/>
              </w:rPr>
              <w:t>施</w:t>
            </w:r>
            <w:r>
              <w:rPr>
                <w:rFonts w:hint="eastAsia"/>
                <w:color w:val="auto"/>
                <w:highlight w:val="none"/>
              </w:rPr>
              <w:t>；⑦</w:t>
            </w:r>
            <w:r>
              <w:rPr>
                <w:rFonts w:hint="eastAsia" w:cs="宋体" w:asciiTheme="minorEastAsia" w:hAnsiTheme="minorEastAsia" w:eastAsiaTheme="minorEastAsia"/>
                <w:bCs/>
                <w:color w:val="auto"/>
                <w:szCs w:val="21"/>
                <w:highlight w:val="none"/>
              </w:rPr>
              <w:t>关键施工技术、工艺及工程实施的重点、难点和解决方案</w:t>
            </w:r>
            <w:r>
              <w:rPr>
                <w:rFonts w:hint="eastAsia" w:ascii="宋体" w:hAnsi="宋体" w:cs="宋体"/>
                <w:color w:val="auto"/>
                <w:szCs w:val="21"/>
                <w:highlight w:val="none"/>
              </w:rPr>
              <w:t>）（格式自拟）；</w:t>
            </w:r>
          </w:p>
          <w:p w14:paraId="4B2CDDE5">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r>
              <w:rPr>
                <w:rFonts w:hint="eastAsia" w:cs="Courier New" w:asciiTheme="majorEastAsia" w:hAnsiTheme="majorEastAsia" w:eastAsiaTheme="majorEastAsia"/>
                <w:b w:val="0"/>
                <w:bCs/>
                <w:color w:val="auto"/>
                <w:szCs w:val="21"/>
                <w:highlight w:val="none"/>
                <w:lang w:eastAsia="zh-CN"/>
              </w:rPr>
              <w:t>工程保修服务保障承诺函</w:t>
            </w:r>
            <w:r>
              <w:rPr>
                <w:rFonts w:hint="eastAsia" w:ascii="宋体" w:hAnsi="宋体" w:cs="宋体"/>
                <w:color w:val="auto"/>
                <w:szCs w:val="21"/>
                <w:highlight w:val="none"/>
              </w:rPr>
              <w:t>（格式后附）</w:t>
            </w:r>
            <w:r>
              <w:rPr>
                <w:rFonts w:hint="eastAsia" w:ascii="宋体" w:hAnsi="宋体" w:cs="宋体"/>
                <w:color w:val="auto"/>
                <w:szCs w:val="21"/>
                <w:highlight w:val="none"/>
                <w:lang w:eastAsia="zh-CN"/>
              </w:rPr>
              <w:t>；</w:t>
            </w:r>
          </w:p>
          <w:p w14:paraId="27BE5BB5">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.供应商认为需要提供的其他有关资料。</w:t>
            </w:r>
          </w:p>
          <w:p w14:paraId="4CD0FC01">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注：以上标明“必须提供”的材料，必须加盖供应商</w:t>
            </w:r>
            <w:r>
              <w:rPr>
                <w:rFonts w:hint="eastAsia"/>
                <w:b/>
                <w:color w:val="auto"/>
                <w:highlight w:val="none"/>
              </w:rPr>
              <w:t>电子签章</w:t>
            </w:r>
            <w:r>
              <w:rPr>
                <w:rFonts w:hint="eastAsia" w:ascii="宋体" w:hAnsi="宋体" w:cs="宋体"/>
                <w:b/>
                <w:color w:val="auto"/>
                <w:szCs w:val="21"/>
                <w:highlight w:val="none"/>
              </w:rPr>
              <w:t>，</w:t>
            </w:r>
            <w:r>
              <w:rPr>
                <w:rFonts w:hint="eastAsia" w:ascii="宋体" w:hAnsi="宋体" w:cs="Courier New"/>
                <w:b/>
                <w:color w:val="auto"/>
                <w:szCs w:val="21"/>
                <w:highlight w:val="none"/>
              </w:rPr>
              <w:t>必须提供的材料在第六章“响应文件格式”中有要求法定代表人或委托代理人签字（或者电子签名）的，必须由法定代表人或委托代理人签字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p>
        </w:tc>
      </w:tr>
      <w:tr w14:paraId="36E42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C7F069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302C8481">
            <w:pPr>
              <w:spacing w:line="360" w:lineRule="auto"/>
              <w:contextualSpacing/>
              <w:jc w:val="left"/>
              <w:rPr>
                <w:rFonts w:hint="eastAsia" w:ascii="宋体" w:hAnsi="宋体" w:cs="宋体"/>
                <w:color w:val="auto"/>
                <w:szCs w:val="21"/>
                <w:highlight w:val="none"/>
              </w:rPr>
            </w:pPr>
            <w:r>
              <w:rPr>
                <w:rFonts w:hint="eastAsia" w:ascii="宋体" w:hAnsi="宋体"/>
                <w:color w:val="auto"/>
                <w:szCs w:val="21"/>
                <w:highlight w:val="none"/>
              </w:rPr>
              <w:t>竞标报价包括了</w:t>
            </w:r>
            <w:r>
              <w:rPr>
                <w:rFonts w:hint="eastAsia" w:ascii="宋体" w:hAnsi="宋体" w:cs="宋体"/>
                <w:color w:val="auto"/>
                <w:szCs w:val="21"/>
                <w:highlight w:val="none"/>
              </w:rPr>
              <w:t>为实施和完成合同工程所需的劳务、材料、机械、质检（自检）、安装、缺陷修复、管理、验收、通电、保险、税费、利润等费用，以及合同明示或暗示的所有责任、义务和一般风险。</w:t>
            </w:r>
            <w:r>
              <w:rPr>
                <w:rFonts w:hint="eastAsia" w:ascii="宋体" w:hAnsi="宋体"/>
                <w:b/>
                <w:color w:val="auto"/>
                <w:szCs w:val="21"/>
                <w:highlight w:val="none"/>
              </w:rPr>
              <w:t>（采购需求另有约定的，从其约定。）</w:t>
            </w:r>
          </w:p>
        </w:tc>
      </w:tr>
      <w:tr w14:paraId="0A734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64A17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15.3</w:t>
            </w:r>
          </w:p>
        </w:tc>
        <w:tc>
          <w:tcPr>
            <w:tcW w:w="7912" w:type="dxa"/>
            <w:vAlign w:val="center"/>
          </w:tcPr>
          <w:p w14:paraId="54924524">
            <w:pPr>
              <w:spacing w:line="360" w:lineRule="auto"/>
              <w:contextualSpacing/>
              <w:jc w:val="left"/>
              <w:rPr>
                <w:rFonts w:hint="eastAsia" w:ascii="宋体" w:hAnsi="宋体"/>
                <w:color w:val="auto"/>
                <w:szCs w:val="21"/>
                <w:highlight w:val="none"/>
              </w:rPr>
            </w:pPr>
            <w:r>
              <w:rPr>
                <w:rFonts w:hint="eastAsia" w:cs="宋体"/>
                <w:color w:val="auto"/>
                <w:highlight w:val="none"/>
              </w:rPr>
              <w:t>本工程增值税计税方法：永福县人民法院办公区域与生活区域物理隔离工程-拆除工程</w:t>
            </w:r>
            <w:r>
              <w:rPr>
                <w:rFonts w:hint="eastAsia" w:cs="宋体"/>
                <w:color w:val="auto"/>
                <w:highlight w:val="none"/>
                <w:lang w:eastAsia="zh-CN"/>
              </w:rPr>
              <w:t>采用</w:t>
            </w:r>
            <w:r>
              <w:rPr>
                <w:rFonts w:hint="eastAsia" w:cs="宋体"/>
                <w:color w:val="auto"/>
                <w:highlight w:val="none"/>
              </w:rPr>
              <w:t>简易计税法</w:t>
            </w:r>
            <w:r>
              <w:rPr>
                <w:rFonts w:hint="eastAsia" w:cs="宋体"/>
                <w:color w:val="auto"/>
                <w:highlight w:val="none"/>
                <w:lang w:eastAsia="zh-CN"/>
              </w:rPr>
              <w:t>，其他工程均采用</w:t>
            </w:r>
            <w:r>
              <w:rPr>
                <w:rFonts w:hint="eastAsia" w:cs="宋体"/>
                <w:color w:val="auto"/>
                <w:highlight w:val="none"/>
              </w:rPr>
              <w:t>一般计税法。</w:t>
            </w:r>
          </w:p>
        </w:tc>
      </w:tr>
      <w:tr w14:paraId="5215B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A29DF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6D939706">
            <w:pPr>
              <w:pStyle w:val="14"/>
              <w:widowControl w:val="0"/>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90</w:t>
            </w:r>
            <w:r>
              <w:rPr>
                <w:rFonts w:hint="eastAsia" w:ascii="宋体" w:hAnsi="宋体" w:cs="宋体"/>
                <w:color w:val="auto"/>
                <w:kern w:val="2"/>
                <w:sz w:val="21"/>
                <w:szCs w:val="21"/>
                <w:highlight w:val="none"/>
              </w:rPr>
              <w:t>日。</w:t>
            </w:r>
          </w:p>
        </w:tc>
      </w:tr>
      <w:tr w14:paraId="40899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5137C1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778C79D6">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本项目不收取磋商保证金。</w:t>
            </w:r>
          </w:p>
          <w:p w14:paraId="632AEDC4">
            <w:pPr>
              <w:snapToGrid w:val="0"/>
              <w:spacing w:line="360" w:lineRule="auto"/>
              <w:rPr>
                <w:rFonts w:hint="eastAsia" w:ascii="宋体" w:hAnsi="宋体"/>
                <w:color w:val="auto"/>
                <w:szCs w:val="21"/>
                <w:highlight w:val="none"/>
              </w:rPr>
            </w:pPr>
            <w:r>
              <w:rPr>
                <w:color w:val="auto"/>
                <w:highlight w:val="none"/>
              </w:rPr>
              <w:sym w:font="Wingdings" w:char="00A8"/>
            </w:r>
            <w:r>
              <w:rPr>
                <w:rFonts w:hint="eastAsia" w:ascii="宋体" w:hAnsi="宋体"/>
                <w:color w:val="auto"/>
                <w:szCs w:val="21"/>
                <w:highlight w:val="none"/>
              </w:rPr>
              <w:t>本项目收取磋商保证金，具体规定如下：</w:t>
            </w:r>
          </w:p>
          <w:p w14:paraId="00F06F1E">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磋商保证金人民币</w:t>
            </w:r>
            <w:r>
              <w:rPr>
                <w:rFonts w:hint="eastAsia" w:ascii="宋体" w:hAnsi="宋体" w:cs="宋体"/>
                <w:color w:val="auto"/>
                <w:kern w:val="0"/>
                <w:szCs w:val="21"/>
                <w:highlight w:val="none"/>
                <w:u w:val="single"/>
                <w:lang w:val="en-US" w:eastAsia="zh-CN"/>
              </w:rPr>
              <w:t xml:space="preserve">  /  </w:t>
            </w:r>
            <w:r>
              <w:rPr>
                <w:rFonts w:hint="eastAsia" w:ascii="宋体" w:hAnsi="宋体" w:cs="宋体"/>
                <w:color w:val="auto"/>
                <w:kern w:val="0"/>
                <w:szCs w:val="21"/>
                <w:highlight w:val="none"/>
              </w:rPr>
              <w:t>。</w:t>
            </w:r>
          </w:p>
          <w:p w14:paraId="22E38F7E">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磋商保证金的交纳方式：银行转账、支票、汇票、本票或者金融、担保机构出具的保函（包含电子保函），禁止采用现钞方式。采用银行转账方式的，在响应文件提交截止时间前交至指定账户并且到账</w:t>
            </w:r>
            <w:r>
              <w:rPr>
                <w:rFonts w:hint="eastAsia" w:ascii="宋体" w:hAnsi="宋体" w:eastAsia="宋体" w:cs="宋体"/>
                <w:b/>
                <w:bCs w:val="0"/>
                <w:color w:val="auto"/>
                <w:kern w:val="0"/>
                <w:szCs w:val="21"/>
                <w:highlight w:val="none"/>
              </w:rPr>
              <w:t>（开户名称：</w:t>
            </w:r>
            <w:r>
              <w:rPr>
                <w:rFonts w:hint="eastAsia" w:ascii="宋体" w:hAnsi="宋体" w:eastAsia="宋体" w:cs="宋体"/>
                <w:b/>
                <w:bCs w:val="0"/>
                <w:color w:val="auto"/>
                <w:highlight w:val="none"/>
                <w:u w:val="single"/>
                <w:lang w:val="en-US" w:eastAsia="zh-CN"/>
              </w:rPr>
              <w:t xml:space="preserve">  /  </w:t>
            </w:r>
            <w:r>
              <w:rPr>
                <w:rFonts w:hint="eastAsia" w:ascii="宋体" w:hAnsi="宋体" w:eastAsia="宋体" w:cs="宋体"/>
                <w:b/>
                <w:bCs w:val="0"/>
                <w:color w:val="auto"/>
                <w:kern w:val="0"/>
                <w:szCs w:val="21"/>
                <w:highlight w:val="none"/>
              </w:rPr>
              <w:t>；开户银行：</w:t>
            </w:r>
            <w:r>
              <w:rPr>
                <w:rFonts w:hint="eastAsia" w:ascii="宋体" w:hAnsi="宋体" w:eastAsia="宋体" w:cs="宋体"/>
                <w:b/>
                <w:bCs w:val="0"/>
                <w:color w:val="auto"/>
                <w:highlight w:val="none"/>
                <w:u w:val="single"/>
                <w:lang w:val="en-US" w:eastAsia="zh-CN"/>
              </w:rPr>
              <w:t xml:space="preserve">  /  </w:t>
            </w:r>
            <w:r>
              <w:rPr>
                <w:rFonts w:hint="eastAsia" w:ascii="宋体" w:hAnsi="宋体" w:eastAsia="宋体" w:cs="宋体"/>
                <w:b/>
                <w:bCs w:val="0"/>
                <w:color w:val="auto"/>
                <w:kern w:val="0"/>
                <w:szCs w:val="21"/>
                <w:highlight w:val="none"/>
              </w:rPr>
              <w:t>；银行账号：</w:t>
            </w:r>
            <w:r>
              <w:rPr>
                <w:rFonts w:hint="eastAsia" w:ascii="宋体" w:hAnsi="宋体" w:eastAsia="宋体" w:cs="宋体"/>
                <w:b/>
                <w:bCs w:val="0"/>
                <w:color w:val="auto"/>
                <w:highlight w:val="none"/>
                <w:u w:val="single"/>
                <w:lang w:val="en-US" w:eastAsia="zh-CN"/>
              </w:rPr>
              <w:t xml:space="preserve">  /  </w:t>
            </w:r>
            <w:r>
              <w:rPr>
                <w:rFonts w:hint="eastAsia" w:ascii="宋体" w:hAnsi="宋体" w:eastAsia="宋体" w:cs="宋体"/>
                <w:b/>
                <w:bCs w:val="0"/>
                <w:color w:val="auto"/>
                <w:kern w:val="0"/>
                <w:szCs w:val="21"/>
                <w:highlight w:val="none"/>
              </w:rPr>
              <w:t>）</w:t>
            </w:r>
            <w:r>
              <w:rPr>
                <w:rFonts w:hint="eastAsia" w:ascii="宋体" w:hAnsi="宋体" w:cs="宋体"/>
                <w:color w:val="auto"/>
                <w:kern w:val="0"/>
                <w:szCs w:val="21"/>
                <w:highlight w:val="none"/>
              </w:rPr>
              <w:t>；采用支票、汇票、本票或者保函等方式的，在响应文件提交截止时间前，供应商必须提交单独密封的支票、汇票、本票或者保函原件。</w:t>
            </w:r>
            <w:r>
              <w:rPr>
                <w:rFonts w:hint="eastAsia" w:ascii="宋体" w:hAnsi="宋体" w:cs="宋体"/>
                <w:b/>
                <w:color w:val="auto"/>
                <w:kern w:val="0"/>
                <w:szCs w:val="21"/>
                <w:highlight w:val="none"/>
              </w:rPr>
              <w:t>否则视为无效磋商保证金。</w:t>
            </w:r>
          </w:p>
          <w:p w14:paraId="0F049418">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相关要求：</w:t>
            </w:r>
          </w:p>
          <w:p w14:paraId="3DB207F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w:t>
            </w:r>
          </w:p>
          <w:p w14:paraId="71E95DF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2.磋商保证金采用支票、汇票、本票或者金融、担保机构出具的保函（包含电子保函）交纳方式的，供应商应将支票、汇票、本票或者金融、担保机构出具的保函的复印件作为磋商保证金提交凭证，放置于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在响应文件提交截止时间前采用现场或邮寄方式【现场提交地址：</w:t>
            </w:r>
            <w:r>
              <w:rPr>
                <w:rFonts w:hint="eastAsia"/>
                <w:color w:val="auto"/>
                <w:highlight w:val="none"/>
                <w:u w:val="single"/>
                <w:lang w:val="en-US" w:eastAsia="zh-CN"/>
              </w:rPr>
              <w:t xml:space="preserve">  /  </w:t>
            </w:r>
            <w:r>
              <w:rPr>
                <w:rFonts w:hint="eastAsia"/>
                <w:color w:val="auto"/>
                <w:highlight w:val="none"/>
              </w:rPr>
              <w:t>；邮寄地址：</w:t>
            </w:r>
            <w:r>
              <w:rPr>
                <w:rFonts w:hint="eastAsia"/>
                <w:color w:val="auto"/>
                <w:highlight w:val="none"/>
                <w:u w:val="single"/>
                <w:lang w:val="en-US" w:eastAsia="zh-CN"/>
              </w:rPr>
              <w:t xml:space="preserve">  /  </w:t>
            </w:r>
            <w:r>
              <w:rPr>
                <w:rFonts w:hint="eastAsia"/>
                <w:color w:val="auto"/>
                <w:highlight w:val="none"/>
              </w:rPr>
              <w:t>，收件人：</w:t>
            </w:r>
            <w:r>
              <w:rPr>
                <w:rFonts w:hint="eastAsia"/>
                <w:color w:val="auto"/>
                <w:highlight w:val="none"/>
                <w:u w:val="single"/>
                <w:lang w:val="en-US" w:eastAsia="zh-CN"/>
              </w:rPr>
              <w:t xml:space="preserve">  /  </w:t>
            </w:r>
            <w:r>
              <w:rPr>
                <w:rFonts w:hint="eastAsia"/>
                <w:color w:val="auto"/>
                <w:highlight w:val="none"/>
              </w:rPr>
              <w:t>，联系方式</w:t>
            </w:r>
            <w:r>
              <w:rPr>
                <w:rFonts w:hint="eastAsia" w:asciiTheme="minorEastAsia" w:hAnsiTheme="minorEastAsia" w:eastAsiaTheme="minorEastAsia"/>
                <w:color w:val="auto"/>
                <w:highlight w:val="none"/>
              </w:rPr>
              <w:t>：</w:t>
            </w:r>
            <w:r>
              <w:rPr>
                <w:rFonts w:hint="eastAsia"/>
                <w:color w:val="auto"/>
                <w:highlight w:val="none"/>
                <w:u w:val="single"/>
                <w:lang w:val="en-US" w:eastAsia="zh-CN"/>
              </w:rPr>
              <w:t xml:space="preserve">  /  </w:t>
            </w:r>
            <w:r>
              <w:rPr>
                <w:rFonts w:hint="eastAsia" w:asciiTheme="minorEastAsia" w:hAnsiTheme="minorEastAsia" w:eastAsiaTheme="minorEastAsia"/>
                <w:color w:val="auto"/>
                <w:highlight w:val="none"/>
              </w:rPr>
              <w:t>）</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支票、汇票、本票或者金融、担保机构出具的保函原件提交给采购人或者采购代理机构，由采购人或者采购代理机构向供应商出具回执（邮寄方式的除外），并妥善保管。</w:t>
            </w:r>
          </w:p>
          <w:p w14:paraId="20C7E325">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2F61BE4F">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①磋商保证金在响应文件提交截止时间后提交的，或者不按规定交纳方式交纳的，或者未足额交纳的（包含保函额度不足的），视为无效磋商保证金。</w:t>
            </w:r>
          </w:p>
          <w:p w14:paraId="53CEBB8F">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②供应商采用现钞方式或者从个人账户转出的磋商保证金，视为无效磋商保证金。</w:t>
            </w:r>
          </w:p>
          <w:p w14:paraId="3CFE3524">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③支票、汇票或者本票出现无效或者背书情形的，视为无效磋商保证金。</w:t>
            </w:r>
          </w:p>
          <w:p w14:paraId="7F4977E5">
            <w:pPr>
              <w:snapToGrid w:val="0"/>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④保函有效期低于竞标有效期的，视为无效磋商保证金。</w:t>
            </w:r>
          </w:p>
        </w:tc>
      </w:tr>
      <w:tr w14:paraId="41B9B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E13928">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19</w:t>
            </w:r>
          </w:p>
        </w:tc>
        <w:tc>
          <w:tcPr>
            <w:tcW w:w="7912" w:type="dxa"/>
            <w:vAlign w:val="center"/>
          </w:tcPr>
          <w:p w14:paraId="505AAD5D">
            <w:pPr>
              <w:spacing w:line="360" w:lineRule="auto"/>
              <w:rPr>
                <w:rFonts w:hint="eastAsia"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4667E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A60E8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7C87D0D1">
            <w:pPr>
              <w:spacing w:line="360" w:lineRule="auto"/>
              <w:contextualSpacing/>
              <w:jc w:val="left"/>
              <w:rPr>
                <w:rFonts w:hint="eastAsia"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0162CD3A">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40174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A4C0E4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72CD1122">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14:paraId="13ABA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807E80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14:paraId="425C5145">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6AA694E9">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w:t>
            </w:r>
            <w:r>
              <w:rPr>
                <w:rFonts w:hint="eastAsia" w:ascii="宋体" w:hAnsi="宋体" w:eastAsia="宋体" w:cs="宋体"/>
                <w:color w:val="auto"/>
                <w:szCs w:val="21"/>
                <w:highlight w:val="none"/>
              </w:rPr>
              <w:t>应文件解密时间：</w:t>
            </w:r>
            <w:r>
              <w:rPr>
                <w:rFonts w:hint="eastAsia" w:ascii="宋体" w:hAnsi="宋体" w:eastAsia="宋体" w:cs="宋体"/>
                <w:color w:val="auto"/>
                <w:highlight w:val="none"/>
                <w:u w:val="single"/>
              </w:rPr>
              <w:t>30</w:t>
            </w:r>
            <w:r>
              <w:rPr>
                <w:rFonts w:hint="eastAsia" w:ascii="宋体" w:hAnsi="宋体" w:eastAsia="宋体" w:cs="宋体"/>
                <w:color w:val="auto"/>
                <w:highlight w:val="none"/>
              </w:rPr>
              <w:t>分钟</w:t>
            </w:r>
          </w:p>
        </w:tc>
      </w:tr>
      <w:tr w14:paraId="41532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3C512D2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vAlign w:val="center"/>
          </w:tcPr>
          <w:p w14:paraId="113DF8C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117E9CD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技术及其他要求评审中允许负偏离的条款数为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14:paraId="3453D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E32E15E">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14:paraId="4862B6D6">
            <w:pPr>
              <w:keepNext w:val="0"/>
              <w:keepLines w:val="0"/>
              <w:pageBreakBefore w:val="0"/>
              <w:widowControl w:val="0"/>
              <w:kinsoku/>
              <w:overflowPunct/>
              <w:topLinePunct w:val="0"/>
              <w:autoSpaceDE w:val="0"/>
              <w:autoSpaceDN w:val="0"/>
              <w:bidi w:val="0"/>
              <w:snapToGrid w:val="0"/>
              <w:spacing w:line="360" w:lineRule="exact"/>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本项目不收取履约保证金。</w:t>
            </w:r>
          </w:p>
          <w:p w14:paraId="3FFFC9D0">
            <w:pPr>
              <w:keepNext w:val="0"/>
              <w:keepLines w:val="0"/>
              <w:pageBreakBefore w:val="0"/>
              <w:widowControl w:val="0"/>
              <w:kinsoku/>
              <w:overflowPunct/>
              <w:topLinePunct w:val="0"/>
              <w:autoSpaceDE w:val="0"/>
              <w:autoSpaceDN w:val="0"/>
              <w:bidi w:val="0"/>
              <w:snapToGrid w:val="0"/>
              <w:spacing w:line="360" w:lineRule="exact"/>
              <w:textAlignment w:val="bottom"/>
              <w:rPr>
                <w:rFonts w:hint="eastAsia" w:ascii="宋体" w:hAnsi="宋体"/>
                <w:color w:val="auto"/>
                <w:szCs w:val="21"/>
                <w:highlight w:val="none"/>
              </w:rPr>
            </w:pPr>
            <w:r>
              <w:rPr>
                <w:rFonts w:hint="eastAsia" w:ascii="宋体" w:hAnsi="宋体"/>
                <w:color w:val="auto"/>
                <w:szCs w:val="21"/>
                <w:highlight w:val="none"/>
              </w:rPr>
              <w:t>□本项目收取履约保证金，具体规定如下：</w:t>
            </w:r>
          </w:p>
          <w:p w14:paraId="2FB8DB60">
            <w:pPr>
              <w:keepNext w:val="0"/>
              <w:keepLines w:val="0"/>
              <w:pageBreakBefore w:val="0"/>
              <w:widowControl w:val="0"/>
              <w:kinsoku/>
              <w:wordWrap w:val="0"/>
              <w:overflowPunct/>
              <w:topLinePunct w:val="0"/>
              <w:autoSpaceDE w:val="0"/>
              <w:autoSpaceDN w:val="0"/>
              <w:bidi w:val="0"/>
              <w:spacing w:line="360" w:lineRule="exact"/>
              <w:textAlignment w:val="bottom"/>
              <w:rPr>
                <w:rFonts w:hint="eastAsia"/>
                <w:color w:val="auto"/>
                <w:szCs w:val="21"/>
                <w:highlight w:val="none"/>
                <w:u w:val="single"/>
                <w:lang w:val="en-US" w:eastAsia="zh-CN"/>
              </w:rPr>
            </w:pPr>
            <w:r>
              <w:rPr>
                <w:rFonts w:hint="eastAsia" w:hAnsi="宋体"/>
                <w:color w:val="auto"/>
                <w:szCs w:val="21"/>
                <w:highlight w:val="none"/>
              </w:rPr>
              <w:t>履约保证金金额：</w:t>
            </w:r>
            <w:r>
              <w:rPr>
                <w:rFonts w:hint="eastAsia"/>
                <w:color w:val="auto"/>
                <w:szCs w:val="21"/>
                <w:highlight w:val="none"/>
                <w:u w:val="single"/>
                <w:lang w:val="en-US" w:eastAsia="zh-CN"/>
              </w:rPr>
              <w:t xml:space="preserve">   /    </w:t>
            </w:r>
          </w:p>
          <w:p w14:paraId="3F2B55FC">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hAnsi="宋体"/>
                <w:color w:val="auto"/>
                <w:szCs w:val="21"/>
                <w:highlight w:val="none"/>
              </w:rPr>
              <w:t>履约保证金递交方式：</w:t>
            </w:r>
            <w:r>
              <w:rPr>
                <w:rFonts w:hint="eastAsia" w:ascii="宋体" w:hAnsi="宋体" w:cs="宋体"/>
                <w:color w:val="auto"/>
                <w:szCs w:val="21"/>
                <w:highlight w:val="none"/>
              </w:rPr>
              <w:t>银行转账、支票、汇票、本票或者银行、保险机构出具的保函（包含电子保函）等非现金方式</w:t>
            </w:r>
          </w:p>
          <w:p w14:paraId="7C8E6E20">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hAnsi="宋体"/>
                <w:color w:val="auto"/>
                <w:szCs w:val="21"/>
                <w:highlight w:val="none"/>
              </w:rPr>
              <w:t>履约保证金退付方式、时间及条件：</w:t>
            </w:r>
          </w:p>
          <w:p w14:paraId="7F23A9B2">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hAnsi="宋体"/>
                <w:color w:val="auto"/>
                <w:szCs w:val="21"/>
                <w:highlight w:val="none"/>
              </w:rPr>
              <w:t>（</w:t>
            </w:r>
            <w:r>
              <w:rPr>
                <w:color w:val="auto"/>
                <w:szCs w:val="21"/>
                <w:highlight w:val="none"/>
              </w:rPr>
              <w:t>1</w:t>
            </w:r>
            <w:r>
              <w:rPr>
                <w:rFonts w:hint="eastAsia" w:hAnsi="宋体"/>
                <w:color w:val="auto"/>
                <w:szCs w:val="21"/>
                <w:highlight w:val="none"/>
              </w:rPr>
              <w:t>）</w:t>
            </w:r>
            <w:r>
              <w:rPr>
                <w:rFonts w:hint="eastAsia" w:ascii="宋体" w:hAnsi="宋体" w:cs="宋体"/>
                <w:color w:val="auto"/>
                <w:szCs w:val="21"/>
                <w:highlight w:val="none"/>
              </w:rPr>
              <w:t>履约保证金在采购人按合同约定验收合格后，由成交供应商凭《桂林市政府采购项目合同验收书》（详见附表</w:t>
            </w:r>
            <w:r>
              <w:rPr>
                <w:rFonts w:hint="eastAsia" w:hAnsi="宋体"/>
                <w:color w:val="auto"/>
                <w:szCs w:val="21"/>
                <w:highlight w:val="none"/>
              </w:rPr>
              <w:t>）向采购人申请办理履约保证金退还手续，采购人在收到合格材料后五个工作日内以银行转账方式如数退还（不计利息）。</w:t>
            </w:r>
          </w:p>
          <w:p w14:paraId="16321D69">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hAnsi="宋体"/>
                <w:color w:val="auto"/>
                <w:szCs w:val="21"/>
                <w:highlight w:val="none"/>
              </w:rPr>
              <w:t>（</w:t>
            </w:r>
            <w:r>
              <w:rPr>
                <w:color w:val="auto"/>
                <w:szCs w:val="21"/>
                <w:highlight w:val="none"/>
              </w:rPr>
              <w:t>2</w:t>
            </w:r>
            <w:r>
              <w:rPr>
                <w:rFonts w:hint="eastAsia" w:hAnsi="宋体"/>
                <w:color w:val="auto"/>
                <w:szCs w:val="21"/>
                <w:highlight w:val="none"/>
              </w:rPr>
              <w:t>）在履约保证金退还日期前，若成交供应商的开户名称、开户银行、账号有变动的，请以书面形式通知履约保证金收取单位，否则由此产生的后果由成交供应商自负。</w:t>
            </w:r>
          </w:p>
          <w:p w14:paraId="1B9EEF7B">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hAnsi="宋体"/>
                <w:color w:val="auto"/>
                <w:szCs w:val="21"/>
                <w:highlight w:val="none"/>
              </w:rPr>
              <w:t>（</w:t>
            </w:r>
            <w:r>
              <w:rPr>
                <w:color w:val="auto"/>
                <w:szCs w:val="21"/>
                <w:highlight w:val="none"/>
              </w:rPr>
              <w:t>3</w:t>
            </w:r>
            <w:r>
              <w:rPr>
                <w:rFonts w:hint="eastAsia" w:hAnsi="宋体"/>
                <w:color w:val="auto"/>
                <w:szCs w:val="21"/>
                <w:highlight w:val="none"/>
              </w:rPr>
              <w:t>）成交供应商在签订合同后存在违约情形的，履约保证金不予退还。履约保证金不足以赔偿损失的，按实际损失赔偿。</w:t>
            </w:r>
          </w:p>
          <w:p w14:paraId="3B560D36">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hAnsi="宋体"/>
                <w:color w:val="auto"/>
                <w:szCs w:val="21"/>
                <w:highlight w:val="none"/>
              </w:rPr>
              <w:t>履约保证金指定账户：</w:t>
            </w:r>
          </w:p>
          <w:p w14:paraId="6F45AE0D">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color w:val="auto"/>
                <w:szCs w:val="21"/>
                <w:highlight w:val="none"/>
              </w:rPr>
              <w:t>开户名称：</w:t>
            </w:r>
            <w:r>
              <w:rPr>
                <w:rFonts w:hint="eastAsia"/>
                <w:color w:val="auto"/>
                <w:szCs w:val="21"/>
                <w:highlight w:val="none"/>
                <w:u w:val="single"/>
                <w:lang w:val="en-US" w:eastAsia="zh-CN"/>
              </w:rPr>
              <w:t xml:space="preserve">  /     </w:t>
            </w:r>
            <w:r>
              <w:rPr>
                <w:rFonts w:hint="eastAsia"/>
                <w:color w:val="auto"/>
                <w:szCs w:val="21"/>
                <w:highlight w:val="none"/>
              </w:rPr>
              <w:t>；</w:t>
            </w:r>
          </w:p>
          <w:p w14:paraId="5F3315F7">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color w:val="auto"/>
                <w:szCs w:val="21"/>
                <w:highlight w:val="none"/>
              </w:rPr>
              <w:t>开户银行：</w:t>
            </w:r>
            <w:r>
              <w:rPr>
                <w:rFonts w:hint="eastAsia"/>
                <w:color w:val="auto"/>
                <w:szCs w:val="21"/>
                <w:highlight w:val="none"/>
                <w:u w:val="single"/>
                <w:lang w:val="en-US" w:eastAsia="zh-CN"/>
              </w:rPr>
              <w:t xml:space="preserve">   /    </w:t>
            </w:r>
            <w:r>
              <w:rPr>
                <w:rFonts w:hint="eastAsia"/>
                <w:color w:val="auto"/>
                <w:szCs w:val="21"/>
                <w:highlight w:val="none"/>
              </w:rPr>
              <w:t>；</w:t>
            </w:r>
          </w:p>
          <w:p w14:paraId="45DE9EA4">
            <w:pPr>
              <w:keepNext w:val="0"/>
              <w:keepLines w:val="0"/>
              <w:pageBreakBefore w:val="0"/>
              <w:widowControl w:val="0"/>
              <w:kinsoku/>
              <w:wordWrap w:val="0"/>
              <w:overflowPunct/>
              <w:topLinePunct w:val="0"/>
              <w:autoSpaceDE w:val="0"/>
              <w:autoSpaceDN w:val="0"/>
              <w:bidi w:val="0"/>
              <w:spacing w:line="360" w:lineRule="exact"/>
              <w:textAlignment w:val="bottom"/>
              <w:rPr>
                <w:rFonts w:hint="eastAsia" w:eastAsia="宋体"/>
                <w:color w:val="auto"/>
                <w:szCs w:val="21"/>
                <w:highlight w:val="none"/>
                <w:lang w:eastAsia="zh-CN"/>
              </w:rPr>
            </w:pPr>
            <w:r>
              <w:rPr>
                <w:rFonts w:hint="eastAsia"/>
                <w:color w:val="auto"/>
                <w:szCs w:val="21"/>
                <w:highlight w:val="none"/>
              </w:rPr>
              <w:t>账号：</w:t>
            </w:r>
            <w:r>
              <w:rPr>
                <w:rFonts w:hint="eastAsia"/>
                <w:color w:val="auto"/>
                <w:szCs w:val="21"/>
                <w:highlight w:val="none"/>
                <w:u w:val="single"/>
                <w:lang w:val="en-US" w:eastAsia="zh-CN"/>
              </w:rPr>
              <w:t xml:space="preserve">   /    </w:t>
            </w:r>
            <w:r>
              <w:rPr>
                <w:rFonts w:hint="eastAsia"/>
                <w:color w:val="auto"/>
                <w:szCs w:val="21"/>
                <w:highlight w:val="none"/>
                <w:lang w:val="en-US" w:eastAsia="zh-CN"/>
              </w:rPr>
              <w:t>。</w:t>
            </w:r>
          </w:p>
          <w:p w14:paraId="0878C15D">
            <w:pPr>
              <w:keepNext w:val="0"/>
              <w:keepLines w:val="0"/>
              <w:pageBreakBefore w:val="0"/>
              <w:widowControl w:val="0"/>
              <w:kinsoku/>
              <w:wordWrap w:val="0"/>
              <w:overflowPunct/>
              <w:topLinePunct w:val="0"/>
              <w:bidi w:val="0"/>
              <w:adjustRightInd w:val="0"/>
              <w:spacing w:line="360" w:lineRule="exact"/>
              <w:jc w:val="left"/>
              <w:rPr>
                <w:rFonts w:hint="eastAsia" w:hAnsi="宋体"/>
                <w:color w:val="auto"/>
                <w:szCs w:val="21"/>
                <w:highlight w:val="none"/>
              </w:rPr>
            </w:pPr>
            <w:r>
              <w:rPr>
                <w:rFonts w:hint="eastAsia" w:hAnsi="宋体"/>
                <w:color w:val="auto"/>
                <w:szCs w:val="21"/>
                <w:highlight w:val="none"/>
              </w:rPr>
              <w:t>备</w:t>
            </w:r>
            <w:r>
              <w:rPr>
                <w:rFonts w:hAnsi="宋体"/>
                <w:color w:val="auto"/>
                <w:szCs w:val="21"/>
                <w:highlight w:val="none"/>
              </w:rPr>
              <w:t xml:space="preserve">    </w:t>
            </w:r>
            <w:r>
              <w:rPr>
                <w:rFonts w:hint="eastAsia" w:hAnsi="宋体"/>
                <w:color w:val="auto"/>
                <w:szCs w:val="21"/>
                <w:highlight w:val="none"/>
              </w:rPr>
              <w:t>注：</w:t>
            </w:r>
          </w:p>
          <w:p w14:paraId="1B9EC0B7">
            <w:pPr>
              <w:pStyle w:val="64"/>
              <w:keepNext w:val="0"/>
              <w:keepLines w:val="0"/>
              <w:pageBreakBefore w:val="0"/>
              <w:widowControl w:val="0"/>
              <w:kinsoku/>
              <w:wordWrap w:val="0"/>
              <w:overflowPunct/>
              <w:topLinePunct w:val="0"/>
              <w:bidi w:val="0"/>
              <w:spacing w:line="360" w:lineRule="exact"/>
              <w:rPr>
                <w:color w:val="auto"/>
                <w:highlight w:val="none"/>
              </w:rPr>
            </w:pPr>
            <w:r>
              <w:rPr>
                <w:rFonts w:hint="eastAsia"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tc>
      </w:tr>
      <w:tr w14:paraId="03D5B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00E73D4">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29.1</w:t>
            </w:r>
          </w:p>
        </w:tc>
        <w:tc>
          <w:tcPr>
            <w:tcW w:w="7912" w:type="dxa"/>
            <w:vAlign w:val="center"/>
          </w:tcPr>
          <w:p w14:paraId="157E3621">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25EF469D">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6774B878">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6774C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28AD7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4592995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接收质疑函方式：书面形式</w:t>
            </w:r>
          </w:p>
          <w:p w14:paraId="2411C83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质疑联系部门及联系方式：云之龙咨询集团有限公司，联系人：李贞，联系电话：</w:t>
            </w:r>
            <w:r>
              <w:rPr>
                <w:rFonts w:ascii="宋体" w:hAnsi="宋体" w:cs="宋体"/>
                <w:color w:val="auto"/>
                <w:szCs w:val="21"/>
                <w:highlight w:val="none"/>
              </w:rPr>
              <w:t xml:space="preserve">0773-2887388  2887399 </w:t>
            </w:r>
            <w:r>
              <w:rPr>
                <w:rFonts w:hint="eastAsia" w:ascii="宋体" w:hAnsi="宋体" w:cs="宋体"/>
                <w:color w:val="auto"/>
                <w:szCs w:val="21"/>
                <w:highlight w:val="none"/>
              </w:rPr>
              <w:t>。通讯地址：广西桂林市临桂区西城北路2号耀辉•美好家园2幢12层1号房。</w:t>
            </w:r>
          </w:p>
          <w:p w14:paraId="593BD55A">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业务时间：工作日每天上午9时</w:t>
            </w:r>
            <w:r>
              <w:rPr>
                <w:rFonts w:ascii="宋体" w:hAnsi="宋体" w:cs="宋体"/>
                <w:color w:val="auto"/>
                <w:szCs w:val="21"/>
                <w:highlight w:val="none"/>
              </w:rPr>
              <w:t>00</w:t>
            </w:r>
            <w:r>
              <w:rPr>
                <w:rFonts w:hint="eastAsia" w:ascii="宋体" w:hAnsi="宋体" w:cs="宋体"/>
                <w:color w:val="auto"/>
                <w:szCs w:val="21"/>
                <w:highlight w:val="none"/>
              </w:rPr>
              <w:t>分到</w:t>
            </w:r>
            <w:r>
              <w:rPr>
                <w:rFonts w:ascii="宋体" w:hAnsi="宋体" w:cs="宋体"/>
                <w:color w:val="auto"/>
                <w:szCs w:val="21"/>
                <w:highlight w:val="none"/>
              </w:rPr>
              <w:t>12</w:t>
            </w:r>
            <w:r>
              <w:rPr>
                <w:rFonts w:hint="eastAsia" w:ascii="宋体" w:hAnsi="宋体" w:cs="宋体"/>
                <w:color w:val="auto"/>
                <w:szCs w:val="21"/>
                <w:highlight w:val="none"/>
              </w:rPr>
              <w:t>时</w:t>
            </w:r>
            <w:r>
              <w:rPr>
                <w:rFonts w:ascii="宋体" w:hAnsi="宋体" w:cs="宋体"/>
                <w:color w:val="auto"/>
                <w:szCs w:val="21"/>
                <w:highlight w:val="none"/>
              </w:rPr>
              <w:t>00</w:t>
            </w:r>
            <w:r>
              <w:rPr>
                <w:rFonts w:hint="eastAsia" w:ascii="宋体" w:hAnsi="宋体" w:cs="宋体"/>
                <w:color w:val="auto"/>
                <w:szCs w:val="21"/>
                <w:highlight w:val="none"/>
              </w:rPr>
              <w:t>分，下午1时</w:t>
            </w:r>
            <w:r>
              <w:rPr>
                <w:rFonts w:ascii="宋体" w:hAnsi="宋体" w:cs="宋体"/>
                <w:color w:val="auto"/>
                <w:szCs w:val="21"/>
                <w:highlight w:val="none"/>
              </w:rPr>
              <w:t>00</w:t>
            </w:r>
            <w:r>
              <w:rPr>
                <w:rFonts w:hint="eastAsia" w:ascii="宋体" w:hAnsi="宋体" w:cs="宋体"/>
                <w:color w:val="auto"/>
                <w:szCs w:val="21"/>
                <w:highlight w:val="none"/>
              </w:rPr>
              <w:t>分到5时</w:t>
            </w:r>
            <w:r>
              <w:rPr>
                <w:rFonts w:ascii="宋体" w:hAnsi="宋体" w:cs="宋体"/>
                <w:color w:val="auto"/>
                <w:szCs w:val="21"/>
                <w:highlight w:val="none"/>
              </w:rPr>
              <w:t>00</w:t>
            </w:r>
            <w:r>
              <w:rPr>
                <w:rFonts w:hint="eastAsia" w:ascii="宋体" w:hAnsi="宋体" w:cs="宋体"/>
                <w:color w:val="auto"/>
                <w:szCs w:val="21"/>
                <w:highlight w:val="none"/>
              </w:rPr>
              <w:t>分。</w:t>
            </w:r>
          </w:p>
        </w:tc>
      </w:tr>
      <w:tr w14:paraId="1268F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70D4DC7">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32.1</w:t>
            </w:r>
          </w:p>
        </w:tc>
        <w:tc>
          <w:tcPr>
            <w:tcW w:w="7912" w:type="dxa"/>
            <w:vAlign w:val="center"/>
          </w:tcPr>
          <w:p w14:paraId="246D79C0">
            <w:pPr>
              <w:pStyle w:val="26"/>
              <w:snapToGrid w:val="0"/>
              <w:spacing w:line="390" w:lineRule="exact"/>
              <w:rPr>
                <w:rFonts w:hint="eastAsia" w:hAnsi="宋体"/>
                <w:color w:val="auto"/>
                <w:sz w:val="21"/>
                <w:highlight w:val="none"/>
              </w:rPr>
            </w:pPr>
            <w:r>
              <w:rPr>
                <w:rFonts w:hint="eastAsia" w:hAnsi="宋体"/>
                <w:color w:val="auto"/>
                <w:sz w:val="21"/>
                <w:highlight w:val="none"/>
              </w:rPr>
              <w:t>1.采购代理费支付方式：</w:t>
            </w:r>
          </w:p>
          <w:p w14:paraId="16E485E8">
            <w:pPr>
              <w:pStyle w:val="26"/>
              <w:snapToGrid w:val="0"/>
              <w:spacing w:line="390" w:lineRule="exact"/>
              <w:rPr>
                <w:rFonts w:hint="eastAsia" w:hAnsi="宋体"/>
                <w:color w:val="auto"/>
                <w:sz w:val="21"/>
                <w:highlight w:val="none"/>
              </w:rPr>
            </w:pPr>
            <w:r>
              <w:rPr>
                <w:rFonts w:hAnsi="宋体"/>
                <w:color w:val="auto"/>
                <w:sz w:val="21"/>
                <w:highlight w:val="none"/>
              </w:rPr>
              <w:sym w:font="Wingdings" w:char="00FE"/>
            </w:r>
            <w:r>
              <w:rPr>
                <w:rFonts w:hint="eastAsia" w:hAnsi="宋体"/>
                <w:color w:val="auto"/>
                <w:sz w:val="21"/>
                <w:highlight w:val="none"/>
              </w:rPr>
              <w:t>本项目</w:t>
            </w:r>
            <w:r>
              <w:rPr>
                <w:rFonts w:hint="eastAsia" w:hAnsi="宋体"/>
                <w:color w:val="auto"/>
                <w:sz w:val="21"/>
                <w:highlight w:val="none"/>
                <w:lang w:eastAsia="zh-CN"/>
              </w:rPr>
              <w:t>采购</w:t>
            </w:r>
            <w:r>
              <w:rPr>
                <w:rFonts w:hint="eastAsia" w:hAnsi="宋体"/>
                <w:color w:val="auto"/>
                <w:sz w:val="21"/>
                <w:highlight w:val="none"/>
              </w:rPr>
              <w:t>代理服务费由成交供应商在成交结果公告发出之日起五个工作日内，一次性向采购代理机构支付</w:t>
            </w:r>
            <w:r>
              <w:rPr>
                <w:rFonts w:hint="eastAsia" w:hAnsi="宋体"/>
                <w:color w:val="auto"/>
                <w:sz w:val="21"/>
                <w:highlight w:val="none"/>
                <w:lang w:eastAsia="zh-CN"/>
              </w:rPr>
              <w:t>，</w:t>
            </w:r>
            <w:r>
              <w:rPr>
                <w:rFonts w:hint="eastAsia" w:ascii="宋体" w:hAnsi="宋体" w:cs="宋体"/>
                <w:color w:val="auto"/>
                <w:kern w:val="0"/>
                <w:sz w:val="21"/>
                <w:szCs w:val="21"/>
                <w:highlight w:val="none"/>
              </w:rPr>
              <w:t>否则，其不利后果由</w:t>
            </w:r>
            <w:r>
              <w:rPr>
                <w:rFonts w:hint="eastAsia" w:hAnsi="宋体"/>
                <w:color w:val="auto"/>
                <w:sz w:val="21"/>
                <w:highlight w:val="none"/>
              </w:rPr>
              <w:t>成交供应商</w:t>
            </w:r>
            <w:r>
              <w:rPr>
                <w:rFonts w:hint="eastAsia" w:ascii="宋体" w:hAnsi="宋体" w:cs="宋体"/>
                <w:color w:val="auto"/>
                <w:kern w:val="0"/>
                <w:sz w:val="21"/>
                <w:szCs w:val="21"/>
                <w:highlight w:val="none"/>
              </w:rPr>
              <w:t>承担</w:t>
            </w:r>
            <w:r>
              <w:rPr>
                <w:rFonts w:hint="eastAsia" w:hAnsi="宋体"/>
                <w:color w:val="auto"/>
                <w:sz w:val="21"/>
                <w:highlight w:val="none"/>
              </w:rPr>
              <w:t>。</w:t>
            </w:r>
          </w:p>
          <w:p w14:paraId="57F1CFE0">
            <w:pPr>
              <w:pStyle w:val="26"/>
              <w:snapToGrid w:val="0"/>
              <w:spacing w:line="390" w:lineRule="exact"/>
              <w:rPr>
                <w:rFonts w:hint="eastAsia" w:hAnsi="宋体"/>
                <w:color w:val="auto"/>
                <w:sz w:val="21"/>
                <w:highlight w:val="none"/>
              </w:rPr>
            </w:pPr>
            <w:r>
              <w:rPr>
                <w:rFonts w:hint="eastAsia" w:hAnsi="宋体"/>
                <w:color w:val="auto"/>
                <w:sz w:val="21"/>
                <w:highlight w:val="none"/>
              </w:rPr>
              <w:t>□采购人支付。</w:t>
            </w:r>
          </w:p>
          <w:p w14:paraId="72C09FDC">
            <w:pPr>
              <w:pStyle w:val="26"/>
              <w:snapToGrid w:val="0"/>
              <w:spacing w:line="390" w:lineRule="exact"/>
              <w:rPr>
                <w:rFonts w:hint="eastAsia" w:hAnsi="宋体"/>
                <w:color w:val="auto"/>
                <w:sz w:val="21"/>
                <w:highlight w:val="none"/>
              </w:rPr>
            </w:pPr>
            <w:r>
              <w:rPr>
                <w:rFonts w:hint="eastAsia" w:hAnsi="宋体"/>
                <w:color w:val="auto"/>
                <w:sz w:val="21"/>
                <w:highlight w:val="none"/>
              </w:rPr>
              <w:t>2.采购代理费收取标准：</w:t>
            </w:r>
          </w:p>
          <w:p w14:paraId="62C1B2CE">
            <w:pPr>
              <w:pStyle w:val="26"/>
              <w:snapToGrid w:val="0"/>
              <w:spacing w:line="390" w:lineRule="exact"/>
              <w:rPr>
                <w:rFonts w:hint="eastAsia" w:ascii="宋体" w:hAnsi="宋体" w:cs="宋体"/>
                <w:color w:val="auto"/>
                <w:kern w:val="0"/>
                <w:sz w:val="21"/>
                <w:szCs w:val="21"/>
                <w:highlight w:val="none"/>
              </w:rPr>
            </w:pPr>
            <w:r>
              <w:rPr>
                <w:rFonts w:hAnsi="宋体"/>
                <w:color w:val="auto"/>
                <w:sz w:val="21"/>
                <w:highlight w:val="none"/>
              </w:rPr>
              <w:sym w:font="Wingdings" w:char="00FE"/>
            </w:r>
            <w:r>
              <w:rPr>
                <w:rFonts w:hint="eastAsia" w:ascii="宋体" w:hAnsi="宋体" w:cs="宋体"/>
                <w:color w:val="auto"/>
                <w:kern w:val="0"/>
                <w:sz w:val="21"/>
                <w:szCs w:val="21"/>
                <w:highlight w:val="none"/>
              </w:rPr>
              <w:t>本项目</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代理服务费按供应商须知正文第</w:t>
            </w:r>
            <w:r>
              <w:rPr>
                <w:rFonts w:hint="eastAsia" w:ascii="宋体" w:hAnsi="宋体" w:cs="宋体"/>
                <w:color w:val="auto"/>
                <w:kern w:val="0"/>
                <w:sz w:val="21"/>
                <w:szCs w:val="21"/>
                <w:highlight w:val="none"/>
                <w:lang w:val="en-US" w:eastAsia="zh-CN"/>
              </w:rPr>
              <w:t>32</w:t>
            </w:r>
            <w:r>
              <w:rPr>
                <w:rFonts w:hint="eastAsia" w:ascii="宋体" w:hAnsi="宋体" w:cs="宋体"/>
                <w:color w:val="auto"/>
                <w:kern w:val="0"/>
                <w:sz w:val="21"/>
                <w:szCs w:val="21"/>
                <w:highlight w:val="none"/>
              </w:rPr>
              <w:t>.2条“代理服务费收费计算标准”中工程类收费标准计算（不足人民币</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000元的，按</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000元计）。</w:t>
            </w:r>
          </w:p>
          <w:p w14:paraId="3BF57AA7">
            <w:pPr>
              <w:pStyle w:val="26"/>
              <w:snapToGrid w:val="0"/>
              <w:spacing w:line="390" w:lineRule="exact"/>
              <w:rPr>
                <w:rFonts w:hint="eastAsia" w:hAnsi="宋体"/>
                <w:color w:val="auto"/>
                <w:sz w:val="21"/>
                <w:highlight w:val="none"/>
              </w:rPr>
            </w:pPr>
            <w:r>
              <w:rPr>
                <w:rFonts w:hint="eastAsia" w:hAnsi="宋体"/>
                <w:color w:val="auto"/>
                <w:sz w:val="21"/>
                <w:highlight w:val="none"/>
              </w:rPr>
              <w:t>□固定采购代理收费</w:t>
            </w:r>
            <w:r>
              <w:rPr>
                <w:rFonts w:hint="eastAsia" w:hAnsi="宋体"/>
                <w:color w:val="auto"/>
                <w:sz w:val="21"/>
                <w:highlight w:val="none"/>
                <w:u w:val="single"/>
              </w:rPr>
              <w:t xml:space="preserve">              </w:t>
            </w:r>
            <w:r>
              <w:rPr>
                <w:rFonts w:hint="eastAsia" w:hAnsi="宋体"/>
                <w:color w:val="auto"/>
                <w:sz w:val="21"/>
                <w:highlight w:val="none"/>
              </w:rPr>
              <w:t>。</w:t>
            </w:r>
          </w:p>
          <w:p w14:paraId="536F2F22">
            <w:pPr>
              <w:pStyle w:val="26"/>
              <w:snapToGrid w:val="0"/>
              <w:spacing w:line="390" w:lineRule="exact"/>
              <w:rPr>
                <w:rFonts w:hint="eastAsia" w:hAnsi="宋体"/>
                <w:color w:val="auto"/>
                <w:sz w:val="21"/>
                <w:highlight w:val="none"/>
              </w:rPr>
            </w:pPr>
            <w:r>
              <w:rPr>
                <w:rFonts w:hint="eastAsia" w:hAnsi="宋体"/>
                <w:color w:val="auto"/>
                <w:sz w:val="21"/>
                <w:highlight w:val="none"/>
              </w:rPr>
              <w:t>3. 采购代理费收取银行账户</w:t>
            </w:r>
          </w:p>
          <w:p w14:paraId="6B701CB7">
            <w:pPr>
              <w:pStyle w:val="26"/>
              <w:snapToGrid w:val="0"/>
              <w:spacing w:line="390" w:lineRule="exact"/>
              <w:rPr>
                <w:rFonts w:hint="eastAsia" w:hAnsi="宋体"/>
                <w:color w:val="auto"/>
                <w:sz w:val="21"/>
                <w:highlight w:val="none"/>
              </w:rPr>
            </w:pPr>
            <w:r>
              <w:rPr>
                <w:rFonts w:hint="eastAsia" w:hAnsi="宋体"/>
                <w:color w:val="auto"/>
                <w:sz w:val="21"/>
                <w:highlight w:val="none"/>
              </w:rPr>
              <w:t>开户名称：云之龙咨询集团有限公司桂林分公司</w:t>
            </w:r>
          </w:p>
          <w:p w14:paraId="470A91DD">
            <w:pPr>
              <w:pStyle w:val="26"/>
              <w:snapToGrid w:val="0"/>
              <w:spacing w:line="390" w:lineRule="exact"/>
              <w:rPr>
                <w:rFonts w:hint="eastAsia" w:hAnsi="宋体"/>
                <w:color w:val="auto"/>
                <w:sz w:val="21"/>
                <w:highlight w:val="none"/>
              </w:rPr>
            </w:pPr>
            <w:r>
              <w:rPr>
                <w:rFonts w:hint="eastAsia" w:hAnsi="宋体"/>
                <w:color w:val="auto"/>
                <w:sz w:val="21"/>
                <w:highlight w:val="none"/>
              </w:rPr>
              <w:t>开户银行： 中信银行股份有限公司南宁东葛支行</w:t>
            </w:r>
          </w:p>
          <w:p w14:paraId="7B8AAF03">
            <w:pPr>
              <w:pStyle w:val="26"/>
              <w:snapToGrid w:val="0"/>
              <w:spacing w:line="390" w:lineRule="exact"/>
              <w:rPr>
                <w:rFonts w:hint="eastAsia" w:hAnsi="宋体"/>
                <w:color w:val="auto"/>
                <w:sz w:val="21"/>
                <w:highlight w:val="none"/>
              </w:rPr>
            </w:pPr>
            <w:r>
              <w:rPr>
                <w:rFonts w:hint="eastAsia" w:hAnsi="宋体"/>
                <w:color w:val="auto"/>
                <w:sz w:val="21"/>
                <w:highlight w:val="none"/>
              </w:rPr>
              <w:t>银行账号：8113001014300158041</w:t>
            </w:r>
          </w:p>
        </w:tc>
      </w:tr>
      <w:tr w14:paraId="4070D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C76CB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14:paraId="5DA28FBB">
            <w:pPr>
              <w:pStyle w:val="26"/>
              <w:snapToGrid w:val="0"/>
              <w:spacing w:line="390" w:lineRule="exact"/>
              <w:rPr>
                <w:rFonts w:hint="eastAsia" w:hAnsi="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磋商文件</w:t>
            </w:r>
            <w:r>
              <w:rPr>
                <w:rFonts w:hAnsi="宋体"/>
                <w:color w:val="auto"/>
                <w:sz w:val="21"/>
                <w:highlight w:val="none"/>
              </w:rPr>
              <w:t>的各个组成文件应互为解释，互为说明；除</w:t>
            </w:r>
            <w:r>
              <w:rPr>
                <w:rFonts w:hint="eastAsia" w:hAnsi="宋体"/>
                <w:color w:val="auto"/>
                <w:sz w:val="21"/>
                <w:highlight w:val="none"/>
              </w:rPr>
              <w:t>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、合同文本</w:t>
            </w:r>
            <w:r>
              <w:rPr>
                <w:rFonts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w:t>
            </w:r>
            <w:r>
              <w:rPr>
                <w:rFonts w:hint="eastAsia" w:hAnsi="宋体"/>
                <w:color w:val="auto"/>
                <w:sz w:val="21"/>
                <w:highlight w:val="none"/>
              </w:rPr>
              <w:t>或者采购代理机构</w:t>
            </w:r>
            <w:r>
              <w:rPr>
                <w:rFonts w:hAnsi="宋体"/>
                <w:color w:val="auto"/>
                <w:sz w:val="21"/>
                <w:highlight w:val="none"/>
              </w:rPr>
              <w:t>负责解释。</w:t>
            </w:r>
          </w:p>
        </w:tc>
      </w:tr>
      <w:tr w14:paraId="3A264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0D73A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33.2</w:t>
            </w:r>
          </w:p>
        </w:tc>
        <w:tc>
          <w:tcPr>
            <w:tcW w:w="7912" w:type="dxa"/>
            <w:vAlign w:val="center"/>
          </w:tcPr>
          <w:p w14:paraId="301BEB80">
            <w:pPr>
              <w:pStyle w:val="26"/>
              <w:snapToGrid w:val="0"/>
              <w:spacing w:line="390" w:lineRule="exact"/>
              <w:rPr>
                <w:rFonts w:hint="eastAsia" w:hAnsi="宋体"/>
                <w:color w:val="auto"/>
                <w:sz w:val="21"/>
                <w:highlight w:val="none"/>
              </w:rPr>
            </w:pPr>
            <w:r>
              <w:rPr>
                <w:rFonts w:hint="eastAsia" w:hAnsi="宋体"/>
                <w:color w:val="auto"/>
                <w:sz w:val="21"/>
                <w:highlight w:val="none"/>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w:t>
            </w:r>
            <w:r>
              <w:rPr>
                <w:rFonts w:hint="eastAsia" w:hAnsi="宋体"/>
                <w:color w:val="auto"/>
                <w:sz w:val="21"/>
                <w:highlight w:val="none"/>
                <w:lang w:eastAsia="zh-CN"/>
              </w:rPr>
              <w:t>账</w:t>
            </w:r>
            <w:r>
              <w:rPr>
                <w:rFonts w:hint="eastAsia" w:hAnsi="宋体"/>
                <w:color w:val="auto"/>
                <w:sz w:val="21"/>
                <w:highlight w:val="none"/>
              </w:rPr>
              <w:t>户，也可以使用银行保函。工程竣工验收结算经审定后，按照规定程序，将农民工工资保证金没有使用或剩余的金额退还给承包人。</w:t>
            </w:r>
          </w:p>
        </w:tc>
      </w:tr>
      <w:tr w14:paraId="1901F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BF9B2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w:t>
            </w:r>
            <w:r>
              <w:rPr>
                <w:rFonts w:hint="eastAsia" w:ascii="宋体" w:hAnsi="宋体" w:cs="宋体"/>
                <w:color w:val="auto"/>
                <w:szCs w:val="21"/>
                <w:highlight w:val="none"/>
              </w:rPr>
              <w:t>3</w:t>
            </w:r>
          </w:p>
        </w:tc>
        <w:tc>
          <w:tcPr>
            <w:tcW w:w="7912" w:type="dxa"/>
            <w:vAlign w:val="center"/>
          </w:tcPr>
          <w:p w14:paraId="76B0BDE6">
            <w:pPr>
              <w:pStyle w:val="26"/>
              <w:snapToGrid w:val="0"/>
              <w:spacing w:line="390" w:lineRule="exact"/>
              <w:rPr>
                <w:rFonts w:hint="eastAsia" w:hAnsi="宋体"/>
                <w:color w:val="auto"/>
                <w:sz w:val="21"/>
                <w:highlight w:val="none"/>
              </w:rPr>
            </w:pPr>
            <w:r>
              <w:rPr>
                <w:rFonts w:hint="eastAsia" w:hAnsi="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572155D">
            <w:pPr>
              <w:pStyle w:val="26"/>
              <w:snapToGrid w:val="0"/>
              <w:spacing w:line="390" w:lineRule="exact"/>
              <w:rPr>
                <w:rFonts w:hint="eastAsia" w:hAnsi="宋体"/>
                <w:color w:val="auto"/>
                <w:sz w:val="21"/>
                <w:highlight w:val="none"/>
              </w:rPr>
            </w:pPr>
            <w:r>
              <w:rPr>
                <w:rFonts w:hint="eastAsia" w:hAnsi="宋体"/>
                <w:color w:val="auto"/>
                <w:sz w:val="21"/>
                <w:highlight w:val="none"/>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34AA97E2">
            <w:pPr>
              <w:pStyle w:val="26"/>
              <w:snapToGrid w:val="0"/>
              <w:spacing w:line="390" w:lineRule="exact"/>
              <w:rPr>
                <w:rFonts w:hint="eastAsia" w:hAnsi="宋体"/>
                <w:color w:val="auto"/>
                <w:sz w:val="21"/>
                <w:highlight w:val="none"/>
              </w:rPr>
            </w:pPr>
            <w:r>
              <w:rPr>
                <w:rFonts w:hAnsi="宋体"/>
                <w:color w:val="auto"/>
                <w:sz w:val="21"/>
                <w:highlight w:val="none"/>
              </w:rPr>
              <w:t>3</w:t>
            </w:r>
            <w:r>
              <w:rPr>
                <w:rFonts w:hint="eastAsia" w:hAnsi="宋体"/>
                <w:color w:val="auto"/>
                <w:sz w:val="21"/>
                <w:highlight w:val="none"/>
              </w:rPr>
              <w:t>.供应商为其他组织时，本磋商文件规定的法定代表人指负责人。本磋商文件所称负责人是指参加竞标的其他组织营业执照或者执业许可证等证照上的负责人。</w:t>
            </w:r>
          </w:p>
          <w:p w14:paraId="0F917FC3">
            <w:pPr>
              <w:pStyle w:val="26"/>
              <w:snapToGrid w:val="0"/>
              <w:spacing w:line="390" w:lineRule="exact"/>
              <w:rPr>
                <w:rFonts w:hint="eastAsia" w:hAnsi="宋体"/>
                <w:color w:val="auto"/>
                <w:sz w:val="21"/>
                <w:highlight w:val="none"/>
              </w:rPr>
            </w:pPr>
            <w:r>
              <w:rPr>
                <w:rFonts w:hAnsi="宋体"/>
                <w:color w:val="auto"/>
                <w:sz w:val="21"/>
                <w:highlight w:val="none"/>
              </w:rPr>
              <w:t>4.</w:t>
            </w:r>
            <w:r>
              <w:rPr>
                <w:rFonts w:hint="eastAsia" w:hAnsi="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5BDF1A54">
            <w:pPr>
              <w:pStyle w:val="26"/>
              <w:snapToGrid w:val="0"/>
              <w:spacing w:line="390" w:lineRule="exact"/>
              <w:rPr>
                <w:rFonts w:hint="eastAsia" w:hAnsi="宋体"/>
                <w:color w:val="auto"/>
                <w:sz w:val="21"/>
                <w:highlight w:val="none"/>
              </w:rPr>
            </w:pPr>
            <w:r>
              <w:rPr>
                <w:rFonts w:hint="eastAsia" w:hAnsi="宋体"/>
                <w:color w:val="auto"/>
                <w:sz w:val="21"/>
                <w:highlight w:val="none"/>
              </w:rPr>
              <w:t>5</w:t>
            </w:r>
            <w:r>
              <w:rPr>
                <w:rFonts w:hAnsi="宋体"/>
                <w:color w:val="auto"/>
                <w:sz w:val="21"/>
                <w:highlight w:val="none"/>
              </w:rPr>
              <w:t>.</w:t>
            </w:r>
            <w:r>
              <w:rPr>
                <w:rFonts w:hint="eastAsia" w:hAnsi="宋体"/>
                <w:color w:val="auto"/>
                <w:sz w:val="21"/>
                <w:highlight w:val="none"/>
              </w:rPr>
              <w:t>本磋商文件所称的“以上”“以下”“以内”“届满”，包括本数；所称的“不满”“超过”“以外”，不包括本数。</w:t>
            </w:r>
          </w:p>
          <w:p w14:paraId="6B719824">
            <w:pPr>
              <w:spacing w:line="350" w:lineRule="exact"/>
              <w:rPr>
                <w:rFonts w:ascii="宋体" w:hAnsi="宋体"/>
                <w:b/>
                <w:bCs/>
                <w:color w:val="auto"/>
                <w:szCs w:val="21"/>
              </w:rPr>
            </w:pPr>
            <w:r>
              <w:rPr>
                <w:rFonts w:hint="eastAsia" w:ascii="宋体" w:hAnsi="宋体" w:eastAsia="宋体"/>
                <w:b/>
                <w:bCs/>
                <w:color w:val="auto"/>
                <w:sz w:val="21"/>
                <w:highlight w:val="none"/>
                <w:lang w:val="en-US" w:eastAsia="zh-CN"/>
              </w:rPr>
              <w:t>6.</w:t>
            </w:r>
            <w:r>
              <w:rPr>
                <w:rFonts w:hint="eastAsia" w:ascii="宋体" w:hAnsi="宋体"/>
                <w:b/>
                <w:bCs/>
                <w:color w:val="auto"/>
                <w:szCs w:val="21"/>
              </w:rPr>
              <w:t>根据《关于做好政府采购有关信用主体标识码登记及在政府采购活动中查询使用信用记录有关问题的通知》（桂财采〔2016〕37号</w:t>
            </w:r>
            <w:r>
              <w:rPr>
                <w:rFonts w:hint="eastAsia" w:ascii="宋体" w:hAnsi="宋体"/>
                <w:b/>
                <w:bCs/>
                <w:color w:val="auto"/>
                <w:szCs w:val="21"/>
                <w:lang w:eastAsia="zh-CN"/>
              </w:rPr>
              <w:t>）</w:t>
            </w:r>
            <w:r>
              <w:rPr>
                <w:rFonts w:hint="eastAsia" w:ascii="宋体" w:hAnsi="宋体"/>
                <w:b/>
                <w:bCs/>
                <w:color w:val="auto"/>
                <w:szCs w:val="21"/>
              </w:rPr>
              <w:t>的通知，由采购代理机构对第一</w:t>
            </w:r>
            <w:r>
              <w:rPr>
                <w:rFonts w:hint="eastAsia" w:ascii="宋体" w:hAnsi="宋体"/>
                <w:b/>
                <w:bCs/>
                <w:color w:val="auto"/>
                <w:szCs w:val="21"/>
                <w:lang w:eastAsia="zh-CN"/>
              </w:rPr>
              <w:t>成交</w:t>
            </w:r>
            <w:r>
              <w:rPr>
                <w:rFonts w:hint="eastAsia" w:ascii="宋体" w:hAnsi="宋体"/>
                <w:b/>
                <w:bCs/>
                <w:color w:val="auto"/>
                <w:szCs w:val="21"/>
              </w:rPr>
              <w:t>候选人进行信用查询：</w:t>
            </w:r>
          </w:p>
          <w:p w14:paraId="43AE56DD">
            <w:pPr>
              <w:spacing w:line="350" w:lineRule="exact"/>
              <w:rPr>
                <w:rFonts w:ascii="宋体" w:hAnsi="宋体"/>
                <w:b/>
                <w:bCs/>
                <w:color w:val="auto"/>
                <w:szCs w:val="21"/>
              </w:rPr>
            </w:pPr>
            <w:r>
              <w:rPr>
                <w:rFonts w:hint="eastAsia" w:ascii="宋体" w:hAnsi="宋体"/>
                <w:b/>
                <w:bCs/>
                <w:color w:val="auto"/>
                <w:szCs w:val="21"/>
              </w:rPr>
              <w:t>⑴查询渠道：“信用中国”网站</w:t>
            </w:r>
            <w:r>
              <w:rPr>
                <w:rFonts w:hint="eastAsia" w:ascii="宋体" w:hAnsi="宋体"/>
                <w:b/>
                <w:bCs/>
                <w:color w:val="auto"/>
                <w:szCs w:val="21"/>
                <w:lang w:eastAsia="zh-CN"/>
              </w:rPr>
              <w:t>（</w:t>
            </w:r>
            <w:r>
              <w:rPr>
                <w:rFonts w:hint="eastAsia" w:ascii="宋体" w:hAnsi="宋体"/>
                <w:b/>
                <w:bCs/>
                <w:color w:val="auto"/>
                <w:szCs w:val="21"/>
              </w:rPr>
              <w:t>www.creditchina.gov.cn</w:t>
            </w:r>
            <w:r>
              <w:rPr>
                <w:rFonts w:hint="eastAsia" w:ascii="宋体" w:hAnsi="宋体"/>
                <w:b/>
                <w:bCs/>
                <w:color w:val="auto"/>
                <w:szCs w:val="21"/>
                <w:lang w:eastAsia="zh-CN"/>
              </w:rPr>
              <w:t>）</w:t>
            </w:r>
            <w:r>
              <w:rPr>
                <w:rFonts w:hint="eastAsia" w:ascii="宋体" w:hAnsi="宋体"/>
                <w:b/>
                <w:bCs/>
                <w:color w:val="auto"/>
                <w:szCs w:val="21"/>
              </w:rPr>
              <w:t>、中国政府采购网（www.ccgp.gov.cn）等；</w:t>
            </w:r>
          </w:p>
          <w:p w14:paraId="2A8F71ED">
            <w:pPr>
              <w:spacing w:line="350" w:lineRule="exact"/>
              <w:rPr>
                <w:rFonts w:ascii="宋体" w:hAnsi="宋体"/>
                <w:b/>
                <w:bCs/>
                <w:color w:val="auto"/>
                <w:szCs w:val="21"/>
              </w:rPr>
            </w:pPr>
            <w:r>
              <w:rPr>
                <w:rFonts w:hint="eastAsia" w:ascii="宋体" w:hAnsi="宋体"/>
                <w:b/>
                <w:bCs/>
                <w:color w:val="auto"/>
                <w:szCs w:val="21"/>
              </w:rPr>
              <w:t>⑵查询截止时间：</w:t>
            </w:r>
            <w:r>
              <w:rPr>
                <w:rFonts w:hint="eastAsia" w:ascii="宋体" w:hAnsi="宋体"/>
                <w:b/>
                <w:bCs/>
                <w:color w:val="auto"/>
                <w:szCs w:val="21"/>
                <w:lang w:eastAsia="zh-CN"/>
              </w:rPr>
              <w:t>成交</w:t>
            </w:r>
            <w:r>
              <w:rPr>
                <w:rFonts w:hint="eastAsia" w:ascii="宋体" w:hAnsi="宋体"/>
                <w:b/>
                <w:bCs/>
                <w:color w:val="auto"/>
                <w:szCs w:val="21"/>
              </w:rPr>
              <w:t>通知书发出前；</w:t>
            </w:r>
          </w:p>
          <w:p w14:paraId="3706406A">
            <w:pPr>
              <w:spacing w:line="350" w:lineRule="exact"/>
              <w:rPr>
                <w:rFonts w:ascii="宋体" w:hAnsi="宋体"/>
                <w:b/>
                <w:bCs/>
                <w:color w:val="auto"/>
                <w:szCs w:val="21"/>
              </w:rPr>
            </w:pPr>
            <w:r>
              <w:rPr>
                <w:rFonts w:hint="eastAsia" w:ascii="宋体" w:hAnsi="宋体"/>
                <w:b/>
                <w:bCs/>
                <w:color w:val="auto"/>
                <w:szCs w:val="21"/>
              </w:rPr>
              <w:t>⑶信用信息查询记录和证据留存方式：在查询网站中直接打印查询记录，打印材料作为采购活动资料保存；</w:t>
            </w:r>
          </w:p>
          <w:p w14:paraId="60503DBC">
            <w:pPr>
              <w:pStyle w:val="26"/>
              <w:snapToGrid w:val="0"/>
              <w:spacing w:line="390" w:lineRule="exact"/>
              <w:rPr>
                <w:rFonts w:hint="default" w:eastAsia="宋体"/>
                <w:color w:val="auto"/>
                <w:lang w:val="en-US" w:eastAsia="zh-CN"/>
              </w:rPr>
            </w:pPr>
            <w:r>
              <w:rPr>
                <w:rFonts w:hint="eastAsia" w:hAnsi="宋体"/>
                <w:b/>
                <w:bCs/>
                <w:color w:val="auto"/>
                <w:szCs w:val="21"/>
              </w:rPr>
              <w:t>⑷信用信息使用规则：对在“信用中国”网站</w:t>
            </w:r>
            <w:r>
              <w:rPr>
                <w:rFonts w:hint="eastAsia" w:hAnsi="宋体"/>
                <w:b/>
                <w:bCs/>
                <w:color w:val="auto"/>
                <w:szCs w:val="21"/>
                <w:lang w:eastAsia="zh-CN"/>
              </w:rPr>
              <w:t>（</w:t>
            </w:r>
            <w:r>
              <w:rPr>
                <w:rFonts w:hint="eastAsia" w:hAnsi="宋体"/>
                <w:b/>
                <w:bCs/>
                <w:color w:val="auto"/>
                <w:szCs w:val="21"/>
              </w:rPr>
              <w:t>www.creditchina.gov.cn</w:t>
            </w:r>
            <w:r>
              <w:rPr>
                <w:rFonts w:hint="eastAsia" w:hAnsi="宋体"/>
                <w:b/>
                <w:bCs/>
                <w:color w:val="auto"/>
                <w:szCs w:val="21"/>
                <w:lang w:eastAsia="zh-CN"/>
              </w:rPr>
              <w:t>）</w:t>
            </w:r>
            <w:r>
              <w:rPr>
                <w:rFonts w:hint="eastAsia" w:hAnsi="宋体"/>
                <w:b/>
                <w:bCs/>
                <w:color w:val="auto"/>
                <w:szCs w:val="21"/>
              </w:rPr>
              <w:t>、中国政府采购网（www.ccgp.gov.cn）等渠道列入失信被执行人、</w:t>
            </w:r>
            <w:r>
              <w:rPr>
                <w:rFonts w:hint="eastAsia" w:hAnsi="宋体" w:cs="宋体"/>
                <w:b/>
                <w:bCs/>
                <w:color w:val="auto"/>
                <w:kern w:val="0"/>
                <w:szCs w:val="21"/>
              </w:rPr>
              <w:t>重大税收违法失信主体</w:t>
            </w:r>
            <w:r>
              <w:rPr>
                <w:rFonts w:hint="eastAsia" w:hAnsi="宋体"/>
                <w:b/>
                <w:bCs/>
                <w:color w:val="auto"/>
                <w:szCs w:val="21"/>
              </w:rPr>
              <w:t>、政府采购严重违法失信行为记录名单及其他不符合《中华人民共和国政府采购法》第二十二条规定条件的供应商，取消其</w:t>
            </w:r>
            <w:r>
              <w:rPr>
                <w:rFonts w:hint="eastAsia" w:hAnsi="宋体"/>
                <w:b/>
                <w:bCs/>
                <w:color w:val="auto"/>
                <w:szCs w:val="21"/>
                <w:lang w:eastAsia="zh-CN"/>
              </w:rPr>
              <w:t>成交</w:t>
            </w:r>
            <w:r>
              <w:rPr>
                <w:rFonts w:hint="eastAsia" w:hAnsi="宋体"/>
                <w:b/>
                <w:bCs/>
                <w:color w:val="auto"/>
                <w:szCs w:val="21"/>
              </w:rPr>
              <w:t>候选人资格。</w:t>
            </w:r>
          </w:p>
        </w:tc>
      </w:tr>
    </w:tbl>
    <w:p w14:paraId="7B242E65">
      <w:pPr>
        <w:spacing w:line="400" w:lineRule="exact"/>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3614DDFD">
      <w:pPr>
        <w:spacing w:line="400" w:lineRule="exact"/>
        <w:jc w:val="center"/>
        <w:rPr>
          <w:rFonts w:hint="eastAsia" w:ascii="宋体" w:hAnsi="宋体"/>
          <w:b/>
          <w:color w:val="auto"/>
          <w:sz w:val="32"/>
          <w:szCs w:val="32"/>
          <w:highlight w:val="none"/>
        </w:rPr>
      </w:pPr>
    </w:p>
    <w:p w14:paraId="59951225">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一、总则</w:t>
      </w:r>
    </w:p>
    <w:p w14:paraId="46E5EA1C">
      <w:pPr>
        <w:spacing w:line="400" w:lineRule="exact"/>
        <w:rPr>
          <w:rFonts w:hint="eastAsia" w:ascii="宋体" w:hAnsi="宋体"/>
          <w:color w:val="auto"/>
          <w:szCs w:val="21"/>
          <w:highlight w:val="none"/>
        </w:rPr>
      </w:pPr>
    </w:p>
    <w:p w14:paraId="7D5317C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77C309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10618A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1.2本竞争性磋商文件（以下简称磋商文件）适用于本项目的所有采购程序和环节（法律、法规另有规定的，从其规定）</w:t>
      </w:r>
      <w:r>
        <w:rPr>
          <w:rFonts w:hint="eastAsia" w:ascii="宋体" w:hAnsi="宋体" w:cs="宋体"/>
          <w:color w:val="auto"/>
          <w:spacing w:val="-6"/>
          <w:szCs w:val="21"/>
          <w:highlight w:val="none"/>
        </w:rPr>
        <w:t>。</w:t>
      </w:r>
    </w:p>
    <w:p w14:paraId="08F8941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435631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5CC88582">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13B6BA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6429E806">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2.4“工程”是指建设工程，包括建筑物和构筑物的新建、改建、扩建、装修、拆除、修缮等。</w:t>
      </w:r>
    </w:p>
    <w:p w14:paraId="36B710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28118A1A">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43EBC2CA">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2.7“响应文件”是指：供应商根据本磋商文件要求，编制包含资格证明、报价、商务技术等所有内容的文件</w:t>
      </w:r>
      <w:r>
        <w:rPr>
          <w:rFonts w:hint="eastAsia" w:ascii="宋体" w:hAnsi="宋体" w:cs="宋体"/>
          <w:color w:val="auto"/>
          <w:spacing w:val="-6"/>
          <w:szCs w:val="21"/>
          <w:highlight w:val="none"/>
        </w:rPr>
        <w:t>。</w:t>
      </w:r>
    </w:p>
    <w:p w14:paraId="469C93D4">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2.8“实质性要求”是指磋商文件中已经指明不满足则响应文件按无效处理的条款，或者不能负偏离的条款，或者采购需求中带“▲”的条款</w:t>
      </w:r>
      <w:r>
        <w:rPr>
          <w:rFonts w:hint="eastAsia" w:ascii="宋体" w:hAnsi="宋体" w:cs="宋体"/>
          <w:color w:val="auto"/>
          <w:szCs w:val="21"/>
          <w:highlight w:val="none"/>
          <w:lang w:eastAsia="zh-CN"/>
        </w:rPr>
        <w:t>。实质性要求</w:t>
      </w:r>
      <w:r>
        <w:rPr>
          <w:rFonts w:hint="eastAsia" w:ascii="宋体" w:hAnsi="宋体" w:cs="宋体"/>
          <w:color w:val="auto"/>
          <w:szCs w:val="21"/>
          <w:highlight w:val="none"/>
        </w:rPr>
        <w:t>若有任意一项</w:t>
      </w:r>
      <w:r>
        <w:rPr>
          <w:rFonts w:hint="eastAsia" w:ascii="宋体" w:hAnsi="宋体" w:cs="宋体"/>
          <w:color w:val="auto"/>
          <w:szCs w:val="21"/>
          <w:highlight w:val="none"/>
          <w:lang w:eastAsia="zh-CN"/>
        </w:rPr>
        <w:t>不满足的</w:t>
      </w:r>
      <w:r>
        <w:rPr>
          <w:rFonts w:hint="eastAsia" w:ascii="宋体" w:hAnsi="宋体" w:cs="宋体"/>
          <w:color w:val="auto"/>
          <w:szCs w:val="21"/>
          <w:highlight w:val="none"/>
        </w:rPr>
        <w:t>，响应文件按无效处理。</w:t>
      </w:r>
    </w:p>
    <w:p w14:paraId="7FDFFAB0">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2.9“允许负偏离的条款”是指采购需求中的不属于“实质性要求”的条款。</w:t>
      </w:r>
    </w:p>
    <w:p w14:paraId="4EA12780">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0“首次报价”是指供应商提交的首次响应文件中的报价。</w:t>
      </w:r>
    </w:p>
    <w:p w14:paraId="1775333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0639A2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6C1D436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39AF93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1FC98B2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11EB9A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16920F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7C5E83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w:t>
      </w:r>
      <w:bookmarkStart w:id="57" w:name="_Hlk66782192"/>
      <w:r>
        <w:rPr>
          <w:rFonts w:hint="eastAsia" w:ascii="宋体" w:hAnsi="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57"/>
    </w:p>
    <w:p w14:paraId="50D8594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16E5FB19">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58" w:name="_Toc254970673"/>
      <w:bookmarkStart w:id="59" w:name="_Toc254970532"/>
      <w:r>
        <w:rPr>
          <w:rFonts w:hint="eastAsia" w:ascii="宋体" w:hAnsi="宋体"/>
          <w:b w:val="0"/>
          <w:color w:val="auto"/>
          <w:sz w:val="21"/>
          <w:szCs w:val="21"/>
          <w:highlight w:val="none"/>
        </w:rPr>
        <w:t>6.1本项目不允许转包。</w:t>
      </w:r>
    </w:p>
    <w:p w14:paraId="0FDE9CB1">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6A2DE506">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7DB8164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58"/>
      <w:bookmarkEnd w:id="59"/>
    </w:p>
    <w:p w14:paraId="1A3ABE37">
      <w:pPr>
        <w:spacing w:line="360" w:lineRule="auto"/>
        <w:ind w:firstLine="420" w:firstLineChars="200"/>
        <w:rPr>
          <w:rFonts w:hint="eastAsia" w:ascii="宋体" w:hAnsi="宋体" w:cs="宋体"/>
          <w:color w:val="auto"/>
          <w:szCs w:val="21"/>
          <w:highlight w:val="none"/>
        </w:rPr>
      </w:pPr>
      <w:bookmarkStart w:id="60" w:name="_8.1提供相同品牌产品且通过资格审查、符合性审查的不同投标人参加同一合"/>
      <w:bookmarkEnd w:id="60"/>
      <w:r>
        <w:rPr>
          <w:rFonts w:hint="eastAsia" w:ascii="宋体" w:hAnsi="宋体" w:cs="宋体"/>
          <w:color w:val="auto"/>
          <w:szCs w:val="21"/>
          <w:highlight w:val="none"/>
        </w:rPr>
        <w:t>7.</w:t>
      </w:r>
      <w:r>
        <w:rPr>
          <w:rFonts w:ascii="宋体" w:hAnsi="宋体" w:cs="宋体"/>
          <w:color w:val="auto"/>
          <w:szCs w:val="21"/>
          <w:highlight w:val="none"/>
        </w:rPr>
        <w:t>1</w:t>
      </w:r>
      <w:bookmarkStart w:id="61"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1"/>
    <w:p w14:paraId="5AA00E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495A6D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供应商在竞标活动中提供任何虚假材料谋取成交的，将报财政部门查处；签订合同后发现的，成交供应商须依照</w:t>
      </w:r>
      <w:bookmarkStart w:id="62" w:name="_Hlk170492034"/>
      <w:r>
        <w:rPr>
          <w:rFonts w:hint="eastAsia" w:ascii="宋体" w:hAnsi="宋体" w:cs="宋体"/>
          <w:color w:val="auto"/>
          <w:szCs w:val="21"/>
          <w:highlight w:val="none"/>
        </w:rPr>
        <w:t>有关法律法规</w:t>
      </w:r>
      <w:bookmarkEnd w:id="62"/>
      <w:r>
        <w:rPr>
          <w:rFonts w:hint="eastAsia" w:ascii="宋体" w:hAnsi="宋体" w:cs="宋体"/>
          <w:color w:val="auto"/>
          <w:szCs w:val="21"/>
          <w:highlight w:val="none"/>
        </w:rPr>
        <w:t>规定赔偿采购人，且民事赔偿并不免除违法供应商的行政与刑事责任。</w:t>
      </w:r>
    </w:p>
    <w:p w14:paraId="2D219F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7DDFF7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142085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EBC77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5F4452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5B0F0B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6B2DE6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B017A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62C931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5B846C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023043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10909C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16CD17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50892AE">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44EFEE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438F6E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7099E6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5B1CEE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7FFF1E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7940FE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4D5ED0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495F62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6B6200E5">
      <w:pPr>
        <w:spacing w:line="360" w:lineRule="auto"/>
        <w:ind w:left="1" w:firstLine="417" w:firstLineChars="199"/>
        <w:jc w:val="center"/>
        <w:rPr>
          <w:rFonts w:hint="eastAsia" w:ascii="宋体" w:hAnsi="宋体"/>
          <w:color w:val="auto"/>
          <w:highlight w:val="none"/>
        </w:rPr>
      </w:pPr>
      <w:bookmarkStart w:id="63" w:name="_Toc254970675"/>
      <w:bookmarkStart w:id="64" w:name="_Toc254970534"/>
    </w:p>
    <w:p w14:paraId="29C94E40">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二、磋商文件</w:t>
      </w:r>
      <w:bookmarkEnd w:id="63"/>
      <w:bookmarkEnd w:id="64"/>
    </w:p>
    <w:p w14:paraId="2ACBA6DF">
      <w:pPr>
        <w:spacing w:line="360" w:lineRule="auto"/>
        <w:rPr>
          <w:rFonts w:hint="eastAsia" w:ascii="宋体" w:hAnsi="宋体"/>
          <w:color w:val="auto"/>
          <w:szCs w:val="21"/>
          <w:highlight w:val="none"/>
        </w:rPr>
      </w:pPr>
    </w:p>
    <w:p w14:paraId="61CD86A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24B2FBF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第一章  竞争性磋商公告；</w:t>
      </w:r>
    </w:p>
    <w:p w14:paraId="01785FD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第二章  供应商须知； </w:t>
      </w:r>
    </w:p>
    <w:p w14:paraId="020258D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第三章  采购需求；</w:t>
      </w:r>
    </w:p>
    <w:p w14:paraId="2F15C78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第四章  评审程序、评审方法和评审标准；</w:t>
      </w:r>
    </w:p>
    <w:p w14:paraId="7194729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第五章  工程量清单及图纸</w:t>
      </w:r>
      <w:r>
        <w:rPr>
          <w:rFonts w:hint="eastAsia" w:ascii="宋体" w:hAnsi="宋体"/>
          <w:color w:val="auto"/>
          <w:szCs w:val="21"/>
          <w:highlight w:val="none"/>
          <w:lang w:eastAsia="zh-CN"/>
        </w:rPr>
        <w:t>（另附）</w:t>
      </w:r>
      <w:r>
        <w:rPr>
          <w:rFonts w:hint="eastAsia" w:ascii="宋体" w:hAnsi="宋体"/>
          <w:color w:val="auto"/>
          <w:szCs w:val="21"/>
          <w:highlight w:val="none"/>
        </w:rPr>
        <w:t>；</w:t>
      </w:r>
    </w:p>
    <w:p w14:paraId="66FC4B8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第六章  响应文件格式；</w:t>
      </w:r>
    </w:p>
    <w:p w14:paraId="77E96AD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第七章  合同文本。</w:t>
      </w:r>
    </w:p>
    <w:p w14:paraId="50B528F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50F1DB5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6979186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65AA52A1">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auto"/>
          <w:szCs w:val="21"/>
          <w:highlight w:val="none"/>
        </w:rPr>
        <w:t>采购人或者采购代理机构应当</w:t>
      </w:r>
      <w:r>
        <w:rPr>
          <w:rFonts w:ascii="宋体" w:hAnsi="宋体"/>
          <w:color w:val="auto"/>
          <w:szCs w:val="21"/>
          <w:highlight w:val="none"/>
        </w:rPr>
        <w:t>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5230C633">
      <w:pPr>
        <w:spacing w:line="360" w:lineRule="auto"/>
        <w:rPr>
          <w:rFonts w:hint="eastAsia" w:ascii="宋体" w:hAnsi="宋体"/>
          <w:color w:val="auto"/>
          <w:szCs w:val="21"/>
          <w:highlight w:val="none"/>
        </w:rPr>
      </w:pPr>
    </w:p>
    <w:p w14:paraId="343078F5">
      <w:pPr>
        <w:spacing w:line="360" w:lineRule="auto"/>
        <w:jc w:val="center"/>
        <w:rPr>
          <w:rFonts w:hint="eastAsia" w:ascii="宋体" w:hAnsi="宋体"/>
          <w:b/>
          <w:bCs/>
          <w:color w:val="auto"/>
          <w:szCs w:val="21"/>
          <w:highlight w:val="none"/>
        </w:rPr>
      </w:pPr>
      <w:r>
        <w:rPr>
          <w:rFonts w:hint="eastAsia" w:ascii="宋体" w:hAnsi="宋体"/>
          <w:b/>
          <w:bCs/>
          <w:color w:val="auto"/>
          <w:sz w:val="32"/>
          <w:szCs w:val="32"/>
          <w:highlight w:val="none"/>
        </w:rPr>
        <w:t>三、响应文件的编制</w:t>
      </w:r>
    </w:p>
    <w:p w14:paraId="429D0E18">
      <w:pPr>
        <w:spacing w:line="360" w:lineRule="auto"/>
        <w:rPr>
          <w:rFonts w:hint="eastAsia" w:ascii="宋体" w:hAnsi="宋体"/>
          <w:color w:val="auto"/>
          <w:szCs w:val="21"/>
          <w:highlight w:val="none"/>
        </w:rPr>
      </w:pPr>
    </w:p>
    <w:p w14:paraId="1E32865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13576B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1BC3EF6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46C538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170E1760">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12A38E34">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27930994">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4EE33E7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7EDF60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A82F43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6CE09C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FD9357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4AE64F55">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15.1竞标报价应按磋商文件第五章“工程量清单及图纸”的要求及第六章“响应文件格式”填写相应表格。</w:t>
      </w:r>
    </w:p>
    <w:p w14:paraId="007E5603">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09B6544F">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15.3本项目的增值税计税方法见“供应商须知前附表”。</w:t>
      </w:r>
    </w:p>
    <w:p w14:paraId="32CD1C6A">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15.4竞标报价要求</w:t>
      </w:r>
    </w:p>
    <w:p w14:paraId="01C7D8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供应商的竞标报价应符合以下要求，否则响应文件按无效处理：</w:t>
      </w:r>
    </w:p>
    <w:p w14:paraId="6ADABA94">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（1）供应商必须就“采购需求”中所竞标的全部内容分别作完整唯一总价报价，不得存在漏项报价；</w:t>
      </w:r>
    </w:p>
    <w:p w14:paraId="6434AF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）供应商必须就本项目的单项内容作唯一报价。</w:t>
      </w:r>
    </w:p>
    <w:p w14:paraId="543302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竞标报价（包含首次报价、最后报价）超过本项目规定的采购预算金额或者最高限价的，其响应文件将按无效处理。</w:t>
      </w:r>
    </w:p>
    <w:p w14:paraId="43FEB4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w:t>
      </w:r>
      <w:r>
        <w:rPr>
          <w:rFonts w:ascii="宋体" w:hAnsi="宋体" w:cs="宋体"/>
          <w:color w:val="auto"/>
          <w:szCs w:val="21"/>
          <w:highlight w:val="none"/>
        </w:rPr>
        <w:t>3</w:t>
      </w:r>
      <w:bookmarkStart w:id="65" w:name="_Hlk42592874"/>
      <w:r>
        <w:rPr>
          <w:rFonts w:hint="eastAsia" w:ascii="宋体" w:hAnsi="宋体" w:cs="宋体"/>
          <w:color w:val="auto"/>
          <w:szCs w:val="21"/>
          <w:highlight w:val="none"/>
        </w:rPr>
        <w:t>竞标报价（包含首次报价、最后报价）超过分项采购预算金额或者最高限价的（如有要求），其响应文件将按无效处理。</w:t>
      </w:r>
    </w:p>
    <w:p w14:paraId="1D5151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15.4.4供应商在提交响应文件截止时间前修改竞标函中的竞标报价，应同时修改响应文件“已标价工程量清单”中的相应报价。此修改须符合本须知正文第20条、第21条的有关要求。</w:t>
      </w:r>
    </w:p>
    <w:bookmarkEnd w:id="65"/>
    <w:p w14:paraId="53AC6FC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1947ED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76925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17D38C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29B2026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2D14190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77108D3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14:paraId="51072E62">
      <w:pPr>
        <w:spacing w:line="360" w:lineRule="auto"/>
        <w:ind w:firstLine="420" w:firstLineChars="200"/>
        <w:rPr>
          <w:rFonts w:hint="eastAsia" w:ascii="宋体" w:hAnsi="宋体" w:cs="宋体"/>
          <w:color w:val="auto"/>
          <w:szCs w:val="21"/>
          <w:highlight w:val="none"/>
        </w:rPr>
      </w:pPr>
      <w:bookmarkStart w:id="66" w:name="_Hlk66782243"/>
      <w:r>
        <w:rPr>
          <w:rFonts w:hint="eastAsia" w:ascii="宋体" w:hAnsi="宋体" w:cs="宋体"/>
          <w:color w:val="auto"/>
          <w:szCs w:val="21"/>
          <w:highlight w:val="none"/>
        </w:rPr>
        <w:t>未成交供应商的磋商保证金自成交通知书发出之日起5个工作日内退还；成交供应商的磋商保证金自签订合同之日起5个工作日内退还或者转为成交供应商的履约保证金。</w:t>
      </w:r>
      <w:bookmarkEnd w:id="66"/>
      <w:r>
        <w:rPr>
          <w:rFonts w:hint="eastAsia" w:ascii="宋体" w:hAnsi="宋体" w:cs="宋体"/>
          <w:color w:val="auto"/>
          <w:szCs w:val="21"/>
          <w:highlight w:val="none"/>
        </w:rPr>
        <w:t xml:space="preserve"> </w:t>
      </w:r>
    </w:p>
    <w:p w14:paraId="1B8B3B8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14:paraId="47782A73">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68014748">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14187644">
      <w:pPr>
        <w:spacing w:line="360" w:lineRule="auto"/>
        <w:ind w:left="420" w:leftChars="200"/>
        <w:rPr>
          <w:rFonts w:hint="eastAsia" w:ascii="宋体" w:hAnsi="宋体" w:cs="宋体"/>
          <w:color w:val="auto"/>
          <w:szCs w:val="21"/>
          <w:highlight w:val="none"/>
        </w:rPr>
      </w:pPr>
      <w:r>
        <w:rPr>
          <w:rFonts w:hint="eastAsia" w:ascii="宋体" w:hAnsi="宋体"/>
          <w:color w:val="auto"/>
          <w:szCs w:val="21"/>
          <w:highlight w:val="none"/>
        </w:rPr>
        <w:t>（2）未按规定提交履约保证金的；</w:t>
      </w:r>
    </w:p>
    <w:p w14:paraId="097DD1C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3AE515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01760241">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274120A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088F550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7DBCE9A1">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18.1供应商应按照本项目竞争性磋商文件规定的格式和顺序和广西政府采购云平台的要求编制并加密</w:t>
      </w:r>
      <w:r>
        <w:rPr>
          <w:rFonts w:hint="eastAsia" w:ascii="宋体" w:hAnsi="宋体" w:cs="宋体"/>
          <w:color w:val="auto"/>
          <w:szCs w:val="21"/>
          <w:highlight w:val="none"/>
        </w:rPr>
        <w:t>。响应文件内容不完整、编排混乱导致响应文件被误读、漏读或者查找不到相关内容的，由此引发的后果由供应商承担。</w:t>
      </w:r>
    </w:p>
    <w:p w14:paraId="535BBB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w:t>
      </w:r>
      <w:r>
        <w:rPr>
          <w:rFonts w:hint="eastAsia" w:ascii="宋体" w:hAnsi="宋体"/>
          <w:color w:val="auto"/>
          <w:szCs w:val="21"/>
          <w:highlight w:val="none"/>
        </w:rPr>
        <w:t>广西政府采购云平台</w:t>
      </w:r>
      <w:r>
        <w:rPr>
          <w:rFonts w:hint="eastAsia" w:ascii="宋体" w:hAnsi="宋体" w:cs="宋体"/>
          <w:color w:val="auto"/>
          <w:szCs w:val="21"/>
          <w:highlight w:val="none"/>
        </w:rPr>
        <w:t>的身份认证，确保在电子竞标过程中能够对相关数据电文进行加密和使用电子签章。</w:t>
      </w:r>
    </w:p>
    <w:p w14:paraId="01224B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1BB7D0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w:t>
      </w:r>
      <w:bookmarkStart w:id="67" w:name="_Hlk170492647"/>
      <w:r>
        <w:rPr>
          <w:rFonts w:hint="eastAsia" w:ascii="宋体" w:hAnsi="宋体" w:cs="宋体"/>
          <w:color w:val="auto"/>
          <w:szCs w:val="21"/>
          <w:highlight w:val="none"/>
        </w:rPr>
        <w:t>，</w:t>
      </w:r>
      <w:r>
        <w:rPr>
          <w:rFonts w:hint="eastAsia" w:ascii="宋体" w:hAnsi="宋体"/>
          <w:color w:val="auto"/>
          <w:szCs w:val="21"/>
          <w:highlight w:val="none"/>
        </w:rPr>
        <w:t>并与广西政府采购云平台中获取磋商文件的供应商名称一致，</w:t>
      </w:r>
      <w:bookmarkEnd w:id="67"/>
      <w:r>
        <w:rPr>
          <w:rFonts w:hint="eastAsia" w:ascii="宋体" w:hAnsi="宋体" w:cs="宋体"/>
          <w:color w:val="auto"/>
          <w:szCs w:val="21"/>
          <w:highlight w:val="none"/>
        </w:rPr>
        <w:t>否则其响应文件按无效处理。</w:t>
      </w:r>
    </w:p>
    <w:p w14:paraId="75BC59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55D58CED">
      <w:pPr>
        <w:spacing w:line="360" w:lineRule="auto"/>
        <w:ind w:firstLine="482" w:firstLineChars="200"/>
        <w:rPr>
          <w:rFonts w:hint="eastAsia"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7C8C36F0">
      <w:pPr>
        <w:spacing w:line="360" w:lineRule="auto"/>
        <w:ind w:firstLine="420" w:firstLineChars="200"/>
        <w:rPr>
          <w:rFonts w:hint="eastAsia" w:ascii="宋体" w:hAnsi="宋体" w:cs="宋体"/>
          <w:color w:val="auto"/>
          <w:szCs w:val="21"/>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详见“供应商须知前附表”。</w:t>
      </w:r>
    </w:p>
    <w:p w14:paraId="2A24830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55C3AE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20.1供应商必须按“供应商须知前附表”规定的时间及地点提交响应文件。电子响应文件应在制作完成后，在提交响应文件截止时间前通过有效数字证书（CA认证锁）进行电子签章、加密，然后通过网络将加密的电子响应文件提交至广西政府采购云平台。  </w:t>
      </w:r>
    </w:p>
    <w:p w14:paraId="4F1714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20.2未在规定时间内提交或者未按照磋商文件要求加密的电子响应文件，广西政府采购云平台将拒收。</w:t>
      </w:r>
    </w:p>
    <w:p w14:paraId="438A58A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2D780457">
      <w:pPr>
        <w:spacing w:line="360" w:lineRule="auto"/>
        <w:ind w:firstLine="420" w:firstLineChars="200"/>
        <w:rPr>
          <w:rFonts w:hint="eastAsia" w:ascii="宋体" w:hAnsi="宋体" w:cs="宋体"/>
          <w:color w:val="auto"/>
          <w:szCs w:val="21"/>
          <w:highlight w:val="none"/>
        </w:rPr>
      </w:pPr>
      <w:bookmarkStart w:id="68" w:name="_Toc254970543"/>
      <w:bookmarkStart w:id="69" w:name="_Toc254970684"/>
      <w:r>
        <w:rPr>
          <w:rFonts w:hint="eastAsia" w:ascii="宋体" w:hAnsi="宋体" w:cs="宋体"/>
          <w:color w:val="auto"/>
          <w:szCs w:val="21"/>
          <w:highlight w:val="none"/>
        </w:rPr>
        <w:t>21.1供应商应当在提交响应文件截止时间前完成电子响应文件的提交（上传），提交响应文件截止时间前可以补充、修改或者撤回响应文件。补充或者修改响应文件的，应当先行撤回原响应文件，补充、修改后重新提交（上传），</w:t>
      </w:r>
      <w:r>
        <w:rPr>
          <w:rFonts w:hint="eastAsia" w:ascii="宋体" w:hAnsi="宋体" w:cs="宋体"/>
          <w:color w:val="auto"/>
          <w:szCs w:val="21"/>
          <w:highlight w:val="none"/>
          <w:lang w:eastAsia="zh-CN"/>
        </w:rPr>
        <w:t>至</w:t>
      </w:r>
      <w:r>
        <w:rPr>
          <w:rFonts w:hint="eastAsia" w:ascii="宋体" w:hAnsi="宋体" w:cs="宋体"/>
          <w:color w:val="auto"/>
          <w:szCs w:val="21"/>
          <w:highlight w:val="none"/>
        </w:rPr>
        <w:t>提交响应文件截止时间</w:t>
      </w:r>
      <w:r>
        <w:rPr>
          <w:rFonts w:hint="eastAsia" w:ascii="宋体" w:hAnsi="宋体" w:cs="宋体"/>
          <w:color w:val="auto"/>
          <w:szCs w:val="21"/>
          <w:highlight w:val="none"/>
          <w:lang w:eastAsia="zh-CN"/>
        </w:rPr>
        <w:t>止</w:t>
      </w:r>
      <w:r>
        <w:rPr>
          <w:rFonts w:hint="eastAsia" w:ascii="宋体" w:hAnsi="宋体" w:cs="宋体"/>
          <w:color w:val="auto"/>
          <w:szCs w:val="21"/>
          <w:highlight w:val="none"/>
        </w:rPr>
        <w:t>未完成提交（上传）的，视为撤回响应文件。提交响应文件截止时间以后提交（上传）的响应文件，广西政府采购云平台将予以拒收。（注：补充、修改或者撤回方式可登录广西政府采购云平台，进入“服务中心”中查看 “电子投标文件制作与投送教程”）</w:t>
      </w:r>
    </w:p>
    <w:bookmarkEnd w:id="68"/>
    <w:bookmarkEnd w:id="69"/>
    <w:p w14:paraId="704B59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21.2在提交响应文件截止时间前，除供应商补充、修改或者撤回响应文件外，任何单位和个人不得解密或提取响应文件。</w:t>
      </w:r>
    </w:p>
    <w:p w14:paraId="15AB7EFC">
      <w:pPr>
        <w:spacing w:line="360" w:lineRule="auto"/>
        <w:ind w:firstLine="482" w:firstLineChars="200"/>
        <w:rPr>
          <w:rFonts w:hint="eastAsia" w:ascii="黑体" w:hAnsi="黑体" w:eastAsia="黑体" w:cs="宋体"/>
          <w:b/>
          <w:bCs/>
          <w:color w:val="auto"/>
          <w:sz w:val="24"/>
          <w:highlight w:val="none"/>
        </w:rPr>
      </w:pPr>
      <w:bookmarkStart w:id="70" w:name="_Hlk45702405"/>
      <w:r>
        <w:rPr>
          <w:rFonts w:hint="eastAsia" w:ascii="黑体" w:hAnsi="黑体" w:eastAsia="黑体" w:cs="宋体"/>
          <w:b/>
          <w:bCs/>
          <w:color w:val="auto"/>
          <w:sz w:val="24"/>
          <w:highlight w:val="none"/>
        </w:rPr>
        <w:t>22.响应文件的退回</w:t>
      </w:r>
    </w:p>
    <w:p w14:paraId="6F334C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1E1A457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70E695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供应商在响应文件提交截止时间后向采购人、采购代理机构书面申请撤回响应文件的，将根据本须知正文第17.4条的规定不予退还其磋商保证金。</w:t>
      </w:r>
    </w:p>
    <w:bookmarkEnd w:id="70"/>
    <w:p w14:paraId="59044772">
      <w:pPr>
        <w:spacing w:line="360" w:lineRule="auto"/>
        <w:rPr>
          <w:rFonts w:hint="eastAsia" w:ascii="宋体" w:hAnsi="宋体"/>
          <w:color w:val="auto"/>
          <w:szCs w:val="21"/>
          <w:highlight w:val="none"/>
        </w:rPr>
      </w:pPr>
    </w:p>
    <w:p w14:paraId="1435B8C2">
      <w:pPr>
        <w:spacing w:line="360" w:lineRule="auto"/>
        <w:ind w:left="420" w:firstLine="420"/>
        <w:jc w:val="center"/>
        <w:rPr>
          <w:rFonts w:hint="eastAsia" w:ascii="宋体" w:hAnsi="宋体"/>
          <w:b/>
          <w:bCs/>
          <w:color w:val="auto"/>
          <w:sz w:val="32"/>
          <w:szCs w:val="32"/>
          <w:highlight w:val="none"/>
        </w:rPr>
      </w:pPr>
      <w:r>
        <w:rPr>
          <w:rFonts w:hint="eastAsia" w:ascii="宋体" w:hAnsi="宋体"/>
          <w:b/>
          <w:bCs/>
          <w:color w:val="auto"/>
          <w:sz w:val="32"/>
          <w:szCs w:val="32"/>
          <w:highlight w:val="none"/>
        </w:rPr>
        <w:t>四、评审及磋商</w:t>
      </w:r>
    </w:p>
    <w:p w14:paraId="6BFDA3DF">
      <w:pPr>
        <w:spacing w:line="360" w:lineRule="auto"/>
        <w:ind w:left="420" w:firstLine="420"/>
        <w:rPr>
          <w:rFonts w:hint="eastAsia" w:ascii="宋体" w:hAnsi="宋体"/>
          <w:color w:val="auto"/>
          <w:szCs w:val="21"/>
          <w:highlight w:val="none"/>
        </w:rPr>
      </w:pPr>
    </w:p>
    <w:p w14:paraId="7C84811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025962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含3人）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3A3391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75B2E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301FD69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5078A125">
      <w:pPr>
        <w:spacing w:line="360" w:lineRule="auto"/>
        <w:ind w:firstLine="420" w:firstLineChars="200"/>
        <w:rPr>
          <w:rFonts w:hint="eastAsia"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的响应文件按无效处理</w:t>
      </w:r>
      <w:r>
        <w:rPr>
          <w:b/>
          <w:color w:val="auto"/>
          <w:highlight w:val="none"/>
        </w:rPr>
        <w:t>。</w:t>
      </w:r>
    </w:p>
    <w:p w14:paraId="3ECAE20E">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084F16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5D1421B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r>
        <w:rPr>
          <w:rFonts w:hint="eastAsia" w:ascii="宋体" w:hAnsi="宋体" w:cs="宋体"/>
          <w:color w:val="auto"/>
          <w:szCs w:val="21"/>
          <w:highlight w:val="none"/>
        </w:rPr>
        <w:t>并推荐成交候选供应商</w:t>
      </w:r>
      <w:r>
        <w:rPr>
          <w:rFonts w:ascii="宋体" w:hAnsi="宋体" w:cs="宋体"/>
          <w:color w:val="auto"/>
          <w:szCs w:val="21"/>
          <w:highlight w:val="none"/>
        </w:rPr>
        <w:t>。</w:t>
      </w:r>
    </w:p>
    <w:p w14:paraId="685EF66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商务/技术及其他要求允许负偏离的条款数详见“供应商须知前附表”。</w:t>
      </w:r>
    </w:p>
    <w:p w14:paraId="1E1F7D60">
      <w:pPr>
        <w:spacing w:line="360" w:lineRule="auto"/>
        <w:ind w:firstLine="420" w:firstLineChars="200"/>
        <w:rPr>
          <w:rFonts w:hint="eastAsia"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91988F1">
      <w:pPr>
        <w:spacing w:line="360" w:lineRule="auto"/>
        <w:ind w:firstLine="420" w:firstLineChars="200"/>
        <w:rPr>
          <w:rFonts w:hint="eastAsia"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23A760D1">
      <w:pPr>
        <w:spacing w:line="360" w:lineRule="auto"/>
        <w:ind w:firstLine="420" w:firstLineChars="200"/>
        <w:rPr>
          <w:rFonts w:hint="eastAsia" w:hAnsi="宋体"/>
          <w:color w:val="auto"/>
          <w:highlight w:val="none"/>
        </w:rPr>
      </w:pPr>
      <w:r>
        <w:rPr>
          <w:rFonts w:hint="eastAsia" w:hAnsi="宋体"/>
          <w:color w:val="auto"/>
          <w:highlight w:val="none"/>
        </w:rPr>
        <w:t xml:space="preserve">（1）电子交易平台发生故障而无法登录访问的； </w:t>
      </w:r>
    </w:p>
    <w:p w14:paraId="6739EE8A">
      <w:pPr>
        <w:spacing w:line="360" w:lineRule="auto"/>
        <w:ind w:firstLine="420" w:firstLineChars="200"/>
        <w:rPr>
          <w:rFonts w:hint="eastAsia" w:hAnsi="宋体"/>
          <w:color w:val="auto"/>
          <w:highlight w:val="none"/>
        </w:rPr>
      </w:pPr>
      <w:r>
        <w:rPr>
          <w:rFonts w:hint="eastAsia" w:hAnsi="宋体"/>
          <w:color w:val="auto"/>
          <w:highlight w:val="none"/>
        </w:rPr>
        <w:t>（2）电子交易平台应用或数据库出现错误，不能进行正常操作的；</w:t>
      </w:r>
    </w:p>
    <w:p w14:paraId="34812250">
      <w:pPr>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14:paraId="590E2C68">
      <w:pPr>
        <w:spacing w:line="360" w:lineRule="auto"/>
        <w:ind w:firstLine="420" w:firstLineChars="200"/>
        <w:rPr>
          <w:rFonts w:hint="eastAsia" w:hAnsi="宋体"/>
          <w:color w:val="auto"/>
          <w:highlight w:val="none"/>
        </w:rPr>
      </w:pPr>
      <w:r>
        <w:rPr>
          <w:rFonts w:hint="eastAsia" w:hAnsi="宋体"/>
          <w:color w:val="auto"/>
          <w:highlight w:val="none"/>
        </w:rPr>
        <w:t xml:space="preserve">（4）病毒发作导致不能进行正常操作的； </w:t>
      </w:r>
    </w:p>
    <w:p w14:paraId="0FCA675A">
      <w:pPr>
        <w:spacing w:line="360" w:lineRule="auto"/>
        <w:ind w:firstLine="420" w:firstLineChars="200"/>
        <w:rPr>
          <w:rFonts w:hint="eastAsia" w:hAnsi="宋体"/>
          <w:color w:val="auto"/>
          <w:highlight w:val="none"/>
        </w:rPr>
      </w:pPr>
      <w:r>
        <w:rPr>
          <w:rFonts w:hint="eastAsia" w:hAnsi="宋体"/>
          <w:color w:val="auto"/>
          <w:highlight w:val="none"/>
        </w:rPr>
        <w:t>（5）其他无法保证电子交易的公平、公正和安全的情况。</w:t>
      </w:r>
    </w:p>
    <w:p w14:paraId="62EBABCE">
      <w:pPr>
        <w:spacing w:line="360" w:lineRule="auto"/>
        <w:ind w:firstLine="420" w:firstLineChars="200"/>
        <w:rPr>
          <w:rFonts w:hint="eastAsia"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62ADBF3">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3544B22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773307A">
      <w:pPr>
        <w:spacing w:line="360" w:lineRule="auto"/>
        <w:ind w:firstLine="420" w:firstLineChars="200"/>
        <w:rPr>
          <w:rFonts w:hint="eastAsia"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1"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71"/>
    </w:p>
    <w:p w14:paraId="0917758A">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6404F1F8">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2CC391D5">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65BE70F1">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55FFC237">
      <w:pPr>
        <w:spacing w:line="360" w:lineRule="auto"/>
        <w:ind w:firstLine="420" w:firstLineChars="200"/>
        <w:rPr>
          <w:rFonts w:hint="eastAsia"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4FCA8AB3">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2837E340">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0315C926">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75D26170">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22F0ED18">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w:t>
      </w:r>
    </w:p>
    <w:p w14:paraId="0FC46F63">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7DF1EF3E">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45742C43">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14D2E13B">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9175492">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0F145177">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1985EF6A">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423E7D4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72595A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8E51F1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38E70F79">
      <w:pPr>
        <w:pStyle w:val="7"/>
        <w:spacing w:line="360" w:lineRule="auto"/>
        <w:rPr>
          <w:rFonts w:hint="eastAsia"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1349656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01C509F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（1）对可以质疑的磋商文件提出质疑的，为获取磋商文件之日或者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7F1B72B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5B0C9C3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0DD2C52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69E124D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7D4FC34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7803F70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4B27A46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4ADBB2F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696D0DC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17B7AFD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7CE2A02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1D27D7F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1C94A45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0D71DC1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414946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048E028C">
      <w:pPr>
        <w:spacing w:line="360" w:lineRule="auto"/>
        <w:ind w:firstLine="420" w:firstLineChars="200"/>
        <w:rPr>
          <w:rFonts w:hint="eastAsia"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7046124">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5E0F8954">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w:t>
      </w:r>
    </w:p>
    <w:p w14:paraId="151440E6">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CE8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450A61D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3A5753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成交金额</w:t>
            </w:r>
          </w:p>
        </w:tc>
        <w:tc>
          <w:tcPr>
            <w:tcW w:w="1659" w:type="dxa"/>
            <w:vAlign w:val="center"/>
          </w:tcPr>
          <w:p w14:paraId="432A9D9B">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54ED09D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249E6DD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0734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8FDA90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764A57AB">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1D122B1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5D0AED09">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2948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027140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763733CA">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3ECACCE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0522F61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5D98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7E1803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010183C6">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3228EDB7">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6734547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60E3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C58304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6E41A8F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67FB6E35">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33BFD1E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2A10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F76883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5154EE7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424E0DF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4779E34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4E04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6F8BB2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1F30873C">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23C0C7E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35C1270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0E56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0EE286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1B90940B">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148C2C5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608CA305">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7226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7B15F1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2A9AA08C">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090DD98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735DD7A4">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0C72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0F221A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740176B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7733C755">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1872F01B">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62FE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DC6E93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22EDF50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1DDD74F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53DD11C1">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69DAEAE3">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highlight w:val="none"/>
        </w:rPr>
      </w:pPr>
      <w:r>
        <w:rPr>
          <w:rFonts w:ascii="宋体" w:hAnsi="宋体" w:cs="宋体"/>
          <w:color w:val="auto"/>
          <w:highlight w:val="none"/>
        </w:rPr>
        <w:t>注：</w:t>
      </w:r>
    </w:p>
    <w:p w14:paraId="0E71FF41">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465A0C99">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07A214F7">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工程项目采购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700AF0DD">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highlight w:val="none"/>
        </w:rPr>
      </w:pPr>
      <w:r>
        <w:rPr>
          <w:rFonts w:ascii="宋体" w:hAnsi="宋体" w:cs="宋体"/>
          <w:color w:val="auto"/>
          <w:highlight w:val="none"/>
        </w:rPr>
        <w:t>100万元×l.</w:t>
      </w:r>
      <w:r>
        <w:rPr>
          <w:rFonts w:hint="eastAsia" w:ascii="宋体" w:hAnsi="宋体" w:cs="宋体"/>
          <w:color w:val="auto"/>
          <w:highlight w:val="none"/>
        </w:rPr>
        <w:t>0</w:t>
      </w:r>
      <w:r>
        <w:rPr>
          <w:rFonts w:ascii="宋体" w:hAnsi="宋体" w:cs="宋体"/>
          <w:color w:val="auto"/>
          <w:highlight w:val="none"/>
        </w:rPr>
        <w:t xml:space="preserve"> %＝1.</w:t>
      </w:r>
      <w:r>
        <w:rPr>
          <w:rFonts w:hint="eastAsia" w:ascii="宋体" w:hAnsi="宋体" w:cs="宋体"/>
          <w:color w:val="auto"/>
          <w:highlight w:val="none"/>
        </w:rPr>
        <w:t>0</w:t>
      </w:r>
      <w:r>
        <w:rPr>
          <w:rFonts w:ascii="宋体" w:hAnsi="宋体" w:cs="宋体"/>
          <w:color w:val="auto"/>
          <w:highlight w:val="none"/>
        </w:rPr>
        <w:t>万元</w:t>
      </w:r>
    </w:p>
    <w:p w14:paraId="6EC743C5">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highlight w:val="none"/>
        </w:rPr>
      </w:pPr>
      <w:r>
        <w:rPr>
          <w:rFonts w:ascii="宋体" w:hAnsi="宋体" w:cs="宋体"/>
          <w:color w:val="auto"/>
          <w:highlight w:val="none"/>
        </w:rPr>
        <w:t>（150</w:t>
      </w:r>
      <w:r>
        <w:rPr>
          <w:rFonts w:hint="eastAsia" w:ascii="宋体" w:hAnsi="宋体" w:cs="宋体"/>
          <w:color w:val="auto"/>
          <w:highlight w:val="none"/>
        </w:rPr>
        <w:t>-</w:t>
      </w:r>
      <w:r>
        <w:rPr>
          <w:rFonts w:ascii="宋体" w:hAnsi="宋体" w:cs="宋体"/>
          <w:color w:val="auto"/>
          <w:highlight w:val="none"/>
        </w:rPr>
        <w:t>100）万元×0.</w:t>
      </w:r>
      <w:r>
        <w:rPr>
          <w:rFonts w:hint="eastAsia" w:ascii="宋体" w:hAnsi="宋体" w:cs="宋体"/>
          <w:color w:val="auto"/>
          <w:highlight w:val="none"/>
        </w:rPr>
        <w:t>7</w:t>
      </w:r>
      <w:r>
        <w:rPr>
          <w:rFonts w:ascii="宋体" w:hAnsi="宋体" w:cs="宋体"/>
          <w:color w:val="auto"/>
          <w:highlight w:val="none"/>
        </w:rPr>
        <w:t>%＝0.</w:t>
      </w:r>
      <w:r>
        <w:rPr>
          <w:rFonts w:hint="eastAsia" w:ascii="宋体" w:hAnsi="宋体" w:cs="宋体"/>
          <w:color w:val="auto"/>
          <w:highlight w:val="none"/>
        </w:rPr>
        <w:t>35</w:t>
      </w:r>
      <w:r>
        <w:rPr>
          <w:rFonts w:ascii="宋体" w:hAnsi="宋体" w:cs="宋体"/>
          <w:color w:val="auto"/>
          <w:highlight w:val="none"/>
        </w:rPr>
        <w:t>万元</w:t>
      </w:r>
    </w:p>
    <w:p w14:paraId="6D7FD593">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highlight w:val="none"/>
        </w:rPr>
      </w:pPr>
      <w:r>
        <w:rPr>
          <w:rFonts w:ascii="宋体" w:hAnsi="宋体" w:cs="宋体"/>
          <w:color w:val="auto"/>
          <w:highlight w:val="none"/>
        </w:rPr>
        <w:t>合计收费＝1.</w:t>
      </w:r>
      <w:r>
        <w:rPr>
          <w:rFonts w:hint="eastAsia" w:ascii="宋体" w:hAnsi="宋体" w:cs="宋体"/>
          <w:color w:val="auto"/>
          <w:highlight w:val="none"/>
        </w:rPr>
        <w:t>0+</w:t>
      </w:r>
      <w:r>
        <w:rPr>
          <w:rFonts w:ascii="宋体" w:hAnsi="宋体" w:cs="宋体"/>
          <w:color w:val="auto"/>
          <w:highlight w:val="none"/>
        </w:rPr>
        <w:t>0.</w:t>
      </w:r>
      <w:r>
        <w:rPr>
          <w:rFonts w:hint="eastAsia" w:ascii="宋体" w:hAnsi="宋体" w:cs="宋体"/>
          <w:color w:val="auto"/>
          <w:highlight w:val="none"/>
        </w:rPr>
        <w:t>35</w:t>
      </w:r>
      <w:r>
        <w:rPr>
          <w:rFonts w:ascii="宋体" w:hAnsi="宋体" w:cs="宋体"/>
          <w:color w:val="auto"/>
          <w:highlight w:val="none"/>
        </w:rPr>
        <w:t>＝1.</w:t>
      </w:r>
      <w:r>
        <w:rPr>
          <w:rFonts w:hint="eastAsia" w:ascii="宋体" w:hAnsi="宋体" w:cs="宋体"/>
          <w:color w:val="auto"/>
          <w:highlight w:val="none"/>
        </w:rPr>
        <w:t>35</w:t>
      </w:r>
      <w:r>
        <w:rPr>
          <w:rFonts w:ascii="宋体" w:hAnsi="宋体" w:cs="宋体"/>
          <w:color w:val="auto"/>
          <w:highlight w:val="none"/>
        </w:rPr>
        <w:t>万元</w:t>
      </w:r>
    </w:p>
    <w:p w14:paraId="5C314FBA">
      <w:pPr>
        <w:keepNext w:val="0"/>
        <w:keepLines w:val="0"/>
        <w:pageBreakBefore w:val="0"/>
        <w:widowControl w:val="0"/>
        <w:kinsoku/>
        <w:wordWrap/>
        <w:overflowPunct/>
        <w:topLinePunct w:val="0"/>
        <w:autoSpaceDE/>
        <w:autoSpaceDN/>
        <w:bidi w:val="0"/>
        <w:adjustRightInd/>
        <w:snapToGrid/>
        <w:spacing w:line="36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6ACC7EFD">
      <w:pPr>
        <w:pStyle w:val="26"/>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4230A9BE">
      <w:pPr>
        <w:pStyle w:val="26"/>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33.2农民工工资保证金见“供应商须知前附表”。</w:t>
      </w:r>
    </w:p>
    <w:p w14:paraId="5FECC559">
      <w:pPr>
        <w:pStyle w:val="26"/>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center"/>
        <w:rPr>
          <w:rFonts w:hint="eastAsia" w:hAnsi="宋体" w:cs="宋体"/>
          <w:color w:val="auto"/>
          <w:kern w:val="2"/>
          <w:sz w:val="21"/>
          <w:highlight w:val="none"/>
        </w:rPr>
      </w:pPr>
      <w:r>
        <w:rPr>
          <w:rFonts w:hAnsi="宋体" w:cs="宋体"/>
          <w:color w:val="auto"/>
          <w:kern w:val="2"/>
          <w:sz w:val="21"/>
          <w:highlight w:val="none"/>
        </w:rPr>
        <w:t>33.</w:t>
      </w:r>
      <w:r>
        <w:rPr>
          <w:rFonts w:hint="eastAsia" w:hAnsi="宋体" w:cs="宋体"/>
          <w:color w:val="auto"/>
          <w:kern w:val="2"/>
          <w:sz w:val="21"/>
          <w:highlight w:val="none"/>
        </w:rPr>
        <w:t>3 其他事项详见“供应商须知前附表”。</w:t>
      </w:r>
    </w:p>
    <w:p w14:paraId="195BD3AE">
      <w:pPr>
        <w:pStyle w:val="26"/>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w:t>
      </w:r>
      <w:r>
        <w:rPr>
          <w:rFonts w:hint="eastAsia" w:hAnsi="宋体" w:cs="宋体"/>
          <w:color w:val="auto"/>
          <w:kern w:val="2"/>
          <w:sz w:val="21"/>
          <w:highlight w:val="none"/>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72D486B6">
      <w:pPr>
        <w:pStyle w:val="26"/>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5E40DF6A">
      <w:pPr>
        <w:pStyle w:val="26"/>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79C7C38A">
      <w:pPr>
        <w:pStyle w:val="26"/>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FA583C2">
      <w:pPr>
        <w:pStyle w:val="26"/>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rPr>
          <w:rFonts w:hint="eastAsia" w:hAnsi="宋体"/>
          <w:color w:val="auto"/>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w:t>
      </w:r>
    </w:p>
    <w:p w14:paraId="0BBCA8C9">
      <w:pPr>
        <w:pStyle w:val="26"/>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rPr>
          <w:rFonts w:hint="eastAsia" w:hAnsi="宋体"/>
          <w:color w:val="auto"/>
          <w:sz w:val="21"/>
          <w:highlight w:val="none"/>
        </w:rPr>
      </w:pPr>
      <w:r>
        <w:rPr>
          <w:rFonts w:hint="eastAsia" w:hAnsi="宋体"/>
          <w:color w:val="auto"/>
          <w:sz w:val="21"/>
          <w:highlight w:val="none"/>
        </w:rPr>
        <w:t>依据本磋商文件规定享受扶持政策获得政府采购合同的，小微企业不得将合同分包给大中型企业，中型企业不得将合同分包给大型企业。</w:t>
      </w:r>
    </w:p>
    <w:p w14:paraId="5FA3CB82">
      <w:pPr>
        <w:pStyle w:val="2"/>
        <w:spacing w:before="0" w:after="0" w:line="360" w:lineRule="auto"/>
        <w:jc w:val="center"/>
        <w:rPr>
          <w:color w:val="auto"/>
          <w:highlight w:val="none"/>
        </w:rPr>
      </w:pPr>
      <w:bookmarkStart w:id="72" w:name="_Toc74323458"/>
      <w:r>
        <w:rPr>
          <w:rFonts w:hint="eastAsia"/>
          <w:color w:val="auto"/>
          <w:highlight w:val="none"/>
        </w:rPr>
        <w:t>第三章 采购需求</w:t>
      </w:r>
      <w:bookmarkEnd w:id="72"/>
    </w:p>
    <w:p w14:paraId="29C325A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3E892375">
      <w:pPr>
        <w:spacing w:line="400" w:lineRule="exact"/>
        <w:ind w:firstLine="420" w:firstLineChars="200"/>
        <w:jc w:val="left"/>
        <w:rPr>
          <w:rFonts w:hint="eastAsia"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p>
    <w:p w14:paraId="2E220F87">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（1）政府采购促进中小企业发展。</w:t>
      </w:r>
    </w:p>
    <w:p w14:paraId="6BBA8794">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（2）政府采购支持采用本国产品的政策。</w:t>
      </w:r>
    </w:p>
    <w:p w14:paraId="6DF03B4A">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（3）强制采购节能产品；优先采购节能产品、环境标志产品。</w:t>
      </w:r>
    </w:p>
    <w:p w14:paraId="341F6FE8">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（4）政府采购促进残疾人就业政策。</w:t>
      </w:r>
    </w:p>
    <w:p w14:paraId="3514F205">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（5）政府采购支持监狱企业发展。</w:t>
      </w:r>
    </w:p>
    <w:p w14:paraId="7F958261">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2.“实质性要求”是指磋商文件中已经指明不满足则响应文件按无效处理的条款，或者不能负偏离的条款，或者采购需求中带“▲”的条款</w:t>
      </w:r>
      <w:r>
        <w:rPr>
          <w:rFonts w:hint="eastAsia" w:ascii="宋体" w:hAnsi="宋体" w:cs="宋体"/>
          <w:color w:val="auto"/>
          <w:szCs w:val="21"/>
          <w:highlight w:val="none"/>
          <w:lang w:eastAsia="zh-CN"/>
        </w:rPr>
        <w:t>，实质性要求</w:t>
      </w:r>
      <w:r>
        <w:rPr>
          <w:rFonts w:hint="eastAsia" w:ascii="宋体" w:hAnsi="宋体" w:cs="宋体"/>
          <w:color w:val="auto"/>
          <w:szCs w:val="21"/>
          <w:highlight w:val="none"/>
        </w:rPr>
        <w:t>若有任意一项</w:t>
      </w:r>
      <w:r>
        <w:rPr>
          <w:rFonts w:hint="eastAsia" w:ascii="宋体" w:hAnsi="宋体" w:cs="宋体"/>
          <w:color w:val="auto"/>
          <w:szCs w:val="21"/>
          <w:highlight w:val="none"/>
          <w:lang w:eastAsia="zh-CN"/>
        </w:rPr>
        <w:t>不满足的</w:t>
      </w:r>
      <w:r>
        <w:rPr>
          <w:rFonts w:hint="eastAsia" w:ascii="宋体" w:hAnsi="宋体" w:cs="宋体"/>
          <w:color w:val="auto"/>
          <w:szCs w:val="21"/>
          <w:highlight w:val="none"/>
        </w:rPr>
        <w:t>，响应文件按无效处理。</w:t>
      </w:r>
    </w:p>
    <w:p w14:paraId="25B7B7E7">
      <w:pPr>
        <w:spacing w:line="400" w:lineRule="exact"/>
        <w:ind w:firstLine="424" w:firstLineChars="202"/>
        <w:jc w:val="left"/>
        <w:rPr>
          <w:rFonts w:hint="eastAsia" w:ascii="宋体" w:hAnsi="宋体" w:eastAsia="宋体"/>
          <w:color w:val="auto"/>
          <w:szCs w:val="21"/>
          <w:highlight w:val="none"/>
          <w:lang w:eastAsia="zh-CN"/>
        </w:rPr>
      </w:pPr>
      <w:r>
        <w:rPr>
          <w:rFonts w:hint="eastAsia" w:ascii="宋体" w:hAnsi="宋体" w:cs="宋体"/>
          <w:color w:val="auto"/>
          <w:szCs w:val="21"/>
          <w:highlight w:val="none"/>
        </w:rPr>
        <w:t>3.</w:t>
      </w:r>
      <w:r>
        <w:rPr>
          <w:rFonts w:hint="eastAsia"/>
          <w:color w:val="auto"/>
          <w:highlight w:val="none"/>
        </w:rPr>
        <w:t>供应商必须自行为其竞标产品侵犯他人的知识产权或者专利成果的行为承担相应法律责任</w:t>
      </w:r>
      <w:r>
        <w:rPr>
          <w:rFonts w:hint="eastAsia" w:ascii="宋体" w:hAnsi="宋体" w:cs="宋体"/>
          <w:color w:val="auto"/>
          <w:szCs w:val="21"/>
          <w:highlight w:val="none"/>
          <w:lang w:eastAsia="zh-CN"/>
        </w:rPr>
        <w:t>。</w:t>
      </w:r>
    </w:p>
    <w:p w14:paraId="1416EBB7">
      <w:pPr>
        <w:spacing w:line="400" w:lineRule="exact"/>
        <w:ind w:firstLine="310" w:firstLineChars="147"/>
        <w:jc w:val="left"/>
        <w:rPr>
          <w:rFonts w:hint="eastAsia" w:ascii="宋体" w:hAnsi="宋体"/>
          <w:b/>
          <w:color w:val="auto"/>
          <w:szCs w:val="21"/>
          <w:highlight w:val="none"/>
        </w:rPr>
      </w:pPr>
      <w:r>
        <w:rPr>
          <w:rFonts w:hint="eastAsia" w:ascii="宋体" w:hAnsi="宋体"/>
          <w:b/>
          <w:color w:val="auto"/>
          <w:szCs w:val="21"/>
          <w:highlight w:val="none"/>
        </w:rPr>
        <w:t>采购预算：人民币壹佰</w:t>
      </w:r>
      <w:r>
        <w:rPr>
          <w:rFonts w:hint="eastAsia" w:ascii="宋体" w:hAnsi="宋体"/>
          <w:b/>
          <w:color w:val="auto"/>
          <w:szCs w:val="21"/>
          <w:highlight w:val="none"/>
          <w:lang w:eastAsia="zh-CN"/>
        </w:rPr>
        <w:t>零</w:t>
      </w:r>
      <w:r>
        <w:rPr>
          <w:rFonts w:hint="eastAsia" w:ascii="宋体" w:hAnsi="宋体"/>
          <w:b/>
          <w:color w:val="auto"/>
          <w:szCs w:val="21"/>
          <w:highlight w:val="none"/>
        </w:rPr>
        <w:t>伍万捌仟壹佰贰拾</w:t>
      </w:r>
      <w:r>
        <w:rPr>
          <w:rFonts w:hint="eastAsia" w:ascii="宋体" w:hAnsi="宋体"/>
          <w:b/>
          <w:color w:val="auto"/>
          <w:szCs w:val="21"/>
          <w:highlight w:val="none"/>
          <w:lang w:eastAsia="zh-CN"/>
        </w:rPr>
        <w:t>叁</w:t>
      </w:r>
      <w:r>
        <w:rPr>
          <w:rFonts w:hint="eastAsia" w:ascii="宋体" w:hAnsi="宋体"/>
          <w:b/>
          <w:color w:val="auto"/>
          <w:szCs w:val="21"/>
          <w:highlight w:val="none"/>
        </w:rPr>
        <w:t>元</w:t>
      </w:r>
      <w:r>
        <w:rPr>
          <w:rFonts w:hint="eastAsia" w:ascii="宋体" w:hAnsi="宋体"/>
          <w:b/>
          <w:color w:val="auto"/>
          <w:szCs w:val="21"/>
          <w:highlight w:val="none"/>
          <w:lang w:eastAsia="zh-CN"/>
        </w:rPr>
        <w:t>柒</w:t>
      </w:r>
      <w:r>
        <w:rPr>
          <w:rFonts w:hint="eastAsia" w:ascii="宋体" w:hAnsi="宋体"/>
          <w:b/>
          <w:color w:val="auto"/>
          <w:szCs w:val="21"/>
          <w:highlight w:val="none"/>
        </w:rPr>
        <w:t>角</w:t>
      </w:r>
      <w:r>
        <w:rPr>
          <w:rFonts w:hint="eastAsia" w:ascii="宋体" w:hAnsi="宋体"/>
          <w:b/>
          <w:color w:val="auto"/>
          <w:szCs w:val="21"/>
          <w:highlight w:val="none"/>
          <w:lang w:eastAsia="zh-CN"/>
        </w:rPr>
        <w:t>肆</w:t>
      </w:r>
      <w:r>
        <w:rPr>
          <w:rFonts w:hint="eastAsia" w:ascii="宋体" w:hAnsi="宋体"/>
          <w:b/>
          <w:color w:val="auto"/>
          <w:szCs w:val="21"/>
          <w:highlight w:val="none"/>
        </w:rPr>
        <w:t>分（</w:t>
      </w:r>
      <w:r>
        <w:rPr>
          <w:rFonts w:hint="eastAsia" w:ascii="方正粗黑宋简体" w:hAnsi="方正粗黑宋简体" w:eastAsia="方正粗黑宋简体"/>
          <w:b/>
          <w:color w:val="auto"/>
          <w:szCs w:val="21"/>
          <w:highlight w:val="none"/>
        </w:rPr>
        <w:t>¥</w:t>
      </w:r>
      <w:r>
        <w:rPr>
          <w:rFonts w:hint="eastAsia" w:ascii="宋体" w:hAnsi="宋体"/>
          <w:b/>
          <w:color w:val="auto"/>
          <w:szCs w:val="21"/>
          <w:highlight w:val="none"/>
        </w:rPr>
        <w:t>1058123.74）</w:t>
      </w:r>
    </w:p>
    <w:p w14:paraId="4E5D9A4E">
      <w:pPr>
        <w:spacing w:line="400" w:lineRule="exact"/>
        <w:ind w:firstLine="310" w:firstLineChars="147"/>
        <w:jc w:val="left"/>
        <w:rPr>
          <w:rFonts w:hint="eastAsia" w:ascii="宋体" w:hAnsi="宋体"/>
          <w:b/>
          <w:color w:val="auto"/>
          <w:szCs w:val="21"/>
          <w:highlight w:val="none"/>
        </w:rPr>
      </w:pPr>
      <w:r>
        <w:rPr>
          <w:rFonts w:hint="eastAsia" w:ascii="宋体" w:hAnsi="宋体"/>
          <w:b/>
          <w:color w:val="auto"/>
          <w:szCs w:val="21"/>
          <w:highlight w:val="none"/>
        </w:rPr>
        <w:t>所属行业：建筑业</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0"/>
        <w:gridCol w:w="549"/>
        <w:gridCol w:w="1955"/>
        <w:gridCol w:w="4201"/>
      </w:tblGrid>
      <w:tr w14:paraId="7D365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649" w:type="dxa"/>
            <w:gridSpan w:val="2"/>
            <w:vAlign w:val="center"/>
          </w:tcPr>
          <w:p w14:paraId="77F57F78">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1955" w:type="dxa"/>
            <w:vAlign w:val="center"/>
          </w:tcPr>
          <w:p w14:paraId="20281655">
            <w:pPr>
              <w:tabs>
                <w:tab w:val="left" w:pos="180"/>
                <w:tab w:val="left" w:pos="1620"/>
              </w:tabs>
              <w:spacing w:line="400" w:lineRule="exact"/>
              <w:jc w:val="center"/>
              <w:rPr>
                <w:rFonts w:hint="eastAsia" w:ascii="宋体" w:hAnsi="宋体" w:cs="宋体"/>
                <w:color w:val="auto"/>
                <w:szCs w:val="21"/>
                <w:highlight w:val="none"/>
              </w:rPr>
            </w:pPr>
            <w:r>
              <w:rPr>
                <w:rFonts w:hint="eastAsia"/>
                <w:color w:val="auto"/>
                <w:highlight w:val="none"/>
              </w:rPr>
              <w:t>招标工程量清单</w:t>
            </w:r>
            <w:r>
              <w:rPr>
                <w:rFonts w:hint="eastAsia" w:ascii="宋体" w:hAnsi="宋体" w:cs="宋体"/>
                <w:color w:val="auto"/>
                <w:szCs w:val="21"/>
                <w:highlight w:val="none"/>
              </w:rPr>
              <w:t>及图纸</w:t>
            </w:r>
          </w:p>
        </w:tc>
        <w:tc>
          <w:tcPr>
            <w:tcW w:w="4201" w:type="dxa"/>
            <w:vAlign w:val="center"/>
          </w:tcPr>
          <w:p w14:paraId="3CED788C">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具体要求</w:t>
            </w:r>
          </w:p>
        </w:tc>
      </w:tr>
      <w:tr w14:paraId="7E931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8805" w:type="dxa"/>
            <w:gridSpan w:val="4"/>
            <w:vAlign w:val="center"/>
          </w:tcPr>
          <w:p w14:paraId="2906A274">
            <w:pPr>
              <w:tabs>
                <w:tab w:val="left" w:pos="180"/>
                <w:tab w:val="left" w:pos="1620"/>
              </w:tabs>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▲一、</w:t>
            </w:r>
            <w:r>
              <w:rPr>
                <w:rFonts w:hint="eastAsia"/>
                <w:b/>
                <w:color w:val="auto"/>
                <w:highlight w:val="none"/>
              </w:rPr>
              <w:t>技术及其他要求</w:t>
            </w:r>
          </w:p>
        </w:tc>
      </w:tr>
      <w:tr w14:paraId="25DB5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2649" w:type="dxa"/>
            <w:gridSpan w:val="2"/>
            <w:vAlign w:val="center"/>
          </w:tcPr>
          <w:p w14:paraId="6BE74E0B">
            <w:pPr>
              <w:tabs>
                <w:tab w:val="left" w:pos="180"/>
                <w:tab w:val="left" w:pos="1620"/>
              </w:tabs>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永福县人民法院办公区域与生活区域物理隔离工程</w:t>
            </w:r>
          </w:p>
        </w:tc>
        <w:tc>
          <w:tcPr>
            <w:tcW w:w="1955" w:type="dxa"/>
            <w:vAlign w:val="center"/>
          </w:tcPr>
          <w:p w14:paraId="23A9E86B">
            <w:pPr>
              <w:tabs>
                <w:tab w:val="left" w:pos="180"/>
                <w:tab w:val="left" w:pos="1620"/>
              </w:tabs>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另附</w:t>
            </w:r>
          </w:p>
        </w:tc>
        <w:tc>
          <w:tcPr>
            <w:tcW w:w="4201" w:type="dxa"/>
            <w:vAlign w:val="center"/>
          </w:tcPr>
          <w:p w14:paraId="45EFE4A7">
            <w:pPr>
              <w:pStyle w:val="114"/>
              <w:wordWrap w:val="0"/>
              <w:spacing w:line="400" w:lineRule="exact"/>
              <w:ind w:firstLine="0" w:firstLineChars="0"/>
              <w:rPr>
                <w:rFonts w:hint="eastAsia" w:ascii="宋体" w:hAnsi="宋体"/>
                <w:b/>
                <w:bCs/>
                <w:color w:val="auto"/>
                <w:highlight w:val="none"/>
              </w:rPr>
            </w:pPr>
            <w:r>
              <w:rPr>
                <w:rFonts w:hint="eastAsia" w:ascii="宋体" w:hAnsi="宋体"/>
                <w:b/>
                <w:bCs/>
                <w:color w:val="auto"/>
                <w:highlight w:val="none"/>
              </w:rPr>
              <w:t>（一）工程概况：</w:t>
            </w:r>
            <w:r>
              <w:rPr>
                <w:rFonts w:hint="eastAsia" w:ascii="宋体" w:hAnsi="宋体"/>
                <w:b/>
                <w:bCs/>
                <w:color w:val="auto"/>
                <w:szCs w:val="21"/>
                <w:highlight w:val="none"/>
              </w:rPr>
              <w:t>新建框架结构生活区门卫室1座，建筑面积18.36㎡，新建办公区门卫室1座，建筑面积43.24㎡，对190米旧围墙维修改造，新建115.20米隔离围栏，迁移砍伐院内苗木，新建沥青道路建设744.59㎡，对办公区及生活区室外水电改造，新增院内绿化工程等，具体详见图纸及工程量清单</w:t>
            </w:r>
            <w:r>
              <w:rPr>
                <w:rFonts w:hint="eastAsia" w:ascii="宋体" w:hAnsi="宋体"/>
                <w:b/>
                <w:bCs/>
                <w:color w:val="auto"/>
                <w:highlight w:val="none"/>
              </w:rPr>
              <w:t>。</w:t>
            </w:r>
          </w:p>
          <w:p w14:paraId="4EC0DA89">
            <w:pPr>
              <w:pStyle w:val="114"/>
              <w:wordWrap w:val="0"/>
              <w:spacing w:line="400" w:lineRule="exact"/>
              <w:ind w:firstLine="0" w:firstLineChars="0"/>
              <w:rPr>
                <w:rFonts w:hint="eastAsia" w:ascii="宋体" w:hAnsi="宋体"/>
                <w:b/>
                <w:bCs/>
                <w:color w:val="auto"/>
                <w:highlight w:val="none"/>
              </w:rPr>
            </w:pPr>
            <w:r>
              <w:rPr>
                <w:rFonts w:hint="eastAsia" w:ascii="宋体" w:hAnsi="宋体"/>
                <w:b/>
                <w:bCs/>
                <w:color w:val="auto"/>
                <w:highlight w:val="none"/>
              </w:rPr>
              <w:t>（二）质量要求：达到现行国家施工验收规范合格标准。</w:t>
            </w:r>
          </w:p>
          <w:p w14:paraId="578C9DA6">
            <w:pPr>
              <w:pStyle w:val="114"/>
              <w:wordWrap w:val="0"/>
              <w:spacing w:line="400" w:lineRule="exact"/>
              <w:ind w:firstLine="0" w:firstLineChars="0"/>
              <w:rPr>
                <w:rFonts w:hint="eastAsia" w:ascii="宋体" w:hAnsi="宋体"/>
                <w:b/>
                <w:bCs/>
                <w:color w:val="auto"/>
                <w:highlight w:val="none"/>
              </w:rPr>
            </w:pPr>
            <w:r>
              <w:rPr>
                <w:rFonts w:hint="eastAsia" w:ascii="宋体" w:hAnsi="宋体"/>
                <w:b/>
                <w:bCs/>
                <w:color w:val="auto"/>
                <w:highlight w:val="none"/>
              </w:rPr>
              <w:t>（三）安全要求：符合国家及行业规定。</w:t>
            </w:r>
          </w:p>
          <w:p w14:paraId="4888C804">
            <w:pPr>
              <w:pStyle w:val="114"/>
              <w:wordWrap w:val="0"/>
              <w:spacing w:line="400" w:lineRule="exact"/>
              <w:ind w:firstLine="0" w:firstLineChars="0"/>
              <w:rPr>
                <w:rFonts w:hint="eastAsia" w:ascii="宋体" w:hAnsi="宋体"/>
                <w:b/>
                <w:bCs/>
                <w:color w:val="auto"/>
                <w:highlight w:val="none"/>
              </w:rPr>
            </w:pPr>
            <w:r>
              <w:rPr>
                <w:rFonts w:hint="eastAsia" w:ascii="宋体" w:hAnsi="宋体"/>
                <w:b/>
                <w:bCs/>
                <w:color w:val="auto"/>
                <w:highlight w:val="none"/>
              </w:rPr>
              <w:t>（四）技术要求：本项目技术规范采用现行国家相关标准、行业标准、地方标准或者其他标准、规范。</w:t>
            </w:r>
          </w:p>
          <w:p w14:paraId="426E0BB5">
            <w:pPr>
              <w:pStyle w:val="114"/>
              <w:wordWrap w:val="0"/>
              <w:spacing w:line="400" w:lineRule="exact"/>
              <w:ind w:firstLine="0" w:firstLineChars="0"/>
              <w:rPr>
                <w:rFonts w:hint="eastAsia" w:ascii="宋体" w:hAnsi="宋体"/>
                <w:b/>
                <w:bCs/>
                <w:color w:val="auto"/>
                <w:highlight w:val="none"/>
              </w:rPr>
            </w:pPr>
            <w:r>
              <w:rPr>
                <w:rFonts w:hint="eastAsia" w:ascii="宋体" w:hAnsi="宋体"/>
                <w:b/>
                <w:bCs/>
                <w:color w:val="auto"/>
                <w:highlight w:val="none"/>
              </w:rPr>
              <w:t>（五）报价形式：工程量清单报价。</w:t>
            </w:r>
          </w:p>
          <w:p w14:paraId="12C3F8D2">
            <w:pPr>
              <w:tabs>
                <w:tab w:val="left" w:pos="180"/>
                <w:tab w:val="left" w:pos="1620"/>
              </w:tabs>
              <w:wordWrap w:val="0"/>
              <w:spacing w:line="400" w:lineRule="exact"/>
              <w:rPr>
                <w:rFonts w:hint="eastAsia" w:ascii="宋体" w:hAnsi="宋体" w:cs="宋体"/>
                <w:b/>
                <w:bCs/>
                <w:color w:val="auto"/>
                <w:szCs w:val="21"/>
                <w:highlight w:val="none"/>
              </w:rPr>
            </w:pPr>
            <w:bookmarkStart w:id="73" w:name="OLE_LINK13"/>
            <w:r>
              <w:rPr>
                <w:rFonts w:hint="eastAsia" w:ascii="宋体" w:hAnsi="宋体" w:cs="宋体"/>
                <w:b/>
                <w:bCs/>
                <w:color w:val="auto"/>
                <w:szCs w:val="21"/>
                <w:highlight w:val="none"/>
              </w:rPr>
              <w:t>（六）项目管理机构</w:t>
            </w:r>
            <w:bookmarkEnd w:id="73"/>
            <w:r>
              <w:rPr>
                <w:rFonts w:hint="eastAsia" w:ascii="宋体" w:hAnsi="宋体" w:cs="宋体"/>
                <w:b/>
                <w:bCs/>
                <w:color w:val="auto"/>
                <w:szCs w:val="21"/>
                <w:highlight w:val="none"/>
              </w:rPr>
              <w:t>人员</w:t>
            </w:r>
          </w:p>
          <w:p w14:paraId="032D5082">
            <w:pPr>
              <w:tabs>
                <w:tab w:val="left" w:pos="180"/>
                <w:tab w:val="left" w:pos="1620"/>
              </w:tabs>
              <w:wordWrap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1.配备要求：</w:t>
            </w:r>
          </w:p>
          <w:p w14:paraId="7C7631E3">
            <w:pPr>
              <w:tabs>
                <w:tab w:val="left" w:pos="180"/>
                <w:tab w:val="left" w:pos="1620"/>
              </w:tabs>
              <w:wordWrap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fldChar w:fldCharType="begin"/>
            </w:r>
            <w:r>
              <w:rPr>
                <w:rFonts w:hint="eastAsia" w:ascii="宋体" w:hAnsi="宋体" w:cs="宋体"/>
                <w:b/>
                <w:bCs/>
                <w:color w:val="auto"/>
                <w:szCs w:val="21"/>
                <w:highlight w:val="none"/>
              </w:rPr>
              <w:instrText xml:space="preserve"> = 1 \* GB3 \* MERGEFORMAT </w:instrText>
            </w:r>
            <w:r>
              <w:rPr>
                <w:rFonts w:hint="eastAsia" w:ascii="宋体" w:hAnsi="宋体" w:cs="宋体"/>
                <w:b/>
                <w:bCs/>
                <w:color w:val="auto"/>
                <w:szCs w:val="21"/>
                <w:highlight w:val="none"/>
              </w:rPr>
              <w:fldChar w:fldCharType="separate"/>
            </w:r>
            <w:r>
              <w:rPr>
                <w:rFonts w:hint="eastAsia" w:ascii="宋体" w:hAnsi="宋体" w:cs="宋体"/>
                <w:b/>
                <w:bCs/>
                <w:color w:val="auto"/>
                <w:szCs w:val="21"/>
                <w:highlight w:val="none"/>
              </w:rPr>
              <w:t>①</w:t>
            </w:r>
            <w:r>
              <w:rPr>
                <w:rFonts w:hint="eastAsia" w:ascii="宋体" w:hAnsi="宋体" w:cs="宋体"/>
                <w:b/>
                <w:bCs/>
                <w:color w:val="auto"/>
                <w:szCs w:val="21"/>
                <w:highlight w:val="none"/>
              </w:rPr>
              <w:fldChar w:fldCharType="end"/>
            </w:r>
            <w:r>
              <w:rPr>
                <w:rFonts w:hint="eastAsia" w:ascii="宋体" w:hAnsi="宋体" w:cs="宋体"/>
                <w:b/>
                <w:bCs/>
                <w:color w:val="auto"/>
                <w:szCs w:val="21"/>
                <w:highlight w:val="none"/>
              </w:rPr>
              <w:t>项目经理（1人）：供应商拟派本工程的项目经理必须具有建筑工程专业二级以上（含二级）注册建造师执业资格并具有有效的安全生产考核合格证（B类），且未在其他在建、已中标（或成交）未开工或已列为其他项目中标（或成交）候选人第一名的建造师作为项目经理</w:t>
            </w:r>
            <w:r>
              <w:rPr>
                <w:rFonts w:hint="eastAsia"/>
                <w:b/>
                <w:bCs/>
                <w:color w:val="auto"/>
                <w:highlight w:val="none"/>
              </w:rPr>
              <w:t>【（符合《广西壮族自治区建筑市场诚信卡管理暂行办法》第十六条第一款及桂建管﹝2016﹞70号、桂建管〔2020〕11号文除外）】</w:t>
            </w:r>
            <w:r>
              <w:rPr>
                <w:rFonts w:hint="eastAsia" w:ascii="宋体" w:hAnsi="宋体" w:cs="宋体"/>
                <w:b/>
                <w:bCs/>
                <w:color w:val="auto"/>
                <w:szCs w:val="21"/>
                <w:highlight w:val="none"/>
              </w:rPr>
              <w:t>。</w:t>
            </w:r>
          </w:p>
          <w:p w14:paraId="5D64C72E">
            <w:pPr>
              <w:tabs>
                <w:tab w:val="left" w:pos="180"/>
                <w:tab w:val="left" w:pos="1620"/>
              </w:tabs>
              <w:wordWrap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②技术负责人（1人）：技术负责人具有与本项目相关的</w:t>
            </w:r>
            <w:r>
              <w:rPr>
                <w:rFonts w:hint="eastAsia" w:ascii="宋体" w:hAnsi="宋体" w:cs="宋体"/>
                <w:b/>
                <w:bCs/>
                <w:color w:val="auto"/>
                <w:szCs w:val="21"/>
                <w:highlight w:val="none"/>
                <w:lang w:eastAsia="zh-CN"/>
              </w:rPr>
              <w:t>建筑</w:t>
            </w:r>
            <w:r>
              <w:rPr>
                <w:rFonts w:hint="eastAsia" w:ascii="宋体" w:hAnsi="宋体" w:cs="宋体"/>
                <w:b/>
                <w:bCs/>
                <w:color w:val="auto"/>
                <w:szCs w:val="21"/>
                <w:highlight w:val="none"/>
              </w:rPr>
              <w:t>工程专业中级及以上职称。</w:t>
            </w:r>
          </w:p>
          <w:p w14:paraId="7E3A07E6">
            <w:pPr>
              <w:tabs>
                <w:tab w:val="left" w:pos="180"/>
                <w:tab w:val="left" w:pos="1620"/>
              </w:tabs>
              <w:wordWrap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③专职安全生产管理人员（1人）：专职安全生产管理人员须具有安全生产考核合格证书（C类）；</w:t>
            </w:r>
          </w:p>
          <w:p w14:paraId="134DFABE">
            <w:pPr>
              <w:tabs>
                <w:tab w:val="left" w:pos="180"/>
                <w:tab w:val="left" w:pos="1620"/>
              </w:tabs>
              <w:wordWrap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④施工员、质量员、材料员（各配备1人）：施工员、质量员、材料员须具有施工现场专业人员职业培训合格证书。</w:t>
            </w:r>
          </w:p>
          <w:p w14:paraId="31990BFD">
            <w:pPr>
              <w:tabs>
                <w:tab w:val="left" w:pos="180"/>
                <w:tab w:val="left" w:pos="1620"/>
              </w:tabs>
              <w:wordWrap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2.供应商须按“第六章 响应文件格式”要求，于响应文件中必须提供“项目管理机构配备情况表”【含项目经理、技术负责人、专职安全生产管理人员、施工员、质量员、材料员的基本情况，并附以下证明材料：①项目经理具有建筑工程专业二级以上（含二级）注册建造师执业资格证书复印件及有效的安全生产考核合格证书复印件（B类），加盖供应商电子签章；②技术负责人的与本项目相关的</w:t>
            </w:r>
            <w:r>
              <w:rPr>
                <w:rFonts w:hint="eastAsia" w:ascii="宋体" w:hAnsi="宋体" w:cs="宋体"/>
                <w:b/>
                <w:bCs/>
                <w:color w:val="auto"/>
                <w:szCs w:val="21"/>
                <w:highlight w:val="none"/>
                <w:lang w:eastAsia="zh-CN"/>
              </w:rPr>
              <w:t>建筑</w:t>
            </w:r>
            <w:r>
              <w:rPr>
                <w:rFonts w:hint="eastAsia" w:ascii="宋体" w:hAnsi="宋体" w:cs="宋体"/>
                <w:b/>
                <w:bCs/>
                <w:color w:val="auto"/>
                <w:szCs w:val="21"/>
                <w:highlight w:val="none"/>
              </w:rPr>
              <w:t>工程专业中级及以上职称证书复印件，加盖供应商电子签章；③专职安全生产管理人员须具有安全生产考核合格证书复印件（C类），加盖供应商电子签章；④施工员、质量员、材料员须具有施工现场专业人员职业培训合格证书复印件，加盖供应商电子签章；⑤以上项目管理机构人员的身份证复印件及2024年</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月以来任意一个月供应商为以上项目管理机构人员交纳的社保证明材料复印件（如聘请的员工自签订劳动合同之日起不足1个月的，则提供有效的劳动合同复印件），加盖供应商电子签章】。</w:t>
            </w:r>
          </w:p>
          <w:p w14:paraId="576DAEE4">
            <w:pPr>
              <w:pStyle w:val="64"/>
              <w:wordWrap w:val="0"/>
              <w:spacing w:line="400" w:lineRule="exact"/>
              <w:rPr>
                <w:rFonts w:hint="eastAsia" w:ascii="宋体" w:hAnsi="宋体"/>
                <w:b/>
                <w:bCs/>
                <w:color w:val="auto"/>
                <w:highlight w:val="none"/>
              </w:rPr>
            </w:pPr>
            <w:r>
              <w:rPr>
                <w:rFonts w:hint="eastAsia" w:ascii="宋体" w:hAnsi="宋体" w:cs="宋体"/>
                <w:b/>
                <w:bCs/>
                <w:color w:val="auto"/>
                <w:szCs w:val="21"/>
                <w:highlight w:val="none"/>
              </w:rPr>
              <w:t>3.供应商须按“第六章 响应文件格式”要求，于响应文件中提供“供应商关于拟派项目经理的承诺书”。</w:t>
            </w:r>
          </w:p>
        </w:tc>
      </w:tr>
      <w:tr w14:paraId="65B90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4"/>
            <w:tcBorders>
              <w:top w:val="single" w:color="auto" w:sz="4" w:space="0"/>
              <w:left w:val="single" w:color="auto" w:sz="4" w:space="0"/>
              <w:bottom w:val="single" w:color="auto" w:sz="4" w:space="0"/>
              <w:right w:val="single" w:color="auto" w:sz="4" w:space="0"/>
            </w:tcBorders>
          </w:tcPr>
          <w:p w14:paraId="6A269899">
            <w:pPr>
              <w:spacing w:line="400" w:lineRule="exact"/>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b/>
                <w:color w:val="auto"/>
                <w:szCs w:val="21"/>
                <w:highlight w:val="none"/>
              </w:rPr>
              <w:t>二、商务要求</w:t>
            </w:r>
          </w:p>
        </w:tc>
      </w:tr>
      <w:tr w14:paraId="42FA5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05CC9CAB">
            <w:pPr>
              <w:spacing w:line="400" w:lineRule="exact"/>
              <w:jc w:val="center"/>
              <w:rPr>
                <w:rFonts w:hint="eastAsia" w:ascii="宋体" w:hAnsi="宋体"/>
                <w:b/>
                <w:bCs/>
                <w:color w:val="auto"/>
                <w:szCs w:val="21"/>
                <w:highlight w:val="none"/>
              </w:rPr>
            </w:pPr>
            <w:r>
              <w:rPr>
                <w:rFonts w:hint="eastAsia" w:ascii="宋体" w:hAnsi="宋体" w:cs="宋体"/>
                <w:b/>
                <w:bCs/>
                <w:color w:val="auto"/>
                <w:szCs w:val="21"/>
                <w:highlight w:val="none"/>
              </w:rPr>
              <w:t>（一）计划工期</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15A2FE8D">
            <w:pPr>
              <w:spacing w:line="400" w:lineRule="exact"/>
              <w:ind w:left="11" w:leftChars="0" w:hanging="11" w:hangingChars="5"/>
              <w:rPr>
                <w:rFonts w:hint="eastAsia" w:ascii="宋体" w:hAnsi="宋体"/>
                <w:b/>
                <w:bCs/>
                <w:color w:val="auto"/>
                <w:szCs w:val="21"/>
                <w:highlight w:val="none"/>
              </w:rPr>
            </w:pPr>
            <w:r>
              <w:rPr>
                <w:rFonts w:hint="eastAsia" w:ascii="宋体" w:hAnsi="宋体"/>
                <w:b/>
                <w:bCs/>
                <w:color w:val="auto"/>
                <w:szCs w:val="21"/>
                <w:highlight w:val="none"/>
              </w:rPr>
              <w:t>计划工期：自接到采购人或采购人委托的监理单位发出开工令之日起</w:t>
            </w:r>
            <w:r>
              <w:rPr>
                <w:rFonts w:hint="eastAsia" w:ascii="宋体" w:hAnsi="宋体"/>
                <w:b/>
                <w:bCs/>
                <w:color w:val="auto"/>
                <w:szCs w:val="21"/>
                <w:highlight w:val="none"/>
                <w:lang w:val="en-US" w:eastAsia="zh-CN"/>
              </w:rPr>
              <w:t xml:space="preserve"> 45</w:t>
            </w:r>
            <w:r>
              <w:rPr>
                <w:rFonts w:hint="eastAsia" w:ascii="宋体" w:hAnsi="宋体"/>
                <w:b/>
                <w:bCs/>
                <w:color w:val="auto"/>
                <w:szCs w:val="21"/>
                <w:highlight w:val="none"/>
              </w:rPr>
              <w:t>天（日历天）内</w:t>
            </w:r>
          </w:p>
          <w:p w14:paraId="290C2411">
            <w:pPr>
              <w:spacing w:line="400" w:lineRule="exact"/>
              <w:rPr>
                <w:rFonts w:hint="eastAsia" w:ascii="宋体" w:hAnsi="宋体"/>
                <w:b/>
                <w:bCs/>
                <w:color w:val="auto"/>
                <w:szCs w:val="21"/>
                <w:highlight w:val="none"/>
              </w:rPr>
            </w:pPr>
            <w:r>
              <w:rPr>
                <w:rFonts w:ascii="宋体" w:hAnsi="宋体"/>
                <w:b/>
                <w:bCs/>
                <w:color w:val="auto"/>
                <w:szCs w:val="21"/>
                <w:highlight w:val="none"/>
              </w:rPr>
              <w:t>计划开工日期：</w:t>
            </w:r>
            <w:r>
              <w:rPr>
                <w:rFonts w:hint="eastAsia" w:ascii="宋体" w:hAnsi="宋体"/>
                <w:b/>
                <w:bCs/>
                <w:color w:val="auto"/>
                <w:szCs w:val="21"/>
                <w:highlight w:val="none"/>
              </w:rPr>
              <w:t>202</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年</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月</w:t>
            </w:r>
            <w:r>
              <w:rPr>
                <w:rFonts w:hint="eastAsia" w:ascii="宋体" w:hAnsi="宋体"/>
                <w:b/>
                <w:bCs/>
                <w:color w:val="auto"/>
                <w:szCs w:val="21"/>
                <w:highlight w:val="none"/>
                <w:lang w:val="en-US" w:eastAsia="zh-CN"/>
              </w:rPr>
              <w:t>1</w:t>
            </w:r>
            <w:r>
              <w:rPr>
                <w:rFonts w:hint="eastAsia" w:ascii="宋体" w:hAnsi="宋体"/>
                <w:b/>
                <w:bCs/>
                <w:color w:val="auto"/>
                <w:szCs w:val="21"/>
                <w:highlight w:val="none"/>
              </w:rPr>
              <w:t>日（实际以开工令为准）</w:t>
            </w:r>
          </w:p>
          <w:p w14:paraId="51D06688">
            <w:pPr>
              <w:spacing w:line="400" w:lineRule="exact"/>
              <w:rPr>
                <w:rFonts w:hint="eastAsia" w:ascii="宋体" w:hAnsi="宋体"/>
                <w:b/>
                <w:bCs/>
                <w:color w:val="auto"/>
                <w:szCs w:val="21"/>
                <w:highlight w:val="none"/>
              </w:rPr>
            </w:pPr>
            <w:r>
              <w:rPr>
                <w:rFonts w:ascii="宋体" w:hAnsi="宋体"/>
                <w:b/>
                <w:bCs/>
                <w:color w:val="auto"/>
                <w:szCs w:val="21"/>
                <w:highlight w:val="none"/>
              </w:rPr>
              <w:t>计划</w:t>
            </w:r>
            <w:r>
              <w:rPr>
                <w:rFonts w:hint="eastAsia" w:ascii="宋体" w:hAnsi="宋体"/>
                <w:b/>
                <w:bCs/>
                <w:color w:val="auto"/>
                <w:szCs w:val="21"/>
                <w:highlight w:val="none"/>
              </w:rPr>
              <w:t>竣</w:t>
            </w:r>
            <w:r>
              <w:rPr>
                <w:rFonts w:ascii="宋体" w:hAnsi="宋体"/>
                <w:b/>
                <w:bCs/>
                <w:color w:val="auto"/>
                <w:szCs w:val="21"/>
                <w:highlight w:val="none"/>
              </w:rPr>
              <w:t>工日期：</w:t>
            </w:r>
            <w:r>
              <w:rPr>
                <w:rFonts w:hint="eastAsia" w:ascii="宋体" w:hAnsi="宋体"/>
                <w:b/>
                <w:bCs/>
                <w:color w:val="auto"/>
                <w:szCs w:val="21"/>
                <w:highlight w:val="none"/>
              </w:rPr>
              <w:t>2025年</w:t>
            </w:r>
            <w:r>
              <w:rPr>
                <w:rFonts w:hint="eastAsia" w:ascii="宋体" w:hAnsi="宋体"/>
                <w:b/>
                <w:bCs/>
                <w:color w:val="auto"/>
                <w:szCs w:val="21"/>
                <w:highlight w:val="none"/>
                <w:lang w:val="en-US" w:eastAsia="zh-CN"/>
              </w:rPr>
              <w:t>6</w:t>
            </w:r>
            <w:r>
              <w:rPr>
                <w:rFonts w:hint="eastAsia" w:ascii="宋体" w:hAnsi="宋体"/>
                <w:b/>
                <w:bCs/>
                <w:color w:val="auto"/>
                <w:szCs w:val="21"/>
                <w:highlight w:val="none"/>
              </w:rPr>
              <w:t>月</w:t>
            </w:r>
            <w:r>
              <w:rPr>
                <w:rFonts w:hint="eastAsia" w:ascii="宋体" w:hAnsi="宋体"/>
                <w:b/>
                <w:bCs/>
                <w:color w:val="auto"/>
                <w:szCs w:val="21"/>
                <w:highlight w:val="none"/>
                <w:lang w:val="en-US" w:eastAsia="zh-CN"/>
              </w:rPr>
              <w:t>14</w:t>
            </w:r>
            <w:r>
              <w:rPr>
                <w:rFonts w:hint="eastAsia" w:ascii="宋体" w:hAnsi="宋体"/>
                <w:b/>
                <w:bCs/>
                <w:color w:val="auto"/>
                <w:szCs w:val="21"/>
                <w:highlight w:val="none"/>
              </w:rPr>
              <w:t>日</w:t>
            </w:r>
          </w:p>
        </w:tc>
      </w:tr>
      <w:tr w14:paraId="33C4C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1A11C272">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（二）建设地点</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365D48F6">
            <w:pPr>
              <w:spacing w:line="400" w:lineRule="exact"/>
              <w:rPr>
                <w:rFonts w:hint="eastAsia" w:ascii="宋体" w:hAnsi="宋体"/>
                <w:b/>
                <w:bCs/>
                <w:color w:val="auto"/>
                <w:szCs w:val="21"/>
                <w:highlight w:val="none"/>
              </w:rPr>
            </w:pPr>
            <w:r>
              <w:rPr>
                <w:rFonts w:hint="eastAsia" w:ascii="宋体" w:hAnsi="宋体"/>
                <w:b/>
                <w:bCs/>
                <w:color w:val="auto"/>
                <w:szCs w:val="21"/>
                <w:highlight w:val="none"/>
              </w:rPr>
              <w:t>广西桂林永福县永福镇五里桥开发区</w:t>
            </w:r>
          </w:p>
        </w:tc>
      </w:tr>
      <w:tr w14:paraId="4FC5C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1FD3E709">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（三）合同签订时间</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1F530A7B">
            <w:pPr>
              <w:spacing w:line="400" w:lineRule="exact"/>
              <w:rPr>
                <w:rFonts w:hint="eastAsia" w:ascii="宋体" w:hAnsi="宋体"/>
                <w:b/>
                <w:bCs/>
                <w:color w:val="auto"/>
                <w:szCs w:val="21"/>
                <w:highlight w:val="none"/>
              </w:rPr>
            </w:pPr>
            <w:r>
              <w:rPr>
                <w:rFonts w:hint="eastAsia" w:ascii="宋体" w:hAnsi="宋体"/>
                <w:b/>
                <w:bCs/>
                <w:color w:val="auto"/>
                <w:szCs w:val="21"/>
                <w:highlight w:val="none"/>
              </w:rPr>
              <w:t>自成交通知书发出之日起</w:t>
            </w:r>
            <w:r>
              <w:rPr>
                <w:rFonts w:hint="eastAsia" w:ascii="宋体" w:hAnsi="宋体"/>
                <w:b/>
                <w:bCs/>
                <w:color w:val="auto"/>
                <w:szCs w:val="21"/>
                <w:highlight w:val="none"/>
                <w:u w:val="none"/>
                <w:lang w:val="en-US" w:eastAsia="zh-CN"/>
              </w:rPr>
              <w:t>8个工作</w:t>
            </w:r>
            <w:r>
              <w:rPr>
                <w:rFonts w:hint="eastAsia" w:ascii="宋体" w:hAnsi="宋体"/>
                <w:b/>
                <w:bCs/>
                <w:color w:val="auto"/>
                <w:szCs w:val="21"/>
                <w:highlight w:val="none"/>
              </w:rPr>
              <w:t>日内</w:t>
            </w:r>
          </w:p>
        </w:tc>
      </w:tr>
      <w:tr w14:paraId="4D30B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72257D80">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（四）付款条件（进度和方式）</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5F4F6375">
            <w:pPr>
              <w:pStyle w:val="79"/>
              <w:ind w:left="0" w:leftChars="0" w:firstLine="0" w:firstLineChars="0"/>
              <w:rPr>
                <w:rFonts w:hint="eastAsia" w:cs="宋体"/>
                <w:b/>
                <w:bCs/>
                <w:color w:val="auto"/>
                <w:sz w:val="21"/>
                <w:highlight w:val="none"/>
                <w:lang w:eastAsia="zh-CN"/>
              </w:rPr>
            </w:pPr>
            <w:r>
              <w:rPr>
                <w:rFonts w:hint="eastAsia" w:cs="宋体"/>
                <w:b/>
                <w:bCs/>
                <w:color w:val="auto"/>
                <w:sz w:val="21"/>
                <w:highlight w:val="none"/>
                <w:lang w:val="en-US" w:eastAsia="zh-CN"/>
              </w:rPr>
              <w:t>1.</w:t>
            </w:r>
            <w:r>
              <w:rPr>
                <w:rFonts w:hint="eastAsia" w:cs="宋体"/>
                <w:b/>
                <w:bCs/>
                <w:color w:val="auto"/>
                <w:sz w:val="21"/>
                <w:highlight w:val="none"/>
                <w:lang w:eastAsia="zh-CN"/>
              </w:rPr>
              <w:t>预付款：合同金额的</w:t>
            </w:r>
            <w:r>
              <w:rPr>
                <w:rFonts w:hint="eastAsia" w:cs="宋体"/>
                <w:b/>
                <w:bCs/>
                <w:color w:val="auto"/>
                <w:sz w:val="21"/>
                <w:highlight w:val="none"/>
                <w:lang w:val="en-US" w:eastAsia="zh-CN"/>
              </w:rPr>
              <w:t>30%（</w:t>
            </w:r>
            <w:r>
              <w:rPr>
                <w:rFonts w:hint="eastAsia" w:cs="宋体"/>
                <w:b/>
                <w:bCs/>
                <w:color w:val="auto"/>
                <w:sz w:val="21"/>
                <w:highlight w:val="none"/>
                <w:lang w:eastAsia="zh-CN"/>
              </w:rPr>
              <w:t>预付款支付期限：签订合同后采购人收到发票后10个工作日内办理相应支付手续；预付款扣回的方式：从工程竣工后的支付款项一次性扣回）。</w:t>
            </w:r>
          </w:p>
          <w:p w14:paraId="234C9D06">
            <w:pPr>
              <w:pStyle w:val="79"/>
              <w:ind w:left="0" w:leftChars="0" w:firstLine="0" w:firstLineChars="0"/>
              <w:rPr>
                <w:rFonts w:hint="eastAsia" w:ascii="宋体" w:hAnsi="宋体"/>
                <w:b/>
                <w:bCs/>
                <w:color w:val="auto"/>
                <w:szCs w:val="21"/>
                <w:highlight w:val="none"/>
              </w:rPr>
            </w:pPr>
            <w:r>
              <w:rPr>
                <w:rFonts w:hint="eastAsia" w:cs="宋体"/>
                <w:b/>
                <w:bCs/>
                <w:color w:val="auto"/>
                <w:sz w:val="21"/>
                <w:highlight w:val="none"/>
                <w:lang w:val="en-US" w:eastAsia="zh-CN"/>
              </w:rPr>
              <w:t>2.</w:t>
            </w:r>
            <w:r>
              <w:rPr>
                <w:rFonts w:hint="eastAsia" w:cs="宋体"/>
                <w:b/>
                <w:bCs/>
                <w:color w:val="auto"/>
                <w:sz w:val="21"/>
                <w:highlight w:val="none"/>
                <w:lang w:eastAsia="zh-CN"/>
              </w:rPr>
              <w:t>进度款：工程竣工后支付至合同金额的</w:t>
            </w:r>
            <w:r>
              <w:rPr>
                <w:rFonts w:hint="eastAsia" w:cs="宋体"/>
                <w:b/>
                <w:bCs/>
                <w:color w:val="auto"/>
                <w:sz w:val="21"/>
                <w:highlight w:val="none"/>
                <w:lang w:val="en-US" w:eastAsia="zh-CN"/>
              </w:rPr>
              <w:t>80%，</w:t>
            </w:r>
            <w:r>
              <w:rPr>
                <w:rFonts w:hint="eastAsia" w:cs="宋体"/>
                <w:b/>
                <w:bCs/>
                <w:color w:val="auto"/>
                <w:sz w:val="21"/>
                <w:highlight w:val="none"/>
                <w:lang w:eastAsia="zh-CN"/>
              </w:rPr>
              <w:t>经采购人或采购人委托的监理单位验收合格后支付至工程价款结算总额的</w:t>
            </w:r>
            <w:r>
              <w:rPr>
                <w:rFonts w:hint="eastAsia" w:cs="宋体"/>
                <w:b/>
                <w:bCs/>
                <w:color w:val="auto"/>
                <w:sz w:val="21"/>
                <w:highlight w:val="none"/>
                <w:lang w:val="en-US" w:eastAsia="zh-CN"/>
              </w:rPr>
              <w:t>97%</w:t>
            </w:r>
            <w:r>
              <w:rPr>
                <w:rFonts w:hint="eastAsia" w:cs="宋体"/>
                <w:b/>
                <w:bCs/>
                <w:color w:val="auto"/>
                <w:sz w:val="21"/>
                <w:highlight w:val="none"/>
                <w:lang w:eastAsia="zh-CN"/>
              </w:rPr>
              <w:t>，采购人按工程价款结算总额的</w:t>
            </w:r>
            <w:r>
              <w:rPr>
                <w:rFonts w:hint="eastAsia" w:cs="宋体"/>
                <w:b/>
                <w:bCs/>
                <w:color w:val="auto"/>
                <w:sz w:val="21"/>
                <w:highlight w:val="none"/>
                <w:lang w:val="en-US" w:eastAsia="zh-CN"/>
              </w:rPr>
              <w:t>3</w:t>
            </w:r>
            <w:r>
              <w:rPr>
                <w:rFonts w:hint="eastAsia" w:cs="宋体"/>
                <w:b/>
                <w:bCs/>
                <w:color w:val="auto"/>
                <w:sz w:val="21"/>
                <w:highlight w:val="none"/>
                <w:lang w:eastAsia="zh-CN"/>
              </w:rPr>
              <w:t>%预留工程质量保证金，待缺陷责任期满后返还。采购人在支付每笔款项前，成交供应商须按采购人要求开具相应发票，采购人收到发票后10个工作日内办理相应支付手续（所有款项均无息支付）</w:t>
            </w:r>
          </w:p>
        </w:tc>
      </w:tr>
      <w:tr w14:paraId="5099F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61D0AB2E">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（五）工程保修期</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1D43E44C">
            <w:pPr>
              <w:spacing w:line="400" w:lineRule="exact"/>
              <w:jc w:val="left"/>
              <w:rPr>
                <w:rFonts w:hint="eastAsia" w:asciiTheme="majorEastAsia" w:hAnsiTheme="majorEastAsia" w:eastAsiaTheme="majorEastAsia"/>
                <w:b/>
                <w:bCs/>
                <w:color w:val="auto"/>
                <w:szCs w:val="22"/>
                <w:highlight w:val="none"/>
              </w:rPr>
            </w:pPr>
            <w:r>
              <w:rPr>
                <w:rFonts w:hint="eastAsia" w:ascii="宋体" w:hAnsi="宋体" w:eastAsiaTheme="majorEastAsia"/>
                <w:b/>
                <w:bCs/>
                <w:color w:val="auto"/>
                <w:szCs w:val="21"/>
                <w:highlight w:val="none"/>
              </w:rPr>
              <w:t>2年。</w:t>
            </w:r>
          </w:p>
        </w:tc>
      </w:tr>
      <w:tr w14:paraId="578BA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3CA2D3BE">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（六）工程隐蔽部位覆盖前的检查</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4DA1E99A">
            <w:pPr>
              <w:spacing w:line="400" w:lineRule="exact"/>
              <w:jc w:val="left"/>
              <w:rPr>
                <w:rFonts w:hint="eastAsia" w:ascii="宋体" w:hAnsi="宋体"/>
                <w:b/>
                <w:bCs/>
                <w:color w:val="auto"/>
                <w:szCs w:val="21"/>
                <w:highlight w:val="none"/>
              </w:rPr>
            </w:pPr>
            <w:r>
              <w:rPr>
                <w:rFonts w:hint="eastAsia" w:ascii="宋体" w:hAnsi="宋体"/>
                <w:b/>
                <w:bCs/>
                <w:color w:val="auto"/>
                <w:szCs w:val="21"/>
                <w:highlight w:val="none"/>
              </w:rPr>
              <w:t>任何部位的工程需要隐蔽覆盖或隐蔽前，均应提前</w:t>
            </w:r>
            <w:r>
              <w:rPr>
                <w:rFonts w:hint="eastAsia" w:ascii="宋体" w:hAnsi="宋体"/>
                <w:b/>
                <w:bCs/>
                <w:color w:val="auto"/>
                <w:szCs w:val="21"/>
                <w:highlight w:val="none"/>
                <w:lang w:val="en-US" w:eastAsia="zh-CN"/>
              </w:rPr>
              <w:t>48</w:t>
            </w:r>
            <w:r>
              <w:rPr>
                <w:rFonts w:hint="eastAsia" w:ascii="宋体" w:hAnsi="宋体"/>
                <w:b/>
                <w:bCs/>
                <w:color w:val="auto"/>
                <w:szCs w:val="21"/>
                <w:highlight w:val="none"/>
              </w:rPr>
              <w:t xml:space="preserve">小时通知采购人进行中间验收并拍照，未经采购人批准，均不得隐蔽或验收工作。  </w:t>
            </w:r>
          </w:p>
        </w:tc>
      </w:tr>
      <w:tr w14:paraId="4255D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22AD221F">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（七）验收标准</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6702C8EA">
            <w:pPr>
              <w:spacing w:line="400" w:lineRule="exact"/>
              <w:jc w:val="left"/>
              <w:rPr>
                <w:rFonts w:hint="eastAsia" w:ascii="宋体" w:hAnsi="宋体"/>
                <w:b/>
                <w:bCs/>
                <w:color w:val="auto"/>
                <w:szCs w:val="21"/>
                <w:highlight w:val="none"/>
              </w:rPr>
            </w:pPr>
            <w:r>
              <w:rPr>
                <w:rFonts w:hint="eastAsia" w:ascii="宋体" w:hAnsi="宋体"/>
                <w:b/>
                <w:bCs/>
                <w:color w:val="auto"/>
                <w:szCs w:val="21"/>
                <w:highlight w:val="none"/>
              </w:rPr>
              <w:t>1</w:t>
            </w:r>
            <w:r>
              <w:rPr>
                <w:rFonts w:ascii="宋体" w:hAnsi="宋体"/>
                <w:b/>
                <w:bCs/>
                <w:color w:val="auto"/>
                <w:szCs w:val="21"/>
                <w:highlight w:val="none"/>
              </w:rPr>
              <w:t>.</w:t>
            </w:r>
            <w:r>
              <w:rPr>
                <w:rFonts w:hint="eastAsia" w:ascii="宋体" w:hAnsi="宋体"/>
                <w:b/>
                <w:bCs/>
                <w:color w:val="auto"/>
                <w:szCs w:val="21"/>
                <w:highlight w:val="none"/>
              </w:rPr>
              <w:t>按照竞争性磋商文件要求及响应文件承诺进行验收，施工达到现行国家施工验收规范合格标准。</w:t>
            </w:r>
          </w:p>
          <w:p w14:paraId="70E2A80D">
            <w:pPr>
              <w:spacing w:line="400" w:lineRule="exact"/>
              <w:jc w:val="left"/>
              <w:rPr>
                <w:rFonts w:hint="eastAsia" w:ascii="宋体" w:hAnsi="宋体"/>
                <w:b/>
                <w:bCs/>
                <w:color w:val="auto"/>
                <w:szCs w:val="21"/>
                <w:highlight w:val="none"/>
              </w:rPr>
            </w:pPr>
            <w:r>
              <w:rPr>
                <w:rFonts w:hint="eastAsia" w:ascii="宋体" w:hAnsi="宋体"/>
                <w:b/>
                <w:bCs/>
                <w:color w:val="auto"/>
                <w:szCs w:val="21"/>
                <w:highlight w:val="none"/>
              </w:rPr>
              <w:t>2</w:t>
            </w:r>
            <w:r>
              <w:rPr>
                <w:rFonts w:ascii="宋体" w:hAnsi="宋体"/>
                <w:b/>
                <w:bCs/>
                <w:color w:val="auto"/>
                <w:szCs w:val="21"/>
                <w:highlight w:val="none"/>
              </w:rPr>
              <w:t>.</w:t>
            </w:r>
            <w:r>
              <w:rPr>
                <w:rFonts w:hint="eastAsia" w:ascii="宋体" w:hAnsi="宋体"/>
                <w:b/>
                <w:bCs/>
                <w:color w:val="auto"/>
                <w:szCs w:val="21"/>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56A7F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4"/>
            <w:tcBorders>
              <w:top w:val="single" w:color="auto" w:sz="4" w:space="0"/>
              <w:left w:val="single" w:color="auto" w:sz="4" w:space="0"/>
              <w:bottom w:val="single" w:color="auto" w:sz="4" w:space="0"/>
              <w:right w:val="single" w:color="auto" w:sz="4" w:space="0"/>
            </w:tcBorders>
            <w:vAlign w:val="center"/>
          </w:tcPr>
          <w:p w14:paraId="78119C59">
            <w:pPr>
              <w:spacing w:line="360" w:lineRule="auto"/>
              <w:rPr>
                <w:rFonts w:hint="eastAsia" w:ascii="宋体" w:hAnsi="宋体"/>
                <w:color w:val="auto"/>
                <w:szCs w:val="21"/>
                <w:highlight w:val="none"/>
              </w:rPr>
            </w:pPr>
            <w:r>
              <w:rPr>
                <w:rFonts w:hint="eastAsia" w:ascii="宋体" w:hAnsi="宋体"/>
                <w:b/>
                <w:bCs/>
                <w:color w:val="auto"/>
                <w:szCs w:val="21"/>
                <w:highlight w:val="none"/>
              </w:rPr>
              <w:t>三、与实现项目目标相关的其他要求</w:t>
            </w:r>
          </w:p>
        </w:tc>
      </w:tr>
      <w:tr w14:paraId="742D6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4"/>
            <w:tcBorders>
              <w:top w:val="single" w:color="auto" w:sz="4" w:space="0"/>
              <w:left w:val="single" w:color="auto" w:sz="4" w:space="0"/>
              <w:bottom w:val="single" w:color="auto" w:sz="4" w:space="0"/>
              <w:right w:val="single" w:color="auto" w:sz="4" w:space="0"/>
            </w:tcBorders>
            <w:vAlign w:val="center"/>
          </w:tcPr>
          <w:p w14:paraId="78F0AB3E">
            <w:pPr>
              <w:tabs>
                <w:tab w:val="left" w:pos="180"/>
                <w:tab w:val="left" w:pos="1620"/>
              </w:tabs>
              <w:spacing w:line="360" w:lineRule="exact"/>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w:t>
            </w:r>
            <w:r>
              <w:rPr>
                <w:rFonts w:hint="eastAsia" w:cs="宋体" w:asciiTheme="majorEastAsia" w:hAnsiTheme="majorEastAsia" w:eastAsiaTheme="majorEastAsia"/>
                <w:color w:val="auto"/>
                <w:szCs w:val="21"/>
                <w:highlight w:val="none"/>
                <w:lang w:eastAsia="zh-CN"/>
              </w:rPr>
              <w:t>一</w:t>
            </w:r>
            <w:r>
              <w:rPr>
                <w:rFonts w:hint="eastAsia" w:cs="宋体" w:asciiTheme="majorEastAsia" w:hAnsiTheme="majorEastAsia" w:eastAsiaTheme="majorEastAsia"/>
                <w:color w:val="auto"/>
                <w:szCs w:val="21"/>
                <w:highlight w:val="none"/>
              </w:rPr>
              <w:t>）施工组织设计要求</w:t>
            </w:r>
          </w:p>
          <w:p w14:paraId="43E672DE">
            <w:pPr>
              <w:tabs>
                <w:tab w:val="left" w:pos="180"/>
                <w:tab w:val="left" w:pos="1620"/>
              </w:tabs>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根据图纸、工程量清单，于响应文件中提供施工组织设计（包含但不限于以下内容：①主要施工方法；②拟投入的主要物资计划；③劳动力安排计划；④确保工程质量的技术组织措施；⑤确保安全生产的技术组织措施；⑥确保工期的技术组织措施；⑦关键施工技术、工艺及工程实施的重点、难点和解决方案）。</w:t>
            </w:r>
          </w:p>
          <w:p w14:paraId="7AD18689">
            <w:pPr>
              <w:tabs>
                <w:tab w:val="left" w:pos="180"/>
                <w:tab w:val="left" w:pos="1620"/>
              </w:tabs>
              <w:spacing w:line="360" w:lineRule="exact"/>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w:t>
            </w:r>
            <w:r>
              <w:rPr>
                <w:rFonts w:hint="eastAsia" w:cs="宋体" w:asciiTheme="majorEastAsia" w:hAnsiTheme="majorEastAsia" w:eastAsiaTheme="majorEastAsia"/>
                <w:color w:val="auto"/>
                <w:szCs w:val="21"/>
                <w:highlight w:val="none"/>
                <w:lang w:eastAsia="zh-CN"/>
              </w:rPr>
              <w:t>二</w:t>
            </w:r>
            <w:r>
              <w:rPr>
                <w:rFonts w:hint="eastAsia" w:cs="宋体" w:asciiTheme="majorEastAsia" w:hAnsiTheme="majorEastAsia" w:eastAsiaTheme="majorEastAsia"/>
                <w:color w:val="auto"/>
                <w:szCs w:val="21"/>
                <w:highlight w:val="none"/>
              </w:rPr>
              <w:t>）履约要求</w:t>
            </w:r>
          </w:p>
          <w:p w14:paraId="53233872">
            <w:pPr>
              <w:tabs>
                <w:tab w:val="left" w:pos="180"/>
                <w:tab w:val="left" w:pos="1620"/>
              </w:tabs>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供应商根据自身情况，于响应文件中提供以下证明材料：</w:t>
            </w:r>
            <w:r>
              <w:rPr>
                <w:rFonts w:hint="eastAsia" w:cs="Courier New" w:asciiTheme="majorEastAsia" w:hAnsiTheme="majorEastAsia" w:eastAsiaTheme="majorEastAsia"/>
                <w:b w:val="0"/>
                <w:bCs/>
                <w:color w:val="auto"/>
                <w:szCs w:val="21"/>
                <w:highlight w:val="none"/>
                <w:lang w:eastAsia="zh-CN"/>
              </w:rPr>
              <w:t>工程保修服务保障承诺函</w:t>
            </w:r>
            <w:r>
              <w:rPr>
                <w:rFonts w:hint="eastAsia" w:cs="宋体"/>
                <w:color w:val="auto"/>
                <w:sz w:val="21"/>
                <w:highlight w:val="none"/>
                <w:lang w:eastAsia="zh-CN"/>
              </w:rPr>
              <w:t>；</w:t>
            </w:r>
            <w:r>
              <w:rPr>
                <w:rFonts w:hint="eastAsia" w:cs="宋体" w:asciiTheme="minorEastAsia" w:hAnsiTheme="minorEastAsia" w:eastAsiaTheme="minorEastAsia"/>
                <w:color w:val="auto"/>
                <w:szCs w:val="21"/>
                <w:highlight w:val="none"/>
              </w:rPr>
              <w:t>造价工程师具有二级及以上造价工程师执业资格证书复印件；</w:t>
            </w:r>
            <w:r>
              <w:rPr>
                <w:rFonts w:hint="eastAsia" w:cs="宋体" w:asciiTheme="minorEastAsia" w:hAnsiTheme="minorEastAsia" w:eastAsiaTheme="minorEastAsia"/>
                <w:color w:val="auto"/>
                <w:szCs w:val="21"/>
                <w:highlight w:val="none"/>
                <w:lang w:val="en-US" w:eastAsia="zh-CN"/>
              </w:rPr>
              <w:t>2021</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1月1日</w:t>
            </w:r>
            <w:r>
              <w:rPr>
                <w:rFonts w:hint="eastAsia" w:cs="宋体" w:asciiTheme="minorEastAsia" w:hAnsiTheme="minorEastAsia" w:eastAsiaTheme="minorEastAsia"/>
                <w:color w:val="auto"/>
                <w:szCs w:val="21"/>
                <w:highlight w:val="none"/>
              </w:rPr>
              <w:t>以来</w:t>
            </w:r>
            <w:r>
              <w:rPr>
                <w:rFonts w:hint="eastAsia" w:cs="宋体" w:asciiTheme="minorEastAsia" w:hAnsiTheme="minorEastAsia" w:eastAsiaTheme="minorEastAsia"/>
                <w:color w:val="auto"/>
                <w:szCs w:val="21"/>
                <w:highlight w:val="none"/>
                <w:lang w:eastAsia="zh-CN"/>
              </w:rPr>
              <w:t>（以合同签订时间为准）</w:t>
            </w:r>
            <w:r>
              <w:rPr>
                <w:rFonts w:hint="eastAsia" w:cs="宋体" w:asciiTheme="minorEastAsia" w:hAnsiTheme="minorEastAsia" w:eastAsiaTheme="minorEastAsia"/>
                <w:color w:val="auto"/>
                <w:szCs w:val="21"/>
                <w:highlight w:val="none"/>
              </w:rPr>
              <w:t>承接过同类项目业绩（同类</w:t>
            </w:r>
            <w:r>
              <w:rPr>
                <w:rFonts w:cs="宋体" w:asciiTheme="minorEastAsia" w:hAnsiTheme="minorEastAsia" w:eastAsiaTheme="minorEastAsia"/>
                <w:color w:val="auto"/>
                <w:szCs w:val="21"/>
                <w:highlight w:val="none"/>
              </w:rPr>
              <w:t>项目指</w:t>
            </w:r>
            <w:r>
              <w:rPr>
                <w:rFonts w:hint="eastAsia" w:cs="宋体" w:asciiTheme="minorEastAsia" w:hAnsiTheme="minorEastAsia" w:eastAsiaTheme="minorEastAsia"/>
                <w:color w:val="auto"/>
                <w:szCs w:val="21"/>
                <w:highlight w:val="none"/>
                <w:lang w:eastAsia="zh-CN"/>
              </w:rPr>
              <w:t>建筑工程施工、</w:t>
            </w:r>
            <w:r>
              <w:rPr>
                <w:rFonts w:hint="eastAsia" w:cs="宋体" w:asciiTheme="minorEastAsia" w:hAnsiTheme="minorEastAsia" w:eastAsiaTheme="minorEastAsia"/>
                <w:color w:val="auto"/>
                <w:szCs w:val="21"/>
                <w:highlight w:val="none"/>
              </w:rPr>
              <w:t>修缮</w:t>
            </w:r>
            <w:r>
              <w:rPr>
                <w:rFonts w:hint="eastAsia" w:cs="宋体" w:asciiTheme="minorEastAsia" w:hAnsiTheme="minorEastAsia" w:eastAsiaTheme="minorEastAsia"/>
                <w:color w:val="auto"/>
                <w:szCs w:val="21"/>
                <w:highlight w:val="none"/>
                <w:lang w:eastAsia="zh-CN"/>
              </w:rPr>
              <w:t>、改造等</w:t>
            </w:r>
            <w:r>
              <w:rPr>
                <w:rFonts w:hint="eastAsia" w:cs="宋体" w:asciiTheme="minorEastAsia" w:hAnsiTheme="minorEastAsia" w:eastAsiaTheme="minorEastAsia"/>
                <w:color w:val="auto"/>
                <w:szCs w:val="21"/>
                <w:highlight w:val="none"/>
              </w:rPr>
              <w:t>）证明材料复印件等。</w:t>
            </w:r>
          </w:p>
          <w:p w14:paraId="09393EDD">
            <w:pPr>
              <w:pStyle w:val="7"/>
              <w:rPr>
                <w:color w:val="auto"/>
                <w:highlight w:val="none"/>
              </w:rPr>
            </w:pPr>
          </w:p>
        </w:tc>
      </w:tr>
    </w:tbl>
    <w:p w14:paraId="0D192828">
      <w:pPr>
        <w:rPr>
          <w:color w:val="auto"/>
          <w:highlight w:val="none"/>
        </w:rPr>
      </w:pPr>
      <w:bookmarkStart w:id="74" w:name="_Toc74323459"/>
    </w:p>
    <w:p w14:paraId="0FF4087E">
      <w:pPr>
        <w:rPr>
          <w:color w:val="auto"/>
          <w:highlight w:val="none"/>
        </w:rPr>
      </w:pPr>
    </w:p>
    <w:p w14:paraId="1FF67336">
      <w:pPr>
        <w:pStyle w:val="64"/>
        <w:rPr>
          <w:color w:val="auto"/>
          <w:kern w:val="44"/>
          <w:sz w:val="44"/>
          <w:szCs w:val="44"/>
          <w:highlight w:val="none"/>
        </w:rPr>
      </w:pPr>
      <w:r>
        <w:rPr>
          <w:color w:val="auto"/>
          <w:highlight w:val="none"/>
        </w:rPr>
        <w:br w:type="page"/>
      </w:r>
    </w:p>
    <w:p w14:paraId="4CAEA340">
      <w:pPr>
        <w:pStyle w:val="2"/>
        <w:spacing w:before="0" w:after="0" w:line="360" w:lineRule="auto"/>
        <w:jc w:val="center"/>
        <w:rPr>
          <w:color w:val="auto"/>
          <w:highlight w:val="none"/>
        </w:rPr>
      </w:pPr>
      <w:r>
        <w:rPr>
          <w:rFonts w:hint="eastAsia"/>
          <w:color w:val="auto"/>
          <w:highlight w:val="none"/>
        </w:rPr>
        <w:t>第四章  评审程序、评审方法和评审标准</w:t>
      </w:r>
      <w:bookmarkEnd w:id="74"/>
    </w:p>
    <w:p w14:paraId="62B9B6C6">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一、评审程序和评审方法</w:t>
      </w:r>
    </w:p>
    <w:p w14:paraId="09A5B2AF">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34C49481">
      <w:pPr>
        <w:snapToGrid w:val="0"/>
        <w:spacing w:line="360" w:lineRule="auto"/>
        <w:ind w:firstLine="420" w:firstLineChars="200"/>
        <w:rPr>
          <w:rFonts w:hint="eastAsia"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6263958E">
      <w:pPr>
        <w:spacing w:line="360" w:lineRule="auto"/>
        <w:ind w:firstLine="420" w:firstLineChars="200"/>
        <w:rPr>
          <w:rFonts w:hint="eastAsia" w:ascii="宋体" w:hAnsi="宋体" w:eastAsia="宋体" w:cs="宋体"/>
          <w:color w:val="auto"/>
          <w:szCs w:val="21"/>
          <w:highlight w:val="none"/>
        </w:rPr>
      </w:pPr>
      <w:r>
        <w:rPr>
          <w:rFonts w:hint="eastAsia" w:ascii="宋体" w:hAnsi="宋体"/>
          <w:color w:val="auto"/>
          <w:szCs w:val="21"/>
          <w:highlight w:val="none"/>
        </w:rPr>
        <w:t>磋商小组</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进行资格性审查时，将对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企业股东及出资等信息进行查询。根据《中华人民共和国政府采购法实施条例》第十八条第一款规定，审查中如发现</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存在单位负责人为同一人或者存在直接控股、管理关系的不同供应商参加同一合同项下的政府采购活动的，按资格审查不通过处理。</w:t>
      </w:r>
    </w:p>
    <w:p w14:paraId="75BF90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查询渠道：《国家企业信用信息公示系统》（网址： www.gsxt.gov.cn/index.html）</w:t>
      </w:r>
    </w:p>
    <w:p w14:paraId="5BA5A0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审查流程：</w:t>
      </w:r>
    </w:p>
    <w:p w14:paraId="2E63FF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（1）进入《国家企业信用信息公示系统》（网址： www.gsxt.gov.cn/index.html），输入企业名称，进入企业信息主页面；</w:t>
      </w:r>
    </w:p>
    <w:p w14:paraId="48C831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（2）查看主页“股东及出资信息”栏，或年报中的“股东及出资信息”栏信息；</w:t>
      </w:r>
    </w:p>
    <w:p w14:paraId="74BC23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的股东及出资信息进行比对，得出审查结论；</w:t>
      </w:r>
    </w:p>
    <w:p w14:paraId="3DC89D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（4）将相关资料作为评审资料打印存档。</w:t>
      </w:r>
    </w:p>
    <w:p w14:paraId="5FBDF5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注：以上审查过程中，如出现查询企业网页主页面无法显示股东及出资信息的或仅以主页面信息内容无法认定</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之间存在单位负责人为同一人或者存在直接控股、管理关系的，当时审查程序可继续进行，待评审结束后将对以上</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作进一步核实确认，如确认</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之间存在有上述关联供应商情形的，关联供应商均按</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无效处理。</w:t>
      </w:r>
    </w:p>
    <w:p w14:paraId="0E0C237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02B9747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.3供应商有下列情形之一的，资格审查不通过，其响应文件按无效处理：</w:t>
      </w:r>
    </w:p>
    <w:p w14:paraId="1FB579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0FFE66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（2）未按磋商文件规定的方式获取本磋商文件的供应商的；</w:t>
      </w:r>
    </w:p>
    <w:p w14:paraId="2D9C87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6915E0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0753D6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364AEBE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应当重新开展采购活动。</w:t>
      </w:r>
    </w:p>
    <w:p w14:paraId="73491266">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5553BB34">
      <w:pPr>
        <w:spacing w:line="360" w:lineRule="auto"/>
        <w:ind w:firstLine="420" w:firstLineChars="200"/>
        <w:rPr>
          <w:rFonts w:hint="eastAsia" w:ascii="宋体" w:hAnsi="宋体" w:cs="宋体"/>
          <w:color w:val="auto"/>
          <w:szCs w:val="21"/>
          <w:highlight w:val="none"/>
        </w:rPr>
      </w:pPr>
      <w:bookmarkStart w:id="75" w:name="_Hlk42528882"/>
      <w:r>
        <w:rPr>
          <w:rFonts w:ascii="宋体" w:hAnsi="宋体" w:cs="宋体"/>
          <w:color w:val="auto"/>
          <w:szCs w:val="21"/>
          <w:highlight w:val="none"/>
        </w:rPr>
        <w:t>2.1</w:t>
      </w:r>
      <w:r>
        <w:rPr>
          <w:rFonts w:hint="eastAsia" w:ascii="宋体" w:hAnsi="宋体" w:cs="宋体"/>
          <w:color w:val="auto"/>
          <w:szCs w:val="21"/>
          <w:highlight w:val="none"/>
        </w:rPr>
        <w:t>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75"/>
    <w:p w14:paraId="0841A65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9961E88">
      <w:pPr>
        <w:spacing w:line="360" w:lineRule="auto"/>
        <w:ind w:firstLine="420" w:firstLineChars="200"/>
        <w:rPr>
          <w:rFonts w:hint="eastAsia"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w:t>
      </w:r>
      <w:r>
        <w:rPr>
          <w:rFonts w:hint="eastAsia" w:ascii="宋体" w:hAnsi="宋体" w:cs="宋体"/>
          <w:color w:val="auto"/>
          <w:szCs w:val="21"/>
          <w:highlight w:val="none"/>
          <w:lang w:eastAsia="zh-CN"/>
        </w:rPr>
        <w:t>以</w:t>
      </w:r>
      <w:r>
        <w:rPr>
          <w:rFonts w:hint="eastAsia" w:ascii="宋体" w:hAnsi="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6F1E2E94">
      <w:pPr>
        <w:spacing w:line="360" w:lineRule="auto"/>
        <w:ind w:firstLine="420" w:firstLineChars="200"/>
        <w:rPr>
          <w:rFonts w:hint="eastAsia"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73EDE889">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08FECA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31B9DE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42866B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9DDEF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123C63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同时出现两种以上不一致的，按照以上（1）-（4）规定的顺序逐条进行修正。修正后的报价经供应商确认后产生约束力，供应商不确认的，其响应文件按无效处理。</w:t>
      </w:r>
    </w:p>
    <w:p w14:paraId="31B26C4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24EFDFF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在评审时，如发现下列情形之一的，将被视为响应文件无效处理：</w:t>
      </w:r>
    </w:p>
    <w:p w14:paraId="216FE53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（1）商务技术评审</w:t>
      </w:r>
    </w:p>
    <w:p w14:paraId="5CB94AB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1）响应文件未按磋商文件要求签署、盖章的；</w:t>
      </w:r>
    </w:p>
    <w:p w14:paraId="4B734EB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2）委托代理人未能出具有效身份证或者出具的身份证与授权委托书中的信息不符的； </w:t>
      </w:r>
    </w:p>
    <w:p w14:paraId="21A01B0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3）提交的磋商保证金无效的或者未按照磋商文件的规定提交磋商保证金的；</w:t>
      </w:r>
    </w:p>
    <w:p w14:paraId="16398CC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14:paraId="38DA485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5）商务要求允许负偏离的条款数超过“供应商须知前附表”规定项数的；</w:t>
      </w:r>
    </w:p>
    <w:p w14:paraId="7736889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）响应文件的实质性内容未使用中文表述、使用计量单位不符合磋商文件要求的；</w:t>
      </w:r>
    </w:p>
    <w:p w14:paraId="0223D7B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）响应文件中的文件资料因填写不齐全或者内容虚假或者出现其他情形而导致被磋商小组认定无效的；</w:t>
      </w:r>
    </w:p>
    <w:p w14:paraId="3417318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）响应文件含有采购人不能接受的附加条件的；</w:t>
      </w:r>
    </w:p>
    <w:p w14:paraId="78D36AF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）属于“供应商须知正文”第7.</w:t>
      </w:r>
      <w:r>
        <w:rPr>
          <w:rFonts w:ascii="宋体" w:hAnsi="宋体" w:cs="宋体"/>
          <w:b/>
          <w:color w:val="auto"/>
          <w:szCs w:val="21"/>
          <w:highlight w:val="none"/>
        </w:rPr>
        <w:t>5</w:t>
      </w:r>
      <w:r>
        <w:rPr>
          <w:rFonts w:hint="eastAsia" w:ascii="宋体" w:hAnsi="宋体" w:cs="宋体"/>
          <w:b/>
          <w:color w:val="auto"/>
          <w:szCs w:val="21"/>
          <w:highlight w:val="none"/>
        </w:rPr>
        <w:t>条供应商相互串通竞标情形的；</w:t>
      </w:r>
    </w:p>
    <w:p w14:paraId="61BBB104">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0</w:t>
      </w:r>
      <w:r>
        <w:rPr>
          <w:rFonts w:hint="eastAsia" w:ascii="宋体" w:hAnsi="宋体" w:cs="宋体"/>
          <w:b/>
          <w:color w:val="auto"/>
          <w:szCs w:val="21"/>
          <w:highlight w:val="none"/>
        </w:rPr>
        <w:t>）</w:t>
      </w:r>
      <w:r>
        <w:rPr>
          <w:rFonts w:hint="eastAsia"/>
          <w:b/>
          <w:color w:val="auto"/>
          <w:highlight w:val="none"/>
        </w:rPr>
        <w:t>技术及其他要求</w:t>
      </w:r>
      <w:r>
        <w:rPr>
          <w:rFonts w:hint="eastAsia" w:ascii="宋体" w:hAnsi="宋体" w:cs="宋体"/>
          <w:b/>
          <w:color w:val="auto"/>
          <w:szCs w:val="21"/>
          <w:highlight w:val="none"/>
        </w:rPr>
        <w:t>允许负偏离的条款数超过“供应商须知前附表”规定项数的；</w:t>
      </w:r>
    </w:p>
    <w:p w14:paraId="7882C948">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）虚假竞标，或者出现其他情形而导致被磋商小组认定无效的；</w:t>
      </w:r>
    </w:p>
    <w:p w14:paraId="4C70BF66">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bookmarkStart w:id="76" w:name="_Hlk71704147"/>
      <w:r>
        <w:rPr>
          <w:rFonts w:hint="eastAsia" w:ascii="宋体" w:hAnsi="宋体" w:cs="宋体"/>
          <w:b/>
          <w:color w:val="auto"/>
          <w:szCs w:val="21"/>
          <w:highlight w:val="none"/>
        </w:rPr>
        <w:t>磋商文件未载明允许提供备选（替代）竞标方案或明确不允许提供备选（替代）竞标方案时，供应商提供了备选（替代）竞标方案的；</w:t>
      </w:r>
      <w:bookmarkEnd w:id="76"/>
    </w:p>
    <w:p w14:paraId="1C6B89C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w:t>
      </w:r>
      <w:r>
        <w:rPr>
          <w:rFonts w:hint="eastAsia" w:ascii="宋体" w:hAnsi="宋体"/>
          <w:b/>
          <w:color w:val="auto"/>
          <w:szCs w:val="21"/>
          <w:highlight w:val="none"/>
        </w:rPr>
        <w:t>竞争性磋商文件明确不允许分包，响应文件拟分包的；</w:t>
      </w:r>
    </w:p>
    <w:p w14:paraId="6491ED23">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）未响应磋商文件实质性要求的；</w:t>
      </w:r>
    </w:p>
    <w:p w14:paraId="4D4340F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）法律、法规和磋商文件规定的其他无效情形。</w:t>
      </w:r>
    </w:p>
    <w:p w14:paraId="28210B9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2</w:t>
      </w:r>
      <w:r>
        <w:rPr>
          <w:rFonts w:hint="eastAsia" w:ascii="宋体" w:hAnsi="宋体" w:cs="宋体"/>
          <w:b/>
          <w:color w:val="auto"/>
          <w:szCs w:val="21"/>
          <w:highlight w:val="none"/>
        </w:rPr>
        <w:t>）报价评审</w:t>
      </w:r>
    </w:p>
    <w:p w14:paraId="16C780D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1）未采用人民币报价或者未按照磋商文件标明的币种报价的；</w:t>
      </w:r>
    </w:p>
    <w:p w14:paraId="7EA6AD2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供应商未就本工程进行报价或者存在漏项报价；供应商未就本工程的单项内容作唯一报价；供应商未就本工程的全部内容作完整唯一总价报价；供应商响应文件中存在有选择、有条件报价的（磋商文件允许有备选方案或者其他约定的除外）；</w:t>
      </w:r>
    </w:p>
    <w:p w14:paraId="5B4D33A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3）竞标报价（包含首次报价、最后报价）超过本项目规定的采购预算金额或者最高限价的（如本项目公布了最高限价）；</w:t>
      </w:r>
      <w:bookmarkStart w:id="77" w:name="_Hlk42596405"/>
      <w:r>
        <w:rPr>
          <w:rFonts w:hint="eastAsia" w:ascii="宋体" w:hAnsi="宋体" w:cs="宋体"/>
          <w:b/>
          <w:color w:val="auto"/>
          <w:szCs w:val="21"/>
          <w:highlight w:val="none"/>
        </w:rPr>
        <w:t>竞标报价（包含首次报价、最后报价）</w:t>
      </w:r>
      <w:bookmarkEnd w:id="77"/>
      <w:bookmarkStart w:id="78" w:name="_Hlk42596276"/>
      <w:r>
        <w:rPr>
          <w:rFonts w:hint="eastAsia" w:ascii="宋体" w:hAnsi="宋体" w:cs="宋体"/>
          <w:b/>
          <w:color w:val="auto"/>
          <w:szCs w:val="21"/>
          <w:highlight w:val="none"/>
        </w:rPr>
        <w:t>超过磋商文件分项采购预算金额或者最高限价的</w:t>
      </w:r>
      <w:bookmarkEnd w:id="78"/>
      <w:r>
        <w:rPr>
          <w:rFonts w:hint="eastAsia" w:ascii="宋体" w:hAnsi="宋体" w:cs="宋体"/>
          <w:b/>
          <w:color w:val="auto"/>
          <w:szCs w:val="21"/>
          <w:highlight w:val="none"/>
        </w:rPr>
        <w:t>（如本项目有要求并公布了分项采购预算金额或者最高限价）；</w:t>
      </w:r>
    </w:p>
    <w:p w14:paraId="3BC2F44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修正后的报价，供应商不确认的；或者经供应商确认修正后的竞标报价（包含首次报价、最后报价）超过本项目规定的采购预算金额或者最高限价（如本项目公布了最高限价）；或者经供应商确认修正后竞标报价（包含首次报价、最后报价）超过磋商文件分项采购预算金额或者最高限价的（如本项目有要求并公布了分项采购预算金额或者最高限价）。</w:t>
      </w:r>
    </w:p>
    <w:p w14:paraId="4121BEC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5）在单价合同工程中供应商采用总价优惠或以总价百分比优惠的方式进行竞标报价的；</w:t>
      </w:r>
    </w:p>
    <w:p w14:paraId="46A1A01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6）竞标报价与已标价工程量清单汇总表不一致的；</w:t>
      </w:r>
    </w:p>
    <w:p w14:paraId="4187F94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7）安全文明施工费和规费、</w:t>
      </w:r>
      <w:r>
        <w:rPr>
          <w:rFonts w:hint="eastAsia" w:ascii="宋体" w:hAnsi="宋体" w:cs="宋体"/>
          <w:b/>
          <w:color w:val="auto"/>
          <w:szCs w:val="21"/>
          <w:highlight w:val="none"/>
          <w:lang w:eastAsia="zh-CN"/>
        </w:rPr>
        <w:t>税金（含</w:t>
      </w:r>
      <w:r>
        <w:rPr>
          <w:rFonts w:hint="eastAsia" w:ascii="宋体" w:hAnsi="宋体" w:cs="宋体"/>
          <w:b/>
          <w:color w:val="auto"/>
          <w:szCs w:val="21"/>
          <w:highlight w:val="none"/>
        </w:rPr>
        <w:t>增值税</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不按广西</w:t>
      </w:r>
      <w:r>
        <w:rPr>
          <w:rFonts w:hint="eastAsia" w:ascii="宋体" w:hAnsi="宋体" w:cs="宋体"/>
          <w:b/>
          <w:color w:val="auto"/>
          <w:szCs w:val="21"/>
          <w:highlight w:val="none"/>
          <w:lang w:eastAsia="zh-CN"/>
        </w:rPr>
        <w:t>壮族自治</w:t>
      </w:r>
      <w:r>
        <w:rPr>
          <w:rFonts w:hint="eastAsia" w:ascii="宋体" w:hAnsi="宋体" w:cs="宋体"/>
          <w:b/>
          <w:color w:val="auto"/>
          <w:szCs w:val="21"/>
          <w:highlight w:val="none"/>
        </w:rPr>
        <w:t>区费用定额及造价管理相关文件规定报价的（园林绿化及仿古建筑工程除外）；</w:t>
      </w:r>
    </w:p>
    <w:p w14:paraId="1873385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8）供应商已标价工程量清单的项目编码（12位）、计量单位、工程量任何一处与工程量清单不一致的；</w:t>
      </w:r>
    </w:p>
    <w:p w14:paraId="17444A4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9）供应商已标价工程量清单的项目名称或项目特征与工程量清单不一致，</w:t>
      </w:r>
      <w:r>
        <w:rPr>
          <w:rFonts w:hint="eastAsia" w:ascii="宋体" w:hAnsi="宋体" w:cs="宋体"/>
          <w:b/>
          <w:color w:val="auto"/>
          <w:szCs w:val="21"/>
          <w:highlight w:val="none"/>
          <w:lang w:eastAsia="zh-CN"/>
        </w:rPr>
        <w:t>磋商小组</w:t>
      </w:r>
      <w:r>
        <w:rPr>
          <w:rFonts w:hint="eastAsia" w:ascii="宋体" w:hAnsi="宋体" w:cs="宋体"/>
          <w:b/>
          <w:color w:val="auto"/>
          <w:szCs w:val="21"/>
          <w:highlight w:val="none"/>
        </w:rPr>
        <w:t>要求澄清、说明或补正，但供应商拒绝澄清、说明或补正的；</w:t>
      </w:r>
    </w:p>
    <w:p w14:paraId="31E1566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10）设有暂估价（如：材料设备暂估价、专业工程暂估价、安全生产责任保险费暂估价）、暂列金额的，竞标时未按工程量清单给出的暂估价总价、暂列金额总价计入竞标报价中的；</w:t>
      </w:r>
    </w:p>
    <w:p w14:paraId="2CBBE55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11）供应商对工程量清单内容进行增减或对竞标范围进行调整的；</w:t>
      </w:r>
    </w:p>
    <w:p w14:paraId="3F59F81F">
      <w:pPr>
        <w:spacing w:line="360" w:lineRule="auto"/>
        <w:ind w:firstLine="422" w:firstLineChars="200"/>
        <w:rPr>
          <w:rFonts w:hint="eastAsia" w:ascii="宋体" w:hAnsi="宋体"/>
          <w:b/>
          <w:color w:val="auto"/>
          <w:szCs w:val="21"/>
          <w:highlight w:val="none"/>
        </w:rPr>
      </w:pPr>
      <w:r>
        <w:rPr>
          <w:rFonts w:hint="eastAsia" w:ascii="宋体" w:hAnsi="宋体" w:cs="宋体"/>
          <w:b/>
          <w:color w:val="auto"/>
          <w:szCs w:val="21"/>
          <w:highlight w:val="none"/>
        </w:rPr>
        <w:t>12）</w:t>
      </w:r>
      <w:r>
        <w:rPr>
          <w:rFonts w:hint="eastAsia" w:ascii="宋体" w:hAnsi="宋体"/>
          <w:b/>
          <w:color w:val="auto"/>
          <w:szCs w:val="21"/>
          <w:highlight w:val="none"/>
        </w:rPr>
        <w:t>响应文件响应的标的数量及单位与竞争性磋商采购文件要求实质性不一致的；</w:t>
      </w:r>
    </w:p>
    <w:p w14:paraId="6340F677">
      <w:pPr>
        <w:spacing w:line="360" w:lineRule="auto"/>
        <w:ind w:firstLine="422" w:firstLineChars="200"/>
        <w:rPr>
          <w:rFonts w:hint="eastAsia" w:ascii="宋体" w:hAnsi="宋体" w:cs="宋体"/>
          <w:b/>
          <w:color w:val="auto"/>
          <w:szCs w:val="21"/>
          <w:highlight w:val="none"/>
        </w:rPr>
      </w:pPr>
      <w:r>
        <w:rPr>
          <w:rFonts w:hint="eastAsia" w:ascii="宋体" w:hAnsi="宋体"/>
          <w:b/>
          <w:color w:val="auto"/>
          <w:szCs w:val="21"/>
          <w:highlight w:val="none"/>
          <w:lang w:val="en-US" w:eastAsia="zh-CN"/>
        </w:rPr>
        <w:t>13</w:t>
      </w:r>
      <w:r>
        <w:rPr>
          <w:rFonts w:hint="eastAsia" w:ascii="宋体" w:hAnsi="宋体"/>
          <w:b/>
          <w:color w:val="auto"/>
          <w:szCs w:val="21"/>
          <w:highlight w:val="none"/>
          <w:lang w:eastAsia="zh-CN"/>
        </w:rPr>
        <w:t>）</w:t>
      </w:r>
      <w:r>
        <w:rPr>
          <w:rFonts w:hint="eastAsia" w:ascii="宋体" w:hAnsi="宋体" w:cs="宋体"/>
          <w:b/>
          <w:color w:val="auto"/>
          <w:szCs w:val="21"/>
          <w:highlight w:val="none"/>
        </w:rPr>
        <w:t>未对竞标有效期作出响应或者响应文件承诺的竞标有效期不满足磋商文件要求的；</w:t>
      </w:r>
    </w:p>
    <w:p w14:paraId="79909BF8">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）未响应磋商文件实质性要求的。</w:t>
      </w:r>
    </w:p>
    <w:p w14:paraId="3BBC69B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w:t>
      </w:r>
    </w:p>
    <w:p w14:paraId="4630454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通过符合性审查的合格供应商不足3家的，不得进入磋商环节，应当重新开展采购活动。</w:t>
      </w:r>
    </w:p>
    <w:p w14:paraId="44DDBC29">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098839CE">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4A1E3D3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51E8B3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7FCEC37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3A2CD4C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磋商中，磋商的任何一方不得透露与磋商有关的其他供应商的技术资料、价格和其他信息</w:t>
      </w:r>
      <w:r>
        <w:rPr>
          <w:rFonts w:hint="eastAsia" w:ascii="宋体" w:hAnsi="宋体" w:cs="宋体"/>
          <w:color w:val="auto"/>
          <w:spacing w:val="-6"/>
          <w:szCs w:val="21"/>
          <w:highlight w:val="none"/>
        </w:rPr>
        <w:t>。</w:t>
      </w:r>
    </w:p>
    <w:p w14:paraId="64EC2445">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采购代理机构对磋商过程和磋商内容进行记录。</w:t>
      </w:r>
    </w:p>
    <w:p w14:paraId="52385191">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w:t>
      </w:r>
      <w:r>
        <w:rPr>
          <w:rFonts w:ascii="宋体" w:hAnsi="宋体"/>
          <w:color w:val="auto"/>
          <w:highlight w:val="none"/>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59E1419">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3.8除</w:t>
      </w:r>
      <w:r>
        <w:rPr>
          <w:rFonts w:ascii="宋体" w:hAnsi="宋体"/>
          <w:color w:val="auto"/>
          <w:highlight w:val="none"/>
        </w:rPr>
        <w:t>本章第3.7条</w:t>
      </w:r>
      <w:r>
        <w:rPr>
          <w:rFonts w:hint="eastAsia" w:ascii="宋体" w:hAnsi="宋体"/>
          <w:color w:val="auto"/>
          <w:highlight w:val="none"/>
        </w:rPr>
        <w:t>规定的</w:t>
      </w:r>
      <w:r>
        <w:rPr>
          <w:rFonts w:ascii="宋体" w:hAnsi="宋体"/>
          <w:color w:val="auto"/>
          <w:highlight w:val="none"/>
        </w:rPr>
        <w:t>情形</w:t>
      </w:r>
      <w:r>
        <w:rPr>
          <w:rFonts w:hint="eastAsia" w:ascii="宋体" w:hAnsi="宋体"/>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对磋商过程提交的响应文件进行有效性、完整性和响应程度审查，通过审查的合格供应商不足3家的，应当重新开展采购活动。</w:t>
      </w:r>
    </w:p>
    <w:p w14:paraId="2C75D68E">
      <w:pPr>
        <w:spacing w:line="360" w:lineRule="auto"/>
        <w:ind w:firstLine="482" w:firstLineChars="200"/>
        <w:rPr>
          <w:rFonts w:hint="eastAsia"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3FB4C6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w:t>
      </w:r>
      <w:r>
        <w:rPr>
          <w:rFonts w:hint="eastAsia" w:ascii="宋体" w:hAnsi="宋体" w:cs="宋体"/>
          <w:color w:val="auto"/>
          <w:szCs w:val="21"/>
          <w:highlight w:val="none"/>
          <w:lang w:eastAsia="zh-CN"/>
        </w:rPr>
        <w:t>实质性响应</w:t>
      </w:r>
      <w:r>
        <w:rPr>
          <w:rFonts w:hint="eastAsia" w:ascii="宋体" w:hAnsi="宋体" w:cs="宋体"/>
          <w:color w:val="auto"/>
          <w:szCs w:val="21"/>
          <w:highlight w:val="none"/>
        </w:rPr>
        <w:t>的供应商在规定时间内在广西政府采购云平台开标大厅提交加盖供应商电子签章的最后报价，除本章第</w:t>
      </w:r>
      <w:r>
        <w:rPr>
          <w:rFonts w:ascii="宋体" w:hAnsi="宋体" w:cs="宋体"/>
          <w:color w:val="auto"/>
          <w:szCs w:val="21"/>
          <w:highlight w:val="none"/>
        </w:rPr>
        <w:t>4.3</w:t>
      </w:r>
      <w:r>
        <w:rPr>
          <w:rFonts w:hint="eastAsia" w:ascii="宋体" w:hAnsi="宋体" w:cs="宋体"/>
          <w:color w:val="auto"/>
          <w:szCs w:val="21"/>
          <w:highlight w:val="none"/>
        </w:rPr>
        <w:t>条规定的情形外，提交最后报价的供应商不得少于3家，否则应当重新</w:t>
      </w:r>
      <w:r>
        <w:rPr>
          <w:rFonts w:hint="eastAsia" w:ascii="宋体" w:hAnsi="宋体"/>
          <w:color w:val="auto"/>
          <w:szCs w:val="21"/>
          <w:highlight w:val="none"/>
        </w:rPr>
        <w:t>开展采购活动</w:t>
      </w:r>
      <w:r>
        <w:rPr>
          <w:rFonts w:hint="eastAsia" w:ascii="宋体" w:hAnsi="宋体" w:cs="宋体"/>
          <w:color w:val="auto"/>
          <w:szCs w:val="21"/>
          <w:highlight w:val="none"/>
        </w:rPr>
        <w:t>。</w:t>
      </w:r>
    </w:p>
    <w:p w14:paraId="152C15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r>
        <w:rPr>
          <w:rFonts w:hint="eastAsia" w:ascii="宋体" w:hAnsi="宋体" w:cs="宋体"/>
          <w:b/>
          <w:color w:val="auto"/>
          <w:szCs w:val="21"/>
          <w:highlight w:val="none"/>
        </w:rPr>
        <w:t>如果供应商的最后报价与首次报价不一致的，不能只报竞标报价，必须同时提供“已标价工程量清单”，否则做无效响应处理。</w:t>
      </w:r>
    </w:p>
    <w:p w14:paraId="57404AF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w:t>
      </w:r>
    </w:p>
    <w:p w14:paraId="58891D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符合《政府采购竞争性磋商采购方式管理暂行办法》（财库〔2014〕214号）第三条第四项“市场竞争不充分的科研项目，以及需要扶持的科技成果转化项目”和</w:t>
      </w:r>
      <w:r>
        <w:rPr>
          <w:color w:val="auto"/>
          <w:highlight w:val="none"/>
        </w:rPr>
        <w:t>本章</w:t>
      </w:r>
      <w:r>
        <w:rPr>
          <w:rFonts w:ascii="宋体" w:hAnsi="宋体"/>
          <w:color w:val="auto"/>
          <w:highlight w:val="none"/>
        </w:rPr>
        <w:t>第3.7条</w:t>
      </w:r>
      <w:r>
        <w:rPr>
          <w:rFonts w:hint="eastAsia" w:ascii="宋体" w:hAnsi="宋体" w:cs="宋体"/>
          <w:color w:val="auto"/>
          <w:szCs w:val="21"/>
          <w:highlight w:val="none"/>
        </w:rPr>
        <w:t>规定</w:t>
      </w:r>
      <w:r>
        <w:rPr>
          <w:color w:val="auto"/>
          <w:highlight w:val="none"/>
        </w:rPr>
        <w:t>情形的，</w:t>
      </w:r>
      <w:r>
        <w:rPr>
          <w:rFonts w:hint="eastAsia" w:ascii="宋体" w:hAnsi="宋体" w:cs="宋体"/>
          <w:color w:val="auto"/>
          <w:szCs w:val="21"/>
          <w:highlight w:val="none"/>
        </w:rPr>
        <w:t>提交最后报价的供应商可以为2家。</w:t>
      </w:r>
    </w:p>
    <w:p w14:paraId="1F2A947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已经提交响应文件的供应商，在提交最后报价之前，可以根据磋商情况退出磋商，退出磋商的供应商的响应文件按无效处理。采购人、采购代理机构将退还退出磋商的供应商的保证金。</w:t>
      </w:r>
    </w:p>
    <w:p w14:paraId="3F8D8E2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3493B64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21C5880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32006F8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55C25E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1CA145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（2）经供应商确认修正后的竞标报价（包含首次报价、最后报价）超过本项目规定的采购预算金额或者最高限价的（如本项目公布了最高限价）；</w:t>
      </w:r>
    </w:p>
    <w:p w14:paraId="71F3CD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311193C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0A6002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204AF3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767DD35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5421D2E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30A4AC2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386E266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74C3C7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15D059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751941C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最终成交供应商的成交金额等于最后报价（如有修正，以确认修正后的最后报价为准）。</w:t>
      </w:r>
    </w:p>
    <w:p w14:paraId="64FE888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6. 成交供应商</w:t>
      </w:r>
      <w:r>
        <w:rPr>
          <w:rFonts w:hint="eastAsia" w:ascii="黑体" w:hAnsi="黑体" w:eastAsia="黑体" w:cs="宋体"/>
          <w:b/>
          <w:bCs/>
          <w:color w:val="auto"/>
          <w:sz w:val="24"/>
          <w:highlight w:val="none"/>
          <w:lang w:eastAsia="zh-CN"/>
        </w:rPr>
        <w:t>推</w:t>
      </w:r>
      <w:r>
        <w:rPr>
          <w:rFonts w:hint="eastAsia" w:ascii="黑体" w:hAnsi="黑体" w:eastAsia="黑体" w:cs="宋体"/>
          <w:b/>
          <w:bCs/>
          <w:color w:val="auto"/>
          <w:sz w:val="24"/>
          <w:highlight w:val="none"/>
        </w:rPr>
        <w:t>荐原则</w:t>
      </w:r>
    </w:p>
    <w:p w14:paraId="13C967DC">
      <w:pPr>
        <w:spacing w:line="360" w:lineRule="auto"/>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1</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分由高到低排序，技术分相同的按照商务分由高到低排序）。评审得分、最后报价（不计算价格折扣）、技术分、技术及其他要求偏离分均相同的，由磋商小组随机抽取推荐</w:t>
      </w:r>
      <w:r>
        <w:rPr>
          <w:rFonts w:hint="eastAsia" w:ascii="宋体" w:hAnsi="宋体"/>
          <w:color w:val="auto"/>
          <w:kern w:val="0"/>
          <w:szCs w:val="21"/>
          <w:highlight w:val="none"/>
        </w:rPr>
        <w:t>。</w:t>
      </w:r>
    </w:p>
    <w:p w14:paraId="30A22635">
      <w:pPr>
        <w:spacing w:line="360" w:lineRule="auto"/>
        <w:ind w:firstLine="420" w:firstLineChars="200"/>
        <w:rPr>
          <w:rFonts w:hint="eastAsia" w:ascii="宋体" w:hAnsi="宋体" w:cs="宋体"/>
          <w:color w:val="auto"/>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w:t>
      </w:r>
      <w:r>
        <w:rPr>
          <w:rFonts w:hint="eastAsia" w:ascii="宋体" w:hAnsi="宋体"/>
          <w:color w:val="auto"/>
          <w:kern w:val="0"/>
          <w:szCs w:val="21"/>
          <w:highlight w:val="none"/>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7A09D70">
      <w:pPr>
        <w:spacing w:line="360" w:lineRule="auto"/>
        <w:jc w:val="center"/>
        <w:rPr>
          <w:rFonts w:hint="eastAsia" w:ascii="宋体" w:hAnsi="宋体"/>
          <w:b/>
          <w:color w:val="auto"/>
          <w:sz w:val="32"/>
          <w:szCs w:val="32"/>
          <w:highlight w:val="none"/>
        </w:rPr>
      </w:pPr>
      <w:r>
        <w:rPr>
          <w:rFonts w:ascii="宋体" w:hAnsi="宋体"/>
          <w:b/>
          <w:color w:val="auto"/>
          <w:sz w:val="32"/>
          <w:szCs w:val="32"/>
          <w:highlight w:val="none"/>
        </w:rPr>
        <w:br w:type="textWrapping"/>
      </w:r>
      <w:r>
        <w:rPr>
          <w:rFonts w:hint="eastAsia" w:ascii="宋体" w:hAnsi="宋体"/>
          <w:b/>
          <w:color w:val="auto"/>
          <w:sz w:val="32"/>
          <w:szCs w:val="32"/>
          <w:highlight w:val="none"/>
        </w:rPr>
        <w:t>二、评审标准</w:t>
      </w:r>
    </w:p>
    <w:p w14:paraId="47C4B7E4">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w:t>
      </w:r>
      <w:r>
        <w:rPr>
          <w:rFonts w:hint="eastAsia" w:ascii="宋体" w:hAnsi="宋体"/>
          <w:bCs/>
          <w:color w:val="auto"/>
          <w:szCs w:val="21"/>
          <w:highlight w:val="none"/>
        </w:rPr>
        <w:t>评审依据：磋商小组以磋商文件为评审依据，对供应商的报价、技术、商务等方面内容按百分制打分。（计分方法按四舍五入取至百分位）</w:t>
      </w:r>
    </w:p>
    <w:tbl>
      <w:tblPr>
        <w:tblStyle w:val="46"/>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18"/>
        <w:gridCol w:w="6679"/>
      </w:tblGrid>
      <w:tr w14:paraId="7AF2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F7660">
            <w:pPr>
              <w:widowControl/>
              <w:spacing w:line="360" w:lineRule="auto"/>
              <w:jc w:val="center"/>
              <w:rPr>
                <w:rFonts w:hint="eastAsia" w:cs="Tahoma" w:asciiTheme="majorEastAsia" w:hAnsiTheme="majorEastAsia" w:eastAsiaTheme="majorEastAsia"/>
                <w:b/>
                <w:bCs/>
                <w:color w:val="auto"/>
                <w:kern w:val="0"/>
                <w:szCs w:val="21"/>
                <w:highlight w:val="none"/>
              </w:rPr>
            </w:pPr>
            <w:r>
              <w:rPr>
                <w:rFonts w:hint="eastAsia" w:cs="Tahoma" w:asciiTheme="majorEastAsia" w:hAnsiTheme="majorEastAsia" w:eastAsiaTheme="majorEastAsia"/>
                <w:b/>
                <w:bCs/>
                <w:color w:val="auto"/>
                <w:kern w:val="0"/>
                <w:szCs w:val="21"/>
                <w:highlight w:val="none"/>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11FD24D5">
            <w:pPr>
              <w:widowControl/>
              <w:spacing w:line="360" w:lineRule="auto"/>
              <w:jc w:val="center"/>
              <w:rPr>
                <w:rFonts w:hint="eastAsia" w:cs="Tahoma" w:asciiTheme="majorEastAsia" w:hAnsiTheme="majorEastAsia" w:eastAsiaTheme="majorEastAsia"/>
                <w:b/>
                <w:bCs/>
                <w:color w:val="auto"/>
                <w:kern w:val="0"/>
                <w:szCs w:val="21"/>
                <w:highlight w:val="none"/>
              </w:rPr>
            </w:pPr>
            <w:r>
              <w:rPr>
                <w:rFonts w:hint="eastAsia" w:cs="Tahoma" w:asciiTheme="majorEastAsia" w:hAnsiTheme="majorEastAsia" w:eastAsiaTheme="majorEastAsia"/>
                <w:b/>
                <w:bCs/>
                <w:color w:val="auto"/>
                <w:kern w:val="0"/>
                <w:szCs w:val="21"/>
                <w:highlight w:val="none"/>
              </w:rPr>
              <w:t>评审因素</w:t>
            </w:r>
          </w:p>
        </w:tc>
        <w:tc>
          <w:tcPr>
            <w:tcW w:w="6679" w:type="dxa"/>
            <w:tcBorders>
              <w:top w:val="single" w:color="auto" w:sz="4" w:space="0"/>
              <w:left w:val="single" w:color="auto" w:sz="4" w:space="0"/>
              <w:bottom w:val="single" w:color="auto" w:sz="4" w:space="0"/>
              <w:right w:val="single" w:color="auto" w:sz="4" w:space="0"/>
            </w:tcBorders>
            <w:vAlign w:val="center"/>
          </w:tcPr>
          <w:p w14:paraId="377ABEB2">
            <w:pPr>
              <w:widowControl/>
              <w:spacing w:line="360" w:lineRule="auto"/>
              <w:jc w:val="center"/>
              <w:rPr>
                <w:rFonts w:hint="eastAsia" w:cs="Tahoma" w:asciiTheme="majorEastAsia" w:hAnsiTheme="majorEastAsia" w:eastAsiaTheme="majorEastAsia"/>
                <w:b/>
                <w:bCs/>
                <w:color w:val="auto"/>
                <w:kern w:val="0"/>
                <w:szCs w:val="21"/>
                <w:highlight w:val="none"/>
              </w:rPr>
            </w:pPr>
            <w:r>
              <w:rPr>
                <w:rFonts w:hint="eastAsia" w:cs="Tahoma" w:asciiTheme="majorEastAsia" w:hAnsiTheme="majorEastAsia" w:eastAsiaTheme="majorEastAsia"/>
                <w:b/>
                <w:bCs/>
                <w:color w:val="auto"/>
                <w:kern w:val="0"/>
                <w:szCs w:val="21"/>
                <w:highlight w:val="none"/>
              </w:rPr>
              <w:t>评审标准</w:t>
            </w:r>
          </w:p>
        </w:tc>
      </w:tr>
      <w:tr w14:paraId="6495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311048C">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1</w:t>
            </w:r>
          </w:p>
        </w:tc>
        <w:tc>
          <w:tcPr>
            <w:tcW w:w="1418" w:type="dxa"/>
            <w:tcBorders>
              <w:top w:val="single" w:color="auto" w:sz="4" w:space="0"/>
              <w:left w:val="single" w:color="auto" w:sz="4" w:space="0"/>
              <w:bottom w:val="single" w:color="auto" w:sz="4" w:space="0"/>
              <w:right w:val="single" w:color="auto" w:sz="4" w:space="0"/>
            </w:tcBorders>
            <w:vAlign w:val="center"/>
          </w:tcPr>
          <w:p w14:paraId="7EE851FC">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价格分</w:t>
            </w:r>
          </w:p>
          <w:p w14:paraId="319E3CAA">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w:t>
            </w:r>
            <w:r>
              <w:rPr>
                <w:rFonts w:hint="eastAsia" w:cs="Tahoma" w:asciiTheme="majorEastAsia" w:hAnsiTheme="majorEastAsia" w:eastAsiaTheme="majorEastAsia"/>
                <w:color w:val="auto"/>
                <w:kern w:val="0"/>
                <w:szCs w:val="21"/>
                <w:highlight w:val="none"/>
                <w:lang w:val="en-US" w:eastAsia="zh-CN"/>
              </w:rPr>
              <w:t>30</w:t>
            </w:r>
            <w:r>
              <w:rPr>
                <w:rFonts w:hint="eastAsia" w:cs="Tahoma" w:asciiTheme="majorEastAsia" w:hAnsiTheme="majorEastAsia" w:eastAsiaTheme="majorEastAsia"/>
                <w:color w:val="auto"/>
                <w:kern w:val="0"/>
                <w:szCs w:val="21"/>
                <w:highlight w:val="none"/>
              </w:rPr>
              <w:t>分）</w:t>
            </w:r>
          </w:p>
        </w:tc>
        <w:tc>
          <w:tcPr>
            <w:tcW w:w="6679" w:type="dxa"/>
            <w:tcBorders>
              <w:top w:val="single" w:color="auto" w:sz="4" w:space="0"/>
              <w:left w:val="single" w:color="auto" w:sz="4" w:space="0"/>
              <w:bottom w:val="single" w:color="auto" w:sz="4" w:space="0"/>
              <w:right w:val="single" w:color="auto" w:sz="4" w:space="0"/>
            </w:tcBorders>
          </w:tcPr>
          <w:p w14:paraId="1E8A13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（1）评审价为供应商的最后报价进行政策性扣除后的价格，评审价只是作为评审时使用。最终成交供应商的成交金额等于最后报价（如有修正，以确认修正后的最后报价为准）。</w:t>
            </w:r>
          </w:p>
          <w:p w14:paraId="320817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（2）以进入比较与评价环节的最低</w:t>
            </w:r>
            <w:r>
              <w:rPr>
                <w:rFonts w:hint="eastAsia" w:cs="宋体" w:asciiTheme="majorEastAsia" w:hAnsiTheme="majorEastAsia" w:eastAsiaTheme="majorEastAsia"/>
                <w:color w:val="auto"/>
                <w:kern w:val="0"/>
                <w:highlight w:val="none"/>
                <w:lang w:eastAsia="zh-CN"/>
              </w:rPr>
              <w:t>最后报价</w:t>
            </w:r>
            <w:r>
              <w:rPr>
                <w:rFonts w:hint="eastAsia" w:cs="宋体" w:asciiTheme="majorEastAsia" w:hAnsiTheme="majorEastAsia" w:eastAsiaTheme="majorEastAsia"/>
                <w:color w:val="auto"/>
                <w:kern w:val="0"/>
                <w:highlight w:val="none"/>
              </w:rPr>
              <w:t>为基准价，基准价得分为</w:t>
            </w:r>
            <w:r>
              <w:rPr>
                <w:rFonts w:hint="eastAsia" w:cs="宋体" w:asciiTheme="majorEastAsia" w:hAnsiTheme="majorEastAsia" w:eastAsiaTheme="majorEastAsia"/>
                <w:color w:val="auto"/>
                <w:kern w:val="0"/>
                <w:highlight w:val="none"/>
                <w:lang w:val="en-US" w:eastAsia="zh-CN"/>
              </w:rPr>
              <w:t>30</w:t>
            </w:r>
            <w:r>
              <w:rPr>
                <w:rFonts w:hint="eastAsia" w:cs="宋体" w:asciiTheme="majorEastAsia" w:hAnsiTheme="majorEastAsia" w:eastAsiaTheme="majorEastAsia"/>
                <w:color w:val="auto"/>
                <w:kern w:val="0"/>
                <w:highlight w:val="none"/>
              </w:rPr>
              <w:t>分。</w:t>
            </w:r>
          </w:p>
          <w:p w14:paraId="7B8CD3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olor w:val="auto"/>
                <w:kern w:val="2"/>
                <w:sz w:val="21"/>
                <w:highlight w:val="none"/>
                <w:lang w:eastAsia="zh-CN"/>
              </w:rPr>
            </w:pPr>
            <w:r>
              <w:rPr>
                <w:rFonts w:hint="eastAsia" w:cs="宋体" w:asciiTheme="majorEastAsia" w:hAnsiTheme="majorEastAsia" w:eastAsiaTheme="majorEastAsia"/>
                <w:color w:val="auto"/>
                <w:kern w:val="0"/>
                <w:highlight w:val="none"/>
              </w:rPr>
              <w:t>（3）价格分计算公式：报价得分=（基准价/</w:t>
            </w:r>
            <w:r>
              <w:rPr>
                <w:rFonts w:hint="eastAsia" w:cs="宋体" w:asciiTheme="majorEastAsia" w:hAnsiTheme="majorEastAsia" w:eastAsiaTheme="majorEastAsia"/>
                <w:color w:val="auto"/>
                <w:kern w:val="0"/>
                <w:highlight w:val="none"/>
                <w:lang w:eastAsia="zh-CN"/>
              </w:rPr>
              <w:t>最后报价</w:t>
            </w:r>
            <w:r>
              <w:rPr>
                <w:rFonts w:hint="eastAsia" w:cs="宋体" w:asciiTheme="majorEastAsia" w:hAnsiTheme="majorEastAsia" w:eastAsiaTheme="majorEastAsia"/>
                <w:color w:val="auto"/>
                <w:kern w:val="0"/>
                <w:highlight w:val="none"/>
              </w:rPr>
              <w:t>）×</w:t>
            </w:r>
            <w:r>
              <w:rPr>
                <w:rFonts w:hint="eastAsia" w:cs="宋体" w:asciiTheme="majorEastAsia" w:hAnsiTheme="majorEastAsia" w:eastAsiaTheme="majorEastAsia"/>
                <w:color w:val="auto"/>
                <w:kern w:val="0"/>
                <w:highlight w:val="none"/>
                <w:lang w:val="en-US" w:eastAsia="zh-CN"/>
              </w:rPr>
              <w:t>30</w:t>
            </w:r>
            <w:r>
              <w:rPr>
                <w:rFonts w:hint="eastAsia" w:cs="宋体" w:asciiTheme="majorEastAsia" w:hAnsiTheme="majorEastAsia" w:eastAsiaTheme="majorEastAsia"/>
                <w:color w:val="auto"/>
                <w:kern w:val="0"/>
                <w:highlight w:val="none"/>
              </w:rPr>
              <w:t>分</w:t>
            </w:r>
            <w:r>
              <w:rPr>
                <w:rFonts w:hint="eastAsia" w:cs="宋体" w:asciiTheme="majorEastAsia" w:hAnsiTheme="majorEastAsia" w:eastAsiaTheme="majorEastAsia"/>
                <w:color w:val="auto"/>
                <w:kern w:val="0"/>
                <w:highlight w:val="none"/>
                <w:lang w:eastAsia="zh-CN"/>
              </w:rPr>
              <w:t>。</w:t>
            </w:r>
          </w:p>
        </w:tc>
      </w:tr>
      <w:tr w14:paraId="063B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restart"/>
            <w:tcBorders>
              <w:top w:val="single" w:color="auto" w:sz="4" w:space="0"/>
              <w:left w:val="single" w:color="auto" w:sz="4" w:space="0"/>
              <w:bottom w:val="single" w:color="auto" w:sz="4" w:space="0"/>
              <w:right w:val="single" w:color="auto" w:sz="4" w:space="0"/>
            </w:tcBorders>
            <w:vAlign w:val="center"/>
          </w:tcPr>
          <w:p w14:paraId="5FE1539D">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asciiTheme="majorEastAsia" w:hAnsiTheme="majorEastAsia" w:eastAsiaTheme="majorEastAsia"/>
                <w:bCs/>
                <w:color w:val="auto"/>
                <w:kern w:val="0"/>
                <w:szCs w:val="21"/>
                <w:highlight w:val="none"/>
              </w:rPr>
              <w:t>2</w:t>
            </w:r>
          </w:p>
        </w:tc>
        <w:tc>
          <w:tcPr>
            <w:tcW w:w="1418" w:type="dxa"/>
            <w:tcBorders>
              <w:top w:val="single" w:color="auto" w:sz="4" w:space="0"/>
              <w:left w:val="single" w:color="auto" w:sz="4" w:space="0"/>
              <w:bottom w:val="single" w:color="auto" w:sz="4" w:space="0"/>
              <w:right w:val="single" w:color="auto" w:sz="4" w:space="0"/>
            </w:tcBorders>
            <w:vAlign w:val="center"/>
          </w:tcPr>
          <w:p w14:paraId="6251A95E">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asciiTheme="majorEastAsia" w:hAnsiTheme="majorEastAsia" w:eastAsiaTheme="majorEastAsia"/>
                <w:bCs/>
                <w:color w:val="auto"/>
                <w:kern w:val="0"/>
                <w:szCs w:val="21"/>
                <w:highlight w:val="none"/>
              </w:rPr>
              <w:t>技术分【</w:t>
            </w:r>
            <w:r>
              <w:rPr>
                <w:rFonts w:hint="eastAsia" w:asciiTheme="majorEastAsia" w:hAnsiTheme="majorEastAsia" w:eastAsiaTheme="majorEastAsia"/>
                <w:color w:val="auto"/>
                <w:szCs w:val="21"/>
                <w:highlight w:val="none"/>
              </w:rPr>
              <w:t>施工组织设计（</w:t>
            </w:r>
            <w:r>
              <w:rPr>
                <w:rFonts w:hint="eastAsia" w:asciiTheme="majorEastAsia" w:hAnsiTheme="majorEastAsia" w:eastAsiaTheme="majorEastAsia"/>
                <w:color w:val="auto"/>
                <w:szCs w:val="21"/>
                <w:highlight w:val="none"/>
                <w:lang w:val="en-US" w:eastAsia="zh-CN"/>
              </w:rPr>
              <w:t>50</w:t>
            </w:r>
            <w:r>
              <w:rPr>
                <w:rFonts w:hint="eastAsia" w:asciiTheme="majorEastAsia" w:hAnsiTheme="majorEastAsia" w:eastAsiaTheme="majorEastAsia"/>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71DB543C">
            <w:pPr>
              <w:spacing w:line="440" w:lineRule="exact"/>
              <w:jc w:val="center"/>
              <w:rPr>
                <w:rFonts w:hint="eastAsia" w:asciiTheme="majorEastAsia" w:hAnsiTheme="majorEastAsia" w:eastAsiaTheme="majorEastAsia"/>
                <w:bCs/>
                <w:color w:val="auto"/>
                <w:highlight w:val="none"/>
              </w:rPr>
            </w:pPr>
            <w:r>
              <w:rPr>
                <w:rFonts w:hint="eastAsia" w:asciiTheme="majorEastAsia" w:hAnsiTheme="majorEastAsia" w:eastAsiaTheme="majorEastAsia"/>
                <w:bCs/>
                <w:color w:val="auto"/>
                <w:highlight w:val="none"/>
              </w:rPr>
              <w:t>评审标准</w:t>
            </w:r>
          </w:p>
        </w:tc>
      </w:tr>
      <w:tr w14:paraId="750B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33CBED9D">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1676A84">
            <w:pPr>
              <w:adjustRightInd w:val="0"/>
              <w:spacing w:line="440" w:lineRule="exact"/>
              <w:jc w:val="center"/>
              <w:textAlignment w:val="baseline"/>
              <w:rPr>
                <w:rFonts w:hint="eastAsia" w:asciiTheme="majorEastAsia" w:hAnsiTheme="majorEastAsia" w:eastAsiaTheme="majorEastAsia"/>
                <w:bCs/>
                <w:color w:val="auto"/>
                <w:kern w:val="0"/>
                <w:szCs w:val="21"/>
                <w:highlight w:val="none"/>
              </w:rPr>
            </w:pPr>
            <w:r>
              <w:rPr>
                <w:rFonts w:hint="eastAsia" w:asciiTheme="majorEastAsia" w:hAnsiTheme="majorEastAsia" w:eastAsiaTheme="majorEastAsia"/>
                <w:bCs/>
                <w:color w:val="auto"/>
                <w:kern w:val="0"/>
                <w:highlight w:val="none"/>
              </w:rPr>
              <w:t>2</w:t>
            </w:r>
            <w:r>
              <w:rPr>
                <w:rFonts w:asciiTheme="majorEastAsia" w:hAnsiTheme="majorEastAsia" w:eastAsiaTheme="majorEastAsia"/>
                <w:bCs/>
                <w:color w:val="auto"/>
                <w:kern w:val="0"/>
                <w:highlight w:val="none"/>
              </w:rPr>
              <w:t>.1</w:t>
            </w:r>
            <w:r>
              <w:rPr>
                <w:rFonts w:hint="eastAsia" w:cs="宋体" w:asciiTheme="majorEastAsia" w:hAnsiTheme="majorEastAsia" w:eastAsiaTheme="majorEastAsia"/>
                <w:color w:val="auto"/>
                <w:spacing w:val="-2"/>
                <w:highlight w:val="none"/>
              </w:rPr>
              <w:t>主要</w:t>
            </w:r>
            <w:r>
              <w:rPr>
                <w:rFonts w:hint="eastAsia" w:cs="宋体" w:asciiTheme="majorEastAsia" w:hAnsiTheme="majorEastAsia" w:eastAsiaTheme="majorEastAsia"/>
                <w:color w:val="auto"/>
                <w:spacing w:val="-1"/>
                <w:highlight w:val="none"/>
              </w:rPr>
              <w:t>施工方</w:t>
            </w:r>
            <w:r>
              <w:rPr>
                <w:rFonts w:hint="eastAsia" w:cs="宋体" w:asciiTheme="majorEastAsia" w:hAnsiTheme="majorEastAsia" w:eastAsiaTheme="majorEastAsia"/>
                <w:color w:val="auto"/>
                <w:spacing w:val="7"/>
                <w:highlight w:val="none"/>
              </w:rPr>
              <w:t>法</w:t>
            </w:r>
            <w:r>
              <w:rPr>
                <w:rFonts w:hint="eastAsia" w:asciiTheme="majorEastAsia" w:hAnsiTheme="majorEastAsia" w:eastAsiaTheme="majorEastAsia"/>
                <w:bCs/>
                <w:color w:val="auto"/>
                <w:kern w:val="0"/>
                <w:highlight w:val="none"/>
              </w:rPr>
              <w:t>（</w:t>
            </w:r>
            <w:r>
              <w:rPr>
                <w:rFonts w:hint="eastAsia" w:asciiTheme="majorEastAsia" w:hAnsiTheme="majorEastAsia" w:eastAsiaTheme="majorEastAsia"/>
                <w:bCs/>
                <w:color w:val="auto"/>
                <w:kern w:val="0"/>
                <w:highlight w:val="none"/>
                <w:lang w:val="en-US" w:eastAsia="zh-CN"/>
              </w:rPr>
              <w:t>6</w:t>
            </w:r>
            <w:r>
              <w:rPr>
                <w:rFonts w:hint="eastAsia" w:asciiTheme="majorEastAsia" w:hAnsiTheme="majorEastAsia" w:eastAsiaTheme="majorEastAsia"/>
                <w:bCs/>
                <w:color w:val="auto"/>
                <w:kern w:val="0"/>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08CDD309">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spacing w:val="-2"/>
                <w:highlight w:val="none"/>
              </w:rPr>
              <w:t>主要</w:t>
            </w:r>
            <w:r>
              <w:rPr>
                <w:rFonts w:hint="eastAsia" w:cs="宋体" w:asciiTheme="majorEastAsia" w:hAnsiTheme="majorEastAsia" w:eastAsiaTheme="majorEastAsia"/>
                <w:color w:val="auto"/>
                <w:spacing w:val="-1"/>
                <w:highlight w:val="none"/>
              </w:rPr>
              <w:t>施工方</w:t>
            </w:r>
            <w:r>
              <w:rPr>
                <w:rFonts w:hint="eastAsia" w:cs="宋体" w:asciiTheme="majorEastAsia" w:hAnsiTheme="majorEastAsia" w:eastAsiaTheme="majorEastAsia"/>
                <w:color w:val="auto"/>
                <w:spacing w:val="7"/>
                <w:highlight w:val="none"/>
              </w:rPr>
              <w:t>法</w:t>
            </w:r>
            <w:r>
              <w:rPr>
                <w:rFonts w:hint="eastAsia" w:cs="宋体" w:asciiTheme="majorEastAsia" w:hAnsiTheme="majorEastAsia" w:eastAsiaTheme="majorEastAsia"/>
                <w:color w:val="auto"/>
                <w:spacing w:val="7"/>
                <w:highlight w:val="none"/>
                <w:lang w:eastAsia="zh-CN"/>
              </w:rPr>
              <w:t>”</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74F0A9B4">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w:t>
            </w:r>
            <w:r>
              <w:rPr>
                <w:rFonts w:hint="eastAsia" w:cs="宋体" w:asciiTheme="majorEastAsia" w:hAnsiTheme="majorEastAsia" w:eastAsiaTheme="majorEastAsia"/>
                <w:color w:val="auto"/>
                <w:kern w:val="0"/>
                <w:highlight w:val="none"/>
                <w:lang w:val="en-US" w:eastAsia="zh-CN"/>
              </w:rPr>
              <w:t>2</w:t>
            </w:r>
            <w:r>
              <w:rPr>
                <w:rFonts w:hint="eastAsia" w:cs="宋体" w:asciiTheme="majorEastAsia" w:hAnsiTheme="majorEastAsia" w:eastAsiaTheme="majorEastAsia"/>
                <w:color w:val="auto"/>
                <w:kern w:val="0"/>
                <w:highlight w:val="none"/>
              </w:rPr>
              <w:t>分）：各主要分部施工方法及施工技术方案不全面，工艺缺乏先进性、方法缺乏科学合理性、可行性、针对性，不能指导项目施工，确保工程的安全程度低。</w:t>
            </w:r>
          </w:p>
          <w:p w14:paraId="79BF783D">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w:t>
            </w:r>
            <w:r>
              <w:rPr>
                <w:rFonts w:hint="eastAsia" w:cs="宋体" w:asciiTheme="majorEastAsia" w:hAnsiTheme="majorEastAsia" w:eastAsiaTheme="majorEastAsia"/>
                <w:color w:val="auto"/>
                <w:kern w:val="0"/>
                <w:highlight w:val="none"/>
                <w:lang w:val="en-US" w:eastAsia="zh-CN"/>
              </w:rPr>
              <w:t>4</w:t>
            </w:r>
            <w:r>
              <w:rPr>
                <w:rFonts w:hint="eastAsia" w:cs="宋体" w:asciiTheme="majorEastAsia" w:hAnsiTheme="majorEastAsia" w:eastAsiaTheme="majorEastAsia"/>
                <w:color w:val="auto"/>
                <w:kern w:val="0"/>
                <w:highlight w:val="none"/>
              </w:rPr>
              <w:t>分）：各主要分部施工方法符合项目实际，有比较详尽、较全面的施工技术方案，工艺较先进，方法较科学合理、可行，能指导具体施工并确保安全。</w:t>
            </w:r>
          </w:p>
          <w:p w14:paraId="57AD6CE3">
            <w:pPr>
              <w:keepNext w:val="0"/>
              <w:keepLines w:val="0"/>
              <w:pageBreakBefore w:val="0"/>
              <w:kinsoku/>
              <w:wordWrap/>
              <w:overflowPunct/>
              <w:topLinePunct w:val="0"/>
              <w:autoSpaceDE/>
              <w:autoSpaceDN/>
              <w:bidi w:val="0"/>
              <w:adjustRightInd/>
              <w:snapToGrid/>
              <w:spacing w:line="400" w:lineRule="exact"/>
              <w:textAlignment w:val="auto"/>
              <w:rPr>
                <w:color w:val="auto"/>
                <w:highlight w:val="none"/>
              </w:rPr>
            </w:pPr>
            <w:r>
              <w:rPr>
                <w:rFonts w:hint="eastAsia" w:cs="宋体" w:asciiTheme="majorEastAsia" w:hAnsiTheme="majorEastAsia" w:eastAsiaTheme="majorEastAsia"/>
                <w:color w:val="auto"/>
                <w:kern w:val="0"/>
                <w:highlight w:val="none"/>
              </w:rPr>
              <w:t>三档（</w:t>
            </w:r>
            <w:r>
              <w:rPr>
                <w:rFonts w:hint="eastAsia" w:cs="宋体" w:asciiTheme="majorEastAsia" w:hAnsiTheme="majorEastAsia" w:eastAsiaTheme="majorEastAsia"/>
                <w:color w:val="auto"/>
                <w:kern w:val="0"/>
                <w:highlight w:val="none"/>
                <w:lang w:val="en-US" w:eastAsia="zh-CN"/>
              </w:rPr>
              <w:t>6</w:t>
            </w:r>
            <w:r>
              <w:rPr>
                <w:rFonts w:hint="eastAsia" w:cs="宋体" w:asciiTheme="majorEastAsia" w:hAnsiTheme="majorEastAsia" w:eastAsiaTheme="majorEastAsia"/>
                <w:color w:val="auto"/>
                <w:kern w:val="0"/>
                <w:highlight w:val="none"/>
              </w:rPr>
              <w:t>分）：各主要分部施工方法符合项目实际，有详尽、全面的施工技术方案，工艺先进、方法科学合理、可行，能指导具体施工并确保安全。</w:t>
            </w:r>
          </w:p>
        </w:tc>
      </w:tr>
      <w:tr w14:paraId="0912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5404B5B5">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27F2A71">
            <w:pPr>
              <w:widowControl/>
              <w:spacing w:line="360" w:lineRule="exact"/>
              <w:jc w:val="center"/>
              <w:rPr>
                <w:rFonts w:hint="eastAsia" w:asciiTheme="majorEastAsia" w:hAnsiTheme="majorEastAsia" w:eastAsiaTheme="majorEastAsia"/>
                <w:bCs/>
                <w:color w:val="auto"/>
                <w:kern w:val="0"/>
                <w:highlight w:val="none"/>
              </w:rPr>
            </w:pPr>
            <w:r>
              <w:rPr>
                <w:rFonts w:hint="eastAsia" w:ascii="宋体" w:hAnsi="宋体" w:cs="宋体"/>
                <w:color w:val="auto"/>
                <w:kern w:val="0"/>
                <w:highlight w:val="none"/>
                <w:lang w:val="en-US" w:eastAsia="zh-CN"/>
              </w:rPr>
              <w:t>2.2</w:t>
            </w:r>
            <w:r>
              <w:rPr>
                <w:rFonts w:hint="eastAsia" w:ascii="宋体" w:hAnsi="宋体" w:cs="宋体"/>
                <w:color w:val="auto"/>
                <w:kern w:val="0"/>
                <w:highlight w:val="none"/>
              </w:rPr>
              <w:t>拟投入的主要物资计划（</w:t>
            </w:r>
            <w:r>
              <w:rPr>
                <w:rFonts w:hint="eastAsia" w:ascii="宋体" w:hAnsi="宋体" w:cs="宋体"/>
                <w:color w:val="auto"/>
                <w:kern w:val="0"/>
                <w:highlight w:val="none"/>
                <w:lang w:val="en-US" w:eastAsia="zh-CN"/>
              </w:rPr>
              <w:t>9</w:t>
            </w:r>
            <w:r>
              <w:rPr>
                <w:rFonts w:hint="eastAsia" w:ascii="宋体" w:hAnsi="宋体" w:cs="宋体"/>
                <w:color w:val="auto"/>
                <w:kern w:val="0"/>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471B4D4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olor w:val="auto"/>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ascii="宋体" w:hAnsi="宋体" w:cs="宋体"/>
                <w:color w:val="auto"/>
                <w:kern w:val="0"/>
                <w:highlight w:val="none"/>
              </w:rPr>
              <w:t>拟投入的主要物资计划</w:t>
            </w:r>
            <w:r>
              <w:rPr>
                <w:rFonts w:hint="eastAsia" w:ascii="宋体" w:hAnsi="宋体" w:cs="宋体"/>
                <w:color w:val="auto"/>
                <w:kern w:val="0"/>
                <w:highlight w:val="none"/>
                <w:lang w:eastAsia="zh-CN"/>
              </w:rPr>
              <w:t>”</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1FE0B3A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olor w:val="auto"/>
                <w:highlight w:val="none"/>
              </w:rPr>
            </w:pPr>
            <w:r>
              <w:rPr>
                <w:rFonts w:hint="eastAsia" w:ascii="宋体" w:hAnsi="宋体"/>
                <w:color w:val="auto"/>
                <w:highlight w:val="none"/>
              </w:rPr>
              <w:t>一档</w:t>
            </w:r>
            <w:r>
              <w:rPr>
                <w:rFonts w:hint="eastAsia" w:ascii="宋体" w:hAnsi="宋体"/>
                <w:color w:val="auto"/>
                <w:highlight w:val="none"/>
                <w:lang w:eastAsia="zh-CN"/>
              </w:rPr>
              <w:t>（</w:t>
            </w:r>
            <w:r>
              <w:rPr>
                <w:rFonts w:hint="eastAsia" w:ascii="宋体" w:hAnsi="宋体"/>
                <w:color w:val="auto"/>
                <w:highlight w:val="none"/>
                <w:lang w:val="en-US" w:eastAsia="zh-CN"/>
              </w:rPr>
              <w:t>3</w:t>
            </w:r>
            <w:r>
              <w:rPr>
                <w:rFonts w:hint="eastAsia" w:ascii="宋体" w:hAnsi="宋体"/>
                <w:color w:val="auto"/>
                <w:highlight w:val="none"/>
                <w:lang w:eastAsia="zh-CN"/>
              </w:rPr>
              <w:t>分）</w:t>
            </w:r>
            <w:r>
              <w:rPr>
                <w:rFonts w:hint="eastAsia" w:ascii="宋体" w:hAnsi="宋体"/>
                <w:color w:val="auto"/>
                <w:highlight w:val="none"/>
              </w:rPr>
              <w:t>：</w:t>
            </w:r>
            <w:r>
              <w:rPr>
                <w:rFonts w:hint="eastAsia" w:ascii="宋体" w:hAnsi="宋体" w:cs="宋体"/>
                <w:color w:val="auto"/>
                <w:kern w:val="0"/>
                <w:highlight w:val="none"/>
              </w:rPr>
              <w:t>投入的施工材料有组织计划，数量、选型配置、进场时间基本满足施工需要</w:t>
            </w:r>
            <w:r>
              <w:rPr>
                <w:rFonts w:hint="eastAsia" w:ascii="宋体" w:hAnsi="宋体" w:cs="宋体"/>
                <w:color w:val="auto"/>
                <w:kern w:val="0"/>
                <w:highlight w:val="none"/>
                <w:lang w:eastAsia="zh-CN"/>
              </w:rPr>
              <w:t>的</w:t>
            </w:r>
            <w:r>
              <w:rPr>
                <w:rFonts w:hint="eastAsia" w:ascii="宋体" w:hAnsi="宋体" w:cs="宋体"/>
                <w:color w:val="auto"/>
                <w:kern w:val="0"/>
                <w:highlight w:val="none"/>
              </w:rPr>
              <w:t>。</w:t>
            </w:r>
          </w:p>
          <w:p w14:paraId="10926C63">
            <w:pPr>
              <w:pStyle w:val="240"/>
              <w:keepNext w:val="0"/>
              <w:keepLines w:val="0"/>
              <w:pageBreakBefore w:val="0"/>
              <w:kinsoku/>
              <w:wordWrap/>
              <w:overflowPunct/>
              <w:topLinePunct w:val="0"/>
              <w:autoSpaceDE/>
              <w:autoSpaceDN/>
              <w:bidi w:val="0"/>
              <w:adjustRightInd/>
              <w:snapToGrid/>
              <w:spacing w:line="400" w:lineRule="exact"/>
              <w:ind w:firstLine="0" w:firstLineChars="0"/>
              <w:textAlignment w:val="auto"/>
              <w:rPr>
                <w:color w:val="auto"/>
                <w:highlight w:val="none"/>
              </w:rPr>
            </w:pPr>
            <w:r>
              <w:rPr>
                <w:rFonts w:hint="eastAsia"/>
                <w:color w:val="auto"/>
                <w:highlight w:val="none"/>
              </w:rPr>
              <w:t>二档</w:t>
            </w:r>
            <w:r>
              <w:rPr>
                <w:rFonts w:hint="eastAsia" w:ascii="宋体" w:hAnsi="宋体"/>
                <w:color w:val="auto"/>
                <w:highlight w:val="none"/>
                <w:lang w:eastAsia="zh-CN"/>
              </w:rPr>
              <w:t>（</w:t>
            </w:r>
            <w:r>
              <w:rPr>
                <w:rFonts w:hint="eastAsia" w:ascii="宋体" w:hAnsi="宋体"/>
                <w:color w:val="auto"/>
                <w:highlight w:val="none"/>
                <w:lang w:val="en-US" w:eastAsia="zh-CN"/>
              </w:rPr>
              <w:t>6</w:t>
            </w:r>
            <w:r>
              <w:rPr>
                <w:rFonts w:hint="eastAsia" w:ascii="宋体" w:hAnsi="宋体"/>
                <w:color w:val="auto"/>
                <w:highlight w:val="none"/>
                <w:lang w:eastAsia="zh-CN"/>
              </w:rPr>
              <w:t>分）</w:t>
            </w:r>
            <w:r>
              <w:rPr>
                <w:rFonts w:hint="eastAsia"/>
                <w:color w:val="auto"/>
                <w:highlight w:val="none"/>
              </w:rPr>
              <w:t>：</w:t>
            </w:r>
            <w:r>
              <w:rPr>
                <w:rFonts w:hint="eastAsia" w:ascii="宋体" w:hAnsi="宋体" w:cs="宋体"/>
                <w:color w:val="auto"/>
                <w:kern w:val="0"/>
                <w:highlight w:val="none"/>
              </w:rPr>
              <w:t>投入的施工材料有详细的组织计划，但部分内容与项目实际情况不契合，数量、选型配置、进场时间安排较合理，满足施工需要</w:t>
            </w:r>
            <w:r>
              <w:rPr>
                <w:rFonts w:hint="eastAsia" w:ascii="宋体" w:hAnsi="宋体" w:cs="宋体"/>
                <w:color w:val="auto"/>
                <w:kern w:val="0"/>
                <w:highlight w:val="none"/>
                <w:lang w:eastAsia="zh-CN"/>
              </w:rPr>
              <w:t>的</w:t>
            </w:r>
            <w:r>
              <w:rPr>
                <w:rFonts w:hint="eastAsia" w:ascii="宋体" w:hAnsi="宋体" w:cs="宋体"/>
                <w:color w:val="auto"/>
                <w:kern w:val="0"/>
                <w:highlight w:val="none"/>
              </w:rPr>
              <w:t>。</w:t>
            </w:r>
          </w:p>
          <w:p w14:paraId="241AE978">
            <w:pPr>
              <w:pStyle w:val="24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cs="宋体" w:asciiTheme="majorEastAsia" w:hAnsiTheme="majorEastAsia" w:eastAsiaTheme="majorEastAsia"/>
                <w:color w:val="auto"/>
                <w:kern w:val="0"/>
                <w:highlight w:val="none"/>
              </w:rPr>
            </w:pPr>
            <w:r>
              <w:rPr>
                <w:rFonts w:hint="eastAsia"/>
                <w:color w:val="auto"/>
                <w:highlight w:val="none"/>
              </w:rPr>
              <w:t>三档</w:t>
            </w:r>
            <w:r>
              <w:rPr>
                <w:rFonts w:hint="eastAsia" w:ascii="宋体" w:hAnsi="宋体"/>
                <w:color w:val="auto"/>
                <w:highlight w:val="none"/>
                <w:lang w:eastAsia="zh-CN"/>
              </w:rPr>
              <w:t>（</w:t>
            </w:r>
            <w:r>
              <w:rPr>
                <w:rFonts w:hint="eastAsia" w:ascii="宋体" w:hAnsi="宋体"/>
                <w:color w:val="auto"/>
                <w:highlight w:val="none"/>
                <w:lang w:val="en-US" w:eastAsia="zh-CN"/>
              </w:rPr>
              <w:t>9</w:t>
            </w:r>
            <w:r>
              <w:rPr>
                <w:rFonts w:hint="eastAsia" w:ascii="宋体" w:hAnsi="宋体"/>
                <w:color w:val="auto"/>
                <w:highlight w:val="none"/>
                <w:lang w:eastAsia="zh-CN"/>
              </w:rPr>
              <w:t>分）</w:t>
            </w:r>
            <w:r>
              <w:rPr>
                <w:rFonts w:hint="eastAsia"/>
                <w:color w:val="auto"/>
                <w:highlight w:val="none"/>
              </w:rPr>
              <w:t>：</w:t>
            </w:r>
            <w:r>
              <w:rPr>
                <w:rFonts w:hint="eastAsia" w:ascii="宋体" w:hAnsi="宋体" w:cs="宋体"/>
                <w:color w:val="auto"/>
                <w:kern w:val="0"/>
                <w:highlight w:val="none"/>
              </w:rPr>
              <w:t>投入的施工材料有详细的组织计划且计划周密，数量、选型配置、进场时间安排合理，满足施工需要</w:t>
            </w:r>
            <w:r>
              <w:rPr>
                <w:rFonts w:hint="eastAsia" w:ascii="宋体" w:hAnsi="宋体" w:cs="宋体"/>
                <w:color w:val="auto"/>
                <w:kern w:val="0"/>
                <w:highlight w:val="none"/>
                <w:lang w:eastAsia="zh-CN"/>
              </w:rPr>
              <w:t>的</w:t>
            </w:r>
            <w:r>
              <w:rPr>
                <w:rFonts w:hint="eastAsia" w:ascii="宋体" w:hAnsi="宋体" w:cs="宋体"/>
                <w:color w:val="auto"/>
                <w:kern w:val="0"/>
                <w:highlight w:val="none"/>
              </w:rPr>
              <w:t>。</w:t>
            </w:r>
          </w:p>
        </w:tc>
      </w:tr>
      <w:tr w14:paraId="1C5D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38BF75E7">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41AEBB9">
            <w:pPr>
              <w:adjustRightInd w:val="0"/>
              <w:spacing w:line="440" w:lineRule="exact"/>
              <w:jc w:val="center"/>
              <w:textAlignment w:val="baseline"/>
              <w:rPr>
                <w:rFonts w:hint="eastAsia" w:cs="宋体" w:asciiTheme="majorEastAsia" w:hAnsiTheme="majorEastAsia" w:eastAsiaTheme="majorEastAsia"/>
                <w:color w:val="auto"/>
                <w:highlight w:val="none"/>
              </w:rPr>
            </w:pPr>
            <w:r>
              <w:rPr>
                <w:rFonts w:hint="eastAsia" w:asciiTheme="majorEastAsia" w:hAnsiTheme="majorEastAsia" w:eastAsiaTheme="majorEastAsia"/>
                <w:bCs/>
                <w:color w:val="auto"/>
                <w:kern w:val="0"/>
                <w:highlight w:val="none"/>
              </w:rPr>
              <w:t>2</w:t>
            </w:r>
            <w:r>
              <w:rPr>
                <w:rFonts w:asciiTheme="majorEastAsia" w:hAnsiTheme="majorEastAsia" w:eastAsiaTheme="majorEastAsia"/>
                <w:bCs/>
                <w:color w:val="auto"/>
                <w:kern w:val="0"/>
                <w:highlight w:val="none"/>
              </w:rPr>
              <w:t>.3</w:t>
            </w:r>
            <w:r>
              <w:rPr>
                <w:rFonts w:hint="eastAsia" w:cs="宋体" w:asciiTheme="majorEastAsia" w:hAnsiTheme="majorEastAsia" w:eastAsiaTheme="majorEastAsia"/>
                <w:color w:val="auto"/>
                <w:spacing w:val="-2"/>
                <w:highlight w:val="none"/>
              </w:rPr>
              <w:t>劳动力安排</w:t>
            </w:r>
            <w:r>
              <w:rPr>
                <w:rFonts w:hint="eastAsia" w:cs="宋体" w:asciiTheme="majorEastAsia" w:hAnsiTheme="majorEastAsia" w:eastAsiaTheme="majorEastAsia"/>
                <w:color w:val="auto"/>
                <w:spacing w:val="5"/>
                <w:highlight w:val="none"/>
              </w:rPr>
              <w:t>计划</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6</w:t>
            </w:r>
            <w:r>
              <w:rPr>
                <w:rFonts w:hint="eastAsia" w:asciiTheme="majorEastAsia" w:hAnsiTheme="majorEastAsia" w:eastAsiaTheme="majorEastAsia"/>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414A28C4">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spacing w:val="-2"/>
                <w:highlight w:val="none"/>
              </w:rPr>
              <w:t>劳动力安排</w:t>
            </w:r>
            <w:r>
              <w:rPr>
                <w:rFonts w:hint="eastAsia" w:cs="宋体" w:asciiTheme="majorEastAsia" w:hAnsiTheme="majorEastAsia" w:eastAsiaTheme="majorEastAsia"/>
                <w:color w:val="auto"/>
                <w:spacing w:val="5"/>
                <w:highlight w:val="none"/>
              </w:rPr>
              <w:t>计划</w:t>
            </w:r>
            <w:r>
              <w:rPr>
                <w:rFonts w:hint="eastAsia" w:cs="宋体" w:asciiTheme="majorEastAsia" w:hAnsiTheme="majorEastAsia" w:eastAsiaTheme="majorEastAsia"/>
                <w:color w:val="auto"/>
                <w:spacing w:val="5"/>
                <w:highlight w:val="none"/>
                <w:lang w:eastAsia="zh-CN"/>
              </w:rPr>
              <w:t>”</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0C8B7299">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w:t>
            </w:r>
            <w:r>
              <w:rPr>
                <w:rFonts w:hint="eastAsia" w:cs="宋体" w:asciiTheme="majorEastAsia" w:hAnsiTheme="majorEastAsia" w:eastAsiaTheme="majorEastAsia"/>
                <w:color w:val="auto"/>
                <w:kern w:val="0"/>
                <w:highlight w:val="none"/>
                <w:lang w:val="en-US" w:eastAsia="zh-CN"/>
              </w:rPr>
              <w:t>2</w:t>
            </w:r>
            <w:r>
              <w:rPr>
                <w:rFonts w:hint="eastAsia" w:cs="宋体" w:asciiTheme="majorEastAsia" w:hAnsiTheme="majorEastAsia" w:eastAsiaTheme="majorEastAsia"/>
                <w:color w:val="auto"/>
                <w:kern w:val="0"/>
                <w:highlight w:val="none"/>
              </w:rPr>
              <w:t>分）：各主要施工工序的劳动力安排计划缺乏合理性，各工种劳动力安排计划不周全，劳动力投入缺乏科学合理性及针对性，不能满足施工需要。</w:t>
            </w:r>
          </w:p>
          <w:p w14:paraId="1BD8D289">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w:t>
            </w:r>
            <w:r>
              <w:rPr>
                <w:rFonts w:hint="eastAsia" w:cs="宋体" w:asciiTheme="majorEastAsia" w:hAnsiTheme="majorEastAsia" w:eastAsiaTheme="majorEastAsia"/>
                <w:color w:val="auto"/>
                <w:kern w:val="0"/>
                <w:highlight w:val="none"/>
                <w:lang w:val="en-US" w:eastAsia="zh-CN"/>
              </w:rPr>
              <w:t>4</w:t>
            </w:r>
            <w:r>
              <w:rPr>
                <w:rFonts w:hint="eastAsia" w:cs="宋体" w:asciiTheme="majorEastAsia" w:hAnsiTheme="majorEastAsia" w:eastAsiaTheme="majorEastAsia"/>
                <w:color w:val="auto"/>
                <w:kern w:val="0"/>
                <w:highlight w:val="none"/>
              </w:rPr>
              <w:t>分）：各主要施工工序的劳动力安排计划较合理，各工种劳动力安排计划基本周全，劳动力投入有一定的科学合理性及针对性，基本满足施工需要。</w:t>
            </w:r>
          </w:p>
          <w:p w14:paraId="042FED3C">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olor w:val="auto"/>
                <w:highlight w:val="none"/>
              </w:rPr>
            </w:pPr>
            <w:r>
              <w:rPr>
                <w:rFonts w:hint="eastAsia" w:cs="宋体" w:asciiTheme="majorEastAsia" w:hAnsiTheme="majorEastAsia" w:eastAsiaTheme="majorEastAsia"/>
                <w:color w:val="auto"/>
                <w:kern w:val="0"/>
                <w:highlight w:val="none"/>
              </w:rPr>
              <w:t>三档（</w:t>
            </w:r>
            <w:r>
              <w:rPr>
                <w:rFonts w:hint="eastAsia" w:cs="宋体" w:asciiTheme="majorEastAsia" w:hAnsiTheme="majorEastAsia" w:eastAsiaTheme="majorEastAsia"/>
                <w:color w:val="auto"/>
                <w:kern w:val="0"/>
                <w:highlight w:val="none"/>
                <w:lang w:val="en-US" w:eastAsia="zh-CN"/>
              </w:rPr>
              <w:t>6</w:t>
            </w:r>
            <w:r>
              <w:rPr>
                <w:rFonts w:hint="eastAsia" w:cs="宋体" w:asciiTheme="majorEastAsia" w:hAnsiTheme="majorEastAsia" w:eastAsiaTheme="majorEastAsia"/>
                <w:color w:val="auto"/>
                <w:kern w:val="0"/>
                <w:highlight w:val="none"/>
              </w:rPr>
              <w:t>分）：各主要施工工序的劳动力安排计划周密、合理，各工种劳动力安排计划周全，劳动力投入科学合理、针对性强，完全满足施工需要，有利于项目切实、有效的实施。</w:t>
            </w:r>
          </w:p>
        </w:tc>
      </w:tr>
      <w:tr w14:paraId="4A88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395D3EF6">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9453830">
            <w:pPr>
              <w:adjustRightInd w:val="0"/>
              <w:spacing w:line="440" w:lineRule="exact"/>
              <w:jc w:val="center"/>
              <w:textAlignment w:val="baseline"/>
              <w:rPr>
                <w:rFonts w:hint="eastAsia" w:cs="宋体" w:asciiTheme="majorEastAsia" w:hAnsiTheme="majorEastAsia" w:eastAsiaTheme="majorEastAsia"/>
                <w:color w:val="auto"/>
                <w:highlight w:val="none"/>
              </w:rPr>
            </w:pPr>
            <w:r>
              <w:rPr>
                <w:rFonts w:hint="eastAsia" w:asciiTheme="majorEastAsia" w:hAnsiTheme="majorEastAsia" w:eastAsiaTheme="majorEastAsia"/>
                <w:bCs/>
                <w:color w:val="auto"/>
                <w:kern w:val="0"/>
                <w:highlight w:val="none"/>
              </w:rPr>
              <w:t>2</w:t>
            </w:r>
            <w:r>
              <w:rPr>
                <w:rFonts w:asciiTheme="majorEastAsia" w:hAnsiTheme="majorEastAsia" w:eastAsiaTheme="majorEastAsia"/>
                <w:bCs/>
                <w:color w:val="auto"/>
                <w:kern w:val="0"/>
                <w:highlight w:val="none"/>
              </w:rPr>
              <w:t>.4</w:t>
            </w:r>
            <w:r>
              <w:rPr>
                <w:rFonts w:hint="eastAsia" w:cs="宋体" w:asciiTheme="majorEastAsia" w:hAnsiTheme="majorEastAsia" w:eastAsiaTheme="majorEastAsia"/>
                <w:color w:val="auto"/>
                <w:spacing w:val="-1"/>
                <w:highlight w:val="none"/>
              </w:rPr>
              <w:t>确保工程质量的技术组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6</w:t>
            </w:r>
            <w:r>
              <w:rPr>
                <w:rFonts w:hint="eastAsia" w:asciiTheme="majorEastAsia" w:hAnsiTheme="majorEastAsia" w:eastAsiaTheme="majorEastAsia"/>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6CA16C60">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spacing w:val="-1"/>
                <w:highlight w:val="none"/>
              </w:rPr>
              <w:t>确保工程质量的技术组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s="宋体" w:asciiTheme="majorEastAsia" w:hAnsiTheme="majorEastAsia" w:eastAsiaTheme="majorEastAsia"/>
                <w:color w:val="auto"/>
                <w:spacing w:val="14"/>
                <w:highlight w:val="none"/>
                <w:lang w:eastAsia="zh-CN"/>
              </w:rPr>
              <w:t>”</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45944D5A">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w:t>
            </w:r>
            <w:r>
              <w:rPr>
                <w:rFonts w:hint="eastAsia" w:cs="宋体" w:asciiTheme="majorEastAsia" w:hAnsiTheme="majorEastAsia" w:eastAsiaTheme="majorEastAsia"/>
                <w:color w:val="auto"/>
                <w:kern w:val="0"/>
                <w:highlight w:val="none"/>
                <w:lang w:val="en-US" w:eastAsia="zh-CN"/>
              </w:rPr>
              <w:t>2</w:t>
            </w:r>
            <w:r>
              <w:rPr>
                <w:rFonts w:hint="eastAsia" w:cs="宋体" w:asciiTheme="majorEastAsia" w:hAnsiTheme="majorEastAsia" w:eastAsiaTheme="majorEastAsia"/>
                <w:color w:val="auto"/>
                <w:kern w:val="0"/>
                <w:highlight w:val="none"/>
              </w:rPr>
              <w:t xml:space="preserve">分）：具有专门质量技术管理班子和制度，且人员配备基本合理，制度基本健全；主要工序具有浅显的质量技术保证措施和手段，自控体系不完整；缺乏针对性及可行性，能基本保证技术质量，基本达到承诺的质量标准。 </w:t>
            </w:r>
          </w:p>
          <w:p w14:paraId="7EF90087">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w:t>
            </w:r>
            <w:r>
              <w:rPr>
                <w:rFonts w:hint="eastAsia" w:cs="宋体" w:asciiTheme="majorEastAsia" w:hAnsiTheme="majorEastAsia" w:eastAsiaTheme="majorEastAsia"/>
                <w:color w:val="auto"/>
                <w:kern w:val="0"/>
                <w:highlight w:val="none"/>
                <w:lang w:val="en-US" w:eastAsia="zh-CN"/>
              </w:rPr>
              <w:t>4</w:t>
            </w:r>
            <w:r>
              <w:rPr>
                <w:rFonts w:hint="eastAsia" w:cs="宋体" w:asciiTheme="majorEastAsia" w:hAnsiTheme="majorEastAsia" w:eastAsiaTheme="majorEastAsia"/>
                <w:color w:val="auto"/>
                <w:kern w:val="0"/>
                <w:highlight w:val="none"/>
              </w:rPr>
              <w:t xml:space="preserve">分）：具有专门的质量技术管理班子和制度，且人员配备较合理，制度健全；主要工序具有较健全、较全面的质量技术保证措施和手段，自控体系基本完整；有一定的针对性及可行性；能保证技术质量，达到承诺的质量标准。 </w:t>
            </w:r>
          </w:p>
          <w:p w14:paraId="5C33A2F6">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olor w:val="auto"/>
                <w:highlight w:val="none"/>
              </w:rPr>
            </w:pPr>
            <w:r>
              <w:rPr>
                <w:rFonts w:hint="eastAsia" w:cs="宋体" w:asciiTheme="majorEastAsia" w:hAnsiTheme="majorEastAsia" w:eastAsiaTheme="majorEastAsia"/>
                <w:color w:val="auto"/>
                <w:kern w:val="0"/>
                <w:highlight w:val="none"/>
              </w:rPr>
              <w:t>三档（</w:t>
            </w:r>
            <w:r>
              <w:rPr>
                <w:rFonts w:hint="eastAsia" w:cs="宋体" w:asciiTheme="majorEastAsia" w:hAnsiTheme="majorEastAsia" w:eastAsiaTheme="majorEastAsia"/>
                <w:color w:val="auto"/>
                <w:kern w:val="0"/>
                <w:highlight w:val="none"/>
                <w:lang w:val="en-US" w:eastAsia="zh-CN"/>
              </w:rPr>
              <w:t>6</w:t>
            </w:r>
            <w:r>
              <w:rPr>
                <w:rFonts w:hint="eastAsia" w:cs="宋体" w:asciiTheme="majorEastAsia" w:hAnsiTheme="majorEastAsia" w:eastAsiaTheme="majorEastAsia"/>
                <w:color w:val="auto"/>
                <w:kern w:val="0"/>
                <w:highlight w:val="none"/>
              </w:rPr>
              <w:t xml:space="preserve">分）：具有专门的质量技术管理班子和制度，且人员配备合理，制度健全；主要工序具有健全、详细的质量技术保证措施和手段，自控体系完整；针对性及可行性强；能有效保证技术质量，保证项目切实有效的实施，充分达到承诺的质量标准。 </w:t>
            </w:r>
          </w:p>
        </w:tc>
      </w:tr>
      <w:tr w14:paraId="305C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0437DC46">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0A2838">
            <w:pPr>
              <w:adjustRightInd w:val="0"/>
              <w:spacing w:line="440" w:lineRule="exact"/>
              <w:jc w:val="center"/>
              <w:textAlignment w:val="baseline"/>
              <w:rPr>
                <w:rFonts w:hint="eastAsia" w:cs="宋体" w:asciiTheme="majorEastAsia" w:hAnsiTheme="majorEastAsia" w:eastAsiaTheme="majorEastAsia"/>
                <w:color w:val="auto"/>
                <w:highlight w:val="none"/>
              </w:rPr>
            </w:pPr>
            <w:r>
              <w:rPr>
                <w:rFonts w:hint="eastAsia" w:asciiTheme="majorEastAsia" w:hAnsiTheme="majorEastAsia" w:eastAsiaTheme="majorEastAsia"/>
                <w:bCs/>
                <w:color w:val="auto"/>
                <w:kern w:val="0"/>
                <w:highlight w:val="none"/>
              </w:rPr>
              <w:t>2</w:t>
            </w:r>
            <w:r>
              <w:rPr>
                <w:rFonts w:asciiTheme="majorEastAsia" w:hAnsiTheme="majorEastAsia" w:eastAsiaTheme="majorEastAsia"/>
                <w:bCs/>
                <w:color w:val="auto"/>
                <w:kern w:val="0"/>
                <w:highlight w:val="none"/>
              </w:rPr>
              <w:t>.5</w:t>
            </w:r>
            <w:r>
              <w:rPr>
                <w:rFonts w:hint="eastAsia" w:cs="宋体" w:asciiTheme="majorEastAsia" w:hAnsiTheme="majorEastAsia" w:eastAsiaTheme="majorEastAsia"/>
                <w:color w:val="auto"/>
                <w:spacing w:val="-1"/>
                <w:highlight w:val="none"/>
              </w:rPr>
              <w:t>确保安全生产的技术组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6</w:t>
            </w:r>
            <w:r>
              <w:rPr>
                <w:rFonts w:hint="eastAsia" w:asciiTheme="majorEastAsia" w:hAnsiTheme="majorEastAsia" w:eastAsiaTheme="majorEastAsia"/>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2207541E">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spacing w:val="-1"/>
                <w:highlight w:val="none"/>
              </w:rPr>
              <w:t>确保安全生产的技术组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s="宋体" w:asciiTheme="majorEastAsia" w:hAnsiTheme="majorEastAsia" w:eastAsiaTheme="majorEastAsia"/>
                <w:color w:val="auto"/>
                <w:spacing w:val="14"/>
                <w:highlight w:val="none"/>
                <w:lang w:eastAsia="zh-CN"/>
              </w:rPr>
              <w:t>”</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57BDB89B">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w:t>
            </w:r>
            <w:r>
              <w:rPr>
                <w:rFonts w:hint="eastAsia" w:cs="宋体" w:asciiTheme="majorEastAsia" w:hAnsiTheme="majorEastAsia" w:eastAsiaTheme="majorEastAsia"/>
                <w:color w:val="auto"/>
                <w:kern w:val="0"/>
                <w:highlight w:val="none"/>
                <w:lang w:val="en-US" w:eastAsia="zh-CN"/>
              </w:rPr>
              <w:t>2</w:t>
            </w:r>
            <w:r>
              <w:rPr>
                <w:rFonts w:hint="eastAsia" w:cs="宋体" w:asciiTheme="majorEastAsia" w:hAnsiTheme="majorEastAsia" w:eastAsiaTheme="majorEastAsia"/>
                <w:color w:val="auto"/>
                <w:kern w:val="0"/>
                <w:highlight w:val="none"/>
              </w:rPr>
              <w:t xml:space="preserve">分）：具有专门的安全管理人员和制度，且人员配备基本合理，制度基本健全，各道工序安全技术措施缺乏针对性及可行性，基本符合实际且基本满足有关安全技术标准要求；现场防火、应急救援、社会治安安全措施欠缺周全性。 </w:t>
            </w:r>
          </w:p>
          <w:p w14:paraId="3A8FF4E0">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w:t>
            </w:r>
            <w:r>
              <w:rPr>
                <w:rFonts w:hint="eastAsia" w:cs="宋体" w:asciiTheme="majorEastAsia" w:hAnsiTheme="majorEastAsia" w:eastAsiaTheme="majorEastAsia"/>
                <w:color w:val="auto"/>
                <w:kern w:val="0"/>
                <w:highlight w:val="none"/>
                <w:lang w:val="en-US" w:eastAsia="zh-CN"/>
              </w:rPr>
              <w:t>4</w:t>
            </w:r>
            <w:r>
              <w:rPr>
                <w:rFonts w:hint="eastAsia" w:cs="宋体" w:asciiTheme="majorEastAsia" w:hAnsiTheme="majorEastAsia" w:eastAsiaTheme="majorEastAsia"/>
                <w:color w:val="auto"/>
                <w:kern w:val="0"/>
                <w:highlight w:val="none"/>
              </w:rPr>
              <w:t xml:space="preserve">分）：具有专门的安全管理人员和制度，且人员配备较合理，制度较健全，各道工序安全技术措施有一定的针对性及可行性，符合实际且满足有关安全技术标准要求；现场防火、应急救援、社会治安安全措施基本周全。 </w:t>
            </w:r>
          </w:p>
          <w:p w14:paraId="4987791A">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olor w:val="auto"/>
                <w:highlight w:val="none"/>
              </w:rPr>
            </w:pPr>
            <w:r>
              <w:rPr>
                <w:rFonts w:hint="eastAsia" w:cs="宋体" w:asciiTheme="majorEastAsia" w:hAnsiTheme="majorEastAsia" w:eastAsiaTheme="majorEastAsia"/>
                <w:color w:val="auto"/>
                <w:kern w:val="0"/>
                <w:highlight w:val="none"/>
              </w:rPr>
              <w:t>三档（</w:t>
            </w:r>
            <w:r>
              <w:rPr>
                <w:rFonts w:hint="eastAsia" w:cs="宋体" w:asciiTheme="majorEastAsia" w:hAnsiTheme="majorEastAsia" w:eastAsiaTheme="majorEastAsia"/>
                <w:color w:val="auto"/>
                <w:kern w:val="0"/>
                <w:highlight w:val="none"/>
                <w:lang w:val="en-US" w:eastAsia="zh-CN"/>
              </w:rPr>
              <w:t>6</w:t>
            </w:r>
            <w:r>
              <w:rPr>
                <w:rFonts w:hint="eastAsia" w:cs="宋体" w:asciiTheme="majorEastAsia" w:hAnsiTheme="majorEastAsia" w:eastAsiaTheme="majorEastAsia"/>
                <w:color w:val="auto"/>
                <w:kern w:val="0"/>
                <w:highlight w:val="none"/>
              </w:rPr>
              <w:t xml:space="preserve">分）：具有专门的安全管理人员和制度，且人员配备合理，制度健全，各道工序安全技术措施针对性及可行性强，充分符合实际且满足有关安全技术标准要求；现场防火、应急救援、社会治安安全措施周全且得力。 </w:t>
            </w:r>
          </w:p>
        </w:tc>
      </w:tr>
      <w:tr w14:paraId="39EA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7FC513A1">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68F11F5">
            <w:pPr>
              <w:adjustRightInd w:val="0"/>
              <w:spacing w:line="440" w:lineRule="exact"/>
              <w:jc w:val="center"/>
              <w:textAlignment w:val="baseline"/>
              <w:rPr>
                <w:rFonts w:hint="eastAsia" w:cs="宋体" w:asciiTheme="majorEastAsia" w:hAnsiTheme="majorEastAsia" w:eastAsiaTheme="majorEastAsia"/>
                <w:bCs/>
                <w:color w:val="auto"/>
                <w:sz w:val="21"/>
                <w:szCs w:val="21"/>
                <w:highlight w:val="none"/>
              </w:rPr>
            </w:pPr>
            <w:r>
              <w:rPr>
                <w:rFonts w:hint="eastAsia" w:cs="宋体" w:asciiTheme="majorEastAsia" w:hAnsiTheme="majorEastAsia" w:eastAsiaTheme="majorEastAsia"/>
                <w:bCs/>
                <w:color w:val="auto"/>
                <w:kern w:val="0"/>
                <w:sz w:val="21"/>
                <w:szCs w:val="21"/>
                <w:highlight w:val="none"/>
              </w:rPr>
              <w:t>2</w:t>
            </w:r>
            <w:r>
              <w:rPr>
                <w:rFonts w:cs="宋体" w:asciiTheme="majorEastAsia" w:hAnsiTheme="majorEastAsia" w:eastAsiaTheme="majorEastAsia"/>
                <w:bCs/>
                <w:color w:val="auto"/>
                <w:kern w:val="0"/>
                <w:sz w:val="21"/>
                <w:szCs w:val="21"/>
                <w:highlight w:val="none"/>
              </w:rPr>
              <w:t>.6</w:t>
            </w:r>
            <w:r>
              <w:rPr>
                <w:rFonts w:hint="eastAsia" w:cs="宋体" w:asciiTheme="majorEastAsia" w:hAnsiTheme="majorEastAsia" w:eastAsiaTheme="majorEastAsia"/>
                <w:color w:val="auto"/>
                <w:spacing w:val="-1"/>
                <w:sz w:val="21"/>
                <w:szCs w:val="21"/>
                <w:highlight w:val="none"/>
              </w:rPr>
              <w:t>确保工期的技术组织</w:t>
            </w:r>
            <w:r>
              <w:rPr>
                <w:rFonts w:hint="eastAsia" w:cs="宋体" w:asciiTheme="majorEastAsia" w:hAnsiTheme="majorEastAsia" w:eastAsiaTheme="majorEastAsia"/>
                <w:color w:val="auto"/>
                <w:sz w:val="21"/>
                <w:szCs w:val="21"/>
                <w:highlight w:val="none"/>
              </w:rPr>
              <w:t>措</w:t>
            </w:r>
            <w:r>
              <w:rPr>
                <w:rFonts w:hint="eastAsia" w:cs="宋体" w:asciiTheme="majorEastAsia" w:hAnsiTheme="majorEastAsia" w:eastAsiaTheme="majorEastAsia"/>
                <w:color w:val="auto"/>
                <w:spacing w:val="7"/>
                <w:sz w:val="21"/>
                <w:szCs w:val="21"/>
                <w:highlight w:val="none"/>
              </w:rPr>
              <w:t>施</w:t>
            </w:r>
            <w:r>
              <w:rPr>
                <w:rFonts w:hint="eastAsia" w:asciiTheme="majorEastAsia" w:hAnsiTheme="majorEastAsia" w:eastAsiaTheme="majorEastAsia"/>
                <w:color w:val="auto"/>
                <w:sz w:val="21"/>
                <w:szCs w:val="21"/>
                <w:highlight w:val="none"/>
              </w:rPr>
              <w:t>（</w:t>
            </w:r>
            <w:r>
              <w:rPr>
                <w:rFonts w:hint="eastAsia" w:asciiTheme="majorEastAsia" w:hAnsiTheme="majorEastAsia" w:eastAsiaTheme="majorEastAsia"/>
                <w:color w:val="auto"/>
                <w:sz w:val="21"/>
                <w:szCs w:val="21"/>
                <w:highlight w:val="none"/>
                <w:lang w:val="en-US" w:eastAsia="zh-CN"/>
              </w:rPr>
              <w:t>9</w:t>
            </w:r>
            <w:r>
              <w:rPr>
                <w:rFonts w:hint="eastAsia" w:asciiTheme="majorEastAsia" w:hAnsiTheme="majorEastAsia" w:eastAsiaTheme="majorEastAsia"/>
                <w:color w:val="auto"/>
                <w:sz w:val="21"/>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56FD1A8F">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rPr>
              <w:t>确保工期的技术组织措施</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34FC70BE">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一档（</w:t>
            </w:r>
            <w:r>
              <w:rPr>
                <w:rFonts w:hint="eastAsia" w:cs="宋体" w:asciiTheme="majorEastAsia" w:hAnsiTheme="majorEastAsia" w:eastAsiaTheme="majorEastAsia"/>
                <w:color w:val="auto"/>
                <w:kern w:val="0"/>
                <w:sz w:val="21"/>
                <w:szCs w:val="21"/>
                <w:highlight w:val="none"/>
                <w:lang w:val="en-US" w:eastAsia="zh-CN"/>
              </w:rPr>
              <w:t>3</w:t>
            </w:r>
            <w:r>
              <w:rPr>
                <w:rFonts w:hint="eastAsia" w:cs="宋体" w:asciiTheme="majorEastAsia" w:hAnsiTheme="majorEastAsia" w:eastAsiaTheme="majorEastAsia"/>
                <w:color w:val="auto"/>
                <w:kern w:val="0"/>
                <w:sz w:val="21"/>
                <w:szCs w:val="21"/>
                <w:highlight w:val="none"/>
              </w:rPr>
              <w:t>分）：在施工工艺、施工方法、材料选用、劳动力安排、技术等方面有保证工期的基本措施；具有控制工期的基本施工进度计划；无施工总进度表或施工网络图，各项计划图表编制不完善，安排缺乏合理性，基本符合本项目施工实际要求。</w:t>
            </w:r>
          </w:p>
          <w:p w14:paraId="0A4C576A">
            <w:pPr>
              <w:keepNext w:val="0"/>
              <w:keepLines w:val="0"/>
              <w:pageBreakBefore w:val="0"/>
              <w:kinsoku/>
              <w:wordWrap/>
              <w:overflowPunct/>
              <w:topLinePunct w:val="0"/>
              <w:autoSpaceDE/>
              <w:autoSpaceDN/>
              <w:bidi w:val="0"/>
              <w:adjustRightInd/>
              <w:snapToGrid/>
              <w:spacing w:line="400" w:lineRule="exact"/>
              <w:ind w:firstLine="34"/>
              <w:textAlignment w:val="auto"/>
              <w:rPr>
                <w:rFonts w:hint="eastAsia"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二档（</w:t>
            </w:r>
            <w:r>
              <w:rPr>
                <w:rFonts w:hint="eastAsia" w:cs="宋体" w:asciiTheme="majorEastAsia" w:hAnsiTheme="majorEastAsia" w:eastAsiaTheme="majorEastAsia"/>
                <w:color w:val="auto"/>
                <w:kern w:val="0"/>
                <w:sz w:val="21"/>
                <w:szCs w:val="21"/>
                <w:highlight w:val="none"/>
                <w:lang w:val="en-US" w:eastAsia="zh-CN"/>
              </w:rPr>
              <w:t>6</w:t>
            </w:r>
            <w:r>
              <w:rPr>
                <w:rFonts w:hint="eastAsia" w:cs="宋体" w:asciiTheme="majorEastAsia" w:hAnsiTheme="majorEastAsia" w:eastAsiaTheme="majorEastAsia"/>
                <w:color w:val="auto"/>
                <w:kern w:val="0"/>
                <w:sz w:val="21"/>
                <w:szCs w:val="21"/>
                <w:highlight w:val="none"/>
              </w:rPr>
              <w:t>分）：在施工工艺、施工方法、材料选用、劳动力安排、技术等方面有保证工期的较完整的措施且措施得当；具有控制工期的较完整的施工进度计划；有施工总进度表或施工网络图，各项计划图表编制比较完善，安排比较合理，符合本项目施工实际要求。</w:t>
            </w:r>
          </w:p>
          <w:p w14:paraId="58816559">
            <w:pPr>
              <w:keepNext w:val="0"/>
              <w:keepLines w:val="0"/>
              <w:pageBreakBefore w:val="0"/>
              <w:kinsoku/>
              <w:wordWrap/>
              <w:overflowPunct/>
              <w:topLinePunct w:val="0"/>
              <w:autoSpaceDE/>
              <w:autoSpaceDN/>
              <w:bidi w:val="0"/>
              <w:adjustRightInd/>
              <w:snapToGrid/>
              <w:spacing w:line="400" w:lineRule="exact"/>
              <w:textAlignment w:val="auto"/>
              <w:rPr>
                <w:color w:val="auto"/>
                <w:sz w:val="21"/>
                <w:szCs w:val="21"/>
                <w:highlight w:val="none"/>
              </w:rPr>
            </w:pPr>
            <w:r>
              <w:rPr>
                <w:rFonts w:hint="eastAsia" w:cs="宋体" w:asciiTheme="majorEastAsia" w:hAnsiTheme="majorEastAsia" w:eastAsiaTheme="majorEastAsia"/>
                <w:color w:val="auto"/>
                <w:kern w:val="0"/>
                <w:sz w:val="21"/>
                <w:szCs w:val="21"/>
                <w:highlight w:val="none"/>
              </w:rPr>
              <w:t>三档（</w:t>
            </w:r>
            <w:r>
              <w:rPr>
                <w:rFonts w:hint="eastAsia" w:cs="宋体" w:asciiTheme="majorEastAsia" w:hAnsiTheme="majorEastAsia" w:eastAsiaTheme="majorEastAsia"/>
                <w:color w:val="auto"/>
                <w:kern w:val="0"/>
                <w:sz w:val="21"/>
                <w:szCs w:val="21"/>
                <w:highlight w:val="none"/>
                <w:lang w:val="en-US" w:eastAsia="zh-CN"/>
              </w:rPr>
              <w:t>9</w:t>
            </w:r>
            <w:r>
              <w:rPr>
                <w:rFonts w:hint="eastAsia" w:cs="宋体" w:asciiTheme="majorEastAsia" w:hAnsiTheme="majorEastAsia" w:eastAsiaTheme="majorEastAsia"/>
                <w:color w:val="auto"/>
                <w:kern w:val="0"/>
                <w:sz w:val="21"/>
                <w:szCs w:val="21"/>
                <w:highlight w:val="none"/>
              </w:rPr>
              <w:t>分）：在施工工艺、施工方法、材料选用、劳动力安排、技术等方面有保证工期的完整、周全的措施且措施得当；有控制工期的完整、周密的施工进度计划；有施工总进度表或施工网络图，各项计划图表编制完善，安排科学合理，可行性强，完全符合本项目施工实际要求。</w:t>
            </w:r>
          </w:p>
        </w:tc>
      </w:tr>
      <w:tr w14:paraId="7CE8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0000B1D6">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5B30E19">
            <w:pPr>
              <w:adjustRightInd w:val="0"/>
              <w:spacing w:line="440" w:lineRule="exact"/>
              <w:jc w:val="center"/>
              <w:textAlignment w:val="baseline"/>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2.7</w:t>
            </w:r>
            <w:r>
              <w:rPr>
                <w:rFonts w:hint="eastAsia" w:ascii="宋体" w:hAnsi="宋体" w:eastAsia="宋体" w:cs="宋体"/>
                <w:bCs/>
                <w:color w:val="auto"/>
                <w:szCs w:val="21"/>
                <w:highlight w:val="none"/>
              </w:rPr>
              <w:t>关键施工技术、工艺及工程实施的重点、难点和解决方案（</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7FA5C89C">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rPr>
              <w:t>关键施工技术、工艺及工程实施的重点、难点和解决方案</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2D0C9C73">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一档（</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分）：对项目关键技术、工艺有浅显的表达，对重点、难点提出建议但欠缺合理性及针对性，解决方案欠缺经济、安全性，基本可行。</w:t>
            </w:r>
          </w:p>
          <w:p w14:paraId="2212A1C0">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二档（</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分）：对项目关键技术、工艺有较深入的表达，对重点、难点提出建议且有一定的合理性及针对性，解决方案经济、安全、基本可行。</w:t>
            </w:r>
          </w:p>
          <w:p w14:paraId="11787CF1">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三档（</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分）：对项目关键技术、工艺有深入的表达，对重点、难点有先进合理、针对性强的施工措施并有可行的安全措施，解决方案全面、经济、安全、切实可行，措施得力。</w:t>
            </w:r>
          </w:p>
        </w:tc>
      </w:tr>
      <w:tr w14:paraId="16AE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restart"/>
            <w:tcBorders>
              <w:top w:val="single" w:color="auto" w:sz="4" w:space="0"/>
              <w:left w:val="single" w:color="auto" w:sz="4" w:space="0"/>
              <w:bottom w:val="single" w:color="auto" w:sz="4" w:space="0"/>
              <w:right w:val="single" w:color="auto" w:sz="4" w:space="0"/>
            </w:tcBorders>
            <w:vAlign w:val="center"/>
          </w:tcPr>
          <w:p w14:paraId="67D6F223">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3</w:t>
            </w:r>
          </w:p>
        </w:tc>
        <w:tc>
          <w:tcPr>
            <w:tcW w:w="1418" w:type="dxa"/>
            <w:tcBorders>
              <w:top w:val="single" w:color="auto" w:sz="4" w:space="0"/>
              <w:left w:val="single" w:color="auto" w:sz="4" w:space="0"/>
              <w:bottom w:val="single" w:color="auto" w:sz="4" w:space="0"/>
              <w:right w:val="single" w:color="auto" w:sz="4" w:space="0"/>
            </w:tcBorders>
            <w:vAlign w:val="center"/>
          </w:tcPr>
          <w:p w14:paraId="3C142369">
            <w:pPr>
              <w:widowControl/>
              <w:spacing w:line="440" w:lineRule="exact"/>
              <w:jc w:val="center"/>
              <w:rPr>
                <w:rFonts w:hint="eastAsia" w:cs="Courier New" w:asciiTheme="majorEastAsia" w:hAnsiTheme="majorEastAsia" w:eastAsiaTheme="majorEastAsia"/>
                <w:bCs/>
                <w:color w:val="auto"/>
                <w:szCs w:val="21"/>
                <w:highlight w:val="none"/>
              </w:rPr>
            </w:pPr>
            <w:r>
              <w:rPr>
                <w:rFonts w:hint="eastAsia" w:cs="Courier New" w:asciiTheme="majorEastAsia" w:hAnsiTheme="majorEastAsia" w:eastAsiaTheme="majorEastAsia"/>
                <w:bCs/>
                <w:color w:val="auto"/>
                <w:szCs w:val="21"/>
                <w:highlight w:val="none"/>
              </w:rPr>
              <w:t>商务分</w:t>
            </w:r>
          </w:p>
          <w:p w14:paraId="6B9F4A82">
            <w:pPr>
              <w:widowControl/>
              <w:spacing w:line="440" w:lineRule="exact"/>
              <w:jc w:val="center"/>
              <w:rPr>
                <w:rFonts w:hint="eastAsia" w:cs="Courier New" w:asciiTheme="majorEastAsia" w:hAnsiTheme="majorEastAsia" w:eastAsiaTheme="majorEastAsia"/>
                <w:bCs/>
                <w:color w:val="auto"/>
                <w:szCs w:val="21"/>
                <w:highlight w:val="none"/>
              </w:rPr>
            </w:pPr>
            <w:r>
              <w:rPr>
                <w:rFonts w:hint="eastAsia" w:cs="Courier New" w:asciiTheme="majorEastAsia" w:hAnsiTheme="majorEastAsia" w:eastAsiaTheme="majorEastAsia"/>
                <w:bCs/>
                <w:color w:val="auto"/>
                <w:szCs w:val="21"/>
                <w:highlight w:val="none"/>
              </w:rPr>
              <w:t>（</w:t>
            </w:r>
            <w:r>
              <w:rPr>
                <w:rFonts w:hint="eastAsia" w:cs="Courier New" w:asciiTheme="majorEastAsia" w:hAnsiTheme="majorEastAsia" w:eastAsiaTheme="majorEastAsia"/>
                <w:bCs/>
                <w:color w:val="auto"/>
                <w:szCs w:val="21"/>
                <w:highlight w:val="none"/>
                <w:lang w:val="en-US" w:eastAsia="zh-CN"/>
              </w:rPr>
              <w:t>20</w:t>
            </w:r>
            <w:r>
              <w:rPr>
                <w:rFonts w:hint="eastAsia" w:cs="Courier New" w:asciiTheme="majorEastAsia" w:hAnsiTheme="majorEastAsia" w:eastAsiaTheme="majorEastAsia"/>
                <w:bCs/>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58FA557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评审标准</w:t>
            </w:r>
          </w:p>
        </w:tc>
      </w:tr>
      <w:tr w14:paraId="34AA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left w:val="single" w:color="auto" w:sz="4" w:space="0"/>
              <w:right w:val="single" w:color="auto" w:sz="4" w:space="0"/>
            </w:tcBorders>
            <w:vAlign w:val="center"/>
          </w:tcPr>
          <w:p w14:paraId="1E861BBE">
            <w:pPr>
              <w:widowControl/>
              <w:spacing w:line="440" w:lineRule="exact"/>
              <w:jc w:val="center"/>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CA5D9B5">
            <w:pPr>
              <w:widowControl/>
              <w:spacing w:line="440" w:lineRule="exact"/>
              <w:jc w:val="center"/>
              <w:rPr>
                <w:rFonts w:hint="eastAsia" w:cs="Courier New" w:asciiTheme="majorEastAsia" w:hAnsiTheme="majorEastAsia" w:eastAsiaTheme="majorEastAsia"/>
                <w:bCs/>
                <w:color w:val="auto"/>
                <w:szCs w:val="21"/>
                <w:highlight w:val="none"/>
                <w:lang w:eastAsia="zh-CN"/>
              </w:rPr>
            </w:pPr>
            <w:r>
              <w:rPr>
                <w:rFonts w:hint="eastAsia" w:cs="Courier New" w:asciiTheme="majorEastAsia" w:hAnsiTheme="majorEastAsia" w:eastAsiaTheme="majorEastAsia"/>
                <w:b w:val="0"/>
                <w:bCs/>
                <w:color w:val="auto"/>
                <w:szCs w:val="21"/>
                <w:highlight w:val="none"/>
                <w:lang w:val="en-US" w:eastAsia="zh-CN"/>
              </w:rPr>
              <w:t>3.1</w:t>
            </w:r>
            <w:r>
              <w:rPr>
                <w:rFonts w:hint="eastAsia" w:cs="Courier New" w:asciiTheme="majorEastAsia" w:hAnsiTheme="majorEastAsia" w:eastAsiaTheme="majorEastAsia"/>
                <w:b w:val="0"/>
                <w:bCs/>
                <w:color w:val="auto"/>
                <w:szCs w:val="21"/>
                <w:highlight w:val="none"/>
                <w:lang w:eastAsia="zh-CN"/>
              </w:rPr>
              <w:t>工程保修服务保障分（</w:t>
            </w:r>
            <w:r>
              <w:rPr>
                <w:rFonts w:hint="eastAsia" w:cs="Courier New" w:asciiTheme="majorEastAsia" w:hAnsiTheme="majorEastAsia" w:eastAsiaTheme="majorEastAsia"/>
                <w:b w:val="0"/>
                <w:bCs/>
                <w:color w:val="auto"/>
                <w:szCs w:val="21"/>
                <w:highlight w:val="none"/>
                <w:lang w:val="en-US" w:eastAsia="zh-CN"/>
              </w:rPr>
              <w:t>6分</w:t>
            </w:r>
            <w:r>
              <w:rPr>
                <w:rFonts w:hint="eastAsia" w:cs="Courier New" w:asciiTheme="majorEastAsia" w:hAnsiTheme="majorEastAsia" w:eastAsiaTheme="majorEastAsia"/>
                <w:b w:val="0"/>
                <w:bCs/>
                <w:color w:val="auto"/>
                <w:szCs w:val="21"/>
                <w:highlight w:val="none"/>
                <w:lang w:eastAsia="zh-CN"/>
              </w:rPr>
              <w:t>）</w:t>
            </w:r>
          </w:p>
        </w:tc>
        <w:tc>
          <w:tcPr>
            <w:tcW w:w="6679" w:type="dxa"/>
            <w:tcBorders>
              <w:top w:val="single" w:color="auto" w:sz="4" w:space="0"/>
              <w:left w:val="single" w:color="auto" w:sz="4" w:space="0"/>
              <w:bottom w:val="single" w:color="auto" w:sz="4" w:space="0"/>
              <w:right w:val="single" w:color="auto" w:sz="4" w:space="0"/>
            </w:tcBorders>
            <w:vAlign w:val="center"/>
          </w:tcPr>
          <w:p w14:paraId="7DB70D5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eastAsia="宋体" w:cs="Tahoma" w:asciiTheme="majorEastAsia" w:hAnsiTheme="majorEastAsia"/>
                <w:color w:val="auto"/>
                <w:kern w:val="0"/>
                <w:szCs w:val="21"/>
                <w:highlight w:val="none"/>
                <w:lang w:eastAsia="zh-CN"/>
              </w:rPr>
            </w:pPr>
            <w:r>
              <w:rPr>
                <w:rFonts w:hint="eastAsia" w:cs="宋体"/>
                <w:color w:val="auto"/>
                <w:sz w:val="21"/>
                <w:highlight w:val="none"/>
              </w:rPr>
              <w:t>在</w:t>
            </w:r>
            <w:r>
              <w:rPr>
                <w:rFonts w:hint="eastAsia" w:cs="宋体"/>
                <w:color w:val="auto"/>
                <w:sz w:val="21"/>
                <w:highlight w:val="none"/>
                <w:lang w:eastAsia="zh-CN"/>
              </w:rPr>
              <w:t>工程</w:t>
            </w:r>
            <w:r>
              <w:rPr>
                <w:rFonts w:hint="eastAsia" w:cs="宋体"/>
                <w:color w:val="auto"/>
                <w:sz w:val="21"/>
                <w:highlight w:val="none"/>
              </w:rPr>
              <w:t>保修期内，</w:t>
            </w:r>
            <w:r>
              <w:rPr>
                <w:rFonts w:hint="eastAsia" w:cs="宋体"/>
                <w:color w:val="auto"/>
                <w:sz w:val="21"/>
                <w:highlight w:val="none"/>
                <w:lang w:eastAsia="zh-CN"/>
              </w:rPr>
              <w:t>采购</w:t>
            </w:r>
            <w:r>
              <w:rPr>
                <w:rFonts w:hint="eastAsia" w:cs="宋体"/>
                <w:color w:val="auto"/>
                <w:sz w:val="21"/>
                <w:highlight w:val="none"/>
              </w:rPr>
              <w:t>人在使用过程中，发现已接收的工程存在缺陷或损坏的</w:t>
            </w:r>
            <w:r>
              <w:rPr>
                <w:rFonts w:hint="eastAsia" w:cs="宋体"/>
                <w:color w:val="auto"/>
                <w:sz w:val="21"/>
                <w:highlight w:val="none"/>
                <w:lang w:eastAsia="zh-CN"/>
              </w:rPr>
              <w:t>，供应商承诺</w:t>
            </w:r>
            <w:r>
              <w:rPr>
                <w:rFonts w:hint="eastAsia" w:cs="宋体"/>
                <w:color w:val="auto"/>
                <w:sz w:val="21"/>
                <w:highlight w:val="none"/>
              </w:rPr>
              <w:t>到达工程现场并修复缺陷或损坏</w:t>
            </w:r>
            <w:r>
              <w:rPr>
                <w:rFonts w:hint="eastAsia" w:cs="宋体"/>
                <w:color w:val="auto"/>
                <w:sz w:val="21"/>
                <w:highlight w:val="none"/>
                <w:lang w:eastAsia="zh-CN"/>
              </w:rPr>
              <w:t>工程的时间</w:t>
            </w:r>
            <w:r>
              <w:rPr>
                <w:rFonts w:hint="eastAsia" w:cs="宋体"/>
                <w:color w:val="auto"/>
                <w:sz w:val="21"/>
                <w:highlight w:val="none"/>
                <w:lang w:val="en-US" w:eastAsia="zh-CN"/>
              </w:rPr>
              <w:t>＜12小时但≥6小时的，得2分；＜6小时但≥2小时的，得4分；＜2小时的，得6分【供应商响应文件中提供“</w:t>
            </w:r>
            <w:r>
              <w:rPr>
                <w:rFonts w:hint="eastAsia" w:cs="Courier New" w:asciiTheme="majorEastAsia" w:hAnsiTheme="majorEastAsia" w:eastAsiaTheme="majorEastAsia"/>
                <w:b w:val="0"/>
                <w:bCs/>
                <w:color w:val="auto"/>
                <w:szCs w:val="21"/>
                <w:highlight w:val="none"/>
                <w:lang w:eastAsia="zh-CN"/>
              </w:rPr>
              <w:t>工程保修服务保障承诺函”（格式见“</w:t>
            </w:r>
            <w:r>
              <w:rPr>
                <w:rFonts w:hint="eastAsia"/>
                <w:color w:val="auto"/>
                <w:highlight w:val="none"/>
              </w:rPr>
              <w:t>第六章 响应文件格式</w:t>
            </w:r>
            <w:r>
              <w:rPr>
                <w:rFonts w:hint="eastAsia"/>
                <w:color w:val="auto"/>
                <w:highlight w:val="none"/>
                <w:lang w:eastAsia="zh-CN"/>
              </w:rPr>
              <w:t>”</w:t>
            </w:r>
            <w:r>
              <w:rPr>
                <w:rFonts w:hint="eastAsia" w:cs="Courier New" w:asciiTheme="majorEastAsia" w:hAnsiTheme="majorEastAsia" w:eastAsiaTheme="majorEastAsia"/>
                <w:b w:val="0"/>
                <w:bCs/>
                <w:color w:val="auto"/>
                <w:szCs w:val="21"/>
                <w:highlight w:val="none"/>
                <w:lang w:eastAsia="zh-CN"/>
              </w:rPr>
              <w:t>），否则不予计分</w:t>
            </w:r>
            <w:r>
              <w:rPr>
                <w:rFonts w:hint="eastAsia" w:cs="宋体"/>
                <w:color w:val="auto"/>
                <w:sz w:val="21"/>
                <w:highlight w:val="none"/>
                <w:lang w:val="en-US" w:eastAsia="zh-CN"/>
              </w:rPr>
              <w:t>】。</w:t>
            </w:r>
          </w:p>
        </w:tc>
      </w:tr>
      <w:tr w14:paraId="1271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43E19BE4">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6663325">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3.</w:t>
            </w:r>
            <w:r>
              <w:rPr>
                <w:rFonts w:hint="eastAsia" w:cs="Tahoma" w:asciiTheme="majorEastAsia" w:hAnsiTheme="majorEastAsia" w:eastAsiaTheme="majorEastAsia"/>
                <w:color w:val="auto"/>
                <w:kern w:val="0"/>
                <w:szCs w:val="21"/>
                <w:highlight w:val="none"/>
                <w:lang w:val="en-US" w:eastAsia="zh-CN"/>
              </w:rPr>
              <w:t>2</w:t>
            </w:r>
            <w:r>
              <w:rPr>
                <w:rFonts w:hint="eastAsia" w:asciiTheme="majorEastAsia" w:hAnsiTheme="majorEastAsia" w:eastAsiaTheme="majorEastAsia"/>
                <w:color w:val="auto"/>
                <w:kern w:val="0"/>
                <w:szCs w:val="21"/>
                <w:highlight w:val="none"/>
              </w:rPr>
              <w:t>项目管理机构分（</w:t>
            </w:r>
            <w:r>
              <w:rPr>
                <w:rFonts w:hint="eastAsia" w:asciiTheme="majorEastAsia" w:hAnsiTheme="majorEastAsia" w:eastAsiaTheme="majorEastAsia"/>
                <w:color w:val="auto"/>
                <w:kern w:val="0"/>
                <w:szCs w:val="21"/>
                <w:highlight w:val="none"/>
                <w:lang w:val="en-US" w:eastAsia="zh-CN"/>
              </w:rPr>
              <w:t>4</w:t>
            </w:r>
            <w:r>
              <w:rPr>
                <w:rFonts w:hint="eastAsia" w:asciiTheme="majorEastAsia" w:hAnsiTheme="majorEastAsia" w:eastAsiaTheme="majorEastAsia"/>
                <w:color w:val="auto"/>
                <w:kern w:val="0"/>
                <w:szCs w:val="21"/>
                <w:highlight w:val="none"/>
              </w:rPr>
              <w:t>分）</w:t>
            </w:r>
          </w:p>
        </w:tc>
        <w:tc>
          <w:tcPr>
            <w:tcW w:w="6679" w:type="dxa"/>
            <w:tcBorders>
              <w:top w:val="single" w:color="auto" w:sz="4" w:space="0"/>
              <w:left w:val="single" w:color="auto" w:sz="4" w:space="0"/>
              <w:bottom w:val="single" w:color="auto" w:sz="4" w:space="0"/>
              <w:right w:val="single" w:color="auto" w:sz="4" w:space="0"/>
            </w:tcBorders>
          </w:tcPr>
          <w:p w14:paraId="79C4FA97">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cs="宋体" w:asciiTheme="minorEastAsia" w:hAnsiTheme="minorEastAsia" w:eastAsiaTheme="minorEastAsia"/>
                <w:color w:val="auto"/>
                <w:szCs w:val="21"/>
                <w:highlight w:val="none"/>
              </w:rPr>
            </w:pPr>
            <w:r>
              <w:rPr>
                <w:rFonts w:hint="eastAsia" w:asciiTheme="majorEastAsia" w:hAnsiTheme="majorEastAsia" w:eastAsiaTheme="majorEastAsia"/>
                <w:color w:val="auto"/>
                <w:kern w:val="0"/>
                <w:szCs w:val="21"/>
                <w:highlight w:val="none"/>
              </w:rPr>
              <w:t>供</w:t>
            </w:r>
            <w:r>
              <w:rPr>
                <w:rFonts w:hint="eastAsia" w:cs="宋体" w:asciiTheme="minorEastAsia" w:hAnsiTheme="minorEastAsia" w:eastAsiaTheme="minorEastAsia"/>
                <w:color w:val="auto"/>
                <w:szCs w:val="21"/>
                <w:highlight w:val="none"/>
              </w:rPr>
              <w:t>应商拟派本项目的项目管理机构人员在满足第三章“采购需求”“（一）项目管理机构人员”中“配备要求”的基础上，按以下情形计分：</w:t>
            </w:r>
          </w:p>
          <w:p w14:paraId="24E8CF9C">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Theme="majorEastAsia" w:hAnsiTheme="majorEastAsia" w:eastAsiaTheme="majorEastAsia"/>
                <w:color w:val="auto"/>
                <w:kern w:val="0"/>
                <w:szCs w:val="21"/>
                <w:highlight w:val="none"/>
              </w:rPr>
            </w:pPr>
            <w:r>
              <w:rPr>
                <w:rFonts w:hint="eastAsia" w:cs="宋体" w:asciiTheme="minorEastAsia" w:hAnsiTheme="minorEastAsia" w:eastAsiaTheme="minorEastAsia"/>
                <w:color w:val="auto"/>
                <w:szCs w:val="21"/>
                <w:highlight w:val="none"/>
              </w:rPr>
              <w:t>供应商拟派的本项目的造价工程师具有二级及以上造价工程师执业资格的，得</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分【响应文件中提供相应造价工程师执业资格证书复印件及供应商2024年</w:t>
            </w:r>
            <w:r>
              <w:rPr>
                <w:rFonts w:hint="eastAsia" w:cs="宋体" w:asciiTheme="minorEastAsia" w:hAnsiTheme="minorEastAsia" w:eastAsiaTheme="minorEastAsia"/>
                <w:color w:val="auto"/>
                <w:szCs w:val="21"/>
                <w:highlight w:val="none"/>
                <w:lang w:val="en-US" w:eastAsia="zh-CN"/>
              </w:rPr>
              <w:t>10</w:t>
            </w:r>
            <w:r>
              <w:rPr>
                <w:rFonts w:hint="eastAsia" w:cs="宋体" w:asciiTheme="minorEastAsia" w:hAnsiTheme="minorEastAsia" w:eastAsiaTheme="minorEastAsia"/>
                <w:color w:val="auto"/>
                <w:szCs w:val="21"/>
                <w:highlight w:val="none"/>
              </w:rPr>
              <w:t>月至响应文件递交截止时间止任意一个月供应商为其交纳的社保证明材料复印件</w:t>
            </w:r>
            <w:r>
              <w:rPr>
                <w:rFonts w:hint="eastAsia" w:ascii="宋体" w:hAnsi="宋体" w:cs="宋体"/>
                <w:color w:val="auto"/>
                <w:szCs w:val="21"/>
                <w:highlight w:val="none"/>
              </w:rPr>
              <w:t>（如聘请的员工自签订劳动合同之日起不足1个月的，则提供有效的劳动合同复印件）</w:t>
            </w:r>
            <w:r>
              <w:rPr>
                <w:rFonts w:hint="eastAsia" w:cs="宋体" w:asciiTheme="minorEastAsia" w:hAnsiTheme="minorEastAsia" w:eastAsiaTheme="minorEastAsia"/>
                <w:color w:val="auto"/>
                <w:szCs w:val="21"/>
                <w:highlight w:val="none"/>
              </w:rPr>
              <w:t>，加盖供应商电子签章，</w:t>
            </w:r>
            <w:r>
              <w:rPr>
                <w:rFonts w:hint="eastAsia"/>
                <w:color w:val="auto"/>
                <w:highlight w:val="none"/>
              </w:rPr>
              <w:t>否则不予</w:t>
            </w:r>
            <w:r>
              <w:rPr>
                <w:rFonts w:hint="eastAsia" w:cs="Courier New" w:asciiTheme="majorEastAsia" w:hAnsiTheme="majorEastAsia" w:eastAsiaTheme="majorEastAsia"/>
                <w:b w:val="0"/>
                <w:bCs/>
                <w:color w:val="auto"/>
                <w:szCs w:val="21"/>
                <w:highlight w:val="none"/>
                <w:lang w:eastAsia="zh-CN"/>
              </w:rPr>
              <w:t>计分</w:t>
            </w:r>
            <w:r>
              <w:rPr>
                <w:rFonts w:hint="eastAsia" w:cs="宋体" w:asciiTheme="minorEastAsia" w:hAnsiTheme="minorEastAsia" w:eastAsiaTheme="minorEastAsia"/>
                <w:color w:val="auto"/>
                <w:szCs w:val="21"/>
                <w:highlight w:val="none"/>
              </w:rPr>
              <w:t>】。</w:t>
            </w:r>
          </w:p>
        </w:tc>
      </w:tr>
      <w:tr w14:paraId="551C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1EB7CEFF">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11A0E89">
            <w:pPr>
              <w:spacing w:line="400" w:lineRule="exact"/>
              <w:jc w:val="center"/>
              <w:rPr>
                <w:rFonts w:hint="eastAsia" w:cs="Tahoma" w:asciiTheme="majorEastAsia" w:hAnsiTheme="majorEastAsia" w:eastAsiaTheme="majorEastAsia"/>
                <w:color w:val="auto"/>
                <w:kern w:val="0"/>
                <w:sz w:val="21"/>
                <w:szCs w:val="21"/>
                <w:highlight w:val="none"/>
                <w:lang w:val="en-US" w:eastAsia="zh-CN" w:bidi="ar-SA"/>
              </w:rPr>
            </w:pPr>
            <w:r>
              <w:rPr>
                <w:rFonts w:hint="eastAsia" w:cs="宋体" w:asciiTheme="minorEastAsia" w:hAnsiTheme="minorEastAsia" w:eastAsiaTheme="minorEastAsia"/>
                <w:bCs/>
                <w:color w:val="auto"/>
                <w:szCs w:val="21"/>
                <w:highlight w:val="none"/>
              </w:rPr>
              <w:t>3.</w:t>
            </w:r>
            <w:r>
              <w:rPr>
                <w:rFonts w:hint="eastAsia" w:cs="宋体" w:asciiTheme="minorEastAsia" w:hAnsiTheme="minorEastAsia" w:eastAsiaTheme="minorEastAsia"/>
                <w:bCs/>
                <w:color w:val="auto"/>
                <w:szCs w:val="21"/>
                <w:highlight w:val="none"/>
                <w:lang w:val="en-US" w:eastAsia="zh-CN"/>
              </w:rPr>
              <w:t>3</w:t>
            </w:r>
            <w:r>
              <w:rPr>
                <w:rFonts w:hint="eastAsia" w:cs="宋体" w:asciiTheme="minorEastAsia" w:hAnsiTheme="minorEastAsia" w:eastAsiaTheme="minorEastAsia"/>
                <w:bCs/>
                <w:color w:val="auto"/>
                <w:szCs w:val="21"/>
                <w:highlight w:val="none"/>
              </w:rPr>
              <w:t>业绩分（</w:t>
            </w:r>
            <w:r>
              <w:rPr>
                <w:rFonts w:hint="eastAsia" w:cs="宋体" w:asciiTheme="minorEastAsia" w:hAnsiTheme="minorEastAsia" w:eastAsiaTheme="minorEastAsia"/>
                <w:bCs/>
                <w:color w:val="auto"/>
                <w:szCs w:val="21"/>
                <w:highlight w:val="none"/>
                <w:lang w:val="en-US" w:eastAsia="zh-CN"/>
              </w:rPr>
              <w:t>10</w:t>
            </w:r>
            <w:r>
              <w:rPr>
                <w:rFonts w:hint="eastAsia" w:cs="宋体" w:asciiTheme="minorEastAsia" w:hAnsiTheme="minorEastAsia" w:eastAsiaTheme="minorEastAsia"/>
                <w:bCs/>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shd w:val="clear" w:color="auto" w:fill="auto"/>
            <w:vAlign w:val="top"/>
          </w:tcPr>
          <w:p w14:paraId="00B5AF90">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cs="Times New Roman" w:asciiTheme="majorEastAsia" w:hAnsiTheme="majorEastAsia" w:eastAsiaTheme="majorEastAsia"/>
                <w:b/>
                <w:bCs/>
                <w:color w:val="auto"/>
                <w:kern w:val="0"/>
                <w:sz w:val="21"/>
                <w:szCs w:val="21"/>
                <w:highlight w:val="none"/>
                <w:lang w:val="en-US" w:eastAsia="zh-CN" w:bidi="ar-SA"/>
              </w:rPr>
            </w:pPr>
            <w:r>
              <w:rPr>
                <w:rFonts w:hint="eastAsia" w:cs="宋体" w:asciiTheme="minorEastAsia" w:hAnsiTheme="minorEastAsia" w:eastAsiaTheme="minorEastAsia"/>
                <w:color w:val="auto"/>
                <w:szCs w:val="21"/>
                <w:highlight w:val="none"/>
              </w:rPr>
              <w:t>供应商自</w:t>
            </w:r>
            <w:r>
              <w:rPr>
                <w:rFonts w:hint="eastAsia" w:cs="宋体" w:asciiTheme="minorEastAsia" w:hAnsiTheme="minorEastAsia" w:eastAsiaTheme="minorEastAsia"/>
                <w:color w:val="auto"/>
                <w:szCs w:val="21"/>
                <w:highlight w:val="none"/>
                <w:lang w:val="en-US" w:eastAsia="zh-CN"/>
              </w:rPr>
              <w:t>2021</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1月1日</w:t>
            </w:r>
            <w:r>
              <w:rPr>
                <w:rFonts w:hint="eastAsia" w:cs="宋体" w:asciiTheme="minorEastAsia" w:hAnsiTheme="minorEastAsia" w:eastAsiaTheme="minorEastAsia"/>
                <w:color w:val="auto"/>
                <w:szCs w:val="21"/>
                <w:highlight w:val="none"/>
              </w:rPr>
              <w:t>以来</w:t>
            </w:r>
            <w:r>
              <w:rPr>
                <w:rFonts w:hint="eastAsia" w:cs="宋体" w:asciiTheme="minorEastAsia" w:hAnsiTheme="minorEastAsia" w:eastAsiaTheme="minorEastAsia"/>
                <w:color w:val="auto"/>
                <w:szCs w:val="21"/>
                <w:highlight w:val="none"/>
                <w:lang w:eastAsia="zh-CN"/>
              </w:rPr>
              <w:t>（以合同签订时间为准）</w:t>
            </w:r>
            <w:r>
              <w:rPr>
                <w:rFonts w:hint="eastAsia" w:cs="宋体" w:asciiTheme="minorEastAsia" w:hAnsiTheme="minorEastAsia" w:eastAsiaTheme="minorEastAsia"/>
                <w:color w:val="auto"/>
                <w:szCs w:val="21"/>
                <w:highlight w:val="none"/>
              </w:rPr>
              <w:t>承接过同类项目业绩（同类</w:t>
            </w:r>
            <w:r>
              <w:rPr>
                <w:rFonts w:cs="宋体" w:asciiTheme="minorEastAsia" w:hAnsiTheme="minorEastAsia" w:eastAsiaTheme="minorEastAsia"/>
                <w:color w:val="auto"/>
                <w:szCs w:val="21"/>
                <w:highlight w:val="none"/>
              </w:rPr>
              <w:t>项目指</w:t>
            </w:r>
            <w:r>
              <w:rPr>
                <w:rFonts w:hint="eastAsia" w:cs="宋体" w:asciiTheme="minorEastAsia" w:hAnsiTheme="minorEastAsia" w:eastAsiaTheme="minorEastAsia"/>
                <w:color w:val="auto"/>
                <w:szCs w:val="21"/>
                <w:highlight w:val="none"/>
                <w:lang w:eastAsia="zh-CN"/>
              </w:rPr>
              <w:t>建筑工程施工、</w:t>
            </w:r>
            <w:r>
              <w:rPr>
                <w:rFonts w:hint="eastAsia" w:cs="宋体" w:asciiTheme="minorEastAsia" w:hAnsiTheme="minorEastAsia" w:eastAsiaTheme="minorEastAsia"/>
                <w:color w:val="auto"/>
                <w:szCs w:val="21"/>
                <w:highlight w:val="none"/>
              </w:rPr>
              <w:t>修缮</w:t>
            </w:r>
            <w:r>
              <w:rPr>
                <w:rFonts w:hint="eastAsia" w:cs="宋体" w:asciiTheme="minorEastAsia" w:hAnsiTheme="minorEastAsia" w:eastAsiaTheme="minorEastAsia"/>
                <w:color w:val="auto"/>
                <w:szCs w:val="21"/>
                <w:highlight w:val="none"/>
                <w:lang w:eastAsia="zh-CN"/>
              </w:rPr>
              <w:t>、改造等</w:t>
            </w:r>
            <w:r>
              <w:rPr>
                <w:rFonts w:hint="eastAsia" w:cs="宋体" w:asciiTheme="minorEastAsia" w:hAnsiTheme="minorEastAsia" w:eastAsiaTheme="minorEastAsia"/>
                <w:color w:val="auto"/>
                <w:szCs w:val="21"/>
                <w:highlight w:val="none"/>
              </w:rPr>
              <w:t>）的【响应文件中提供合同协议书复印件，要求能清晰反映工程名称、工程内容、金额，同一个编号的项目有两个或两个以上的分标中标的只算1个业绩，加盖供应商电子签章，</w:t>
            </w:r>
            <w:r>
              <w:rPr>
                <w:rFonts w:hint="eastAsia"/>
                <w:color w:val="auto"/>
                <w:highlight w:val="none"/>
              </w:rPr>
              <w:t>否则不予认可</w:t>
            </w:r>
            <w:r>
              <w:rPr>
                <w:rFonts w:hint="eastAsia" w:cs="宋体" w:asciiTheme="minorEastAsia" w:hAnsiTheme="minorEastAsia" w:eastAsiaTheme="minorEastAsia"/>
                <w:color w:val="auto"/>
                <w:szCs w:val="21"/>
                <w:highlight w:val="none"/>
              </w:rPr>
              <w:t>】，每提供1项业绩得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分，最多得</w:t>
            </w:r>
            <w:r>
              <w:rPr>
                <w:rFonts w:hint="eastAsia" w:cs="宋体" w:asciiTheme="minorEastAsia" w:hAnsiTheme="minorEastAsia" w:eastAsiaTheme="minorEastAsia"/>
                <w:color w:val="auto"/>
                <w:szCs w:val="21"/>
                <w:highlight w:val="none"/>
                <w:lang w:val="en-US" w:eastAsia="zh-CN"/>
              </w:rPr>
              <w:t>10</w:t>
            </w:r>
            <w:r>
              <w:rPr>
                <w:rFonts w:hint="eastAsia" w:cs="宋体" w:asciiTheme="minorEastAsia" w:hAnsiTheme="minorEastAsia" w:eastAsiaTheme="minorEastAsia"/>
                <w:color w:val="auto"/>
                <w:szCs w:val="21"/>
                <w:highlight w:val="none"/>
              </w:rPr>
              <w:t>分。</w:t>
            </w:r>
          </w:p>
        </w:tc>
      </w:tr>
      <w:tr w14:paraId="1B6D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873" w:type="dxa"/>
            <w:gridSpan w:val="3"/>
            <w:tcBorders>
              <w:top w:val="single" w:color="auto" w:sz="4" w:space="0"/>
              <w:left w:val="single" w:color="auto" w:sz="4" w:space="0"/>
              <w:bottom w:val="single" w:color="auto" w:sz="4" w:space="0"/>
              <w:right w:val="single" w:color="auto" w:sz="4" w:space="0"/>
            </w:tcBorders>
          </w:tcPr>
          <w:p w14:paraId="5C82A7D7">
            <w:pPr>
              <w:pStyle w:val="26"/>
              <w:spacing w:line="440" w:lineRule="exact"/>
              <w:rPr>
                <w:rFonts w:hint="eastAsia" w:asciiTheme="majorEastAsia" w:hAnsiTheme="majorEastAsia" w:eastAsiaTheme="majorEastAsia"/>
                <w:color w:val="auto"/>
                <w:kern w:val="2"/>
                <w:sz w:val="21"/>
                <w:highlight w:val="none"/>
                <w:lang w:eastAsia="zh-CN"/>
              </w:rPr>
            </w:pPr>
            <w:r>
              <w:rPr>
                <w:rFonts w:hint="eastAsia" w:asciiTheme="majorEastAsia" w:hAnsiTheme="majorEastAsia" w:eastAsiaTheme="majorEastAsia"/>
                <w:color w:val="auto"/>
                <w:kern w:val="2"/>
                <w:sz w:val="21"/>
                <w:highlight w:val="none"/>
              </w:rPr>
              <w:t>总得分为以上各项评审因素得分合计</w:t>
            </w:r>
            <w:r>
              <w:rPr>
                <w:rFonts w:hint="eastAsia" w:asciiTheme="majorEastAsia" w:hAnsiTheme="majorEastAsia" w:eastAsiaTheme="majorEastAsia"/>
                <w:color w:val="auto"/>
                <w:kern w:val="2"/>
                <w:sz w:val="21"/>
                <w:highlight w:val="none"/>
                <w:lang w:eastAsia="zh-CN"/>
              </w:rPr>
              <w:t>。</w:t>
            </w:r>
          </w:p>
        </w:tc>
      </w:tr>
    </w:tbl>
    <w:p w14:paraId="7A534351">
      <w:pPr>
        <w:spacing w:line="400" w:lineRule="exact"/>
        <w:rPr>
          <w:rFonts w:hint="eastAsia" w:ascii="宋体" w:hAnsi="宋体" w:cs="宋体"/>
          <w:color w:val="auto"/>
          <w:highlight w:val="none"/>
        </w:rPr>
      </w:pPr>
    </w:p>
    <w:p w14:paraId="14146F7F">
      <w:pPr>
        <w:rPr>
          <w:rFonts w:hint="eastAsia" w:ascii="宋体" w:hAnsi="宋体" w:cs="宋体"/>
          <w:color w:val="auto"/>
          <w:highlight w:val="none"/>
        </w:rPr>
      </w:pPr>
    </w:p>
    <w:p w14:paraId="6F06247D">
      <w:pPr>
        <w:rPr>
          <w:rFonts w:hint="eastAsia" w:ascii="宋体" w:hAnsi="宋体" w:cs="宋体"/>
          <w:color w:val="auto"/>
          <w:highlight w:val="none"/>
        </w:rPr>
      </w:pPr>
    </w:p>
    <w:p w14:paraId="59B2C8F1">
      <w:pPr>
        <w:rPr>
          <w:rFonts w:hint="eastAsia" w:ascii="宋体" w:hAnsi="宋体" w:cs="宋体"/>
          <w:color w:val="auto"/>
          <w:highlight w:val="none"/>
        </w:rPr>
      </w:pPr>
    </w:p>
    <w:p w14:paraId="3AD3B75E">
      <w:pPr>
        <w:pStyle w:val="2"/>
        <w:jc w:val="center"/>
        <w:rPr>
          <w:color w:val="auto"/>
          <w:highlight w:val="none"/>
        </w:rPr>
      </w:pPr>
    </w:p>
    <w:p w14:paraId="672E679D">
      <w:pPr>
        <w:pStyle w:val="2"/>
        <w:jc w:val="center"/>
        <w:rPr>
          <w:color w:val="auto"/>
          <w:highlight w:val="none"/>
        </w:rPr>
      </w:pPr>
    </w:p>
    <w:p w14:paraId="7A49E366">
      <w:pPr>
        <w:pStyle w:val="2"/>
        <w:jc w:val="center"/>
        <w:rPr>
          <w:color w:val="auto"/>
          <w:highlight w:val="none"/>
        </w:rPr>
      </w:pPr>
    </w:p>
    <w:p w14:paraId="7FA5B96F">
      <w:pPr>
        <w:pStyle w:val="2"/>
        <w:jc w:val="center"/>
        <w:rPr>
          <w:color w:val="auto"/>
          <w:highlight w:val="none"/>
        </w:rPr>
      </w:pPr>
    </w:p>
    <w:p w14:paraId="13C7E16C">
      <w:pPr>
        <w:pStyle w:val="2"/>
        <w:jc w:val="center"/>
        <w:rPr>
          <w:rFonts w:hint="eastAsia" w:eastAsia="宋体"/>
          <w:color w:val="auto"/>
          <w:highlight w:val="none"/>
          <w:lang w:eastAsia="zh-CN"/>
        </w:rPr>
      </w:pPr>
      <w:r>
        <w:rPr>
          <w:rFonts w:hint="eastAsia"/>
          <w:color w:val="auto"/>
          <w:highlight w:val="none"/>
        </w:rPr>
        <w:t>第五章 工程量清单及图纸</w:t>
      </w:r>
      <w:r>
        <w:rPr>
          <w:rFonts w:hint="eastAsia"/>
          <w:color w:val="auto"/>
          <w:highlight w:val="none"/>
          <w:lang w:eastAsia="zh-CN"/>
        </w:rPr>
        <w:t>（另附）</w:t>
      </w:r>
    </w:p>
    <w:p w14:paraId="761F96B7">
      <w:pPr>
        <w:pStyle w:val="2"/>
        <w:jc w:val="center"/>
        <w:rPr>
          <w:color w:val="auto"/>
          <w:highlight w:val="none"/>
        </w:rPr>
      </w:pPr>
    </w:p>
    <w:p w14:paraId="34E5EA4F">
      <w:pPr>
        <w:pStyle w:val="3"/>
        <w:spacing w:before="0" w:after="0" w:line="360" w:lineRule="auto"/>
        <w:rPr>
          <w:rFonts w:hint="eastAsia" w:cs="黑体" w:asciiTheme="minorEastAsia" w:hAnsiTheme="minorEastAsia" w:eastAsiaTheme="minorEastAsia"/>
          <w:color w:val="auto"/>
          <w:highlight w:val="none"/>
        </w:rPr>
      </w:pPr>
      <w:r>
        <w:rPr>
          <w:color w:val="auto"/>
          <w:highlight w:val="none"/>
        </w:rPr>
        <w:br w:type="page"/>
      </w:r>
      <w:bookmarkStart w:id="79" w:name="_Toc1392571603"/>
      <w:bookmarkStart w:id="80" w:name="_Toc78449869"/>
      <w:bookmarkStart w:id="81" w:name="_Toc1386396751"/>
      <w:bookmarkStart w:id="82" w:name="_Toc407135284"/>
      <w:r>
        <w:rPr>
          <w:rFonts w:cs="黑体" w:asciiTheme="minorEastAsia" w:hAnsiTheme="minorEastAsia" w:eastAsiaTheme="minorEastAsia"/>
          <w:color w:val="auto"/>
          <w:highlight w:val="none"/>
        </w:rPr>
        <w:t>1</w:t>
      </w:r>
      <w:r>
        <w:rPr>
          <w:rFonts w:hint="eastAsia" w:cs="黑体" w:asciiTheme="minorEastAsia" w:hAnsiTheme="minorEastAsia" w:eastAsiaTheme="minorEastAsia"/>
          <w:color w:val="auto"/>
          <w:highlight w:val="none"/>
        </w:rPr>
        <w:t>.工程量清单编制说明</w:t>
      </w:r>
      <w:bookmarkEnd w:id="79"/>
      <w:bookmarkEnd w:id="80"/>
      <w:bookmarkEnd w:id="81"/>
      <w:bookmarkEnd w:id="82"/>
    </w:p>
    <w:p w14:paraId="735AAE0A">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1.1</w:t>
      </w:r>
      <w:r>
        <w:rPr>
          <w:rFonts w:hint="eastAsia" w:cs="宋体" w:asciiTheme="minorEastAsia" w:hAnsiTheme="minorEastAsia" w:eastAsiaTheme="minorEastAsia"/>
          <w:color w:val="auto"/>
          <w:highlight w:val="none"/>
        </w:rPr>
        <w:t>本工程量清单依据《建设工程工程量清单计价规范（</w:t>
      </w:r>
      <w:r>
        <w:rPr>
          <w:rFonts w:asciiTheme="minorEastAsia" w:hAnsiTheme="minorEastAsia" w:eastAsiaTheme="minorEastAsia"/>
          <w:color w:val="auto"/>
          <w:highlight w:val="none"/>
        </w:rPr>
        <w:t>GB50500-2013</w:t>
      </w:r>
      <w:r>
        <w:rPr>
          <w:rFonts w:hint="eastAsia" w:cs="宋体" w:asciiTheme="minorEastAsia" w:hAnsiTheme="minorEastAsia" w:eastAsiaTheme="minorEastAsia"/>
          <w:color w:val="auto"/>
          <w:highlight w:val="none"/>
        </w:rPr>
        <w:t>）广西实施细则》（以下简称</w:t>
      </w:r>
      <w:r>
        <w:rPr>
          <w:rFonts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《计价规范》</w:t>
      </w:r>
      <w:r>
        <w:rPr>
          <w:rFonts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）、《工程量清单计算规范（</w:t>
      </w:r>
      <w:r>
        <w:rPr>
          <w:rFonts w:asciiTheme="minorEastAsia" w:hAnsiTheme="minorEastAsia" w:eastAsiaTheme="minorEastAsia"/>
          <w:color w:val="auto"/>
          <w:highlight w:val="none"/>
        </w:rPr>
        <w:t>GB50854~50862-2013</w:t>
      </w:r>
      <w:r>
        <w:rPr>
          <w:rFonts w:hint="eastAsia" w:cs="宋体" w:asciiTheme="minorEastAsia" w:hAnsiTheme="minorEastAsia" w:eastAsiaTheme="minorEastAsia"/>
          <w:color w:val="auto"/>
          <w:highlight w:val="none"/>
        </w:rPr>
        <w:t>）》及广西实施细则（修订本）（以下简称</w:t>
      </w:r>
      <w:r>
        <w:rPr>
          <w:rFonts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《计算规范》</w:t>
      </w:r>
      <w:r>
        <w:rPr>
          <w:rFonts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kern w:val="0"/>
          <w:highlight w:val="none"/>
        </w:rPr>
        <w:t>《关于建筑业实施营业税改征增值税后广西壮族自治区建设工程计价依据调整的通知》（桂建标〔</w:t>
      </w:r>
      <w:r>
        <w:rPr>
          <w:rFonts w:asciiTheme="minorEastAsia" w:hAnsiTheme="minorEastAsia" w:eastAsiaTheme="minorEastAsia"/>
          <w:color w:val="auto"/>
          <w:kern w:val="0"/>
          <w:highlight w:val="none"/>
        </w:rPr>
        <w:t>2016</w:t>
      </w:r>
      <w:r>
        <w:rPr>
          <w:rFonts w:hint="eastAsia" w:cs="宋体" w:asciiTheme="minorEastAsia" w:hAnsiTheme="minorEastAsia" w:eastAsiaTheme="minorEastAsia"/>
          <w:color w:val="auto"/>
          <w:kern w:val="0"/>
          <w:highlight w:val="none"/>
        </w:rPr>
        <w:t>〕</w:t>
      </w:r>
      <w:r>
        <w:rPr>
          <w:rFonts w:asciiTheme="minorEastAsia" w:hAnsiTheme="minorEastAsia" w:eastAsiaTheme="minorEastAsia"/>
          <w:color w:val="auto"/>
          <w:kern w:val="0"/>
          <w:highlight w:val="none"/>
        </w:rPr>
        <w:t>17</w:t>
      </w:r>
      <w:r>
        <w:rPr>
          <w:rFonts w:hint="eastAsia" w:cs="宋体" w:asciiTheme="minorEastAsia" w:hAnsiTheme="minorEastAsia" w:eastAsiaTheme="minorEastAsia"/>
          <w:color w:val="auto"/>
          <w:kern w:val="0"/>
          <w:highlight w:val="none"/>
        </w:rPr>
        <w:t>号）、磋商文件</w:t>
      </w:r>
      <w:r>
        <w:rPr>
          <w:rFonts w:hint="eastAsia" w:cs="宋体" w:asciiTheme="minorEastAsia" w:hAnsiTheme="minorEastAsia" w:eastAsiaTheme="minorEastAsia"/>
          <w:color w:val="auto"/>
          <w:highlight w:val="none"/>
        </w:rPr>
        <w:t>、施工图等编制。计算规范中没有的清单项目，应在本章第</w:t>
      </w:r>
      <w:r>
        <w:rPr>
          <w:rFonts w:asciiTheme="minorEastAsia" w:hAnsiTheme="minorEastAsia" w:eastAsiaTheme="minorEastAsia"/>
          <w:color w:val="auto"/>
          <w:highlight w:val="none"/>
        </w:rPr>
        <w:t>1.4</w:t>
      </w:r>
      <w:r>
        <w:rPr>
          <w:rFonts w:hint="eastAsia" w:cs="宋体" w:asciiTheme="minorEastAsia" w:hAnsiTheme="minorEastAsia" w:eastAsiaTheme="minorEastAsia"/>
          <w:color w:val="auto"/>
          <w:highlight w:val="none"/>
        </w:rPr>
        <w:t>款约定。</w:t>
      </w:r>
    </w:p>
    <w:p w14:paraId="78D3B190">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1.2 </w:t>
      </w:r>
      <w:r>
        <w:rPr>
          <w:rFonts w:hint="eastAsia" w:asciiTheme="minorEastAsia" w:hAnsiTheme="minorEastAsia" w:eastAsiaTheme="minorEastAsia"/>
          <w:color w:val="auto"/>
          <w:highlight w:val="none"/>
        </w:rPr>
        <w:t>工程量清单应与供应商须知、合同协议条款、合同的通用条款、合同专用条款、技术规范及图纸等文件一起结合使用。</w:t>
      </w:r>
    </w:p>
    <w:p w14:paraId="6C4FCBEF">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1.3 </w:t>
      </w:r>
      <w:r>
        <w:rPr>
          <w:rFonts w:hint="eastAsia" w:cs="宋体" w:asciiTheme="minorEastAsia" w:hAnsiTheme="minorEastAsia" w:eastAsiaTheme="minorEastAsia"/>
          <w:color w:val="auto"/>
          <w:highlight w:val="none"/>
        </w:rPr>
        <w:t>工程量清单是磋商文件的组成部分，是工程量清单计价的基础，作为编制招标控制价、竞标报价、计算或调整工程量、索赔等的依据之一。</w:t>
      </w:r>
    </w:p>
    <w:p w14:paraId="4C4F7BF2">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1.4 </w:t>
      </w:r>
      <w:r>
        <w:rPr>
          <w:rFonts w:hint="eastAsia" w:cs="宋体" w:asciiTheme="minorEastAsia" w:hAnsiTheme="minorEastAsia" w:eastAsiaTheme="minorEastAsia"/>
          <w:color w:val="auto"/>
          <w:highlight w:val="none"/>
        </w:rPr>
        <w:t>补充清单项目的特征、计量单位、工程量计算规则及工作内容说明如下：</w:t>
      </w:r>
      <w:r>
        <w:rPr>
          <w:rFonts w:hint="eastAsia" w:asciiTheme="minorEastAsia" w:hAnsiTheme="minorEastAsia" w:eastAsiaTheme="minorEastAsia"/>
          <w:color w:val="auto"/>
          <w:highlight w:val="none"/>
          <w:u w:val="single"/>
        </w:rPr>
        <w:t>无</w:t>
      </w:r>
      <w:r>
        <w:rPr>
          <w:rFonts w:hint="eastAsia" w:cs="宋体" w:asciiTheme="minorEastAsia" w:hAnsiTheme="minorEastAsia" w:eastAsiaTheme="minorEastAsia"/>
          <w:color w:val="auto"/>
          <w:highlight w:val="none"/>
        </w:rPr>
        <w:t>。</w:t>
      </w:r>
    </w:p>
    <w:p w14:paraId="2052D0F4">
      <w:pPr>
        <w:pStyle w:val="26"/>
        <w:spacing w:line="360" w:lineRule="auto"/>
        <w:ind w:firstLine="420" w:firstLineChars="200"/>
        <w:rPr>
          <w:rFonts w:hint="eastAsia"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 xml:space="preserve">1.5 </w:t>
      </w:r>
      <w:r>
        <w:rPr>
          <w:rFonts w:hint="eastAsia" w:asciiTheme="minorEastAsia" w:hAnsiTheme="minorEastAsia" w:eastAsiaTheme="minorEastAsia"/>
          <w:color w:val="auto"/>
          <w:sz w:val="21"/>
          <w:highlight w:val="none"/>
        </w:rPr>
        <w:t>《允许调整主要材料和工程设备一览表》（表</w:t>
      </w:r>
      <w:r>
        <w:rPr>
          <w:rFonts w:asciiTheme="minorEastAsia" w:hAnsiTheme="minorEastAsia" w:eastAsiaTheme="minorEastAsia"/>
          <w:color w:val="auto"/>
          <w:sz w:val="21"/>
          <w:highlight w:val="none"/>
        </w:rPr>
        <w:t>-22</w:t>
      </w:r>
      <w:r>
        <w:rPr>
          <w:rFonts w:hint="eastAsia" w:asciiTheme="minorEastAsia" w:hAnsiTheme="minorEastAsia" w:eastAsiaTheme="minorEastAsia"/>
          <w:color w:val="auto"/>
          <w:sz w:val="21"/>
          <w:highlight w:val="none"/>
        </w:rPr>
        <w:t>，表格编号为计价规范相应表格编号，下同）作为项目实施过程中材料和设备价格风险调整依据。</w:t>
      </w:r>
    </w:p>
    <w:p w14:paraId="2426D28B">
      <w:pPr>
        <w:pStyle w:val="26"/>
        <w:spacing w:line="360" w:lineRule="auto"/>
        <w:ind w:firstLine="420" w:firstLineChars="200"/>
        <w:rPr>
          <w:rFonts w:hint="eastAsia"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 xml:space="preserve">1.6 </w:t>
      </w:r>
      <w:r>
        <w:rPr>
          <w:rFonts w:hint="eastAsia" w:asciiTheme="minorEastAsia" w:hAnsiTheme="minorEastAsia" w:eastAsiaTheme="minorEastAsia"/>
          <w:color w:val="auto"/>
          <w:sz w:val="21"/>
          <w:highlight w:val="none"/>
        </w:rPr>
        <w:t>本工程暂列金额：无。</w:t>
      </w:r>
    </w:p>
    <w:p w14:paraId="0067F74A">
      <w:pPr>
        <w:pStyle w:val="26"/>
        <w:spacing w:line="360" w:lineRule="auto"/>
        <w:ind w:firstLine="420" w:firstLineChars="200"/>
        <w:rPr>
          <w:rFonts w:hint="eastAsia"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 xml:space="preserve">1.7 </w:t>
      </w:r>
      <w:r>
        <w:rPr>
          <w:rFonts w:hint="eastAsia" w:asciiTheme="minorEastAsia" w:hAnsiTheme="minorEastAsia" w:eastAsiaTheme="minorEastAsia"/>
          <w:color w:val="auto"/>
          <w:sz w:val="21"/>
          <w:highlight w:val="none"/>
        </w:rPr>
        <w:t>本工程发包人提供的材料和设备详见《发包人提供的主要材料和工程设备一览表》（表</w:t>
      </w:r>
      <w:r>
        <w:rPr>
          <w:rFonts w:asciiTheme="minorEastAsia" w:hAnsiTheme="minorEastAsia" w:eastAsiaTheme="minorEastAsia"/>
          <w:color w:val="auto"/>
          <w:sz w:val="21"/>
          <w:highlight w:val="none"/>
        </w:rPr>
        <w:t>-21</w:t>
      </w:r>
      <w:r>
        <w:rPr>
          <w:rFonts w:hint="eastAsia" w:asciiTheme="minorEastAsia" w:hAnsiTheme="minorEastAsia" w:eastAsiaTheme="minorEastAsia"/>
          <w:color w:val="auto"/>
          <w:sz w:val="21"/>
          <w:highlight w:val="none"/>
        </w:rPr>
        <w:t>）。</w:t>
      </w:r>
    </w:p>
    <w:p w14:paraId="2F868EBA">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1.8 </w:t>
      </w:r>
      <w:r>
        <w:rPr>
          <w:rFonts w:hint="eastAsia" w:cs="宋体" w:asciiTheme="minorEastAsia" w:hAnsiTheme="minorEastAsia" w:eastAsiaTheme="minorEastAsia"/>
          <w:color w:val="auto"/>
          <w:highlight w:val="none"/>
        </w:rPr>
        <w:t>本工程部分材料和设备在磋商时作为暂估价计列，结算按实调整，具体内容详见《材料（工程设备）暂估单价及调整表》（表</w:t>
      </w:r>
      <w:r>
        <w:rPr>
          <w:rFonts w:asciiTheme="minorEastAsia" w:hAnsiTheme="minorEastAsia" w:eastAsiaTheme="minorEastAsia"/>
          <w:color w:val="auto"/>
          <w:highlight w:val="none"/>
        </w:rPr>
        <w:t>12-2</w:t>
      </w:r>
      <w:r>
        <w:rPr>
          <w:rFonts w:hint="eastAsia" w:cs="宋体" w:asciiTheme="minorEastAsia" w:hAnsiTheme="minorEastAsia" w:eastAsiaTheme="minorEastAsia"/>
          <w:color w:val="auto"/>
          <w:highlight w:val="none"/>
        </w:rPr>
        <w:t>）。</w:t>
      </w:r>
    </w:p>
    <w:p w14:paraId="581E3BEE">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1.9 </w:t>
      </w:r>
      <w:r>
        <w:rPr>
          <w:rFonts w:hint="eastAsia" w:cs="宋体" w:asciiTheme="minorEastAsia" w:hAnsiTheme="minorEastAsia" w:eastAsiaTheme="minorEastAsia"/>
          <w:color w:val="auto"/>
          <w:highlight w:val="none"/>
        </w:rPr>
        <w:t>磋商时暂估专业工程的价款属于暂估价，结算按实调整，具体内容详见《专业工程暂估价及结算价表》（表</w:t>
      </w:r>
      <w:r>
        <w:rPr>
          <w:rFonts w:asciiTheme="minorEastAsia" w:hAnsiTheme="minorEastAsia" w:eastAsiaTheme="minorEastAsia"/>
          <w:color w:val="auto"/>
          <w:highlight w:val="none"/>
        </w:rPr>
        <w:t>12-3</w:t>
      </w:r>
      <w:r>
        <w:rPr>
          <w:rFonts w:hint="eastAsia" w:cs="宋体" w:asciiTheme="minorEastAsia" w:hAnsiTheme="minorEastAsia" w:eastAsiaTheme="minorEastAsia"/>
          <w:color w:val="auto"/>
          <w:highlight w:val="none"/>
        </w:rPr>
        <w:t>）。</w:t>
      </w:r>
    </w:p>
    <w:p w14:paraId="1AEDF0D4">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1.1</w:t>
      </w:r>
      <w:r>
        <w:rPr>
          <w:rFonts w:hint="eastAsia" w:asciiTheme="minorEastAsia" w:hAnsiTheme="minorEastAsia" w:eastAsiaTheme="minorEastAsia"/>
          <w:color w:val="auto"/>
          <w:highlight w:val="none"/>
        </w:rPr>
        <w:t>0</w:t>
      </w:r>
      <w:r>
        <w:rPr>
          <w:rFonts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其它需要说明的问题：</w:t>
      </w:r>
      <w:r>
        <w:rPr>
          <w:rFonts w:hint="eastAsia" w:asciiTheme="minorEastAsia" w:hAnsiTheme="minorEastAsia" w:eastAsiaTheme="minorEastAsia"/>
          <w:color w:val="auto"/>
          <w:highlight w:val="none"/>
          <w:u w:val="single"/>
        </w:rPr>
        <w:t>无</w:t>
      </w:r>
      <w:r>
        <w:rPr>
          <w:rFonts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w:t>
      </w:r>
    </w:p>
    <w:p w14:paraId="353CC6EA">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1.1</w:t>
      </w:r>
      <w:r>
        <w:rPr>
          <w:rFonts w:hint="eastAsia" w:asciiTheme="minorEastAsia" w:hAnsiTheme="minorEastAsia" w:eastAsiaTheme="minorEastAsia"/>
          <w:color w:val="auto"/>
          <w:highlight w:val="none"/>
        </w:rPr>
        <w:t>1</w:t>
      </w:r>
      <w:r>
        <w:rPr>
          <w:rFonts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工程量清单与磋商文件同时发布。</w:t>
      </w:r>
      <w:r>
        <w:rPr>
          <w:rFonts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一般计税法建设工程的工程量清单表格按</w:t>
      </w:r>
      <w:r>
        <w:rPr>
          <w:rFonts w:hint="eastAsia" w:cs="宋体" w:asciiTheme="minorEastAsia" w:hAnsiTheme="minorEastAsia" w:eastAsiaTheme="minorEastAsia"/>
          <w:color w:val="auto"/>
          <w:kern w:val="0"/>
          <w:highlight w:val="none"/>
        </w:rPr>
        <w:t>《关于建筑业实施营业税改征增值税后广西壮族自治区建设工程计价依据调整的通知》（桂建标〔</w:t>
      </w:r>
      <w:r>
        <w:rPr>
          <w:rFonts w:asciiTheme="minorEastAsia" w:hAnsiTheme="minorEastAsia" w:eastAsiaTheme="minorEastAsia"/>
          <w:color w:val="auto"/>
          <w:kern w:val="0"/>
          <w:highlight w:val="none"/>
        </w:rPr>
        <w:t>2016</w:t>
      </w:r>
      <w:r>
        <w:rPr>
          <w:rFonts w:hint="eastAsia" w:cs="宋体" w:asciiTheme="minorEastAsia" w:hAnsiTheme="minorEastAsia" w:eastAsiaTheme="minorEastAsia"/>
          <w:color w:val="auto"/>
          <w:kern w:val="0"/>
          <w:highlight w:val="none"/>
        </w:rPr>
        <w:t>〕</w:t>
      </w:r>
      <w:r>
        <w:rPr>
          <w:rFonts w:asciiTheme="minorEastAsia" w:hAnsiTheme="minorEastAsia" w:eastAsiaTheme="minorEastAsia"/>
          <w:color w:val="auto"/>
          <w:kern w:val="0"/>
          <w:highlight w:val="none"/>
        </w:rPr>
        <w:t>17</w:t>
      </w:r>
      <w:r>
        <w:rPr>
          <w:rFonts w:hint="eastAsia" w:cs="宋体" w:asciiTheme="minorEastAsia" w:hAnsiTheme="minorEastAsia" w:eastAsiaTheme="minorEastAsia"/>
          <w:color w:val="auto"/>
          <w:kern w:val="0"/>
          <w:highlight w:val="none"/>
        </w:rPr>
        <w:t>号）</w:t>
      </w:r>
      <w:r>
        <w:rPr>
          <w:rFonts w:hint="eastAsia" w:cs="宋体" w:asciiTheme="minorEastAsia" w:hAnsiTheme="minorEastAsia" w:eastAsiaTheme="minorEastAsia"/>
          <w:color w:val="auto"/>
          <w:highlight w:val="none"/>
        </w:rPr>
        <w:t>附件“增值税一般计税方法工程计价表”要求提供；简易计税法建设工程按照《计价规范》要求的表格提供，但规费和税费要按照《关于建筑业实施营业税改征增值税后广西壮族自治区建设工程计价依据调整的通知》（桂建标〔</w:t>
      </w:r>
      <w:r>
        <w:rPr>
          <w:rFonts w:asciiTheme="minorEastAsia" w:hAnsiTheme="minorEastAsia" w:eastAsiaTheme="minorEastAsia"/>
          <w:color w:val="auto"/>
          <w:highlight w:val="none"/>
        </w:rPr>
        <w:t>2016</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17</w:t>
      </w:r>
      <w:r>
        <w:rPr>
          <w:rFonts w:hint="eastAsia" w:cs="宋体" w:asciiTheme="minorEastAsia" w:hAnsiTheme="minorEastAsia" w:eastAsiaTheme="minorEastAsia"/>
          <w:color w:val="auto"/>
          <w:highlight w:val="none"/>
        </w:rPr>
        <w:t>号）要求调整，具体包括：</w:t>
      </w:r>
    </w:p>
    <w:p w14:paraId="77A7C6F0">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 </w:t>
      </w:r>
      <w:r>
        <w:rPr>
          <w:rFonts w:hint="eastAsia" w:cs="宋体" w:asciiTheme="minorEastAsia" w:hAnsiTheme="minorEastAsia" w:eastAsiaTheme="minorEastAsia"/>
          <w:color w:val="auto"/>
          <w:highlight w:val="none"/>
        </w:rPr>
        <w:t>招标工程量清单（封</w:t>
      </w:r>
      <w:r>
        <w:rPr>
          <w:rFonts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w:t>
      </w:r>
    </w:p>
    <w:p w14:paraId="7A87CD69">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1.2 </w:t>
      </w:r>
      <w:r>
        <w:rPr>
          <w:rFonts w:hint="eastAsia" w:cs="宋体" w:asciiTheme="minorEastAsia" w:hAnsiTheme="minorEastAsia" w:eastAsiaTheme="minorEastAsia"/>
          <w:color w:val="auto"/>
          <w:highlight w:val="none"/>
        </w:rPr>
        <w:t>招标工程量清单（封扉</w:t>
      </w:r>
      <w:r>
        <w:rPr>
          <w:rFonts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w:t>
      </w:r>
    </w:p>
    <w:p w14:paraId="46E02876">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1.3 </w:t>
      </w:r>
      <w:r>
        <w:rPr>
          <w:rFonts w:hint="eastAsia" w:cs="宋体" w:asciiTheme="minorEastAsia" w:hAnsiTheme="minorEastAsia" w:eastAsiaTheme="minorEastAsia"/>
          <w:color w:val="auto"/>
          <w:highlight w:val="none"/>
        </w:rPr>
        <w:t>总说明（表</w:t>
      </w:r>
      <w:r>
        <w:rPr>
          <w:rFonts w:asciiTheme="minorEastAsia" w:hAnsiTheme="minorEastAsia" w:eastAsiaTheme="minorEastAsia"/>
          <w:color w:val="auto"/>
          <w:highlight w:val="none"/>
        </w:rPr>
        <w:t>-01</w:t>
      </w:r>
      <w:r>
        <w:rPr>
          <w:rFonts w:hint="eastAsia" w:cs="宋体" w:asciiTheme="minorEastAsia" w:hAnsiTheme="minorEastAsia" w:eastAsiaTheme="minorEastAsia"/>
          <w:color w:val="auto"/>
          <w:highlight w:val="none"/>
        </w:rPr>
        <w:t>）</w:t>
      </w:r>
    </w:p>
    <w:p w14:paraId="207CFF53">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1.4 </w:t>
      </w:r>
      <w:r>
        <w:rPr>
          <w:rFonts w:hint="eastAsia" w:cs="宋体" w:asciiTheme="minorEastAsia" w:hAnsiTheme="minorEastAsia" w:eastAsiaTheme="minorEastAsia"/>
          <w:color w:val="auto"/>
          <w:highlight w:val="none"/>
        </w:rPr>
        <w:t>建设项目投标报价汇总表（表</w:t>
      </w:r>
      <w:r>
        <w:rPr>
          <w:rFonts w:asciiTheme="minorEastAsia" w:hAnsiTheme="minorEastAsia" w:eastAsiaTheme="minorEastAsia"/>
          <w:color w:val="auto"/>
          <w:highlight w:val="none"/>
        </w:rPr>
        <w:t>-02</w:t>
      </w:r>
      <w:r>
        <w:rPr>
          <w:rFonts w:hint="eastAsia" w:cs="宋体" w:asciiTheme="minorEastAsia" w:hAnsiTheme="minorEastAsia" w:eastAsiaTheme="minorEastAsia"/>
          <w:color w:val="auto"/>
          <w:highlight w:val="none"/>
        </w:rPr>
        <w:t>）</w:t>
      </w:r>
    </w:p>
    <w:p w14:paraId="765BDF6D">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1.5 </w:t>
      </w:r>
      <w:r>
        <w:rPr>
          <w:rFonts w:hint="eastAsia" w:cs="宋体" w:asciiTheme="minorEastAsia" w:hAnsiTheme="minorEastAsia" w:eastAsiaTheme="minorEastAsia"/>
          <w:color w:val="auto"/>
          <w:highlight w:val="none"/>
        </w:rPr>
        <w:t>单项工程投标报价汇总表（表</w:t>
      </w:r>
      <w:r>
        <w:rPr>
          <w:rFonts w:asciiTheme="minorEastAsia" w:hAnsiTheme="minorEastAsia" w:eastAsiaTheme="minorEastAsia"/>
          <w:color w:val="auto"/>
          <w:highlight w:val="none"/>
        </w:rPr>
        <w:t>-03</w:t>
      </w:r>
      <w:r>
        <w:rPr>
          <w:rFonts w:hint="eastAsia" w:cs="宋体" w:asciiTheme="minorEastAsia" w:hAnsiTheme="minorEastAsia" w:eastAsiaTheme="minorEastAsia"/>
          <w:color w:val="auto"/>
          <w:highlight w:val="none"/>
        </w:rPr>
        <w:t>）</w:t>
      </w:r>
    </w:p>
    <w:p w14:paraId="3D97555B">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1.6 </w:t>
      </w:r>
      <w:r>
        <w:rPr>
          <w:rFonts w:hint="eastAsia" w:cs="宋体" w:asciiTheme="minorEastAsia" w:hAnsiTheme="minorEastAsia" w:eastAsiaTheme="minorEastAsia"/>
          <w:color w:val="auto"/>
          <w:highlight w:val="none"/>
        </w:rPr>
        <w:t>单位工程投标报价汇总表（表</w:t>
      </w:r>
      <w:r>
        <w:rPr>
          <w:rFonts w:asciiTheme="minorEastAsia" w:hAnsiTheme="minorEastAsia" w:eastAsiaTheme="minorEastAsia"/>
          <w:color w:val="auto"/>
          <w:highlight w:val="none"/>
        </w:rPr>
        <w:t>-04</w:t>
      </w:r>
      <w:r>
        <w:rPr>
          <w:rFonts w:hint="eastAsia" w:cs="宋体" w:asciiTheme="minorEastAsia" w:hAnsiTheme="minorEastAsia" w:eastAsiaTheme="minorEastAsia"/>
          <w:color w:val="auto"/>
          <w:highlight w:val="none"/>
        </w:rPr>
        <w:t>）</w:t>
      </w:r>
    </w:p>
    <w:p w14:paraId="71B2482A">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1.7 </w:t>
      </w:r>
      <w:r>
        <w:rPr>
          <w:rFonts w:hint="eastAsia" w:cs="宋体" w:asciiTheme="minorEastAsia" w:hAnsiTheme="minorEastAsia" w:eastAsiaTheme="minorEastAsia"/>
          <w:color w:val="auto"/>
          <w:highlight w:val="none"/>
        </w:rPr>
        <w:t>分部分项工程和单价措施项目清单与计价表（表</w:t>
      </w:r>
      <w:r>
        <w:rPr>
          <w:rFonts w:asciiTheme="minorEastAsia" w:hAnsiTheme="minorEastAsia" w:eastAsiaTheme="minorEastAsia"/>
          <w:color w:val="auto"/>
          <w:highlight w:val="none"/>
        </w:rPr>
        <w:t>-08</w:t>
      </w:r>
      <w:r>
        <w:rPr>
          <w:rFonts w:hint="eastAsia" w:cs="宋体" w:asciiTheme="minorEastAsia" w:hAnsiTheme="minorEastAsia" w:eastAsiaTheme="minorEastAsia"/>
          <w:color w:val="auto"/>
          <w:highlight w:val="none"/>
        </w:rPr>
        <w:t>）</w:t>
      </w:r>
    </w:p>
    <w:p w14:paraId="5F8777BB">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1.8 </w:t>
      </w:r>
      <w:r>
        <w:rPr>
          <w:rFonts w:hint="eastAsia" w:cs="宋体" w:asciiTheme="minorEastAsia" w:hAnsiTheme="minorEastAsia" w:eastAsiaTheme="minorEastAsia"/>
          <w:color w:val="auto"/>
          <w:highlight w:val="none"/>
        </w:rPr>
        <w:t>总价措施项目清单与计价表（表</w:t>
      </w:r>
      <w:r>
        <w:rPr>
          <w:rFonts w:asciiTheme="minorEastAsia" w:hAnsiTheme="minorEastAsia" w:eastAsiaTheme="minorEastAsia"/>
          <w:color w:val="auto"/>
          <w:highlight w:val="none"/>
        </w:rPr>
        <w:t>-11</w:t>
      </w:r>
      <w:r>
        <w:rPr>
          <w:rFonts w:hint="eastAsia" w:cs="宋体" w:asciiTheme="minorEastAsia" w:hAnsiTheme="minorEastAsia" w:eastAsiaTheme="minorEastAsia"/>
          <w:color w:val="auto"/>
          <w:highlight w:val="none"/>
        </w:rPr>
        <w:t>）</w:t>
      </w:r>
    </w:p>
    <w:p w14:paraId="6B09202A">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1.9 </w:t>
      </w:r>
      <w:r>
        <w:rPr>
          <w:rFonts w:hint="eastAsia" w:cs="宋体" w:asciiTheme="minorEastAsia" w:hAnsiTheme="minorEastAsia" w:eastAsiaTheme="minorEastAsia"/>
          <w:color w:val="auto"/>
          <w:highlight w:val="none"/>
        </w:rPr>
        <w:t>其他项目清单与计价汇总表（表</w:t>
      </w:r>
      <w:r>
        <w:rPr>
          <w:rFonts w:asciiTheme="minorEastAsia" w:hAnsiTheme="minorEastAsia" w:eastAsiaTheme="minorEastAsia"/>
          <w:color w:val="auto"/>
          <w:highlight w:val="none"/>
        </w:rPr>
        <w:t>-12</w:t>
      </w:r>
      <w:r>
        <w:rPr>
          <w:rFonts w:hint="eastAsia" w:cs="宋体" w:asciiTheme="minorEastAsia" w:hAnsiTheme="minorEastAsia" w:eastAsiaTheme="minorEastAsia"/>
          <w:color w:val="auto"/>
          <w:highlight w:val="none"/>
        </w:rPr>
        <w:t>）</w:t>
      </w:r>
    </w:p>
    <w:p w14:paraId="5823E64A">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1.10 </w:t>
      </w:r>
      <w:r>
        <w:rPr>
          <w:rFonts w:hint="eastAsia" w:cs="宋体" w:asciiTheme="minorEastAsia" w:hAnsiTheme="minorEastAsia" w:eastAsiaTheme="minorEastAsia"/>
          <w:color w:val="auto"/>
          <w:highlight w:val="none"/>
        </w:rPr>
        <w:t>暂列金额明细表（表</w:t>
      </w:r>
      <w:r>
        <w:rPr>
          <w:rFonts w:asciiTheme="minorEastAsia" w:hAnsiTheme="minorEastAsia" w:eastAsiaTheme="minorEastAsia"/>
          <w:color w:val="auto"/>
          <w:highlight w:val="none"/>
        </w:rPr>
        <w:t>12-1</w:t>
      </w:r>
      <w:r>
        <w:rPr>
          <w:rFonts w:hint="eastAsia" w:cs="宋体" w:asciiTheme="minorEastAsia" w:hAnsiTheme="minorEastAsia" w:eastAsiaTheme="minorEastAsia"/>
          <w:color w:val="auto"/>
          <w:highlight w:val="none"/>
        </w:rPr>
        <w:t>）</w:t>
      </w:r>
    </w:p>
    <w:p w14:paraId="7446889C">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1.11 </w:t>
      </w:r>
      <w:r>
        <w:rPr>
          <w:rFonts w:hint="eastAsia" w:cs="宋体" w:asciiTheme="minorEastAsia" w:hAnsiTheme="minorEastAsia" w:eastAsiaTheme="minorEastAsia"/>
          <w:color w:val="auto"/>
          <w:highlight w:val="none"/>
        </w:rPr>
        <w:t>材料（工程设备）暂估单价及调整表（表</w:t>
      </w:r>
      <w:r>
        <w:rPr>
          <w:rFonts w:asciiTheme="minorEastAsia" w:hAnsiTheme="minorEastAsia" w:eastAsiaTheme="minorEastAsia"/>
          <w:color w:val="auto"/>
          <w:highlight w:val="none"/>
        </w:rPr>
        <w:t>12-2</w:t>
      </w:r>
      <w:r>
        <w:rPr>
          <w:rFonts w:hint="eastAsia" w:cs="宋体" w:asciiTheme="minorEastAsia" w:hAnsiTheme="minorEastAsia" w:eastAsiaTheme="minorEastAsia"/>
          <w:color w:val="auto"/>
          <w:highlight w:val="none"/>
        </w:rPr>
        <w:t>）</w:t>
      </w:r>
    </w:p>
    <w:p w14:paraId="50F3BFCF">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1.12 </w:t>
      </w:r>
      <w:r>
        <w:rPr>
          <w:rFonts w:hint="eastAsia" w:cs="宋体" w:asciiTheme="minorEastAsia" w:hAnsiTheme="minorEastAsia" w:eastAsiaTheme="minorEastAsia"/>
          <w:color w:val="auto"/>
          <w:highlight w:val="none"/>
        </w:rPr>
        <w:t>专业工程暂估价</w:t>
      </w:r>
      <w:r>
        <w:rPr>
          <w:rFonts w:hint="eastAsia" w:asciiTheme="minorEastAsia" w:hAnsiTheme="minorEastAsia" w:eastAsiaTheme="minorEastAsia"/>
          <w:color w:val="auto"/>
          <w:highlight w:val="none"/>
        </w:rPr>
        <w:t>及结算价</w:t>
      </w:r>
      <w:r>
        <w:rPr>
          <w:rFonts w:hint="eastAsia" w:cs="宋体" w:asciiTheme="minorEastAsia" w:hAnsiTheme="minorEastAsia" w:eastAsiaTheme="minorEastAsia"/>
          <w:color w:val="auto"/>
          <w:highlight w:val="none"/>
        </w:rPr>
        <w:t>表（表</w:t>
      </w:r>
      <w:r>
        <w:rPr>
          <w:rFonts w:asciiTheme="minorEastAsia" w:hAnsiTheme="minorEastAsia" w:eastAsiaTheme="minorEastAsia"/>
          <w:color w:val="auto"/>
          <w:highlight w:val="none"/>
        </w:rPr>
        <w:t>12-3</w:t>
      </w:r>
      <w:r>
        <w:rPr>
          <w:rFonts w:hint="eastAsia" w:cs="宋体" w:asciiTheme="minorEastAsia" w:hAnsiTheme="minorEastAsia" w:eastAsiaTheme="minorEastAsia"/>
          <w:color w:val="auto"/>
          <w:highlight w:val="none"/>
        </w:rPr>
        <w:t>）</w:t>
      </w:r>
    </w:p>
    <w:p w14:paraId="32123AD9">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1.13 </w:t>
      </w:r>
      <w:r>
        <w:rPr>
          <w:rFonts w:hint="eastAsia" w:cs="宋体" w:asciiTheme="minorEastAsia" w:hAnsiTheme="minorEastAsia" w:eastAsiaTheme="minorEastAsia"/>
          <w:color w:val="auto"/>
          <w:highlight w:val="none"/>
        </w:rPr>
        <w:t>计日工表（表</w:t>
      </w:r>
      <w:r>
        <w:rPr>
          <w:rFonts w:asciiTheme="minorEastAsia" w:hAnsiTheme="minorEastAsia" w:eastAsiaTheme="minorEastAsia"/>
          <w:color w:val="auto"/>
          <w:highlight w:val="none"/>
        </w:rPr>
        <w:t>12-4</w:t>
      </w:r>
      <w:r>
        <w:rPr>
          <w:rFonts w:hint="eastAsia" w:cs="宋体" w:asciiTheme="minorEastAsia" w:hAnsiTheme="minorEastAsia" w:eastAsiaTheme="minorEastAsia"/>
          <w:color w:val="auto"/>
          <w:highlight w:val="none"/>
        </w:rPr>
        <w:t>）</w:t>
      </w:r>
    </w:p>
    <w:p w14:paraId="006857B9">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1.14 </w:t>
      </w:r>
      <w:r>
        <w:rPr>
          <w:rFonts w:hint="eastAsia" w:cs="宋体" w:asciiTheme="minorEastAsia" w:hAnsiTheme="minorEastAsia" w:eastAsiaTheme="minorEastAsia"/>
          <w:color w:val="auto"/>
          <w:highlight w:val="none"/>
        </w:rPr>
        <w:t>总承包服务费计价表（表</w:t>
      </w:r>
      <w:r>
        <w:rPr>
          <w:rFonts w:asciiTheme="minorEastAsia" w:hAnsiTheme="minorEastAsia" w:eastAsiaTheme="minorEastAsia"/>
          <w:color w:val="auto"/>
          <w:highlight w:val="none"/>
        </w:rPr>
        <w:t>12-5</w:t>
      </w:r>
      <w:r>
        <w:rPr>
          <w:rFonts w:hint="eastAsia" w:cs="宋体" w:asciiTheme="minorEastAsia" w:hAnsiTheme="minorEastAsia" w:eastAsiaTheme="minorEastAsia"/>
          <w:color w:val="auto"/>
          <w:highlight w:val="none"/>
        </w:rPr>
        <w:t>）</w:t>
      </w:r>
    </w:p>
    <w:p w14:paraId="3DFA1339">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1.15 </w:t>
      </w:r>
      <w:r>
        <w:rPr>
          <w:rFonts w:hint="eastAsia" w:cs="宋体" w:asciiTheme="minorEastAsia" w:hAnsiTheme="minorEastAsia" w:eastAsiaTheme="minorEastAsia"/>
          <w:color w:val="auto"/>
          <w:highlight w:val="none"/>
        </w:rPr>
        <w:t>税前项目清单与计价表（表</w:t>
      </w:r>
      <w:r>
        <w:rPr>
          <w:rFonts w:asciiTheme="minorEastAsia" w:hAnsiTheme="minorEastAsia" w:eastAsiaTheme="minorEastAsia"/>
          <w:color w:val="auto"/>
          <w:highlight w:val="none"/>
        </w:rPr>
        <w:t>-14</w:t>
      </w:r>
      <w:r>
        <w:rPr>
          <w:rFonts w:hint="eastAsia" w:cs="宋体" w:asciiTheme="minorEastAsia" w:hAnsiTheme="minorEastAsia" w:eastAsiaTheme="minorEastAsia"/>
          <w:color w:val="auto"/>
          <w:highlight w:val="none"/>
        </w:rPr>
        <w:t>）</w:t>
      </w:r>
    </w:p>
    <w:p w14:paraId="3DC04255">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1.16 </w:t>
      </w:r>
      <w:r>
        <w:rPr>
          <w:rFonts w:hint="eastAsia" w:cs="宋体" w:asciiTheme="minorEastAsia" w:hAnsiTheme="minorEastAsia" w:eastAsiaTheme="minorEastAsia"/>
          <w:color w:val="auto"/>
          <w:highlight w:val="none"/>
        </w:rPr>
        <w:t>规费、增值税计价表（表</w:t>
      </w:r>
      <w:r>
        <w:rPr>
          <w:rFonts w:asciiTheme="minorEastAsia" w:hAnsiTheme="minorEastAsia" w:eastAsiaTheme="minorEastAsia"/>
          <w:color w:val="auto"/>
          <w:highlight w:val="none"/>
        </w:rPr>
        <w:t>-15</w:t>
      </w:r>
      <w:r>
        <w:rPr>
          <w:rFonts w:hint="eastAsia" w:cs="宋体" w:asciiTheme="minorEastAsia" w:hAnsiTheme="minorEastAsia" w:eastAsiaTheme="minorEastAsia"/>
          <w:color w:val="auto"/>
          <w:highlight w:val="none"/>
        </w:rPr>
        <w:t>）</w:t>
      </w:r>
    </w:p>
    <w:p w14:paraId="13BD89D4">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1.17 </w:t>
      </w:r>
      <w:r>
        <w:rPr>
          <w:rFonts w:hint="eastAsia" w:cs="宋体" w:asciiTheme="minorEastAsia" w:hAnsiTheme="minorEastAsia" w:eastAsiaTheme="minorEastAsia"/>
          <w:color w:val="auto"/>
          <w:highlight w:val="none"/>
        </w:rPr>
        <w:t>发包人提供主要材料和工程设备一览表（表</w:t>
      </w:r>
      <w:r>
        <w:rPr>
          <w:rFonts w:asciiTheme="minorEastAsia" w:hAnsiTheme="minorEastAsia" w:eastAsiaTheme="minorEastAsia"/>
          <w:color w:val="auto"/>
          <w:highlight w:val="none"/>
        </w:rPr>
        <w:t>-21</w:t>
      </w:r>
      <w:r>
        <w:rPr>
          <w:rFonts w:hint="eastAsia" w:cs="宋体" w:asciiTheme="minorEastAsia" w:hAnsiTheme="minorEastAsia" w:eastAsiaTheme="minorEastAsia"/>
          <w:color w:val="auto"/>
          <w:highlight w:val="none"/>
        </w:rPr>
        <w:t>）</w:t>
      </w:r>
    </w:p>
    <w:p w14:paraId="695D4069">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1.18 </w:t>
      </w:r>
      <w:r>
        <w:rPr>
          <w:rFonts w:hint="eastAsia" w:cs="宋体" w:asciiTheme="minorEastAsia" w:hAnsiTheme="minorEastAsia" w:eastAsiaTheme="minorEastAsia"/>
          <w:color w:val="auto"/>
          <w:highlight w:val="none"/>
        </w:rPr>
        <w:t>允许调整主要材料和工程设备一览表（适用于造价信息差额调整法）（表</w:t>
      </w:r>
      <w:r>
        <w:rPr>
          <w:rFonts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w:t>
      </w:r>
    </w:p>
    <w:p w14:paraId="397CF767">
      <w:pPr>
        <w:spacing w:line="360" w:lineRule="auto"/>
        <w:ind w:firstLine="630" w:firstLineChars="300"/>
        <w:jc w:val="left"/>
        <w:rPr>
          <w:rFonts w:hint="eastAsia" w:cs="宋体" w:asciiTheme="minorEastAsia" w:hAnsiTheme="minorEastAsia" w:eastAsiaTheme="minorEastAsia"/>
          <w:color w:val="auto"/>
          <w:highlight w:val="none"/>
        </w:rPr>
      </w:pPr>
      <w:r>
        <w:rPr>
          <w:rFonts w:asciiTheme="minorEastAsia" w:hAnsiTheme="minorEastAsia" w:eastAsiaTheme="minorEastAsia"/>
          <w:color w:val="auto"/>
          <w:highlight w:val="none"/>
        </w:rPr>
        <w:t>1.19</w:t>
      </w:r>
      <w:r>
        <w:rPr>
          <w:rFonts w:hint="eastAsia" w:cs="宋体" w:asciiTheme="minorEastAsia" w:hAnsiTheme="minorEastAsia" w:eastAsiaTheme="minorEastAsia"/>
          <w:color w:val="auto"/>
          <w:highlight w:val="none"/>
        </w:rPr>
        <w:t>允许调整主要材料和工程设备一览表（适用于价格指数差额调整法）（表</w:t>
      </w:r>
      <w:r>
        <w:rPr>
          <w:rFonts w:asciiTheme="minorEastAsia" w:hAnsiTheme="minorEastAsia" w:eastAsiaTheme="minorEastAsia"/>
          <w:color w:val="auto"/>
          <w:highlight w:val="none"/>
        </w:rPr>
        <w:t>-23</w:t>
      </w:r>
      <w:r>
        <w:rPr>
          <w:rFonts w:hint="eastAsia" w:cs="宋体" w:asciiTheme="minorEastAsia" w:hAnsiTheme="minorEastAsia" w:eastAsiaTheme="minorEastAsia"/>
          <w:color w:val="auto"/>
          <w:highlight w:val="none"/>
        </w:rPr>
        <w:t>）</w:t>
      </w:r>
    </w:p>
    <w:p w14:paraId="0A2BFC8B">
      <w:pPr>
        <w:spacing w:line="360" w:lineRule="auto"/>
        <w:ind w:firstLine="630" w:firstLineChars="300"/>
        <w:jc w:val="left"/>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1.20本工程</w:t>
      </w:r>
      <w:r>
        <w:rPr>
          <w:rFonts w:cs="宋体" w:asciiTheme="minorEastAsia" w:hAnsiTheme="minorEastAsia" w:eastAsiaTheme="minorEastAsia"/>
          <w:color w:val="auto"/>
          <w:highlight w:val="none"/>
        </w:rPr>
        <w:t>材料和工程设备</w:t>
      </w:r>
      <w:r>
        <w:rPr>
          <w:rFonts w:hint="eastAsia" w:cs="宋体" w:asciiTheme="minorEastAsia" w:hAnsiTheme="minorEastAsia" w:eastAsiaTheme="minorEastAsia"/>
          <w:color w:val="auto"/>
          <w:highlight w:val="none"/>
        </w:rPr>
        <w:t>一览表（表-24）</w:t>
      </w:r>
    </w:p>
    <w:p w14:paraId="548416F8">
      <w:pPr>
        <w:spacing w:line="360" w:lineRule="auto"/>
        <w:ind w:firstLine="630" w:firstLineChars="300"/>
        <w:jc w:val="left"/>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注：如本工程在合同中约定采用造价信息价差调整法，1.</w:t>
      </w:r>
      <w:r>
        <w:rPr>
          <w:rFonts w:asciiTheme="minorEastAsia" w:hAnsiTheme="minorEastAsia" w:eastAsiaTheme="minorEastAsia"/>
          <w:color w:val="auto"/>
          <w:highlight w:val="none"/>
        </w:rPr>
        <w:t xml:space="preserve">18 </w:t>
      </w:r>
      <w:r>
        <w:rPr>
          <w:rFonts w:cs="宋体" w:asciiTheme="minorEastAsia" w:hAnsiTheme="minorEastAsia" w:eastAsiaTheme="minorEastAsia"/>
          <w:color w:val="auto"/>
          <w:highlight w:val="none"/>
        </w:rPr>
        <w:t>允许调整</w:t>
      </w:r>
      <w:r>
        <w:rPr>
          <w:rFonts w:hint="eastAsia" w:cs="宋体" w:asciiTheme="minorEastAsia" w:hAnsiTheme="minorEastAsia" w:eastAsiaTheme="minorEastAsia"/>
          <w:color w:val="auto"/>
          <w:highlight w:val="none"/>
        </w:rPr>
        <w:t>主要材料和工程设备一览表（适用于造价信息差额调整法）（表</w:t>
      </w:r>
      <w:r>
        <w:rPr>
          <w:rFonts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）载明的主要材料和工程设备为本工程允许调整材料和工程设备，工程量清单必须提供该表格，并应载明允许调整材料和工程设备名称型号规格、单位、风险系数、基准单价等内容，且不能提供空白表。</w:t>
      </w:r>
    </w:p>
    <w:p w14:paraId="6A7203F4">
      <w:pPr>
        <w:spacing w:line="360" w:lineRule="auto"/>
        <w:ind w:firstLine="630" w:firstLineChars="300"/>
        <w:jc w:val="left"/>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以下表格视工程实际需要选用，如该工程不发生如下表格相关项目和费用，所编制工程量清单则不需列入相应表格：</w:t>
      </w:r>
    </w:p>
    <w:p w14:paraId="330E9C01">
      <w:pPr>
        <w:spacing w:line="360" w:lineRule="auto"/>
        <w:ind w:firstLine="630" w:firstLineChars="300"/>
        <w:jc w:val="left"/>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①建设项目投标报价汇总表（表</w:t>
      </w:r>
      <w:r>
        <w:rPr>
          <w:rFonts w:asciiTheme="minorEastAsia" w:hAnsiTheme="minorEastAsia" w:eastAsiaTheme="minorEastAsia"/>
          <w:color w:val="auto"/>
          <w:highlight w:val="none"/>
        </w:rPr>
        <w:t>-02</w:t>
      </w:r>
      <w:r>
        <w:rPr>
          <w:rFonts w:hint="eastAsia" w:cs="宋体" w:asciiTheme="minorEastAsia" w:hAnsiTheme="minorEastAsia" w:eastAsiaTheme="minorEastAsia"/>
          <w:color w:val="auto"/>
          <w:highlight w:val="none"/>
        </w:rPr>
        <w:t>）</w:t>
      </w:r>
    </w:p>
    <w:p w14:paraId="5283AF93">
      <w:pPr>
        <w:spacing w:line="360" w:lineRule="auto"/>
        <w:ind w:firstLine="630" w:firstLineChars="300"/>
        <w:jc w:val="left"/>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②暂列金额明细表（表</w:t>
      </w:r>
      <w:r>
        <w:rPr>
          <w:rFonts w:asciiTheme="minorEastAsia" w:hAnsiTheme="minorEastAsia" w:eastAsiaTheme="minorEastAsia"/>
          <w:color w:val="auto"/>
          <w:highlight w:val="none"/>
        </w:rPr>
        <w:t>12-1</w:t>
      </w:r>
      <w:r>
        <w:rPr>
          <w:rFonts w:hint="eastAsia" w:cs="宋体" w:asciiTheme="minorEastAsia" w:hAnsiTheme="minorEastAsia" w:eastAsiaTheme="minorEastAsia"/>
          <w:color w:val="auto"/>
          <w:highlight w:val="none"/>
        </w:rPr>
        <w:t>）</w:t>
      </w:r>
    </w:p>
    <w:p w14:paraId="20F372BF">
      <w:pPr>
        <w:spacing w:line="360" w:lineRule="auto"/>
        <w:ind w:firstLine="630" w:firstLineChars="300"/>
        <w:jc w:val="left"/>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③材料（工程设备）暂估单价及调整表（表</w:t>
      </w:r>
      <w:r>
        <w:rPr>
          <w:rFonts w:asciiTheme="minorEastAsia" w:hAnsiTheme="minorEastAsia" w:eastAsiaTheme="minorEastAsia"/>
          <w:color w:val="auto"/>
          <w:highlight w:val="none"/>
        </w:rPr>
        <w:t>12-2</w:t>
      </w:r>
      <w:r>
        <w:rPr>
          <w:rFonts w:hint="eastAsia" w:cs="宋体" w:asciiTheme="minorEastAsia" w:hAnsiTheme="minorEastAsia" w:eastAsiaTheme="minorEastAsia"/>
          <w:color w:val="auto"/>
          <w:highlight w:val="none"/>
        </w:rPr>
        <w:t>）</w:t>
      </w:r>
    </w:p>
    <w:p w14:paraId="3685C2C8">
      <w:pPr>
        <w:spacing w:line="360" w:lineRule="auto"/>
        <w:ind w:firstLine="630" w:firstLineChars="300"/>
        <w:jc w:val="left"/>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④专业工程暂估价表（表</w:t>
      </w:r>
      <w:r>
        <w:rPr>
          <w:rFonts w:asciiTheme="minorEastAsia" w:hAnsiTheme="minorEastAsia" w:eastAsiaTheme="minorEastAsia"/>
          <w:color w:val="auto"/>
          <w:highlight w:val="none"/>
        </w:rPr>
        <w:t>12-3</w:t>
      </w:r>
      <w:r>
        <w:rPr>
          <w:rFonts w:hint="eastAsia" w:cs="宋体" w:asciiTheme="minorEastAsia" w:hAnsiTheme="minorEastAsia" w:eastAsiaTheme="minorEastAsia"/>
          <w:color w:val="auto"/>
          <w:highlight w:val="none"/>
        </w:rPr>
        <w:t>）</w:t>
      </w:r>
    </w:p>
    <w:p w14:paraId="448E51BE">
      <w:pPr>
        <w:spacing w:line="360" w:lineRule="auto"/>
        <w:ind w:firstLine="630" w:firstLineChars="300"/>
        <w:jc w:val="left"/>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⑤计日工表（表</w:t>
      </w:r>
      <w:r>
        <w:rPr>
          <w:rFonts w:asciiTheme="minorEastAsia" w:hAnsiTheme="minorEastAsia" w:eastAsiaTheme="minorEastAsia"/>
          <w:color w:val="auto"/>
          <w:highlight w:val="none"/>
        </w:rPr>
        <w:t>12-4</w:t>
      </w:r>
      <w:r>
        <w:rPr>
          <w:rFonts w:hint="eastAsia" w:cs="宋体" w:asciiTheme="minorEastAsia" w:hAnsiTheme="minorEastAsia" w:eastAsiaTheme="minorEastAsia"/>
          <w:color w:val="auto"/>
          <w:highlight w:val="none"/>
        </w:rPr>
        <w:t>）</w:t>
      </w:r>
    </w:p>
    <w:p w14:paraId="22E2ACC2">
      <w:pPr>
        <w:spacing w:line="360" w:lineRule="auto"/>
        <w:ind w:firstLine="630" w:firstLineChars="300"/>
        <w:jc w:val="left"/>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⑥总承包服务费计价表（表</w:t>
      </w:r>
      <w:r>
        <w:rPr>
          <w:rFonts w:asciiTheme="minorEastAsia" w:hAnsiTheme="minorEastAsia" w:eastAsiaTheme="minorEastAsia"/>
          <w:color w:val="auto"/>
          <w:highlight w:val="none"/>
        </w:rPr>
        <w:t>12-5</w:t>
      </w:r>
      <w:r>
        <w:rPr>
          <w:rFonts w:hint="eastAsia" w:cs="宋体" w:asciiTheme="minorEastAsia" w:hAnsiTheme="minorEastAsia" w:eastAsiaTheme="minorEastAsia"/>
          <w:color w:val="auto"/>
          <w:highlight w:val="none"/>
        </w:rPr>
        <w:t>）</w:t>
      </w:r>
    </w:p>
    <w:p w14:paraId="6D0A53EF">
      <w:pPr>
        <w:spacing w:line="360" w:lineRule="auto"/>
        <w:ind w:firstLine="630" w:firstLineChars="300"/>
        <w:jc w:val="left"/>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⑦税前项目清单与计价表（表</w:t>
      </w:r>
      <w:r>
        <w:rPr>
          <w:rFonts w:asciiTheme="minorEastAsia" w:hAnsiTheme="minorEastAsia" w:eastAsiaTheme="minorEastAsia"/>
          <w:color w:val="auto"/>
          <w:highlight w:val="none"/>
        </w:rPr>
        <w:t>-14</w:t>
      </w:r>
      <w:r>
        <w:rPr>
          <w:rFonts w:hint="eastAsia" w:cs="宋体" w:asciiTheme="minorEastAsia" w:hAnsiTheme="minorEastAsia" w:eastAsiaTheme="minorEastAsia"/>
          <w:color w:val="auto"/>
          <w:highlight w:val="none"/>
        </w:rPr>
        <w:t>）</w:t>
      </w:r>
    </w:p>
    <w:p w14:paraId="4042E046">
      <w:pPr>
        <w:spacing w:line="360" w:lineRule="auto"/>
        <w:ind w:firstLine="630" w:firstLineChars="300"/>
        <w:rPr>
          <w:rFonts w:hint="eastAsia" w:cs="宋体" w:asciiTheme="minorEastAsia" w:hAnsiTheme="minorEastAsia" w:eastAsiaTheme="minorEastAsia"/>
          <w:color w:val="auto"/>
          <w:highlight w:val="none"/>
        </w:rPr>
      </w:pPr>
      <w:r>
        <w:rPr>
          <w:rFonts w:hint="eastAsia"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 8 \* GB3 </w:instrText>
      </w:r>
      <w:r>
        <w:rPr>
          <w:rFonts w:hint="eastAsia" w:asciiTheme="minorEastAsia" w:hAnsiTheme="minorEastAsia" w:eastAsiaTheme="minorEastAsia"/>
          <w:color w:val="auto"/>
          <w:highlight w:val="none"/>
        </w:rPr>
        <w:fldChar w:fldCharType="separate"/>
      </w:r>
      <w:r>
        <w:rPr>
          <w:rFonts w:hint="eastAsia" w:asciiTheme="minorEastAsia" w:hAnsiTheme="minorEastAsia" w:eastAsiaTheme="minorEastAsia"/>
          <w:color w:val="auto"/>
          <w:highlight w:val="none"/>
        </w:rPr>
        <w:t>⑧</w:t>
      </w:r>
      <w:r>
        <w:rPr>
          <w:rFonts w:hint="eastAsia"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允许调整主要材料和工程设备一览表（适用于价格指数差额调整法）（表</w:t>
      </w:r>
      <w:r>
        <w:rPr>
          <w:rFonts w:asciiTheme="minorEastAsia" w:hAnsiTheme="minorEastAsia" w:eastAsiaTheme="minorEastAsia"/>
          <w:color w:val="auto"/>
          <w:highlight w:val="none"/>
        </w:rPr>
        <w:t>-23</w:t>
      </w:r>
      <w:r>
        <w:rPr>
          <w:rFonts w:hint="eastAsia" w:cs="宋体" w:asciiTheme="minorEastAsia" w:hAnsiTheme="minorEastAsia" w:eastAsiaTheme="minorEastAsia"/>
          <w:color w:val="auto"/>
          <w:highlight w:val="none"/>
        </w:rPr>
        <w:t>）</w:t>
      </w:r>
    </w:p>
    <w:p w14:paraId="60A2BF5C">
      <w:pPr>
        <w:pStyle w:val="64"/>
        <w:rPr>
          <w:color w:val="auto"/>
          <w:highlight w:val="none"/>
        </w:rPr>
      </w:pPr>
    </w:p>
    <w:p w14:paraId="5E9415C5">
      <w:pPr>
        <w:pStyle w:val="3"/>
        <w:spacing w:before="0" w:after="0" w:line="360" w:lineRule="auto"/>
        <w:rPr>
          <w:rFonts w:hint="eastAsia" w:asciiTheme="minorEastAsia" w:hAnsiTheme="minorEastAsia" w:eastAsiaTheme="minorEastAsia"/>
          <w:color w:val="auto"/>
          <w:highlight w:val="none"/>
        </w:rPr>
      </w:pPr>
      <w:bookmarkStart w:id="83" w:name="_Toc78449870"/>
      <w:bookmarkStart w:id="84" w:name="_Toc407135285"/>
      <w:bookmarkStart w:id="85" w:name="_Toc990933621"/>
      <w:bookmarkStart w:id="86" w:name="_Toc347872619"/>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w:t>
      </w:r>
      <w:r>
        <w:rPr>
          <w:rFonts w:hint="eastAsia" w:cs="黑体" w:asciiTheme="minorEastAsia" w:hAnsiTheme="minorEastAsia" w:eastAsiaTheme="minorEastAsia"/>
          <w:color w:val="auto"/>
          <w:highlight w:val="none"/>
        </w:rPr>
        <w:t>招标控制价编制说明</w:t>
      </w:r>
      <w:bookmarkEnd w:id="83"/>
      <w:bookmarkEnd w:id="84"/>
      <w:bookmarkEnd w:id="85"/>
      <w:bookmarkEnd w:id="86"/>
    </w:p>
    <w:p w14:paraId="72140F3D">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2.1 </w:t>
      </w:r>
      <w:r>
        <w:rPr>
          <w:rFonts w:hint="eastAsia" w:cs="宋体" w:asciiTheme="minorEastAsia" w:hAnsiTheme="minorEastAsia" w:eastAsiaTheme="minorEastAsia"/>
          <w:color w:val="auto"/>
          <w:highlight w:val="none"/>
        </w:rPr>
        <w:t>招标控制价编制依据：</w:t>
      </w:r>
    </w:p>
    <w:p w14:paraId="06998DDA">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（1）《计价规范》及《计算规范》、</w:t>
      </w:r>
      <w:r>
        <w:rPr>
          <w:rFonts w:hint="eastAsia" w:cs="宋体" w:asciiTheme="minorEastAsia" w:hAnsiTheme="minorEastAsia" w:eastAsiaTheme="minorEastAsia"/>
          <w:color w:val="auto"/>
          <w:kern w:val="0"/>
          <w:highlight w:val="none"/>
        </w:rPr>
        <w:t>《关于建筑业实施营业税改征增值税后广西壮族自治区建设工程计价依据调整的通知》（桂建标〔</w:t>
      </w:r>
      <w:r>
        <w:rPr>
          <w:rFonts w:asciiTheme="minorEastAsia" w:hAnsiTheme="minorEastAsia" w:eastAsiaTheme="minorEastAsia"/>
          <w:color w:val="auto"/>
          <w:kern w:val="0"/>
          <w:highlight w:val="none"/>
        </w:rPr>
        <w:t>2016</w:t>
      </w:r>
      <w:r>
        <w:rPr>
          <w:rFonts w:hint="eastAsia" w:cs="宋体" w:asciiTheme="minorEastAsia" w:hAnsiTheme="minorEastAsia" w:eastAsiaTheme="minorEastAsia"/>
          <w:color w:val="auto"/>
          <w:kern w:val="0"/>
          <w:highlight w:val="none"/>
        </w:rPr>
        <w:t>〕</w:t>
      </w:r>
      <w:r>
        <w:rPr>
          <w:rFonts w:asciiTheme="minorEastAsia" w:hAnsiTheme="minorEastAsia" w:eastAsiaTheme="minorEastAsia"/>
          <w:color w:val="auto"/>
          <w:kern w:val="0"/>
          <w:highlight w:val="none"/>
        </w:rPr>
        <w:t>17</w:t>
      </w:r>
      <w:r>
        <w:rPr>
          <w:rFonts w:hint="eastAsia" w:cs="宋体" w:asciiTheme="minorEastAsia" w:hAnsiTheme="minorEastAsia" w:eastAsiaTheme="minorEastAsia"/>
          <w:color w:val="auto"/>
          <w:kern w:val="0"/>
          <w:highlight w:val="none"/>
        </w:rPr>
        <w:t>号）等</w:t>
      </w:r>
      <w:r>
        <w:rPr>
          <w:rFonts w:hint="eastAsia" w:cs="宋体" w:asciiTheme="minorEastAsia" w:hAnsiTheme="minorEastAsia" w:eastAsiaTheme="minorEastAsia"/>
          <w:color w:val="auto"/>
          <w:highlight w:val="none"/>
        </w:rPr>
        <w:t>；</w:t>
      </w:r>
    </w:p>
    <w:p w14:paraId="4BE38CE2">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（2）自治区住房城乡建设行政主管部门颁发的计价定额及有关规定：</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u w:val="single"/>
          <w:lang w:val="en-US" w:eastAsia="zh-CN"/>
        </w:rPr>
        <w:t>①</w:t>
      </w:r>
      <w:r>
        <w:rPr>
          <w:rFonts w:hint="eastAsia" w:cs="宋体" w:asciiTheme="minorEastAsia" w:hAnsiTheme="minorEastAsia" w:eastAsiaTheme="minorEastAsia"/>
          <w:color w:val="auto"/>
          <w:highlight w:val="none"/>
          <w:u w:val="single"/>
        </w:rPr>
        <w:t>2013年《广西壮族自治区建筑工程消耗量定额》</w:t>
      </w:r>
      <w:r>
        <w:rPr>
          <w:rFonts w:hint="eastAsia" w:cs="宋体" w:asciiTheme="minorEastAsia" w:hAnsiTheme="minorEastAsia" w:eastAsiaTheme="minorEastAsia"/>
          <w:color w:val="auto"/>
          <w:highlight w:val="none"/>
          <w:u w:val="single"/>
          <w:lang w:eastAsia="zh-CN"/>
        </w:rPr>
        <w:t>；②</w:t>
      </w:r>
      <w:r>
        <w:rPr>
          <w:rFonts w:hint="eastAsia" w:cs="宋体" w:asciiTheme="minorEastAsia" w:hAnsiTheme="minorEastAsia" w:eastAsiaTheme="minorEastAsia"/>
          <w:color w:val="auto"/>
          <w:highlight w:val="none"/>
          <w:u w:val="single"/>
        </w:rPr>
        <w:t>2015《广西壮族自治区安装工程消耗量定额》</w:t>
      </w:r>
      <w:r>
        <w:rPr>
          <w:rFonts w:hint="eastAsia" w:cs="宋体" w:asciiTheme="minorEastAsia" w:hAnsiTheme="minorEastAsia" w:eastAsiaTheme="minorEastAsia"/>
          <w:color w:val="auto"/>
          <w:highlight w:val="none"/>
          <w:u w:val="single"/>
          <w:lang w:eastAsia="zh-CN"/>
        </w:rPr>
        <w:t>；③</w:t>
      </w:r>
      <w:r>
        <w:rPr>
          <w:rFonts w:hint="eastAsia" w:cs="宋体" w:asciiTheme="minorEastAsia" w:hAnsiTheme="minorEastAsia" w:eastAsiaTheme="minorEastAsia"/>
          <w:color w:val="auto"/>
          <w:highlight w:val="none"/>
          <w:u w:val="single"/>
        </w:rPr>
        <w:t>2011年《广西壮族自治区拆除工程消耗量定额》</w:t>
      </w:r>
      <w:r>
        <w:rPr>
          <w:rFonts w:hint="eastAsia" w:cs="宋体" w:asciiTheme="minorEastAsia" w:hAnsiTheme="minorEastAsia" w:eastAsiaTheme="minorEastAsia"/>
          <w:color w:val="auto"/>
          <w:highlight w:val="none"/>
          <w:u w:val="single"/>
          <w:lang w:eastAsia="zh-CN"/>
        </w:rPr>
        <w:t>、</w:t>
      </w:r>
      <w:r>
        <w:rPr>
          <w:rFonts w:hint="eastAsia" w:cs="宋体" w:asciiTheme="minorEastAsia" w:hAnsiTheme="minorEastAsia" w:eastAsiaTheme="minorEastAsia"/>
          <w:color w:val="auto"/>
          <w:highlight w:val="none"/>
          <w:u w:val="single"/>
        </w:rPr>
        <w:t>2022年《广西壮族自治区市政工程消耗量定额》及配套费用定额</w:t>
      </w:r>
      <w:r>
        <w:rPr>
          <w:rFonts w:hint="eastAsia" w:cs="宋体" w:asciiTheme="minorEastAsia" w:hAnsiTheme="minorEastAsia" w:eastAsiaTheme="minorEastAsia"/>
          <w:color w:val="auto"/>
          <w:highlight w:val="none"/>
          <w:u w:val="single"/>
          <w:lang w:eastAsia="zh-CN"/>
        </w:rPr>
        <w:t>；④</w:t>
      </w:r>
      <w:r>
        <w:rPr>
          <w:rFonts w:hint="eastAsia" w:cs="宋体" w:asciiTheme="minorEastAsia" w:hAnsiTheme="minorEastAsia" w:eastAsiaTheme="minorEastAsia"/>
          <w:color w:val="auto"/>
          <w:highlight w:val="none"/>
          <w:u w:val="single"/>
        </w:rPr>
        <w:t>自治区住房城乡建设厅《关于调整建设工程定额人工费及有关费率的通知》</w:t>
      </w:r>
      <w:r>
        <w:rPr>
          <w:rFonts w:hint="eastAsia" w:cs="宋体" w:asciiTheme="minorEastAsia" w:hAnsiTheme="minorEastAsia" w:eastAsiaTheme="minorEastAsia"/>
          <w:color w:val="auto"/>
          <w:highlight w:val="none"/>
          <w:u w:val="single"/>
          <w:lang w:eastAsia="zh-CN"/>
        </w:rPr>
        <w:t>（</w:t>
      </w:r>
      <w:r>
        <w:rPr>
          <w:rFonts w:hint="eastAsia" w:cs="宋体" w:asciiTheme="minorEastAsia" w:hAnsiTheme="minorEastAsia" w:eastAsiaTheme="minorEastAsia"/>
          <w:color w:val="auto"/>
          <w:highlight w:val="none"/>
          <w:u w:val="single"/>
        </w:rPr>
        <w:t>桂建标[2023]7号)；</w:t>
      </w:r>
      <w:r>
        <w:rPr>
          <w:rFonts w:hint="eastAsia" w:cs="宋体" w:asciiTheme="minorEastAsia" w:hAnsiTheme="minorEastAsia" w:eastAsiaTheme="minorEastAsia"/>
          <w:color w:val="auto"/>
          <w:highlight w:val="none"/>
          <w:u w:val="single"/>
          <w:lang w:eastAsia="zh-CN"/>
        </w:rPr>
        <w:t>⑤</w:t>
      </w:r>
      <w:r>
        <w:rPr>
          <w:rFonts w:hint="eastAsia" w:cs="宋体" w:asciiTheme="minorEastAsia" w:hAnsiTheme="minorEastAsia" w:eastAsiaTheme="minorEastAsia"/>
          <w:color w:val="auto"/>
          <w:highlight w:val="none"/>
          <w:u w:val="single"/>
        </w:rPr>
        <w:t>自治区住房城乡建设厅关于颁布2016年《广西壮族自治区建设工程费用定额》的通知（桂建标[2016]16号）；</w:t>
      </w:r>
      <w:r>
        <w:rPr>
          <w:rFonts w:hint="eastAsia" w:cs="宋体" w:asciiTheme="minorEastAsia" w:hAnsiTheme="minorEastAsia" w:eastAsiaTheme="minorEastAsia"/>
          <w:color w:val="auto"/>
          <w:highlight w:val="none"/>
          <w:u w:val="single"/>
          <w:lang w:eastAsia="zh-CN"/>
        </w:rPr>
        <w:t>⑥</w:t>
      </w:r>
      <w:r>
        <w:rPr>
          <w:rFonts w:hint="eastAsia" w:cs="宋体" w:asciiTheme="minorEastAsia" w:hAnsiTheme="minorEastAsia" w:eastAsiaTheme="minorEastAsia"/>
          <w:color w:val="auto"/>
          <w:highlight w:val="none"/>
          <w:u w:val="single"/>
        </w:rPr>
        <w:t>《自治区住房城乡建设厅关于建筑业实施营业税改征增值税后广西壮族自治区建设工程计价依据调整的通知》</w:t>
      </w:r>
      <w:r>
        <w:rPr>
          <w:rFonts w:hint="eastAsia" w:cs="宋体" w:asciiTheme="minorEastAsia" w:hAnsiTheme="minorEastAsia" w:eastAsiaTheme="minorEastAsia"/>
          <w:color w:val="auto"/>
          <w:highlight w:val="none"/>
          <w:u w:val="single"/>
          <w:lang w:eastAsia="zh-CN"/>
        </w:rPr>
        <w:t>（</w:t>
      </w:r>
      <w:r>
        <w:rPr>
          <w:rFonts w:hint="eastAsia" w:cs="宋体" w:asciiTheme="minorEastAsia" w:hAnsiTheme="minorEastAsia" w:eastAsiaTheme="minorEastAsia"/>
          <w:color w:val="auto"/>
          <w:highlight w:val="none"/>
          <w:u w:val="single"/>
        </w:rPr>
        <w:t>桂建标〔2016〕17号)；</w:t>
      </w:r>
      <w:r>
        <w:rPr>
          <w:rFonts w:hint="eastAsia" w:cs="宋体" w:asciiTheme="minorEastAsia" w:hAnsiTheme="minorEastAsia" w:eastAsiaTheme="minorEastAsia"/>
          <w:color w:val="auto"/>
          <w:highlight w:val="none"/>
          <w:u w:val="single"/>
          <w:lang w:eastAsia="zh-CN"/>
        </w:rPr>
        <w:t>⑦</w:t>
      </w:r>
      <w:r>
        <w:rPr>
          <w:rFonts w:hint="eastAsia" w:cs="宋体" w:asciiTheme="minorEastAsia" w:hAnsiTheme="minorEastAsia" w:eastAsiaTheme="minorEastAsia"/>
          <w:color w:val="auto"/>
          <w:highlight w:val="none"/>
          <w:u w:val="single"/>
        </w:rPr>
        <w:t>《自治区住房城乡建设厅关于调整建设工程计价增值税税率的通知》（桂建标[2019]12号）。</w:t>
      </w:r>
      <w:r>
        <w:rPr>
          <w:rFonts w:asciiTheme="minorEastAsia" w:hAnsiTheme="minorEastAsia" w:eastAsiaTheme="minorEastAsia"/>
          <w:color w:val="auto"/>
          <w:highlight w:val="none"/>
          <w:u w:val="single"/>
        </w:rPr>
        <w:cr/>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）建设工程设计文件及相关资料：</w:t>
      </w:r>
      <w:r>
        <w:rPr>
          <w:rFonts w:hint="eastAsia" w:asciiTheme="minorEastAsia" w:hAnsiTheme="minorEastAsia" w:eastAsiaTheme="minorEastAsia"/>
          <w:color w:val="auto"/>
          <w:highlight w:val="none"/>
          <w:u w:val="single"/>
        </w:rPr>
        <w:t>详见图纸</w:t>
      </w:r>
      <w:r>
        <w:rPr>
          <w:rFonts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 xml:space="preserve"> </w:t>
      </w:r>
    </w:p>
    <w:p w14:paraId="73A085C7">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4</w:t>
      </w:r>
      <w:r>
        <w:rPr>
          <w:rFonts w:hint="eastAsia" w:cs="宋体" w:asciiTheme="minorEastAsia" w:hAnsiTheme="minorEastAsia" w:eastAsiaTheme="minorEastAsia"/>
          <w:color w:val="auto"/>
          <w:highlight w:val="none"/>
        </w:rPr>
        <w:t>）本工程磋商文件及工程量清单；</w:t>
      </w:r>
    </w:p>
    <w:p w14:paraId="70390EAA">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5</w:t>
      </w:r>
      <w:r>
        <w:rPr>
          <w:rFonts w:hint="eastAsia" w:cs="宋体" w:asciiTheme="minorEastAsia" w:hAnsiTheme="minorEastAsia" w:eastAsiaTheme="minorEastAsia"/>
          <w:color w:val="auto"/>
          <w:highlight w:val="none"/>
        </w:rPr>
        <w:t>）与建设项目相关的标准、规范、技术资料；</w:t>
      </w:r>
    </w:p>
    <w:p w14:paraId="57F474D6">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6</w:t>
      </w:r>
      <w:r>
        <w:rPr>
          <w:rFonts w:hint="eastAsia" w:cs="宋体" w:asciiTheme="minorEastAsia" w:hAnsiTheme="minorEastAsia" w:eastAsiaTheme="minorEastAsia"/>
          <w:color w:val="auto"/>
          <w:highlight w:val="none"/>
        </w:rPr>
        <w:t>）施工现场情况、工程特点及常规施工方案；</w:t>
      </w:r>
    </w:p>
    <w:p w14:paraId="583310EE">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7</w:t>
      </w:r>
      <w:r>
        <w:rPr>
          <w:rFonts w:hint="eastAsia" w:cs="宋体" w:asciiTheme="minorEastAsia" w:hAnsiTheme="minorEastAsia" w:eastAsiaTheme="minorEastAsia"/>
          <w:color w:val="auto"/>
          <w:highlight w:val="none"/>
        </w:rPr>
        <w:t>）材料价格信息：</w:t>
      </w:r>
      <w:r>
        <w:rPr>
          <w:rFonts w:hint="eastAsia" w:cs="宋体" w:asciiTheme="minorEastAsia" w:hAnsiTheme="minorEastAsia" w:eastAsiaTheme="minorEastAsia"/>
          <w:color w:val="auto"/>
          <w:highlight w:val="none"/>
          <w:u w:val="single"/>
        </w:rPr>
        <w:t>材料价格按2024年第5期《桂林市建设工程造价信息》（永福县），永福县无信息价的按桂林市信息价。没有的材料价格参考市场价格</w:t>
      </w:r>
      <w:r>
        <w:rPr>
          <w:rFonts w:hint="eastAsia" w:cs="宋体" w:asciiTheme="minorEastAsia" w:hAnsiTheme="minorEastAsia" w:eastAsiaTheme="minorEastAsia"/>
          <w:color w:val="auto"/>
          <w:highlight w:val="none"/>
        </w:rPr>
        <w:t>。</w:t>
      </w:r>
    </w:p>
    <w:p w14:paraId="3A1D5679">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2.2 </w:t>
      </w:r>
      <w:r>
        <w:rPr>
          <w:rFonts w:hint="eastAsia" w:cs="宋体" w:asciiTheme="minorEastAsia" w:hAnsiTheme="minorEastAsia" w:eastAsiaTheme="minorEastAsia"/>
          <w:color w:val="auto"/>
          <w:highlight w:val="none"/>
        </w:rPr>
        <w:t>分部分项及单价措施项目综合单价应包括磋商文件中采购人要求供应商所承担的风险内容及其范围（幅度）产生的风险费用。</w:t>
      </w:r>
    </w:p>
    <w:p w14:paraId="128B3BE6">
      <w:pPr>
        <w:spacing w:line="360" w:lineRule="auto"/>
        <w:ind w:firstLine="42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2.3 </w:t>
      </w:r>
      <w:r>
        <w:rPr>
          <w:rFonts w:hint="eastAsia" w:cs="宋体" w:asciiTheme="minorEastAsia" w:hAnsiTheme="minorEastAsia" w:eastAsiaTheme="minorEastAsia"/>
          <w:color w:val="auto"/>
          <w:highlight w:val="none"/>
        </w:rPr>
        <w:t>总价措施项目应根据拟定的磋商文件和常规施工方案按《计价规范》和《计算规范》规定编制。</w:t>
      </w:r>
    </w:p>
    <w:p w14:paraId="0285952A">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2.4 </w:t>
      </w:r>
      <w:r>
        <w:rPr>
          <w:rFonts w:hint="eastAsia" w:cs="宋体" w:asciiTheme="minorEastAsia" w:hAnsiTheme="minorEastAsia" w:eastAsiaTheme="minorEastAsia"/>
          <w:color w:val="auto"/>
          <w:highlight w:val="none"/>
        </w:rPr>
        <w:t>其他项目费应按下列规定报价：</w:t>
      </w:r>
    </w:p>
    <w:p w14:paraId="59B81EFC">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）暂列金额应按工程量清单中列出的金额填写；</w:t>
      </w:r>
    </w:p>
    <w:p w14:paraId="07898245">
      <w:pPr>
        <w:pStyle w:val="309"/>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）材料、工程设备暂估价应按工程量清单中列出的单价计入综合单价；</w:t>
      </w:r>
    </w:p>
    <w:p w14:paraId="41573794">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）专业工程暂估价应按工程量清单中列出的金额填写；</w:t>
      </w:r>
    </w:p>
    <w:p w14:paraId="49FC108B">
      <w:pPr>
        <w:spacing w:line="360" w:lineRule="auto"/>
        <w:ind w:firstLine="420"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4</w:t>
      </w:r>
      <w:r>
        <w:rPr>
          <w:rFonts w:hint="eastAsia" w:cs="宋体" w:asciiTheme="minorEastAsia" w:hAnsiTheme="minorEastAsia" w:eastAsiaTheme="minorEastAsia"/>
          <w:color w:val="auto"/>
          <w:highlight w:val="none"/>
        </w:rPr>
        <w:t>）安全生产责任保险费暂估价应按工程量清单中列出的金额填写；</w:t>
      </w:r>
    </w:p>
    <w:p w14:paraId="66136DEC">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5</w:t>
      </w:r>
      <w:r>
        <w:rPr>
          <w:rFonts w:hint="eastAsia" w:cs="宋体" w:asciiTheme="minorEastAsia" w:hAnsiTheme="minorEastAsia" w:eastAsiaTheme="minorEastAsia"/>
          <w:color w:val="auto"/>
          <w:highlight w:val="none"/>
        </w:rPr>
        <w:t>）计日工应按工程量清单中列出的项目和数量，根据工程特点和有关计价依据确定的综合单价计算；</w:t>
      </w:r>
    </w:p>
    <w:p w14:paraId="126CF73D">
      <w:pPr>
        <w:spacing w:line="360" w:lineRule="auto"/>
        <w:ind w:firstLine="420" w:firstLineChars="200"/>
        <w:rPr>
          <w:rFonts w:hint="eastAsia"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6</w:t>
      </w:r>
      <w:r>
        <w:rPr>
          <w:rFonts w:hint="eastAsia" w:cs="宋体" w:asciiTheme="minorEastAsia" w:hAnsiTheme="minorEastAsia" w:eastAsiaTheme="minorEastAsia"/>
          <w:color w:val="auto"/>
          <w:highlight w:val="none"/>
        </w:rPr>
        <w:t>）总承包服务费应根据工程量清单列出的内容和要求，按自治区住房城乡建设行政主管部门颁发的计价定额及有关规定计算</w:t>
      </w:r>
      <w:r>
        <w:rPr>
          <w:rFonts w:hint="eastAsia" w:cs="宋体" w:asciiTheme="minorEastAsia" w:hAnsiTheme="minorEastAsia" w:eastAsiaTheme="minorEastAsia"/>
          <w:color w:val="auto"/>
          <w:highlight w:val="none"/>
          <w:lang w:eastAsia="zh-CN"/>
        </w:rPr>
        <w:t>；</w:t>
      </w:r>
    </w:p>
    <w:p w14:paraId="7955A657">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7</w:t>
      </w:r>
      <w:r>
        <w:rPr>
          <w:rFonts w:hint="eastAsia" w:asciiTheme="minorEastAsia" w:hAnsiTheme="minorEastAsia" w:eastAsiaTheme="minorEastAsia"/>
          <w:color w:val="auto"/>
          <w:highlight w:val="none"/>
        </w:rPr>
        <w:t>）对建设单位创建优质工程的，鼓励在招标控制价和预算中按广西</w:t>
      </w:r>
      <w:r>
        <w:rPr>
          <w:rFonts w:hint="eastAsia" w:asciiTheme="minorEastAsia" w:hAnsiTheme="minorEastAsia" w:eastAsiaTheme="minorEastAsia"/>
          <w:color w:val="auto"/>
          <w:highlight w:val="none"/>
          <w:lang w:eastAsia="zh-CN"/>
        </w:rPr>
        <w:t>壮族自治</w:t>
      </w:r>
      <w:r>
        <w:rPr>
          <w:rFonts w:hint="eastAsia" w:asciiTheme="minorEastAsia" w:hAnsiTheme="minorEastAsia" w:eastAsiaTheme="minorEastAsia"/>
          <w:color w:val="auto"/>
          <w:highlight w:val="none"/>
        </w:rPr>
        <w:t>区工程建设定额规定计列工程优质费，并明确工程优质费不可竞争。</w:t>
      </w:r>
    </w:p>
    <w:p w14:paraId="65DB46DF">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2.5 </w:t>
      </w:r>
      <w:r>
        <w:rPr>
          <w:rFonts w:hint="eastAsia" w:asciiTheme="minorEastAsia" w:hAnsiTheme="minorEastAsia" w:eastAsiaTheme="minorEastAsia"/>
          <w:color w:val="auto"/>
          <w:highlight w:val="none"/>
        </w:rPr>
        <w:t>规费和增值税应按规定确定，作为不可竞争费用。</w:t>
      </w:r>
    </w:p>
    <w:p w14:paraId="283ACF2D">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6</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其它需要说明的问题：无。</w:t>
      </w:r>
    </w:p>
    <w:p w14:paraId="732AB5FB">
      <w:pPr>
        <w:pStyle w:val="64"/>
        <w:rPr>
          <w:color w:val="auto"/>
          <w:highlight w:val="none"/>
        </w:rPr>
      </w:pPr>
    </w:p>
    <w:p w14:paraId="489446B5">
      <w:pPr>
        <w:pStyle w:val="3"/>
        <w:spacing w:before="0" w:after="0" w:line="360" w:lineRule="auto"/>
        <w:rPr>
          <w:rFonts w:hint="eastAsia" w:asciiTheme="minorEastAsia" w:hAnsiTheme="minorEastAsia" w:eastAsiaTheme="minorEastAsia"/>
          <w:color w:val="auto"/>
          <w:highlight w:val="none"/>
        </w:rPr>
      </w:pPr>
      <w:bookmarkStart w:id="87" w:name="_Toc78449871"/>
      <w:bookmarkStart w:id="88" w:name="_Toc407135286"/>
      <w:bookmarkStart w:id="89" w:name="_Toc378483916"/>
      <w:bookmarkStart w:id="90" w:name="_Toc879821176"/>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w:t>
      </w:r>
      <w:r>
        <w:rPr>
          <w:rFonts w:hint="eastAsia" w:cs="黑体" w:asciiTheme="minorEastAsia" w:hAnsiTheme="minorEastAsia" w:eastAsiaTheme="minorEastAsia"/>
          <w:color w:val="auto"/>
          <w:highlight w:val="none"/>
        </w:rPr>
        <w:t>竞标报价（已标价工程量清单）编制说明</w:t>
      </w:r>
      <w:bookmarkEnd w:id="87"/>
      <w:bookmarkEnd w:id="88"/>
      <w:bookmarkEnd w:id="89"/>
      <w:bookmarkEnd w:id="90"/>
    </w:p>
    <w:p w14:paraId="7B697693">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3.1 </w:t>
      </w:r>
      <w:r>
        <w:rPr>
          <w:rFonts w:hint="eastAsia" w:cs="宋体" w:asciiTheme="minorEastAsia" w:hAnsiTheme="minorEastAsia" w:eastAsiaTheme="minorEastAsia"/>
          <w:color w:val="auto"/>
          <w:highlight w:val="none"/>
        </w:rPr>
        <w:t>供应商应依据磋商文件、工程量清单以及《计价规范》、《计算规范》自主报价，自主报价不得违反计价规范强制性条文规定。供应商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17F6EA07">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3.2 </w:t>
      </w:r>
      <w:r>
        <w:rPr>
          <w:rFonts w:hint="eastAsia" w:cs="宋体" w:asciiTheme="minorEastAsia" w:hAnsiTheme="minorEastAsia" w:eastAsiaTheme="minorEastAsia"/>
          <w:color w:val="auto"/>
          <w:highlight w:val="none"/>
        </w:rPr>
        <w:t>供应商应按工程量清单填报价格。项目编码（1</w:t>
      </w:r>
      <w:r>
        <w:rPr>
          <w:rFonts w:cs="宋体"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位）、项目名称、项目特征、计量单位、工程量必须与工程量清单一致，供应商不得对工程量清单项目进行增减调整。</w:t>
      </w:r>
    </w:p>
    <w:p w14:paraId="767CD57F">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3.3 </w:t>
      </w:r>
      <w:r>
        <w:rPr>
          <w:rFonts w:hint="eastAsia" w:cs="宋体" w:asciiTheme="minorEastAsia" w:hAnsiTheme="minorEastAsia" w:eastAsiaTheme="minorEastAsia"/>
          <w:color w:val="auto"/>
          <w:highlight w:val="none"/>
        </w:rPr>
        <w:t>综合单价中应包含磋商文件中划分的应由供应商承担的风险范围及其费用。</w:t>
      </w:r>
    </w:p>
    <w:p w14:paraId="2E1769DD">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3.4 </w:t>
      </w:r>
      <w:r>
        <w:rPr>
          <w:rFonts w:hint="eastAsia" w:cs="宋体" w:asciiTheme="minorEastAsia" w:hAnsiTheme="minorEastAsia" w:eastAsiaTheme="minorEastAsia"/>
          <w:color w:val="auto"/>
          <w:highlight w:val="none"/>
        </w:rPr>
        <w:t>分部分项工程项目和单价措施项目，应根据磋商文件和工程量清单项目中的特征描述确定综合单价计算。如出现工程量清单特征描述与设计图纸不符时，供应商应以工程量清单的项目特征描述为准，确定竞标报价的综合单价。</w:t>
      </w:r>
    </w:p>
    <w:p w14:paraId="53451F85">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3.5 </w:t>
      </w:r>
      <w:r>
        <w:rPr>
          <w:rFonts w:hint="eastAsia" w:cs="宋体" w:asciiTheme="minorEastAsia" w:hAnsiTheme="minorEastAsia" w:eastAsiaTheme="minorEastAsia"/>
          <w:color w:val="auto"/>
          <w:highlight w:val="none"/>
        </w:rPr>
        <w:t>总价措施项目的金额应根据磋商文件及竞标时拟定的施工组织设计或施工方案，按计价规范的规定自主确定。但安全文明施工费按国家、省级或行业建设主管部门的有关规定执行，作为不竞争费用单列。</w:t>
      </w:r>
    </w:p>
    <w:p w14:paraId="1DD72229">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3.6 </w:t>
      </w:r>
      <w:r>
        <w:rPr>
          <w:rFonts w:hint="eastAsia" w:cs="宋体" w:asciiTheme="minorEastAsia" w:hAnsiTheme="minorEastAsia" w:eastAsiaTheme="minorEastAsia"/>
          <w:color w:val="auto"/>
          <w:highlight w:val="none"/>
        </w:rPr>
        <w:t>其他项目费应按下列规定报价：</w:t>
      </w:r>
    </w:p>
    <w:p w14:paraId="61464780">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）暂列金额应按工程量清单中列出的金额填写；</w:t>
      </w:r>
    </w:p>
    <w:p w14:paraId="6031D3B6">
      <w:pPr>
        <w:pStyle w:val="309"/>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）材料、工程设备暂估价应按工程量清单中列出的单价计入综合单价；</w:t>
      </w:r>
    </w:p>
    <w:p w14:paraId="7293E1A1">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）专业工程暂估价应按工程量清单中列出的金额填写；</w:t>
      </w:r>
    </w:p>
    <w:p w14:paraId="2E43C8A3">
      <w:pPr>
        <w:spacing w:line="360" w:lineRule="auto"/>
        <w:ind w:firstLine="420"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4</w:t>
      </w:r>
      <w:r>
        <w:rPr>
          <w:rFonts w:hint="eastAsia" w:cs="宋体" w:asciiTheme="minorEastAsia" w:hAnsiTheme="minorEastAsia" w:eastAsiaTheme="minorEastAsia"/>
          <w:color w:val="auto"/>
          <w:highlight w:val="none"/>
        </w:rPr>
        <w:t>）安全生产责任保险费暂估价应按工程量清单中列出的金额填写；</w:t>
      </w:r>
    </w:p>
    <w:p w14:paraId="7974E576">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5</w:t>
      </w:r>
      <w:r>
        <w:rPr>
          <w:rFonts w:hint="eastAsia" w:cs="宋体" w:asciiTheme="minorEastAsia" w:hAnsiTheme="minorEastAsia" w:eastAsiaTheme="minorEastAsia"/>
          <w:color w:val="auto"/>
          <w:highlight w:val="none"/>
        </w:rPr>
        <w:t>）计日工应按工程量清单中列出的项目和估算数量，自主确定综合单价并计算计日工总额；计日工单价均不含规费和税金；</w:t>
      </w:r>
    </w:p>
    <w:p w14:paraId="1493CE51">
      <w:pPr>
        <w:spacing w:line="360" w:lineRule="auto"/>
        <w:ind w:firstLine="420"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6</w:t>
      </w:r>
      <w:r>
        <w:rPr>
          <w:rFonts w:hint="eastAsia" w:cs="宋体" w:asciiTheme="minorEastAsia" w:hAnsiTheme="minorEastAsia" w:eastAsiaTheme="minorEastAsia"/>
          <w:color w:val="auto"/>
          <w:highlight w:val="none"/>
        </w:rPr>
        <w:t>）总承包服务费应根据工程量清单中列出的内容和供应材料、设备情况，按照采购人提出的协调、配合与服务要求和施工现场管理需要自主确定。</w:t>
      </w:r>
    </w:p>
    <w:p w14:paraId="055EA304">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7</w:t>
      </w:r>
      <w:r>
        <w:rPr>
          <w:rFonts w:hint="eastAsia" w:asciiTheme="minorEastAsia" w:hAnsiTheme="minorEastAsia" w:eastAsiaTheme="minorEastAsia"/>
          <w:color w:val="auto"/>
          <w:highlight w:val="none"/>
        </w:rPr>
        <w:t>）对建设单位创建优质工程的，鼓励在招标控制价和预算中按我区工程建设定额规定计列工程优质费，并明确工程优质费不可竞争。</w:t>
      </w:r>
    </w:p>
    <w:p w14:paraId="1AA07CAA">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3.7 </w:t>
      </w:r>
      <w:r>
        <w:rPr>
          <w:rFonts w:hint="eastAsia" w:cs="宋体" w:asciiTheme="minorEastAsia" w:hAnsiTheme="minorEastAsia" w:eastAsiaTheme="minorEastAsia"/>
          <w:color w:val="auto"/>
          <w:highlight w:val="none"/>
        </w:rPr>
        <w:t>规费和增值税应按规定确定，作为不可竞争费用。</w:t>
      </w:r>
    </w:p>
    <w:p w14:paraId="19DB3FAE">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3.8 </w:t>
      </w:r>
      <w:r>
        <w:rPr>
          <w:rFonts w:hint="eastAsia" w:cs="宋体" w:asciiTheme="minorEastAsia" w:hAnsiTheme="minorEastAsia" w:eastAsiaTheme="minorEastAsia"/>
          <w:color w:val="auto"/>
          <w:highlight w:val="none"/>
        </w:rPr>
        <w:t>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0B26B95A">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3.9 </w:t>
      </w:r>
      <w:r>
        <w:rPr>
          <w:rFonts w:hint="eastAsia" w:cs="宋体" w:asciiTheme="minorEastAsia" w:hAnsiTheme="minorEastAsia" w:eastAsiaTheme="minorEastAsia"/>
          <w:color w:val="auto"/>
          <w:highlight w:val="none"/>
        </w:rPr>
        <w:t>竞标总价应当与分部分项工程费、措施项目费、其他项目费和规费、增值税的合计金额一致。</w:t>
      </w:r>
    </w:p>
    <w:p w14:paraId="67A15B94">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3.1</w:t>
      </w:r>
      <w:r>
        <w:rPr>
          <w:rFonts w:hint="eastAsia" w:asciiTheme="minorEastAsia" w:hAnsiTheme="minorEastAsia" w:eastAsiaTheme="minorEastAsia"/>
          <w:color w:val="auto"/>
          <w:highlight w:val="none"/>
        </w:rPr>
        <w:t>0</w:t>
      </w:r>
      <w:r>
        <w:rPr>
          <w:rFonts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供应商应按《允许调整主要材料和工程设备一览表》的内容填报，不得擅自调整材料和设备名称型号规格、单位、风险系数、基准单价。</w:t>
      </w:r>
    </w:p>
    <w:p w14:paraId="34432B36">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3.1</w:t>
      </w:r>
      <w:r>
        <w:rPr>
          <w:rFonts w:hint="eastAsia"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竞标报价表格按本工程工程量清单表格要求填写，并应按磋商文件的要求，附上《工程量清单综合单价分析表》（表</w:t>
      </w:r>
      <w:r>
        <w:rPr>
          <w:rFonts w:asciiTheme="minorEastAsia" w:hAnsiTheme="minorEastAsia" w:eastAsiaTheme="minorEastAsia"/>
          <w:color w:val="auto"/>
          <w:highlight w:val="none"/>
        </w:rPr>
        <w:t>-09</w:t>
      </w:r>
      <w:r>
        <w:rPr>
          <w:rFonts w:hint="eastAsia" w:cs="宋体" w:asciiTheme="minorEastAsia" w:hAnsiTheme="minorEastAsia" w:eastAsiaTheme="minorEastAsia"/>
          <w:color w:val="auto"/>
          <w:highlight w:val="none"/>
        </w:rPr>
        <w:t>）和《主要清单项目工料机分析表》（表</w:t>
      </w:r>
      <w:r>
        <w:rPr>
          <w:rFonts w:asciiTheme="minorEastAsia" w:hAnsiTheme="minorEastAsia" w:eastAsiaTheme="minorEastAsia"/>
          <w:color w:val="auto"/>
          <w:highlight w:val="none"/>
        </w:rPr>
        <w:t>-10</w:t>
      </w:r>
      <w:r>
        <w:rPr>
          <w:rFonts w:hint="eastAsia" w:cs="宋体" w:asciiTheme="minorEastAsia" w:hAnsiTheme="minorEastAsia" w:eastAsiaTheme="minorEastAsia"/>
          <w:color w:val="auto"/>
          <w:highlight w:val="none"/>
        </w:rPr>
        <w:t>）。</w:t>
      </w:r>
    </w:p>
    <w:p w14:paraId="0FDD866B">
      <w:pPr>
        <w:spacing w:line="360" w:lineRule="auto"/>
        <w:ind w:firstLine="420" w:firstLineChars="200"/>
        <w:rPr>
          <w:rFonts w:hint="eastAsia"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未尽事宜详见本工程工程量清单、招标控制价编制说明以及现行《计价规范》等有关规定执行。</w:t>
      </w:r>
    </w:p>
    <w:p w14:paraId="407A7B81">
      <w:pPr>
        <w:spacing w:line="360" w:lineRule="auto"/>
        <w:ind w:firstLine="420"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注：因2021年《广西壮族自治区园林绿化及仿古建筑工程费用定额》采用全费用综合单价形式，故园林绿化及仿古建筑工程的工程量清单及计价采用《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另</w:t>
      </w:r>
      <w:r>
        <w:rPr>
          <w:rFonts w:hint="eastAsia" w:cs="宋体" w:asciiTheme="minorEastAsia" w:hAnsiTheme="minorEastAsia" w:eastAsiaTheme="minorEastAsia"/>
          <w:color w:val="auto"/>
          <w:highlight w:val="none"/>
          <w:lang w:eastAsia="zh-CN"/>
        </w:rPr>
        <w:t>附</w:t>
      </w:r>
      <w:r>
        <w:rPr>
          <w:rFonts w:hint="eastAsia" w:cs="宋体" w:asciiTheme="minorEastAsia" w:hAnsiTheme="minorEastAsia" w:eastAsiaTheme="minorEastAsia"/>
          <w:color w:val="auto"/>
          <w:highlight w:val="none"/>
        </w:rPr>
        <w:t>的工程量清单及相关说明为准。</w:t>
      </w:r>
    </w:p>
    <w:p w14:paraId="35E0EC64">
      <w:pPr>
        <w:pStyle w:val="64"/>
        <w:rPr>
          <w:color w:val="auto"/>
          <w:highlight w:val="none"/>
        </w:rPr>
      </w:pPr>
    </w:p>
    <w:p w14:paraId="10D97AB8">
      <w:pPr>
        <w:pStyle w:val="3"/>
        <w:spacing w:before="0" w:after="0" w:line="360" w:lineRule="auto"/>
        <w:rPr>
          <w:rFonts w:hint="eastAsia" w:cs="黑体" w:asciiTheme="minorEastAsia" w:hAnsiTheme="minorEastAsia" w:eastAsiaTheme="minorEastAsia"/>
          <w:color w:val="auto"/>
          <w:highlight w:val="none"/>
        </w:rPr>
      </w:pPr>
      <w:r>
        <w:rPr>
          <w:rFonts w:hint="eastAsia" w:cs="黑体" w:asciiTheme="minorEastAsia" w:hAnsiTheme="minorEastAsia" w:eastAsiaTheme="minorEastAsia"/>
          <w:color w:val="auto"/>
          <w:highlight w:val="none"/>
        </w:rPr>
        <w:t>4.图纸（</w:t>
      </w:r>
      <w:r>
        <w:rPr>
          <w:rFonts w:hint="eastAsia" w:cs="宋体" w:asciiTheme="minorEastAsia" w:hAnsiTheme="minorEastAsia" w:eastAsiaTheme="minorEastAsia"/>
          <w:color w:val="auto"/>
          <w:highlight w:val="none"/>
        </w:rPr>
        <w:t>另</w:t>
      </w:r>
      <w:r>
        <w:rPr>
          <w:rFonts w:hint="eastAsia" w:cs="宋体" w:asciiTheme="minorEastAsia" w:hAnsiTheme="minorEastAsia" w:eastAsiaTheme="minorEastAsia"/>
          <w:color w:val="auto"/>
          <w:highlight w:val="none"/>
          <w:lang w:eastAsia="zh-CN"/>
        </w:rPr>
        <w:t>附</w:t>
      </w:r>
      <w:r>
        <w:rPr>
          <w:rFonts w:hint="eastAsia" w:cs="黑体" w:asciiTheme="minorEastAsia" w:hAnsiTheme="minorEastAsia" w:eastAsiaTheme="minorEastAsia"/>
          <w:color w:val="auto"/>
          <w:highlight w:val="none"/>
        </w:rPr>
        <w:t>）</w:t>
      </w:r>
    </w:p>
    <w:p w14:paraId="024595C7">
      <w:pPr>
        <w:pStyle w:val="3"/>
        <w:spacing w:before="0" w:after="0" w:line="360" w:lineRule="auto"/>
        <w:jc w:val="center"/>
        <w:rPr>
          <w:color w:val="auto"/>
          <w:highlight w:val="none"/>
        </w:rPr>
      </w:pPr>
      <w:r>
        <w:rPr>
          <w:rFonts w:cs="黑体"/>
          <w:color w:val="auto"/>
          <w:highlight w:val="none"/>
        </w:rPr>
        <w:br w:type="page"/>
      </w:r>
    </w:p>
    <w:p w14:paraId="428F97DC">
      <w:pPr>
        <w:pStyle w:val="4"/>
        <w:spacing w:before="0" w:after="0" w:line="360" w:lineRule="auto"/>
        <w:rPr>
          <w:color w:val="auto"/>
          <w:highlight w:val="none"/>
        </w:rPr>
      </w:pPr>
    </w:p>
    <w:p w14:paraId="19C19EFB">
      <w:pPr>
        <w:rPr>
          <w:color w:val="auto"/>
          <w:highlight w:val="none"/>
        </w:rPr>
      </w:pPr>
    </w:p>
    <w:p w14:paraId="33FCB550">
      <w:pPr>
        <w:rPr>
          <w:color w:val="auto"/>
          <w:highlight w:val="none"/>
        </w:rPr>
      </w:pPr>
    </w:p>
    <w:p w14:paraId="00C48566">
      <w:pPr>
        <w:rPr>
          <w:color w:val="auto"/>
          <w:highlight w:val="none"/>
        </w:rPr>
      </w:pPr>
    </w:p>
    <w:p w14:paraId="0E3E4A89">
      <w:pPr>
        <w:rPr>
          <w:color w:val="auto"/>
          <w:highlight w:val="none"/>
        </w:rPr>
      </w:pPr>
    </w:p>
    <w:p w14:paraId="06BE3142">
      <w:pPr>
        <w:rPr>
          <w:color w:val="auto"/>
          <w:highlight w:val="none"/>
        </w:rPr>
      </w:pPr>
    </w:p>
    <w:p w14:paraId="49745488">
      <w:pPr>
        <w:rPr>
          <w:color w:val="auto"/>
          <w:highlight w:val="none"/>
        </w:rPr>
      </w:pPr>
    </w:p>
    <w:p w14:paraId="0EDBB34C">
      <w:pPr>
        <w:rPr>
          <w:color w:val="auto"/>
          <w:highlight w:val="none"/>
        </w:rPr>
      </w:pPr>
    </w:p>
    <w:p w14:paraId="1D7A2A27">
      <w:pPr>
        <w:rPr>
          <w:color w:val="auto"/>
          <w:highlight w:val="none"/>
        </w:rPr>
      </w:pPr>
    </w:p>
    <w:p w14:paraId="72AFCED7">
      <w:pPr>
        <w:rPr>
          <w:color w:val="auto"/>
          <w:highlight w:val="none"/>
        </w:rPr>
      </w:pPr>
    </w:p>
    <w:p w14:paraId="5D9F028B">
      <w:pPr>
        <w:rPr>
          <w:color w:val="auto"/>
          <w:highlight w:val="none"/>
        </w:rPr>
      </w:pPr>
    </w:p>
    <w:p w14:paraId="383172D3">
      <w:pPr>
        <w:rPr>
          <w:color w:val="auto"/>
          <w:highlight w:val="none"/>
        </w:rPr>
      </w:pPr>
    </w:p>
    <w:p w14:paraId="5C0EEACF">
      <w:pPr>
        <w:pStyle w:val="7"/>
        <w:rPr>
          <w:color w:val="auto"/>
          <w:highlight w:val="none"/>
        </w:rPr>
      </w:pPr>
    </w:p>
    <w:p w14:paraId="4352DF17">
      <w:pPr>
        <w:pStyle w:val="7"/>
        <w:rPr>
          <w:color w:val="auto"/>
          <w:highlight w:val="none"/>
        </w:rPr>
      </w:pPr>
    </w:p>
    <w:p w14:paraId="5D4551AA">
      <w:pPr>
        <w:pStyle w:val="7"/>
        <w:rPr>
          <w:color w:val="auto"/>
          <w:highlight w:val="none"/>
        </w:rPr>
      </w:pPr>
    </w:p>
    <w:p w14:paraId="475ADE91">
      <w:pPr>
        <w:pStyle w:val="7"/>
        <w:rPr>
          <w:color w:val="auto"/>
          <w:highlight w:val="none"/>
        </w:rPr>
      </w:pPr>
    </w:p>
    <w:p w14:paraId="04194B87">
      <w:pPr>
        <w:pStyle w:val="7"/>
        <w:rPr>
          <w:color w:val="auto"/>
          <w:highlight w:val="none"/>
        </w:rPr>
      </w:pPr>
    </w:p>
    <w:p w14:paraId="59732E44">
      <w:pPr>
        <w:pStyle w:val="7"/>
        <w:rPr>
          <w:color w:val="auto"/>
          <w:highlight w:val="none"/>
        </w:rPr>
      </w:pPr>
    </w:p>
    <w:p w14:paraId="32C2D7B2">
      <w:pPr>
        <w:rPr>
          <w:color w:val="auto"/>
          <w:highlight w:val="none"/>
        </w:rPr>
      </w:pPr>
    </w:p>
    <w:p w14:paraId="77D99E34">
      <w:pPr>
        <w:rPr>
          <w:color w:val="auto"/>
          <w:highlight w:val="none"/>
        </w:rPr>
      </w:pPr>
    </w:p>
    <w:p w14:paraId="72972939">
      <w:pPr>
        <w:pStyle w:val="2"/>
        <w:jc w:val="center"/>
        <w:rPr>
          <w:color w:val="auto"/>
          <w:highlight w:val="none"/>
        </w:rPr>
      </w:pPr>
      <w:bookmarkStart w:id="91" w:name="_Toc74323460"/>
      <w:r>
        <w:rPr>
          <w:rFonts w:hint="eastAsia"/>
          <w:color w:val="auto"/>
          <w:highlight w:val="none"/>
        </w:rPr>
        <w:t>第六章 响应文件格式</w:t>
      </w:r>
      <w:bookmarkEnd w:id="91"/>
    </w:p>
    <w:p w14:paraId="2C15651F">
      <w:pPr>
        <w:spacing w:line="240" w:lineRule="atLeast"/>
        <w:rPr>
          <w:rFonts w:hint="eastAsia" w:ascii="宋体" w:hAnsi="宋体"/>
          <w:b/>
          <w:color w:val="auto"/>
          <w:sz w:val="32"/>
          <w:szCs w:val="32"/>
          <w:highlight w:val="none"/>
        </w:rPr>
      </w:pPr>
    </w:p>
    <w:p w14:paraId="4BD52204">
      <w:pPr>
        <w:spacing w:line="240" w:lineRule="atLeast"/>
        <w:rPr>
          <w:rFonts w:hint="eastAsia" w:ascii="宋体" w:hAnsi="宋体"/>
          <w:b/>
          <w:color w:val="auto"/>
          <w:sz w:val="32"/>
          <w:szCs w:val="32"/>
          <w:highlight w:val="none"/>
        </w:rPr>
      </w:pPr>
    </w:p>
    <w:p w14:paraId="4A86BF6E">
      <w:pPr>
        <w:spacing w:line="240" w:lineRule="atLeast"/>
        <w:rPr>
          <w:rFonts w:hint="eastAsia" w:ascii="宋体" w:hAnsi="宋体"/>
          <w:b/>
          <w:color w:val="auto"/>
          <w:sz w:val="32"/>
          <w:szCs w:val="32"/>
          <w:highlight w:val="none"/>
        </w:rPr>
      </w:pPr>
    </w:p>
    <w:p w14:paraId="2E6ABFD8">
      <w:pPr>
        <w:spacing w:line="240" w:lineRule="atLeast"/>
        <w:rPr>
          <w:rFonts w:hint="eastAsia" w:ascii="宋体" w:hAnsi="宋体"/>
          <w:b/>
          <w:color w:val="auto"/>
          <w:sz w:val="32"/>
          <w:szCs w:val="32"/>
          <w:highlight w:val="none"/>
        </w:rPr>
      </w:pPr>
    </w:p>
    <w:p w14:paraId="504E95FD">
      <w:pPr>
        <w:spacing w:line="240" w:lineRule="atLeast"/>
        <w:rPr>
          <w:rFonts w:hint="eastAsia" w:ascii="宋体" w:hAnsi="宋体"/>
          <w:b/>
          <w:color w:val="auto"/>
          <w:sz w:val="32"/>
          <w:szCs w:val="32"/>
          <w:highlight w:val="none"/>
        </w:rPr>
      </w:pPr>
    </w:p>
    <w:p w14:paraId="71DCE08D">
      <w:pPr>
        <w:spacing w:line="240" w:lineRule="atLeast"/>
        <w:rPr>
          <w:rFonts w:hint="eastAsia" w:ascii="宋体" w:hAnsi="宋体"/>
          <w:b/>
          <w:color w:val="auto"/>
          <w:sz w:val="32"/>
          <w:szCs w:val="32"/>
          <w:highlight w:val="none"/>
        </w:rPr>
      </w:pPr>
    </w:p>
    <w:p w14:paraId="419F72AA">
      <w:pPr>
        <w:spacing w:line="240" w:lineRule="atLeast"/>
        <w:rPr>
          <w:rFonts w:hint="eastAsia" w:ascii="宋体" w:hAnsi="宋体"/>
          <w:b/>
          <w:color w:val="auto"/>
          <w:sz w:val="32"/>
          <w:szCs w:val="32"/>
          <w:highlight w:val="none"/>
        </w:rPr>
      </w:pPr>
    </w:p>
    <w:p w14:paraId="1CFEBDE6">
      <w:pPr>
        <w:spacing w:line="240" w:lineRule="atLeast"/>
        <w:rPr>
          <w:rFonts w:hint="eastAsia" w:ascii="宋体" w:hAnsi="宋体"/>
          <w:b/>
          <w:color w:val="auto"/>
          <w:sz w:val="32"/>
          <w:szCs w:val="32"/>
          <w:highlight w:val="none"/>
        </w:rPr>
      </w:pPr>
    </w:p>
    <w:p w14:paraId="73C7E7BC">
      <w:pPr>
        <w:spacing w:line="240" w:lineRule="atLeast"/>
        <w:rPr>
          <w:rFonts w:hint="eastAsia" w:ascii="宋体" w:hAnsi="宋体"/>
          <w:b/>
          <w:color w:val="auto"/>
          <w:sz w:val="32"/>
          <w:szCs w:val="32"/>
          <w:highlight w:val="none"/>
        </w:rPr>
      </w:pPr>
    </w:p>
    <w:p w14:paraId="57120690">
      <w:pPr>
        <w:spacing w:line="240" w:lineRule="atLeast"/>
        <w:rPr>
          <w:rFonts w:hint="eastAsia" w:ascii="宋体" w:hAnsi="宋体"/>
          <w:b/>
          <w:color w:val="auto"/>
          <w:sz w:val="32"/>
          <w:szCs w:val="32"/>
          <w:highlight w:val="none"/>
        </w:rPr>
      </w:pPr>
    </w:p>
    <w:p w14:paraId="6992B879">
      <w:pPr>
        <w:spacing w:line="240" w:lineRule="atLeast"/>
        <w:rPr>
          <w:rFonts w:hint="eastAsia" w:ascii="宋体" w:hAnsi="宋体"/>
          <w:b/>
          <w:color w:val="auto"/>
          <w:sz w:val="32"/>
          <w:szCs w:val="32"/>
          <w:highlight w:val="none"/>
        </w:rPr>
      </w:pPr>
    </w:p>
    <w:p w14:paraId="3CBBE4F5">
      <w:pPr>
        <w:snapToGrid w:val="0"/>
        <w:spacing w:before="50" w:after="50"/>
        <w:outlineLvl w:val="1"/>
        <w:rPr>
          <w:rFonts w:hint="eastAsia" w:ascii="宋体" w:hAnsi="宋体"/>
          <w:b/>
          <w:bCs/>
          <w:color w:val="auto"/>
          <w:sz w:val="24"/>
          <w:highlight w:val="none"/>
        </w:rPr>
      </w:pPr>
    </w:p>
    <w:p w14:paraId="0F4B4D2B">
      <w:pPr>
        <w:snapToGrid w:val="0"/>
        <w:spacing w:before="50" w:after="50"/>
        <w:outlineLvl w:val="1"/>
        <w:rPr>
          <w:rFonts w:hint="eastAsia" w:ascii="宋体" w:hAnsi="宋体"/>
          <w:b/>
          <w:bCs/>
          <w:color w:val="auto"/>
          <w:sz w:val="24"/>
          <w:highlight w:val="none"/>
        </w:rPr>
      </w:pPr>
    </w:p>
    <w:p w14:paraId="56DC2D02">
      <w:pPr>
        <w:snapToGrid w:val="0"/>
        <w:spacing w:before="50" w:after="50"/>
        <w:outlineLvl w:val="1"/>
        <w:rPr>
          <w:rFonts w:hint="eastAsia" w:ascii="宋体" w:hAnsi="宋体"/>
          <w:b/>
          <w:bCs/>
          <w:color w:val="auto"/>
          <w:sz w:val="24"/>
          <w:highlight w:val="none"/>
        </w:rPr>
      </w:pPr>
    </w:p>
    <w:p w14:paraId="57B77D04">
      <w:pPr>
        <w:snapToGrid w:val="0"/>
        <w:spacing w:before="50" w:after="50"/>
        <w:outlineLvl w:val="1"/>
        <w:rPr>
          <w:rFonts w:hint="eastAsia" w:ascii="宋体" w:hAnsi="宋体"/>
          <w:b/>
          <w:bCs/>
          <w:color w:val="auto"/>
          <w:sz w:val="24"/>
          <w:highlight w:val="none"/>
        </w:rPr>
      </w:pPr>
    </w:p>
    <w:p w14:paraId="3543F3BF">
      <w:pPr>
        <w:snapToGrid w:val="0"/>
        <w:spacing w:before="50" w:after="50"/>
        <w:outlineLvl w:val="1"/>
        <w:rPr>
          <w:rFonts w:hint="eastAsia" w:ascii="宋体" w:hAnsi="宋体"/>
          <w:b/>
          <w:bCs/>
          <w:color w:val="auto"/>
          <w:sz w:val="24"/>
          <w:highlight w:val="none"/>
        </w:rPr>
      </w:pPr>
    </w:p>
    <w:p w14:paraId="0AEAB271">
      <w:pPr>
        <w:rPr>
          <w:b/>
          <w:color w:val="auto"/>
          <w:sz w:val="32"/>
          <w:szCs w:val="32"/>
          <w:highlight w:val="none"/>
        </w:rPr>
      </w:pPr>
      <w:bookmarkStart w:id="92" w:name="_Toc31728084"/>
      <w:bookmarkStart w:id="93" w:name="_Toc35611516"/>
      <w:bookmarkStart w:id="94" w:name="_Toc31723070"/>
      <w:bookmarkStart w:id="95" w:name="_Toc71366186"/>
      <w:bookmarkStart w:id="96" w:name="_Toc44229899"/>
      <w:bookmarkStart w:id="97" w:name="_Toc35611438"/>
      <w:r>
        <w:rPr>
          <w:rFonts w:hint="eastAsia"/>
          <w:b/>
          <w:color w:val="auto"/>
          <w:sz w:val="32"/>
          <w:szCs w:val="32"/>
          <w:highlight w:val="none"/>
        </w:rPr>
        <w:t>一、资格证明文件格式</w:t>
      </w:r>
      <w:bookmarkEnd w:id="92"/>
      <w:bookmarkEnd w:id="93"/>
      <w:bookmarkEnd w:id="94"/>
      <w:bookmarkEnd w:id="95"/>
      <w:bookmarkEnd w:id="96"/>
      <w:bookmarkEnd w:id="97"/>
    </w:p>
    <w:p w14:paraId="68CC5A89">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02BA3089">
      <w:pPr>
        <w:snapToGrid w:val="0"/>
        <w:spacing w:before="120" w:beforeLines="50" w:after="50"/>
        <w:jc w:val="center"/>
        <w:rPr>
          <w:rFonts w:hint="eastAsia" w:ascii="宋体" w:hAnsi="宋体"/>
          <w:color w:val="auto"/>
          <w:sz w:val="44"/>
          <w:szCs w:val="44"/>
          <w:highlight w:val="none"/>
        </w:rPr>
      </w:pPr>
    </w:p>
    <w:p w14:paraId="3BE4A76D">
      <w:pPr>
        <w:snapToGrid w:val="0"/>
        <w:spacing w:before="120" w:beforeLines="50" w:after="50"/>
        <w:jc w:val="center"/>
        <w:rPr>
          <w:rFonts w:hint="eastAsia" w:ascii="宋体" w:hAnsi="宋体"/>
          <w:color w:val="auto"/>
          <w:sz w:val="44"/>
          <w:szCs w:val="44"/>
          <w:highlight w:val="none"/>
        </w:rPr>
      </w:pPr>
      <w:r>
        <w:rPr>
          <w:rFonts w:hint="eastAsia" w:ascii="宋体" w:hAnsi="宋体"/>
          <w:color w:val="auto"/>
          <w:sz w:val="44"/>
          <w:szCs w:val="44"/>
          <w:highlight w:val="none"/>
        </w:rPr>
        <w:t>电 子 响 应 文 件</w:t>
      </w:r>
    </w:p>
    <w:p w14:paraId="4DF7C828">
      <w:pPr>
        <w:snapToGrid w:val="0"/>
        <w:spacing w:before="120" w:beforeLines="50" w:after="50"/>
        <w:rPr>
          <w:rFonts w:hint="eastAsia" w:ascii="宋体" w:hAnsi="宋体"/>
          <w:color w:val="auto"/>
          <w:sz w:val="24"/>
          <w:szCs w:val="20"/>
          <w:highlight w:val="none"/>
        </w:rPr>
      </w:pPr>
    </w:p>
    <w:p w14:paraId="35C682EB">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1B9949CA">
      <w:pPr>
        <w:snapToGrid w:val="0"/>
        <w:spacing w:before="120" w:beforeLines="50" w:after="50"/>
        <w:rPr>
          <w:rFonts w:hint="eastAsia" w:ascii="宋体" w:hAnsi="宋体"/>
          <w:bCs/>
          <w:color w:val="auto"/>
          <w:sz w:val="24"/>
          <w:szCs w:val="20"/>
          <w:highlight w:val="none"/>
        </w:rPr>
      </w:pPr>
    </w:p>
    <w:p w14:paraId="62B08ABF">
      <w:pPr>
        <w:snapToGrid w:val="0"/>
        <w:spacing w:before="120" w:beforeLines="50" w:after="50"/>
        <w:rPr>
          <w:rFonts w:hint="eastAsia" w:ascii="宋体" w:hAnsi="宋体"/>
          <w:bCs/>
          <w:color w:val="auto"/>
          <w:sz w:val="24"/>
          <w:szCs w:val="20"/>
          <w:highlight w:val="none"/>
        </w:rPr>
      </w:pPr>
    </w:p>
    <w:p w14:paraId="29C79C5A">
      <w:pPr>
        <w:snapToGrid w:val="0"/>
        <w:spacing w:before="120" w:beforeLines="50" w:after="50"/>
        <w:rPr>
          <w:rFonts w:hint="eastAsia" w:ascii="宋体" w:hAnsi="宋体"/>
          <w:bCs/>
          <w:color w:val="auto"/>
          <w:sz w:val="24"/>
          <w:szCs w:val="20"/>
          <w:highlight w:val="none"/>
        </w:rPr>
      </w:pPr>
    </w:p>
    <w:p w14:paraId="69C5EFCD">
      <w:pPr>
        <w:snapToGrid w:val="0"/>
        <w:spacing w:before="120" w:beforeLines="50" w:after="50"/>
        <w:rPr>
          <w:rFonts w:hint="eastAsia" w:ascii="宋体" w:hAnsi="宋体"/>
          <w:bCs/>
          <w:color w:val="auto"/>
          <w:sz w:val="24"/>
          <w:szCs w:val="20"/>
          <w:highlight w:val="none"/>
        </w:rPr>
      </w:pPr>
    </w:p>
    <w:p w14:paraId="698D73C5">
      <w:pPr>
        <w:snapToGrid w:val="0"/>
        <w:spacing w:before="120" w:beforeLines="50" w:after="50"/>
        <w:rPr>
          <w:rFonts w:hint="eastAsia" w:ascii="宋体" w:hAnsi="宋体"/>
          <w:bCs/>
          <w:color w:val="auto"/>
          <w:sz w:val="24"/>
          <w:szCs w:val="20"/>
          <w:highlight w:val="none"/>
        </w:rPr>
      </w:pPr>
    </w:p>
    <w:p w14:paraId="729F46C6">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36AFD95">
      <w:pPr>
        <w:snapToGrid w:val="0"/>
        <w:spacing w:before="120" w:beforeLines="50" w:after="50"/>
        <w:ind w:firstLine="720" w:firstLineChars="225"/>
        <w:rPr>
          <w:rFonts w:hint="eastAsia" w:ascii="宋体" w:hAnsi="宋体" w:cs="仿宋_GB2312"/>
          <w:bCs/>
          <w:color w:val="auto"/>
          <w:sz w:val="32"/>
          <w:szCs w:val="32"/>
          <w:highlight w:val="none"/>
        </w:rPr>
      </w:pPr>
    </w:p>
    <w:p w14:paraId="1A8F2D73">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1CF52F9">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09AEC4CC">
      <w:pPr>
        <w:snapToGrid w:val="0"/>
        <w:spacing w:before="120" w:beforeLines="50" w:after="50"/>
        <w:ind w:firstLine="720" w:firstLineChars="225"/>
        <w:rPr>
          <w:rFonts w:hint="eastAsia" w:ascii="宋体" w:hAnsi="宋体" w:cs="仿宋_GB2312"/>
          <w:bCs/>
          <w:color w:val="auto"/>
          <w:sz w:val="32"/>
          <w:szCs w:val="32"/>
          <w:highlight w:val="none"/>
        </w:rPr>
      </w:pPr>
    </w:p>
    <w:p w14:paraId="10C06B48">
      <w:pPr>
        <w:pStyle w:val="7"/>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0E050DC">
      <w:pPr>
        <w:snapToGrid w:val="0"/>
        <w:spacing w:before="120" w:beforeLines="50" w:after="50"/>
        <w:ind w:firstLine="640" w:firstLineChars="200"/>
        <w:rPr>
          <w:rFonts w:hint="eastAsia" w:ascii="宋体" w:hAnsi="宋体" w:cs="仿宋_GB2312"/>
          <w:bCs/>
          <w:color w:val="auto"/>
          <w:sz w:val="32"/>
          <w:szCs w:val="32"/>
          <w:highlight w:val="none"/>
        </w:rPr>
      </w:pPr>
    </w:p>
    <w:p w14:paraId="788ADCDA">
      <w:pPr>
        <w:pStyle w:val="7"/>
        <w:snapToGrid w:val="0"/>
        <w:spacing w:before="50" w:after="50"/>
        <w:ind w:firstLine="720" w:firstLineChars="225"/>
        <w:rPr>
          <w:rFonts w:hint="eastAsia" w:ascii="宋体" w:hAnsi="宋体" w:cs="仿宋_GB2312"/>
          <w:bCs/>
          <w:color w:val="auto"/>
          <w:sz w:val="32"/>
          <w:szCs w:val="32"/>
          <w:highlight w:val="none"/>
        </w:rPr>
      </w:pPr>
    </w:p>
    <w:p w14:paraId="02477FF3">
      <w:pPr>
        <w:pStyle w:val="7"/>
        <w:snapToGrid w:val="0"/>
        <w:spacing w:before="50" w:after="50"/>
        <w:ind w:firstLine="720" w:firstLineChars="225"/>
        <w:rPr>
          <w:rFonts w:hint="eastAsia" w:ascii="宋体" w:hAnsi="宋体" w:cs="仿宋_GB2312"/>
          <w:bCs/>
          <w:color w:val="auto"/>
          <w:sz w:val="32"/>
          <w:szCs w:val="32"/>
          <w:highlight w:val="none"/>
        </w:rPr>
      </w:pPr>
    </w:p>
    <w:p w14:paraId="0C043E5C">
      <w:pPr>
        <w:pStyle w:val="7"/>
        <w:snapToGrid w:val="0"/>
        <w:spacing w:before="50" w:after="50"/>
        <w:ind w:firstLine="1280" w:firstLineChars="400"/>
        <w:rPr>
          <w:rFonts w:hint="eastAsia" w:ascii="宋体" w:hAnsi="宋体" w:cs="仿宋_GB2312"/>
          <w:bCs/>
          <w:color w:val="auto"/>
          <w:sz w:val="32"/>
          <w:szCs w:val="32"/>
          <w:highlight w:val="none"/>
        </w:rPr>
      </w:pPr>
    </w:p>
    <w:p w14:paraId="19D901EE">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52BBBE7">
      <w:pPr>
        <w:snapToGrid w:val="0"/>
        <w:spacing w:before="120"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69D45D34">
      <w:pPr>
        <w:snapToGrid w:val="0"/>
        <w:spacing w:before="120" w:beforeLines="50" w:after="50" w:line="360" w:lineRule="auto"/>
        <w:ind w:firstLine="645"/>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30872A4">
      <w:pPr>
        <w:snapToGrid w:val="0"/>
        <w:spacing w:before="120" w:beforeLines="50" w:after="50"/>
        <w:rPr>
          <w:rFonts w:hint="eastAsia" w:ascii="宋体" w:hAnsi="宋体"/>
          <w:color w:val="auto"/>
          <w:sz w:val="24"/>
          <w:szCs w:val="20"/>
          <w:highlight w:val="none"/>
        </w:rPr>
      </w:pPr>
      <w:r>
        <w:rPr>
          <w:rFonts w:ascii="宋体" w:hAnsi="宋体"/>
          <w:color w:val="auto"/>
          <w:sz w:val="24"/>
          <w:szCs w:val="20"/>
          <w:highlight w:val="none"/>
        </w:rPr>
        <w:t xml:space="preserve"> </w:t>
      </w:r>
    </w:p>
    <w:p w14:paraId="4622B82C">
      <w:pPr>
        <w:spacing w:line="300" w:lineRule="auto"/>
        <w:rPr>
          <w:rFonts w:hint="eastAsia" w:ascii="宋体" w:hAnsi="宋体"/>
          <w:color w:val="auto"/>
          <w:szCs w:val="21"/>
          <w:highlight w:val="none"/>
        </w:rPr>
      </w:pPr>
    </w:p>
    <w:p w14:paraId="3D004B79">
      <w:pPr>
        <w:spacing w:line="300" w:lineRule="auto"/>
        <w:rPr>
          <w:rFonts w:hint="eastAsia" w:ascii="宋体" w:hAnsi="宋体"/>
          <w:color w:val="auto"/>
          <w:szCs w:val="21"/>
          <w:highlight w:val="none"/>
        </w:rPr>
      </w:pPr>
    </w:p>
    <w:p w14:paraId="4F5C327A">
      <w:pPr>
        <w:spacing w:line="300" w:lineRule="auto"/>
        <w:rPr>
          <w:rFonts w:hint="eastAsia" w:ascii="宋体" w:hAnsi="宋体"/>
          <w:color w:val="auto"/>
          <w:szCs w:val="21"/>
          <w:highlight w:val="none"/>
        </w:rPr>
      </w:pPr>
    </w:p>
    <w:p w14:paraId="1F096424">
      <w:pPr>
        <w:spacing w:line="300" w:lineRule="auto"/>
        <w:rPr>
          <w:rFonts w:hint="eastAsia" w:ascii="宋体" w:hAnsi="宋体"/>
          <w:color w:val="auto"/>
          <w:szCs w:val="21"/>
          <w:highlight w:val="none"/>
        </w:rPr>
      </w:pPr>
    </w:p>
    <w:p w14:paraId="4653692F">
      <w:pPr>
        <w:spacing w:line="300" w:lineRule="auto"/>
        <w:rPr>
          <w:rFonts w:hint="eastAsia" w:ascii="宋体" w:hAnsi="宋体"/>
          <w:color w:val="auto"/>
          <w:szCs w:val="21"/>
          <w:highlight w:val="none"/>
        </w:rPr>
      </w:pPr>
    </w:p>
    <w:p w14:paraId="08F6FB15">
      <w:pPr>
        <w:spacing w:line="300" w:lineRule="auto"/>
        <w:rPr>
          <w:rFonts w:hint="eastAsia" w:ascii="宋体" w:hAnsi="宋体"/>
          <w:color w:val="auto"/>
          <w:szCs w:val="21"/>
          <w:highlight w:val="none"/>
        </w:rPr>
      </w:pPr>
    </w:p>
    <w:p w14:paraId="060B014A">
      <w:pPr>
        <w:spacing w:line="300" w:lineRule="auto"/>
        <w:rPr>
          <w:rFonts w:hint="eastAsia" w:ascii="宋体" w:hAnsi="宋体"/>
          <w:color w:val="auto"/>
          <w:szCs w:val="21"/>
          <w:highlight w:val="none"/>
        </w:rPr>
      </w:pPr>
    </w:p>
    <w:p w14:paraId="6F3D313F">
      <w:pPr>
        <w:spacing w:line="300" w:lineRule="auto"/>
        <w:rPr>
          <w:rFonts w:hint="eastAsia" w:ascii="宋体" w:hAnsi="宋体"/>
          <w:color w:val="auto"/>
          <w:szCs w:val="21"/>
          <w:highlight w:val="none"/>
        </w:rPr>
      </w:pPr>
    </w:p>
    <w:p w14:paraId="19973506">
      <w:pPr>
        <w:spacing w:line="300" w:lineRule="auto"/>
        <w:rPr>
          <w:rFonts w:hint="eastAsia" w:ascii="宋体" w:hAnsi="宋体"/>
          <w:color w:val="auto"/>
          <w:szCs w:val="21"/>
          <w:highlight w:val="none"/>
        </w:rPr>
      </w:pPr>
    </w:p>
    <w:p w14:paraId="58D9F9D3">
      <w:pPr>
        <w:spacing w:line="300" w:lineRule="auto"/>
        <w:rPr>
          <w:rFonts w:hint="eastAsia" w:ascii="宋体" w:hAnsi="宋体"/>
          <w:color w:val="auto"/>
          <w:szCs w:val="21"/>
          <w:highlight w:val="none"/>
        </w:rPr>
      </w:pPr>
    </w:p>
    <w:p w14:paraId="3D51FAE7">
      <w:pPr>
        <w:spacing w:line="300" w:lineRule="auto"/>
        <w:rPr>
          <w:rFonts w:hint="eastAsia" w:ascii="宋体" w:hAnsi="宋体"/>
          <w:color w:val="auto"/>
          <w:szCs w:val="21"/>
          <w:highlight w:val="none"/>
        </w:rPr>
      </w:pPr>
    </w:p>
    <w:p w14:paraId="0D13554D">
      <w:pPr>
        <w:spacing w:line="300" w:lineRule="auto"/>
        <w:rPr>
          <w:rFonts w:hint="eastAsia" w:ascii="宋体" w:hAnsi="宋体"/>
          <w:color w:val="auto"/>
          <w:szCs w:val="21"/>
          <w:highlight w:val="none"/>
        </w:rPr>
      </w:pPr>
    </w:p>
    <w:p w14:paraId="39BC153C">
      <w:pPr>
        <w:spacing w:line="300" w:lineRule="auto"/>
        <w:rPr>
          <w:rFonts w:hint="eastAsia" w:ascii="宋体" w:hAnsi="宋体"/>
          <w:color w:val="auto"/>
          <w:szCs w:val="21"/>
          <w:highlight w:val="none"/>
        </w:rPr>
      </w:pPr>
    </w:p>
    <w:p w14:paraId="7F87635A">
      <w:pPr>
        <w:spacing w:line="300" w:lineRule="auto"/>
        <w:rPr>
          <w:rFonts w:hint="eastAsia" w:ascii="宋体" w:hAnsi="宋体"/>
          <w:color w:val="auto"/>
          <w:szCs w:val="21"/>
          <w:highlight w:val="none"/>
        </w:rPr>
      </w:pPr>
    </w:p>
    <w:p w14:paraId="07FB7B9E">
      <w:pPr>
        <w:spacing w:line="300" w:lineRule="auto"/>
        <w:rPr>
          <w:rFonts w:hint="eastAsia" w:ascii="宋体" w:hAnsi="宋体"/>
          <w:color w:val="auto"/>
          <w:szCs w:val="21"/>
          <w:highlight w:val="none"/>
        </w:rPr>
      </w:pPr>
    </w:p>
    <w:p w14:paraId="55C2230E">
      <w:pPr>
        <w:spacing w:line="320" w:lineRule="exact"/>
        <w:jc w:val="left"/>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 xml:space="preserve"> </w:t>
      </w:r>
    </w:p>
    <w:p w14:paraId="13C7B4F1">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6F7547C2">
      <w:pPr>
        <w:snapToGrid w:val="0"/>
        <w:spacing w:before="120" w:beforeLines="50" w:after="50" w:line="360" w:lineRule="auto"/>
        <w:jc w:val="center"/>
        <w:rPr>
          <w:rFonts w:hint="eastAsia" w:ascii="宋体" w:hAnsi="宋体"/>
          <w:b/>
          <w:color w:val="auto"/>
          <w:sz w:val="24"/>
          <w:highlight w:val="none"/>
        </w:rPr>
      </w:pPr>
    </w:p>
    <w:p w14:paraId="014EBEE3">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44FDC309">
      <w:pPr>
        <w:spacing w:line="360" w:lineRule="auto"/>
        <w:contextualSpacing/>
        <w:jc w:val="center"/>
        <w:rPr>
          <w:rFonts w:hint="eastAsia" w:ascii="宋体" w:hAnsi="宋体"/>
          <w:b/>
          <w:color w:val="auto"/>
          <w:sz w:val="24"/>
          <w:highlight w:val="none"/>
        </w:rPr>
      </w:pPr>
    </w:p>
    <w:tbl>
      <w:tblPr>
        <w:tblStyle w:val="46"/>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4C726BD">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300F6E">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CCCC82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26534F">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56D5D2">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2557DC8">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9C6F46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260CA2">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BF72F4">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A9B4C9">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895B0F">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7738B3">
            <w:pPr>
              <w:widowControl/>
              <w:spacing w:line="360" w:lineRule="auto"/>
              <w:contextualSpacing/>
              <w:jc w:val="center"/>
              <w:rPr>
                <w:rFonts w:hint="eastAsia" w:ascii="宋体" w:hAnsi="宋体" w:cs="宋体"/>
                <w:color w:val="auto"/>
                <w:kern w:val="0"/>
                <w:sz w:val="24"/>
                <w:highlight w:val="none"/>
              </w:rPr>
            </w:pPr>
          </w:p>
        </w:tc>
      </w:tr>
      <w:tr w14:paraId="5DBA9FD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9A26C6">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CE453D">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842D753">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4B84C3">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730FF2F">
            <w:pPr>
              <w:widowControl/>
              <w:spacing w:line="360" w:lineRule="auto"/>
              <w:contextualSpacing/>
              <w:jc w:val="center"/>
              <w:rPr>
                <w:rFonts w:hint="eastAsia" w:ascii="宋体" w:hAnsi="宋体" w:cs="宋体"/>
                <w:color w:val="auto"/>
                <w:kern w:val="0"/>
                <w:sz w:val="24"/>
                <w:highlight w:val="none"/>
              </w:rPr>
            </w:pPr>
          </w:p>
        </w:tc>
      </w:tr>
      <w:tr w14:paraId="54EB9F1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91E46C">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F4F8BA">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F6A3D9">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F8C972">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154FFF2">
            <w:pPr>
              <w:widowControl/>
              <w:spacing w:line="360" w:lineRule="auto"/>
              <w:contextualSpacing/>
              <w:jc w:val="center"/>
              <w:rPr>
                <w:rFonts w:hint="eastAsia" w:ascii="宋体" w:hAnsi="宋体" w:cs="宋体"/>
                <w:color w:val="auto"/>
                <w:kern w:val="0"/>
                <w:sz w:val="24"/>
                <w:highlight w:val="none"/>
              </w:rPr>
            </w:pPr>
          </w:p>
        </w:tc>
      </w:tr>
      <w:tr w14:paraId="1455A5B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43D7D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BBCA880">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991C54">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E09696">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FDCAB1">
            <w:pPr>
              <w:widowControl/>
              <w:spacing w:line="360" w:lineRule="auto"/>
              <w:contextualSpacing/>
              <w:jc w:val="center"/>
              <w:rPr>
                <w:rFonts w:hint="eastAsia" w:ascii="宋体" w:hAnsi="宋体" w:cs="宋体"/>
                <w:color w:val="auto"/>
                <w:kern w:val="0"/>
                <w:sz w:val="24"/>
                <w:highlight w:val="none"/>
              </w:rPr>
            </w:pPr>
          </w:p>
        </w:tc>
      </w:tr>
    </w:tbl>
    <w:p w14:paraId="34C441C4">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681BCA93">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D376975">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1D5713E">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146612CB">
      <w:pPr>
        <w:spacing w:line="360" w:lineRule="auto"/>
        <w:ind w:firstLine="420" w:firstLineChars="200"/>
        <w:contextualSpacing/>
        <w:jc w:val="left"/>
        <w:rPr>
          <w:rFonts w:hint="eastAsia" w:ascii="宋体" w:hAnsi="宋体" w:cs="宋体"/>
          <w:color w:val="auto"/>
          <w:szCs w:val="21"/>
          <w:highlight w:val="none"/>
        </w:rPr>
      </w:pPr>
    </w:p>
    <w:p w14:paraId="2AEBC339">
      <w:pPr>
        <w:spacing w:line="360" w:lineRule="auto"/>
        <w:ind w:firstLine="560" w:firstLineChars="200"/>
        <w:contextualSpacing/>
        <w:jc w:val="left"/>
        <w:rPr>
          <w:rFonts w:hint="eastAsia" w:ascii="宋体" w:hAnsi="宋体" w:cs="宋体"/>
          <w:color w:val="auto"/>
          <w:sz w:val="28"/>
          <w:szCs w:val="28"/>
          <w:highlight w:val="none"/>
        </w:rPr>
      </w:pPr>
    </w:p>
    <w:p w14:paraId="31AD3481">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5CC407B0">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6767C812">
      <w:pPr>
        <w:spacing w:line="360" w:lineRule="auto"/>
        <w:ind w:firstLine="480" w:firstLineChars="200"/>
        <w:contextualSpacing/>
        <w:jc w:val="right"/>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13735247">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4A282B4F">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0212546A">
      <w:pPr>
        <w:snapToGrid w:val="0"/>
        <w:spacing w:line="360" w:lineRule="auto"/>
        <w:jc w:val="center"/>
        <w:rPr>
          <w:rFonts w:hint="eastAsia" w:ascii="宋体" w:hAnsi="宋体"/>
          <w:b/>
          <w:color w:val="auto"/>
          <w:sz w:val="24"/>
          <w:highlight w:val="none"/>
        </w:rPr>
      </w:pPr>
    </w:p>
    <w:tbl>
      <w:tblPr>
        <w:tblStyle w:val="46"/>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4ECE91D">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43D0A67">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C4C52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CB0D7B">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D0EBA6">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72B8316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B7E50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CD97817">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E0AF39">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AEDF44">
            <w:pPr>
              <w:widowControl/>
              <w:spacing w:line="360" w:lineRule="auto"/>
              <w:contextualSpacing/>
              <w:jc w:val="center"/>
              <w:rPr>
                <w:rFonts w:hint="eastAsia" w:ascii="宋体" w:hAnsi="宋体" w:cs="宋体"/>
                <w:color w:val="auto"/>
                <w:kern w:val="0"/>
                <w:sz w:val="24"/>
                <w:highlight w:val="none"/>
              </w:rPr>
            </w:pPr>
          </w:p>
        </w:tc>
      </w:tr>
      <w:tr w14:paraId="4317818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4D415F">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D1AF74">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444DC18">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BC4E60">
            <w:pPr>
              <w:widowControl/>
              <w:spacing w:line="360" w:lineRule="auto"/>
              <w:contextualSpacing/>
              <w:jc w:val="center"/>
              <w:rPr>
                <w:rFonts w:hint="eastAsia" w:ascii="宋体" w:hAnsi="宋体" w:cs="宋体"/>
                <w:color w:val="auto"/>
                <w:kern w:val="0"/>
                <w:sz w:val="24"/>
                <w:highlight w:val="none"/>
              </w:rPr>
            </w:pPr>
          </w:p>
        </w:tc>
      </w:tr>
      <w:tr w14:paraId="35D552D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D205C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342098">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D352BE">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1A0F99">
            <w:pPr>
              <w:widowControl/>
              <w:spacing w:line="360" w:lineRule="auto"/>
              <w:contextualSpacing/>
              <w:jc w:val="center"/>
              <w:rPr>
                <w:rFonts w:hint="eastAsia" w:ascii="宋体" w:hAnsi="宋体" w:cs="宋体"/>
                <w:color w:val="auto"/>
                <w:kern w:val="0"/>
                <w:sz w:val="24"/>
                <w:highlight w:val="none"/>
              </w:rPr>
            </w:pPr>
          </w:p>
        </w:tc>
      </w:tr>
      <w:tr w14:paraId="1E4B8E7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D828BF">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A00007">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2DE1CF">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23CB729">
            <w:pPr>
              <w:widowControl/>
              <w:spacing w:line="360" w:lineRule="auto"/>
              <w:contextualSpacing/>
              <w:jc w:val="center"/>
              <w:rPr>
                <w:rFonts w:hint="eastAsia" w:ascii="宋体" w:hAnsi="宋体" w:cs="宋体"/>
                <w:color w:val="auto"/>
                <w:kern w:val="0"/>
                <w:sz w:val="24"/>
                <w:highlight w:val="none"/>
              </w:rPr>
            </w:pPr>
          </w:p>
        </w:tc>
      </w:tr>
    </w:tbl>
    <w:p w14:paraId="53A62F25">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296B8133">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1C484471">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1B765E66">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27101D23">
      <w:pPr>
        <w:spacing w:line="360" w:lineRule="auto"/>
        <w:contextualSpacing/>
        <w:jc w:val="left"/>
        <w:rPr>
          <w:rFonts w:hint="eastAsia" w:ascii="宋体" w:hAnsi="宋体"/>
          <w:color w:val="auto"/>
          <w:sz w:val="28"/>
          <w:szCs w:val="28"/>
          <w:highlight w:val="none"/>
        </w:rPr>
      </w:pPr>
    </w:p>
    <w:p w14:paraId="303A9664">
      <w:pPr>
        <w:spacing w:line="360" w:lineRule="auto"/>
        <w:contextualSpacing/>
        <w:jc w:val="left"/>
        <w:rPr>
          <w:rFonts w:hint="eastAsia" w:ascii="宋体" w:hAnsi="宋体"/>
          <w:color w:val="auto"/>
          <w:sz w:val="28"/>
          <w:szCs w:val="28"/>
          <w:highlight w:val="none"/>
        </w:rPr>
      </w:pPr>
    </w:p>
    <w:p w14:paraId="52A84987">
      <w:pPr>
        <w:spacing w:line="360" w:lineRule="auto"/>
        <w:contextualSpacing/>
        <w:jc w:val="left"/>
        <w:rPr>
          <w:color w:val="auto"/>
          <w:sz w:val="28"/>
          <w:szCs w:val="28"/>
          <w:highlight w:val="none"/>
        </w:rPr>
      </w:pPr>
    </w:p>
    <w:p w14:paraId="1D1999A9">
      <w:pPr>
        <w:spacing w:line="360" w:lineRule="auto"/>
        <w:contextualSpacing/>
        <w:jc w:val="left"/>
        <w:rPr>
          <w:color w:val="auto"/>
          <w:sz w:val="28"/>
          <w:szCs w:val="28"/>
          <w:highlight w:val="none"/>
        </w:rPr>
      </w:pPr>
    </w:p>
    <w:p w14:paraId="7A28A528">
      <w:pPr>
        <w:spacing w:line="360" w:lineRule="auto"/>
        <w:contextualSpacing/>
        <w:jc w:val="left"/>
        <w:rPr>
          <w:color w:val="auto"/>
          <w:sz w:val="28"/>
          <w:szCs w:val="28"/>
          <w:highlight w:val="none"/>
        </w:rPr>
      </w:pPr>
    </w:p>
    <w:p w14:paraId="0454FBA7">
      <w:pPr>
        <w:spacing w:line="360" w:lineRule="auto"/>
        <w:contextualSpacing/>
        <w:jc w:val="left"/>
        <w:rPr>
          <w:rFonts w:hint="eastAsia" w:ascii="宋体" w:hAnsi="宋体"/>
          <w:color w:val="auto"/>
          <w:sz w:val="28"/>
          <w:szCs w:val="28"/>
          <w:highlight w:val="none"/>
        </w:rPr>
      </w:pPr>
    </w:p>
    <w:p w14:paraId="4B46DC8E">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788817D6">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18076E4C">
      <w:pPr>
        <w:spacing w:line="360" w:lineRule="auto"/>
        <w:ind w:firstLine="480" w:firstLineChars="200"/>
        <w:contextualSpacing/>
        <w:jc w:val="left"/>
        <w:rPr>
          <w:rFonts w:hint="eastAsia" w:ascii="宋体" w:hAnsi="宋体"/>
          <w:color w:val="auto"/>
          <w:sz w:val="28"/>
          <w:szCs w:val="28"/>
          <w:highlight w:val="none"/>
        </w:rPr>
      </w:pPr>
      <w:r>
        <w:rPr>
          <w:rFonts w:hint="eastAsia" w:ascii="宋体" w:hAnsi="宋体"/>
          <w:color w:val="auto"/>
          <w:sz w:val="24"/>
          <w:highlight w:val="none"/>
        </w:rPr>
        <w:t xml:space="preserve">                                        年    月    日</w:t>
      </w:r>
    </w:p>
    <w:p w14:paraId="701F0F55">
      <w:pPr>
        <w:spacing w:line="320" w:lineRule="exact"/>
        <w:jc w:val="center"/>
        <w:rPr>
          <w:rFonts w:hint="eastAsia"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729C12C8">
      <w:pPr>
        <w:spacing w:line="320" w:lineRule="exact"/>
        <w:jc w:val="center"/>
        <w:rPr>
          <w:rFonts w:hint="eastAsia" w:ascii="宋体" w:hAnsi="宋体"/>
          <w:color w:val="auto"/>
          <w:sz w:val="24"/>
          <w:szCs w:val="20"/>
          <w:highlight w:val="none"/>
        </w:rPr>
      </w:pPr>
    </w:p>
    <w:p w14:paraId="688979DD">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D15132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C8DF49A">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14:paraId="5CED7B9B">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1DABC3F9">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6189F90D">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05246083">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5F972D92">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45BC2BC8">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5EE86727">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14CA38A9">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2CEC57AE">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01EC6F1A">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666EF775">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A183A7E">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E88CF57">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186EEBD">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308169A1">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FBE1C54">
      <w:pPr>
        <w:spacing w:line="380" w:lineRule="exact"/>
        <w:ind w:firstLine="420"/>
        <w:rPr>
          <w:rFonts w:hint="eastAsia" w:ascii="宋体" w:hAnsi="宋体" w:cs="宋体"/>
          <w:color w:val="auto"/>
          <w:kern w:val="0"/>
          <w:sz w:val="24"/>
          <w:highlight w:val="none"/>
        </w:rPr>
      </w:pPr>
      <w:r>
        <w:rPr>
          <w:rFonts w:hint="eastAsia" w:ascii="宋体" w:hAnsi="宋体"/>
          <w:color w:val="auto"/>
          <w:sz w:val="24"/>
          <w:highlight w:val="none"/>
        </w:rPr>
        <w:t>6.</w:t>
      </w:r>
      <w:r>
        <w:rPr>
          <w:rFonts w:hint="eastAsia" w:ascii="宋体" w:hAnsi="宋体" w:cs="宋体"/>
          <w:color w:val="auto"/>
          <w:kern w:val="0"/>
          <w:sz w:val="24"/>
          <w:highlight w:val="none"/>
        </w:rPr>
        <w:t>如我方成交，我方保证在</w:t>
      </w:r>
      <w:r>
        <w:rPr>
          <w:rFonts w:hint="eastAsia" w:ascii="宋体" w:hAnsi="宋体" w:eastAsia="宋体" w:cs="宋体"/>
          <w:color w:val="auto"/>
          <w:kern w:val="0"/>
          <w:sz w:val="24"/>
          <w:highlight w:val="none"/>
        </w:rPr>
        <w:t>成交结果公告发出之日起五个工作日内</w:t>
      </w:r>
      <w:r>
        <w:rPr>
          <w:rFonts w:hint="eastAsia" w:ascii="宋体" w:hAnsi="宋体" w:cs="宋体"/>
          <w:color w:val="auto"/>
          <w:kern w:val="0"/>
          <w:sz w:val="24"/>
          <w:highlight w:val="none"/>
        </w:rPr>
        <w:t>，按本项目竞争性磋商文件的规定及标准向贵单位一次性足额支付代理服务费。代理服务费发票我方选择开具：□</w:t>
      </w:r>
      <w:r>
        <w:rPr>
          <w:rFonts w:hint="eastAsia" w:ascii="宋体" w:hAnsi="宋体" w:cs="宋体"/>
          <w:color w:val="auto"/>
          <w:kern w:val="0"/>
          <w:sz w:val="24"/>
          <w:highlight w:val="none"/>
          <w:u w:val="single"/>
        </w:rPr>
        <w:t>增值税普通发票</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增值税专用发票</w:t>
      </w:r>
      <w:r>
        <w:rPr>
          <w:rFonts w:hint="eastAsia" w:ascii="宋体" w:hAnsi="宋体" w:cs="宋体"/>
          <w:color w:val="auto"/>
          <w:kern w:val="0"/>
          <w:sz w:val="24"/>
          <w:highlight w:val="none"/>
        </w:rPr>
        <w:t>，开票信息如下：</w:t>
      </w:r>
    </w:p>
    <w:p w14:paraId="6B51BBDC">
      <w:pPr>
        <w:spacing w:line="380" w:lineRule="exact"/>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①公司名称：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39A0DA63">
      <w:pPr>
        <w:spacing w:line="380" w:lineRule="exact"/>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②纳税人识别号：</w:t>
      </w:r>
      <w:r>
        <w:rPr>
          <w:rFonts w:hint="eastAsia" w:ascii="宋体" w:hAnsi="宋体" w:cs="宋体"/>
          <w:color w:val="auto"/>
          <w:kern w:val="0"/>
          <w:sz w:val="24"/>
          <w:highlight w:val="none"/>
          <w:u w:val="single"/>
        </w:rPr>
        <w:t xml:space="preserve">               </w:t>
      </w:r>
    </w:p>
    <w:p w14:paraId="6AE6DE5B">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7.根据《中华人民共和国政府采购法实施条例》第五十条要求对政府采购合同进行公告，但政府采购合同中涉及国家秘密、商业秘密的内容除外。我方就对本次响应文件进行注明如下：（两项内容中必须选择一项）</w:t>
      </w:r>
    </w:p>
    <w:p w14:paraId="35ED3375">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67DBE6A5">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A2C2B4B">
      <w:pPr>
        <w:pStyle w:val="26"/>
        <w:spacing w:line="380" w:lineRule="exact"/>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8.与本磋商有关的一切正式往来信函请寄：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0B85D6E8">
      <w:pPr>
        <w:pStyle w:val="26"/>
        <w:spacing w:line="380" w:lineRule="exact"/>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28924319">
      <w:pPr>
        <w:pStyle w:val="21"/>
        <w:tabs>
          <w:tab w:val="left" w:pos="939"/>
        </w:tabs>
        <w:spacing w:line="380" w:lineRule="exact"/>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0E24CE22">
      <w:pPr>
        <w:pStyle w:val="21"/>
        <w:tabs>
          <w:tab w:val="left" w:pos="939"/>
        </w:tabs>
        <w:spacing w:line="3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9.以上事项如有虚假或者隐瞒，我方愿意承担一切后果，并不再寻求任何旨在减轻或者免除法律责任的辩解。</w:t>
      </w:r>
    </w:p>
    <w:p w14:paraId="35049CBC">
      <w:pPr>
        <w:pStyle w:val="21"/>
        <w:tabs>
          <w:tab w:val="left" w:pos="939"/>
        </w:tabs>
        <w:spacing w:line="380" w:lineRule="exact"/>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0CFD9C7C">
      <w:pPr>
        <w:spacing w:line="360" w:lineRule="auto"/>
        <w:ind w:firstLine="482" w:firstLineChars="200"/>
        <w:contextualSpacing/>
        <w:jc w:val="left"/>
        <w:rPr>
          <w:rFonts w:hint="eastAsia" w:ascii="宋体" w:hAnsi="宋体"/>
          <w:b/>
          <w:color w:val="auto"/>
          <w:sz w:val="24"/>
          <w:highlight w:val="none"/>
        </w:rPr>
      </w:pPr>
    </w:p>
    <w:p w14:paraId="7868FFC2">
      <w:pPr>
        <w:spacing w:line="360" w:lineRule="auto"/>
        <w:contextualSpacing/>
        <w:jc w:val="left"/>
        <w:rPr>
          <w:rFonts w:hint="eastAsia" w:ascii="宋体" w:hAnsi="宋体" w:cs="宋体"/>
          <w:color w:val="auto"/>
          <w:szCs w:val="21"/>
          <w:highlight w:val="none"/>
        </w:rPr>
      </w:pPr>
    </w:p>
    <w:p w14:paraId="6F28B6F3">
      <w:pPr>
        <w:spacing w:line="360" w:lineRule="auto"/>
        <w:ind w:firstLine="1800" w:firstLineChars="750"/>
        <w:contextualSpacing/>
        <w:rPr>
          <w:color w:val="auto"/>
          <w:sz w:val="24"/>
          <w:highlight w:val="none"/>
        </w:rPr>
      </w:pPr>
      <w:r>
        <w:rPr>
          <w:rFonts w:hint="eastAsia"/>
          <w:color w:val="auto"/>
          <w:sz w:val="24"/>
          <w:highlight w:val="none"/>
        </w:rPr>
        <w:t>法定代表人（</w:t>
      </w:r>
      <w:r>
        <w:rPr>
          <w:rFonts w:hint="eastAsia" w:ascii="宋体" w:hAnsi="宋体"/>
          <w:color w:val="auto"/>
          <w:sz w:val="24"/>
          <w:highlight w:val="none"/>
        </w:rPr>
        <w:t>签字或者盖章或者电子签名</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p>
    <w:p w14:paraId="07FF83B0">
      <w:pPr>
        <w:spacing w:line="360" w:lineRule="auto"/>
        <w:ind w:firstLine="4320" w:firstLineChars="1800"/>
        <w:contextualSpacing/>
        <w:rPr>
          <w:rFonts w:hint="eastAsia" w:ascii="宋体" w:hAnsi="宋体" w:cs="宋体"/>
          <w:color w:val="auto"/>
          <w:sz w:val="24"/>
          <w:highlight w:val="none"/>
          <w:u w:val="single"/>
        </w:rPr>
      </w:pPr>
      <w:r>
        <w:rPr>
          <w:rFonts w:hint="eastAsia"/>
          <w:color w:val="auto"/>
          <w:sz w:val="24"/>
          <w:highlight w:val="none"/>
        </w:rPr>
        <w:t>供应商（电子签章）：</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14:paraId="706BB0B4">
      <w:pPr>
        <w:pStyle w:val="21"/>
        <w:tabs>
          <w:tab w:val="left" w:pos="939"/>
        </w:tabs>
        <w:spacing w:line="360" w:lineRule="auto"/>
        <w:ind w:left="0" w:leftChars="0" w:firstLine="480" w:firstLineChars="200"/>
        <w:rPr>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年    月    日</w:t>
      </w:r>
    </w:p>
    <w:p w14:paraId="6E66EB50">
      <w:pPr>
        <w:pStyle w:val="7"/>
        <w:overflowPunct w:val="0"/>
        <w:spacing w:line="520" w:lineRule="exact"/>
        <w:ind w:firstLine="0"/>
        <w:jc w:val="center"/>
        <w:rPr>
          <w:color w:val="auto"/>
          <w:sz w:val="24"/>
          <w:highlight w:val="none"/>
        </w:rPr>
      </w:pPr>
      <w:r>
        <w:rPr>
          <w:rFonts w:hint="eastAsia"/>
          <w:color w:val="auto"/>
          <w:sz w:val="24"/>
          <w:highlight w:val="none"/>
        </w:rPr>
        <w:br w:type="page"/>
      </w:r>
    </w:p>
    <w:p w14:paraId="7D5E5B10">
      <w:pPr>
        <w:spacing w:line="360" w:lineRule="auto"/>
        <w:ind w:firstLine="562" w:firstLineChars="200"/>
        <w:jc w:val="center"/>
        <w:rPr>
          <w:rFonts w:cs="宋体"/>
          <w:b/>
          <w:bCs/>
          <w:color w:val="auto"/>
          <w:sz w:val="28"/>
          <w:szCs w:val="28"/>
          <w:highlight w:val="none"/>
        </w:rPr>
      </w:pPr>
    </w:p>
    <w:p w14:paraId="27D87085">
      <w:pPr>
        <w:spacing w:line="360" w:lineRule="auto"/>
        <w:jc w:val="center"/>
        <w:rPr>
          <w:rFonts w:cs="宋体"/>
          <w:b/>
          <w:bCs/>
          <w:color w:val="auto"/>
          <w:sz w:val="32"/>
          <w:szCs w:val="32"/>
          <w:highlight w:val="none"/>
        </w:rPr>
      </w:pPr>
      <w:r>
        <w:rPr>
          <w:rFonts w:hint="eastAsia" w:cs="宋体"/>
          <w:b/>
          <w:bCs/>
          <w:color w:val="auto"/>
          <w:sz w:val="32"/>
          <w:szCs w:val="32"/>
          <w:highlight w:val="none"/>
        </w:rPr>
        <w:t>供应商在人员、设备、资金等方面具有相应的履约能力</w:t>
      </w:r>
    </w:p>
    <w:p w14:paraId="356173F6">
      <w:pPr>
        <w:spacing w:line="360" w:lineRule="auto"/>
        <w:ind w:firstLine="643" w:firstLineChars="200"/>
        <w:jc w:val="center"/>
        <w:rPr>
          <w:rFonts w:cs="宋体"/>
          <w:b/>
          <w:bCs/>
          <w:color w:val="auto"/>
          <w:sz w:val="32"/>
          <w:szCs w:val="32"/>
          <w:highlight w:val="none"/>
        </w:rPr>
      </w:pPr>
      <w:r>
        <w:rPr>
          <w:rFonts w:hint="eastAsia" w:cs="宋体"/>
          <w:b/>
          <w:bCs/>
          <w:color w:val="auto"/>
          <w:sz w:val="32"/>
          <w:szCs w:val="32"/>
          <w:highlight w:val="none"/>
        </w:rPr>
        <w:t>承诺函</w:t>
      </w:r>
    </w:p>
    <w:p w14:paraId="76AA6F71">
      <w:pPr>
        <w:spacing w:line="520" w:lineRule="exact"/>
        <w:ind w:left="-10" w:firstLine="520" w:firstLineChars="217"/>
        <w:jc w:val="left"/>
        <w:rPr>
          <w:rFonts w:cs="宋体"/>
          <w:bCs/>
          <w:color w:val="auto"/>
          <w:sz w:val="24"/>
          <w:highlight w:val="none"/>
        </w:rPr>
      </w:pPr>
      <w:r>
        <w:rPr>
          <w:rFonts w:hint="eastAsia" w:cs="宋体"/>
          <w:bCs/>
          <w:color w:val="auto"/>
          <w:sz w:val="24"/>
          <w:highlight w:val="none"/>
        </w:rPr>
        <w:t>我公司郑重承诺：在参加本次</w:t>
      </w:r>
      <w:r>
        <w:rPr>
          <w:rFonts w:hint="eastAsia" w:cs="宋体"/>
          <w:bCs/>
          <w:color w:val="auto"/>
          <w:sz w:val="24"/>
          <w:highlight w:val="none"/>
          <w:u w:val="single"/>
        </w:rPr>
        <w:t>（项目名称）</w:t>
      </w:r>
      <w:r>
        <w:rPr>
          <w:rFonts w:hint="eastAsia" w:cs="宋体"/>
          <w:bCs/>
          <w:color w:val="auto"/>
          <w:sz w:val="24"/>
          <w:highlight w:val="none"/>
          <w:u w:val="single"/>
          <w:lang w:val="en-US" w:eastAsia="zh-CN"/>
        </w:rPr>
        <w:t xml:space="preserve">      </w:t>
      </w:r>
      <w:r>
        <w:rPr>
          <w:rFonts w:hint="eastAsia" w:cs="宋体"/>
          <w:bCs/>
          <w:color w:val="auto"/>
          <w:sz w:val="24"/>
          <w:highlight w:val="none"/>
        </w:rPr>
        <w:t>（项目编号</w:t>
      </w:r>
      <w:r>
        <w:rPr>
          <w:rFonts w:hint="eastAsia" w:cs="宋体"/>
          <w:bCs/>
          <w:color w:val="auto"/>
          <w:sz w:val="24"/>
          <w:highlight w:val="none"/>
          <w:u w:val="single"/>
        </w:rPr>
        <w:t xml:space="preserve">            </w:t>
      </w:r>
      <w:r>
        <w:rPr>
          <w:rFonts w:hint="eastAsia" w:cs="宋体"/>
          <w:bCs/>
          <w:color w:val="auto"/>
          <w:sz w:val="24"/>
          <w:highlight w:val="none"/>
        </w:rPr>
        <w:t>）竞争性磋商项目中，在人员、设备、资金等方面具有相应的履约能力。</w:t>
      </w:r>
    </w:p>
    <w:p w14:paraId="03824268">
      <w:pPr>
        <w:spacing w:line="520" w:lineRule="exact"/>
        <w:ind w:left="-10" w:firstLine="520" w:firstLineChars="217"/>
        <w:jc w:val="left"/>
        <w:rPr>
          <w:color w:val="auto"/>
          <w:sz w:val="24"/>
          <w:highlight w:val="none"/>
        </w:rPr>
      </w:pPr>
      <w:r>
        <w:rPr>
          <w:rFonts w:hint="eastAsia" w:ascii="宋体" w:hAnsi="宋体" w:cs="仿宋_GB2312"/>
          <w:color w:val="auto"/>
          <w:sz w:val="24"/>
          <w:highlight w:val="none"/>
        </w:rPr>
        <w:t>本单位对上述承诺的真实性负责。如有虚假，将依法承担相应责任。</w:t>
      </w:r>
    </w:p>
    <w:p w14:paraId="373A491A">
      <w:pPr>
        <w:spacing w:line="520" w:lineRule="exact"/>
        <w:ind w:left="-10" w:firstLine="455" w:firstLineChars="217"/>
        <w:jc w:val="left"/>
        <w:rPr>
          <w:color w:val="auto"/>
          <w:szCs w:val="21"/>
          <w:highlight w:val="none"/>
        </w:rPr>
      </w:pPr>
    </w:p>
    <w:p w14:paraId="5213428F">
      <w:pPr>
        <w:spacing w:line="520" w:lineRule="exact"/>
        <w:jc w:val="left"/>
        <w:rPr>
          <w:color w:val="auto"/>
          <w:highlight w:val="none"/>
        </w:rPr>
      </w:pPr>
    </w:p>
    <w:p w14:paraId="47ED592A">
      <w:pPr>
        <w:spacing w:line="360" w:lineRule="auto"/>
        <w:ind w:firstLine="4410" w:firstLineChars="2100"/>
        <w:jc w:val="left"/>
        <w:rPr>
          <w:rFonts w:cs="宋体"/>
          <w:color w:val="auto"/>
          <w:highlight w:val="none"/>
        </w:rPr>
      </w:pPr>
    </w:p>
    <w:p w14:paraId="77828BB4">
      <w:pPr>
        <w:keepNext w:val="0"/>
        <w:keepLines w:val="0"/>
        <w:pageBreakBefore w:val="0"/>
        <w:widowControl w:val="0"/>
        <w:kinsoku/>
        <w:wordWrap w:val="0"/>
        <w:overflowPunct/>
        <w:topLinePunct w:val="0"/>
        <w:autoSpaceDE/>
        <w:autoSpaceDN/>
        <w:bidi w:val="0"/>
        <w:adjustRightInd/>
        <w:snapToGrid/>
        <w:spacing w:line="480" w:lineRule="auto"/>
        <w:ind w:left="2699"/>
        <w:textAlignment w:val="auto"/>
        <w:rPr>
          <w:color w:val="auto"/>
          <w:sz w:val="24"/>
          <w:szCs w:val="24"/>
          <w:highlight w:val="none"/>
        </w:rPr>
      </w:pPr>
      <w:r>
        <w:rPr>
          <w:rFonts w:hint="eastAsia" w:cs="宋体"/>
          <w:color w:val="auto"/>
          <w:sz w:val="24"/>
          <w:szCs w:val="24"/>
          <w:highlight w:val="none"/>
        </w:rPr>
        <w:t>供应商：</w:t>
      </w:r>
      <w:r>
        <w:rPr>
          <w:color w:val="auto"/>
          <w:sz w:val="24"/>
          <w:szCs w:val="24"/>
          <w:highlight w:val="none"/>
          <w:u w:val="single"/>
        </w:rPr>
        <w:t xml:space="preserve">                    </w:t>
      </w:r>
      <w:r>
        <w:rPr>
          <w:rFonts w:hint="eastAsia" w:cs="宋体"/>
          <w:color w:val="auto"/>
          <w:sz w:val="24"/>
          <w:szCs w:val="24"/>
          <w:highlight w:val="none"/>
          <w:u w:val="single"/>
        </w:rPr>
        <w:t>（盖供应商电子签章）</w:t>
      </w:r>
    </w:p>
    <w:p w14:paraId="6636645C">
      <w:pPr>
        <w:keepNext w:val="0"/>
        <w:keepLines w:val="0"/>
        <w:pageBreakBefore w:val="0"/>
        <w:widowControl w:val="0"/>
        <w:kinsoku/>
        <w:wordWrap w:val="0"/>
        <w:overflowPunct/>
        <w:topLinePunct w:val="0"/>
        <w:autoSpaceDE/>
        <w:autoSpaceDN/>
        <w:bidi w:val="0"/>
        <w:adjustRightInd/>
        <w:snapToGrid/>
        <w:spacing w:line="480" w:lineRule="auto"/>
        <w:ind w:left="2699"/>
        <w:textAlignment w:val="auto"/>
        <w:rPr>
          <w:color w:val="auto"/>
          <w:sz w:val="24"/>
          <w:szCs w:val="24"/>
          <w:highlight w:val="none"/>
        </w:rPr>
      </w:pPr>
      <w:r>
        <w:rPr>
          <w:rFonts w:hint="eastAsia" w:cs="宋体"/>
          <w:color w:val="auto"/>
          <w:sz w:val="24"/>
          <w:szCs w:val="24"/>
          <w:highlight w:val="none"/>
        </w:rPr>
        <w:t>法定代表人（或委托代理人）：</w:t>
      </w:r>
      <w:r>
        <w:rPr>
          <w:color w:val="auto"/>
          <w:sz w:val="24"/>
          <w:szCs w:val="24"/>
          <w:highlight w:val="none"/>
          <w:u w:val="single"/>
        </w:rPr>
        <w:t xml:space="preserve"> </w:t>
      </w:r>
      <w:r>
        <w:rPr>
          <w:rFonts w:hint="eastAsia"/>
          <w:color w:val="auto"/>
          <w:sz w:val="24"/>
          <w:szCs w:val="24"/>
          <w:highlight w:val="none"/>
          <w:u w:val="single"/>
        </w:rPr>
        <w:t>（签字或者电子签名）</w:t>
      </w:r>
    </w:p>
    <w:p w14:paraId="4FB513E2">
      <w:pPr>
        <w:keepNext w:val="0"/>
        <w:keepLines w:val="0"/>
        <w:pageBreakBefore w:val="0"/>
        <w:widowControl w:val="0"/>
        <w:kinsoku/>
        <w:wordWrap w:val="0"/>
        <w:overflowPunct/>
        <w:topLinePunct w:val="0"/>
        <w:autoSpaceDE/>
        <w:autoSpaceDN/>
        <w:bidi w:val="0"/>
        <w:adjustRightInd/>
        <w:snapToGrid/>
        <w:spacing w:line="360" w:lineRule="auto"/>
        <w:ind w:firstLine="5040" w:firstLineChars="2100"/>
        <w:textAlignment w:val="auto"/>
        <w:rPr>
          <w:rFonts w:cs="宋体"/>
          <w:color w:val="auto"/>
          <w:sz w:val="24"/>
          <w:szCs w:val="24"/>
          <w:highlight w:val="none"/>
        </w:rPr>
      </w:pPr>
      <w:r>
        <w:rPr>
          <w:rFonts w:hint="eastAsia" w:cs="宋体"/>
          <w:color w:val="auto"/>
          <w:sz w:val="24"/>
          <w:szCs w:val="24"/>
          <w:highlight w:val="none"/>
        </w:rPr>
        <w:t>日期：</w:t>
      </w:r>
      <w:r>
        <w:rPr>
          <w:color w:val="auto"/>
          <w:sz w:val="24"/>
          <w:szCs w:val="24"/>
          <w:highlight w:val="none"/>
          <w:u w:val="single"/>
        </w:rPr>
        <w:t xml:space="preserve">       </w:t>
      </w:r>
      <w:r>
        <w:rPr>
          <w:rFonts w:hint="eastAsia" w:cs="宋体"/>
          <w:color w:val="auto"/>
          <w:sz w:val="24"/>
          <w:szCs w:val="24"/>
          <w:highlight w:val="none"/>
        </w:rPr>
        <w:t>年</w:t>
      </w:r>
      <w:r>
        <w:rPr>
          <w:color w:val="auto"/>
          <w:sz w:val="24"/>
          <w:szCs w:val="24"/>
          <w:highlight w:val="none"/>
          <w:u w:val="single"/>
        </w:rPr>
        <w:t xml:space="preserve">     </w:t>
      </w:r>
      <w:r>
        <w:rPr>
          <w:rFonts w:hint="eastAsia" w:cs="宋体"/>
          <w:color w:val="auto"/>
          <w:sz w:val="24"/>
          <w:szCs w:val="24"/>
          <w:highlight w:val="none"/>
        </w:rPr>
        <w:t>月</w:t>
      </w:r>
      <w:r>
        <w:rPr>
          <w:color w:val="auto"/>
          <w:sz w:val="24"/>
          <w:szCs w:val="24"/>
          <w:highlight w:val="none"/>
          <w:u w:val="single"/>
        </w:rPr>
        <w:t xml:space="preserve">     </w:t>
      </w:r>
      <w:r>
        <w:rPr>
          <w:rFonts w:hint="eastAsia" w:cs="宋体"/>
          <w:color w:val="auto"/>
          <w:sz w:val="24"/>
          <w:szCs w:val="24"/>
          <w:highlight w:val="none"/>
        </w:rPr>
        <w:t>日</w:t>
      </w:r>
    </w:p>
    <w:p w14:paraId="70C8A59B">
      <w:pPr>
        <w:spacing w:line="360" w:lineRule="auto"/>
        <w:ind w:firstLine="2730" w:firstLineChars="1300"/>
        <w:rPr>
          <w:rFonts w:cs="宋体"/>
          <w:color w:val="auto"/>
          <w:highlight w:val="none"/>
        </w:rPr>
      </w:pPr>
    </w:p>
    <w:p w14:paraId="5C8629B6">
      <w:pPr>
        <w:spacing w:line="360" w:lineRule="auto"/>
        <w:ind w:firstLine="2730" w:firstLineChars="1300"/>
        <w:rPr>
          <w:rFonts w:cs="宋体"/>
          <w:color w:val="auto"/>
          <w:highlight w:val="none"/>
        </w:rPr>
      </w:pPr>
    </w:p>
    <w:p w14:paraId="21FB1571">
      <w:pPr>
        <w:spacing w:line="360" w:lineRule="auto"/>
        <w:ind w:firstLine="2730" w:firstLineChars="1300"/>
        <w:rPr>
          <w:rFonts w:cs="宋体"/>
          <w:color w:val="auto"/>
          <w:highlight w:val="none"/>
        </w:rPr>
      </w:pPr>
    </w:p>
    <w:p w14:paraId="3872603A">
      <w:pPr>
        <w:spacing w:line="360" w:lineRule="auto"/>
        <w:ind w:firstLine="2730" w:firstLineChars="1300"/>
        <w:rPr>
          <w:rFonts w:cs="宋体"/>
          <w:color w:val="auto"/>
          <w:highlight w:val="none"/>
        </w:rPr>
      </w:pPr>
    </w:p>
    <w:p w14:paraId="16E25230">
      <w:pPr>
        <w:spacing w:line="360" w:lineRule="auto"/>
        <w:ind w:firstLine="2730" w:firstLineChars="1300"/>
        <w:rPr>
          <w:rFonts w:cs="宋体"/>
          <w:color w:val="auto"/>
          <w:highlight w:val="none"/>
        </w:rPr>
      </w:pPr>
    </w:p>
    <w:p w14:paraId="0377A8FF">
      <w:pPr>
        <w:spacing w:line="360" w:lineRule="auto"/>
        <w:ind w:firstLine="2730" w:firstLineChars="1300"/>
        <w:rPr>
          <w:rFonts w:cs="宋体"/>
          <w:color w:val="auto"/>
          <w:highlight w:val="none"/>
        </w:rPr>
      </w:pPr>
    </w:p>
    <w:p w14:paraId="209B02E6">
      <w:pPr>
        <w:spacing w:line="360" w:lineRule="auto"/>
        <w:ind w:firstLine="2730" w:firstLineChars="1300"/>
        <w:rPr>
          <w:rFonts w:cs="宋体"/>
          <w:color w:val="auto"/>
          <w:highlight w:val="none"/>
        </w:rPr>
      </w:pPr>
    </w:p>
    <w:p w14:paraId="75CAF73C">
      <w:pPr>
        <w:spacing w:line="360" w:lineRule="auto"/>
        <w:ind w:firstLine="2730" w:firstLineChars="1300"/>
        <w:rPr>
          <w:rFonts w:cs="宋体"/>
          <w:color w:val="auto"/>
          <w:highlight w:val="none"/>
        </w:rPr>
      </w:pPr>
    </w:p>
    <w:p w14:paraId="067BB628">
      <w:pPr>
        <w:spacing w:line="360" w:lineRule="auto"/>
        <w:ind w:firstLine="2730" w:firstLineChars="1300"/>
        <w:rPr>
          <w:rFonts w:cs="宋体"/>
          <w:color w:val="auto"/>
          <w:highlight w:val="none"/>
        </w:rPr>
      </w:pPr>
    </w:p>
    <w:p w14:paraId="5307CBA9">
      <w:pPr>
        <w:spacing w:line="360" w:lineRule="auto"/>
        <w:ind w:firstLine="2730" w:firstLineChars="1300"/>
        <w:rPr>
          <w:rFonts w:cs="宋体"/>
          <w:color w:val="auto"/>
          <w:highlight w:val="none"/>
        </w:rPr>
      </w:pPr>
    </w:p>
    <w:p w14:paraId="6D1CF5E6">
      <w:pPr>
        <w:spacing w:line="360" w:lineRule="auto"/>
        <w:ind w:firstLine="2730" w:firstLineChars="1300"/>
        <w:rPr>
          <w:rFonts w:cs="宋体"/>
          <w:color w:val="auto"/>
          <w:highlight w:val="none"/>
        </w:rPr>
      </w:pPr>
    </w:p>
    <w:p w14:paraId="0B125ACA">
      <w:pPr>
        <w:spacing w:line="360" w:lineRule="auto"/>
        <w:ind w:firstLine="2730" w:firstLineChars="1300"/>
        <w:rPr>
          <w:rFonts w:cs="宋体"/>
          <w:color w:val="auto"/>
          <w:highlight w:val="none"/>
        </w:rPr>
      </w:pPr>
    </w:p>
    <w:p w14:paraId="5A31AFF4">
      <w:pPr>
        <w:spacing w:line="360" w:lineRule="auto"/>
        <w:ind w:firstLine="2730" w:firstLineChars="1300"/>
        <w:rPr>
          <w:rFonts w:cs="宋体"/>
          <w:color w:val="auto"/>
          <w:highlight w:val="none"/>
        </w:rPr>
      </w:pPr>
    </w:p>
    <w:p w14:paraId="3F3802CD">
      <w:pPr>
        <w:spacing w:line="360" w:lineRule="auto"/>
        <w:ind w:firstLine="2730" w:firstLineChars="1300"/>
        <w:rPr>
          <w:rFonts w:cs="宋体"/>
          <w:color w:val="auto"/>
          <w:highlight w:val="none"/>
        </w:rPr>
      </w:pPr>
    </w:p>
    <w:p w14:paraId="62D0402C">
      <w:pPr>
        <w:spacing w:line="360" w:lineRule="auto"/>
        <w:ind w:firstLine="2730" w:firstLineChars="1300"/>
        <w:rPr>
          <w:rFonts w:cs="宋体"/>
          <w:color w:val="auto"/>
          <w:highlight w:val="none"/>
        </w:rPr>
      </w:pPr>
    </w:p>
    <w:p w14:paraId="6A3ABFAF">
      <w:pPr>
        <w:spacing w:line="360" w:lineRule="auto"/>
        <w:ind w:firstLine="2730" w:firstLineChars="1300"/>
        <w:rPr>
          <w:rFonts w:cs="宋体"/>
          <w:color w:val="auto"/>
          <w:highlight w:val="none"/>
        </w:rPr>
      </w:pPr>
    </w:p>
    <w:p w14:paraId="6AD88566">
      <w:pPr>
        <w:spacing w:line="360" w:lineRule="auto"/>
        <w:ind w:firstLine="2730" w:firstLineChars="1300"/>
        <w:rPr>
          <w:rFonts w:cs="宋体"/>
          <w:color w:val="auto"/>
          <w:highlight w:val="none"/>
        </w:rPr>
      </w:pPr>
    </w:p>
    <w:p w14:paraId="0F827851">
      <w:pPr>
        <w:spacing w:line="360" w:lineRule="auto"/>
        <w:ind w:firstLine="2730" w:firstLineChars="1300"/>
        <w:rPr>
          <w:rFonts w:cs="宋体"/>
          <w:color w:val="auto"/>
          <w:highlight w:val="none"/>
        </w:rPr>
      </w:pPr>
    </w:p>
    <w:p w14:paraId="1B4E8263">
      <w:pPr>
        <w:spacing w:line="360" w:lineRule="auto"/>
        <w:ind w:firstLine="2730" w:firstLineChars="1300"/>
        <w:rPr>
          <w:rFonts w:cs="宋体"/>
          <w:color w:val="auto"/>
          <w:highlight w:val="none"/>
        </w:rPr>
      </w:pPr>
    </w:p>
    <w:p w14:paraId="2DECC3F7">
      <w:pPr>
        <w:spacing w:line="360" w:lineRule="auto"/>
        <w:ind w:firstLine="2730" w:firstLineChars="1300"/>
        <w:rPr>
          <w:rFonts w:cs="宋体"/>
          <w:color w:val="auto"/>
          <w:highlight w:val="none"/>
        </w:rPr>
      </w:pPr>
    </w:p>
    <w:p w14:paraId="6F26B6D1">
      <w:pPr>
        <w:spacing w:line="360" w:lineRule="auto"/>
        <w:ind w:firstLine="2730" w:firstLineChars="1300"/>
        <w:rPr>
          <w:rFonts w:cs="宋体"/>
          <w:color w:val="auto"/>
          <w:highlight w:val="none"/>
        </w:rPr>
      </w:pPr>
    </w:p>
    <w:p w14:paraId="3B4052D5">
      <w:pPr>
        <w:spacing w:line="360" w:lineRule="auto"/>
        <w:ind w:firstLine="2730" w:firstLineChars="1300"/>
        <w:rPr>
          <w:rFonts w:cs="宋体"/>
          <w:color w:val="auto"/>
          <w:highlight w:val="none"/>
        </w:rPr>
      </w:pPr>
    </w:p>
    <w:p w14:paraId="2DB6863A">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中小企业声明函（工程）</w:t>
      </w:r>
    </w:p>
    <w:p w14:paraId="4E483889">
      <w:pPr>
        <w:spacing w:before="2" w:line="500" w:lineRule="exact"/>
        <w:ind w:firstLine="708" w:firstLineChars="294"/>
        <w:rPr>
          <w:rFonts w:hint="eastAsia" w:ascii="宋体" w:hAnsi="宋体" w:cs="宋体"/>
          <w:b/>
          <w:bCs/>
          <w:color w:val="auto"/>
          <w:sz w:val="24"/>
          <w:highlight w:val="none"/>
        </w:rPr>
      </w:pPr>
    </w:p>
    <w:p w14:paraId="43ADB4F7">
      <w:pPr>
        <w:pStyle w:val="19"/>
        <w:spacing w:line="500" w:lineRule="exact"/>
        <w:ind w:right="142" w:firstLine="705" w:firstLineChars="294"/>
        <w:rPr>
          <w:rFonts w:hint="eastAsia" w:ascii="宋体" w:hAnsi="宋体"/>
          <w:color w:val="auto"/>
          <w:sz w:val="24"/>
          <w:highlight w:val="none"/>
        </w:rPr>
      </w:pPr>
      <w:r>
        <w:rPr>
          <w:rFonts w:ascii="宋体" w:hAnsi="宋体"/>
          <w:color w:val="auto"/>
          <w:sz w:val="24"/>
          <w:highlight w:val="none"/>
        </w:rPr>
        <w:t>本公司郑重声明，根据《政府采购促进中小企业发展管理办法》（财库﹝2020</w:t>
      </w:r>
      <w:r>
        <w:rPr>
          <w:rFonts w:hint="eastAsia" w:ascii="宋体" w:hAnsi="宋体"/>
          <w:color w:val="auto"/>
          <w:sz w:val="24"/>
          <w:highlight w:val="none"/>
        </w:rPr>
        <w:t>）</w:t>
      </w:r>
      <w:r>
        <w:rPr>
          <w:rFonts w:ascii="宋体" w:hAnsi="宋体"/>
          <w:color w:val="auto"/>
          <w:sz w:val="24"/>
          <w:highlight w:val="none"/>
        </w:rPr>
        <w:t>46号）的规定，本公司参加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工程的施工单位全部为符合政策要求的中小企业。相关企业的具体情况如下：</w:t>
      </w:r>
    </w:p>
    <w:p w14:paraId="7A042F5C">
      <w:pPr>
        <w:tabs>
          <w:tab w:val="left" w:pos="1384"/>
          <w:tab w:val="left" w:pos="4562"/>
          <w:tab w:val="left" w:pos="6803"/>
        </w:tabs>
        <w:spacing w:before="13" w:line="500" w:lineRule="exact"/>
        <w:ind w:right="142" w:firstLine="772" w:firstLineChars="322"/>
        <w:rPr>
          <w:rFonts w:hint="eastAsia" w:ascii="宋体" w:hAnsi="宋体"/>
          <w:color w:val="auto"/>
          <w:sz w:val="24"/>
          <w:highlight w:val="none"/>
        </w:rPr>
      </w:pPr>
      <w:r>
        <w:rPr>
          <w:rFonts w:ascii="宋体" w:hAnsi="宋体"/>
          <w:color w:val="auto"/>
          <w:sz w:val="24"/>
          <w:highlight w:val="none"/>
          <w:u w:val="single"/>
        </w:rPr>
        <w:t>（标的名称）</w:t>
      </w:r>
      <w:r>
        <w:rPr>
          <w:rFonts w:ascii="宋体" w:hAnsi="宋体"/>
          <w:color w:val="auto"/>
          <w:sz w:val="24"/>
          <w:highlight w:val="none"/>
        </w:rPr>
        <w:t>，属于</w:t>
      </w:r>
      <w:r>
        <w:rPr>
          <w:rFonts w:hint="eastAsia" w:ascii="宋体" w:hAnsi="宋体"/>
          <w:color w:val="auto"/>
          <w:sz w:val="24"/>
          <w:highlight w:val="none"/>
          <w:u w:val="single"/>
        </w:rPr>
        <w:t>建筑业</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14:paraId="0D99CF24">
      <w:pPr>
        <w:pStyle w:val="19"/>
        <w:spacing w:before="34" w:line="500" w:lineRule="exact"/>
        <w:ind w:right="142" w:firstLine="705" w:firstLineChars="294"/>
        <w:rPr>
          <w:rFonts w:hint="eastAsia"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60AC4F26">
      <w:pPr>
        <w:pStyle w:val="19"/>
        <w:spacing w:before="25" w:line="500" w:lineRule="exact"/>
        <w:ind w:right="142" w:firstLine="705" w:firstLineChars="294"/>
        <w:rPr>
          <w:rFonts w:hint="eastAsia"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4D65520D">
      <w:pPr>
        <w:pStyle w:val="19"/>
        <w:spacing w:before="56" w:line="500" w:lineRule="exact"/>
        <w:ind w:right="1808" w:firstLine="705" w:firstLineChars="294"/>
        <w:rPr>
          <w:rFonts w:hint="eastAsia" w:ascii="宋体" w:hAnsi="宋体"/>
          <w:color w:val="auto"/>
          <w:sz w:val="24"/>
          <w:highlight w:val="none"/>
        </w:rPr>
      </w:pPr>
    </w:p>
    <w:p w14:paraId="4309901E">
      <w:pPr>
        <w:pStyle w:val="19"/>
        <w:spacing w:before="56" w:line="500" w:lineRule="exact"/>
        <w:ind w:right="650" w:firstLine="5625" w:firstLineChars="2344"/>
        <w:rPr>
          <w:rFonts w:hint="eastAsia" w:ascii="宋体" w:hAnsi="宋体"/>
          <w:color w:val="auto"/>
          <w:sz w:val="24"/>
          <w:highlight w:val="none"/>
        </w:rPr>
      </w:pPr>
      <w:r>
        <w:rPr>
          <w:rFonts w:ascii="宋体" w:hAnsi="宋体"/>
          <w:color w:val="auto"/>
          <w:sz w:val="24"/>
          <w:highlight w:val="none"/>
        </w:rPr>
        <w:t xml:space="preserve">企业名称（章）： </w:t>
      </w:r>
    </w:p>
    <w:p w14:paraId="60EAAF1B">
      <w:pPr>
        <w:pStyle w:val="19"/>
        <w:spacing w:before="56" w:line="500" w:lineRule="exact"/>
        <w:ind w:right="1808" w:firstLine="5625" w:firstLineChars="2344"/>
        <w:rPr>
          <w:rFonts w:hint="eastAsia" w:ascii="宋体" w:hAnsi="宋体"/>
          <w:color w:val="auto"/>
          <w:sz w:val="24"/>
          <w:highlight w:val="none"/>
        </w:rPr>
      </w:pPr>
      <w:r>
        <w:rPr>
          <w:rFonts w:ascii="宋体" w:hAnsi="宋体"/>
          <w:color w:val="auto"/>
          <w:sz w:val="24"/>
          <w:highlight w:val="none"/>
        </w:rPr>
        <w:t>日 期：</w:t>
      </w:r>
    </w:p>
    <w:p w14:paraId="264C8157">
      <w:pPr>
        <w:spacing w:line="520" w:lineRule="exact"/>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00ABAF9">
      <w:pPr>
        <w:spacing w:line="520" w:lineRule="exact"/>
        <w:jc w:val="center"/>
        <w:rPr>
          <w:rFonts w:hint="eastAsia" w:ascii="宋体" w:hAnsi="宋体"/>
          <w:color w:val="auto"/>
          <w:sz w:val="24"/>
          <w:highlight w:val="none"/>
        </w:rPr>
      </w:pPr>
      <w:r>
        <w:rPr>
          <w:rFonts w:ascii="宋体" w:hAnsi="宋体"/>
          <w:color w:val="auto"/>
          <w:sz w:val="24"/>
          <w:highlight w:val="none"/>
        </w:rPr>
        <w:br w:type="page"/>
      </w:r>
    </w:p>
    <w:p w14:paraId="16B3D088">
      <w:pPr>
        <w:spacing w:line="520" w:lineRule="exact"/>
        <w:jc w:val="center"/>
        <w:rPr>
          <w:rFonts w:hint="eastAsia" w:ascii="宋体" w:hAnsi="宋体"/>
          <w:color w:val="auto"/>
          <w:sz w:val="24"/>
          <w:highlight w:val="none"/>
        </w:rPr>
      </w:pPr>
    </w:p>
    <w:p w14:paraId="0B539E5E">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残疾人福利性单位声明函</w:t>
      </w:r>
    </w:p>
    <w:p w14:paraId="21EF2F07">
      <w:pPr>
        <w:spacing w:line="360" w:lineRule="auto"/>
        <w:contextualSpacing/>
        <w:rPr>
          <w:rFonts w:hint="eastAsia" w:ascii="仿宋_GB2312" w:hAnsi="仿宋_GB2312" w:eastAsia="仿宋_GB2312" w:cs="仿宋_GB2312"/>
          <w:color w:val="auto"/>
          <w:sz w:val="32"/>
          <w:szCs w:val="32"/>
          <w:highlight w:val="none"/>
        </w:rPr>
      </w:pPr>
    </w:p>
    <w:p w14:paraId="6FEBDFD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6F6C26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038BA82F">
      <w:pPr>
        <w:spacing w:line="360" w:lineRule="auto"/>
        <w:contextualSpacing/>
        <w:rPr>
          <w:rFonts w:hint="eastAsia" w:ascii="宋体" w:hAnsi="宋体" w:cs="仿宋_GB2312"/>
          <w:color w:val="auto"/>
          <w:sz w:val="24"/>
          <w:highlight w:val="none"/>
        </w:rPr>
      </w:pPr>
    </w:p>
    <w:p w14:paraId="1FBFB53E">
      <w:pPr>
        <w:spacing w:line="360" w:lineRule="auto"/>
        <w:contextualSpacing/>
        <w:rPr>
          <w:rFonts w:hint="eastAsia" w:ascii="宋体" w:hAnsi="宋体" w:cs="仿宋_GB2312"/>
          <w:color w:val="auto"/>
          <w:sz w:val="24"/>
          <w:highlight w:val="none"/>
        </w:rPr>
      </w:pPr>
    </w:p>
    <w:p w14:paraId="1898DEC6">
      <w:pPr>
        <w:spacing w:line="360" w:lineRule="auto"/>
        <w:contextualSpacing/>
        <w:rPr>
          <w:rFonts w:hint="eastAsia" w:ascii="宋体" w:hAnsi="宋体" w:cs="仿宋_GB2312"/>
          <w:color w:val="auto"/>
          <w:sz w:val="24"/>
          <w:highlight w:val="none"/>
        </w:rPr>
      </w:pPr>
    </w:p>
    <w:p w14:paraId="3BA6FDD7">
      <w:pPr>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14:paraId="1064E585">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09C5CC94">
      <w:pPr>
        <w:spacing w:line="360" w:lineRule="auto"/>
        <w:contextualSpacing/>
        <w:rPr>
          <w:rFonts w:hint="eastAsia" w:ascii="宋体" w:hAnsi="宋体" w:cs="仿宋_GB2312"/>
          <w:color w:val="auto"/>
          <w:sz w:val="24"/>
          <w:highlight w:val="none"/>
        </w:rPr>
      </w:pPr>
    </w:p>
    <w:p w14:paraId="0445F228">
      <w:pPr>
        <w:spacing w:line="360" w:lineRule="auto"/>
        <w:contextualSpacing/>
        <w:rPr>
          <w:rFonts w:hint="eastAsia" w:ascii="宋体" w:hAnsi="宋体" w:cs="仿宋_GB2312"/>
          <w:color w:val="auto"/>
          <w:sz w:val="24"/>
          <w:highlight w:val="none"/>
        </w:rPr>
      </w:pPr>
    </w:p>
    <w:p w14:paraId="0A679857">
      <w:pPr>
        <w:spacing w:line="360" w:lineRule="auto"/>
        <w:contextualSpacing/>
        <w:rPr>
          <w:rFonts w:hint="eastAsia" w:ascii="宋体" w:hAnsi="宋体" w:cs="仿宋_GB2312"/>
          <w:color w:val="auto"/>
          <w:sz w:val="24"/>
          <w:highlight w:val="none"/>
        </w:rPr>
      </w:pPr>
    </w:p>
    <w:p w14:paraId="434BF0BC">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535F3FCD">
      <w:pPr>
        <w:pStyle w:val="29"/>
        <w:tabs>
          <w:tab w:val="left" w:pos="7575"/>
        </w:tabs>
        <w:rPr>
          <w:rFonts w:hint="eastAsia" w:ascii="宋体" w:hAnsi="宋体"/>
          <w:b/>
          <w:bCs/>
          <w:color w:val="auto"/>
          <w:sz w:val="32"/>
          <w:szCs w:val="32"/>
          <w:highlight w:val="none"/>
        </w:rPr>
      </w:pPr>
      <w:r>
        <w:rPr>
          <w:rFonts w:hint="eastAsia" w:ascii="宋体" w:hAnsi="宋体"/>
          <w:b/>
          <w:bCs/>
          <w:color w:val="auto"/>
          <w:sz w:val="32"/>
          <w:szCs w:val="32"/>
          <w:highlight w:val="none"/>
        </w:rPr>
        <w:tab/>
      </w:r>
    </w:p>
    <w:p w14:paraId="081F7DB5">
      <w:pPr>
        <w:spacing w:line="360" w:lineRule="auto"/>
        <w:ind w:firstLine="2730" w:firstLineChars="1300"/>
        <w:rPr>
          <w:rFonts w:cs="宋体"/>
          <w:color w:val="auto"/>
          <w:highlight w:val="none"/>
        </w:rPr>
      </w:pPr>
    </w:p>
    <w:p w14:paraId="3B264140">
      <w:pPr>
        <w:spacing w:line="360" w:lineRule="auto"/>
        <w:ind w:firstLine="2730" w:firstLineChars="1300"/>
        <w:rPr>
          <w:rFonts w:cs="宋体"/>
          <w:color w:val="auto"/>
          <w:highlight w:val="none"/>
        </w:rPr>
      </w:pPr>
    </w:p>
    <w:p w14:paraId="45A20C71">
      <w:pPr>
        <w:spacing w:line="360" w:lineRule="auto"/>
        <w:ind w:firstLine="2730" w:firstLineChars="1300"/>
        <w:rPr>
          <w:rFonts w:cs="宋体"/>
          <w:color w:val="auto"/>
          <w:highlight w:val="none"/>
        </w:rPr>
      </w:pPr>
    </w:p>
    <w:p w14:paraId="74C41CDF">
      <w:pPr>
        <w:spacing w:line="360" w:lineRule="auto"/>
        <w:ind w:firstLine="2730" w:firstLineChars="1300"/>
        <w:rPr>
          <w:rFonts w:cs="宋体"/>
          <w:color w:val="auto"/>
          <w:highlight w:val="none"/>
        </w:rPr>
      </w:pPr>
    </w:p>
    <w:p w14:paraId="22947E57">
      <w:pPr>
        <w:spacing w:line="360" w:lineRule="auto"/>
        <w:ind w:firstLine="2730" w:firstLineChars="1300"/>
        <w:rPr>
          <w:rFonts w:cs="宋体"/>
          <w:color w:val="auto"/>
          <w:highlight w:val="none"/>
        </w:rPr>
      </w:pPr>
    </w:p>
    <w:p w14:paraId="35BF95AA">
      <w:pPr>
        <w:widowControl/>
        <w:jc w:val="left"/>
        <w:rPr>
          <w:rFonts w:hint="eastAsia" w:ascii="宋体" w:hAnsi="宋体"/>
          <w:b/>
          <w:bCs/>
          <w:color w:val="auto"/>
          <w:sz w:val="32"/>
          <w:szCs w:val="32"/>
          <w:highlight w:val="none"/>
        </w:rPr>
      </w:pPr>
      <w:r>
        <w:rPr>
          <w:rFonts w:ascii="宋体" w:hAnsi="宋体"/>
          <w:b/>
          <w:bCs/>
          <w:color w:val="auto"/>
          <w:sz w:val="32"/>
          <w:szCs w:val="32"/>
          <w:highlight w:val="none"/>
        </w:rPr>
        <w:br w:type="page"/>
      </w:r>
    </w:p>
    <w:p w14:paraId="11DD6E3B">
      <w:pPr>
        <w:spacing w:line="360" w:lineRule="auto"/>
        <w:ind w:right="420"/>
        <w:contextualSpacing/>
        <w:jc w:val="left"/>
        <w:rPr>
          <w:rFonts w:hint="eastAsia"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76DA8E3E">
      <w:pPr>
        <w:snapToGrid w:val="0"/>
        <w:spacing w:before="120"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14:paraId="398FE54C">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605C695A">
      <w:pPr>
        <w:snapToGrid w:val="0"/>
        <w:spacing w:before="120"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54428C3E">
      <w:pPr>
        <w:snapToGrid w:val="0"/>
        <w:spacing w:before="120" w:beforeLines="50" w:after="50"/>
        <w:rPr>
          <w:rFonts w:hint="eastAsia" w:ascii="宋体" w:hAnsi="宋体"/>
          <w:color w:val="auto"/>
          <w:sz w:val="24"/>
          <w:szCs w:val="20"/>
          <w:highlight w:val="none"/>
        </w:rPr>
      </w:pPr>
    </w:p>
    <w:p w14:paraId="180B0B9B">
      <w:pPr>
        <w:snapToGrid w:val="0"/>
        <w:spacing w:before="120" w:beforeLines="50" w:after="50"/>
        <w:rPr>
          <w:rFonts w:hint="eastAsia" w:ascii="宋体" w:hAnsi="宋体"/>
          <w:color w:val="auto"/>
          <w:sz w:val="24"/>
          <w:szCs w:val="20"/>
          <w:highlight w:val="none"/>
        </w:rPr>
      </w:pPr>
    </w:p>
    <w:p w14:paraId="7AC8EE0E">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09618A7F">
      <w:pPr>
        <w:snapToGrid w:val="0"/>
        <w:spacing w:before="120" w:beforeLines="50" w:after="50"/>
        <w:rPr>
          <w:rFonts w:hint="eastAsia" w:ascii="宋体" w:hAnsi="宋体"/>
          <w:bCs/>
          <w:color w:val="auto"/>
          <w:sz w:val="24"/>
          <w:szCs w:val="20"/>
          <w:highlight w:val="none"/>
        </w:rPr>
      </w:pPr>
    </w:p>
    <w:p w14:paraId="7E0AE3E7">
      <w:pPr>
        <w:snapToGrid w:val="0"/>
        <w:spacing w:before="120" w:beforeLines="50" w:after="50"/>
        <w:rPr>
          <w:rFonts w:hint="eastAsia" w:ascii="宋体" w:hAnsi="宋体"/>
          <w:bCs/>
          <w:color w:val="auto"/>
          <w:sz w:val="24"/>
          <w:szCs w:val="20"/>
          <w:highlight w:val="none"/>
        </w:rPr>
      </w:pPr>
    </w:p>
    <w:p w14:paraId="02D616D9">
      <w:pPr>
        <w:snapToGrid w:val="0"/>
        <w:spacing w:before="120" w:beforeLines="50" w:after="50"/>
        <w:rPr>
          <w:rFonts w:hint="eastAsia" w:ascii="宋体" w:hAnsi="宋体"/>
          <w:bCs/>
          <w:color w:val="auto"/>
          <w:sz w:val="24"/>
          <w:szCs w:val="20"/>
          <w:highlight w:val="none"/>
        </w:rPr>
      </w:pPr>
    </w:p>
    <w:p w14:paraId="6A37351B">
      <w:pPr>
        <w:snapToGrid w:val="0"/>
        <w:spacing w:before="120" w:beforeLines="50" w:after="50"/>
        <w:rPr>
          <w:rFonts w:hint="eastAsia" w:ascii="宋体" w:hAnsi="宋体"/>
          <w:bCs/>
          <w:color w:val="auto"/>
          <w:sz w:val="24"/>
          <w:szCs w:val="20"/>
          <w:highlight w:val="none"/>
        </w:rPr>
      </w:pPr>
    </w:p>
    <w:p w14:paraId="62FD4871">
      <w:pPr>
        <w:snapToGrid w:val="0"/>
        <w:spacing w:before="120" w:beforeLines="50" w:after="50"/>
        <w:rPr>
          <w:rFonts w:hint="eastAsia" w:ascii="宋体" w:hAnsi="宋体"/>
          <w:bCs/>
          <w:color w:val="auto"/>
          <w:sz w:val="24"/>
          <w:szCs w:val="20"/>
          <w:highlight w:val="none"/>
        </w:rPr>
      </w:pPr>
    </w:p>
    <w:p w14:paraId="29D0FCA8">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1797832">
      <w:pPr>
        <w:snapToGrid w:val="0"/>
        <w:spacing w:before="120" w:beforeLines="50" w:after="50"/>
        <w:ind w:firstLine="720" w:firstLineChars="225"/>
        <w:rPr>
          <w:rFonts w:hint="eastAsia" w:ascii="宋体" w:hAnsi="宋体" w:cs="仿宋_GB2312"/>
          <w:bCs/>
          <w:color w:val="auto"/>
          <w:sz w:val="32"/>
          <w:szCs w:val="32"/>
          <w:highlight w:val="none"/>
        </w:rPr>
      </w:pPr>
    </w:p>
    <w:p w14:paraId="3C04F4B9">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252D3FE4">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3F8C9C5">
      <w:pPr>
        <w:snapToGrid w:val="0"/>
        <w:spacing w:before="120" w:beforeLines="50" w:after="50"/>
        <w:ind w:firstLine="720" w:firstLineChars="225"/>
        <w:rPr>
          <w:rFonts w:hint="eastAsia" w:ascii="宋体" w:hAnsi="宋体" w:cs="仿宋_GB2312"/>
          <w:bCs/>
          <w:color w:val="auto"/>
          <w:sz w:val="32"/>
          <w:szCs w:val="32"/>
          <w:highlight w:val="none"/>
        </w:rPr>
      </w:pPr>
    </w:p>
    <w:p w14:paraId="0A617066">
      <w:pPr>
        <w:pStyle w:val="7"/>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721A6C3">
      <w:pPr>
        <w:pStyle w:val="7"/>
        <w:snapToGrid w:val="0"/>
        <w:spacing w:before="50" w:after="50"/>
        <w:ind w:firstLine="640" w:firstLineChars="200"/>
        <w:rPr>
          <w:rFonts w:hint="eastAsia" w:ascii="宋体" w:hAnsi="宋体" w:cs="仿宋_GB2312"/>
          <w:bCs/>
          <w:color w:val="auto"/>
          <w:sz w:val="32"/>
          <w:szCs w:val="32"/>
          <w:highlight w:val="none"/>
        </w:rPr>
      </w:pPr>
    </w:p>
    <w:p w14:paraId="41075909">
      <w:pPr>
        <w:pStyle w:val="7"/>
        <w:snapToGrid w:val="0"/>
        <w:spacing w:before="50" w:after="50"/>
        <w:ind w:firstLine="720" w:firstLineChars="225"/>
        <w:rPr>
          <w:rFonts w:hint="eastAsia" w:ascii="宋体" w:hAnsi="宋体" w:cs="仿宋_GB2312"/>
          <w:bCs/>
          <w:color w:val="auto"/>
          <w:sz w:val="32"/>
          <w:szCs w:val="32"/>
          <w:highlight w:val="none"/>
        </w:rPr>
      </w:pPr>
    </w:p>
    <w:p w14:paraId="51EF9213">
      <w:pPr>
        <w:pStyle w:val="7"/>
        <w:snapToGrid w:val="0"/>
        <w:spacing w:before="50" w:after="50"/>
        <w:ind w:firstLine="0"/>
        <w:rPr>
          <w:rFonts w:hint="eastAsia" w:ascii="宋体" w:hAnsi="宋体" w:cs="仿宋_GB2312"/>
          <w:bCs/>
          <w:color w:val="auto"/>
          <w:sz w:val="32"/>
          <w:szCs w:val="32"/>
          <w:highlight w:val="none"/>
        </w:rPr>
      </w:pPr>
    </w:p>
    <w:p w14:paraId="6EC3BAA4">
      <w:pPr>
        <w:pStyle w:val="7"/>
        <w:snapToGrid w:val="0"/>
        <w:spacing w:before="50" w:after="50"/>
        <w:ind w:firstLine="1280" w:firstLineChars="400"/>
        <w:rPr>
          <w:rFonts w:hint="eastAsia" w:ascii="宋体" w:hAnsi="宋体" w:cs="仿宋_GB2312"/>
          <w:bCs/>
          <w:color w:val="auto"/>
          <w:sz w:val="32"/>
          <w:szCs w:val="32"/>
          <w:highlight w:val="none"/>
        </w:rPr>
      </w:pPr>
    </w:p>
    <w:p w14:paraId="65DC1A50">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47EA6F44">
      <w:pPr>
        <w:snapToGrid w:val="0"/>
        <w:spacing w:before="120" w:beforeLines="50" w:after="50" w:line="360" w:lineRule="auto"/>
        <w:ind w:left="142"/>
        <w:jc w:val="left"/>
        <w:rPr>
          <w:rFonts w:hint="eastAsia"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07BB5561">
      <w:pPr>
        <w:spacing w:line="520" w:lineRule="exact"/>
        <w:jc w:val="center"/>
        <w:rPr>
          <w:rFonts w:hint="eastAsia" w:ascii="宋体" w:hAnsi="宋体" w:cs="方正小标宋简体"/>
          <w:b/>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宋体" w:hAnsi="宋体" w:cs="方正小标宋简体"/>
          <w:b/>
          <w:bCs/>
          <w:color w:val="auto"/>
          <w:sz w:val="32"/>
          <w:szCs w:val="32"/>
          <w:highlight w:val="none"/>
        </w:rPr>
        <w:t>竞标函及竞标函附录</w:t>
      </w:r>
    </w:p>
    <w:p w14:paraId="38C71D44">
      <w:pPr>
        <w:spacing w:line="520" w:lineRule="exact"/>
        <w:jc w:val="center"/>
        <w:rPr>
          <w:rFonts w:hint="eastAsia" w:ascii="宋体" w:hAnsi="宋体" w:cs="方正小标宋简体"/>
          <w:b/>
          <w:bCs/>
          <w:color w:val="auto"/>
          <w:sz w:val="32"/>
          <w:szCs w:val="32"/>
          <w:highlight w:val="none"/>
        </w:rPr>
      </w:pPr>
    </w:p>
    <w:p w14:paraId="49BA87EE">
      <w:pPr>
        <w:spacing w:line="520" w:lineRule="exact"/>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（一）竞标函</w:t>
      </w:r>
    </w:p>
    <w:p w14:paraId="13FD8137">
      <w:pPr>
        <w:spacing w:line="520" w:lineRule="exact"/>
        <w:jc w:val="center"/>
        <w:rPr>
          <w:rFonts w:hint="eastAsia" w:ascii="宋体" w:hAnsi="宋体" w:cs="方正小标宋简体"/>
          <w:b/>
          <w:bCs/>
          <w:color w:val="auto"/>
          <w:sz w:val="32"/>
          <w:szCs w:val="32"/>
          <w:highlight w:val="none"/>
        </w:rPr>
      </w:pPr>
    </w:p>
    <w:p w14:paraId="7F52E6F4">
      <w:pPr>
        <w:spacing w:line="360" w:lineRule="auto"/>
        <w:rPr>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lang w:val="zh-CN" w:bidi="zh-CN"/>
        </w:rPr>
        <w:t>采购人</w:t>
      </w:r>
      <w:r>
        <w:rPr>
          <w:color w:val="auto"/>
          <w:szCs w:val="21"/>
          <w:highlight w:val="none"/>
          <w:lang w:val="zh-CN" w:bidi="zh-CN"/>
        </w:rPr>
        <w:t>名称</w:t>
      </w:r>
      <w:r>
        <w:rPr>
          <w:color w:val="auto"/>
          <w:szCs w:val="21"/>
          <w:highlight w:val="none"/>
        </w:rPr>
        <w:t>）：</w:t>
      </w:r>
    </w:p>
    <w:p w14:paraId="2A7325E3">
      <w:pPr>
        <w:pStyle w:val="217"/>
        <w:numPr>
          <w:ilvl w:val="0"/>
          <w:numId w:val="1"/>
        </w:numPr>
        <w:tabs>
          <w:tab w:val="left" w:pos="762"/>
          <w:tab w:val="left" w:pos="2074"/>
          <w:tab w:val="left" w:pos="3430"/>
          <w:tab w:val="left" w:pos="4687"/>
          <w:tab w:val="left" w:pos="7898"/>
        </w:tabs>
        <w:ind w:firstLine="440"/>
        <w:rPr>
          <w:rFonts w:hint="eastAsia" w:cs="Times New Roman" w:asciiTheme="minorEastAsia" w:hAnsiTheme="minorEastAsia" w:eastAsiaTheme="minorEastAsia"/>
          <w:color w:val="auto"/>
          <w:szCs w:val="21"/>
          <w:highlight w:val="none"/>
        </w:rPr>
      </w:pPr>
      <w:bookmarkStart w:id="98" w:name="bookmark2065"/>
      <w:bookmarkEnd w:id="98"/>
      <w:r>
        <w:rPr>
          <w:rFonts w:cs="Times New Roman" w:asciiTheme="minorEastAsia" w:hAnsiTheme="minorEastAsia" w:eastAsiaTheme="minorEastAsia"/>
          <w:color w:val="auto"/>
          <w:szCs w:val="21"/>
          <w:highlight w:val="none"/>
        </w:rPr>
        <w:t>我方已仔细研究了</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u w:val="single"/>
        </w:rPr>
        <w:t>（项目名称</w:t>
      </w:r>
      <w:r>
        <w:rPr>
          <w:rFonts w:hint="eastAsia" w:cs="Times New Roman" w:asciiTheme="minorEastAsia" w:hAnsiTheme="minorEastAsia" w:eastAsiaTheme="minorEastAsia"/>
          <w:color w:val="auto"/>
          <w:szCs w:val="21"/>
          <w:highlight w:val="none"/>
          <w:u w:val="single"/>
        </w:rPr>
        <w:t>、项目编号</w:t>
      </w:r>
      <w:r>
        <w:rPr>
          <w:rFonts w:cs="Times New Roman" w:asciiTheme="minorEastAsia" w:hAnsiTheme="minorEastAsia" w:eastAsiaTheme="minorEastAsia"/>
          <w:color w:val="auto"/>
          <w:szCs w:val="21"/>
          <w:highlight w:val="none"/>
          <w:u w:val="single"/>
        </w:rPr>
        <w:t>）</w:t>
      </w:r>
      <w:r>
        <w:rPr>
          <w:rFonts w:hint="eastAsia" w:cs="Times New Roman" w:asciiTheme="minorEastAsia" w:hAnsiTheme="minorEastAsia" w:eastAsiaTheme="minorEastAsia"/>
          <w:color w:val="auto"/>
          <w:szCs w:val="21"/>
          <w:highlight w:val="none"/>
          <w:u w:val="single"/>
          <w:lang w:val="en-US"/>
        </w:rPr>
        <w:t xml:space="preserve">          </w:t>
      </w:r>
      <w:r>
        <w:rPr>
          <w:rFonts w:hint="eastAsia" w:cs="Times New Roman" w:asciiTheme="minorEastAsia" w:hAnsiTheme="minorEastAsia" w:eastAsiaTheme="minorEastAsia"/>
          <w:color w:val="auto"/>
          <w:szCs w:val="21"/>
          <w:highlight w:val="none"/>
        </w:rPr>
        <w:t>磋商</w:t>
      </w:r>
      <w:r>
        <w:rPr>
          <w:rFonts w:cs="Times New Roman" w:asciiTheme="minorEastAsia" w:hAnsiTheme="minorEastAsia" w:eastAsiaTheme="minorEastAsia"/>
          <w:color w:val="auto"/>
          <w:szCs w:val="21"/>
          <w:highlight w:val="none"/>
        </w:rPr>
        <w:t>文件的全部内容，愿意以人民币（大写）</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rPr>
        <w:t>元（¥</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rPr>
        <w:t>）的</w:t>
      </w:r>
      <w:r>
        <w:rPr>
          <w:rFonts w:hint="eastAsia" w:cs="Times New Roman" w:asciiTheme="minorEastAsia" w:hAnsiTheme="minorEastAsia" w:eastAsiaTheme="minorEastAsia"/>
          <w:color w:val="auto"/>
          <w:szCs w:val="21"/>
          <w:highlight w:val="none"/>
        </w:rPr>
        <w:t>竞</w:t>
      </w:r>
      <w:r>
        <w:rPr>
          <w:rFonts w:cs="Times New Roman" w:asciiTheme="minorEastAsia" w:hAnsiTheme="minorEastAsia" w:eastAsiaTheme="minorEastAsia"/>
          <w:color w:val="auto"/>
          <w:szCs w:val="21"/>
          <w:highlight w:val="none"/>
        </w:rPr>
        <w:t>标报价，工期</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rPr>
        <w:t>，按合同约定实施和完成承包工程，修补工程中的任何缺陷，工程质量达到</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u w:val="single"/>
        </w:rPr>
        <w:t xml:space="preserve"> </w:t>
      </w:r>
      <w:r>
        <w:rPr>
          <w:rFonts w:cs="Times New Roman" w:asciiTheme="minorEastAsia" w:hAnsiTheme="minorEastAsia" w:eastAsiaTheme="minorEastAsia"/>
          <w:color w:val="auto"/>
          <w:szCs w:val="21"/>
          <w:highlight w:val="none"/>
          <w:lang w:val="en-US" w:bidi="en-US"/>
        </w:rPr>
        <w:t>。</w:t>
      </w:r>
    </w:p>
    <w:p w14:paraId="1E814A10">
      <w:pPr>
        <w:pStyle w:val="217"/>
        <w:numPr>
          <w:ilvl w:val="0"/>
          <w:numId w:val="1"/>
        </w:numPr>
        <w:tabs>
          <w:tab w:val="left" w:pos="762"/>
        </w:tabs>
        <w:ind w:firstLine="420"/>
        <w:rPr>
          <w:rFonts w:hint="eastAsia" w:cs="Times New Roman" w:asciiTheme="minorEastAsia" w:hAnsiTheme="minorEastAsia" w:eastAsiaTheme="minorEastAsia"/>
          <w:color w:val="auto"/>
          <w:szCs w:val="21"/>
          <w:highlight w:val="none"/>
        </w:rPr>
      </w:pPr>
      <w:bookmarkStart w:id="99" w:name="bookmark2066"/>
      <w:bookmarkEnd w:id="99"/>
      <w:bookmarkStart w:id="100" w:name="bookmark2067"/>
      <w:bookmarkEnd w:id="100"/>
      <w:bookmarkStart w:id="101" w:name="bookmark2068"/>
      <w:bookmarkEnd w:id="101"/>
      <w:r>
        <w:rPr>
          <w:rFonts w:hint="eastAsia" w:asciiTheme="minorEastAsia" w:hAnsiTheme="minorEastAsia" w:eastAsiaTheme="minorEastAsia"/>
          <w:color w:val="auto"/>
          <w:highlight w:val="none"/>
        </w:rPr>
        <w:t>我方承认竞标函附录是我方竞标函的组成部分。</w:t>
      </w:r>
    </w:p>
    <w:p w14:paraId="6102FE0F">
      <w:pPr>
        <w:pStyle w:val="217"/>
        <w:numPr>
          <w:ilvl w:val="0"/>
          <w:numId w:val="1"/>
        </w:numPr>
        <w:tabs>
          <w:tab w:val="left" w:pos="762"/>
        </w:tabs>
        <w:ind w:firstLine="420"/>
        <w:rPr>
          <w:rFonts w:hint="eastAsia" w:cs="Times New Roman" w:asciiTheme="minorEastAsia" w:hAnsiTheme="minorEastAsia" w:eastAsiaTheme="minorEastAsia"/>
          <w:color w:val="auto"/>
          <w:szCs w:val="21"/>
          <w:highlight w:val="none"/>
        </w:rPr>
      </w:pPr>
      <w:r>
        <w:rPr>
          <w:rFonts w:cs="Times New Roman" w:asciiTheme="minorEastAsia" w:hAnsiTheme="minorEastAsia" w:eastAsiaTheme="minorEastAsia"/>
          <w:color w:val="auto"/>
          <w:szCs w:val="21"/>
          <w:highlight w:val="none"/>
        </w:rPr>
        <w:t>如我方</w:t>
      </w:r>
      <w:r>
        <w:rPr>
          <w:rFonts w:hint="eastAsia" w:cs="Times New Roman" w:asciiTheme="minorEastAsia" w:hAnsiTheme="minorEastAsia" w:eastAsiaTheme="minorEastAsia"/>
          <w:color w:val="auto"/>
          <w:szCs w:val="21"/>
          <w:highlight w:val="none"/>
        </w:rPr>
        <w:t>成交</w:t>
      </w:r>
      <w:r>
        <w:rPr>
          <w:rFonts w:cs="Times New Roman" w:asciiTheme="minorEastAsia" w:hAnsiTheme="minorEastAsia" w:eastAsiaTheme="minorEastAsia"/>
          <w:color w:val="auto"/>
          <w:szCs w:val="21"/>
          <w:highlight w:val="none"/>
        </w:rPr>
        <w:t>：</w:t>
      </w:r>
    </w:p>
    <w:p w14:paraId="4AD972C5">
      <w:pPr>
        <w:pStyle w:val="217"/>
        <w:tabs>
          <w:tab w:val="left" w:pos="903"/>
        </w:tabs>
        <w:ind w:firstLine="420"/>
        <w:rPr>
          <w:rFonts w:hint="eastAsia" w:cs="Times New Roman" w:asciiTheme="minorEastAsia" w:hAnsiTheme="minorEastAsia" w:eastAsiaTheme="minorEastAsia"/>
          <w:color w:val="auto"/>
          <w:szCs w:val="21"/>
          <w:highlight w:val="none"/>
        </w:rPr>
      </w:pPr>
      <w:bookmarkStart w:id="102" w:name="bookmark2069"/>
      <w:r>
        <w:rPr>
          <w:rFonts w:cs="Times New Roman" w:asciiTheme="minorEastAsia" w:hAnsiTheme="minorEastAsia" w:eastAsiaTheme="minorEastAsia"/>
          <w:color w:val="auto"/>
          <w:szCs w:val="21"/>
          <w:highlight w:val="none"/>
        </w:rPr>
        <w:t>（</w:t>
      </w:r>
      <w:bookmarkEnd w:id="102"/>
      <w:r>
        <w:rPr>
          <w:rFonts w:cs="Times New Roman" w:asciiTheme="minorEastAsia" w:hAnsiTheme="minorEastAsia" w:eastAsiaTheme="minorEastAsia"/>
          <w:color w:val="auto"/>
          <w:szCs w:val="21"/>
          <w:highlight w:val="none"/>
        </w:rPr>
        <w:t>1）我方承诺在收到</w:t>
      </w:r>
      <w:r>
        <w:rPr>
          <w:rFonts w:hint="eastAsia" w:cs="Times New Roman" w:asciiTheme="minorEastAsia" w:hAnsiTheme="minorEastAsia" w:eastAsiaTheme="minorEastAsia"/>
          <w:color w:val="auto"/>
          <w:szCs w:val="21"/>
          <w:highlight w:val="none"/>
        </w:rPr>
        <w:t>成交</w:t>
      </w:r>
      <w:r>
        <w:rPr>
          <w:rFonts w:cs="Times New Roman" w:asciiTheme="minorEastAsia" w:hAnsiTheme="minorEastAsia" w:eastAsiaTheme="minorEastAsia"/>
          <w:color w:val="auto"/>
          <w:szCs w:val="21"/>
          <w:highlight w:val="none"/>
        </w:rPr>
        <w:t>通知书后，在</w:t>
      </w:r>
      <w:r>
        <w:rPr>
          <w:rFonts w:hint="eastAsia" w:cs="Times New Roman" w:asciiTheme="minorEastAsia" w:hAnsiTheme="minorEastAsia" w:eastAsiaTheme="minorEastAsia"/>
          <w:color w:val="auto"/>
          <w:szCs w:val="21"/>
          <w:highlight w:val="none"/>
        </w:rPr>
        <w:t>成交</w:t>
      </w:r>
      <w:r>
        <w:rPr>
          <w:rFonts w:cs="Times New Roman" w:asciiTheme="minorEastAsia" w:hAnsiTheme="minorEastAsia" w:eastAsiaTheme="minorEastAsia"/>
          <w:color w:val="auto"/>
          <w:szCs w:val="21"/>
          <w:highlight w:val="none"/>
        </w:rPr>
        <w:t>通知书规定的期限内与你方签订合同。</w:t>
      </w:r>
    </w:p>
    <w:p w14:paraId="1314C9EF">
      <w:pPr>
        <w:pStyle w:val="217"/>
        <w:tabs>
          <w:tab w:val="left" w:pos="903"/>
        </w:tabs>
        <w:ind w:firstLine="420"/>
        <w:rPr>
          <w:rFonts w:hint="eastAsia" w:cs="Times New Roman" w:asciiTheme="minorEastAsia" w:hAnsiTheme="minorEastAsia" w:eastAsiaTheme="minorEastAsia"/>
          <w:color w:val="auto"/>
          <w:szCs w:val="21"/>
          <w:highlight w:val="none"/>
        </w:rPr>
      </w:pPr>
      <w:bookmarkStart w:id="103" w:name="bookmark2070"/>
      <w:r>
        <w:rPr>
          <w:rFonts w:cs="Times New Roman" w:asciiTheme="minorEastAsia" w:hAnsiTheme="minorEastAsia" w:eastAsiaTheme="minorEastAsia"/>
          <w:color w:val="auto"/>
          <w:szCs w:val="21"/>
          <w:highlight w:val="none"/>
        </w:rPr>
        <w:t>（</w:t>
      </w:r>
      <w:bookmarkEnd w:id="103"/>
      <w:r>
        <w:rPr>
          <w:rFonts w:cs="Times New Roman" w:asciiTheme="minorEastAsia" w:hAnsiTheme="minorEastAsia" w:eastAsiaTheme="minorEastAsia"/>
          <w:color w:val="auto"/>
          <w:szCs w:val="21"/>
          <w:highlight w:val="none"/>
        </w:rPr>
        <w:t>2）</w:t>
      </w:r>
      <w:r>
        <w:rPr>
          <w:rFonts w:asciiTheme="minorEastAsia" w:hAnsiTheme="minorEastAsia" w:eastAsiaTheme="minorEastAsia"/>
          <w:color w:val="auto"/>
          <w:highlight w:val="none"/>
        </w:rPr>
        <w:t>在签订合同时不向你方提出附加条件</w:t>
      </w:r>
      <w:r>
        <w:rPr>
          <w:rFonts w:cs="Times New Roman" w:asciiTheme="minorEastAsia" w:hAnsiTheme="minorEastAsia" w:eastAsiaTheme="minorEastAsia"/>
          <w:color w:val="auto"/>
          <w:szCs w:val="21"/>
          <w:highlight w:val="none"/>
        </w:rPr>
        <w:t>。</w:t>
      </w:r>
    </w:p>
    <w:p w14:paraId="1F938B8D">
      <w:pPr>
        <w:pStyle w:val="217"/>
        <w:tabs>
          <w:tab w:val="left" w:pos="903"/>
        </w:tabs>
        <w:ind w:firstLine="420"/>
        <w:rPr>
          <w:rFonts w:hint="eastAsia" w:cs="Times New Roman" w:asciiTheme="minorEastAsia" w:hAnsiTheme="minorEastAsia" w:eastAsiaTheme="minorEastAsia"/>
          <w:color w:val="auto"/>
          <w:szCs w:val="21"/>
          <w:highlight w:val="none"/>
        </w:rPr>
      </w:pPr>
      <w:bookmarkStart w:id="104" w:name="bookmark2071"/>
      <w:r>
        <w:rPr>
          <w:rFonts w:cs="Times New Roman" w:asciiTheme="minorEastAsia" w:hAnsiTheme="minorEastAsia" w:eastAsiaTheme="minorEastAsia"/>
          <w:color w:val="auto"/>
          <w:szCs w:val="21"/>
          <w:highlight w:val="none"/>
        </w:rPr>
        <w:t>（</w:t>
      </w:r>
      <w:bookmarkEnd w:id="104"/>
      <w:r>
        <w:rPr>
          <w:rFonts w:cs="Times New Roman" w:asciiTheme="minorEastAsia" w:hAnsiTheme="minorEastAsia" w:eastAsiaTheme="minorEastAsia"/>
          <w:color w:val="auto"/>
          <w:szCs w:val="21"/>
          <w:highlight w:val="none"/>
        </w:rPr>
        <w:t>3）我方承诺按照</w:t>
      </w:r>
      <w:r>
        <w:rPr>
          <w:rFonts w:hint="eastAsia" w:cs="Times New Roman" w:asciiTheme="minorEastAsia" w:hAnsiTheme="minorEastAsia" w:eastAsiaTheme="minorEastAsia"/>
          <w:color w:val="auto"/>
          <w:szCs w:val="21"/>
          <w:highlight w:val="none"/>
        </w:rPr>
        <w:t>磋商</w:t>
      </w:r>
      <w:r>
        <w:rPr>
          <w:rFonts w:cs="Times New Roman" w:asciiTheme="minorEastAsia" w:hAnsiTheme="minorEastAsia" w:eastAsiaTheme="minorEastAsia"/>
          <w:color w:val="auto"/>
          <w:szCs w:val="21"/>
          <w:highlight w:val="none"/>
        </w:rPr>
        <w:t>文件规定向你方递交履约担保。</w:t>
      </w:r>
    </w:p>
    <w:p w14:paraId="7A5D5CC3">
      <w:pPr>
        <w:pStyle w:val="217"/>
        <w:tabs>
          <w:tab w:val="left" w:pos="903"/>
        </w:tabs>
        <w:ind w:firstLine="420"/>
        <w:rPr>
          <w:rFonts w:hint="eastAsia" w:cs="Times New Roman" w:asciiTheme="minorEastAsia" w:hAnsiTheme="minorEastAsia" w:eastAsiaTheme="minorEastAsia"/>
          <w:color w:val="auto"/>
          <w:szCs w:val="21"/>
          <w:highlight w:val="none"/>
        </w:rPr>
      </w:pPr>
      <w:bookmarkStart w:id="105" w:name="bookmark2072"/>
      <w:r>
        <w:rPr>
          <w:rFonts w:cs="Times New Roman" w:asciiTheme="minorEastAsia" w:hAnsiTheme="minorEastAsia" w:eastAsiaTheme="minorEastAsia"/>
          <w:color w:val="auto"/>
          <w:szCs w:val="21"/>
          <w:highlight w:val="none"/>
        </w:rPr>
        <w:t>（</w:t>
      </w:r>
      <w:bookmarkEnd w:id="105"/>
      <w:r>
        <w:rPr>
          <w:rFonts w:cs="Times New Roman" w:asciiTheme="minorEastAsia" w:hAnsiTheme="minorEastAsia" w:eastAsiaTheme="minorEastAsia"/>
          <w:color w:val="auto"/>
          <w:szCs w:val="21"/>
          <w:highlight w:val="none"/>
        </w:rPr>
        <w:t>4）我方承诺在合同约定的期限内完成并移交全部合同工程。</w:t>
      </w:r>
    </w:p>
    <w:p w14:paraId="6ABC9C0C">
      <w:pPr>
        <w:pStyle w:val="217"/>
        <w:numPr>
          <w:ilvl w:val="0"/>
          <w:numId w:val="1"/>
        </w:numPr>
        <w:tabs>
          <w:tab w:val="left" w:pos="762"/>
        </w:tabs>
        <w:ind w:firstLine="440"/>
        <w:rPr>
          <w:rFonts w:hint="eastAsia" w:cs="Times New Roman" w:asciiTheme="minorEastAsia" w:hAnsiTheme="minorEastAsia" w:eastAsiaTheme="minorEastAsia"/>
          <w:color w:val="auto"/>
          <w:szCs w:val="21"/>
          <w:highlight w:val="none"/>
        </w:rPr>
      </w:pPr>
      <w:bookmarkStart w:id="106" w:name="bookmark2073"/>
      <w:bookmarkEnd w:id="106"/>
      <w:r>
        <w:rPr>
          <w:rFonts w:asciiTheme="minorEastAsia" w:hAnsiTheme="minorEastAsia" w:eastAsiaTheme="minorEastAsia"/>
          <w:color w:val="auto"/>
          <w:highlight w:val="none"/>
        </w:rPr>
        <w:t>在合同协议书正式签署生效之前，本</w:t>
      </w:r>
      <w:r>
        <w:rPr>
          <w:rFonts w:hint="eastAsia" w:cs="Times New Roman" w:asciiTheme="minorEastAsia" w:hAnsiTheme="minorEastAsia" w:eastAsiaTheme="minorEastAsia"/>
          <w:color w:val="auto"/>
          <w:szCs w:val="21"/>
          <w:highlight w:val="none"/>
        </w:rPr>
        <w:t>竞</w:t>
      </w:r>
      <w:r>
        <w:rPr>
          <w:rFonts w:cs="Times New Roman" w:asciiTheme="minorEastAsia" w:hAnsiTheme="minorEastAsia" w:eastAsiaTheme="minorEastAsia"/>
          <w:color w:val="auto"/>
          <w:szCs w:val="21"/>
          <w:highlight w:val="none"/>
        </w:rPr>
        <w:t>标</w:t>
      </w:r>
      <w:r>
        <w:rPr>
          <w:rFonts w:asciiTheme="minorEastAsia" w:hAnsiTheme="minorEastAsia" w:eastAsiaTheme="minorEastAsia"/>
          <w:color w:val="auto"/>
          <w:highlight w:val="none"/>
        </w:rPr>
        <w:t>函连同你方的</w:t>
      </w:r>
      <w:r>
        <w:rPr>
          <w:rFonts w:hint="eastAsia" w:asciiTheme="minorEastAsia" w:hAnsiTheme="minorEastAsia" w:eastAsiaTheme="minorEastAsia"/>
          <w:color w:val="auto"/>
          <w:highlight w:val="none"/>
        </w:rPr>
        <w:t>成交</w:t>
      </w:r>
      <w:r>
        <w:rPr>
          <w:rFonts w:asciiTheme="minorEastAsia" w:hAnsiTheme="minorEastAsia" w:eastAsiaTheme="minorEastAsia"/>
          <w:color w:val="auto"/>
          <w:highlight w:val="none"/>
        </w:rPr>
        <w:t>通知书将构成我们双方之间共同遵守的文件，对双方具有约束力</w:t>
      </w:r>
      <w:r>
        <w:rPr>
          <w:rFonts w:cs="Times New Roman" w:asciiTheme="minorEastAsia" w:hAnsiTheme="minorEastAsia" w:eastAsiaTheme="minorEastAsia"/>
          <w:color w:val="auto"/>
          <w:szCs w:val="21"/>
          <w:highlight w:val="none"/>
        </w:rPr>
        <w:t>。</w:t>
      </w:r>
    </w:p>
    <w:p w14:paraId="60BB7843">
      <w:pPr>
        <w:spacing w:line="360" w:lineRule="auto"/>
        <w:ind w:firstLine="420" w:firstLineChars="200"/>
        <w:rPr>
          <w:color w:val="auto"/>
          <w:szCs w:val="21"/>
          <w:highlight w:val="none"/>
        </w:rPr>
      </w:pPr>
      <w:bookmarkStart w:id="107" w:name="bookmark2074"/>
      <w:bookmarkEnd w:id="107"/>
      <w:r>
        <w:rPr>
          <w:rFonts w:hint="eastAsia"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（其他补充说明）。</w:t>
      </w:r>
    </w:p>
    <w:p w14:paraId="13017E81">
      <w:pPr>
        <w:spacing w:line="360" w:lineRule="auto"/>
        <w:jc w:val="center"/>
        <w:rPr>
          <w:rFonts w:hint="eastAsia" w:ascii="宋体" w:hAnsi="宋体" w:cs="方正小标宋简体"/>
          <w:b/>
          <w:bCs/>
          <w:color w:val="auto"/>
          <w:sz w:val="32"/>
          <w:szCs w:val="32"/>
          <w:highlight w:val="none"/>
        </w:rPr>
      </w:pPr>
    </w:p>
    <w:p w14:paraId="3B5EDE60">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4185D59A">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46604EC9">
      <w:pPr>
        <w:spacing w:line="360" w:lineRule="auto"/>
        <w:jc w:val="center"/>
        <w:rPr>
          <w:rFonts w:hint="eastAsia" w:ascii="宋体" w:hAnsi="宋体" w:cs="方正小标宋简体"/>
          <w:b/>
          <w:bCs/>
          <w:color w:val="auto"/>
          <w:sz w:val="32"/>
          <w:szCs w:val="32"/>
          <w:highlight w:val="none"/>
        </w:rPr>
      </w:pPr>
      <w:r>
        <w:rPr>
          <w:rFonts w:hint="eastAsia" w:ascii="宋体" w:hAnsi="宋体" w:cs="仿宋_GB2312"/>
          <w:color w:val="auto"/>
          <w:sz w:val="24"/>
          <w:highlight w:val="none"/>
        </w:rPr>
        <w:t>日期：   年   月   日</w:t>
      </w:r>
      <w:r>
        <w:rPr>
          <w:rFonts w:ascii="宋体" w:hAnsi="宋体" w:cs="方正小标宋简体"/>
          <w:b/>
          <w:bCs/>
          <w:color w:val="auto"/>
          <w:sz w:val="32"/>
          <w:szCs w:val="32"/>
          <w:highlight w:val="none"/>
        </w:rPr>
        <w:br w:type="page"/>
      </w:r>
      <w:r>
        <w:rPr>
          <w:rFonts w:hint="eastAsia" w:ascii="宋体" w:hAnsi="宋体" w:cs="方正小标宋简体"/>
          <w:b/>
          <w:bCs/>
          <w:color w:val="auto"/>
          <w:sz w:val="32"/>
          <w:szCs w:val="32"/>
          <w:highlight w:val="none"/>
        </w:rPr>
        <w:t>（二）竞标函附录</w:t>
      </w:r>
    </w:p>
    <w:tbl>
      <w:tblPr>
        <w:tblStyle w:val="46"/>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68F7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7BB46B0">
            <w:pPr>
              <w:jc w:val="center"/>
              <w:rPr>
                <w:color w:val="auto"/>
                <w:highlight w:val="none"/>
              </w:rPr>
            </w:pPr>
            <w:r>
              <w:rPr>
                <w:rFonts w:hint="eastAsia" w:cs="宋体"/>
                <w:color w:val="auto"/>
                <w:highlight w:val="none"/>
              </w:rPr>
              <w:t>序</w:t>
            </w:r>
            <w:r>
              <w:rPr>
                <w:color w:val="auto"/>
                <w:highlight w:val="none"/>
              </w:rPr>
              <w:t xml:space="preserve"> </w:t>
            </w:r>
            <w:r>
              <w:rPr>
                <w:rFonts w:hint="eastAsia" w:cs="宋体"/>
                <w:color w:val="auto"/>
                <w:highlight w:val="none"/>
              </w:rPr>
              <w:t>号</w:t>
            </w:r>
          </w:p>
        </w:tc>
        <w:tc>
          <w:tcPr>
            <w:tcW w:w="1985" w:type="dxa"/>
            <w:vAlign w:val="center"/>
          </w:tcPr>
          <w:p w14:paraId="6693CDB0">
            <w:pPr>
              <w:jc w:val="center"/>
              <w:rPr>
                <w:color w:val="auto"/>
                <w:highlight w:val="none"/>
              </w:rPr>
            </w:pPr>
            <w:r>
              <w:rPr>
                <w:rFonts w:hint="eastAsia" w:cs="宋体"/>
                <w:color w:val="auto"/>
                <w:highlight w:val="none"/>
              </w:rPr>
              <w:t>条款内容</w:t>
            </w:r>
          </w:p>
        </w:tc>
        <w:tc>
          <w:tcPr>
            <w:tcW w:w="2126" w:type="dxa"/>
            <w:vAlign w:val="center"/>
          </w:tcPr>
          <w:p w14:paraId="4F46CD9A">
            <w:pPr>
              <w:jc w:val="center"/>
              <w:rPr>
                <w:color w:val="auto"/>
                <w:highlight w:val="none"/>
              </w:rPr>
            </w:pPr>
            <w:r>
              <w:rPr>
                <w:rFonts w:hint="eastAsia" w:cs="宋体"/>
                <w:color w:val="auto"/>
                <w:highlight w:val="none"/>
              </w:rPr>
              <w:t>合同条款号</w:t>
            </w:r>
          </w:p>
        </w:tc>
        <w:tc>
          <w:tcPr>
            <w:tcW w:w="1984" w:type="dxa"/>
            <w:vAlign w:val="center"/>
          </w:tcPr>
          <w:p w14:paraId="6A4A5FAA">
            <w:pPr>
              <w:jc w:val="center"/>
              <w:rPr>
                <w:color w:val="auto"/>
                <w:highlight w:val="none"/>
              </w:rPr>
            </w:pPr>
            <w:r>
              <w:rPr>
                <w:rFonts w:hint="eastAsia" w:cs="宋体"/>
                <w:color w:val="auto"/>
                <w:highlight w:val="none"/>
              </w:rPr>
              <w:t>约定内容</w:t>
            </w:r>
          </w:p>
        </w:tc>
        <w:tc>
          <w:tcPr>
            <w:tcW w:w="1843" w:type="dxa"/>
            <w:vAlign w:val="center"/>
          </w:tcPr>
          <w:p w14:paraId="4244EAFA">
            <w:pPr>
              <w:jc w:val="center"/>
              <w:rPr>
                <w:color w:val="auto"/>
                <w:highlight w:val="none"/>
              </w:rPr>
            </w:pPr>
            <w:r>
              <w:rPr>
                <w:rFonts w:hint="eastAsia" w:cs="宋体"/>
                <w:color w:val="auto"/>
                <w:highlight w:val="none"/>
              </w:rPr>
              <w:t>供应商响应情况</w:t>
            </w:r>
          </w:p>
        </w:tc>
      </w:tr>
      <w:tr w14:paraId="0440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4478243">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1</w:t>
            </w:r>
          </w:p>
        </w:tc>
        <w:tc>
          <w:tcPr>
            <w:tcW w:w="1985" w:type="dxa"/>
            <w:vAlign w:val="center"/>
          </w:tcPr>
          <w:p w14:paraId="765D2BBD">
            <w:pPr>
              <w:rPr>
                <w:color w:val="auto"/>
                <w:highlight w:val="none"/>
              </w:rPr>
            </w:pPr>
            <w:r>
              <w:rPr>
                <w:rFonts w:hint="eastAsia" w:cs="宋体"/>
                <w:color w:val="auto"/>
                <w:highlight w:val="none"/>
              </w:rPr>
              <w:t>项目经理</w:t>
            </w:r>
          </w:p>
        </w:tc>
        <w:tc>
          <w:tcPr>
            <w:tcW w:w="2126" w:type="dxa"/>
            <w:tcMar>
              <w:left w:w="170" w:type="dxa"/>
            </w:tcMar>
            <w:vAlign w:val="center"/>
          </w:tcPr>
          <w:p w14:paraId="6F63E4F9">
            <w:pPr>
              <w:jc w:val="center"/>
              <w:rPr>
                <w:color w:val="auto"/>
                <w:highlight w:val="none"/>
              </w:rPr>
            </w:pPr>
            <w:r>
              <w:rPr>
                <w:rFonts w:hint="eastAsia" w:cs="宋体"/>
                <w:color w:val="auto"/>
                <w:highlight w:val="none"/>
              </w:rPr>
              <w:t>专用条款</w:t>
            </w:r>
          </w:p>
        </w:tc>
        <w:tc>
          <w:tcPr>
            <w:tcW w:w="1984" w:type="dxa"/>
            <w:vAlign w:val="center"/>
          </w:tcPr>
          <w:p w14:paraId="66541346">
            <w:pPr>
              <w:rPr>
                <w:color w:val="auto"/>
                <w:highlight w:val="none"/>
              </w:rPr>
            </w:pPr>
            <w:r>
              <w:rPr>
                <w:rFonts w:hint="eastAsia" w:cs="宋体"/>
                <w:color w:val="auto"/>
                <w:highlight w:val="none"/>
              </w:rPr>
              <w:t>姓名：</w:t>
            </w:r>
            <w:r>
              <w:rPr>
                <w:color w:val="auto"/>
                <w:highlight w:val="none"/>
                <w:u w:val="single"/>
              </w:rPr>
              <w:t xml:space="preserve">          </w:t>
            </w:r>
          </w:p>
        </w:tc>
        <w:tc>
          <w:tcPr>
            <w:tcW w:w="1843" w:type="dxa"/>
            <w:vAlign w:val="center"/>
          </w:tcPr>
          <w:p w14:paraId="42745725">
            <w:pPr>
              <w:jc w:val="center"/>
              <w:rPr>
                <w:color w:val="auto"/>
                <w:highlight w:val="none"/>
              </w:rPr>
            </w:pPr>
          </w:p>
        </w:tc>
      </w:tr>
      <w:tr w14:paraId="3484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6DEB5C0">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2</w:t>
            </w:r>
          </w:p>
        </w:tc>
        <w:tc>
          <w:tcPr>
            <w:tcW w:w="1985" w:type="dxa"/>
            <w:vAlign w:val="center"/>
          </w:tcPr>
          <w:p w14:paraId="48EF5E44">
            <w:pPr>
              <w:rPr>
                <w:color w:val="auto"/>
                <w:highlight w:val="none"/>
              </w:rPr>
            </w:pPr>
            <w:r>
              <w:rPr>
                <w:rFonts w:hint="eastAsia" w:cs="宋体"/>
                <w:color w:val="auto"/>
                <w:highlight w:val="none"/>
              </w:rPr>
              <w:t>竞标有效期</w:t>
            </w:r>
          </w:p>
        </w:tc>
        <w:tc>
          <w:tcPr>
            <w:tcW w:w="2126" w:type="dxa"/>
            <w:tcMar>
              <w:left w:w="170" w:type="dxa"/>
            </w:tcMar>
            <w:vAlign w:val="center"/>
          </w:tcPr>
          <w:p w14:paraId="2200368A">
            <w:pPr>
              <w:rPr>
                <w:color w:val="auto"/>
                <w:highlight w:val="none"/>
              </w:rPr>
            </w:pPr>
          </w:p>
        </w:tc>
        <w:tc>
          <w:tcPr>
            <w:tcW w:w="1984" w:type="dxa"/>
            <w:vAlign w:val="center"/>
          </w:tcPr>
          <w:p w14:paraId="7D390BD2">
            <w:pPr>
              <w:jc w:val="center"/>
              <w:rPr>
                <w:color w:val="auto"/>
                <w:highlight w:val="none"/>
                <w:u w:val="single"/>
              </w:rPr>
            </w:pPr>
          </w:p>
        </w:tc>
        <w:tc>
          <w:tcPr>
            <w:tcW w:w="1843" w:type="dxa"/>
            <w:vAlign w:val="center"/>
          </w:tcPr>
          <w:p w14:paraId="10876044">
            <w:pPr>
              <w:jc w:val="center"/>
              <w:rPr>
                <w:color w:val="auto"/>
                <w:highlight w:val="none"/>
              </w:rPr>
            </w:pPr>
          </w:p>
        </w:tc>
      </w:tr>
      <w:tr w14:paraId="0606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72A0A91">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3</w:t>
            </w:r>
          </w:p>
        </w:tc>
        <w:tc>
          <w:tcPr>
            <w:tcW w:w="1985" w:type="dxa"/>
            <w:vAlign w:val="center"/>
          </w:tcPr>
          <w:p w14:paraId="52E44C18">
            <w:pPr>
              <w:rPr>
                <w:color w:val="auto"/>
                <w:highlight w:val="none"/>
              </w:rPr>
            </w:pPr>
            <w:r>
              <w:rPr>
                <w:rFonts w:hint="eastAsia" w:cs="宋体"/>
                <w:color w:val="auto"/>
                <w:highlight w:val="none"/>
              </w:rPr>
              <w:t>工期</w:t>
            </w:r>
          </w:p>
        </w:tc>
        <w:tc>
          <w:tcPr>
            <w:tcW w:w="2126" w:type="dxa"/>
            <w:tcMar>
              <w:left w:w="170" w:type="dxa"/>
            </w:tcMar>
            <w:vAlign w:val="center"/>
          </w:tcPr>
          <w:p w14:paraId="1B481262">
            <w:pPr>
              <w:jc w:val="center"/>
              <w:rPr>
                <w:color w:val="auto"/>
                <w:highlight w:val="none"/>
              </w:rPr>
            </w:pPr>
            <w:r>
              <w:rPr>
                <w:rFonts w:hint="eastAsia" w:cs="宋体"/>
                <w:color w:val="auto"/>
                <w:highlight w:val="none"/>
              </w:rPr>
              <w:t>专用条款</w:t>
            </w:r>
          </w:p>
        </w:tc>
        <w:tc>
          <w:tcPr>
            <w:tcW w:w="1984" w:type="dxa"/>
            <w:vAlign w:val="center"/>
          </w:tcPr>
          <w:p w14:paraId="36F5EF07">
            <w:pPr>
              <w:jc w:val="center"/>
              <w:rPr>
                <w:color w:val="auto"/>
                <w:highlight w:val="none"/>
              </w:rPr>
            </w:pPr>
            <w:r>
              <w:rPr>
                <w:color w:val="auto"/>
                <w:highlight w:val="none"/>
                <w:u w:val="single"/>
              </w:rPr>
              <w:t xml:space="preserve">          </w:t>
            </w:r>
            <w:r>
              <w:rPr>
                <w:rFonts w:hint="eastAsia" w:cs="宋体"/>
                <w:color w:val="auto"/>
                <w:highlight w:val="none"/>
              </w:rPr>
              <w:t>日历天</w:t>
            </w:r>
          </w:p>
        </w:tc>
        <w:tc>
          <w:tcPr>
            <w:tcW w:w="1843" w:type="dxa"/>
            <w:vAlign w:val="center"/>
          </w:tcPr>
          <w:p w14:paraId="13DFA694">
            <w:pPr>
              <w:jc w:val="center"/>
              <w:rPr>
                <w:color w:val="auto"/>
                <w:highlight w:val="none"/>
              </w:rPr>
            </w:pPr>
          </w:p>
        </w:tc>
      </w:tr>
      <w:tr w14:paraId="5023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76EA243">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4</w:t>
            </w:r>
          </w:p>
        </w:tc>
        <w:tc>
          <w:tcPr>
            <w:tcW w:w="1985" w:type="dxa"/>
            <w:vAlign w:val="center"/>
          </w:tcPr>
          <w:p w14:paraId="2A53C79F">
            <w:pPr>
              <w:rPr>
                <w:color w:val="auto"/>
                <w:highlight w:val="none"/>
              </w:rPr>
            </w:pPr>
            <w:r>
              <w:rPr>
                <w:rFonts w:hint="eastAsia" w:cs="宋体"/>
                <w:color w:val="auto"/>
                <w:highlight w:val="none"/>
              </w:rPr>
              <w:t>缺陷责任期</w:t>
            </w:r>
          </w:p>
        </w:tc>
        <w:tc>
          <w:tcPr>
            <w:tcW w:w="2126" w:type="dxa"/>
            <w:tcMar>
              <w:left w:w="170" w:type="dxa"/>
            </w:tcMar>
            <w:vAlign w:val="center"/>
          </w:tcPr>
          <w:p w14:paraId="6B1DEC16">
            <w:pPr>
              <w:jc w:val="center"/>
              <w:rPr>
                <w:color w:val="auto"/>
                <w:highlight w:val="none"/>
              </w:rPr>
            </w:pPr>
            <w:r>
              <w:rPr>
                <w:rFonts w:hint="eastAsia" w:cs="宋体"/>
                <w:color w:val="auto"/>
                <w:highlight w:val="none"/>
              </w:rPr>
              <w:t>专用条款</w:t>
            </w:r>
          </w:p>
        </w:tc>
        <w:tc>
          <w:tcPr>
            <w:tcW w:w="1984" w:type="dxa"/>
            <w:vAlign w:val="center"/>
          </w:tcPr>
          <w:p w14:paraId="75F6F336">
            <w:pPr>
              <w:jc w:val="center"/>
              <w:rPr>
                <w:color w:val="auto"/>
                <w:highlight w:val="none"/>
              </w:rPr>
            </w:pPr>
          </w:p>
        </w:tc>
        <w:tc>
          <w:tcPr>
            <w:tcW w:w="1843" w:type="dxa"/>
            <w:vAlign w:val="center"/>
          </w:tcPr>
          <w:p w14:paraId="1DDD5C20">
            <w:pPr>
              <w:jc w:val="center"/>
              <w:rPr>
                <w:color w:val="auto"/>
                <w:highlight w:val="none"/>
              </w:rPr>
            </w:pPr>
          </w:p>
        </w:tc>
      </w:tr>
      <w:tr w14:paraId="153C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E6F0591">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5</w:t>
            </w:r>
          </w:p>
        </w:tc>
        <w:tc>
          <w:tcPr>
            <w:tcW w:w="1985" w:type="dxa"/>
            <w:vAlign w:val="center"/>
          </w:tcPr>
          <w:p w14:paraId="5435484B">
            <w:pPr>
              <w:rPr>
                <w:color w:val="auto"/>
                <w:highlight w:val="none"/>
              </w:rPr>
            </w:pPr>
            <w:r>
              <w:rPr>
                <w:rFonts w:hint="eastAsia" w:cs="宋体"/>
                <w:color w:val="auto"/>
                <w:highlight w:val="none"/>
              </w:rPr>
              <w:t>发包人支付担保</w:t>
            </w:r>
          </w:p>
        </w:tc>
        <w:tc>
          <w:tcPr>
            <w:tcW w:w="2126" w:type="dxa"/>
            <w:tcMar>
              <w:left w:w="170" w:type="dxa"/>
            </w:tcMar>
            <w:vAlign w:val="center"/>
          </w:tcPr>
          <w:p w14:paraId="1B233D11">
            <w:pPr>
              <w:jc w:val="center"/>
              <w:rPr>
                <w:color w:val="auto"/>
                <w:highlight w:val="none"/>
              </w:rPr>
            </w:pPr>
            <w:r>
              <w:rPr>
                <w:rFonts w:hint="eastAsia" w:cs="宋体"/>
                <w:color w:val="auto"/>
                <w:highlight w:val="none"/>
              </w:rPr>
              <w:t>专用条款</w:t>
            </w:r>
          </w:p>
        </w:tc>
        <w:tc>
          <w:tcPr>
            <w:tcW w:w="1984" w:type="dxa"/>
            <w:vAlign w:val="center"/>
          </w:tcPr>
          <w:p w14:paraId="31EA6428">
            <w:pPr>
              <w:jc w:val="center"/>
              <w:rPr>
                <w:color w:val="auto"/>
                <w:highlight w:val="none"/>
              </w:rPr>
            </w:pPr>
          </w:p>
        </w:tc>
        <w:tc>
          <w:tcPr>
            <w:tcW w:w="1843" w:type="dxa"/>
            <w:vAlign w:val="center"/>
          </w:tcPr>
          <w:p w14:paraId="0811281A">
            <w:pPr>
              <w:jc w:val="center"/>
              <w:rPr>
                <w:color w:val="auto"/>
                <w:highlight w:val="none"/>
              </w:rPr>
            </w:pPr>
          </w:p>
        </w:tc>
      </w:tr>
      <w:tr w14:paraId="000C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145F2B2">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6</w:t>
            </w:r>
          </w:p>
        </w:tc>
        <w:tc>
          <w:tcPr>
            <w:tcW w:w="1985" w:type="dxa"/>
            <w:vAlign w:val="center"/>
          </w:tcPr>
          <w:p w14:paraId="337C75E6">
            <w:pPr>
              <w:rPr>
                <w:color w:val="auto"/>
                <w:highlight w:val="none"/>
              </w:rPr>
            </w:pPr>
            <w:r>
              <w:rPr>
                <w:rFonts w:hint="eastAsia" w:cs="宋体"/>
                <w:color w:val="auto"/>
                <w:highlight w:val="none"/>
              </w:rPr>
              <w:t>承包人履约担保金额</w:t>
            </w:r>
          </w:p>
        </w:tc>
        <w:tc>
          <w:tcPr>
            <w:tcW w:w="2126" w:type="dxa"/>
            <w:tcMar>
              <w:left w:w="170" w:type="dxa"/>
            </w:tcMar>
            <w:vAlign w:val="center"/>
          </w:tcPr>
          <w:p w14:paraId="48C3CD39">
            <w:pPr>
              <w:jc w:val="center"/>
              <w:rPr>
                <w:color w:val="auto"/>
                <w:highlight w:val="none"/>
              </w:rPr>
            </w:pPr>
            <w:r>
              <w:rPr>
                <w:rFonts w:hint="eastAsia" w:cs="宋体"/>
                <w:color w:val="auto"/>
                <w:highlight w:val="none"/>
              </w:rPr>
              <w:t>专用条款</w:t>
            </w:r>
          </w:p>
        </w:tc>
        <w:tc>
          <w:tcPr>
            <w:tcW w:w="1984" w:type="dxa"/>
            <w:vAlign w:val="center"/>
          </w:tcPr>
          <w:p w14:paraId="1AA4E74A">
            <w:pPr>
              <w:jc w:val="center"/>
              <w:rPr>
                <w:color w:val="auto"/>
                <w:highlight w:val="none"/>
              </w:rPr>
            </w:pPr>
          </w:p>
        </w:tc>
        <w:tc>
          <w:tcPr>
            <w:tcW w:w="1843" w:type="dxa"/>
            <w:vAlign w:val="center"/>
          </w:tcPr>
          <w:p w14:paraId="4349C4B8">
            <w:pPr>
              <w:jc w:val="center"/>
              <w:rPr>
                <w:color w:val="auto"/>
                <w:highlight w:val="none"/>
              </w:rPr>
            </w:pPr>
          </w:p>
        </w:tc>
      </w:tr>
      <w:tr w14:paraId="7F14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F9FA9B1">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7</w:t>
            </w:r>
          </w:p>
        </w:tc>
        <w:tc>
          <w:tcPr>
            <w:tcW w:w="1985" w:type="dxa"/>
            <w:vAlign w:val="center"/>
          </w:tcPr>
          <w:p w14:paraId="2B3DDFF8">
            <w:pPr>
              <w:rPr>
                <w:color w:val="auto"/>
                <w:highlight w:val="none"/>
              </w:rPr>
            </w:pPr>
            <w:r>
              <w:rPr>
                <w:rFonts w:hint="eastAsia" w:cs="宋体"/>
                <w:color w:val="auto"/>
                <w:highlight w:val="none"/>
              </w:rPr>
              <w:t>分包</w:t>
            </w:r>
          </w:p>
        </w:tc>
        <w:tc>
          <w:tcPr>
            <w:tcW w:w="2126" w:type="dxa"/>
            <w:tcMar>
              <w:left w:w="170" w:type="dxa"/>
            </w:tcMar>
            <w:vAlign w:val="center"/>
          </w:tcPr>
          <w:p w14:paraId="7FC5E729">
            <w:pPr>
              <w:jc w:val="center"/>
              <w:rPr>
                <w:color w:val="auto"/>
                <w:highlight w:val="none"/>
              </w:rPr>
            </w:pPr>
            <w:r>
              <w:rPr>
                <w:rFonts w:hint="eastAsia" w:cs="宋体"/>
                <w:color w:val="auto"/>
                <w:highlight w:val="none"/>
              </w:rPr>
              <w:t>专用条款</w:t>
            </w:r>
          </w:p>
        </w:tc>
        <w:tc>
          <w:tcPr>
            <w:tcW w:w="1984" w:type="dxa"/>
            <w:vAlign w:val="center"/>
          </w:tcPr>
          <w:p w14:paraId="66420754">
            <w:pPr>
              <w:jc w:val="center"/>
              <w:rPr>
                <w:color w:val="auto"/>
                <w:highlight w:val="none"/>
              </w:rPr>
            </w:pPr>
            <w:r>
              <w:rPr>
                <w:rFonts w:hint="eastAsia" w:cs="宋体"/>
                <w:color w:val="auto"/>
                <w:highlight w:val="none"/>
              </w:rPr>
              <w:t>见分包项目情况表</w:t>
            </w:r>
          </w:p>
        </w:tc>
        <w:tc>
          <w:tcPr>
            <w:tcW w:w="1843" w:type="dxa"/>
            <w:vAlign w:val="center"/>
          </w:tcPr>
          <w:p w14:paraId="0E20100A">
            <w:pPr>
              <w:jc w:val="center"/>
              <w:rPr>
                <w:color w:val="auto"/>
                <w:highlight w:val="none"/>
              </w:rPr>
            </w:pPr>
          </w:p>
        </w:tc>
      </w:tr>
      <w:tr w14:paraId="1528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D524026">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8</w:t>
            </w:r>
          </w:p>
        </w:tc>
        <w:tc>
          <w:tcPr>
            <w:tcW w:w="1985" w:type="dxa"/>
            <w:vAlign w:val="center"/>
          </w:tcPr>
          <w:p w14:paraId="1773B46B">
            <w:pPr>
              <w:rPr>
                <w:color w:val="auto"/>
                <w:highlight w:val="none"/>
              </w:rPr>
            </w:pPr>
            <w:r>
              <w:rPr>
                <w:rFonts w:hint="eastAsia" w:cs="宋体"/>
                <w:color w:val="auto"/>
                <w:highlight w:val="none"/>
              </w:rPr>
              <w:t>逾期竣工违约金</w:t>
            </w:r>
          </w:p>
        </w:tc>
        <w:tc>
          <w:tcPr>
            <w:tcW w:w="2126" w:type="dxa"/>
            <w:tcMar>
              <w:left w:w="170" w:type="dxa"/>
            </w:tcMar>
            <w:vAlign w:val="center"/>
          </w:tcPr>
          <w:p w14:paraId="4CDD32B4">
            <w:pPr>
              <w:jc w:val="center"/>
              <w:rPr>
                <w:color w:val="auto"/>
                <w:highlight w:val="none"/>
              </w:rPr>
            </w:pPr>
            <w:r>
              <w:rPr>
                <w:rFonts w:hint="eastAsia" w:cs="宋体"/>
                <w:color w:val="auto"/>
                <w:highlight w:val="none"/>
              </w:rPr>
              <w:t>专用条款</w:t>
            </w:r>
          </w:p>
        </w:tc>
        <w:tc>
          <w:tcPr>
            <w:tcW w:w="1984" w:type="dxa"/>
            <w:vAlign w:val="center"/>
          </w:tcPr>
          <w:p w14:paraId="5CEF0851">
            <w:pPr>
              <w:rPr>
                <w:color w:val="auto"/>
                <w:highlight w:val="none"/>
              </w:rPr>
            </w:pPr>
          </w:p>
        </w:tc>
        <w:tc>
          <w:tcPr>
            <w:tcW w:w="1843" w:type="dxa"/>
            <w:vAlign w:val="center"/>
          </w:tcPr>
          <w:p w14:paraId="591EFEF7">
            <w:pPr>
              <w:jc w:val="center"/>
              <w:rPr>
                <w:color w:val="auto"/>
                <w:highlight w:val="none"/>
              </w:rPr>
            </w:pPr>
          </w:p>
        </w:tc>
      </w:tr>
      <w:tr w14:paraId="4A39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06DA3C3">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9</w:t>
            </w:r>
          </w:p>
        </w:tc>
        <w:tc>
          <w:tcPr>
            <w:tcW w:w="1985" w:type="dxa"/>
            <w:vAlign w:val="center"/>
          </w:tcPr>
          <w:p w14:paraId="49304B7A">
            <w:pPr>
              <w:rPr>
                <w:color w:val="auto"/>
                <w:highlight w:val="none"/>
              </w:rPr>
            </w:pPr>
            <w:r>
              <w:rPr>
                <w:rFonts w:hint="eastAsia" w:cs="宋体"/>
                <w:color w:val="auto"/>
                <w:highlight w:val="none"/>
              </w:rPr>
              <w:t>逾期竣工违约金最高限额</w:t>
            </w:r>
          </w:p>
        </w:tc>
        <w:tc>
          <w:tcPr>
            <w:tcW w:w="2126" w:type="dxa"/>
            <w:tcMar>
              <w:left w:w="170" w:type="dxa"/>
            </w:tcMar>
            <w:vAlign w:val="center"/>
          </w:tcPr>
          <w:p w14:paraId="5CCC66C7">
            <w:pPr>
              <w:jc w:val="center"/>
              <w:rPr>
                <w:color w:val="auto"/>
                <w:highlight w:val="none"/>
              </w:rPr>
            </w:pPr>
            <w:r>
              <w:rPr>
                <w:rFonts w:hint="eastAsia" w:cs="宋体"/>
                <w:color w:val="auto"/>
                <w:highlight w:val="none"/>
              </w:rPr>
              <w:t>专用条款</w:t>
            </w:r>
          </w:p>
        </w:tc>
        <w:tc>
          <w:tcPr>
            <w:tcW w:w="1984" w:type="dxa"/>
            <w:vAlign w:val="center"/>
          </w:tcPr>
          <w:p w14:paraId="288FC9DE">
            <w:pPr>
              <w:rPr>
                <w:color w:val="auto"/>
                <w:highlight w:val="none"/>
              </w:rPr>
            </w:pPr>
          </w:p>
        </w:tc>
        <w:tc>
          <w:tcPr>
            <w:tcW w:w="1843" w:type="dxa"/>
            <w:vAlign w:val="center"/>
          </w:tcPr>
          <w:p w14:paraId="2F4020DE">
            <w:pPr>
              <w:jc w:val="center"/>
              <w:rPr>
                <w:color w:val="auto"/>
                <w:highlight w:val="none"/>
              </w:rPr>
            </w:pPr>
          </w:p>
        </w:tc>
      </w:tr>
      <w:tr w14:paraId="0582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10638D9">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10</w:t>
            </w:r>
          </w:p>
        </w:tc>
        <w:tc>
          <w:tcPr>
            <w:tcW w:w="1985" w:type="dxa"/>
            <w:vAlign w:val="center"/>
          </w:tcPr>
          <w:p w14:paraId="06BF9DF3">
            <w:pPr>
              <w:rPr>
                <w:color w:val="auto"/>
                <w:highlight w:val="none"/>
              </w:rPr>
            </w:pPr>
            <w:r>
              <w:rPr>
                <w:rFonts w:hint="eastAsia" w:cs="宋体"/>
                <w:color w:val="auto"/>
                <w:highlight w:val="none"/>
              </w:rPr>
              <w:t>质量标准</w:t>
            </w:r>
          </w:p>
        </w:tc>
        <w:tc>
          <w:tcPr>
            <w:tcW w:w="2126" w:type="dxa"/>
            <w:tcMar>
              <w:left w:w="170" w:type="dxa"/>
            </w:tcMar>
            <w:vAlign w:val="center"/>
          </w:tcPr>
          <w:p w14:paraId="001B20D7">
            <w:pPr>
              <w:jc w:val="center"/>
              <w:rPr>
                <w:color w:val="auto"/>
                <w:highlight w:val="none"/>
              </w:rPr>
            </w:pPr>
            <w:r>
              <w:rPr>
                <w:rFonts w:hint="eastAsia" w:cs="宋体"/>
                <w:color w:val="auto"/>
                <w:highlight w:val="none"/>
              </w:rPr>
              <w:t>专用条款</w:t>
            </w:r>
          </w:p>
        </w:tc>
        <w:tc>
          <w:tcPr>
            <w:tcW w:w="1984" w:type="dxa"/>
            <w:vAlign w:val="center"/>
          </w:tcPr>
          <w:p w14:paraId="2BC77601">
            <w:pPr>
              <w:jc w:val="center"/>
              <w:rPr>
                <w:color w:val="auto"/>
                <w:highlight w:val="none"/>
              </w:rPr>
            </w:pPr>
          </w:p>
        </w:tc>
        <w:tc>
          <w:tcPr>
            <w:tcW w:w="1843" w:type="dxa"/>
            <w:vAlign w:val="center"/>
          </w:tcPr>
          <w:p w14:paraId="1E06CA0D">
            <w:pPr>
              <w:jc w:val="center"/>
              <w:rPr>
                <w:color w:val="auto"/>
                <w:highlight w:val="none"/>
              </w:rPr>
            </w:pPr>
          </w:p>
        </w:tc>
      </w:tr>
      <w:tr w14:paraId="4D29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A3C0A48">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11</w:t>
            </w:r>
          </w:p>
        </w:tc>
        <w:tc>
          <w:tcPr>
            <w:tcW w:w="1985" w:type="dxa"/>
            <w:vAlign w:val="center"/>
          </w:tcPr>
          <w:p w14:paraId="1C635715">
            <w:pPr>
              <w:rPr>
                <w:color w:val="auto"/>
                <w:highlight w:val="none"/>
              </w:rPr>
            </w:pPr>
            <w:r>
              <w:rPr>
                <w:rFonts w:hint="eastAsia" w:cs="宋体"/>
                <w:color w:val="auto"/>
                <w:highlight w:val="none"/>
              </w:rPr>
              <w:t>预付款额度</w:t>
            </w:r>
          </w:p>
        </w:tc>
        <w:tc>
          <w:tcPr>
            <w:tcW w:w="2126" w:type="dxa"/>
            <w:tcMar>
              <w:left w:w="170" w:type="dxa"/>
            </w:tcMar>
            <w:vAlign w:val="center"/>
          </w:tcPr>
          <w:p w14:paraId="2A107BD3">
            <w:pPr>
              <w:jc w:val="center"/>
              <w:rPr>
                <w:color w:val="auto"/>
                <w:highlight w:val="none"/>
              </w:rPr>
            </w:pPr>
            <w:r>
              <w:rPr>
                <w:rFonts w:hint="eastAsia" w:cs="宋体"/>
                <w:color w:val="auto"/>
                <w:highlight w:val="none"/>
              </w:rPr>
              <w:t>专用条款</w:t>
            </w:r>
          </w:p>
        </w:tc>
        <w:tc>
          <w:tcPr>
            <w:tcW w:w="1984" w:type="dxa"/>
            <w:vAlign w:val="center"/>
          </w:tcPr>
          <w:p w14:paraId="556B1429">
            <w:pPr>
              <w:jc w:val="center"/>
              <w:rPr>
                <w:color w:val="auto"/>
                <w:highlight w:val="none"/>
              </w:rPr>
            </w:pPr>
          </w:p>
        </w:tc>
        <w:tc>
          <w:tcPr>
            <w:tcW w:w="1843" w:type="dxa"/>
            <w:vAlign w:val="center"/>
          </w:tcPr>
          <w:p w14:paraId="07F13FD1">
            <w:pPr>
              <w:jc w:val="center"/>
              <w:rPr>
                <w:color w:val="auto"/>
                <w:highlight w:val="none"/>
              </w:rPr>
            </w:pPr>
          </w:p>
        </w:tc>
      </w:tr>
      <w:tr w14:paraId="7EEF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A109CBF">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12</w:t>
            </w:r>
          </w:p>
        </w:tc>
        <w:tc>
          <w:tcPr>
            <w:tcW w:w="1985" w:type="dxa"/>
            <w:vAlign w:val="center"/>
          </w:tcPr>
          <w:p w14:paraId="4A5A315D">
            <w:pPr>
              <w:rPr>
                <w:color w:val="auto"/>
                <w:highlight w:val="none"/>
              </w:rPr>
            </w:pPr>
            <w:r>
              <w:rPr>
                <w:rFonts w:hint="eastAsia" w:cs="宋体"/>
                <w:color w:val="auto"/>
                <w:highlight w:val="none"/>
              </w:rPr>
              <w:t>预付款保函金额</w:t>
            </w:r>
          </w:p>
        </w:tc>
        <w:tc>
          <w:tcPr>
            <w:tcW w:w="2126" w:type="dxa"/>
            <w:tcMar>
              <w:left w:w="170" w:type="dxa"/>
            </w:tcMar>
            <w:vAlign w:val="center"/>
          </w:tcPr>
          <w:p w14:paraId="01249ECC">
            <w:pPr>
              <w:jc w:val="center"/>
              <w:rPr>
                <w:color w:val="auto"/>
                <w:highlight w:val="none"/>
              </w:rPr>
            </w:pPr>
            <w:r>
              <w:rPr>
                <w:rFonts w:hint="eastAsia" w:cs="宋体"/>
                <w:color w:val="auto"/>
                <w:highlight w:val="none"/>
              </w:rPr>
              <w:t>专用条款</w:t>
            </w:r>
          </w:p>
        </w:tc>
        <w:tc>
          <w:tcPr>
            <w:tcW w:w="1984" w:type="dxa"/>
            <w:vAlign w:val="center"/>
          </w:tcPr>
          <w:p w14:paraId="74EC9BB3">
            <w:pPr>
              <w:jc w:val="center"/>
              <w:rPr>
                <w:color w:val="auto"/>
                <w:highlight w:val="none"/>
              </w:rPr>
            </w:pPr>
          </w:p>
        </w:tc>
        <w:tc>
          <w:tcPr>
            <w:tcW w:w="1843" w:type="dxa"/>
            <w:vAlign w:val="center"/>
          </w:tcPr>
          <w:p w14:paraId="341E0695">
            <w:pPr>
              <w:jc w:val="center"/>
              <w:rPr>
                <w:color w:val="auto"/>
                <w:highlight w:val="none"/>
              </w:rPr>
            </w:pPr>
          </w:p>
        </w:tc>
      </w:tr>
      <w:tr w14:paraId="7C1A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E54C440">
            <w:pPr>
              <w:jc w:val="center"/>
              <w:rPr>
                <w:color w:val="auto"/>
                <w:highlight w:val="none"/>
              </w:rPr>
            </w:pPr>
            <w:r>
              <w:rPr>
                <w:color w:val="auto"/>
                <w:highlight w:val="none"/>
              </w:rPr>
              <w:t>……</w:t>
            </w:r>
          </w:p>
        </w:tc>
        <w:tc>
          <w:tcPr>
            <w:tcW w:w="1985" w:type="dxa"/>
            <w:vAlign w:val="center"/>
          </w:tcPr>
          <w:p w14:paraId="24F997C1">
            <w:pPr>
              <w:jc w:val="center"/>
              <w:rPr>
                <w:color w:val="auto"/>
                <w:highlight w:val="none"/>
              </w:rPr>
            </w:pPr>
            <w:r>
              <w:rPr>
                <w:color w:val="auto"/>
                <w:highlight w:val="none"/>
              </w:rPr>
              <w:t>……</w:t>
            </w:r>
          </w:p>
        </w:tc>
        <w:tc>
          <w:tcPr>
            <w:tcW w:w="2126" w:type="dxa"/>
            <w:tcMar>
              <w:left w:w="170" w:type="dxa"/>
            </w:tcMar>
            <w:vAlign w:val="center"/>
          </w:tcPr>
          <w:p w14:paraId="163F8C0D">
            <w:pPr>
              <w:rPr>
                <w:color w:val="auto"/>
                <w:highlight w:val="none"/>
              </w:rPr>
            </w:pPr>
          </w:p>
        </w:tc>
        <w:tc>
          <w:tcPr>
            <w:tcW w:w="1984" w:type="dxa"/>
            <w:vAlign w:val="center"/>
          </w:tcPr>
          <w:p w14:paraId="1EEC8666">
            <w:pPr>
              <w:jc w:val="center"/>
              <w:rPr>
                <w:color w:val="auto"/>
                <w:highlight w:val="none"/>
              </w:rPr>
            </w:pPr>
          </w:p>
        </w:tc>
        <w:tc>
          <w:tcPr>
            <w:tcW w:w="1843" w:type="dxa"/>
            <w:vAlign w:val="center"/>
          </w:tcPr>
          <w:p w14:paraId="72ECA8F4">
            <w:pPr>
              <w:jc w:val="center"/>
              <w:rPr>
                <w:color w:val="auto"/>
                <w:highlight w:val="none"/>
              </w:rPr>
            </w:pPr>
          </w:p>
        </w:tc>
      </w:tr>
      <w:tr w14:paraId="22DF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14:paraId="233E2A07">
            <w:pPr>
              <w:spacing w:line="360" w:lineRule="auto"/>
              <w:rPr>
                <w:color w:val="auto"/>
                <w:highlight w:val="none"/>
              </w:rPr>
            </w:pPr>
            <w:r>
              <w:rPr>
                <w:rFonts w:hint="eastAsia" w:cs="宋体"/>
                <w:color w:val="auto"/>
                <w:highlight w:val="none"/>
              </w:rPr>
              <w:t>说明：供应商在响应磋商文件中规定的实质性要求和条件的基础上，可做出其他有利于采购人的承诺。此类承诺可在本表中予以补充填写。</w:t>
            </w:r>
          </w:p>
        </w:tc>
      </w:tr>
    </w:tbl>
    <w:p w14:paraId="643FDEBD">
      <w:pPr>
        <w:spacing w:line="360" w:lineRule="auto"/>
        <w:ind w:right="-817" w:rightChars="-389" w:firstLine="2640" w:firstLineChars="1100"/>
        <w:contextualSpacing/>
        <w:rPr>
          <w:rFonts w:hint="eastAsia" w:ascii="宋体" w:hAnsi="宋体" w:cs="仿宋_GB2312"/>
          <w:color w:val="auto"/>
          <w:sz w:val="24"/>
          <w:highlight w:val="none"/>
        </w:rPr>
      </w:pPr>
    </w:p>
    <w:p w14:paraId="0150F1F9">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195F93DC">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02B80D75">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69E8F8C3">
      <w:pPr>
        <w:spacing w:line="360" w:lineRule="auto"/>
        <w:contextualSpacing/>
        <w:jc w:val="center"/>
        <w:rPr>
          <w:rFonts w:hint="eastAsia" w:ascii="宋体" w:hAnsi="宋体" w:cs="仿宋_GB2312"/>
          <w:b/>
          <w:color w:val="auto"/>
          <w:sz w:val="32"/>
          <w:szCs w:val="32"/>
          <w:highlight w:val="none"/>
        </w:rPr>
      </w:pPr>
      <w:r>
        <w:rPr>
          <w:rFonts w:ascii="宋体" w:hAnsi="宋体" w:cs="仿宋_GB2312"/>
          <w:color w:val="auto"/>
          <w:sz w:val="24"/>
          <w:highlight w:val="none"/>
        </w:rPr>
        <w:br w:type="page"/>
      </w:r>
      <w:r>
        <w:rPr>
          <w:rFonts w:hint="eastAsia" w:ascii="宋体" w:hAnsi="宋体" w:cs="宋体"/>
          <w:b/>
          <w:color w:val="auto"/>
          <w:sz w:val="32"/>
          <w:szCs w:val="32"/>
          <w:highlight w:val="none"/>
        </w:rPr>
        <w:t>已标价工程量清单</w:t>
      </w:r>
    </w:p>
    <w:p w14:paraId="299C3C54">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已标价工程量清单应按第五章</w:t>
      </w:r>
      <w:r>
        <w:rPr>
          <w:rFonts w:hint="eastAsia" w:asciiTheme="minorEastAsia" w:hAnsiTheme="minorEastAsia" w:eastAsiaTheme="minorEastAsia"/>
          <w:color w:val="auto"/>
          <w:highlight w:val="none"/>
        </w:rPr>
        <w:t>“工程量清单及图纸”</w:t>
      </w:r>
      <w:r>
        <w:rPr>
          <w:rFonts w:hint="eastAsia" w:cs="宋体" w:asciiTheme="minorEastAsia" w:hAnsiTheme="minorEastAsia" w:eastAsiaTheme="minorEastAsia"/>
          <w:color w:val="auto"/>
          <w:highlight w:val="none"/>
        </w:rPr>
        <w:t>中的相关表格及竞标报价说明填写。构成合同文件的已标价工程量清单包括第五章</w:t>
      </w:r>
      <w:r>
        <w:rPr>
          <w:rFonts w:hint="eastAsia" w:asciiTheme="minorEastAsia" w:hAnsiTheme="minorEastAsia" w:eastAsiaTheme="minorEastAsia"/>
          <w:color w:val="auto"/>
          <w:highlight w:val="none"/>
        </w:rPr>
        <w:t>“工程量清单及图纸”</w:t>
      </w:r>
      <w:r>
        <w:rPr>
          <w:rFonts w:hint="eastAsia" w:cs="宋体" w:asciiTheme="minorEastAsia" w:hAnsiTheme="minorEastAsia" w:eastAsiaTheme="minorEastAsia"/>
          <w:color w:val="auto"/>
          <w:highlight w:val="none"/>
        </w:rPr>
        <w:t>有关工程量清单、竞标报价以及其他说明的内容。</w:t>
      </w:r>
    </w:p>
    <w:p w14:paraId="69C32F64">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一般计税法建设工程已标价工程量清单表格按</w:t>
      </w:r>
      <w:r>
        <w:rPr>
          <w:rFonts w:hint="eastAsia" w:cs="宋体" w:asciiTheme="minorEastAsia" w:hAnsiTheme="minorEastAsia" w:eastAsiaTheme="minorEastAsia"/>
          <w:color w:val="auto"/>
          <w:kern w:val="0"/>
          <w:highlight w:val="none"/>
        </w:rPr>
        <w:t>《关于建筑业实施营业税改征增值税后广西壮族自治区建设工程计价依据调整的通知》（桂建标〔</w:t>
      </w:r>
      <w:r>
        <w:rPr>
          <w:rFonts w:asciiTheme="minorEastAsia" w:hAnsiTheme="minorEastAsia" w:eastAsiaTheme="minorEastAsia"/>
          <w:color w:val="auto"/>
          <w:kern w:val="0"/>
          <w:highlight w:val="none"/>
        </w:rPr>
        <w:t>2016</w:t>
      </w:r>
      <w:r>
        <w:rPr>
          <w:rFonts w:hint="eastAsia" w:cs="宋体" w:asciiTheme="minorEastAsia" w:hAnsiTheme="minorEastAsia" w:eastAsiaTheme="minorEastAsia"/>
          <w:color w:val="auto"/>
          <w:kern w:val="0"/>
          <w:highlight w:val="none"/>
        </w:rPr>
        <w:t>〕</w:t>
      </w:r>
      <w:r>
        <w:rPr>
          <w:rFonts w:asciiTheme="minorEastAsia" w:hAnsiTheme="minorEastAsia" w:eastAsiaTheme="minorEastAsia"/>
          <w:color w:val="auto"/>
          <w:kern w:val="0"/>
          <w:highlight w:val="none"/>
        </w:rPr>
        <w:t>17</w:t>
      </w:r>
      <w:r>
        <w:rPr>
          <w:rFonts w:hint="eastAsia" w:cs="宋体" w:asciiTheme="minorEastAsia" w:hAnsiTheme="minorEastAsia" w:eastAsiaTheme="minorEastAsia"/>
          <w:color w:val="auto"/>
          <w:kern w:val="0"/>
          <w:highlight w:val="none"/>
        </w:rPr>
        <w:t>号）</w:t>
      </w:r>
      <w:r>
        <w:rPr>
          <w:rFonts w:hint="eastAsia" w:cs="宋体" w:asciiTheme="minorEastAsia" w:hAnsiTheme="minorEastAsia" w:eastAsiaTheme="minorEastAsia"/>
          <w:color w:val="auto"/>
          <w:highlight w:val="none"/>
        </w:rPr>
        <w:t>附件“增值税一般计税方法工程计价表”要求提供，简易计税法表格按《</w:t>
      </w:r>
      <w:r>
        <w:rPr>
          <w:rFonts w:asciiTheme="minorEastAsia" w:hAnsiTheme="minorEastAsia" w:eastAsiaTheme="minorEastAsia"/>
          <w:color w:val="auto"/>
          <w:highlight w:val="none"/>
        </w:rPr>
        <w:t>&lt;</w:t>
      </w:r>
      <w:r>
        <w:rPr>
          <w:rFonts w:hint="eastAsia" w:cs="宋体" w:asciiTheme="minorEastAsia" w:hAnsiTheme="minorEastAsia" w:eastAsiaTheme="minorEastAsia"/>
          <w:color w:val="auto"/>
          <w:highlight w:val="none"/>
        </w:rPr>
        <w:t>建设工程工程量清单计价规范</w:t>
      </w:r>
      <w:r>
        <w:rPr>
          <w:rFonts w:asciiTheme="minorEastAsia" w:hAnsiTheme="minorEastAsia" w:eastAsiaTheme="minorEastAsia"/>
          <w:color w:val="auto"/>
          <w:highlight w:val="none"/>
        </w:rPr>
        <w:t>&gt;</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GB5050-2013</w:t>
      </w:r>
      <w:r>
        <w:rPr>
          <w:rFonts w:hint="eastAsia" w:cs="宋体" w:asciiTheme="minorEastAsia" w:hAnsiTheme="minorEastAsia" w:eastAsiaTheme="minorEastAsia"/>
          <w:color w:val="auto"/>
          <w:highlight w:val="none"/>
        </w:rPr>
        <w:t>）广西壮族自治区实施细则》要求的表格提供，但规费和税费按照</w:t>
      </w:r>
      <w:r>
        <w:rPr>
          <w:rFonts w:hint="eastAsia" w:cs="宋体" w:asciiTheme="minorEastAsia" w:hAnsiTheme="minorEastAsia" w:eastAsiaTheme="minorEastAsia"/>
          <w:color w:val="auto"/>
          <w:kern w:val="0"/>
          <w:highlight w:val="none"/>
        </w:rPr>
        <w:t>《关于建筑业实施营业税改征增值税后广西壮族自治区建设工程计价依据调整的通知》（桂建标〔</w:t>
      </w:r>
      <w:r>
        <w:rPr>
          <w:rFonts w:asciiTheme="minorEastAsia" w:hAnsiTheme="minorEastAsia" w:eastAsiaTheme="minorEastAsia"/>
          <w:color w:val="auto"/>
          <w:kern w:val="0"/>
          <w:highlight w:val="none"/>
        </w:rPr>
        <w:t>2016</w:t>
      </w:r>
      <w:r>
        <w:rPr>
          <w:rFonts w:hint="eastAsia" w:cs="宋体" w:asciiTheme="minorEastAsia" w:hAnsiTheme="minorEastAsia" w:eastAsiaTheme="minorEastAsia"/>
          <w:color w:val="auto"/>
          <w:kern w:val="0"/>
          <w:highlight w:val="none"/>
        </w:rPr>
        <w:t>〕</w:t>
      </w:r>
      <w:r>
        <w:rPr>
          <w:rFonts w:asciiTheme="minorEastAsia" w:hAnsiTheme="minorEastAsia" w:eastAsiaTheme="minorEastAsia"/>
          <w:color w:val="auto"/>
          <w:kern w:val="0"/>
          <w:highlight w:val="none"/>
        </w:rPr>
        <w:t>17</w:t>
      </w:r>
      <w:r>
        <w:rPr>
          <w:rFonts w:hint="eastAsia" w:cs="宋体" w:asciiTheme="minorEastAsia" w:hAnsiTheme="minorEastAsia" w:eastAsiaTheme="minorEastAsia"/>
          <w:color w:val="auto"/>
          <w:kern w:val="0"/>
          <w:highlight w:val="none"/>
        </w:rPr>
        <w:t>号）、《自治区住房城乡建设厅关于调整建设工程计价增值税税率的通知》（桂建标〔2018〕14号）、《自治区住房城乡建设厅关于调整建设工程计价增值税税率的通知》（桂建标〔2019〕12号）</w:t>
      </w:r>
      <w:r>
        <w:rPr>
          <w:rFonts w:hint="eastAsia" w:cs="宋体" w:asciiTheme="minorEastAsia" w:hAnsiTheme="minorEastAsia" w:eastAsiaTheme="minorEastAsia"/>
          <w:color w:val="auto"/>
          <w:highlight w:val="none"/>
        </w:rPr>
        <w:t>调整，具体内容包括：</w:t>
      </w:r>
    </w:p>
    <w:p w14:paraId="7FFDF71A">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 </w:t>
      </w:r>
      <w:r>
        <w:rPr>
          <w:rFonts w:hint="eastAsia" w:cs="宋体" w:asciiTheme="minorEastAsia" w:hAnsiTheme="minorEastAsia" w:eastAsiaTheme="minorEastAsia"/>
          <w:color w:val="auto"/>
          <w:highlight w:val="none"/>
        </w:rPr>
        <w:t>投标总价（封</w:t>
      </w:r>
      <w:r>
        <w:rPr>
          <w:rFonts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w:t>
      </w:r>
    </w:p>
    <w:p w14:paraId="4CFD903D">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1.2 </w:t>
      </w:r>
      <w:r>
        <w:rPr>
          <w:rFonts w:hint="eastAsia" w:cs="宋体" w:asciiTheme="minorEastAsia" w:hAnsiTheme="minorEastAsia" w:eastAsiaTheme="minorEastAsia"/>
          <w:color w:val="auto"/>
          <w:highlight w:val="none"/>
        </w:rPr>
        <w:t>投标总价（扉</w:t>
      </w:r>
      <w:r>
        <w:rPr>
          <w:rFonts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w:t>
      </w:r>
    </w:p>
    <w:p w14:paraId="36934E4D">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1.3 </w:t>
      </w:r>
      <w:r>
        <w:rPr>
          <w:rFonts w:hint="eastAsia" w:cs="宋体" w:asciiTheme="minorEastAsia" w:hAnsiTheme="minorEastAsia" w:eastAsiaTheme="minorEastAsia"/>
          <w:color w:val="auto"/>
          <w:highlight w:val="none"/>
        </w:rPr>
        <w:t>总说明（表</w:t>
      </w:r>
      <w:r>
        <w:rPr>
          <w:rFonts w:asciiTheme="minorEastAsia" w:hAnsiTheme="minorEastAsia" w:eastAsiaTheme="minorEastAsia"/>
          <w:color w:val="auto"/>
          <w:highlight w:val="none"/>
        </w:rPr>
        <w:t>-01</w:t>
      </w:r>
      <w:r>
        <w:rPr>
          <w:rFonts w:hint="eastAsia" w:cs="宋体" w:asciiTheme="minorEastAsia" w:hAnsiTheme="minorEastAsia" w:eastAsiaTheme="minorEastAsia"/>
          <w:color w:val="auto"/>
          <w:highlight w:val="none"/>
        </w:rPr>
        <w:t>）</w:t>
      </w:r>
    </w:p>
    <w:p w14:paraId="4C2FA727">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1.4 </w:t>
      </w:r>
      <w:r>
        <w:rPr>
          <w:rFonts w:hint="eastAsia" w:cs="宋体" w:asciiTheme="minorEastAsia" w:hAnsiTheme="minorEastAsia" w:eastAsiaTheme="minorEastAsia"/>
          <w:color w:val="auto"/>
          <w:highlight w:val="none"/>
        </w:rPr>
        <w:t>建设项目投标报价汇总表（表</w:t>
      </w:r>
      <w:r>
        <w:rPr>
          <w:rFonts w:asciiTheme="minorEastAsia" w:hAnsiTheme="minorEastAsia" w:eastAsiaTheme="minorEastAsia"/>
          <w:color w:val="auto"/>
          <w:highlight w:val="none"/>
        </w:rPr>
        <w:t>-02</w:t>
      </w:r>
      <w:r>
        <w:rPr>
          <w:rFonts w:hint="eastAsia" w:cs="宋体" w:asciiTheme="minorEastAsia" w:hAnsiTheme="minorEastAsia" w:eastAsiaTheme="minorEastAsia"/>
          <w:color w:val="auto"/>
          <w:highlight w:val="none"/>
        </w:rPr>
        <w:t>）</w:t>
      </w:r>
    </w:p>
    <w:p w14:paraId="5B2C726F">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1.5 </w:t>
      </w:r>
      <w:r>
        <w:rPr>
          <w:rFonts w:hint="eastAsia" w:cs="宋体" w:asciiTheme="minorEastAsia" w:hAnsiTheme="minorEastAsia" w:eastAsiaTheme="minorEastAsia"/>
          <w:color w:val="auto"/>
          <w:highlight w:val="none"/>
        </w:rPr>
        <w:t>单项工程投标报价汇总表（表</w:t>
      </w:r>
      <w:r>
        <w:rPr>
          <w:rFonts w:asciiTheme="minorEastAsia" w:hAnsiTheme="minorEastAsia" w:eastAsiaTheme="minorEastAsia"/>
          <w:color w:val="auto"/>
          <w:highlight w:val="none"/>
        </w:rPr>
        <w:t>-03</w:t>
      </w:r>
      <w:r>
        <w:rPr>
          <w:rFonts w:hint="eastAsia" w:cs="宋体" w:asciiTheme="minorEastAsia" w:hAnsiTheme="minorEastAsia" w:eastAsiaTheme="minorEastAsia"/>
          <w:color w:val="auto"/>
          <w:highlight w:val="none"/>
        </w:rPr>
        <w:t>）</w:t>
      </w:r>
    </w:p>
    <w:p w14:paraId="532F0269">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1.6 </w:t>
      </w:r>
      <w:r>
        <w:rPr>
          <w:rFonts w:hint="eastAsia" w:cs="宋体" w:asciiTheme="minorEastAsia" w:hAnsiTheme="minorEastAsia" w:eastAsiaTheme="minorEastAsia"/>
          <w:color w:val="auto"/>
          <w:highlight w:val="none"/>
        </w:rPr>
        <w:t>单位工程投标报价汇总表（表</w:t>
      </w:r>
      <w:r>
        <w:rPr>
          <w:rFonts w:asciiTheme="minorEastAsia" w:hAnsiTheme="minorEastAsia" w:eastAsiaTheme="minorEastAsia"/>
          <w:color w:val="auto"/>
          <w:highlight w:val="none"/>
        </w:rPr>
        <w:t>-04</w:t>
      </w:r>
      <w:r>
        <w:rPr>
          <w:rFonts w:hint="eastAsia" w:cs="宋体" w:asciiTheme="minorEastAsia" w:hAnsiTheme="minorEastAsia" w:eastAsiaTheme="minorEastAsia"/>
          <w:color w:val="auto"/>
          <w:highlight w:val="none"/>
        </w:rPr>
        <w:t>）</w:t>
      </w:r>
    </w:p>
    <w:p w14:paraId="4D7C5A2C">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1.7 </w:t>
      </w:r>
      <w:r>
        <w:rPr>
          <w:rFonts w:hint="eastAsia" w:cs="宋体" w:asciiTheme="minorEastAsia" w:hAnsiTheme="minorEastAsia" w:eastAsiaTheme="minorEastAsia"/>
          <w:color w:val="auto"/>
          <w:highlight w:val="none"/>
        </w:rPr>
        <w:t>分部分项工程和单价措施项目清单与计价表（表</w:t>
      </w:r>
      <w:r>
        <w:rPr>
          <w:rFonts w:asciiTheme="minorEastAsia" w:hAnsiTheme="minorEastAsia" w:eastAsiaTheme="minorEastAsia"/>
          <w:color w:val="auto"/>
          <w:highlight w:val="none"/>
        </w:rPr>
        <w:t>-08</w:t>
      </w:r>
      <w:r>
        <w:rPr>
          <w:rFonts w:hint="eastAsia" w:cs="宋体" w:asciiTheme="minorEastAsia" w:hAnsiTheme="minorEastAsia" w:eastAsiaTheme="minorEastAsia"/>
          <w:color w:val="auto"/>
          <w:highlight w:val="none"/>
        </w:rPr>
        <w:t>）</w:t>
      </w:r>
    </w:p>
    <w:p w14:paraId="369C36A2">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1.8 </w:t>
      </w:r>
      <w:r>
        <w:rPr>
          <w:rFonts w:hint="eastAsia" w:cs="宋体" w:asciiTheme="minorEastAsia" w:hAnsiTheme="minorEastAsia" w:eastAsiaTheme="minorEastAsia"/>
          <w:color w:val="auto"/>
          <w:highlight w:val="none"/>
        </w:rPr>
        <w:t>工程量清单综合单价分析表（表</w:t>
      </w:r>
      <w:r>
        <w:rPr>
          <w:rFonts w:asciiTheme="minorEastAsia" w:hAnsiTheme="minorEastAsia" w:eastAsiaTheme="minorEastAsia"/>
          <w:color w:val="auto"/>
          <w:highlight w:val="none"/>
        </w:rPr>
        <w:t>-09</w:t>
      </w:r>
      <w:r>
        <w:rPr>
          <w:rFonts w:hint="eastAsia" w:cs="宋体" w:asciiTheme="minorEastAsia" w:hAnsiTheme="minorEastAsia" w:eastAsiaTheme="minorEastAsia"/>
          <w:color w:val="auto"/>
          <w:highlight w:val="none"/>
        </w:rPr>
        <w:t>）</w:t>
      </w:r>
    </w:p>
    <w:p w14:paraId="21E8A6DE">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1.9 </w:t>
      </w:r>
      <w:r>
        <w:rPr>
          <w:rFonts w:hint="eastAsia" w:cs="宋体" w:asciiTheme="minorEastAsia" w:hAnsiTheme="minorEastAsia" w:eastAsiaTheme="minorEastAsia"/>
          <w:color w:val="auto"/>
          <w:highlight w:val="none"/>
        </w:rPr>
        <w:t>主要清单项目工料机分析表（表</w:t>
      </w:r>
      <w:r>
        <w:rPr>
          <w:rFonts w:asciiTheme="minorEastAsia" w:hAnsiTheme="minorEastAsia" w:eastAsiaTheme="minorEastAsia"/>
          <w:color w:val="auto"/>
          <w:highlight w:val="none"/>
        </w:rPr>
        <w:t>-10</w:t>
      </w:r>
      <w:r>
        <w:rPr>
          <w:rFonts w:hint="eastAsia" w:cs="宋体" w:asciiTheme="minorEastAsia" w:hAnsiTheme="minorEastAsia" w:eastAsiaTheme="minorEastAsia"/>
          <w:color w:val="auto"/>
          <w:highlight w:val="none"/>
        </w:rPr>
        <w:t>）【备注：可按要求有选择的提供】</w:t>
      </w:r>
    </w:p>
    <w:p w14:paraId="75564718">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1.10 </w:t>
      </w:r>
      <w:r>
        <w:rPr>
          <w:rFonts w:hint="eastAsia" w:cs="宋体" w:asciiTheme="minorEastAsia" w:hAnsiTheme="minorEastAsia" w:eastAsiaTheme="minorEastAsia"/>
          <w:color w:val="auto"/>
          <w:highlight w:val="none"/>
        </w:rPr>
        <w:t>总价措施项目清单与计价表（表</w:t>
      </w:r>
      <w:r>
        <w:rPr>
          <w:rFonts w:asciiTheme="minorEastAsia" w:hAnsiTheme="minorEastAsia" w:eastAsiaTheme="minorEastAsia"/>
          <w:color w:val="auto"/>
          <w:highlight w:val="none"/>
        </w:rPr>
        <w:t>-11</w:t>
      </w:r>
      <w:r>
        <w:rPr>
          <w:rFonts w:hint="eastAsia" w:cs="宋体" w:asciiTheme="minorEastAsia" w:hAnsiTheme="minorEastAsia" w:eastAsiaTheme="minorEastAsia"/>
          <w:color w:val="auto"/>
          <w:highlight w:val="none"/>
        </w:rPr>
        <w:t>）</w:t>
      </w:r>
    </w:p>
    <w:p w14:paraId="09F2699F">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1.11 </w:t>
      </w:r>
      <w:r>
        <w:rPr>
          <w:rFonts w:hint="eastAsia" w:cs="宋体" w:asciiTheme="minorEastAsia" w:hAnsiTheme="minorEastAsia" w:eastAsiaTheme="minorEastAsia"/>
          <w:color w:val="auto"/>
          <w:highlight w:val="none"/>
        </w:rPr>
        <w:t>其他项目清单与计价汇总表（表</w:t>
      </w:r>
      <w:r>
        <w:rPr>
          <w:rFonts w:asciiTheme="minorEastAsia" w:hAnsiTheme="minorEastAsia" w:eastAsiaTheme="minorEastAsia"/>
          <w:color w:val="auto"/>
          <w:highlight w:val="none"/>
        </w:rPr>
        <w:t>-12</w:t>
      </w:r>
      <w:r>
        <w:rPr>
          <w:rFonts w:hint="eastAsia" w:cs="宋体" w:asciiTheme="minorEastAsia" w:hAnsiTheme="minorEastAsia" w:eastAsiaTheme="minorEastAsia"/>
          <w:color w:val="auto"/>
          <w:highlight w:val="none"/>
        </w:rPr>
        <w:t>）</w:t>
      </w:r>
    </w:p>
    <w:p w14:paraId="33CA9CA7">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1.12 </w:t>
      </w:r>
      <w:r>
        <w:rPr>
          <w:rFonts w:hint="eastAsia" w:cs="宋体" w:asciiTheme="minorEastAsia" w:hAnsiTheme="minorEastAsia" w:eastAsiaTheme="minorEastAsia"/>
          <w:color w:val="auto"/>
          <w:highlight w:val="none"/>
        </w:rPr>
        <w:t>暂列金额明细表（表</w:t>
      </w:r>
      <w:r>
        <w:rPr>
          <w:rFonts w:asciiTheme="minorEastAsia" w:hAnsiTheme="minorEastAsia" w:eastAsiaTheme="minorEastAsia"/>
          <w:color w:val="auto"/>
          <w:highlight w:val="none"/>
        </w:rPr>
        <w:t>12-1</w:t>
      </w:r>
      <w:r>
        <w:rPr>
          <w:rFonts w:hint="eastAsia" w:cs="宋体" w:asciiTheme="minorEastAsia" w:hAnsiTheme="minorEastAsia" w:eastAsiaTheme="minorEastAsia"/>
          <w:color w:val="auto"/>
          <w:highlight w:val="none"/>
        </w:rPr>
        <w:t>）</w:t>
      </w:r>
    </w:p>
    <w:p w14:paraId="7EE88CBA">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1.13 </w:t>
      </w:r>
      <w:r>
        <w:rPr>
          <w:rFonts w:hint="eastAsia" w:cs="宋体" w:asciiTheme="minorEastAsia" w:hAnsiTheme="minorEastAsia" w:eastAsiaTheme="minorEastAsia"/>
          <w:color w:val="auto"/>
          <w:highlight w:val="none"/>
        </w:rPr>
        <w:t>材料（工程设备）暂估单价及调整表（表</w:t>
      </w:r>
      <w:r>
        <w:rPr>
          <w:rFonts w:asciiTheme="minorEastAsia" w:hAnsiTheme="minorEastAsia" w:eastAsiaTheme="minorEastAsia"/>
          <w:color w:val="auto"/>
          <w:highlight w:val="none"/>
        </w:rPr>
        <w:t>12-2</w:t>
      </w:r>
      <w:r>
        <w:rPr>
          <w:rFonts w:hint="eastAsia" w:cs="宋体" w:asciiTheme="minorEastAsia" w:hAnsiTheme="minorEastAsia" w:eastAsiaTheme="minorEastAsia"/>
          <w:color w:val="auto"/>
          <w:highlight w:val="none"/>
        </w:rPr>
        <w:t>）</w:t>
      </w:r>
    </w:p>
    <w:p w14:paraId="3A6BC883">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1.14 </w:t>
      </w:r>
      <w:r>
        <w:rPr>
          <w:rFonts w:hint="eastAsia" w:cs="宋体" w:asciiTheme="minorEastAsia" w:hAnsiTheme="minorEastAsia" w:eastAsiaTheme="minorEastAsia"/>
          <w:color w:val="auto"/>
          <w:highlight w:val="none"/>
        </w:rPr>
        <w:t>专业工程暂估价及结算价表（表</w:t>
      </w:r>
      <w:r>
        <w:rPr>
          <w:rFonts w:asciiTheme="minorEastAsia" w:hAnsiTheme="minorEastAsia" w:eastAsiaTheme="minorEastAsia"/>
          <w:color w:val="auto"/>
          <w:highlight w:val="none"/>
        </w:rPr>
        <w:t>12-3</w:t>
      </w:r>
      <w:r>
        <w:rPr>
          <w:rFonts w:hint="eastAsia" w:cs="宋体" w:asciiTheme="minorEastAsia" w:hAnsiTheme="minorEastAsia" w:eastAsiaTheme="minorEastAsia"/>
          <w:color w:val="auto"/>
          <w:highlight w:val="none"/>
        </w:rPr>
        <w:t>）</w:t>
      </w:r>
    </w:p>
    <w:p w14:paraId="53F816B1">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1.15</w:t>
      </w:r>
      <w:r>
        <w:rPr>
          <w:rFonts w:hint="eastAsia" w:cs="宋体" w:asciiTheme="minorEastAsia" w:hAnsiTheme="minorEastAsia" w:eastAsiaTheme="minorEastAsia"/>
          <w:color w:val="auto"/>
          <w:highlight w:val="none"/>
        </w:rPr>
        <w:t>计日工表（表</w:t>
      </w:r>
      <w:r>
        <w:rPr>
          <w:rFonts w:asciiTheme="minorEastAsia" w:hAnsiTheme="minorEastAsia" w:eastAsiaTheme="minorEastAsia"/>
          <w:color w:val="auto"/>
          <w:highlight w:val="none"/>
        </w:rPr>
        <w:t>12-4</w:t>
      </w:r>
      <w:r>
        <w:rPr>
          <w:rFonts w:hint="eastAsia" w:cs="宋体" w:asciiTheme="minorEastAsia" w:hAnsiTheme="minorEastAsia" w:eastAsiaTheme="minorEastAsia"/>
          <w:color w:val="auto"/>
          <w:highlight w:val="none"/>
        </w:rPr>
        <w:t>）</w:t>
      </w:r>
    </w:p>
    <w:p w14:paraId="6F8B5A9E">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1.16 </w:t>
      </w:r>
      <w:r>
        <w:rPr>
          <w:rFonts w:hint="eastAsia" w:cs="宋体" w:asciiTheme="minorEastAsia" w:hAnsiTheme="minorEastAsia" w:eastAsiaTheme="minorEastAsia"/>
          <w:color w:val="auto"/>
          <w:highlight w:val="none"/>
        </w:rPr>
        <w:t>总承包服务费计价表（表</w:t>
      </w:r>
      <w:r>
        <w:rPr>
          <w:rFonts w:asciiTheme="minorEastAsia" w:hAnsiTheme="minorEastAsia" w:eastAsiaTheme="minorEastAsia"/>
          <w:color w:val="auto"/>
          <w:highlight w:val="none"/>
        </w:rPr>
        <w:t>12-5</w:t>
      </w:r>
      <w:r>
        <w:rPr>
          <w:rFonts w:hint="eastAsia" w:cs="宋体" w:asciiTheme="minorEastAsia" w:hAnsiTheme="minorEastAsia" w:eastAsiaTheme="minorEastAsia"/>
          <w:color w:val="auto"/>
          <w:highlight w:val="none"/>
        </w:rPr>
        <w:t>）</w:t>
      </w:r>
    </w:p>
    <w:p w14:paraId="502042D4">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1.17 </w:t>
      </w:r>
      <w:r>
        <w:rPr>
          <w:rFonts w:hint="eastAsia" w:cs="宋体" w:asciiTheme="minorEastAsia" w:hAnsiTheme="minorEastAsia" w:eastAsiaTheme="minorEastAsia"/>
          <w:color w:val="auto"/>
          <w:highlight w:val="none"/>
        </w:rPr>
        <w:t>税前项目清单与计价表（表</w:t>
      </w:r>
      <w:r>
        <w:rPr>
          <w:rFonts w:asciiTheme="minorEastAsia" w:hAnsiTheme="minorEastAsia" w:eastAsiaTheme="minorEastAsia"/>
          <w:color w:val="auto"/>
          <w:highlight w:val="none"/>
        </w:rPr>
        <w:t>-14</w:t>
      </w:r>
      <w:r>
        <w:rPr>
          <w:rFonts w:hint="eastAsia" w:cs="宋体" w:asciiTheme="minorEastAsia" w:hAnsiTheme="minorEastAsia" w:eastAsiaTheme="minorEastAsia"/>
          <w:color w:val="auto"/>
          <w:highlight w:val="none"/>
        </w:rPr>
        <w:t>）</w:t>
      </w:r>
    </w:p>
    <w:p w14:paraId="00B09A5B">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1.18 </w:t>
      </w:r>
      <w:r>
        <w:rPr>
          <w:rFonts w:hint="eastAsia" w:cs="宋体" w:asciiTheme="minorEastAsia" w:hAnsiTheme="minorEastAsia" w:eastAsiaTheme="minorEastAsia"/>
          <w:color w:val="auto"/>
          <w:highlight w:val="none"/>
        </w:rPr>
        <w:t>规费、增值税计价表（表</w:t>
      </w:r>
      <w:r>
        <w:rPr>
          <w:rFonts w:asciiTheme="minorEastAsia" w:hAnsiTheme="minorEastAsia" w:eastAsiaTheme="minorEastAsia"/>
          <w:color w:val="auto"/>
          <w:highlight w:val="none"/>
        </w:rPr>
        <w:t>-15</w:t>
      </w:r>
      <w:r>
        <w:rPr>
          <w:rFonts w:hint="eastAsia" w:cs="宋体" w:asciiTheme="minorEastAsia" w:hAnsiTheme="minorEastAsia" w:eastAsiaTheme="minorEastAsia"/>
          <w:color w:val="auto"/>
          <w:highlight w:val="none"/>
        </w:rPr>
        <w:t>）</w:t>
      </w:r>
    </w:p>
    <w:p w14:paraId="121E58A6">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1.19 </w:t>
      </w:r>
      <w:r>
        <w:rPr>
          <w:rFonts w:hint="eastAsia" w:cs="宋体" w:asciiTheme="minorEastAsia" w:hAnsiTheme="minorEastAsia" w:eastAsiaTheme="minorEastAsia"/>
          <w:color w:val="auto"/>
          <w:highlight w:val="none"/>
        </w:rPr>
        <w:t>发包人提供主要材料和工程设备一览表（表</w:t>
      </w:r>
      <w:r>
        <w:rPr>
          <w:rFonts w:asciiTheme="minorEastAsia" w:hAnsiTheme="minorEastAsia" w:eastAsiaTheme="minorEastAsia"/>
          <w:color w:val="auto"/>
          <w:highlight w:val="none"/>
        </w:rPr>
        <w:t>-21</w:t>
      </w:r>
      <w:r>
        <w:rPr>
          <w:rFonts w:hint="eastAsia" w:cs="宋体" w:asciiTheme="minorEastAsia" w:hAnsiTheme="minorEastAsia" w:eastAsiaTheme="minorEastAsia"/>
          <w:color w:val="auto"/>
          <w:highlight w:val="none"/>
        </w:rPr>
        <w:t>）</w:t>
      </w:r>
    </w:p>
    <w:p w14:paraId="313B85A4">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1.20 </w:t>
      </w:r>
      <w:r>
        <w:rPr>
          <w:rFonts w:hint="eastAsia" w:cs="宋体" w:asciiTheme="minorEastAsia" w:hAnsiTheme="minorEastAsia" w:eastAsiaTheme="minorEastAsia"/>
          <w:color w:val="auto"/>
          <w:highlight w:val="none"/>
        </w:rPr>
        <w:t>允许调整主要材料和工程设备一览表（适用于造价信息差额调整法）（表</w:t>
      </w:r>
      <w:r>
        <w:rPr>
          <w:rFonts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w:t>
      </w:r>
    </w:p>
    <w:p w14:paraId="53829F6F">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1.21 </w:t>
      </w:r>
      <w:r>
        <w:rPr>
          <w:rFonts w:hint="eastAsia" w:cs="宋体" w:asciiTheme="minorEastAsia" w:hAnsiTheme="minorEastAsia" w:eastAsiaTheme="minorEastAsia"/>
          <w:color w:val="auto"/>
          <w:highlight w:val="none"/>
        </w:rPr>
        <w:t>允许调整主要材料和工程设备一览表（适用于价格指数差额调整法）（表</w:t>
      </w:r>
      <w:r>
        <w:rPr>
          <w:rFonts w:asciiTheme="minorEastAsia" w:hAnsiTheme="minorEastAsia" w:eastAsiaTheme="minorEastAsia"/>
          <w:color w:val="auto"/>
          <w:highlight w:val="none"/>
        </w:rPr>
        <w:t>-23</w:t>
      </w:r>
      <w:r>
        <w:rPr>
          <w:rFonts w:hint="eastAsia" w:cs="宋体" w:asciiTheme="minorEastAsia" w:hAnsiTheme="minorEastAsia" w:eastAsiaTheme="minorEastAsia"/>
          <w:color w:val="auto"/>
          <w:highlight w:val="none"/>
        </w:rPr>
        <w:t>）</w:t>
      </w:r>
    </w:p>
    <w:p w14:paraId="552B4605">
      <w:pPr>
        <w:spacing w:line="360" w:lineRule="auto"/>
        <w:ind w:firstLine="630" w:firstLineChars="3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1.22</w:t>
      </w:r>
      <w:r>
        <w:rPr>
          <w:rFonts w:hint="eastAsia" w:cs="宋体" w:asciiTheme="minorEastAsia" w:hAnsiTheme="minorEastAsia" w:eastAsiaTheme="minorEastAsia"/>
          <w:color w:val="auto"/>
          <w:highlight w:val="none"/>
        </w:rPr>
        <w:t>本工程</w:t>
      </w:r>
      <w:r>
        <w:rPr>
          <w:rFonts w:cs="宋体" w:asciiTheme="minorEastAsia" w:hAnsiTheme="minorEastAsia" w:eastAsiaTheme="minorEastAsia"/>
          <w:color w:val="auto"/>
          <w:highlight w:val="none"/>
        </w:rPr>
        <w:t>材料和工程设备</w:t>
      </w:r>
      <w:r>
        <w:rPr>
          <w:rFonts w:hint="eastAsia" w:cs="宋体" w:asciiTheme="minorEastAsia" w:hAnsiTheme="minorEastAsia" w:eastAsiaTheme="minorEastAsia"/>
          <w:color w:val="auto"/>
          <w:highlight w:val="none"/>
        </w:rPr>
        <w:t>一览表（表-24）</w:t>
      </w:r>
    </w:p>
    <w:p w14:paraId="782A0421">
      <w:pPr>
        <w:spacing w:line="360" w:lineRule="auto"/>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备注：</w:t>
      </w:r>
    </w:p>
    <w:p w14:paraId="7EED6FC7">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）供应商在上传电子响应文件时应上传纸质投标总价封面的原件扫描件。报标总价封面必须经供应商盖章，并由法定代表人（或其授权人）签字（或盖章），同时由编制人签字盖专用章。</w:t>
      </w:r>
    </w:p>
    <w:p w14:paraId="75E626FE">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1.8</w:t>
      </w:r>
      <w:r>
        <w:rPr>
          <w:rFonts w:hint="eastAsia" w:cs="宋体" w:asciiTheme="minorEastAsia" w:hAnsiTheme="minorEastAsia" w:eastAsiaTheme="minorEastAsia"/>
          <w:color w:val="auto"/>
          <w:highlight w:val="none"/>
        </w:rPr>
        <w:t>工程量清单综合单价分析表和</w:t>
      </w:r>
      <w:r>
        <w:rPr>
          <w:rFonts w:asciiTheme="minorEastAsia" w:hAnsiTheme="minorEastAsia" w:eastAsiaTheme="minorEastAsia"/>
          <w:color w:val="auto"/>
          <w:highlight w:val="none"/>
        </w:rPr>
        <w:t>1.9</w:t>
      </w:r>
      <w:r>
        <w:rPr>
          <w:rFonts w:hint="eastAsia" w:cs="宋体" w:asciiTheme="minorEastAsia" w:hAnsiTheme="minorEastAsia" w:eastAsiaTheme="minorEastAsia"/>
          <w:color w:val="auto"/>
          <w:highlight w:val="none"/>
        </w:rPr>
        <w:t>主要清单项目工料机分析表要求附上。</w:t>
      </w:r>
    </w:p>
    <w:p w14:paraId="1972C84D">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）已标价工程量清单表格要严格按照招标工程量清单给出的表格要求和内容填报。如本工程在合同中约定采用造价信息价差调整法，1.</w:t>
      </w:r>
      <w:r>
        <w:rPr>
          <w:rFonts w:asciiTheme="minorEastAsia" w:hAnsiTheme="minorEastAsia" w:eastAsiaTheme="minorEastAsia"/>
          <w:color w:val="auto"/>
          <w:highlight w:val="none"/>
        </w:rPr>
        <w:t xml:space="preserve">18 </w:t>
      </w:r>
      <w:r>
        <w:rPr>
          <w:rFonts w:hint="eastAsia" w:cs="宋体" w:asciiTheme="minorEastAsia" w:hAnsiTheme="minorEastAsia" w:eastAsiaTheme="minorEastAsia"/>
          <w:color w:val="auto"/>
          <w:highlight w:val="none"/>
        </w:rPr>
        <w:t>允许调整主要材料和工程设备一览表（适用于造价信息差额调整法）（表</w:t>
      </w:r>
      <w:r>
        <w:rPr>
          <w:rFonts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载明的主要材料和工程设备为本工程允许调整的材料和工程设备，招标工程量清单必须提供该表格，且不能提供空白表。以下表格视工程实际需要选用，如该工程不发生如下表格相关项目和费用，招标工程量清单不应列入该部分表格，已标价工程量清单亦不包括这部分表格。</w:t>
      </w:r>
    </w:p>
    <w:p w14:paraId="637AE658">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①建设项目投标报价汇总表（表</w:t>
      </w:r>
      <w:r>
        <w:rPr>
          <w:rFonts w:asciiTheme="minorEastAsia" w:hAnsiTheme="minorEastAsia" w:eastAsiaTheme="minorEastAsia"/>
          <w:color w:val="auto"/>
          <w:highlight w:val="none"/>
        </w:rPr>
        <w:t>-02</w:t>
      </w:r>
      <w:r>
        <w:rPr>
          <w:rFonts w:hint="eastAsia" w:cs="宋体" w:asciiTheme="minorEastAsia" w:hAnsiTheme="minorEastAsia" w:eastAsiaTheme="minorEastAsia"/>
          <w:color w:val="auto"/>
          <w:highlight w:val="none"/>
        </w:rPr>
        <w:t>）</w:t>
      </w:r>
    </w:p>
    <w:p w14:paraId="7CE3BCE5">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②暂列金额明细表（表</w:t>
      </w:r>
      <w:r>
        <w:rPr>
          <w:rFonts w:asciiTheme="minorEastAsia" w:hAnsiTheme="minorEastAsia" w:eastAsiaTheme="minorEastAsia"/>
          <w:color w:val="auto"/>
          <w:highlight w:val="none"/>
        </w:rPr>
        <w:t>12-1</w:t>
      </w:r>
      <w:r>
        <w:rPr>
          <w:rFonts w:hint="eastAsia" w:cs="宋体" w:asciiTheme="minorEastAsia" w:hAnsiTheme="minorEastAsia" w:eastAsiaTheme="minorEastAsia"/>
          <w:color w:val="auto"/>
          <w:highlight w:val="none"/>
        </w:rPr>
        <w:t>）</w:t>
      </w:r>
    </w:p>
    <w:p w14:paraId="47D291DB">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③材料（工程设备）暂估单位及调整表（表</w:t>
      </w:r>
      <w:r>
        <w:rPr>
          <w:rFonts w:asciiTheme="minorEastAsia" w:hAnsiTheme="minorEastAsia" w:eastAsiaTheme="minorEastAsia"/>
          <w:color w:val="auto"/>
          <w:highlight w:val="none"/>
        </w:rPr>
        <w:t>12-2</w:t>
      </w:r>
      <w:r>
        <w:rPr>
          <w:rFonts w:hint="eastAsia" w:cs="宋体" w:asciiTheme="minorEastAsia" w:hAnsiTheme="minorEastAsia" w:eastAsiaTheme="minorEastAsia"/>
          <w:color w:val="auto"/>
          <w:highlight w:val="none"/>
        </w:rPr>
        <w:t>）</w:t>
      </w:r>
    </w:p>
    <w:p w14:paraId="7432515A">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④专业工程暂估价及结算价表（表</w:t>
      </w:r>
      <w:r>
        <w:rPr>
          <w:rFonts w:asciiTheme="minorEastAsia" w:hAnsiTheme="minorEastAsia" w:eastAsiaTheme="minorEastAsia"/>
          <w:color w:val="auto"/>
          <w:highlight w:val="none"/>
        </w:rPr>
        <w:t>12-3</w:t>
      </w:r>
      <w:r>
        <w:rPr>
          <w:rFonts w:hint="eastAsia" w:cs="宋体" w:asciiTheme="minorEastAsia" w:hAnsiTheme="minorEastAsia" w:eastAsiaTheme="minorEastAsia"/>
          <w:color w:val="auto"/>
          <w:highlight w:val="none"/>
        </w:rPr>
        <w:t>）</w:t>
      </w:r>
    </w:p>
    <w:p w14:paraId="4967DEE2">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⑤计日工表表</w:t>
      </w:r>
      <w:r>
        <w:rPr>
          <w:rFonts w:asciiTheme="minorEastAsia" w:hAnsiTheme="minorEastAsia" w:eastAsiaTheme="minorEastAsia"/>
          <w:color w:val="auto"/>
          <w:highlight w:val="none"/>
        </w:rPr>
        <w:t>12-4</w:t>
      </w:r>
      <w:r>
        <w:rPr>
          <w:rFonts w:hint="eastAsia" w:cs="宋体" w:asciiTheme="minorEastAsia" w:hAnsiTheme="minorEastAsia" w:eastAsiaTheme="minorEastAsia"/>
          <w:color w:val="auto"/>
          <w:highlight w:val="none"/>
        </w:rPr>
        <w:t>）</w:t>
      </w:r>
    </w:p>
    <w:p w14:paraId="30DE613D">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⑥总承包服务费计价表（表</w:t>
      </w:r>
      <w:r>
        <w:rPr>
          <w:rFonts w:asciiTheme="minorEastAsia" w:hAnsiTheme="minorEastAsia" w:eastAsiaTheme="minorEastAsia"/>
          <w:color w:val="auto"/>
          <w:highlight w:val="none"/>
        </w:rPr>
        <w:t>12-5</w:t>
      </w:r>
      <w:r>
        <w:rPr>
          <w:rFonts w:hint="eastAsia" w:cs="宋体" w:asciiTheme="minorEastAsia" w:hAnsiTheme="minorEastAsia" w:eastAsiaTheme="minorEastAsia"/>
          <w:color w:val="auto"/>
          <w:highlight w:val="none"/>
        </w:rPr>
        <w:t>）</w:t>
      </w:r>
    </w:p>
    <w:p w14:paraId="5E453288">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⑦税前项目清单与计价表（表</w:t>
      </w:r>
      <w:r>
        <w:rPr>
          <w:rFonts w:asciiTheme="minorEastAsia" w:hAnsiTheme="minorEastAsia" w:eastAsiaTheme="minorEastAsia"/>
          <w:color w:val="auto"/>
          <w:highlight w:val="none"/>
        </w:rPr>
        <w:t>-14</w:t>
      </w:r>
      <w:r>
        <w:rPr>
          <w:rFonts w:hint="eastAsia" w:cs="宋体" w:asciiTheme="minorEastAsia" w:hAnsiTheme="minorEastAsia" w:eastAsiaTheme="minorEastAsia"/>
          <w:color w:val="auto"/>
          <w:highlight w:val="none"/>
        </w:rPr>
        <w:t>）</w:t>
      </w:r>
    </w:p>
    <w:p w14:paraId="1FB06F4A">
      <w:pPr>
        <w:spacing w:line="360" w:lineRule="auto"/>
        <w:ind w:firstLine="420" w:firstLineChars="200"/>
        <w:rPr>
          <w:rFonts w:hint="eastAsia" w:cs="宋体" w:asciiTheme="minorEastAsia" w:hAnsiTheme="minorEastAsia" w:eastAsiaTheme="minorEastAsia"/>
          <w:color w:val="auto"/>
          <w:highlight w:val="none"/>
        </w:rPr>
      </w:pPr>
      <w:r>
        <w:rPr>
          <w:rFonts w:hint="eastAsia"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 8 \* GB3 </w:instrText>
      </w:r>
      <w:r>
        <w:rPr>
          <w:rFonts w:hint="eastAsia" w:asciiTheme="minorEastAsia" w:hAnsiTheme="minorEastAsia" w:eastAsiaTheme="minorEastAsia"/>
          <w:color w:val="auto"/>
          <w:highlight w:val="none"/>
        </w:rPr>
        <w:fldChar w:fldCharType="separate"/>
      </w:r>
      <w:r>
        <w:rPr>
          <w:rFonts w:hint="eastAsia" w:asciiTheme="minorEastAsia" w:hAnsiTheme="minorEastAsia" w:eastAsiaTheme="minorEastAsia"/>
          <w:color w:val="auto"/>
          <w:highlight w:val="none"/>
        </w:rPr>
        <w:t>⑧</w:t>
      </w:r>
      <w:r>
        <w:rPr>
          <w:rFonts w:hint="eastAsia"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允许调整主要材料和工程设备一览表（适用于价格指数差额调整法）（表</w:t>
      </w:r>
      <w:r>
        <w:rPr>
          <w:rFonts w:asciiTheme="minorEastAsia" w:hAnsiTheme="minorEastAsia" w:eastAsiaTheme="minorEastAsia"/>
          <w:color w:val="auto"/>
          <w:highlight w:val="none"/>
        </w:rPr>
        <w:t>-23</w:t>
      </w:r>
      <w:r>
        <w:rPr>
          <w:rFonts w:hint="eastAsia" w:cs="宋体" w:asciiTheme="minorEastAsia" w:hAnsiTheme="minorEastAsia" w:eastAsiaTheme="minorEastAsia"/>
          <w:color w:val="auto"/>
          <w:highlight w:val="none"/>
        </w:rPr>
        <w:t>）</w:t>
      </w:r>
    </w:p>
    <w:p w14:paraId="4EAA223A">
      <w:pPr>
        <w:spacing w:line="360" w:lineRule="auto"/>
        <w:ind w:firstLine="420" w:firstLineChars="200"/>
        <w:contextualSpacing/>
        <w:jc w:val="left"/>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highlight w:val="none"/>
        </w:rPr>
        <w:t>注：</w:t>
      </w:r>
      <w:r>
        <w:rPr>
          <w:rFonts w:hint="eastAsia" w:cs="宋体" w:asciiTheme="minorEastAsia" w:hAnsiTheme="minorEastAsia" w:eastAsiaTheme="minorEastAsia"/>
          <w:color w:val="auto"/>
          <w:kern w:val="0"/>
          <w:highlight w:val="none"/>
        </w:rPr>
        <w:t>因2021年《广西壮族自治区园林绿化及仿古建筑工程费用定额》采用全费用综合单价形式，故园林绿化及仿古建筑工程的已标价工程量清单</w:t>
      </w:r>
      <w:r>
        <w:rPr>
          <w:rFonts w:hint="eastAsia" w:cs="黑体" w:asciiTheme="minorEastAsia" w:hAnsiTheme="minorEastAsia" w:eastAsiaTheme="minorEastAsia"/>
          <w:color w:val="auto"/>
          <w:highlight w:val="none"/>
        </w:rPr>
        <w:t>采用</w:t>
      </w:r>
      <w:r>
        <w:rPr>
          <w:rFonts w:hint="eastAsia" w:cs="宋体" w:asciiTheme="minorEastAsia" w:hAnsiTheme="minorEastAsia" w:eastAsiaTheme="minorEastAsia"/>
          <w:color w:val="auto"/>
          <w:kern w:val="0"/>
          <w:highlight w:val="none"/>
        </w:rPr>
        <w:t>《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w:t>
      </w:r>
      <w:r>
        <w:rPr>
          <w:rFonts w:hint="eastAsia" w:cs="宋体" w:asciiTheme="minorEastAsia" w:hAnsiTheme="minorEastAsia" w:eastAsiaTheme="minorEastAsia"/>
          <w:color w:val="auto"/>
          <w:kern w:val="0"/>
          <w:highlight w:val="none"/>
          <w:lang w:eastAsia="zh-CN"/>
        </w:rPr>
        <w:t>另附</w:t>
      </w:r>
      <w:r>
        <w:rPr>
          <w:rFonts w:hint="eastAsia" w:cs="宋体" w:asciiTheme="minorEastAsia" w:hAnsiTheme="minorEastAsia" w:eastAsiaTheme="minorEastAsia"/>
          <w:color w:val="auto"/>
          <w:kern w:val="0"/>
          <w:highlight w:val="none"/>
        </w:rPr>
        <w:t>的工程量清单及相关说明为准。</w:t>
      </w:r>
    </w:p>
    <w:p w14:paraId="6FEFFBAF">
      <w:pPr>
        <w:spacing w:line="360" w:lineRule="auto"/>
        <w:ind w:right="420"/>
        <w:contextualSpacing/>
        <w:jc w:val="center"/>
        <w:rPr>
          <w:rFonts w:hint="eastAsia" w:ascii="宋体" w:hAnsi="宋体"/>
          <w:b/>
          <w:color w:val="auto"/>
          <w:sz w:val="32"/>
          <w:szCs w:val="32"/>
          <w:highlight w:val="none"/>
        </w:rPr>
      </w:pPr>
      <w:r>
        <w:rPr>
          <w:rFonts w:asciiTheme="minorEastAsia" w:hAnsiTheme="minorEastAsia" w:eastAsiaTheme="minorEastAsia"/>
          <w:b/>
          <w:bCs/>
          <w:color w:val="auto"/>
          <w:sz w:val="32"/>
          <w:szCs w:val="32"/>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64976900">
      <w:pPr>
        <w:snapToGrid w:val="0"/>
        <w:spacing w:before="120"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1.商务技术文件封面格式</w:t>
      </w:r>
    </w:p>
    <w:p w14:paraId="1FA40BBB">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7362B988">
      <w:pPr>
        <w:snapToGrid w:val="0"/>
        <w:spacing w:before="120"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2D7483E1">
      <w:pPr>
        <w:snapToGrid w:val="0"/>
        <w:spacing w:before="120" w:beforeLines="50" w:after="50"/>
        <w:rPr>
          <w:rFonts w:hint="eastAsia" w:ascii="宋体" w:hAnsi="宋体"/>
          <w:color w:val="auto"/>
          <w:sz w:val="24"/>
          <w:szCs w:val="20"/>
          <w:highlight w:val="none"/>
        </w:rPr>
      </w:pPr>
    </w:p>
    <w:p w14:paraId="69F410BF">
      <w:pPr>
        <w:snapToGrid w:val="0"/>
        <w:spacing w:before="120" w:beforeLines="50" w:after="50"/>
        <w:rPr>
          <w:rFonts w:hint="eastAsia" w:ascii="宋体" w:hAnsi="宋体"/>
          <w:color w:val="auto"/>
          <w:sz w:val="24"/>
          <w:szCs w:val="20"/>
          <w:highlight w:val="none"/>
        </w:rPr>
      </w:pPr>
    </w:p>
    <w:p w14:paraId="53337090">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777223D8">
      <w:pPr>
        <w:snapToGrid w:val="0"/>
        <w:spacing w:before="120" w:beforeLines="50" w:after="50"/>
        <w:rPr>
          <w:rFonts w:hint="eastAsia" w:ascii="宋体" w:hAnsi="宋体"/>
          <w:bCs/>
          <w:color w:val="auto"/>
          <w:sz w:val="24"/>
          <w:szCs w:val="20"/>
          <w:highlight w:val="none"/>
        </w:rPr>
      </w:pPr>
    </w:p>
    <w:p w14:paraId="70D60602">
      <w:pPr>
        <w:snapToGrid w:val="0"/>
        <w:spacing w:before="120" w:beforeLines="50" w:after="50"/>
        <w:rPr>
          <w:rFonts w:hint="eastAsia" w:ascii="宋体" w:hAnsi="宋体"/>
          <w:bCs/>
          <w:color w:val="auto"/>
          <w:sz w:val="24"/>
          <w:szCs w:val="20"/>
          <w:highlight w:val="none"/>
        </w:rPr>
      </w:pPr>
    </w:p>
    <w:p w14:paraId="5DB17455">
      <w:pPr>
        <w:snapToGrid w:val="0"/>
        <w:spacing w:before="120" w:beforeLines="50" w:after="50"/>
        <w:rPr>
          <w:rFonts w:hint="eastAsia" w:ascii="宋体" w:hAnsi="宋体"/>
          <w:bCs/>
          <w:color w:val="auto"/>
          <w:sz w:val="24"/>
          <w:szCs w:val="20"/>
          <w:highlight w:val="none"/>
        </w:rPr>
      </w:pPr>
    </w:p>
    <w:p w14:paraId="7BC8D996">
      <w:pPr>
        <w:snapToGrid w:val="0"/>
        <w:spacing w:before="120" w:beforeLines="50" w:after="50"/>
        <w:rPr>
          <w:rFonts w:hint="eastAsia" w:ascii="宋体" w:hAnsi="宋体"/>
          <w:bCs/>
          <w:color w:val="auto"/>
          <w:sz w:val="24"/>
          <w:szCs w:val="20"/>
          <w:highlight w:val="none"/>
        </w:rPr>
      </w:pPr>
    </w:p>
    <w:p w14:paraId="6350413B">
      <w:pPr>
        <w:snapToGrid w:val="0"/>
        <w:spacing w:before="120" w:beforeLines="50" w:after="50"/>
        <w:rPr>
          <w:rFonts w:hint="eastAsia" w:ascii="宋体" w:hAnsi="宋体"/>
          <w:bCs/>
          <w:color w:val="auto"/>
          <w:sz w:val="24"/>
          <w:szCs w:val="20"/>
          <w:highlight w:val="none"/>
        </w:rPr>
      </w:pPr>
    </w:p>
    <w:p w14:paraId="18E36A73">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7777479">
      <w:pPr>
        <w:snapToGrid w:val="0"/>
        <w:spacing w:before="120" w:beforeLines="50" w:after="50"/>
        <w:ind w:firstLine="720" w:firstLineChars="225"/>
        <w:rPr>
          <w:rFonts w:hint="eastAsia" w:ascii="宋体" w:hAnsi="宋体" w:cs="仿宋_GB2312"/>
          <w:bCs/>
          <w:color w:val="auto"/>
          <w:sz w:val="32"/>
          <w:szCs w:val="32"/>
          <w:highlight w:val="none"/>
        </w:rPr>
      </w:pPr>
    </w:p>
    <w:p w14:paraId="6CBC36B9">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B8C3F36">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1E61B297">
      <w:pPr>
        <w:snapToGrid w:val="0"/>
        <w:spacing w:before="120" w:beforeLines="50" w:after="50"/>
        <w:ind w:firstLine="720" w:firstLineChars="225"/>
        <w:rPr>
          <w:rFonts w:hint="eastAsia" w:ascii="宋体" w:hAnsi="宋体" w:cs="仿宋_GB2312"/>
          <w:bCs/>
          <w:color w:val="auto"/>
          <w:sz w:val="32"/>
          <w:szCs w:val="32"/>
          <w:highlight w:val="none"/>
        </w:rPr>
      </w:pPr>
    </w:p>
    <w:p w14:paraId="250D18A2">
      <w:pPr>
        <w:pStyle w:val="7"/>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276C729">
      <w:pPr>
        <w:pStyle w:val="7"/>
        <w:snapToGrid w:val="0"/>
        <w:spacing w:before="50" w:after="50"/>
        <w:ind w:firstLine="640" w:firstLineChars="200"/>
        <w:rPr>
          <w:rFonts w:hint="eastAsia" w:ascii="宋体" w:hAnsi="宋体" w:cs="仿宋_GB2312"/>
          <w:bCs/>
          <w:color w:val="auto"/>
          <w:sz w:val="32"/>
          <w:szCs w:val="32"/>
          <w:highlight w:val="none"/>
        </w:rPr>
      </w:pPr>
    </w:p>
    <w:p w14:paraId="21C32E3D">
      <w:pPr>
        <w:pStyle w:val="7"/>
        <w:snapToGrid w:val="0"/>
        <w:spacing w:before="50" w:after="50"/>
        <w:ind w:firstLine="720" w:firstLineChars="225"/>
        <w:rPr>
          <w:rFonts w:hint="eastAsia" w:ascii="宋体" w:hAnsi="宋体" w:cs="仿宋_GB2312"/>
          <w:bCs/>
          <w:color w:val="auto"/>
          <w:sz w:val="32"/>
          <w:szCs w:val="32"/>
          <w:highlight w:val="none"/>
        </w:rPr>
      </w:pPr>
    </w:p>
    <w:p w14:paraId="57D1926F">
      <w:pPr>
        <w:pStyle w:val="7"/>
        <w:snapToGrid w:val="0"/>
        <w:spacing w:before="50" w:after="50"/>
        <w:ind w:firstLine="0"/>
        <w:rPr>
          <w:rFonts w:hint="eastAsia" w:ascii="宋体" w:hAnsi="宋体" w:cs="仿宋_GB2312"/>
          <w:bCs/>
          <w:color w:val="auto"/>
          <w:sz w:val="32"/>
          <w:szCs w:val="32"/>
          <w:highlight w:val="none"/>
        </w:rPr>
      </w:pPr>
    </w:p>
    <w:p w14:paraId="1DEB869D">
      <w:pPr>
        <w:pStyle w:val="7"/>
        <w:snapToGrid w:val="0"/>
        <w:spacing w:before="50" w:after="50"/>
        <w:ind w:firstLine="1280" w:firstLineChars="400"/>
        <w:rPr>
          <w:rFonts w:hint="eastAsia" w:ascii="宋体" w:hAnsi="宋体" w:cs="仿宋_GB2312"/>
          <w:bCs/>
          <w:color w:val="auto"/>
          <w:sz w:val="32"/>
          <w:szCs w:val="32"/>
          <w:highlight w:val="none"/>
        </w:rPr>
      </w:pPr>
    </w:p>
    <w:p w14:paraId="6F980A27">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6CA6132">
      <w:pPr>
        <w:snapToGrid w:val="0"/>
        <w:spacing w:before="120" w:beforeLines="50" w:after="50" w:line="360" w:lineRule="auto"/>
        <w:ind w:right="480" w:firstLine="240" w:firstLineChars="100"/>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0CFF8BB7">
      <w:pPr>
        <w:snapToGrid w:val="0"/>
        <w:spacing w:before="120" w:beforeLines="50" w:after="50" w:line="360" w:lineRule="auto"/>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429FA912">
      <w:pPr>
        <w:spacing w:line="400" w:lineRule="exact"/>
        <w:rPr>
          <w:rFonts w:hint="eastAsia" w:ascii="仿宋_GB2312" w:hAnsi="仿宋_GB2312" w:eastAsia="仿宋_GB2312" w:cs="仿宋_GB2312"/>
          <w:color w:val="auto"/>
          <w:sz w:val="32"/>
          <w:szCs w:val="32"/>
          <w:highlight w:val="none"/>
        </w:rPr>
      </w:pPr>
    </w:p>
    <w:p w14:paraId="0225FD39">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0670137B">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14A809C4">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0D8B518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34C36E8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48737E3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11BD749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2C2E58A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090B3D4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0F39D0DD">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380E777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1E0AE20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228D3A4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1F01573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117B8CE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4BD9756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7079B11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078B431B">
      <w:pPr>
        <w:spacing w:line="360" w:lineRule="auto"/>
        <w:ind w:firstLine="480" w:firstLineChars="200"/>
        <w:contextualSpacing/>
        <w:rPr>
          <w:rFonts w:hint="eastAsia" w:ascii="宋体" w:hAnsi="宋体" w:cs="仿宋_GB2312"/>
          <w:color w:val="auto"/>
          <w:sz w:val="24"/>
          <w:highlight w:val="none"/>
        </w:rPr>
      </w:pPr>
    </w:p>
    <w:p w14:paraId="049A1996">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26D43A81">
      <w:pPr>
        <w:spacing w:line="360" w:lineRule="auto"/>
        <w:contextualSpacing/>
        <w:rPr>
          <w:rFonts w:hint="eastAsia" w:ascii="宋体" w:hAnsi="宋体" w:cs="仿宋_GB2312"/>
          <w:color w:val="auto"/>
          <w:sz w:val="24"/>
          <w:highlight w:val="none"/>
        </w:rPr>
      </w:pPr>
    </w:p>
    <w:p w14:paraId="36D52461">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29E17BF3">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4A5CE388">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6891B278">
      <w:pPr>
        <w:spacing w:line="360" w:lineRule="auto"/>
        <w:ind w:left="540"/>
        <w:contextualSpacing/>
        <w:rPr>
          <w:rFonts w:hint="eastAsia" w:ascii="仿宋_GB2312" w:hAnsi="仿宋_GB2312" w:eastAsia="仿宋_GB2312" w:cs="仿宋_GB2312"/>
          <w:color w:val="auto"/>
          <w:sz w:val="32"/>
          <w:szCs w:val="32"/>
          <w:highlight w:val="none"/>
        </w:rPr>
      </w:pPr>
    </w:p>
    <w:p w14:paraId="38788C2C">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03A64104">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1C18DF71">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0140B33E">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2A29060D">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02D9E0D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7B944FD7">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03C7F398">
      <w:pPr>
        <w:spacing w:line="360" w:lineRule="auto"/>
        <w:ind w:left="540"/>
        <w:contextualSpacing/>
        <w:rPr>
          <w:rFonts w:hint="eastAsia" w:ascii="宋体" w:hAnsi="宋体" w:cs="仿宋_GB2312"/>
          <w:color w:val="auto"/>
          <w:sz w:val="24"/>
          <w:highlight w:val="none"/>
        </w:rPr>
      </w:pPr>
    </w:p>
    <w:p w14:paraId="28D8C033">
      <w:pPr>
        <w:spacing w:line="360" w:lineRule="auto"/>
        <w:ind w:left="540"/>
        <w:contextualSpacing/>
        <w:rPr>
          <w:rFonts w:hint="eastAsia" w:ascii="宋体" w:hAnsi="宋体" w:cs="仿宋_GB2312"/>
          <w:color w:val="auto"/>
          <w:sz w:val="24"/>
          <w:highlight w:val="none"/>
        </w:rPr>
      </w:pPr>
    </w:p>
    <w:p w14:paraId="1E521DED">
      <w:pPr>
        <w:spacing w:line="360" w:lineRule="auto"/>
        <w:ind w:left="540"/>
        <w:contextualSpacing/>
        <w:rPr>
          <w:rFonts w:hint="eastAsia" w:ascii="宋体" w:hAnsi="宋体" w:cs="仿宋_GB2312"/>
          <w:color w:val="auto"/>
          <w:sz w:val="24"/>
          <w:highlight w:val="none"/>
        </w:rPr>
      </w:pPr>
    </w:p>
    <w:p w14:paraId="4F52C5D1">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357BD006">
      <w:pPr>
        <w:spacing w:line="360" w:lineRule="auto"/>
        <w:ind w:left="540"/>
        <w:contextualSpacing/>
        <w:rPr>
          <w:rFonts w:hint="eastAsia" w:ascii="宋体" w:hAnsi="宋体" w:cs="仿宋_GB2312"/>
          <w:color w:val="auto"/>
          <w:sz w:val="24"/>
          <w:highlight w:val="none"/>
        </w:rPr>
      </w:pPr>
    </w:p>
    <w:p w14:paraId="69E83BA3">
      <w:pPr>
        <w:spacing w:line="360" w:lineRule="auto"/>
        <w:ind w:left="540" w:firstLine="3000" w:firstLineChars="125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0D44C4AB">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22398F8B">
      <w:pPr>
        <w:spacing w:line="360" w:lineRule="auto"/>
        <w:contextualSpacing/>
        <w:jc w:val="center"/>
        <w:rPr>
          <w:rFonts w:hint="eastAsia" w:ascii="宋体" w:hAnsi="宋体" w:cs="仿宋_GB2312"/>
          <w:b/>
          <w:color w:val="auto"/>
          <w:sz w:val="24"/>
          <w:highlight w:val="none"/>
        </w:rPr>
      </w:pPr>
    </w:p>
    <w:p w14:paraId="15447C8C">
      <w:pPr>
        <w:spacing w:line="360" w:lineRule="auto"/>
        <w:contextualSpacing/>
        <w:jc w:val="left"/>
        <w:rPr>
          <w:rFonts w:hint="eastAsia" w:ascii="宋体" w:hAnsi="宋体" w:cs="仿宋_GB2312"/>
          <w:color w:val="auto"/>
          <w:sz w:val="24"/>
          <w:highlight w:val="none"/>
        </w:rPr>
      </w:pPr>
    </w:p>
    <w:p w14:paraId="7F6AD169">
      <w:pPr>
        <w:spacing w:line="360" w:lineRule="auto"/>
        <w:contextualSpacing/>
        <w:jc w:val="left"/>
        <w:rPr>
          <w:rFonts w:hint="eastAsia" w:ascii="宋体" w:hAnsi="宋体" w:cs="仿宋_GB2312"/>
          <w:color w:val="auto"/>
          <w:sz w:val="24"/>
          <w:highlight w:val="none"/>
        </w:rPr>
      </w:pPr>
    </w:p>
    <w:p w14:paraId="3FF09F15">
      <w:pPr>
        <w:adjustRightInd w:val="0"/>
        <w:snapToGrid w:val="0"/>
        <w:spacing w:line="300" w:lineRule="auto"/>
        <w:jc w:val="left"/>
        <w:rPr>
          <w:rFonts w:hint="eastAsia" w:ascii="宋体" w:hAnsi="宋体"/>
          <w:b/>
          <w:color w:val="auto"/>
          <w:szCs w:val="21"/>
          <w:highlight w:val="none"/>
        </w:rPr>
      </w:pPr>
    </w:p>
    <w:p w14:paraId="0D13BEE0">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bookmarkStart w:id="108" w:name="_Hlk65853643"/>
      <w:r>
        <w:rPr>
          <w:rFonts w:hint="eastAsia" w:ascii="方正小标宋简体" w:hAnsi="方正小标宋简体" w:eastAsia="方正小标宋简体" w:cs="方正小标宋简体"/>
          <w:color w:val="auto"/>
          <w:sz w:val="44"/>
          <w:szCs w:val="44"/>
          <w:highlight w:val="none"/>
        </w:rPr>
        <w:t>授权委托书</w:t>
      </w:r>
    </w:p>
    <w:p w14:paraId="498E4D79">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733EFA57">
      <w:pPr>
        <w:spacing w:line="520" w:lineRule="exact"/>
        <w:rPr>
          <w:rFonts w:hint="eastAsia" w:ascii="仿宋_GB2312" w:hAnsi="仿宋_GB2312" w:eastAsia="仿宋_GB2312" w:cs="仿宋_GB2312"/>
          <w:color w:val="auto"/>
          <w:sz w:val="32"/>
          <w:szCs w:val="32"/>
          <w:highlight w:val="none"/>
        </w:rPr>
      </w:pPr>
    </w:p>
    <w:p w14:paraId="5216BE36">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4D8BF8F4">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0DDA9298">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15367E8E">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66A1BCF0">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65DA3B98">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002D3274">
      <w:pPr>
        <w:spacing w:line="360" w:lineRule="auto"/>
        <w:rPr>
          <w:rFonts w:hint="eastAsia" w:ascii="宋体" w:hAnsi="宋体" w:cs="仿宋_GB2312"/>
          <w:color w:val="auto"/>
          <w:sz w:val="24"/>
          <w:highlight w:val="none"/>
        </w:rPr>
      </w:pPr>
    </w:p>
    <w:p w14:paraId="60F545C2">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3C821778">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65CB1F59">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3C7E817C">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5C3A37F4">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4081778A">
      <w:pPr>
        <w:spacing w:line="360" w:lineRule="auto"/>
        <w:rPr>
          <w:rFonts w:hint="eastAsia" w:ascii="宋体" w:hAnsi="宋体" w:cs="仿宋_GB2312"/>
          <w:color w:val="auto"/>
          <w:sz w:val="24"/>
          <w:highlight w:val="none"/>
        </w:rPr>
      </w:pPr>
    </w:p>
    <w:p w14:paraId="41D3B230">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p w14:paraId="7167B918">
      <w:pPr>
        <w:spacing w:line="360" w:lineRule="auto"/>
        <w:ind w:firstLine="420" w:firstLineChars="200"/>
        <w:jc w:val="left"/>
        <w:rPr>
          <w:rFonts w:hint="eastAsia" w:ascii="仿宋_GB2312" w:hAnsi="仿宋_GB2312" w:eastAsia="仿宋_GB2312" w:cs="仿宋_GB2312"/>
          <w:color w:val="auto"/>
          <w:szCs w:val="21"/>
          <w:highlight w:val="none"/>
        </w:rPr>
      </w:pPr>
    </w:p>
    <w:p w14:paraId="3334CFDF">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bookmarkEnd w:id="108"/>
      <w:r>
        <w:rPr>
          <w:rFonts w:hint="eastAsia" w:ascii="方正小标宋简体" w:hAnsi="方正小标宋简体" w:eastAsia="方正小标宋简体" w:cs="方正小标宋简体"/>
          <w:color w:val="auto"/>
          <w:sz w:val="44"/>
          <w:szCs w:val="44"/>
          <w:highlight w:val="none"/>
        </w:rPr>
        <w:t>技术及其他要求、商务要求响应承诺表格式</w:t>
      </w:r>
    </w:p>
    <w:p w14:paraId="0C17651F">
      <w:pPr>
        <w:pStyle w:val="7"/>
        <w:rPr>
          <w:color w:val="auto"/>
          <w:highlight w:val="none"/>
        </w:rPr>
      </w:pPr>
    </w:p>
    <w:tbl>
      <w:tblPr>
        <w:tblStyle w:val="46"/>
        <w:tblpPr w:leftFromText="180" w:rightFromText="180" w:vertAnchor="text" w:horzAnchor="margin" w:tblpY="221"/>
        <w:tblOverlap w:val="never"/>
        <w:tblW w:w="89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5"/>
        <w:gridCol w:w="6454"/>
      </w:tblGrid>
      <w:tr w14:paraId="306C9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2505" w:type="dxa"/>
            <w:tcBorders>
              <w:top w:val="single" w:color="auto" w:sz="4" w:space="0"/>
              <w:left w:val="single" w:color="auto" w:sz="4" w:space="0"/>
              <w:bottom w:val="single" w:color="auto" w:sz="4" w:space="0"/>
              <w:right w:val="single" w:color="auto" w:sz="4" w:space="0"/>
            </w:tcBorders>
            <w:vAlign w:val="center"/>
          </w:tcPr>
          <w:p w14:paraId="788F1832">
            <w:pPr>
              <w:snapToGrid w:val="0"/>
              <w:spacing w:before="120" w:beforeLines="50" w:line="360" w:lineRule="auto"/>
              <w:jc w:val="center"/>
              <w:rPr>
                <w:color w:val="auto"/>
                <w:sz w:val="24"/>
                <w:highlight w:val="none"/>
              </w:rPr>
            </w:pPr>
            <w:r>
              <w:rPr>
                <w:rFonts w:hint="eastAsia"/>
                <w:color w:val="auto"/>
                <w:sz w:val="24"/>
                <w:highlight w:val="none"/>
              </w:rPr>
              <w:t>项目</w:t>
            </w:r>
          </w:p>
        </w:tc>
        <w:tc>
          <w:tcPr>
            <w:tcW w:w="6454" w:type="dxa"/>
            <w:tcBorders>
              <w:top w:val="single" w:color="auto" w:sz="4" w:space="0"/>
              <w:left w:val="single" w:color="auto" w:sz="4" w:space="0"/>
              <w:bottom w:val="single" w:color="auto" w:sz="4" w:space="0"/>
              <w:right w:val="single" w:color="auto" w:sz="4" w:space="0"/>
            </w:tcBorders>
            <w:vAlign w:val="center"/>
          </w:tcPr>
          <w:p w14:paraId="24A03060">
            <w:pPr>
              <w:snapToGrid w:val="0"/>
              <w:spacing w:before="120" w:beforeLines="50" w:line="320" w:lineRule="exact"/>
              <w:jc w:val="center"/>
              <w:rPr>
                <w:color w:val="auto"/>
                <w:sz w:val="24"/>
                <w:highlight w:val="none"/>
              </w:rPr>
            </w:pPr>
            <w:r>
              <w:rPr>
                <w:rFonts w:hint="eastAsia"/>
                <w:color w:val="auto"/>
                <w:sz w:val="24"/>
                <w:highlight w:val="none"/>
              </w:rPr>
              <w:t>对应第三章</w:t>
            </w:r>
            <w:r>
              <w:rPr>
                <w:color w:val="auto"/>
                <w:sz w:val="24"/>
                <w:highlight w:val="none"/>
              </w:rPr>
              <w:t xml:space="preserve"> </w:t>
            </w:r>
            <w:r>
              <w:rPr>
                <w:rFonts w:hint="eastAsia"/>
                <w:color w:val="auto"/>
                <w:sz w:val="24"/>
                <w:highlight w:val="none"/>
              </w:rPr>
              <w:t>采购需求“技术及其他要求”及</w:t>
            </w:r>
            <w:r>
              <w:rPr>
                <w:color w:val="auto"/>
                <w:sz w:val="24"/>
                <w:highlight w:val="none"/>
              </w:rPr>
              <w:t>“</w:t>
            </w:r>
            <w:r>
              <w:rPr>
                <w:rFonts w:hint="eastAsia"/>
                <w:color w:val="auto"/>
                <w:sz w:val="24"/>
                <w:highlight w:val="none"/>
              </w:rPr>
              <w:t>商务要求</w:t>
            </w:r>
            <w:r>
              <w:rPr>
                <w:color w:val="auto"/>
                <w:sz w:val="24"/>
                <w:highlight w:val="none"/>
              </w:rPr>
              <w:t>”</w:t>
            </w:r>
            <w:r>
              <w:rPr>
                <w:rFonts w:hint="eastAsia"/>
                <w:color w:val="auto"/>
                <w:sz w:val="24"/>
                <w:highlight w:val="none"/>
              </w:rPr>
              <w:t>，</w:t>
            </w:r>
            <w:r>
              <w:rPr>
                <w:color w:val="auto"/>
                <w:sz w:val="24"/>
                <w:highlight w:val="none"/>
              </w:rPr>
              <w:t xml:space="preserve"> </w:t>
            </w:r>
            <w:r>
              <w:rPr>
                <w:rFonts w:hint="eastAsia"/>
                <w:color w:val="auto"/>
                <w:sz w:val="24"/>
                <w:highlight w:val="none"/>
              </w:rPr>
              <w:t>供应商的响应承诺情况</w:t>
            </w:r>
          </w:p>
        </w:tc>
      </w:tr>
      <w:tr w14:paraId="55AF1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59" w:type="dxa"/>
            <w:gridSpan w:val="2"/>
            <w:tcBorders>
              <w:top w:val="single" w:color="auto" w:sz="4" w:space="0"/>
              <w:left w:val="single" w:color="auto" w:sz="4" w:space="0"/>
              <w:bottom w:val="single" w:color="auto" w:sz="4" w:space="0"/>
              <w:right w:val="single" w:color="auto" w:sz="4" w:space="0"/>
            </w:tcBorders>
            <w:vAlign w:val="center"/>
          </w:tcPr>
          <w:p w14:paraId="4FE66B4C">
            <w:pPr>
              <w:snapToGrid w:val="0"/>
              <w:spacing w:before="120" w:beforeLines="50" w:line="360" w:lineRule="auto"/>
              <w:jc w:val="left"/>
              <w:rPr>
                <w:b/>
                <w:color w:val="auto"/>
                <w:sz w:val="24"/>
                <w:highlight w:val="none"/>
              </w:rPr>
            </w:pPr>
            <w:r>
              <w:rPr>
                <w:rFonts w:hint="eastAsia"/>
                <w:b/>
                <w:color w:val="auto"/>
                <w:sz w:val="24"/>
                <w:highlight w:val="none"/>
              </w:rPr>
              <w:t>一、</w:t>
            </w:r>
            <w:r>
              <w:rPr>
                <w:rFonts w:hint="eastAsia"/>
                <w:b/>
                <w:color w:val="auto"/>
                <w:highlight w:val="none"/>
              </w:rPr>
              <w:t>技术及其他要求</w:t>
            </w:r>
          </w:p>
        </w:tc>
      </w:tr>
      <w:tr w14:paraId="6464E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38C98620">
            <w:pPr>
              <w:pStyle w:val="114"/>
              <w:spacing w:line="400" w:lineRule="exact"/>
              <w:ind w:firstLine="0" w:firstLineChars="0"/>
              <w:jc w:val="center"/>
              <w:rPr>
                <w:b/>
                <w:color w:val="auto"/>
                <w:szCs w:val="21"/>
                <w:highlight w:val="none"/>
              </w:rPr>
            </w:pPr>
            <w:r>
              <w:rPr>
                <w:rFonts w:hint="eastAsia" w:ascii="宋体" w:hAnsi="宋体"/>
                <w:color w:val="auto"/>
                <w:highlight w:val="none"/>
              </w:rPr>
              <w:t>（一）工程概况</w:t>
            </w:r>
          </w:p>
        </w:tc>
        <w:tc>
          <w:tcPr>
            <w:tcW w:w="6454" w:type="dxa"/>
            <w:tcBorders>
              <w:top w:val="single" w:color="auto" w:sz="4" w:space="0"/>
              <w:left w:val="single" w:color="auto" w:sz="4" w:space="0"/>
              <w:bottom w:val="single" w:color="auto" w:sz="4" w:space="0"/>
              <w:right w:val="single" w:color="auto" w:sz="4" w:space="0"/>
            </w:tcBorders>
          </w:tcPr>
          <w:p w14:paraId="262B40E2">
            <w:pPr>
              <w:spacing w:line="320" w:lineRule="exact"/>
              <w:jc w:val="left"/>
              <w:rPr>
                <w:b/>
                <w:color w:val="auto"/>
                <w:szCs w:val="21"/>
                <w:highlight w:val="none"/>
              </w:rPr>
            </w:pPr>
          </w:p>
        </w:tc>
      </w:tr>
      <w:tr w14:paraId="1ED7B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0F0A5B6D">
            <w:pPr>
              <w:spacing w:line="320" w:lineRule="exact"/>
              <w:jc w:val="center"/>
              <w:rPr>
                <w:b/>
                <w:color w:val="auto"/>
                <w:szCs w:val="21"/>
                <w:highlight w:val="none"/>
              </w:rPr>
            </w:pPr>
            <w:r>
              <w:rPr>
                <w:rFonts w:hint="eastAsia" w:ascii="宋体" w:hAnsi="宋体"/>
                <w:color w:val="auto"/>
                <w:highlight w:val="none"/>
              </w:rPr>
              <w:t>（二）质量要求</w:t>
            </w:r>
          </w:p>
        </w:tc>
        <w:tc>
          <w:tcPr>
            <w:tcW w:w="6454" w:type="dxa"/>
            <w:tcBorders>
              <w:top w:val="single" w:color="auto" w:sz="4" w:space="0"/>
              <w:left w:val="single" w:color="auto" w:sz="4" w:space="0"/>
              <w:bottom w:val="single" w:color="auto" w:sz="4" w:space="0"/>
              <w:right w:val="single" w:color="auto" w:sz="4" w:space="0"/>
            </w:tcBorders>
          </w:tcPr>
          <w:p w14:paraId="1B6222A4">
            <w:pPr>
              <w:spacing w:line="320" w:lineRule="exact"/>
              <w:jc w:val="left"/>
              <w:rPr>
                <w:b/>
                <w:color w:val="auto"/>
                <w:szCs w:val="21"/>
                <w:highlight w:val="none"/>
              </w:rPr>
            </w:pPr>
          </w:p>
        </w:tc>
      </w:tr>
      <w:tr w14:paraId="6D903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5394CD60">
            <w:pPr>
              <w:spacing w:line="320" w:lineRule="exact"/>
              <w:jc w:val="center"/>
              <w:rPr>
                <w:b/>
                <w:color w:val="auto"/>
                <w:szCs w:val="21"/>
                <w:highlight w:val="none"/>
              </w:rPr>
            </w:pPr>
            <w:r>
              <w:rPr>
                <w:rFonts w:hint="eastAsia" w:ascii="宋体" w:hAnsi="宋体"/>
                <w:color w:val="auto"/>
                <w:highlight w:val="none"/>
              </w:rPr>
              <w:t>（三）安全要求</w:t>
            </w:r>
          </w:p>
        </w:tc>
        <w:tc>
          <w:tcPr>
            <w:tcW w:w="6454" w:type="dxa"/>
            <w:tcBorders>
              <w:top w:val="single" w:color="auto" w:sz="4" w:space="0"/>
              <w:left w:val="single" w:color="auto" w:sz="4" w:space="0"/>
              <w:bottom w:val="single" w:color="auto" w:sz="4" w:space="0"/>
              <w:right w:val="single" w:color="auto" w:sz="4" w:space="0"/>
            </w:tcBorders>
          </w:tcPr>
          <w:p w14:paraId="0E97B891">
            <w:pPr>
              <w:spacing w:line="320" w:lineRule="exact"/>
              <w:jc w:val="left"/>
              <w:rPr>
                <w:b/>
                <w:color w:val="auto"/>
                <w:szCs w:val="21"/>
                <w:highlight w:val="none"/>
              </w:rPr>
            </w:pPr>
          </w:p>
        </w:tc>
      </w:tr>
      <w:tr w14:paraId="4A8F2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51170C67">
            <w:pPr>
              <w:spacing w:line="320" w:lineRule="exact"/>
              <w:jc w:val="center"/>
              <w:rPr>
                <w:b/>
                <w:color w:val="auto"/>
                <w:szCs w:val="21"/>
                <w:highlight w:val="none"/>
              </w:rPr>
            </w:pPr>
            <w:r>
              <w:rPr>
                <w:rFonts w:hint="eastAsia" w:ascii="宋体" w:hAnsi="宋体"/>
                <w:color w:val="auto"/>
                <w:highlight w:val="none"/>
              </w:rPr>
              <w:t>（四）技术要求</w:t>
            </w:r>
          </w:p>
        </w:tc>
        <w:tc>
          <w:tcPr>
            <w:tcW w:w="6454" w:type="dxa"/>
            <w:tcBorders>
              <w:top w:val="single" w:color="auto" w:sz="4" w:space="0"/>
              <w:left w:val="single" w:color="auto" w:sz="4" w:space="0"/>
              <w:bottom w:val="single" w:color="auto" w:sz="4" w:space="0"/>
              <w:right w:val="single" w:color="auto" w:sz="4" w:space="0"/>
            </w:tcBorders>
            <w:vAlign w:val="center"/>
          </w:tcPr>
          <w:p w14:paraId="7C43A7F3">
            <w:pPr>
              <w:spacing w:line="320" w:lineRule="exact"/>
              <w:rPr>
                <w:b/>
                <w:color w:val="auto"/>
                <w:szCs w:val="21"/>
                <w:highlight w:val="none"/>
              </w:rPr>
            </w:pPr>
          </w:p>
        </w:tc>
      </w:tr>
      <w:tr w14:paraId="0F76E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7017EBE8">
            <w:pPr>
              <w:spacing w:line="320" w:lineRule="exact"/>
              <w:jc w:val="center"/>
              <w:rPr>
                <w:b/>
                <w:color w:val="auto"/>
                <w:szCs w:val="21"/>
                <w:highlight w:val="none"/>
              </w:rPr>
            </w:pPr>
            <w:r>
              <w:rPr>
                <w:rFonts w:hint="eastAsia" w:ascii="宋体" w:hAnsi="宋体"/>
                <w:color w:val="auto"/>
                <w:highlight w:val="none"/>
              </w:rPr>
              <w:t>（五）报价形式</w:t>
            </w:r>
          </w:p>
        </w:tc>
        <w:tc>
          <w:tcPr>
            <w:tcW w:w="6454" w:type="dxa"/>
            <w:tcBorders>
              <w:top w:val="single" w:color="auto" w:sz="4" w:space="0"/>
              <w:left w:val="single" w:color="auto" w:sz="4" w:space="0"/>
              <w:bottom w:val="single" w:color="auto" w:sz="4" w:space="0"/>
              <w:right w:val="single" w:color="auto" w:sz="4" w:space="0"/>
            </w:tcBorders>
          </w:tcPr>
          <w:p w14:paraId="60C20CEE">
            <w:pPr>
              <w:spacing w:line="320" w:lineRule="exact"/>
              <w:rPr>
                <w:b/>
                <w:color w:val="auto"/>
                <w:szCs w:val="21"/>
                <w:highlight w:val="none"/>
              </w:rPr>
            </w:pPr>
          </w:p>
        </w:tc>
      </w:tr>
      <w:tr w14:paraId="44159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5F3433E2">
            <w:pPr>
              <w:spacing w:line="320" w:lineRule="exact"/>
              <w:jc w:val="center"/>
              <w:rPr>
                <w:b/>
                <w:color w:val="auto"/>
                <w:szCs w:val="21"/>
                <w:highlight w:val="none"/>
              </w:rPr>
            </w:pPr>
            <w:r>
              <w:rPr>
                <w:rFonts w:hint="eastAsia" w:ascii="宋体" w:hAnsi="宋体" w:cs="宋体"/>
                <w:color w:val="auto"/>
                <w:szCs w:val="21"/>
                <w:highlight w:val="none"/>
              </w:rPr>
              <w:t>（六）项目管理机构人员</w:t>
            </w:r>
          </w:p>
        </w:tc>
        <w:tc>
          <w:tcPr>
            <w:tcW w:w="6454" w:type="dxa"/>
            <w:tcBorders>
              <w:top w:val="single" w:color="auto" w:sz="4" w:space="0"/>
              <w:left w:val="single" w:color="auto" w:sz="4" w:space="0"/>
              <w:bottom w:val="single" w:color="auto" w:sz="4" w:space="0"/>
              <w:right w:val="single" w:color="auto" w:sz="4" w:space="0"/>
            </w:tcBorders>
          </w:tcPr>
          <w:p w14:paraId="70B753C5">
            <w:pPr>
              <w:pStyle w:val="31"/>
              <w:spacing w:line="320" w:lineRule="exact"/>
              <w:rPr>
                <w:b/>
                <w:color w:val="auto"/>
                <w:kern w:val="2"/>
                <w:sz w:val="21"/>
                <w:highlight w:val="none"/>
              </w:rPr>
            </w:pPr>
          </w:p>
        </w:tc>
      </w:tr>
      <w:tr w14:paraId="746FD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59" w:type="dxa"/>
            <w:gridSpan w:val="2"/>
            <w:tcBorders>
              <w:top w:val="single" w:color="auto" w:sz="4" w:space="0"/>
              <w:left w:val="single" w:color="auto" w:sz="4" w:space="0"/>
              <w:bottom w:val="single" w:color="auto" w:sz="4" w:space="0"/>
              <w:right w:val="single" w:color="auto" w:sz="4" w:space="0"/>
            </w:tcBorders>
            <w:vAlign w:val="center"/>
          </w:tcPr>
          <w:p w14:paraId="0A72E2B4">
            <w:pPr>
              <w:spacing w:line="320" w:lineRule="exact"/>
              <w:jc w:val="left"/>
              <w:rPr>
                <w:b/>
                <w:color w:val="auto"/>
                <w:szCs w:val="21"/>
                <w:highlight w:val="none"/>
              </w:rPr>
            </w:pPr>
            <w:r>
              <w:rPr>
                <w:rFonts w:hint="eastAsia"/>
                <w:b/>
                <w:color w:val="auto"/>
                <w:szCs w:val="21"/>
                <w:highlight w:val="none"/>
              </w:rPr>
              <w:t>二、</w:t>
            </w:r>
            <w:r>
              <w:rPr>
                <w:rFonts w:hint="eastAsia" w:ascii="宋体" w:hAnsi="宋体"/>
                <w:b/>
                <w:color w:val="auto"/>
                <w:szCs w:val="21"/>
                <w:highlight w:val="none"/>
              </w:rPr>
              <w:t>商务要求</w:t>
            </w:r>
          </w:p>
        </w:tc>
      </w:tr>
      <w:tr w14:paraId="789C8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018B8909">
            <w:pPr>
              <w:spacing w:line="320" w:lineRule="exact"/>
              <w:jc w:val="cente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（一）计划工期</w:t>
            </w:r>
          </w:p>
        </w:tc>
        <w:tc>
          <w:tcPr>
            <w:tcW w:w="6454" w:type="dxa"/>
            <w:tcBorders>
              <w:top w:val="single" w:color="auto" w:sz="4" w:space="0"/>
              <w:left w:val="single" w:color="auto" w:sz="4" w:space="0"/>
              <w:bottom w:val="single" w:color="auto" w:sz="4" w:space="0"/>
              <w:right w:val="single" w:color="auto" w:sz="4" w:space="0"/>
            </w:tcBorders>
          </w:tcPr>
          <w:p w14:paraId="6114DE2F">
            <w:pPr>
              <w:spacing w:line="320" w:lineRule="exact"/>
              <w:jc w:val="left"/>
              <w:rPr>
                <w:b/>
                <w:color w:val="auto"/>
                <w:szCs w:val="21"/>
                <w:highlight w:val="none"/>
              </w:rPr>
            </w:pPr>
          </w:p>
        </w:tc>
      </w:tr>
      <w:tr w14:paraId="76785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2830F428">
            <w:pPr>
              <w:spacing w:line="320" w:lineRule="exact"/>
              <w:jc w:val="center"/>
              <w:rPr>
                <w:rFonts w:hint="eastAsia" w:ascii="宋体" w:hAnsi="宋体" w:cs="宋体"/>
                <w:b w:val="0"/>
                <w:bCs w:val="0"/>
                <w:color w:val="auto"/>
                <w:szCs w:val="21"/>
                <w:highlight w:val="none"/>
              </w:rPr>
            </w:pPr>
            <w:r>
              <w:rPr>
                <w:rFonts w:hint="eastAsia" w:ascii="宋体" w:hAnsi="宋体"/>
                <w:b w:val="0"/>
                <w:bCs w:val="0"/>
                <w:color w:val="auto"/>
                <w:szCs w:val="21"/>
                <w:highlight w:val="none"/>
              </w:rPr>
              <w:t>（二）建设地点</w:t>
            </w:r>
          </w:p>
        </w:tc>
        <w:tc>
          <w:tcPr>
            <w:tcW w:w="6454" w:type="dxa"/>
            <w:tcBorders>
              <w:top w:val="single" w:color="auto" w:sz="4" w:space="0"/>
              <w:left w:val="single" w:color="auto" w:sz="4" w:space="0"/>
              <w:bottom w:val="single" w:color="auto" w:sz="4" w:space="0"/>
              <w:right w:val="single" w:color="auto" w:sz="4" w:space="0"/>
            </w:tcBorders>
          </w:tcPr>
          <w:p w14:paraId="79135A33">
            <w:pPr>
              <w:spacing w:line="320" w:lineRule="exact"/>
              <w:jc w:val="left"/>
              <w:rPr>
                <w:b/>
                <w:color w:val="auto"/>
                <w:szCs w:val="21"/>
                <w:highlight w:val="none"/>
              </w:rPr>
            </w:pPr>
          </w:p>
        </w:tc>
      </w:tr>
      <w:tr w14:paraId="01B72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0167B87A">
            <w:pPr>
              <w:spacing w:line="320" w:lineRule="exact"/>
              <w:jc w:val="center"/>
              <w:rPr>
                <w:rFonts w:hint="eastAsia" w:ascii="宋体" w:hAnsi="宋体" w:cs="宋体"/>
                <w:b w:val="0"/>
                <w:bCs w:val="0"/>
                <w:color w:val="auto"/>
                <w:szCs w:val="21"/>
                <w:highlight w:val="none"/>
              </w:rPr>
            </w:pPr>
            <w:r>
              <w:rPr>
                <w:rFonts w:hint="eastAsia" w:ascii="宋体" w:hAnsi="宋体"/>
                <w:b w:val="0"/>
                <w:bCs w:val="0"/>
                <w:color w:val="auto"/>
                <w:szCs w:val="21"/>
                <w:highlight w:val="none"/>
              </w:rPr>
              <w:t>（三）合同签订时间</w:t>
            </w:r>
          </w:p>
        </w:tc>
        <w:tc>
          <w:tcPr>
            <w:tcW w:w="6454" w:type="dxa"/>
            <w:tcBorders>
              <w:top w:val="single" w:color="auto" w:sz="4" w:space="0"/>
              <w:left w:val="single" w:color="auto" w:sz="4" w:space="0"/>
              <w:bottom w:val="single" w:color="auto" w:sz="4" w:space="0"/>
              <w:right w:val="single" w:color="auto" w:sz="4" w:space="0"/>
            </w:tcBorders>
          </w:tcPr>
          <w:p w14:paraId="031CC4D0">
            <w:pPr>
              <w:spacing w:line="320" w:lineRule="exact"/>
              <w:jc w:val="left"/>
              <w:rPr>
                <w:b/>
                <w:color w:val="auto"/>
                <w:szCs w:val="21"/>
                <w:highlight w:val="none"/>
              </w:rPr>
            </w:pPr>
          </w:p>
        </w:tc>
      </w:tr>
      <w:tr w14:paraId="31B26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6A05C569">
            <w:pPr>
              <w:spacing w:line="320" w:lineRule="exact"/>
              <w:jc w:val="center"/>
              <w:rPr>
                <w:rFonts w:hint="eastAsia" w:ascii="宋体" w:hAnsi="宋体" w:cs="宋体"/>
                <w:b w:val="0"/>
                <w:bCs w:val="0"/>
                <w:color w:val="auto"/>
                <w:szCs w:val="21"/>
                <w:highlight w:val="none"/>
              </w:rPr>
            </w:pPr>
            <w:r>
              <w:rPr>
                <w:rFonts w:hint="eastAsia" w:ascii="宋体" w:hAnsi="宋体"/>
                <w:b w:val="0"/>
                <w:bCs w:val="0"/>
                <w:color w:val="auto"/>
                <w:szCs w:val="21"/>
                <w:highlight w:val="none"/>
              </w:rPr>
              <w:t>（四）付款条件（进度和方式）</w:t>
            </w:r>
          </w:p>
        </w:tc>
        <w:tc>
          <w:tcPr>
            <w:tcW w:w="6454" w:type="dxa"/>
            <w:tcBorders>
              <w:top w:val="single" w:color="auto" w:sz="4" w:space="0"/>
              <w:left w:val="single" w:color="auto" w:sz="4" w:space="0"/>
              <w:bottom w:val="single" w:color="auto" w:sz="4" w:space="0"/>
              <w:right w:val="single" w:color="auto" w:sz="4" w:space="0"/>
            </w:tcBorders>
          </w:tcPr>
          <w:p w14:paraId="7A733B2F">
            <w:pPr>
              <w:spacing w:line="320" w:lineRule="exact"/>
              <w:jc w:val="left"/>
              <w:rPr>
                <w:b/>
                <w:color w:val="auto"/>
                <w:szCs w:val="21"/>
                <w:highlight w:val="none"/>
              </w:rPr>
            </w:pPr>
          </w:p>
        </w:tc>
      </w:tr>
      <w:tr w14:paraId="638A3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24F31F99">
            <w:pPr>
              <w:spacing w:line="320" w:lineRule="exact"/>
              <w:jc w:val="center"/>
              <w:rPr>
                <w:rFonts w:hint="eastAsia" w:ascii="宋体" w:hAnsi="宋体" w:cs="宋体"/>
                <w:b w:val="0"/>
                <w:bCs w:val="0"/>
                <w:color w:val="auto"/>
                <w:szCs w:val="21"/>
                <w:highlight w:val="none"/>
              </w:rPr>
            </w:pPr>
            <w:r>
              <w:rPr>
                <w:rFonts w:hint="eastAsia" w:ascii="宋体" w:hAnsi="宋体"/>
                <w:b w:val="0"/>
                <w:bCs w:val="0"/>
                <w:color w:val="auto"/>
                <w:szCs w:val="21"/>
                <w:highlight w:val="none"/>
              </w:rPr>
              <w:t>（五）工程保修期</w:t>
            </w:r>
          </w:p>
        </w:tc>
        <w:tc>
          <w:tcPr>
            <w:tcW w:w="6454" w:type="dxa"/>
            <w:tcBorders>
              <w:top w:val="single" w:color="auto" w:sz="4" w:space="0"/>
              <w:left w:val="single" w:color="auto" w:sz="4" w:space="0"/>
              <w:bottom w:val="single" w:color="auto" w:sz="4" w:space="0"/>
              <w:right w:val="single" w:color="auto" w:sz="4" w:space="0"/>
            </w:tcBorders>
          </w:tcPr>
          <w:p w14:paraId="1E0FE9D4">
            <w:pPr>
              <w:spacing w:line="320" w:lineRule="exact"/>
              <w:jc w:val="left"/>
              <w:rPr>
                <w:b/>
                <w:color w:val="auto"/>
                <w:szCs w:val="21"/>
                <w:highlight w:val="none"/>
              </w:rPr>
            </w:pPr>
          </w:p>
        </w:tc>
      </w:tr>
      <w:tr w14:paraId="7FD04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490C893B">
            <w:pPr>
              <w:spacing w:line="320" w:lineRule="exact"/>
              <w:jc w:val="center"/>
              <w:rPr>
                <w:rFonts w:hint="eastAsia" w:ascii="宋体" w:hAnsi="宋体" w:cs="宋体"/>
                <w:b w:val="0"/>
                <w:bCs w:val="0"/>
                <w:color w:val="auto"/>
                <w:szCs w:val="21"/>
                <w:highlight w:val="none"/>
              </w:rPr>
            </w:pPr>
            <w:r>
              <w:rPr>
                <w:rFonts w:hint="eastAsia" w:ascii="宋体" w:hAnsi="宋体"/>
                <w:b w:val="0"/>
                <w:bCs w:val="0"/>
                <w:color w:val="auto"/>
                <w:szCs w:val="21"/>
                <w:highlight w:val="none"/>
              </w:rPr>
              <w:t>（六）工程隐蔽部位覆盖前的检查</w:t>
            </w:r>
          </w:p>
        </w:tc>
        <w:tc>
          <w:tcPr>
            <w:tcW w:w="6454" w:type="dxa"/>
            <w:tcBorders>
              <w:top w:val="single" w:color="auto" w:sz="4" w:space="0"/>
              <w:left w:val="single" w:color="auto" w:sz="4" w:space="0"/>
              <w:bottom w:val="single" w:color="auto" w:sz="4" w:space="0"/>
              <w:right w:val="single" w:color="auto" w:sz="4" w:space="0"/>
            </w:tcBorders>
          </w:tcPr>
          <w:p w14:paraId="00F98783">
            <w:pPr>
              <w:spacing w:line="320" w:lineRule="exact"/>
              <w:jc w:val="left"/>
              <w:rPr>
                <w:b/>
                <w:color w:val="auto"/>
                <w:szCs w:val="21"/>
                <w:highlight w:val="none"/>
              </w:rPr>
            </w:pPr>
          </w:p>
        </w:tc>
      </w:tr>
      <w:tr w14:paraId="3C931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75813AAF">
            <w:pPr>
              <w:spacing w:line="320" w:lineRule="exact"/>
              <w:jc w:val="center"/>
              <w:rPr>
                <w:rFonts w:hint="eastAsia" w:ascii="宋体" w:hAnsi="宋体" w:cs="宋体"/>
                <w:b w:val="0"/>
                <w:bCs w:val="0"/>
                <w:color w:val="auto"/>
                <w:szCs w:val="21"/>
                <w:highlight w:val="none"/>
              </w:rPr>
            </w:pPr>
            <w:r>
              <w:rPr>
                <w:rFonts w:hint="eastAsia" w:ascii="宋体" w:hAnsi="宋体"/>
                <w:b w:val="0"/>
                <w:bCs w:val="0"/>
                <w:color w:val="auto"/>
                <w:szCs w:val="21"/>
                <w:highlight w:val="none"/>
              </w:rPr>
              <w:t>（七）验收标准</w:t>
            </w:r>
          </w:p>
        </w:tc>
        <w:tc>
          <w:tcPr>
            <w:tcW w:w="6454" w:type="dxa"/>
            <w:tcBorders>
              <w:top w:val="single" w:color="auto" w:sz="4" w:space="0"/>
              <w:left w:val="single" w:color="auto" w:sz="4" w:space="0"/>
              <w:bottom w:val="single" w:color="auto" w:sz="4" w:space="0"/>
              <w:right w:val="single" w:color="auto" w:sz="4" w:space="0"/>
            </w:tcBorders>
          </w:tcPr>
          <w:p w14:paraId="79B55537">
            <w:pPr>
              <w:spacing w:line="320" w:lineRule="exact"/>
              <w:jc w:val="left"/>
              <w:rPr>
                <w:b/>
                <w:color w:val="auto"/>
                <w:szCs w:val="21"/>
                <w:highlight w:val="none"/>
              </w:rPr>
            </w:pPr>
          </w:p>
        </w:tc>
      </w:tr>
    </w:tbl>
    <w:p w14:paraId="625D5604">
      <w:pPr>
        <w:pStyle w:val="18"/>
        <w:spacing w:after="0" w:line="340" w:lineRule="exact"/>
        <w:contextualSpacing/>
        <w:rPr>
          <w:color w:val="auto"/>
          <w:kern w:val="0"/>
          <w:sz w:val="24"/>
          <w:szCs w:val="24"/>
          <w:highlight w:val="none"/>
        </w:rPr>
      </w:pPr>
      <w:r>
        <w:rPr>
          <w:rFonts w:hint="eastAsia"/>
          <w:color w:val="auto"/>
          <w:kern w:val="0"/>
          <w:sz w:val="24"/>
          <w:szCs w:val="24"/>
          <w:highlight w:val="none"/>
        </w:rPr>
        <w:t>注：</w:t>
      </w:r>
    </w:p>
    <w:p w14:paraId="31B9CC6B">
      <w:pPr>
        <w:pStyle w:val="18"/>
        <w:spacing w:after="0" w:line="340" w:lineRule="exact"/>
        <w:contextualSpacing/>
        <w:rPr>
          <w:color w:val="auto"/>
          <w:kern w:val="0"/>
          <w:sz w:val="24"/>
          <w:szCs w:val="24"/>
          <w:highlight w:val="none"/>
        </w:rPr>
      </w:pPr>
      <w:r>
        <w:rPr>
          <w:color w:val="auto"/>
          <w:kern w:val="0"/>
          <w:sz w:val="24"/>
          <w:szCs w:val="24"/>
          <w:highlight w:val="none"/>
        </w:rPr>
        <w:t xml:space="preserve">  </w:t>
      </w:r>
      <w:r>
        <w:rPr>
          <w:rFonts w:hint="eastAsia"/>
          <w:color w:val="auto"/>
          <w:kern w:val="0"/>
          <w:sz w:val="24"/>
          <w:szCs w:val="24"/>
          <w:highlight w:val="none"/>
        </w:rPr>
        <w:t>说明：应对照磋商文件</w:t>
      </w:r>
      <w:r>
        <w:rPr>
          <w:color w:val="auto"/>
          <w:kern w:val="0"/>
          <w:sz w:val="24"/>
          <w:szCs w:val="24"/>
          <w:highlight w:val="none"/>
        </w:rPr>
        <w:t>“</w:t>
      </w:r>
      <w:r>
        <w:rPr>
          <w:rFonts w:hint="eastAsia"/>
          <w:color w:val="auto"/>
          <w:kern w:val="0"/>
          <w:sz w:val="24"/>
          <w:szCs w:val="24"/>
          <w:highlight w:val="none"/>
        </w:rPr>
        <w:t>第三章</w:t>
      </w:r>
      <w:r>
        <w:rPr>
          <w:color w:val="auto"/>
          <w:kern w:val="0"/>
          <w:sz w:val="24"/>
          <w:szCs w:val="24"/>
          <w:highlight w:val="none"/>
        </w:rPr>
        <w:t xml:space="preserve"> </w:t>
      </w:r>
      <w:r>
        <w:rPr>
          <w:rFonts w:hint="eastAsia"/>
          <w:color w:val="auto"/>
          <w:kern w:val="0"/>
          <w:sz w:val="24"/>
          <w:szCs w:val="24"/>
          <w:highlight w:val="none"/>
        </w:rPr>
        <w:t>采购需求</w:t>
      </w:r>
      <w:r>
        <w:rPr>
          <w:color w:val="auto"/>
          <w:kern w:val="0"/>
          <w:sz w:val="24"/>
          <w:szCs w:val="24"/>
          <w:highlight w:val="none"/>
        </w:rPr>
        <w:t>”</w:t>
      </w:r>
      <w:r>
        <w:rPr>
          <w:rFonts w:hint="eastAsia"/>
          <w:color w:val="auto"/>
          <w:kern w:val="0"/>
          <w:sz w:val="24"/>
          <w:szCs w:val="24"/>
          <w:highlight w:val="none"/>
        </w:rPr>
        <w:t>中的“技术及其他要求”及“商务要求”逐条明确响应承诺。</w:t>
      </w:r>
    </w:p>
    <w:p w14:paraId="3FE3ED1A">
      <w:pPr>
        <w:spacing w:line="340" w:lineRule="exact"/>
        <w:ind w:right="-817" w:rightChars="-389"/>
        <w:contextualSpacing/>
        <w:jc w:val="center"/>
        <w:rPr>
          <w:color w:val="auto"/>
          <w:sz w:val="24"/>
          <w:highlight w:val="none"/>
        </w:rPr>
      </w:pPr>
    </w:p>
    <w:p w14:paraId="260BDC2F">
      <w:pPr>
        <w:spacing w:line="340" w:lineRule="exact"/>
        <w:ind w:right="-817" w:rightChars="-389"/>
        <w:contextualSpacing/>
        <w:jc w:val="center"/>
        <w:rPr>
          <w:color w:val="auto"/>
          <w:sz w:val="24"/>
          <w:highlight w:val="none"/>
        </w:rPr>
      </w:pPr>
      <w:r>
        <w:rPr>
          <w:rFonts w:hint="eastAsia"/>
          <w:color w:val="auto"/>
          <w:sz w:val="24"/>
          <w:highlight w:val="none"/>
        </w:rPr>
        <w:t>法定代表人或者委托代理人（签字或者电子签名）：</w:t>
      </w:r>
    </w:p>
    <w:p w14:paraId="300AB378">
      <w:pPr>
        <w:spacing w:line="340" w:lineRule="exact"/>
        <w:ind w:right="-817" w:rightChars="-389" w:firstLine="2880" w:firstLineChars="1200"/>
        <w:contextualSpacing/>
        <w:rPr>
          <w:color w:val="auto"/>
          <w:sz w:val="24"/>
          <w:highlight w:val="none"/>
        </w:rPr>
      </w:pPr>
      <w:r>
        <w:rPr>
          <w:rFonts w:hint="eastAsia"/>
          <w:color w:val="auto"/>
          <w:sz w:val="24"/>
          <w:highlight w:val="none"/>
        </w:rPr>
        <w:t>供应商（电子签章）：</w:t>
      </w:r>
      <w:r>
        <w:rPr>
          <w:color w:val="auto"/>
          <w:sz w:val="24"/>
          <w:highlight w:val="none"/>
        </w:rPr>
        <w:t xml:space="preserve">      </w:t>
      </w:r>
    </w:p>
    <w:p w14:paraId="2593C582">
      <w:pPr>
        <w:spacing w:line="340" w:lineRule="exact"/>
        <w:ind w:right="-817" w:rightChars="-389" w:firstLine="2880" w:firstLineChars="1200"/>
        <w:contextualSpacing/>
        <w:rPr>
          <w:color w:val="auto"/>
          <w:sz w:val="24"/>
          <w:highlight w:val="none"/>
        </w:rPr>
      </w:pPr>
      <w:r>
        <w:rPr>
          <w:rFonts w:hint="eastAsia"/>
          <w:color w:val="auto"/>
          <w:sz w:val="24"/>
          <w:highlight w:val="none"/>
        </w:rPr>
        <w:t>日期：</w:t>
      </w:r>
      <w:r>
        <w:rPr>
          <w:color w:val="auto"/>
          <w:sz w:val="24"/>
          <w:highlight w:val="none"/>
        </w:rPr>
        <w:t xml:space="preserve">   </w:t>
      </w:r>
      <w:r>
        <w:rPr>
          <w:rFonts w:hint="eastAsia"/>
          <w:color w:val="auto"/>
          <w:sz w:val="24"/>
          <w:highlight w:val="none"/>
        </w:rPr>
        <w:t>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0BBE33C1">
      <w:pPr>
        <w:snapToGrid w:val="0"/>
        <w:spacing w:before="120" w:beforeLines="50" w:after="50"/>
        <w:jc w:val="center"/>
        <w:rPr>
          <w:rFonts w:hint="eastAsia" w:ascii="宋体" w:hAnsi="宋体"/>
          <w:b/>
          <w:color w:val="auto"/>
          <w:sz w:val="32"/>
          <w:szCs w:val="32"/>
          <w:highlight w:val="none"/>
        </w:rPr>
      </w:pPr>
    </w:p>
    <w:p w14:paraId="310CC792">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项目管理机构配备情况表</w:t>
      </w:r>
    </w:p>
    <w:tbl>
      <w:tblPr>
        <w:tblStyle w:val="46"/>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4692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tcBorders>
              <w:top w:val="single" w:color="auto" w:sz="4" w:space="0"/>
              <w:left w:val="single" w:color="auto" w:sz="4" w:space="0"/>
              <w:bottom w:val="single" w:color="auto" w:sz="4" w:space="0"/>
              <w:right w:val="single" w:color="auto" w:sz="4" w:space="0"/>
            </w:tcBorders>
            <w:vAlign w:val="center"/>
          </w:tcPr>
          <w:p w14:paraId="5251007C">
            <w:pPr>
              <w:ind w:left="223" w:hanging="222" w:hangingChars="106"/>
              <w:jc w:val="center"/>
              <w:rPr>
                <w:color w:val="auto"/>
                <w:highlight w:val="none"/>
              </w:rPr>
            </w:pPr>
            <w:r>
              <w:rPr>
                <w:rFonts w:hint="eastAsia"/>
                <w:color w:val="auto"/>
                <w:highlight w:val="none"/>
              </w:rPr>
              <w:t>岗位</w:t>
            </w:r>
          </w:p>
        </w:tc>
        <w:tc>
          <w:tcPr>
            <w:tcW w:w="670" w:type="dxa"/>
            <w:vMerge w:val="restart"/>
            <w:tcBorders>
              <w:top w:val="single" w:color="auto" w:sz="4" w:space="0"/>
              <w:left w:val="single" w:color="auto" w:sz="4" w:space="0"/>
              <w:bottom w:val="single" w:color="auto" w:sz="4" w:space="0"/>
              <w:right w:val="single" w:color="auto" w:sz="4" w:space="0"/>
            </w:tcBorders>
            <w:vAlign w:val="center"/>
          </w:tcPr>
          <w:p w14:paraId="088C63BA">
            <w:pPr>
              <w:ind w:left="223" w:hanging="222" w:hangingChars="106"/>
              <w:jc w:val="center"/>
              <w:rPr>
                <w:color w:val="auto"/>
                <w:highlight w:val="none"/>
              </w:rPr>
            </w:pPr>
            <w:r>
              <w:rPr>
                <w:rFonts w:hint="eastAsia"/>
                <w:color w:val="auto"/>
                <w:highlight w:val="none"/>
              </w:rPr>
              <w:t>姓名</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14:paraId="0CDA7F69">
            <w:pPr>
              <w:jc w:val="center"/>
              <w:rPr>
                <w:color w:val="auto"/>
                <w:highlight w:val="none"/>
              </w:rPr>
            </w:pPr>
            <w:r>
              <w:rPr>
                <w:rFonts w:hint="eastAsia"/>
                <w:color w:val="auto"/>
                <w:highlight w:val="none"/>
              </w:rPr>
              <w:t>身份证号</w:t>
            </w:r>
          </w:p>
        </w:tc>
        <w:tc>
          <w:tcPr>
            <w:tcW w:w="816" w:type="dxa"/>
            <w:vMerge w:val="restart"/>
            <w:tcBorders>
              <w:top w:val="single" w:color="auto" w:sz="4" w:space="0"/>
              <w:left w:val="single" w:color="auto" w:sz="4" w:space="0"/>
              <w:bottom w:val="single" w:color="auto" w:sz="4" w:space="0"/>
              <w:right w:val="single" w:color="auto" w:sz="4" w:space="0"/>
            </w:tcBorders>
            <w:vAlign w:val="center"/>
          </w:tcPr>
          <w:p w14:paraId="35569265">
            <w:pPr>
              <w:ind w:left="223" w:hanging="222" w:hangingChars="106"/>
              <w:jc w:val="center"/>
              <w:rPr>
                <w:color w:val="auto"/>
                <w:highlight w:val="none"/>
              </w:rPr>
            </w:pPr>
            <w:r>
              <w:rPr>
                <w:rFonts w:hint="eastAsia"/>
                <w:color w:val="auto"/>
                <w:highlight w:val="none"/>
              </w:rPr>
              <w:t>职称</w:t>
            </w:r>
          </w:p>
        </w:tc>
        <w:tc>
          <w:tcPr>
            <w:tcW w:w="4188" w:type="dxa"/>
            <w:gridSpan w:val="4"/>
            <w:tcBorders>
              <w:top w:val="single" w:color="auto" w:sz="4" w:space="0"/>
              <w:left w:val="single" w:color="auto" w:sz="4" w:space="0"/>
              <w:bottom w:val="single" w:color="auto" w:sz="4" w:space="0"/>
              <w:right w:val="single" w:color="auto" w:sz="4" w:space="0"/>
            </w:tcBorders>
            <w:vAlign w:val="center"/>
          </w:tcPr>
          <w:p w14:paraId="553B0FD2">
            <w:pPr>
              <w:ind w:left="223" w:hanging="222" w:hangingChars="106"/>
              <w:jc w:val="center"/>
              <w:rPr>
                <w:color w:val="auto"/>
                <w:highlight w:val="none"/>
              </w:rPr>
            </w:pPr>
            <w:r>
              <w:rPr>
                <w:rFonts w:hint="eastAsia"/>
                <w:color w:val="auto"/>
                <w:highlight w:val="none"/>
              </w:rPr>
              <w:t>执业或职业资格</w:t>
            </w:r>
          </w:p>
        </w:tc>
        <w:tc>
          <w:tcPr>
            <w:tcW w:w="2443" w:type="dxa"/>
            <w:gridSpan w:val="2"/>
            <w:tcBorders>
              <w:top w:val="single" w:color="auto" w:sz="4" w:space="0"/>
              <w:left w:val="single" w:color="auto" w:sz="4" w:space="0"/>
              <w:bottom w:val="single" w:color="auto" w:sz="4" w:space="0"/>
              <w:right w:val="single" w:color="auto" w:sz="4" w:space="0"/>
            </w:tcBorders>
            <w:vAlign w:val="center"/>
          </w:tcPr>
          <w:p w14:paraId="55DAD10A">
            <w:pPr>
              <w:jc w:val="left"/>
              <w:rPr>
                <w:color w:val="auto"/>
                <w:highlight w:val="none"/>
              </w:rPr>
            </w:pPr>
            <w:r>
              <w:rPr>
                <w:rFonts w:hint="eastAsia"/>
                <w:color w:val="auto"/>
                <w:highlight w:val="none"/>
              </w:rPr>
              <w:t>承担完工、在建工程情况</w:t>
            </w:r>
          </w:p>
        </w:tc>
      </w:tr>
      <w:tr w14:paraId="7273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tcBorders>
              <w:top w:val="single" w:color="auto" w:sz="4" w:space="0"/>
              <w:left w:val="single" w:color="auto" w:sz="4" w:space="0"/>
              <w:bottom w:val="single" w:color="auto" w:sz="4" w:space="0"/>
              <w:right w:val="single" w:color="auto" w:sz="4" w:space="0"/>
            </w:tcBorders>
            <w:vAlign w:val="center"/>
          </w:tcPr>
          <w:p w14:paraId="787D7565">
            <w:pPr>
              <w:widowControl/>
              <w:jc w:val="left"/>
              <w:rPr>
                <w:color w:val="auto"/>
                <w:highlight w:val="none"/>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14:paraId="000DAD7D">
            <w:pPr>
              <w:widowControl/>
              <w:jc w:val="left"/>
              <w:rPr>
                <w:color w:val="auto"/>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14:paraId="27C54963">
            <w:pPr>
              <w:widowControl/>
              <w:jc w:val="left"/>
              <w:rPr>
                <w:color w:val="auto"/>
                <w:highlight w:val="none"/>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569D1E8D">
            <w:pPr>
              <w:widowControl/>
              <w:jc w:val="left"/>
              <w:rPr>
                <w:color w:val="auto"/>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4A9E88D">
            <w:pPr>
              <w:ind w:left="223" w:hanging="222" w:hangingChars="106"/>
              <w:jc w:val="center"/>
              <w:rPr>
                <w:color w:val="auto"/>
                <w:highlight w:val="none"/>
              </w:rPr>
            </w:pPr>
            <w:r>
              <w:rPr>
                <w:rFonts w:hint="eastAsia"/>
                <w:color w:val="auto"/>
                <w:highlight w:val="none"/>
              </w:rPr>
              <w:t>证书名称</w:t>
            </w:r>
          </w:p>
        </w:tc>
        <w:tc>
          <w:tcPr>
            <w:tcW w:w="1148" w:type="dxa"/>
            <w:tcBorders>
              <w:top w:val="single" w:color="auto" w:sz="4" w:space="0"/>
              <w:left w:val="single" w:color="auto" w:sz="4" w:space="0"/>
              <w:bottom w:val="single" w:color="auto" w:sz="4" w:space="0"/>
              <w:right w:val="single" w:color="auto" w:sz="4" w:space="0"/>
            </w:tcBorders>
            <w:vAlign w:val="center"/>
          </w:tcPr>
          <w:p w14:paraId="654B678D">
            <w:pPr>
              <w:ind w:left="223" w:hanging="222" w:hangingChars="106"/>
              <w:jc w:val="center"/>
              <w:rPr>
                <w:color w:val="auto"/>
                <w:highlight w:val="none"/>
              </w:rPr>
            </w:pPr>
            <w:r>
              <w:rPr>
                <w:rFonts w:hint="eastAsia"/>
                <w:color w:val="auto"/>
                <w:highlight w:val="none"/>
              </w:rPr>
              <w:t>级别</w:t>
            </w:r>
          </w:p>
        </w:tc>
        <w:tc>
          <w:tcPr>
            <w:tcW w:w="1148" w:type="dxa"/>
            <w:tcBorders>
              <w:top w:val="single" w:color="auto" w:sz="4" w:space="0"/>
              <w:left w:val="single" w:color="auto" w:sz="4" w:space="0"/>
              <w:bottom w:val="single" w:color="auto" w:sz="4" w:space="0"/>
              <w:right w:val="single" w:color="auto" w:sz="4" w:space="0"/>
            </w:tcBorders>
            <w:vAlign w:val="center"/>
          </w:tcPr>
          <w:p w14:paraId="18D06F81">
            <w:pPr>
              <w:ind w:left="223" w:hanging="222" w:hangingChars="106"/>
              <w:jc w:val="center"/>
              <w:rPr>
                <w:color w:val="auto"/>
                <w:highlight w:val="none"/>
              </w:rPr>
            </w:pPr>
            <w:r>
              <w:rPr>
                <w:rFonts w:hint="eastAsia"/>
                <w:color w:val="auto"/>
                <w:highlight w:val="none"/>
              </w:rPr>
              <w:t>证号</w:t>
            </w:r>
          </w:p>
        </w:tc>
        <w:tc>
          <w:tcPr>
            <w:tcW w:w="744" w:type="dxa"/>
            <w:tcBorders>
              <w:top w:val="single" w:color="auto" w:sz="4" w:space="0"/>
              <w:left w:val="single" w:color="auto" w:sz="4" w:space="0"/>
              <w:bottom w:val="single" w:color="auto" w:sz="4" w:space="0"/>
              <w:right w:val="single" w:color="auto" w:sz="4" w:space="0"/>
            </w:tcBorders>
            <w:vAlign w:val="center"/>
          </w:tcPr>
          <w:p w14:paraId="0F527531">
            <w:pPr>
              <w:ind w:left="223" w:hanging="222" w:hangingChars="106"/>
              <w:jc w:val="center"/>
              <w:rPr>
                <w:color w:val="auto"/>
                <w:highlight w:val="none"/>
              </w:rPr>
            </w:pPr>
            <w:r>
              <w:rPr>
                <w:rFonts w:hint="eastAsia"/>
                <w:color w:val="auto"/>
                <w:highlight w:val="none"/>
              </w:rPr>
              <w:t>专业</w:t>
            </w:r>
          </w:p>
        </w:tc>
        <w:tc>
          <w:tcPr>
            <w:tcW w:w="1167" w:type="dxa"/>
            <w:tcBorders>
              <w:top w:val="single" w:color="auto" w:sz="4" w:space="0"/>
              <w:left w:val="single" w:color="auto" w:sz="4" w:space="0"/>
              <w:bottom w:val="single" w:color="auto" w:sz="4" w:space="0"/>
              <w:right w:val="single" w:color="auto" w:sz="4" w:space="0"/>
            </w:tcBorders>
            <w:vAlign w:val="center"/>
          </w:tcPr>
          <w:p w14:paraId="69669DA8">
            <w:pPr>
              <w:jc w:val="center"/>
              <w:rPr>
                <w:color w:val="auto"/>
                <w:highlight w:val="none"/>
              </w:rPr>
            </w:pPr>
            <w:r>
              <w:rPr>
                <w:rFonts w:hint="eastAsia"/>
                <w:color w:val="auto"/>
                <w:highlight w:val="none"/>
              </w:rPr>
              <w:t>完工</w:t>
            </w:r>
            <w:r>
              <w:rPr>
                <w:color w:val="auto"/>
                <w:highlight w:val="none"/>
              </w:rPr>
              <w:t>/</w:t>
            </w:r>
            <w:r>
              <w:rPr>
                <w:rFonts w:hint="eastAsia"/>
                <w:color w:val="auto"/>
                <w:highlight w:val="none"/>
              </w:rPr>
              <w:t>在建</w:t>
            </w:r>
          </w:p>
        </w:tc>
        <w:tc>
          <w:tcPr>
            <w:tcW w:w="1276" w:type="dxa"/>
            <w:tcBorders>
              <w:top w:val="single" w:color="auto" w:sz="4" w:space="0"/>
              <w:left w:val="single" w:color="auto" w:sz="4" w:space="0"/>
              <w:bottom w:val="single" w:color="auto" w:sz="4" w:space="0"/>
              <w:right w:val="single" w:color="auto" w:sz="4" w:space="0"/>
            </w:tcBorders>
            <w:vAlign w:val="center"/>
          </w:tcPr>
          <w:p w14:paraId="20BB3377">
            <w:pPr>
              <w:jc w:val="center"/>
              <w:rPr>
                <w:color w:val="auto"/>
                <w:highlight w:val="none"/>
              </w:rPr>
            </w:pPr>
            <w:r>
              <w:rPr>
                <w:rFonts w:hint="eastAsia"/>
                <w:color w:val="auto"/>
                <w:highlight w:val="none"/>
              </w:rPr>
              <w:t>主要项目</w:t>
            </w:r>
          </w:p>
          <w:p w14:paraId="48B21241">
            <w:pPr>
              <w:jc w:val="center"/>
              <w:rPr>
                <w:color w:val="auto"/>
                <w:highlight w:val="none"/>
              </w:rPr>
            </w:pPr>
            <w:r>
              <w:rPr>
                <w:rFonts w:hint="eastAsia"/>
                <w:color w:val="auto"/>
                <w:highlight w:val="none"/>
              </w:rPr>
              <w:t>名称</w:t>
            </w:r>
          </w:p>
        </w:tc>
      </w:tr>
      <w:tr w14:paraId="1D95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45A09345">
            <w:pPr>
              <w:pStyle w:val="140"/>
              <w:spacing w:line="240" w:lineRule="auto"/>
              <w:ind w:firstLine="0"/>
              <w:rPr>
                <w:rFonts w:hint="eastAsia" w:asciiTheme="minorEastAsia" w:hAnsiTheme="minorEastAsia" w:eastAsiaTheme="minorEastAsia"/>
                <w:color w:val="auto"/>
                <w:kern w:val="2"/>
                <w:sz w:val="21"/>
                <w:szCs w:val="21"/>
                <w:highlight w:val="none"/>
              </w:rPr>
            </w:pPr>
            <w:r>
              <w:rPr>
                <w:rFonts w:cs="Times New Roman" w:asciiTheme="minorEastAsia" w:hAnsiTheme="minorEastAsia" w:eastAsiaTheme="minorEastAsia"/>
                <w:color w:val="auto"/>
                <w:kern w:val="2"/>
                <w:sz w:val="21"/>
                <w:szCs w:val="21"/>
                <w:highlight w:val="none"/>
                <w:lang w:val="en-US" w:eastAsia="en-US" w:bidi="en-US"/>
              </w:rPr>
              <w:t>1.</w:t>
            </w:r>
            <w:r>
              <w:rPr>
                <w:rFonts w:hint="eastAsia" w:asciiTheme="minorEastAsia" w:hAnsiTheme="minorEastAsia" w:eastAsiaTheme="minorEastAsia"/>
                <w:color w:val="auto"/>
                <w:kern w:val="2"/>
                <w:sz w:val="21"/>
                <w:szCs w:val="21"/>
                <w:highlight w:val="none"/>
              </w:rPr>
              <w:t>项目经理</w:t>
            </w:r>
          </w:p>
        </w:tc>
        <w:tc>
          <w:tcPr>
            <w:tcW w:w="670" w:type="dxa"/>
            <w:tcBorders>
              <w:top w:val="single" w:color="auto" w:sz="4" w:space="0"/>
              <w:left w:val="single" w:color="auto" w:sz="4" w:space="0"/>
              <w:bottom w:val="single" w:color="auto" w:sz="4" w:space="0"/>
              <w:right w:val="single" w:color="auto" w:sz="4" w:space="0"/>
            </w:tcBorders>
            <w:vAlign w:val="center"/>
          </w:tcPr>
          <w:p w14:paraId="3C3E991B">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8846EE2">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1B9EB849">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3107660">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99A2103">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48F1254A">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6630605F">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68EE0A34">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F0A6A19">
            <w:pPr>
              <w:ind w:left="223" w:hanging="222" w:hangingChars="106"/>
              <w:jc w:val="center"/>
              <w:rPr>
                <w:color w:val="auto"/>
                <w:szCs w:val="21"/>
                <w:highlight w:val="none"/>
              </w:rPr>
            </w:pPr>
          </w:p>
        </w:tc>
      </w:tr>
      <w:tr w14:paraId="5EDA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79766116">
            <w:pPr>
              <w:pStyle w:val="140"/>
              <w:spacing w:line="240" w:lineRule="auto"/>
              <w:ind w:firstLine="0"/>
              <w:rPr>
                <w:rFonts w:hint="eastAsia" w:asciiTheme="minorEastAsia" w:hAnsiTheme="minorEastAsia" w:eastAsiaTheme="minorEastAsia"/>
                <w:color w:val="auto"/>
                <w:kern w:val="2"/>
                <w:sz w:val="21"/>
                <w:szCs w:val="21"/>
                <w:highlight w:val="none"/>
              </w:rPr>
            </w:pPr>
            <w:r>
              <w:rPr>
                <w:rFonts w:cs="Times New Roman" w:asciiTheme="minorEastAsia" w:hAnsiTheme="minorEastAsia" w:eastAsiaTheme="minorEastAsia"/>
                <w:color w:val="auto"/>
                <w:kern w:val="2"/>
                <w:sz w:val="21"/>
                <w:szCs w:val="21"/>
                <w:highlight w:val="none"/>
                <w:lang w:val="en-US" w:bidi="en-US"/>
              </w:rPr>
              <w:t>2.</w:t>
            </w:r>
            <w:r>
              <w:rPr>
                <w:rFonts w:hint="eastAsia" w:asciiTheme="minorEastAsia" w:hAnsiTheme="minorEastAsia" w:eastAsiaTheme="minorEastAsia"/>
                <w:color w:val="auto"/>
                <w:kern w:val="2"/>
                <w:sz w:val="21"/>
                <w:szCs w:val="21"/>
                <w:highlight w:val="none"/>
              </w:rPr>
              <w:t>技术负责人</w:t>
            </w:r>
          </w:p>
        </w:tc>
        <w:tc>
          <w:tcPr>
            <w:tcW w:w="670" w:type="dxa"/>
            <w:tcBorders>
              <w:top w:val="single" w:color="auto" w:sz="4" w:space="0"/>
              <w:left w:val="single" w:color="auto" w:sz="4" w:space="0"/>
              <w:bottom w:val="single" w:color="auto" w:sz="4" w:space="0"/>
              <w:right w:val="single" w:color="auto" w:sz="4" w:space="0"/>
            </w:tcBorders>
            <w:vAlign w:val="center"/>
          </w:tcPr>
          <w:p w14:paraId="4D7794F5">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F9A6087">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60761FF7">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2EB52990">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77084330">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3068C64">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7D4486DB">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48F6780B">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2681AD5">
            <w:pPr>
              <w:ind w:left="223" w:hanging="222" w:hangingChars="106"/>
              <w:jc w:val="center"/>
              <w:rPr>
                <w:color w:val="auto"/>
                <w:szCs w:val="21"/>
                <w:highlight w:val="none"/>
              </w:rPr>
            </w:pPr>
          </w:p>
        </w:tc>
      </w:tr>
      <w:tr w14:paraId="2085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74D2CD85">
            <w:pPr>
              <w:pStyle w:val="140"/>
              <w:spacing w:line="240" w:lineRule="auto"/>
              <w:ind w:firstLine="0"/>
              <w:rPr>
                <w:rFonts w:hint="eastAsia" w:cs="Times New Roman" w:asciiTheme="minorEastAsia" w:hAnsiTheme="minorEastAsia" w:eastAsiaTheme="minorEastAsia"/>
                <w:color w:val="auto"/>
                <w:kern w:val="2"/>
                <w:sz w:val="21"/>
                <w:szCs w:val="21"/>
                <w:highlight w:val="none"/>
                <w:lang w:val="en-US" w:bidi="en-US"/>
              </w:rPr>
            </w:pPr>
            <w:r>
              <w:rPr>
                <w:rFonts w:cs="Times New Roman" w:asciiTheme="minorEastAsia" w:hAnsiTheme="minorEastAsia" w:eastAsiaTheme="minorEastAsia"/>
                <w:color w:val="auto"/>
                <w:kern w:val="2"/>
                <w:sz w:val="21"/>
                <w:szCs w:val="21"/>
                <w:highlight w:val="none"/>
                <w:lang w:val="en-US" w:bidi="en-US"/>
              </w:rPr>
              <w:t>4.</w:t>
            </w:r>
            <w:r>
              <w:rPr>
                <w:rFonts w:hint="eastAsia" w:asciiTheme="minorEastAsia" w:hAnsiTheme="minorEastAsia" w:eastAsiaTheme="minorEastAsia"/>
                <w:color w:val="auto"/>
                <w:kern w:val="2"/>
                <w:sz w:val="21"/>
                <w:szCs w:val="21"/>
                <w:highlight w:val="none"/>
              </w:rPr>
              <w:t>专职安全生产管理人员</w:t>
            </w:r>
          </w:p>
        </w:tc>
        <w:tc>
          <w:tcPr>
            <w:tcW w:w="670" w:type="dxa"/>
            <w:tcBorders>
              <w:top w:val="single" w:color="auto" w:sz="4" w:space="0"/>
              <w:left w:val="single" w:color="auto" w:sz="4" w:space="0"/>
              <w:bottom w:val="single" w:color="auto" w:sz="4" w:space="0"/>
              <w:right w:val="single" w:color="auto" w:sz="4" w:space="0"/>
            </w:tcBorders>
            <w:vAlign w:val="center"/>
          </w:tcPr>
          <w:p w14:paraId="56236AE4">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7C8852C">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2A9A261">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0C74252">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074830E3">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778839EC">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4022FB2F">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190B1C02">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A3E3BB6">
            <w:pPr>
              <w:ind w:left="223" w:hanging="222" w:hangingChars="106"/>
              <w:jc w:val="center"/>
              <w:rPr>
                <w:color w:val="auto"/>
                <w:szCs w:val="21"/>
                <w:highlight w:val="none"/>
              </w:rPr>
            </w:pPr>
          </w:p>
        </w:tc>
      </w:tr>
      <w:tr w14:paraId="2386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41034512">
            <w:pPr>
              <w:pStyle w:val="140"/>
              <w:spacing w:line="240" w:lineRule="auto"/>
              <w:ind w:firstLine="0"/>
              <w:rPr>
                <w:rFonts w:hint="eastAsia" w:asciiTheme="minorEastAsia" w:hAnsiTheme="minorEastAsia" w:eastAsiaTheme="minorEastAsia"/>
                <w:color w:val="auto"/>
                <w:kern w:val="2"/>
                <w:sz w:val="21"/>
                <w:szCs w:val="21"/>
                <w:highlight w:val="none"/>
              </w:rPr>
            </w:pPr>
            <w:r>
              <w:rPr>
                <w:rFonts w:cs="Times New Roman" w:asciiTheme="minorEastAsia" w:hAnsiTheme="minorEastAsia" w:eastAsiaTheme="minorEastAsia"/>
                <w:color w:val="auto"/>
                <w:kern w:val="2"/>
                <w:sz w:val="21"/>
                <w:szCs w:val="21"/>
                <w:highlight w:val="none"/>
                <w:lang w:val="en-US" w:eastAsia="en-US" w:bidi="en-US"/>
              </w:rPr>
              <w:t>3.</w:t>
            </w:r>
            <w:r>
              <w:rPr>
                <w:rFonts w:hint="eastAsia" w:asciiTheme="minorEastAsia" w:hAnsiTheme="minorEastAsia" w:eastAsiaTheme="minorEastAsia"/>
                <w:color w:val="auto"/>
                <w:kern w:val="2"/>
                <w:sz w:val="21"/>
                <w:szCs w:val="21"/>
                <w:highlight w:val="none"/>
              </w:rPr>
              <w:t>施工员</w:t>
            </w:r>
          </w:p>
        </w:tc>
        <w:tc>
          <w:tcPr>
            <w:tcW w:w="670" w:type="dxa"/>
            <w:tcBorders>
              <w:top w:val="single" w:color="auto" w:sz="4" w:space="0"/>
              <w:left w:val="single" w:color="auto" w:sz="4" w:space="0"/>
              <w:bottom w:val="single" w:color="auto" w:sz="4" w:space="0"/>
              <w:right w:val="single" w:color="auto" w:sz="4" w:space="0"/>
            </w:tcBorders>
            <w:vAlign w:val="center"/>
          </w:tcPr>
          <w:p w14:paraId="357D9297">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D6D7689">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B692AC7">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C9AF94B">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05AACC2">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01A2415B">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48B20059">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6FC42A53">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398AF35">
            <w:pPr>
              <w:ind w:left="223" w:hanging="222" w:hangingChars="106"/>
              <w:jc w:val="center"/>
              <w:rPr>
                <w:color w:val="auto"/>
                <w:szCs w:val="21"/>
                <w:highlight w:val="none"/>
              </w:rPr>
            </w:pPr>
          </w:p>
        </w:tc>
      </w:tr>
      <w:tr w14:paraId="5415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75C045C8">
            <w:pPr>
              <w:jc w:val="left"/>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质量员</w:t>
            </w:r>
          </w:p>
        </w:tc>
        <w:tc>
          <w:tcPr>
            <w:tcW w:w="670" w:type="dxa"/>
            <w:tcBorders>
              <w:top w:val="single" w:color="auto" w:sz="4" w:space="0"/>
              <w:left w:val="single" w:color="auto" w:sz="4" w:space="0"/>
              <w:bottom w:val="single" w:color="auto" w:sz="4" w:space="0"/>
              <w:right w:val="single" w:color="auto" w:sz="4" w:space="0"/>
            </w:tcBorders>
            <w:vAlign w:val="center"/>
          </w:tcPr>
          <w:p w14:paraId="6C4210C0">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D8982C5">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F6AA47E">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9356951">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115FF59">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3F1D8A4">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6010E737">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03830871">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4E79A43">
            <w:pPr>
              <w:ind w:left="223" w:hanging="222" w:hangingChars="106"/>
              <w:jc w:val="center"/>
              <w:rPr>
                <w:color w:val="auto"/>
                <w:szCs w:val="21"/>
                <w:highlight w:val="none"/>
              </w:rPr>
            </w:pPr>
          </w:p>
        </w:tc>
      </w:tr>
      <w:tr w14:paraId="75D9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6461D8E8">
            <w:pPr>
              <w:jc w:val="left"/>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材料员</w:t>
            </w:r>
          </w:p>
        </w:tc>
        <w:tc>
          <w:tcPr>
            <w:tcW w:w="670" w:type="dxa"/>
            <w:tcBorders>
              <w:top w:val="single" w:color="auto" w:sz="4" w:space="0"/>
              <w:left w:val="single" w:color="auto" w:sz="4" w:space="0"/>
              <w:bottom w:val="single" w:color="auto" w:sz="4" w:space="0"/>
              <w:right w:val="single" w:color="auto" w:sz="4" w:space="0"/>
            </w:tcBorders>
            <w:vAlign w:val="center"/>
          </w:tcPr>
          <w:p w14:paraId="18CB32D2">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6696367">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4173A56">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A25DFDE">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A0A0D55">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2EAE4CDF">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6FC7DC6D">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6160447F">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530A290">
            <w:pPr>
              <w:ind w:left="223" w:hanging="222" w:hangingChars="106"/>
              <w:jc w:val="center"/>
              <w:rPr>
                <w:color w:val="auto"/>
                <w:szCs w:val="21"/>
                <w:highlight w:val="none"/>
              </w:rPr>
            </w:pPr>
          </w:p>
        </w:tc>
      </w:tr>
      <w:tr w14:paraId="37A8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2D6F5DCC">
            <w:pPr>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670" w:type="dxa"/>
            <w:tcBorders>
              <w:top w:val="single" w:color="auto" w:sz="4" w:space="0"/>
              <w:left w:val="single" w:color="auto" w:sz="4" w:space="0"/>
              <w:bottom w:val="single" w:color="auto" w:sz="4" w:space="0"/>
              <w:right w:val="single" w:color="auto" w:sz="4" w:space="0"/>
            </w:tcBorders>
            <w:vAlign w:val="center"/>
          </w:tcPr>
          <w:p w14:paraId="246E1BA0">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F268BAA">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4C8B79F">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33937CF">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51EF383">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F70D756">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4701C38D">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29B7D2BD">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C1C6053">
            <w:pPr>
              <w:ind w:left="223" w:hanging="222" w:hangingChars="106"/>
              <w:jc w:val="center"/>
              <w:rPr>
                <w:color w:val="auto"/>
                <w:szCs w:val="21"/>
                <w:highlight w:val="none"/>
              </w:rPr>
            </w:pPr>
          </w:p>
        </w:tc>
      </w:tr>
      <w:tr w14:paraId="2A92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tcBorders>
              <w:top w:val="single" w:color="auto" w:sz="4" w:space="0"/>
              <w:left w:val="single" w:color="auto" w:sz="4" w:space="0"/>
              <w:bottom w:val="single" w:color="auto" w:sz="4" w:space="0"/>
              <w:right w:val="single" w:color="auto" w:sz="4" w:space="0"/>
            </w:tcBorders>
            <w:vAlign w:val="center"/>
          </w:tcPr>
          <w:p w14:paraId="43BFA7BD">
            <w:pPr>
              <w:ind w:left="223" w:hanging="222" w:hangingChars="106"/>
              <w:jc w:val="left"/>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5D4587F9">
      <w:pPr>
        <w:spacing w:line="360" w:lineRule="auto"/>
        <w:jc w:val="left"/>
        <w:rPr>
          <w:rFonts w:hint="eastAsia" w:ascii="宋体" w:hAnsi="宋体"/>
          <w:b/>
          <w:color w:val="auto"/>
          <w:szCs w:val="21"/>
          <w:highlight w:val="none"/>
        </w:rPr>
      </w:pPr>
      <w:r>
        <w:rPr>
          <w:rFonts w:hint="eastAsia" w:ascii="宋体" w:hAnsi="宋体"/>
          <w:b/>
          <w:color w:val="auto"/>
          <w:szCs w:val="21"/>
          <w:highlight w:val="none"/>
        </w:rPr>
        <w:t>备注：</w:t>
      </w:r>
    </w:p>
    <w:p w14:paraId="4F7E4D33">
      <w:pPr>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1.本表所列岗位的所有管理人员的情况均应如实填写。可按以上格式扩展为多页填写。</w:t>
      </w:r>
    </w:p>
    <w:p w14:paraId="3B646D07">
      <w:pPr>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cs="宋体"/>
          <w:b/>
          <w:color w:val="auto"/>
          <w:szCs w:val="21"/>
          <w:highlight w:val="none"/>
        </w:rPr>
        <w:t>附以下证明材料：①项目经理具有建筑工程专业二级以上（含二级）注册建造师执业资格证书复印件及有效的安全生产考核合格证书复印件（B类），加盖供应商电子签章；②技术负责人的与本项目相关的</w:t>
      </w:r>
      <w:r>
        <w:rPr>
          <w:rFonts w:hint="eastAsia" w:ascii="宋体" w:hAnsi="宋体" w:cs="宋体"/>
          <w:b/>
          <w:color w:val="auto"/>
          <w:szCs w:val="21"/>
          <w:highlight w:val="none"/>
          <w:lang w:eastAsia="zh-CN"/>
        </w:rPr>
        <w:t>建筑工程</w:t>
      </w:r>
      <w:r>
        <w:rPr>
          <w:rFonts w:hint="eastAsia" w:ascii="宋体" w:hAnsi="宋体" w:cs="宋体"/>
          <w:b/>
          <w:color w:val="auto"/>
          <w:szCs w:val="21"/>
          <w:highlight w:val="none"/>
        </w:rPr>
        <w:t>专业中级及以上职称证书复印件，加盖供应商电子签章；③专职安全生产管理人员须具有安全生产考核合格证书复印件（C类），加盖供应商电子签章；④施工员、质量员、材料员须具有施工现场专业人员职业培训合格证书复印件，加盖供应商电子签章；⑤以上项目管理机构人员的身份证复印件及2024年</w:t>
      </w: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月以来任意一个月供应商为以上项目管理机构人员交纳的社保证明材料复印件（如聘请的员工自签订劳动合同之日起不足1个月的，则提供有效的劳动合同复印件），加盖供应商电子签章</w:t>
      </w:r>
      <w:r>
        <w:rPr>
          <w:rFonts w:hint="eastAsia" w:ascii="宋体" w:hAnsi="宋体"/>
          <w:b/>
          <w:color w:val="auto"/>
          <w:szCs w:val="21"/>
          <w:highlight w:val="none"/>
        </w:rPr>
        <w:t>。</w:t>
      </w:r>
    </w:p>
    <w:p w14:paraId="16B774AC">
      <w:pPr>
        <w:pStyle w:val="64"/>
        <w:rPr>
          <w:color w:val="auto"/>
          <w:highlight w:val="none"/>
        </w:rPr>
      </w:pPr>
    </w:p>
    <w:p w14:paraId="170396C5">
      <w:pPr>
        <w:pStyle w:val="64"/>
        <w:rPr>
          <w:color w:val="auto"/>
          <w:highlight w:val="none"/>
        </w:rPr>
      </w:pPr>
    </w:p>
    <w:p w14:paraId="7FBBC473">
      <w:pPr>
        <w:spacing w:line="360" w:lineRule="auto"/>
        <w:ind w:firstLine="480" w:firstLineChars="200"/>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616C7B84">
      <w:pPr>
        <w:spacing w:line="360" w:lineRule="auto"/>
        <w:ind w:firstLine="560" w:firstLineChars="200"/>
        <w:jc w:val="left"/>
        <w:rPr>
          <w:rFonts w:hint="eastAsia" w:ascii="宋体" w:hAnsi="宋体"/>
          <w:color w:val="auto"/>
          <w:spacing w:val="20"/>
          <w:sz w:val="24"/>
          <w:highlight w:val="none"/>
        </w:rPr>
      </w:pPr>
      <w:r>
        <w:rPr>
          <w:rFonts w:hint="eastAsia" w:ascii="宋体" w:hAnsi="宋体"/>
          <w:color w:val="auto"/>
          <w:spacing w:val="20"/>
          <w:sz w:val="24"/>
          <w:highlight w:val="none"/>
        </w:rPr>
        <w:t>供应商（电子签章）：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19CB6E04">
      <w:pPr>
        <w:spacing w:line="360" w:lineRule="auto"/>
        <w:ind w:firstLine="560" w:firstLineChars="200"/>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2C485AFB">
      <w:pPr>
        <w:spacing w:line="500" w:lineRule="exact"/>
        <w:jc w:val="center"/>
        <w:rPr>
          <w:rFonts w:cs="宋体"/>
          <w:b/>
          <w:bCs/>
          <w:color w:val="auto"/>
          <w:sz w:val="28"/>
          <w:szCs w:val="28"/>
          <w:highlight w:val="none"/>
        </w:rPr>
      </w:pPr>
    </w:p>
    <w:p w14:paraId="7D1A9992">
      <w:pPr>
        <w:spacing w:line="500" w:lineRule="exact"/>
        <w:jc w:val="center"/>
        <w:rPr>
          <w:rFonts w:hint="eastAsia" w:cs="宋体"/>
          <w:b/>
          <w:bCs/>
          <w:color w:val="auto"/>
          <w:sz w:val="28"/>
          <w:szCs w:val="28"/>
          <w:highlight w:val="none"/>
        </w:rPr>
      </w:pPr>
    </w:p>
    <w:p w14:paraId="6ED72C9E">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供应商关于拟派项目经理的承诺书</w:t>
      </w:r>
    </w:p>
    <w:p w14:paraId="4FD796A5">
      <w:pPr>
        <w:spacing w:line="520" w:lineRule="exact"/>
        <w:ind w:left="-10" w:firstLine="520" w:firstLineChars="217"/>
        <w:jc w:val="left"/>
        <w:rPr>
          <w:rFonts w:cs="宋体"/>
          <w:bCs/>
          <w:color w:val="auto"/>
          <w:sz w:val="24"/>
          <w:highlight w:val="none"/>
        </w:rPr>
      </w:pPr>
    </w:p>
    <w:p w14:paraId="1CBB0B7D">
      <w:pPr>
        <w:keepNext w:val="0"/>
        <w:keepLines w:val="0"/>
        <w:pageBreakBefore w:val="0"/>
        <w:widowControl w:val="0"/>
        <w:kinsoku/>
        <w:wordWrap w:val="0"/>
        <w:overflowPunct/>
        <w:topLinePunct w:val="0"/>
        <w:autoSpaceDE/>
        <w:autoSpaceDN/>
        <w:bidi w:val="0"/>
        <w:adjustRightInd/>
        <w:snapToGrid/>
        <w:spacing w:line="520" w:lineRule="exact"/>
        <w:ind w:left="-11" w:firstLine="520" w:firstLineChars="217"/>
        <w:jc w:val="left"/>
        <w:textAlignment w:val="auto"/>
        <w:rPr>
          <w:rFonts w:hint="eastAsia" w:cs="宋体" w:asciiTheme="minorEastAsia" w:hAnsiTheme="minorEastAsia" w:eastAsiaTheme="minorEastAsia"/>
          <w:bCs/>
          <w:color w:val="auto"/>
          <w:sz w:val="24"/>
          <w:highlight w:val="none"/>
        </w:rPr>
      </w:pPr>
      <w:r>
        <w:rPr>
          <w:rFonts w:hint="eastAsia" w:cs="宋体"/>
          <w:bCs/>
          <w:color w:val="auto"/>
          <w:sz w:val="24"/>
          <w:highlight w:val="none"/>
        </w:rPr>
        <w:t>我公司郑重承诺：在参加本次</w:t>
      </w:r>
      <w:r>
        <w:rPr>
          <w:rFonts w:cs="宋体"/>
          <w:bCs/>
          <w:color w:val="auto"/>
          <w:sz w:val="24"/>
          <w:highlight w:val="none"/>
          <w:u w:val="single"/>
        </w:rPr>
        <w:t xml:space="preserve">            </w:t>
      </w:r>
      <w:r>
        <w:rPr>
          <w:rFonts w:hint="eastAsia" w:cs="宋体"/>
          <w:bCs/>
          <w:color w:val="auto"/>
          <w:sz w:val="24"/>
          <w:highlight w:val="none"/>
        </w:rPr>
        <w:t>工程（项目编号：</w:t>
      </w:r>
      <w:r>
        <w:rPr>
          <w:rFonts w:cs="宋体"/>
          <w:bCs/>
          <w:color w:val="auto"/>
          <w:sz w:val="24"/>
          <w:highlight w:val="none"/>
          <w:u w:val="single"/>
        </w:rPr>
        <w:t xml:space="preserve">           </w:t>
      </w:r>
      <w:r>
        <w:rPr>
          <w:rFonts w:hint="eastAsia" w:cs="宋体"/>
          <w:bCs/>
          <w:color w:val="auto"/>
          <w:sz w:val="24"/>
          <w:highlight w:val="none"/>
        </w:rPr>
        <w:t>）竞争性磋商项目中，拟投入本项目项目经理</w:t>
      </w:r>
      <w:r>
        <w:rPr>
          <w:rFonts w:hint="eastAsia" w:cs="宋体"/>
          <w:bCs/>
          <w:color w:val="auto"/>
          <w:sz w:val="24"/>
          <w:highlight w:val="none"/>
          <w:u w:val="single"/>
        </w:rPr>
        <w:t xml:space="preserve">      （姓名），（身份证号码：           ）</w:t>
      </w:r>
      <w:r>
        <w:rPr>
          <w:rFonts w:hint="eastAsia" w:cs="宋体"/>
          <w:bCs/>
          <w:color w:val="auto"/>
          <w:sz w:val="24"/>
          <w:highlight w:val="none"/>
        </w:rPr>
        <w:t>不存在其他在建、已中标（或成交）未开工或已列为其他项目中标（或成交）候选人第一名的建造师【（符合《广西壮族自治区建筑市场诚信卡管理暂行办法》第十六条第一款及桂建管﹝2016﹞70号、桂建管〔2020〕11号文除外）】</w:t>
      </w:r>
      <w:r>
        <w:rPr>
          <w:rFonts w:hint="eastAsia" w:cs="宋体" w:asciiTheme="minorEastAsia" w:hAnsiTheme="minorEastAsia" w:eastAsiaTheme="minorEastAsia"/>
          <w:bCs/>
          <w:color w:val="auto"/>
          <w:sz w:val="24"/>
          <w:highlight w:val="none"/>
        </w:rPr>
        <w:t>。</w:t>
      </w:r>
    </w:p>
    <w:p w14:paraId="4EB48231">
      <w:pPr>
        <w:spacing w:line="520" w:lineRule="exact"/>
        <w:ind w:left="-10" w:firstLine="520" w:firstLineChars="217"/>
        <w:jc w:val="left"/>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本单位对上述承诺的真实性负责。如有虚假，将依法承担相应责任。</w:t>
      </w:r>
    </w:p>
    <w:p w14:paraId="7DF36C16">
      <w:pPr>
        <w:spacing w:line="520" w:lineRule="exact"/>
        <w:ind w:left="-10" w:firstLine="455" w:firstLineChars="217"/>
        <w:jc w:val="left"/>
        <w:rPr>
          <w:color w:val="auto"/>
          <w:szCs w:val="21"/>
          <w:highlight w:val="none"/>
        </w:rPr>
      </w:pPr>
    </w:p>
    <w:p w14:paraId="7E868378">
      <w:pPr>
        <w:spacing w:line="520" w:lineRule="exact"/>
        <w:jc w:val="left"/>
        <w:rPr>
          <w:color w:val="auto"/>
          <w:highlight w:val="none"/>
        </w:rPr>
      </w:pPr>
    </w:p>
    <w:p w14:paraId="096E9FFD">
      <w:pPr>
        <w:spacing w:line="480" w:lineRule="auto"/>
        <w:ind w:left="2699"/>
        <w:rPr>
          <w:color w:val="auto"/>
          <w:sz w:val="24"/>
          <w:szCs w:val="24"/>
          <w:highlight w:val="none"/>
        </w:rPr>
      </w:pPr>
      <w:r>
        <w:rPr>
          <w:rFonts w:hint="eastAsia" w:cs="宋体"/>
          <w:color w:val="auto"/>
          <w:sz w:val="24"/>
          <w:szCs w:val="24"/>
          <w:highlight w:val="none"/>
        </w:rPr>
        <w:t>供应商：</w:t>
      </w:r>
      <w:r>
        <w:rPr>
          <w:color w:val="auto"/>
          <w:sz w:val="24"/>
          <w:szCs w:val="24"/>
          <w:highlight w:val="none"/>
          <w:u w:val="single"/>
        </w:rPr>
        <w:t xml:space="preserve">                </w:t>
      </w:r>
      <w:r>
        <w:rPr>
          <w:rFonts w:hint="eastAsia" w:cs="宋体"/>
          <w:color w:val="auto"/>
          <w:sz w:val="24"/>
          <w:szCs w:val="24"/>
          <w:highlight w:val="none"/>
          <w:u w:val="single"/>
        </w:rPr>
        <w:t>（盖供应商电子签章）</w:t>
      </w:r>
    </w:p>
    <w:p w14:paraId="73FC5718">
      <w:pPr>
        <w:spacing w:line="480" w:lineRule="auto"/>
        <w:ind w:left="2699"/>
        <w:rPr>
          <w:color w:val="auto"/>
          <w:sz w:val="24"/>
          <w:szCs w:val="24"/>
          <w:highlight w:val="none"/>
        </w:rPr>
      </w:pPr>
      <w:r>
        <w:rPr>
          <w:rFonts w:hint="eastAsia" w:cs="宋体"/>
          <w:color w:val="auto"/>
          <w:sz w:val="24"/>
          <w:szCs w:val="24"/>
          <w:highlight w:val="none"/>
        </w:rPr>
        <w:t>法定代表人（或委托代理人）</w:t>
      </w:r>
      <w:r>
        <w:rPr>
          <w:rFonts w:hint="eastAsia"/>
          <w:color w:val="auto"/>
          <w:sz w:val="24"/>
          <w:szCs w:val="24"/>
          <w:highlight w:val="none"/>
          <w:u w:val="single"/>
        </w:rPr>
        <w:t>（签字或者电子签名）</w:t>
      </w:r>
    </w:p>
    <w:p w14:paraId="32A617AD">
      <w:pPr>
        <w:spacing w:line="360" w:lineRule="auto"/>
        <w:ind w:firstLine="3120" w:firstLineChars="1300"/>
        <w:rPr>
          <w:color w:val="auto"/>
          <w:sz w:val="24"/>
          <w:szCs w:val="24"/>
          <w:highlight w:val="none"/>
        </w:rPr>
      </w:pPr>
      <w:r>
        <w:rPr>
          <w:rFonts w:hint="eastAsia" w:cs="宋体"/>
          <w:color w:val="auto"/>
          <w:sz w:val="24"/>
          <w:szCs w:val="24"/>
          <w:highlight w:val="none"/>
        </w:rPr>
        <w:t>日期：</w:t>
      </w:r>
      <w:r>
        <w:rPr>
          <w:color w:val="auto"/>
          <w:sz w:val="24"/>
          <w:szCs w:val="24"/>
          <w:highlight w:val="none"/>
          <w:u w:val="single"/>
        </w:rPr>
        <w:t xml:space="preserve">       </w:t>
      </w:r>
      <w:r>
        <w:rPr>
          <w:rFonts w:hint="eastAsia" w:cs="宋体"/>
          <w:color w:val="auto"/>
          <w:sz w:val="24"/>
          <w:szCs w:val="24"/>
          <w:highlight w:val="none"/>
        </w:rPr>
        <w:t>年</w:t>
      </w:r>
      <w:r>
        <w:rPr>
          <w:color w:val="auto"/>
          <w:sz w:val="24"/>
          <w:szCs w:val="24"/>
          <w:highlight w:val="none"/>
          <w:u w:val="single"/>
        </w:rPr>
        <w:t xml:space="preserve">     </w:t>
      </w:r>
      <w:r>
        <w:rPr>
          <w:rFonts w:hint="eastAsia" w:cs="宋体"/>
          <w:color w:val="auto"/>
          <w:sz w:val="24"/>
          <w:szCs w:val="24"/>
          <w:highlight w:val="none"/>
        </w:rPr>
        <w:t>月</w:t>
      </w:r>
      <w:r>
        <w:rPr>
          <w:color w:val="auto"/>
          <w:sz w:val="24"/>
          <w:szCs w:val="24"/>
          <w:highlight w:val="none"/>
          <w:u w:val="single"/>
        </w:rPr>
        <w:t xml:space="preserve">     </w:t>
      </w:r>
      <w:r>
        <w:rPr>
          <w:rFonts w:hint="eastAsia" w:cs="宋体"/>
          <w:color w:val="auto"/>
          <w:sz w:val="24"/>
          <w:szCs w:val="24"/>
          <w:highlight w:val="none"/>
        </w:rPr>
        <w:t>日</w:t>
      </w:r>
    </w:p>
    <w:p w14:paraId="28E70750">
      <w:pPr>
        <w:widowControl/>
        <w:jc w:val="left"/>
        <w:rPr>
          <w:rFonts w:hint="eastAsia" w:ascii="宋体" w:hAnsi="宋体"/>
          <w:b/>
          <w:color w:val="auto"/>
          <w:sz w:val="32"/>
          <w:szCs w:val="32"/>
          <w:highlight w:val="none"/>
        </w:rPr>
      </w:pPr>
      <w:r>
        <w:rPr>
          <w:rFonts w:ascii="宋体" w:hAnsi="宋体"/>
          <w:b/>
          <w:color w:val="auto"/>
          <w:sz w:val="32"/>
          <w:szCs w:val="32"/>
          <w:highlight w:val="none"/>
        </w:rPr>
        <w:br w:type="page"/>
      </w:r>
    </w:p>
    <w:p w14:paraId="2D4F4C9D">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农民工工资保证金交纳与使用</w:t>
      </w:r>
    </w:p>
    <w:p w14:paraId="42105C22">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承诺书（格式）</w:t>
      </w:r>
    </w:p>
    <w:p w14:paraId="08AB568D">
      <w:pPr>
        <w:autoSpaceDE w:val="0"/>
        <w:autoSpaceDN w:val="0"/>
        <w:jc w:val="left"/>
        <w:rPr>
          <w:rFonts w:hint="eastAsia" w:ascii="宋体" w:hAnsi="宋体" w:cs="宋体"/>
          <w:b/>
          <w:color w:val="auto"/>
          <w:kern w:val="0"/>
          <w:sz w:val="24"/>
          <w:szCs w:val="21"/>
          <w:highlight w:val="none"/>
        </w:rPr>
      </w:pPr>
    </w:p>
    <w:p w14:paraId="30241CAA">
      <w:pPr>
        <w:autoSpaceDE w:val="0"/>
        <w:autoSpaceDN w:val="0"/>
        <w:spacing w:before="11"/>
        <w:jc w:val="left"/>
        <w:rPr>
          <w:rFonts w:hint="eastAsia" w:ascii="宋体" w:hAnsi="宋体" w:cs="宋体"/>
          <w:b/>
          <w:color w:val="auto"/>
          <w:kern w:val="0"/>
          <w:sz w:val="24"/>
          <w:szCs w:val="24"/>
          <w:highlight w:val="none"/>
        </w:rPr>
      </w:pPr>
    </w:p>
    <w:p w14:paraId="746C7D7F">
      <w:pPr>
        <w:autoSpaceDE w:val="0"/>
        <w:autoSpaceDN w:val="0"/>
        <w:spacing w:before="1"/>
        <w:ind w:left="28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u w:val="single"/>
        </w:rPr>
        <w:t xml:space="preserve">（采购人名称） </w:t>
      </w:r>
    </w:p>
    <w:p w14:paraId="011765E1">
      <w:pPr>
        <w:wordWrap w:val="0"/>
        <w:autoSpaceDE w:val="0"/>
        <w:autoSpaceDN w:val="0"/>
        <w:spacing w:line="360" w:lineRule="auto"/>
        <w:ind w:firstLine="480" w:firstLineChars="200"/>
        <w:jc w:val="left"/>
        <w:rPr>
          <w:rFonts w:hint="eastAsia" w:ascii="宋体" w:hAnsi="宋体" w:cs="宋体"/>
          <w:color w:val="auto"/>
          <w:kern w:val="0"/>
          <w:sz w:val="24"/>
          <w:szCs w:val="24"/>
          <w:highlight w:val="none"/>
        </w:rPr>
      </w:pPr>
    </w:p>
    <w:p w14:paraId="79AC1C36">
      <w:pPr>
        <w:wordWrap w:val="0"/>
        <w:autoSpaceDE w:val="0"/>
        <w:autoSpaceDN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我公司在此承诺：</w:t>
      </w:r>
    </w:p>
    <w:p w14:paraId="5AC33BA7">
      <w:pPr>
        <w:tabs>
          <w:tab w:val="left" w:pos="965"/>
          <w:tab w:val="left" w:pos="3774"/>
        </w:tabs>
        <w:wordWrap w:val="0"/>
        <w:autoSpaceDE w:val="0"/>
        <w:autoSpaceDN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我公司在本项目</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ab/>
      </w:r>
      <w:r>
        <w:rPr>
          <w:rFonts w:hint="eastAsia" w:ascii="宋体" w:hAnsi="宋体" w:cs="宋体"/>
          <w:color w:val="auto"/>
          <w:w w:val="95"/>
          <w:kern w:val="0"/>
          <w:sz w:val="24"/>
          <w:szCs w:val="24"/>
          <w:highlight w:val="none"/>
        </w:rPr>
        <w:t>（项目名称及编号</w:t>
      </w:r>
      <w:r>
        <w:rPr>
          <w:rFonts w:hint="eastAsia" w:ascii="宋体" w:hAnsi="宋体" w:cs="宋体"/>
          <w:color w:val="auto"/>
          <w:spacing w:val="-22"/>
          <w:w w:val="95"/>
          <w:kern w:val="0"/>
          <w:sz w:val="24"/>
          <w:szCs w:val="24"/>
          <w:highlight w:val="none"/>
        </w:rPr>
        <w:t>）</w:t>
      </w:r>
      <w:r>
        <w:rPr>
          <w:rFonts w:hint="eastAsia" w:ascii="宋体" w:hAnsi="宋体" w:cs="宋体"/>
          <w:color w:val="auto"/>
          <w:w w:val="95"/>
          <w:kern w:val="0"/>
          <w:sz w:val="24"/>
          <w:szCs w:val="24"/>
          <w:highlight w:val="none"/>
        </w:rPr>
        <w:t>响应文件递交截止之日前所承建工程中</w:t>
      </w:r>
      <w:r>
        <w:rPr>
          <w:rFonts w:hint="eastAsia" w:ascii="宋体" w:hAnsi="宋体" w:cs="宋体"/>
          <w:color w:val="auto"/>
          <w:spacing w:val="-22"/>
          <w:w w:val="95"/>
          <w:kern w:val="0"/>
          <w:sz w:val="24"/>
          <w:szCs w:val="24"/>
          <w:highlight w:val="none"/>
        </w:rPr>
        <w:t>，</w:t>
      </w:r>
      <w:r>
        <w:rPr>
          <w:rFonts w:hint="eastAsia" w:ascii="宋体" w:hAnsi="宋体" w:cs="宋体"/>
          <w:color w:val="auto"/>
          <w:w w:val="95"/>
          <w:kern w:val="0"/>
          <w:sz w:val="24"/>
          <w:szCs w:val="24"/>
          <w:highlight w:val="none"/>
        </w:rPr>
        <w:t>无拖欠</w:t>
      </w:r>
      <w:r>
        <w:rPr>
          <w:rFonts w:hint="eastAsia" w:ascii="宋体" w:hAnsi="宋体" w:cs="宋体"/>
          <w:color w:val="auto"/>
          <w:kern w:val="0"/>
          <w:sz w:val="24"/>
          <w:szCs w:val="24"/>
          <w:highlight w:val="none"/>
        </w:rPr>
        <w:t>或克扣农民工工资的行为。</w:t>
      </w:r>
    </w:p>
    <w:p w14:paraId="0ED45A9A">
      <w:pPr>
        <w:tabs>
          <w:tab w:val="left" w:pos="1036"/>
          <w:tab w:val="left" w:pos="4607"/>
        </w:tabs>
        <w:wordWrap w:val="0"/>
        <w:autoSpaceDE w:val="0"/>
        <w:autoSpaceDN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我公司参与磋商的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ab/>
      </w:r>
      <w:r>
        <w:rPr>
          <w:rFonts w:hint="eastAsia" w:ascii="宋体" w:hAnsi="宋体" w:cs="宋体"/>
          <w:color w:val="auto"/>
          <w:w w:val="95"/>
          <w:kern w:val="0"/>
          <w:sz w:val="24"/>
          <w:szCs w:val="24"/>
          <w:highlight w:val="none"/>
        </w:rPr>
        <w:t>项目</w:t>
      </w:r>
      <w:r>
        <w:rPr>
          <w:rFonts w:hint="eastAsia" w:ascii="宋体" w:hAnsi="宋体" w:cs="宋体"/>
          <w:color w:val="auto"/>
          <w:spacing w:val="-13"/>
          <w:w w:val="95"/>
          <w:kern w:val="0"/>
          <w:sz w:val="24"/>
          <w:szCs w:val="24"/>
          <w:highlight w:val="none"/>
        </w:rPr>
        <w:t>，</w:t>
      </w:r>
      <w:r>
        <w:rPr>
          <w:rFonts w:hint="eastAsia" w:ascii="宋体" w:hAnsi="宋体" w:cs="宋体"/>
          <w:color w:val="auto"/>
          <w:w w:val="95"/>
          <w:kern w:val="0"/>
          <w:sz w:val="24"/>
          <w:szCs w:val="24"/>
          <w:highlight w:val="none"/>
        </w:rPr>
        <w:t>一旦成交</w:t>
      </w:r>
      <w:r>
        <w:rPr>
          <w:rFonts w:hint="eastAsia" w:ascii="宋体" w:hAnsi="宋体" w:cs="宋体"/>
          <w:color w:val="auto"/>
          <w:spacing w:val="-13"/>
          <w:w w:val="95"/>
          <w:kern w:val="0"/>
          <w:sz w:val="24"/>
          <w:szCs w:val="24"/>
          <w:highlight w:val="none"/>
        </w:rPr>
        <w:t>，</w:t>
      </w:r>
      <w:r>
        <w:rPr>
          <w:rFonts w:hint="eastAsia" w:ascii="宋体" w:hAnsi="宋体" w:cs="宋体"/>
          <w:color w:val="auto"/>
          <w:w w:val="95"/>
          <w:kern w:val="0"/>
          <w:sz w:val="24"/>
          <w:szCs w:val="24"/>
          <w:highlight w:val="none"/>
        </w:rPr>
        <w:t>我方保证在签订施工合同后</w:t>
      </w:r>
      <w:r>
        <w:rPr>
          <w:rFonts w:hint="eastAsia" w:ascii="宋体" w:hAnsi="宋体" w:cs="宋体"/>
          <w:color w:val="auto"/>
          <w:spacing w:val="-10"/>
          <w:w w:val="95"/>
          <w:kern w:val="0"/>
          <w:sz w:val="24"/>
          <w:szCs w:val="24"/>
          <w:highlight w:val="none"/>
        </w:rPr>
        <w:t>，</w:t>
      </w:r>
      <w:r>
        <w:rPr>
          <w:rFonts w:hint="eastAsia" w:ascii="宋体" w:hAnsi="宋体" w:cs="宋体"/>
          <w:color w:val="auto"/>
          <w:w w:val="95"/>
          <w:kern w:val="0"/>
          <w:sz w:val="24"/>
          <w:szCs w:val="24"/>
          <w:highlight w:val="none"/>
        </w:rPr>
        <w:t>及时并足额</w:t>
      </w:r>
      <w:r>
        <w:rPr>
          <w:rFonts w:hint="eastAsia" w:ascii="宋体" w:hAnsi="宋体" w:cs="宋体"/>
          <w:color w:val="auto"/>
          <w:kern w:val="0"/>
          <w:sz w:val="24"/>
          <w:szCs w:val="24"/>
          <w:highlight w:val="none"/>
        </w:rPr>
        <w:t>将农民工工资保证金足额存入指定的账户，作为本项目农民工工资保证金。</w:t>
      </w:r>
    </w:p>
    <w:p w14:paraId="03A46CC3">
      <w:pPr>
        <w:tabs>
          <w:tab w:val="left" w:pos="1036"/>
          <w:tab w:val="left" w:pos="4607"/>
        </w:tabs>
        <w:wordWrap w:val="0"/>
        <w:autoSpaceDE w:val="0"/>
        <w:autoSpaceDN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如我公司在承包的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ab/>
      </w:r>
      <w:r>
        <w:rPr>
          <w:rFonts w:hint="eastAsia" w:ascii="宋体" w:hAnsi="宋体" w:cs="宋体"/>
          <w:color w:val="auto"/>
          <w:kern w:val="0"/>
          <w:sz w:val="24"/>
          <w:szCs w:val="24"/>
          <w:highlight w:val="none"/>
        </w:rPr>
        <w:t>项目中出现拖欠农民工和工人工资情况的</w:t>
      </w:r>
      <w:r>
        <w:rPr>
          <w:rFonts w:hint="eastAsia" w:ascii="宋体" w:hAnsi="宋体" w:cs="宋体"/>
          <w:color w:val="auto"/>
          <w:spacing w:val="-37"/>
          <w:kern w:val="0"/>
          <w:sz w:val="24"/>
          <w:szCs w:val="24"/>
          <w:highlight w:val="none"/>
        </w:rPr>
        <w:t>，</w:t>
      </w:r>
      <w:r>
        <w:rPr>
          <w:rFonts w:hint="eastAsia" w:ascii="宋体" w:hAnsi="宋体" w:cs="宋体"/>
          <w:color w:val="auto"/>
          <w:kern w:val="0"/>
          <w:sz w:val="24"/>
          <w:szCs w:val="24"/>
          <w:highlight w:val="none"/>
        </w:rPr>
        <w:t>由相关部门从其农民工工资保证金中先予划支。</w:t>
      </w:r>
    </w:p>
    <w:p w14:paraId="55ED2BC3">
      <w:pPr>
        <w:tabs>
          <w:tab w:val="left" w:pos="962"/>
        </w:tabs>
        <w:wordWrap w:val="0"/>
        <w:autoSpaceDE w:val="0"/>
        <w:autoSpaceDN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如我公司不按时、足额存入农民工工资保证金，采购人有权取消我方承包资格。</w:t>
      </w:r>
    </w:p>
    <w:p w14:paraId="06B4B727">
      <w:pPr>
        <w:spacing w:line="480" w:lineRule="auto"/>
        <w:ind w:left="2699"/>
        <w:rPr>
          <w:rFonts w:cs="宋体"/>
          <w:color w:val="auto"/>
          <w:highlight w:val="none"/>
        </w:rPr>
      </w:pPr>
    </w:p>
    <w:p w14:paraId="5DE30871">
      <w:pPr>
        <w:spacing w:line="480" w:lineRule="auto"/>
        <w:ind w:left="2699"/>
        <w:rPr>
          <w:color w:val="auto"/>
          <w:sz w:val="24"/>
          <w:szCs w:val="24"/>
          <w:highlight w:val="none"/>
        </w:rPr>
      </w:pPr>
      <w:r>
        <w:rPr>
          <w:rFonts w:hint="eastAsia" w:cs="宋体"/>
          <w:color w:val="auto"/>
          <w:sz w:val="24"/>
          <w:szCs w:val="24"/>
          <w:highlight w:val="none"/>
        </w:rPr>
        <w:t>供应商：</w:t>
      </w:r>
      <w:r>
        <w:rPr>
          <w:color w:val="auto"/>
          <w:sz w:val="24"/>
          <w:szCs w:val="24"/>
          <w:highlight w:val="none"/>
          <w:u w:val="single"/>
        </w:rPr>
        <w:t xml:space="preserve">                      </w:t>
      </w:r>
      <w:r>
        <w:rPr>
          <w:rFonts w:hint="eastAsia" w:cs="宋体"/>
          <w:color w:val="auto"/>
          <w:sz w:val="24"/>
          <w:szCs w:val="24"/>
          <w:highlight w:val="none"/>
          <w:u w:val="single"/>
        </w:rPr>
        <w:t>（盖供应商电子签章）</w:t>
      </w:r>
    </w:p>
    <w:p w14:paraId="69C7B682">
      <w:pPr>
        <w:spacing w:line="480" w:lineRule="auto"/>
        <w:ind w:left="2699"/>
        <w:rPr>
          <w:color w:val="auto"/>
          <w:sz w:val="24"/>
          <w:szCs w:val="24"/>
          <w:highlight w:val="none"/>
        </w:rPr>
      </w:pPr>
      <w:r>
        <w:rPr>
          <w:rFonts w:hint="eastAsia" w:cs="宋体"/>
          <w:color w:val="auto"/>
          <w:sz w:val="24"/>
          <w:szCs w:val="24"/>
          <w:highlight w:val="none"/>
        </w:rPr>
        <w:t>法定代表人（或委托代理人）：</w:t>
      </w:r>
      <w:r>
        <w:rPr>
          <w:color w:val="auto"/>
          <w:sz w:val="24"/>
          <w:szCs w:val="24"/>
          <w:highlight w:val="none"/>
          <w:u w:val="single"/>
        </w:rPr>
        <w:t xml:space="preserve"> </w:t>
      </w:r>
      <w:r>
        <w:rPr>
          <w:rFonts w:hint="eastAsia"/>
          <w:color w:val="auto"/>
          <w:sz w:val="24"/>
          <w:szCs w:val="24"/>
          <w:highlight w:val="none"/>
          <w:u w:val="single"/>
        </w:rPr>
        <w:t>（签字或者电子签名）</w:t>
      </w:r>
    </w:p>
    <w:p w14:paraId="2DB182CD">
      <w:pPr>
        <w:spacing w:line="500" w:lineRule="exact"/>
        <w:jc w:val="center"/>
        <w:rPr>
          <w:rFonts w:hint="eastAsia" w:ascii="宋体" w:hAnsi="宋体"/>
          <w:b/>
          <w:color w:val="auto"/>
          <w:sz w:val="24"/>
          <w:szCs w:val="24"/>
          <w:highlight w:val="none"/>
        </w:rPr>
      </w:pPr>
      <w:r>
        <w:rPr>
          <w:rFonts w:hint="eastAsia" w:cs="宋体"/>
          <w:color w:val="auto"/>
          <w:sz w:val="24"/>
          <w:szCs w:val="24"/>
          <w:highlight w:val="none"/>
        </w:rPr>
        <w:t>日期：</w:t>
      </w:r>
      <w:r>
        <w:rPr>
          <w:color w:val="auto"/>
          <w:sz w:val="24"/>
          <w:szCs w:val="24"/>
          <w:highlight w:val="none"/>
          <w:u w:val="single"/>
        </w:rPr>
        <w:t xml:space="preserve">       </w:t>
      </w:r>
      <w:r>
        <w:rPr>
          <w:rFonts w:hint="eastAsia" w:cs="宋体"/>
          <w:color w:val="auto"/>
          <w:sz w:val="24"/>
          <w:szCs w:val="24"/>
          <w:highlight w:val="none"/>
        </w:rPr>
        <w:t>年</w:t>
      </w:r>
      <w:r>
        <w:rPr>
          <w:color w:val="auto"/>
          <w:sz w:val="24"/>
          <w:szCs w:val="24"/>
          <w:highlight w:val="none"/>
          <w:u w:val="single"/>
        </w:rPr>
        <w:t xml:space="preserve">     </w:t>
      </w:r>
      <w:r>
        <w:rPr>
          <w:rFonts w:hint="eastAsia" w:cs="宋体"/>
          <w:color w:val="auto"/>
          <w:sz w:val="24"/>
          <w:szCs w:val="24"/>
          <w:highlight w:val="none"/>
        </w:rPr>
        <w:t>月</w:t>
      </w:r>
      <w:r>
        <w:rPr>
          <w:color w:val="auto"/>
          <w:sz w:val="24"/>
          <w:szCs w:val="24"/>
          <w:highlight w:val="none"/>
          <w:u w:val="single"/>
        </w:rPr>
        <w:t xml:space="preserve">     </w:t>
      </w:r>
      <w:r>
        <w:rPr>
          <w:rFonts w:hint="eastAsia" w:cs="宋体"/>
          <w:color w:val="auto"/>
          <w:sz w:val="24"/>
          <w:szCs w:val="24"/>
          <w:highlight w:val="none"/>
        </w:rPr>
        <w:t>日</w:t>
      </w:r>
    </w:p>
    <w:p w14:paraId="0DF3C9B1">
      <w:pPr>
        <w:widowControl/>
        <w:jc w:val="left"/>
        <w:rPr>
          <w:rFonts w:hint="eastAsia"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p>
    <w:p w14:paraId="5C8D4F42">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施工组织设计</w:t>
      </w:r>
    </w:p>
    <w:p w14:paraId="34268D84">
      <w:pPr>
        <w:spacing w:line="360" w:lineRule="auto"/>
        <w:ind w:firstLine="420" w:firstLineChars="200"/>
        <w:rPr>
          <w:color w:val="auto"/>
          <w:highlight w:val="none"/>
        </w:rPr>
      </w:pPr>
    </w:p>
    <w:p w14:paraId="460FC211">
      <w:pPr>
        <w:spacing w:line="360" w:lineRule="auto"/>
        <w:ind w:firstLine="420" w:firstLineChars="200"/>
        <w:rPr>
          <w:rFonts w:cs="宋体"/>
          <w:color w:val="auto"/>
          <w:highlight w:val="none"/>
        </w:rPr>
      </w:pPr>
      <w:r>
        <w:rPr>
          <w:rFonts w:hint="eastAsia"/>
          <w:color w:val="auto"/>
          <w:highlight w:val="none"/>
        </w:rPr>
        <w:t>1.</w:t>
      </w:r>
      <w:r>
        <w:rPr>
          <w:color w:val="auto"/>
          <w:highlight w:val="none"/>
        </w:rPr>
        <w:t xml:space="preserve"> 施工组织</w:t>
      </w:r>
      <w:r>
        <w:rPr>
          <w:rFonts w:hint="eastAsia"/>
          <w:color w:val="auto"/>
          <w:highlight w:val="none"/>
        </w:rPr>
        <w:t>设计</w:t>
      </w:r>
      <w:r>
        <w:rPr>
          <w:rFonts w:hint="eastAsia" w:ascii="宋体" w:hAnsi="宋体"/>
          <w:color w:val="auto"/>
          <w:highlight w:val="none"/>
        </w:rPr>
        <w:t>应</w:t>
      </w:r>
      <w:r>
        <w:rPr>
          <w:rFonts w:hint="eastAsia"/>
          <w:color w:val="auto"/>
          <w:highlight w:val="none"/>
        </w:rPr>
        <w:t>以下内容顺序编制，可</w:t>
      </w:r>
      <w:r>
        <w:rPr>
          <w:rFonts w:hint="eastAsia" w:ascii="宋体" w:hAnsi="宋体"/>
          <w:color w:val="auto"/>
          <w:highlight w:val="none"/>
        </w:rPr>
        <w:t>采用文字并结合图表形式说明施工方法，</w:t>
      </w:r>
      <w:r>
        <w:rPr>
          <w:color w:val="auto"/>
          <w:highlight w:val="none"/>
        </w:rPr>
        <w:t>施工组织</w:t>
      </w:r>
      <w:r>
        <w:rPr>
          <w:rFonts w:hint="eastAsia"/>
          <w:color w:val="auto"/>
          <w:highlight w:val="none"/>
        </w:rPr>
        <w:t>设计具体</w:t>
      </w:r>
      <w:r>
        <w:rPr>
          <w:color w:val="auto"/>
          <w:highlight w:val="none"/>
        </w:rPr>
        <w:t>内容</w:t>
      </w:r>
      <w:r>
        <w:rPr>
          <w:rFonts w:hint="eastAsia" w:cs="宋体"/>
          <w:color w:val="auto"/>
          <w:highlight w:val="none"/>
        </w:rPr>
        <w:t>如下：</w:t>
      </w:r>
    </w:p>
    <w:p w14:paraId="6594DA18">
      <w:pPr>
        <w:spacing w:line="360" w:lineRule="auto"/>
        <w:ind w:firstLine="420" w:firstLineChars="200"/>
        <w:rPr>
          <w:color w:val="auto"/>
          <w:highlight w:val="none"/>
        </w:rPr>
      </w:pPr>
      <w:r>
        <w:rPr>
          <w:rFonts w:hint="eastAsia"/>
          <w:color w:val="auto"/>
          <w:highlight w:val="none"/>
        </w:rPr>
        <w:t>①</w:t>
      </w:r>
      <w:r>
        <w:rPr>
          <w:rFonts w:hint="eastAsia" w:cs="宋体" w:asciiTheme="majorEastAsia" w:hAnsiTheme="majorEastAsia" w:eastAsiaTheme="majorEastAsia"/>
          <w:color w:val="auto"/>
          <w:spacing w:val="-2"/>
          <w:highlight w:val="none"/>
        </w:rPr>
        <w:t>主要</w:t>
      </w:r>
      <w:r>
        <w:rPr>
          <w:rFonts w:hint="eastAsia" w:cs="宋体" w:asciiTheme="majorEastAsia" w:hAnsiTheme="majorEastAsia" w:eastAsiaTheme="majorEastAsia"/>
          <w:color w:val="auto"/>
          <w:spacing w:val="-1"/>
          <w:highlight w:val="none"/>
        </w:rPr>
        <w:t>施工方</w:t>
      </w:r>
      <w:r>
        <w:rPr>
          <w:rFonts w:hint="eastAsia" w:cs="宋体" w:asciiTheme="majorEastAsia" w:hAnsiTheme="majorEastAsia" w:eastAsiaTheme="majorEastAsia"/>
          <w:color w:val="auto"/>
          <w:spacing w:val="7"/>
          <w:highlight w:val="none"/>
        </w:rPr>
        <w:t>法</w:t>
      </w:r>
      <w:r>
        <w:rPr>
          <w:rFonts w:hint="eastAsia"/>
          <w:color w:val="auto"/>
          <w:highlight w:val="none"/>
        </w:rPr>
        <w:t>；</w:t>
      </w:r>
    </w:p>
    <w:p w14:paraId="1A7FB558">
      <w:pPr>
        <w:spacing w:line="360" w:lineRule="auto"/>
        <w:ind w:firstLine="420" w:firstLineChars="200"/>
        <w:rPr>
          <w:color w:val="auto"/>
          <w:highlight w:val="none"/>
        </w:rPr>
      </w:pPr>
      <w:r>
        <w:rPr>
          <w:rFonts w:hint="eastAsia"/>
          <w:color w:val="auto"/>
          <w:highlight w:val="none"/>
        </w:rPr>
        <w:t>②</w:t>
      </w:r>
      <w:r>
        <w:rPr>
          <w:rFonts w:hint="eastAsia" w:ascii="宋体" w:hAnsi="宋体" w:cs="宋体"/>
          <w:color w:val="auto"/>
          <w:kern w:val="0"/>
          <w:highlight w:val="none"/>
        </w:rPr>
        <w:t>拟投入的主要物资计划</w:t>
      </w:r>
      <w:r>
        <w:rPr>
          <w:rFonts w:hint="eastAsia"/>
          <w:color w:val="auto"/>
          <w:highlight w:val="none"/>
        </w:rPr>
        <w:t>；</w:t>
      </w:r>
    </w:p>
    <w:p w14:paraId="305CB6A7">
      <w:pPr>
        <w:spacing w:line="360" w:lineRule="auto"/>
        <w:ind w:firstLine="420" w:firstLineChars="200"/>
        <w:rPr>
          <w:color w:val="auto"/>
          <w:highlight w:val="none"/>
        </w:rPr>
      </w:pPr>
      <w:r>
        <w:rPr>
          <w:rFonts w:hint="eastAsia"/>
          <w:color w:val="auto"/>
          <w:highlight w:val="none"/>
        </w:rPr>
        <w:t>③</w:t>
      </w:r>
      <w:r>
        <w:rPr>
          <w:rFonts w:hint="eastAsia" w:cs="宋体" w:asciiTheme="majorEastAsia" w:hAnsiTheme="majorEastAsia" w:eastAsiaTheme="majorEastAsia"/>
          <w:color w:val="auto"/>
          <w:spacing w:val="-2"/>
          <w:highlight w:val="none"/>
        </w:rPr>
        <w:t>劳动力安排</w:t>
      </w:r>
      <w:r>
        <w:rPr>
          <w:rFonts w:hint="eastAsia" w:cs="宋体" w:asciiTheme="majorEastAsia" w:hAnsiTheme="majorEastAsia" w:eastAsiaTheme="majorEastAsia"/>
          <w:color w:val="auto"/>
          <w:spacing w:val="5"/>
          <w:highlight w:val="none"/>
        </w:rPr>
        <w:t>计划</w:t>
      </w:r>
      <w:r>
        <w:rPr>
          <w:rFonts w:hint="eastAsia"/>
          <w:color w:val="auto"/>
          <w:highlight w:val="none"/>
        </w:rPr>
        <w:t>；</w:t>
      </w:r>
    </w:p>
    <w:p w14:paraId="6FD7FBA8">
      <w:pPr>
        <w:spacing w:line="360" w:lineRule="auto"/>
        <w:ind w:firstLine="420" w:firstLineChars="200"/>
        <w:rPr>
          <w:color w:val="auto"/>
          <w:highlight w:val="none"/>
        </w:rPr>
      </w:pPr>
      <w:r>
        <w:rPr>
          <w:rFonts w:hint="eastAsia"/>
          <w:color w:val="auto"/>
          <w:highlight w:val="none"/>
        </w:rPr>
        <w:t>④</w:t>
      </w:r>
      <w:r>
        <w:rPr>
          <w:rFonts w:hint="eastAsia" w:cs="宋体" w:asciiTheme="majorEastAsia" w:hAnsiTheme="majorEastAsia" w:eastAsiaTheme="majorEastAsia"/>
          <w:color w:val="auto"/>
          <w:spacing w:val="-1"/>
          <w:highlight w:val="none"/>
        </w:rPr>
        <w:t>确保工程质量的技术组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olor w:val="auto"/>
          <w:highlight w:val="none"/>
        </w:rPr>
        <w:t>；</w:t>
      </w:r>
    </w:p>
    <w:p w14:paraId="4BDE57D0">
      <w:pPr>
        <w:spacing w:line="360" w:lineRule="auto"/>
        <w:ind w:firstLine="420" w:firstLineChars="200"/>
        <w:rPr>
          <w:color w:val="auto"/>
          <w:highlight w:val="none"/>
        </w:rPr>
      </w:pPr>
      <w:r>
        <w:rPr>
          <w:rFonts w:hint="eastAsia"/>
          <w:color w:val="auto"/>
          <w:highlight w:val="none"/>
        </w:rPr>
        <w:t>⑤</w:t>
      </w:r>
      <w:r>
        <w:rPr>
          <w:rFonts w:hint="eastAsia" w:cs="宋体" w:asciiTheme="majorEastAsia" w:hAnsiTheme="majorEastAsia" w:eastAsiaTheme="majorEastAsia"/>
          <w:color w:val="auto"/>
          <w:spacing w:val="-1"/>
          <w:highlight w:val="none"/>
        </w:rPr>
        <w:t>确保安全生产的技术组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olor w:val="auto"/>
          <w:highlight w:val="none"/>
        </w:rPr>
        <w:t>；</w:t>
      </w:r>
    </w:p>
    <w:p w14:paraId="2BDBA31A">
      <w:pPr>
        <w:spacing w:line="360" w:lineRule="auto"/>
        <w:ind w:firstLine="420" w:firstLineChars="200"/>
        <w:rPr>
          <w:color w:val="auto"/>
          <w:highlight w:val="none"/>
        </w:rPr>
      </w:pPr>
      <w:r>
        <w:rPr>
          <w:rFonts w:hint="eastAsia"/>
          <w:color w:val="auto"/>
          <w:highlight w:val="none"/>
        </w:rPr>
        <w:t>⑥</w:t>
      </w:r>
      <w:r>
        <w:rPr>
          <w:rFonts w:hint="eastAsia" w:cs="宋体" w:asciiTheme="majorEastAsia" w:hAnsiTheme="majorEastAsia" w:eastAsiaTheme="majorEastAsia"/>
          <w:color w:val="auto"/>
          <w:spacing w:val="-1"/>
          <w:highlight w:val="none"/>
        </w:rPr>
        <w:t>确保工期的技术组织</w:t>
      </w:r>
      <w:r>
        <w:rPr>
          <w:rFonts w:hint="eastAsia" w:cs="宋体" w:asciiTheme="majorEastAsia" w:hAnsiTheme="majorEastAsia" w:eastAsiaTheme="majorEastAsia"/>
          <w:color w:val="auto"/>
          <w:highlight w:val="none"/>
        </w:rPr>
        <w:t>措</w:t>
      </w:r>
      <w:r>
        <w:rPr>
          <w:rFonts w:hint="eastAsia" w:cs="宋体" w:asciiTheme="majorEastAsia" w:hAnsiTheme="majorEastAsia" w:eastAsiaTheme="majorEastAsia"/>
          <w:color w:val="auto"/>
          <w:spacing w:val="7"/>
          <w:highlight w:val="none"/>
        </w:rPr>
        <w:t>施</w:t>
      </w:r>
      <w:r>
        <w:rPr>
          <w:rFonts w:hint="eastAsia"/>
          <w:color w:val="auto"/>
          <w:highlight w:val="none"/>
        </w:rPr>
        <w:t>；</w:t>
      </w:r>
    </w:p>
    <w:p w14:paraId="46681CE9">
      <w:pPr>
        <w:spacing w:line="360" w:lineRule="auto"/>
        <w:ind w:firstLine="420" w:firstLineChars="200"/>
        <w:rPr>
          <w:color w:val="auto"/>
          <w:highlight w:val="none"/>
        </w:rPr>
      </w:pPr>
      <w:r>
        <w:rPr>
          <w:rFonts w:hint="eastAsia"/>
          <w:color w:val="auto"/>
          <w:highlight w:val="none"/>
        </w:rPr>
        <w:t>⑦</w:t>
      </w:r>
      <w:r>
        <w:rPr>
          <w:rFonts w:hint="eastAsia" w:cs="宋体" w:asciiTheme="minorEastAsia" w:hAnsiTheme="minorEastAsia" w:eastAsiaTheme="minorEastAsia"/>
          <w:bCs/>
          <w:color w:val="auto"/>
          <w:szCs w:val="21"/>
          <w:highlight w:val="none"/>
        </w:rPr>
        <w:t>关键施工技术、工艺及工程实施的重点、难点和解决方案</w:t>
      </w:r>
      <w:r>
        <w:rPr>
          <w:rFonts w:hint="eastAsia"/>
          <w:color w:val="auto"/>
          <w:highlight w:val="none"/>
        </w:rPr>
        <w:t>。</w:t>
      </w:r>
    </w:p>
    <w:p w14:paraId="2329FD13">
      <w:pPr>
        <w:spacing w:line="360" w:lineRule="auto"/>
        <w:ind w:firstLine="420" w:firstLineChars="200"/>
        <w:rPr>
          <w:color w:val="auto"/>
          <w:highlight w:val="none"/>
        </w:rPr>
      </w:pPr>
    </w:p>
    <w:p w14:paraId="1CDE80FF">
      <w:pPr>
        <w:spacing w:line="360" w:lineRule="auto"/>
        <w:ind w:firstLine="420" w:firstLineChars="200"/>
        <w:rPr>
          <w:color w:val="auto"/>
          <w:highlight w:val="none"/>
        </w:rPr>
      </w:pPr>
    </w:p>
    <w:p w14:paraId="1F0767DE">
      <w:pPr>
        <w:spacing w:line="360" w:lineRule="auto"/>
        <w:ind w:firstLine="420" w:firstLineChars="200"/>
        <w:rPr>
          <w:color w:val="auto"/>
          <w:highlight w:val="none"/>
        </w:rPr>
      </w:pPr>
      <w:r>
        <w:rPr>
          <w:rFonts w:hint="eastAsia"/>
          <w:color w:val="auto"/>
          <w:highlight w:val="none"/>
        </w:rPr>
        <w:t>2. 技术标</w:t>
      </w:r>
      <w:r>
        <w:rPr>
          <w:color w:val="auto"/>
          <w:highlight w:val="none"/>
        </w:rPr>
        <w:t>施工组织</w:t>
      </w:r>
      <w:r>
        <w:rPr>
          <w:rFonts w:hint="eastAsia"/>
          <w:color w:val="auto"/>
          <w:highlight w:val="none"/>
        </w:rPr>
        <w:t>设计除采用文字表述外可附下列图表，图表及格式要求附后。</w:t>
      </w:r>
    </w:p>
    <w:p w14:paraId="7A287015">
      <w:pPr>
        <w:spacing w:line="360" w:lineRule="auto"/>
        <w:ind w:firstLine="420" w:firstLineChars="200"/>
        <w:rPr>
          <w:color w:val="auto"/>
          <w:highlight w:val="none"/>
        </w:rPr>
      </w:pPr>
      <w:r>
        <w:rPr>
          <w:rFonts w:hint="eastAsia"/>
          <w:color w:val="auto"/>
          <w:highlight w:val="none"/>
        </w:rPr>
        <w:t>附表一</w:t>
      </w:r>
      <w:r>
        <w:rPr>
          <w:color w:val="auto"/>
          <w:highlight w:val="none"/>
        </w:rPr>
        <w:t xml:space="preserve">  </w:t>
      </w:r>
      <w:r>
        <w:rPr>
          <w:rFonts w:hint="eastAsia"/>
          <w:color w:val="auto"/>
          <w:highlight w:val="none"/>
        </w:rPr>
        <w:t>劳动力计划表</w:t>
      </w:r>
    </w:p>
    <w:p w14:paraId="7C60DDEC">
      <w:pPr>
        <w:spacing w:line="360" w:lineRule="auto"/>
        <w:ind w:firstLine="420" w:firstLineChars="200"/>
        <w:rPr>
          <w:color w:val="auto"/>
          <w:highlight w:val="none"/>
        </w:rPr>
      </w:pPr>
      <w:r>
        <w:rPr>
          <w:rFonts w:hint="eastAsia"/>
          <w:color w:val="auto"/>
          <w:highlight w:val="none"/>
        </w:rPr>
        <w:t>附表二</w:t>
      </w:r>
      <w:r>
        <w:rPr>
          <w:color w:val="auto"/>
          <w:highlight w:val="none"/>
        </w:rPr>
        <w:t xml:space="preserve">  </w:t>
      </w:r>
      <w:r>
        <w:rPr>
          <w:rFonts w:hint="eastAsia"/>
          <w:color w:val="auto"/>
          <w:highlight w:val="none"/>
        </w:rPr>
        <w:t>计划开、竣工日期和施工进度计划（网络图或横道图）</w:t>
      </w:r>
    </w:p>
    <w:p w14:paraId="2B2E9029">
      <w:pPr>
        <w:spacing w:line="360" w:lineRule="auto"/>
        <w:ind w:firstLine="420" w:firstLineChars="200"/>
        <w:rPr>
          <w:color w:val="auto"/>
          <w:highlight w:val="none"/>
        </w:rPr>
      </w:pPr>
      <w:r>
        <w:rPr>
          <w:rFonts w:hint="eastAsia"/>
          <w:color w:val="auto"/>
          <w:highlight w:val="none"/>
        </w:rPr>
        <w:t>附表三</w:t>
      </w:r>
      <w:r>
        <w:rPr>
          <w:color w:val="auto"/>
          <w:highlight w:val="none"/>
        </w:rPr>
        <w:t xml:space="preserve">  </w:t>
      </w:r>
      <w:r>
        <w:rPr>
          <w:rFonts w:hint="eastAsia"/>
          <w:color w:val="auto"/>
          <w:highlight w:val="none"/>
        </w:rPr>
        <w:t>施工总平面图</w:t>
      </w:r>
    </w:p>
    <w:p w14:paraId="345D3E40">
      <w:pPr>
        <w:spacing w:line="360" w:lineRule="auto"/>
        <w:ind w:firstLine="420" w:firstLineChars="200"/>
        <w:rPr>
          <w:color w:val="auto"/>
          <w:highlight w:val="none"/>
        </w:rPr>
      </w:pPr>
      <w:r>
        <w:rPr>
          <w:rFonts w:hint="eastAsia"/>
          <w:color w:val="auto"/>
          <w:highlight w:val="none"/>
        </w:rPr>
        <w:t>附表四</w:t>
      </w:r>
      <w:r>
        <w:rPr>
          <w:color w:val="auto"/>
          <w:highlight w:val="none"/>
        </w:rPr>
        <w:t xml:space="preserve">  </w:t>
      </w:r>
      <w:r>
        <w:rPr>
          <w:rFonts w:hint="eastAsia"/>
          <w:color w:val="auto"/>
          <w:highlight w:val="none"/>
        </w:rPr>
        <w:t>临时用地表</w:t>
      </w:r>
    </w:p>
    <w:p w14:paraId="7829F06B">
      <w:pPr>
        <w:spacing w:line="360" w:lineRule="auto"/>
        <w:ind w:firstLine="420" w:firstLineChars="200"/>
        <w:rPr>
          <w:color w:val="auto"/>
          <w:highlight w:val="none"/>
        </w:rPr>
      </w:pPr>
    </w:p>
    <w:p w14:paraId="7BF92A89">
      <w:pPr>
        <w:rPr>
          <w:color w:val="auto"/>
          <w:highlight w:val="none"/>
        </w:rPr>
      </w:pPr>
      <w:r>
        <w:rPr>
          <w:rFonts w:hint="eastAsia" w:cs="宋体"/>
          <w:color w:val="auto"/>
          <w:highlight w:val="none"/>
        </w:rPr>
        <w:t>附表一：劳动力计划表</w:t>
      </w:r>
    </w:p>
    <w:p w14:paraId="20E1B8BE">
      <w:pPr>
        <w:ind w:firstLine="7245" w:firstLineChars="3450"/>
        <w:rPr>
          <w:color w:val="auto"/>
          <w:highlight w:val="none"/>
        </w:rPr>
      </w:pPr>
      <w:r>
        <w:rPr>
          <w:color w:val="auto"/>
          <w:highlight w:val="none"/>
        </w:rPr>
        <w:t xml:space="preserve">    </w:t>
      </w:r>
      <w:r>
        <w:rPr>
          <w:rFonts w:hint="eastAsia" w:cs="宋体"/>
          <w:color w:val="auto"/>
          <w:highlight w:val="none"/>
        </w:rPr>
        <w:t>单位：人</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14:paraId="7C52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0E7904F4">
            <w:pPr>
              <w:spacing w:line="360" w:lineRule="auto"/>
              <w:jc w:val="center"/>
              <w:rPr>
                <w:color w:val="auto"/>
                <w:highlight w:val="none"/>
              </w:rPr>
            </w:pPr>
            <w:r>
              <w:rPr>
                <w:rFonts w:hint="eastAsia" w:cs="宋体"/>
                <w:color w:val="auto"/>
                <w:highlight w:val="none"/>
              </w:rPr>
              <w:t>工种</w:t>
            </w:r>
          </w:p>
        </w:tc>
        <w:tc>
          <w:tcPr>
            <w:tcW w:w="7248" w:type="dxa"/>
            <w:gridSpan w:val="6"/>
            <w:vAlign w:val="center"/>
          </w:tcPr>
          <w:p w14:paraId="53BFB365">
            <w:pPr>
              <w:spacing w:line="360" w:lineRule="auto"/>
              <w:jc w:val="center"/>
              <w:rPr>
                <w:color w:val="auto"/>
                <w:highlight w:val="none"/>
              </w:rPr>
            </w:pPr>
            <w:r>
              <w:rPr>
                <w:rFonts w:hint="eastAsia" w:cs="宋体"/>
                <w:color w:val="auto"/>
                <w:highlight w:val="none"/>
              </w:rPr>
              <w:t>按工程施工阶段投入劳动力情况</w:t>
            </w:r>
          </w:p>
        </w:tc>
      </w:tr>
      <w:tr w14:paraId="6F95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73583350">
            <w:pPr>
              <w:spacing w:line="360" w:lineRule="auto"/>
              <w:jc w:val="center"/>
              <w:rPr>
                <w:color w:val="auto"/>
                <w:highlight w:val="none"/>
              </w:rPr>
            </w:pPr>
          </w:p>
        </w:tc>
        <w:tc>
          <w:tcPr>
            <w:tcW w:w="961" w:type="dxa"/>
            <w:vAlign w:val="center"/>
          </w:tcPr>
          <w:p w14:paraId="19B58790">
            <w:pPr>
              <w:spacing w:line="360" w:lineRule="auto"/>
              <w:jc w:val="center"/>
              <w:rPr>
                <w:color w:val="auto"/>
                <w:highlight w:val="none"/>
              </w:rPr>
            </w:pPr>
          </w:p>
        </w:tc>
        <w:tc>
          <w:tcPr>
            <w:tcW w:w="1257" w:type="dxa"/>
            <w:vAlign w:val="center"/>
          </w:tcPr>
          <w:p w14:paraId="641E70C2">
            <w:pPr>
              <w:spacing w:line="360" w:lineRule="auto"/>
              <w:jc w:val="center"/>
              <w:rPr>
                <w:color w:val="auto"/>
                <w:highlight w:val="none"/>
              </w:rPr>
            </w:pPr>
          </w:p>
        </w:tc>
        <w:tc>
          <w:tcPr>
            <w:tcW w:w="1257" w:type="dxa"/>
            <w:vAlign w:val="center"/>
          </w:tcPr>
          <w:p w14:paraId="7ED8AD52">
            <w:pPr>
              <w:spacing w:line="360" w:lineRule="auto"/>
              <w:jc w:val="center"/>
              <w:rPr>
                <w:color w:val="auto"/>
                <w:highlight w:val="none"/>
              </w:rPr>
            </w:pPr>
          </w:p>
        </w:tc>
        <w:tc>
          <w:tcPr>
            <w:tcW w:w="1258" w:type="dxa"/>
            <w:vAlign w:val="center"/>
          </w:tcPr>
          <w:p w14:paraId="597E23BD">
            <w:pPr>
              <w:spacing w:line="360" w:lineRule="auto"/>
              <w:jc w:val="center"/>
              <w:rPr>
                <w:color w:val="auto"/>
                <w:highlight w:val="none"/>
              </w:rPr>
            </w:pPr>
          </w:p>
        </w:tc>
        <w:tc>
          <w:tcPr>
            <w:tcW w:w="1257" w:type="dxa"/>
            <w:vAlign w:val="center"/>
          </w:tcPr>
          <w:p w14:paraId="572DFABA">
            <w:pPr>
              <w:spacing w:line="360" w:lineRule="auto"/>
              <w:jc w:val="center"/>
              <w:rPr>
                <w:color w:val="auto"/>
                <w:highlight w:val="none"/>
              </w:rPr>
            </w:pPr>
          </w:p>
        </w:tc>
        <w:tc>
          <w:tcPr>
            <w:tcW w:w="1258" w:type="dxa"/>
            <w:vAlign w:val="center"/>
          </w:tcPr>
          <w:p w14:paraId="19F88F15">
            <w:pPr>
              <w:spacing w:line="360" w:lineRule="auto"/>
              <w:jc w:val="center"/>
              <w:rPr>
                <w:color w:val="auto"/>
                <w:highlight w:val="none"/>
              </w:rPr>
            </w:pPr>
          </w:p>
        </w:tc>
      </w:tr>
      <w:tr w14:paraId="3D01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64B7CBF5">
            <w:pPr>
              <w:spacing w:line="360" w:lineRule="auto"/>
              <w:jc w:val="center"/>
              <w:rPr>
                <w:color w:val="auto"/>
                <w:highlight w:val="none"/>
              </w:rPr>
            </w:pPr>
          </w:p>
        </w:tc>
        <w:tc>
          <w:tcPr>
            <w:tcW w:w="961" w:type="dxa"/>
            <w:vAlign w:val="center"/>
          </w:tcPr>
          <w:p w14:paraId="7A1856BC">
            <w:pPr>
              <w:spacing w:line="360" w:lineRule="auto"/>
              <w:jc w:val="center"/>
              <w:rPr>
                <w:color w:val="auto"/>
                <w:highlight w:val="none"/>
              </w:rPr>
            </w:pPr>
          </w:p>
        </w:tc>
        <w:tc>
          <w:tcPr>
            <w:tcW w:w="1257" w:type="dxa"/>
            <w:vAlign w:val="center"/>
          </w:tcPr>
          <w:p w14:paraId="12C4573F">
            <w:pPr>
              <w:spacing w:line="360" w:lineRule="auto"/>
              <w:jc w:val="center"/>
              <w:rPr>
                <w:color w:val="auto"/>
                <w:highlight w:val="none"/>
              </w:rPr>
            </w:pPr>
          </w:p>
        </w:tc>
        <w:tc>
          <w:tcPr>
            <w:tcW w:w="1257" w:type="dxa"/>
            <w:vAlign w:val="center"/>
          </w:tcPr>
          <w:p w14:paraId="1153C390">
            <w:pPr>
              <w:spacing w:line="360" w:lineRule="auto"/>
              <w:jc w:val="center"/>
              <w:rPr>
                <w:color w:val="auto"/>
                <w:highlight w:val="none"/>
              </w:rPr>
            </w:pPr>
          </w:p>
        </w:tc>
        <w:tc>
          <w:tcPr>
            <w:tcW w:w="1258" w:type="dxa"/>
            <w:vAlign w:val="center"/>
          </w:tcPr>
          <w:p w14:paraId="55821D37">
            <w:pPr>
              <w:spacing w:line="360" w:lineRule="auto"/>
              <w:jc w:val="center"/>
              <w:rPr>
                <w:color w:val="auto"/>
                <w:highlight w:val="none"/>
              </w:rPr>
            </w:pPr>
          </w:p>
        </w:tc>
        <w:tc>
          <w:tcPr>
            <w:tcW w:w="1257" w:type="dxa"/>
            <w:vAlign w:val="center"/>
          </w:tcPr>
          <w:p w14:paraId="7BA79FC4">
            <w:pPr>
              <w:spacing w:line="360" w:lineRule="auto"/>
              <w:jc w:val="center"/>
              <w:rPr>
                <w:color w:val="auto"/>
                <w:highlight w:val="none"/>
              </w:rPr>
            </w:pPr>
          </w:p>
        </w:tc>
        <w:tc>
          <w:tcPr>
            <w:tcW w:w="1258" w:type="dxa"/>
            <w:vAlign w:val="center"/>
          </w:tcPr>
          <w:p w14:paraId="68A92BC5">
            <w:pPr>
              <w:spacing w:line="360" w:lineRule="auto"/>
              <w:jc w:val="center"/>
              <w:rPr>
                <w:color w:val="auto"/>
                <w:highlight w:val="none"/>
              </w:rPr>
            </w:pPr>
          </w:p>
        </w:tc>
      </w:tr>
      <w:tr w14:paraId="7052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6D010CDC">
            <w:pPr>
              <w:spacing w:line="360" w:lineRule="auto"/>
              <w:jc w:val="center"/>
              <w:rPr>
                <w:color w:val="auto"/>
                <w:highlight w:val="none"/>
              </w:rPr>
            </w:pPr>
          </w:p>
        </w:tc>
        <w:tc>
          <w:tcPr>
            <w:tcW w:w="961" w:type="dxa"/>
            <w:vAlign w:val="center"/>
          </w:tcPr>
          <w:p w14:paraId="5C5750FA">
            <w:pPr>
              <w:spacing w:line="360" w:lineRule="auto"/>
              <w:jc w:val="center"/>
              <w:rPr>
                <w:color w:val="auto"/>
                <w:highlight w:val="none"/>
              </w:rPr>
            </w:pPr>
          </w:p>
        </w:tc>
        <w:tc>
          <w:tcPr>
            <w:tcW w:w="1257" w:type="dxa"/>
            <w:vAlign w:val="center"/>
          </w:tcPr>
          <w:p w14:paraId="1CCA66CE">
            <w:pPr>
              <w:spacing w:line="360" w:lineRule="auto"/>
              <w:jc w:val="center"/>
              <w:rPr>
                <w:color w:val="auto"/>
                <w:highlight w:val="none"/>
              </w:rPr>
            </w:pPr>
          </w:p>
        </w:tc>
        <w:tc>
          <w:tcPr>
            <w:tcW w:w="1257" w:type="dxa"/>
            <w:vAlign w:val="center"/>
          </w:tcPr>
          <w:p w14:paraId="1BD6BA77">
            <w:pPr>
              <w:spacing w:line="360" w:lineRule="auto"/>
              <w:jc w:val="center"/>
              <w:rPr>
                <w:color w:val="auto"/>
                <w:highlight w:val="none"/>
              </w:rPr>
            </w:pPr>
          </w:p>
        </w:tc>
        <w:tc>
          <w:tcPr>
            <w:tcW w:w="1258" w:type="dxa"/>
            <w:vAlign w:val="center"/>
          </w:tcPr>
          <w:p w14:paraId="17BC219A">
            <w:pPr>
              <w:spacing w:line="360" w:lineRule="auto"/>
              <w:jc w:val="center"/>
              <w:rPr>
                <w:color w:val="auto"/>
                <w:highlight w:val="none"/>
              </w:rPr>
            </w:pPr>
          </w:p>
        </w:tc>
        <w:tc>
          <w:tcPr>
            <w:tcW w:w="1257" w:type="dxa"/>
            <w:vAlign w:val="center"/>
          </w:tcPr>
          <w:p w14:paraId="2761D788">
            <w:pPr>
              <w:spacing w:line="360" w:lineRule="auto"/>
              <w:jc w:val="center"/>
              <w:rPr>
                <w:color w:val="auto"/>
                <w:highlight w:val="none"/>
              </w:rPr>
            </w:pPr>
          </w:p>
        </w:tc>
        <w:tc>
          <w:tcPr>
            <w:tcW w:w="1258" w:type="dxa"/>
            <w:vAlign w:val="center"/>
          </w:tcPr>
          <w:p w14:paraId="6F9633ED">
            <w:pPr>
              <w:spacing w:line="360" w:lineRule="auto"/>
              <w:jc w:val="center"/>
              <w:rPr>
                <w:color w:val="auto"/>
                <w:highlight w:val="none"/>
              </w:rPr>
            </w:pPr>
          </w:p>
        </w:tc>
      </w:tr>
      <w:tr w14:paraId="2C89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3A92556A">
            <w:pPr>
              <w:spacing w:line="360" w:lineRule="auto"/>
              <w:jc w:val="center"/>
              <w:rPr>
                <w:color w:val="auto"/>
                <w:highlight w:val="none"/>
              </w:rPr>
            </w:pPr>
          </w:p>
        </w:tc>
        <w:tc>
          <w:tcPr>
            <w:tcW w:w="961" w:type="dxa"/>
            <w:vAlign w:val="center"/>
          </w:tcPr>
          <w:p w14:paraId="1AE3A60B">
            <w:pPr>
              <w:spacing w:line="360" w:lineRule="auto"/>
              <w:jc w:val="center"/>
              <w:rPr>
                <w:color w:val="auto"/>
                <w:highlight w:val="none"/>
              </w:rPr>
            </w:pPr>
          </w:p>
        </w:tc>
        <w:tc>
          <w:tcPr>
            <w:tcW w:w="1257" w:type="dxa"/>
            <w:vAlign w:val="center"/>
          </w:tcPr>
          <w:p w14:paraId="2A65A201">
            <w:pPr>
              <w:spacing w:line="360" w:lineRule="auto"/>
              <w:jc w:val="center"/>
              <w:rPr>
                <w:color w:val="auto"/>
                <w:highlight w:val="none"/>
              </w:rPr>
            </w:pPr>
          </w:p>
        </w:tc>
        <w:tc>
          <w:tcPr>
            <w:tcW w:w="1257" w:type="dxa"/>
            <w:vAlign w:val="center"/>
          </w:tcPr>
          <w:p w14:paraId="1804C813">
            <w:pPr>
              <w:spacing w:line="360" w:lineRule="auto"/>
              <w:jc w:val="center"/>
              <w:rPr>
                <w:color w:val="auto"/>
                <w:highlight w:val="none"/>
              </w:rPr>
            </w:pPr>
          </w:p>
        </w:tc>
        <w:tc>
          <w:tcPr>
            <w:tcW w:w="1258" w:type="dxa"/>
            <w:vAlign w:val="center"/>
          </w:tcPr>
          <w:p w14:paraId="0A7C2DDD">
            <w:pPr>
              <w:spacing w:line="360" w:lineRule="auto"/>
              <w:jc w:val="center"/>
              <w:rPr>
                <w:color w:val="auto"/>
                <w:highlight w:val="none"/>
              </w:rPr>
            </w:pPr>
          </w:p>
        </w:tc>
        <w:tc>
          <w:tcPr>
            <w:tcW w:w="1257" w:type="dxa"/>
            <w:vAlign w:val="center"/>
          </w:tcPr>
          <w:p w14:paraId="58F82A29">
            <w:pPr>
              <w:spacing w:line="360" w:lineRule="auto"/>
              <w:jc w:val="center"/>
              <w:rPr>
                <w:color w:val="auto"/>
                <w:highlight w:val="none"/>
              </w:rPr>
            </w:pPr>
          </w:p>
        </w:tc>
        <w:tc>
          <w:tcPr>
            <w:tcW w:w="1258" w:type="dxa"/>
            <w:vAlign w:val="center"/>
          </w:tcPr>
          <w:p w14:paraId="43764D8C">
            <w:pPr>
              <w:spacing w:line="360" w:lineRule="auto"/>
              <w:jc w:val="center"/>
              <w:rPr>
                <w:color w:val="auto"/>
                <w:highlight w:val="none"/>
              </w:rPr>
            </w:pPr>
          </w:p>
        </w:tc>
      </w:tr>
      <w:tr w14:paraId="7A34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3CC4E7CA">
            <w:pPr>
              <w:spacing w:line="360" w:lineRule="auto"/>
              <w:jc w:val="center"/>
              <w:rPr>
                <w:color w:val="auto"/>
                <w:highlight w:val="none"/>
              </w:rPr>
            </w:pPr>
          </w:p>
        </w:tc>
        <w:tc>
          <w:tcPr>
            <w:tcW w:w="961" w:type="dxa"/>
            <w:vAlign w:val="center"/>
          </w:tcPr>
          <w:p w14:paraId="68FCF1F1">
            <w:pPr>
              <w:spacing w:line="360" w:lineRule="auto"/>
              <w:jc w:val="center"/>
              <w:rPr>
                <w:color w:val="auto"/>
                <w:highlight w:val="none"/>
              </w:rPr>
            </w:pPr>
          </w:p>
        </w:tc>
        <w:tc>
          <w:tcPr>
            <w:tcW w:w="1257" w:type="dxa"/>
            <w:vAlign w:val="center"/>
          </w:tcPr>
          <w:p w14:paraId="4ADAA848">
            <w:pPr>
              <w:spacing w:line="360" w:lineRule="auto"/>
              <w:jc w:val="center"/>
              <w:rPr>
                <w:color w:val="auto"/>
                <w:highlight w:val="none"/>
              </w:rPr>
            </w:pPr>
          </w:p>
        </w:tc>
        <w:tc>
          <w:tcPr>
            <w:tcW w:w="1257" w:type="dxa"/>
            <w:vAlign w:val="center"/>
          </w:tcPr>
          <w:p w14:paraId="4176A40E">
            <w:pPr>
              <w:spacing w:line="360" w:lineRule="auto"/>
              <w:jc w:val="center"/>
              <w:rPr>
                <w:color w:val="auto"/>
                <w:highlight w:val="none"/>
              </w:rPr>
            </w:pPr>
          </w:p>
        </w:tc>
        <w:tc>
          <w:tcPr>
            <w:tcW w:w="1258" w:type="dxa"/>
            <w:vAlign w:val="center"/>
          </w:tcPr>
          <w:p w14:paraId="7F807503">
            <w:pPr>
              <w:spacing w:line="360" w:lineRule="auto"/>
              <w:jc w:val="center"/>
              <w:rPr>
                <w:color w:val="auto"/>
                <w:highlight w:val="none"/>
              </w:rPr>
            </w:pPr>
          </w:p>
        </w:tc>
        <w:tc>
          <w:tcPr>
            <w:tcW w:w="1257" w:type="dxa"/>
            <w:vAlign w:val="center"/>
          </w:tcPr>
          <w:p w14:paraId="7E1602AD">
            <w:pPr>
              <w:spacing w:line="360" w:lineRule="auto"/>
              <w:jc w:val="center"/>
              <w:rPr>
                <w:color w:val="auto"/>
                <w:highlight w:val="none"/>
              </w:rPr>
            </w:pPr>
          </w:p>
        </w:tc>
        <w:tc>
          <w:tcPr>
            <w:tcW w:w="1258" w:type="dxa"/>
            <w:vAlign w:val="center"/>
          </w:tcPr>
          <w:p w14:paraId="2D719A2A">
            <w:pPr>
              <w:spacing w:line="360" w:lineRule="auto"/>
              <w:jc w:val="center"/>
              <w:rPr>
                <w:color w:val="auto"/>
                <w:highlight w:val="none"/>
              </w:rPr>
            </w:pPr>
          </w:p>
        </w:tc>
      </w:tr>
      <w:tr w14:paraId="2CF4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38CC09C2">
            <w:pPr>
              <w:spacing w:line="360" w:lineRule="auto"/>
              <w:jc w:val="center"/>
              <w:rPr>
                <w:color w:val="auto"/>
                <w:highlight w:val="none"/>
              </w:rPr>
            </w:pPr>
          </w:p>
        </w:tc>
        <w:tc>
          <w:tcPr>
            <w:tcW w:w="961" w:type="dxa"/>
            <w:vAlign w:val="center"/>
          </w:tcPr>
          <w:p w14:paraId="069F2E06">
            <w:pPr>
              <w:spacing w:line="360" w:lineRule="auto"/>
              <w:jc w:val="center"/>
              <w:rPr>
                <w:color w:val="auto"/>
                <w:highlight w:val="none"/>
              </w:rPr>
            </w:pPr>
          </w:p>
        </w:tc>
        <w:tc>
          <w:tcPr>
            <w:tcW w:w="1257" w:type="dxa"/>
            <w:vAlign w:val="center"/>
          </w:tcPr>
          <w:p w14:paraId="23B547CA">
            <w:pPr>
              <w:spacing w:line="360" w:lineRule="auto"/>
              <w:jc w:val="center"/>
              <w:rPr>
                <w:color w:val="auto"/>
                <w:highlight w:val="none"/>
              </w:rPr>
            </w:pPr>
          </w:p>
        </w:tc>
        <w:tc>
          <w:tcPr>
            <w:tcW w:w="1257" w:type="dxa"/>
            <w:vAlign w:val="center"/>
          </w:tcPr>
          <w:p w14:paraId="7C8FDF47">
            <w:pPr>
              <w:spacing w:line="360" w:lineRule="auto"/>
              <w:jc w:val="center"/>
              <w:rPr>
                <w:color w:val="auto"/>
                <w:highlight w:val="none"/>
              </w:rPr>
            </w:pPr>
          </w:p>
        </w:tc>
        <w:tc>
          <w:tcPr>
            <w:tcW w:w="1258" w:type="dxa"/>
            <w:vAlign w:val="center"/>
          </w:tcPr>
          <w:p w14:paraId="3675B143">
            <w:pPr>
              <w:spacing w:line="360" w:lineRule="auto"/>
              <w:jc w:val="center"/>
              <w:rPr>
                <w:color w:val="auto"/>
                <w:highlight w:val="none"/>
              </w:rPr>
            </w:pPr>
          </w:p>
        </w:tc>
        <w:tc>
          <w:tcPr>
            <w:tcW w:w="1257" w:type="dxa"/>
            <w:vAlign w:val="center"/>
          </w:tcPr>
          <w:p w14:paraId="5C1E2497">
            <w:pPr>
              <w:spacing w:line="360" w:lineRule="auto"/>
              <w:jc w:val="center"/>
              <w:rPr>
                <w:color w:val="auto"/>
                <w:highlight w:val="none"/>
              </w:rPr>
            </w:pPr>
          </w:p>
        </w:tc>
        <w:tc>
          <w:tcPr>
            <w:tcW w:w="1258" w:type="dxa"/>
            <w:vAlign w:val="center"/>
          </w:tcPr>
          <w:p w14:paraId="0B6E991D">
            <w:pPr>
              <w:spacing w:line="360" w:lineRule="auto"/>
              <w:jc w:val="center"/>
              <w:rPr>
                <w:color w:val="auto"/>
                <w:highlight w:val="none"/>
              </w:rPr>
            </w:pPr>
          </w:p>
        </w:tc>
      </w:tr>
    </w:tbl>
    <w:p w14:paraId="40057F6F">
      <w:pPr>
        <w:rPr>
          <w:color w:val="auto"/>
          <w:highlight w:val="none"/>
        </w:rPr>
      </w:pPr>
    </w:p>
    <w:p w14:paraId="2DF6A143">
      <w:pPr>
        <w:rPr>
          <w:b/>
          <w:bCs/>
          <w:color w:val="auto"/>
          <w:highlight w:val="none"/>
        </w:rPr>
      </w:pPr>
    </w:p>
    <w:p w14:paraId="69955C4E">
      <w:pPr>
        <w:rPr>
          <w:rFonts w:cs="宋体"/>
          <w:color w:val="auto"/>
          <w:highlight w:val="none"/>
        </w:rPr>
      </w:pPr>
    </w:p>
    <w:p w14:paraId="22031BCB">
      <w:pPr>
        <w:rPr>
          <w:color w:val="auto"/>
          <w:highlight w:val="none"/>
        </w:rPr>
      </w:pPr>
      <w:r>
        <w:rPr>
          <w:rFonts w:hint="eastAsia" w:cs="宋体"/>
          <w:color w:val="auto"/>
          <w:highlight w:val="none"/>
        </w:rPr>
        <w:t>附表二：计划开、竣工日期和施工进度计划（网络图或横道图）</w:t>
      </w:r>
    </w:p>
    <w:p w14:paraId="6C4DED18">
      <w:pPr>
        <w:spacing w:line="460" w:lineRule="exact"/>
        <w:ind w:left="-6" w:firstLine="420"/>
        <w:rPr>
          <w:color w:val="auto"/>
          <w:highlight w:val="none"/>
        </w:rPr>
      </w:pPr>
      <w:r>
        <w:rPr>
          <w:color w:val="auto"/>
          <w:highlight w:val="none"/>
        </w:rPr>
        <w:t xml:space="preserve">1. </w:t>
      </w:r>
      <w:r>
        <w:rPr>
          <w:rFonts w:hint="eastAsia" w:cs="宋体"/>
          <w:color w:val="auto"/>
          <w:highlight w:val="none"/>
        </w:rPr>
        <w:t>供应商应提交施工进度计划，说明按磋商文件要求的工期进行施工的各个关键日期。成交的供应商还应按合同条件有关条款的要求提交详细的施工进度计划。</w:t>
      </w:r>
    </w:p>
    <w:p w14:paraId="048DB453">
      <w:pPr>
        <w:spacing w:line="460" w:lineRule="exact"/>
        <w:ind w:left="-6" w:firstLine="420"/>
        <w:rPr>
          <w:color w:val="auto"/>
          <w:highlight w:val="none"/>
        </w:rPr>
      </w:pPr>
      <w:r>
        <w:rPr>
          <w:color w:val="auto"/>
          <w:highlight w:val="none"/>
        </w:rPr>
        <w:t xml:space="preserve">2. </w:t>
      </w:r>
      <w:r>
        <w:rPr>
          <w:rFonts w:hint="eastAsia" w:cs="宋体"/>
          <w:color w:val="auto"/>
          <w:highlight w:val="none"/>
        </w:rPr>
        <w:t>施工进度计划可采用网络图（或横道图）表示，说明计划开工日期和各分项工程各阶段的完工日期和分包合同签订的日期。</w:t>
      </w:r>
    </w:p>
    <w:p w14:paraId="4B4B7858">
      <w:pPr>
        <w:spacing w:line="460" w:lineRule="exact"/>
        <w:ind w:left="-6" w:firstLine="420"/>
        <w:rPr>
          <w:color w:val="auto"/>
          <w:highlight w:val="none"/>
        </w:rPr>
      </w:pPr>
      <w:r>
        <w:rPr>
          <w:color w:val="auto"/>
          <w:highlight w:val="none"/>
        </w:rPr>
        <w:t xml:space="preserve">3. </w:t>
      </w:r>
      <w:r>
        <w:rPr>
          <w:rFonts w:hint="eastAsia" w:cs="宋体"/>
          <w:color w:val="auto"/>
          <w:highlight w:val="none"/>
        </w:rPr>
        <w:t>施工进度计划应与施工组织设计相适应。</w:t>
      </w:r>
    </w:p>
    <w:p w14:paraId="2954978B">
      <w:pPr>
        <w:spacing w:line="360" w:lineRule="auto"/>
        <w:ind w:left="-6" w:firstLine="420"/>
        <w:rPr>
          <w:color w:val="auto"/>
          <w:highlight w:val="none"/>
        </w:rPr>
      </w:pPr>
    </w:p>
    <w:p w14:paraId="2D468597">
      <w:pPr>
        <w:rPr>
          <w:color w:val="auto"/>
          <w:highlight w:val="none"/>
        </w:rPr>
      </w:pPr>
    </w:p>
    <w:p w14:paraId="057FC062">
      <w:pPr>
        <w:rPr>
          <w:color w:val="auto"/>
          <w:highlight w:val="none"/>
        </w:rPr>
      </w:pPr>
      <w:r>
        <w:rPr>
          <w:rFonts w:hint="eastAsia" w:cs="宋体"/>
          <w:color w:val="auto"/>
          <w:highlight w:val="none"/>
        </w:rPr>
        <w:t>附表三：施工总平面图</w:t>
      </w:r>
    </w:p>
    <w:p w14:paraId="110430DE">
      <w:pPr>
        <w:spacing w:line="460" w:lineRule="exact"/>
        <w:ind w:firstLine="420" w:firstLineChars="200"/>
        <w:rPr>
          <w:color w:val="auto"/>
          <w:highlight w:val="none"/>
        </w:rPr>
      </w:pPr>
      <w:r>
        <w:rPr>
          <w:rFonts w:hint="eastAsia" w:cs="宋体"/>
          <w:color w:val="auto"/>
          <w:highlight w:val="none"/>
        </w:rPr>
        <w:t>供应商应递交一份施工总平面图，绘出现场临时设施布置图表并附文字说明，说明临时设施、加工车间、现场办公、设备及仓储、供电、供水、卫生、生活、道路、消防等设施的情况和布置。</w:t>
      </w:r>
    </w:p>
    <w:p w14:paraId="68D37024">
      <w:pPr>
        <w:rPr>
          <w:color w:val="auto"/>
          <w:highlight w:val="none"/>
        </w:rPr>
      </w:pPr>
    </w:p>
    <w:p w14:paraId="1281F776">
      <w:pPr>
        <w:rPr>
          <w:color w:val="auto"/>
          <w:highlight w:val="none"/>
        </w:rPr>
      </w:pPr>
    </w:p>
    <w:p w14:paraId="1EFF304D">
      <w:pPr>
        <w:rPr>
          <w:color w:val="auto"/>
          <w:highlight w:val="none"/>
        </w:rPr>
      </w:pPr>
      <w:r>
        <w:rPr>
          <w:rFonts w:hint="eastAsia" w:cs="宋体"/>
          <w:color w:val="auto"/>
          <w:highlight w:val="none"/>
        </w:rPr>
        <w:t>附表四：临时用地表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14:paraId="3FF6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3EECC9EC">
            <w:pPr>
              <w:jc w:val="center"/>
              <w:rPr>
                <w:color w:val="auto"/>
                <w:highlight w:val="none"/>
              </w:rPr>
            </w:pPr>
            <w:r>
              <w:rPr>
                <w:rFonts w:hint="eastAsia" w:cs="宋体"/>
                <w:color w:val="auto"/>
                <w:highlight w:val="none"/>
              </w:rPr>
              <w:t>用途</w:t>
            </w:r>
          </w:p>
        </w:tc>
        <w:tc>
          <w:tcPr>
            <w:tcW w:w="2357" w:type="dxa"/>
            <w:vAlign w:val="center"/>
          </w:tcPr>
          <w:p w14:paraId="1D0B354F">
            <w:pPr>
              <w:jc w:val="center"/>
              <w:rPr>
                <w:color w:val="auto"/>
                <w:highlight w:val="none"/>
              </w:rPr>
            </w:pPr>
            <w:r>
              <w:rPr>
                <w:rFonts w:hint="eastAsia" w:cs="宋体"/>
                <w:color w:val="auto"/>
                <w:highlight w:val="none"/>
              </w:rPr>
              <w:t>面积（平方米）</w:t>
            </w:r>
          </w:p>
        </w:tc>
        <w:tc>
          <w:tcPr>
            <w:tcW w:w="2356" w:type="dxa"/>
            <w:vAlign w:val="center"/>
          </w:tcPr>
          <w:p w14:paraId="5208D19E">
            <w:pPr>
              <w:jc w:val="center"/>
              <w:rPr>
                <w:color w:val="auto"/>
                <w:highlight w:val="none"/>
              </w:rPr>
            </w:pPr>
            <w:r>
              <w:rPr>
                <w:rFonts w:hint="eastAsia" w:cs="宋体"/>
                <w:color w:val="auto"/>
                <w:highlight w:val="none"/>
              </w:rPr>
              <w:t>位置</w:t>
            </w:r>
          </w:p>
        </w:tc>
        <w:tc>
          <w:tcPr>
            <w:tcW w:w="2136" w:type="dxa"/>
            <w:vAlign w:val="center"/>
          </w:tcPr>
          <w:p w14:paraId="375E83E6">
            <w:pPr>
              <w:jc w:val="center"/>
              <w:rPr>
                <w:color w:val="auto"/>
                <w:highlight w:val="none"/>
              </w:rPr>
            </w:pPr>
            <w:r>
              <w:rPr>
                <w:rFonts w:hint="eastAsia" w:cs="宋体"/>
                <w:color w:val="auto"/>
                <w:highlight w:val="none"/>
              </w:rPr>
              <w:t>需用时间</w:t>
            </w:r>
          </w:p>
        </w:tc>
      </w:tr>
      <w:tr w14:paraId="3C66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CCE4CEA">
            <w:pPr>
              <w:rPr>
                <w:color w:val="auto"/>
                <w:highlight w:val="none"/>
              </w:rPr>
            </w:pPr>
          </w:p>
        </w:tc>
        <w:tc>
          <w:tcPr>
            <w:tcW w:w="2357" w:type="dxa"/>
          </w:tcPr>
          <w:p w14:paraId="1169A32C">
            <w:pPr>
              <w:rPr>
                <w:color w:val="auto"/>
                <w:highlight w:val="none"/>
              </w:rPr>
            </w:pPr>
          </w:p>
        </w:tc>
        <w:tc>
          <w:tcPr>
            <w:tcW w:w="2356" w:type="dxa"/>
          </w:tcPr>
          <w:p w14:paraId="1CA593B2">
            <w:pPr>
              <w:rPr>
                <w:color w:val="auto"/>
                <w:highlight w:val="none"/>
              </w:rPr>
            </w:pPr>
          </w:p>
        </w:tc>
        <w:tc>
          <w:tcPr>
            <w:tcW w:w="2136" w:type="dxa"/>
          </w:tcPr>
          <w:p w14:paraId="171FDCCC">
            <w:pPr>
              <w:rPr>
                <w:color w:val="auto"/>
                <w:highlight w:val="none"/>
              </w:rPr>
            </w:pPr>
          </w:p>
        </w:tc>
      </w:tr>
      <w:tr w14:paraId="57DB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3927068B">
            <w:pPr>
              <w:rPr>
                <w:color w:val="auto"/>
                <w:highlight w:val="none"/>
              </w:rPr>
            </w:pPr>
          </w:p>
        </w:tc>
        <w:tc>
          <w:tcPr>
            <w:tcW w:w="2357" w:type="dxa"/>
          </w:tcPr>
          <w:p w14:paraId="2932C9E8">
            <w:pPr>
              <w:rPr>
                <w:color w:val="auto"/>
                <w:highlight w:val="none"/>
              </w:rPr>
            </w:pPr>
          </w:p>
        </w:tc>
        <w:tc>
          <w:tcPr>
            <w:tcW w:w="2356" w:type="dxa"/>
          </w:tcPr>
          <w:p w14:paraId="1C7880BB">
            <w:pPr>
              <w:rPr>
                <w:color w:val="auto"/>
                <w:highlight w:val="none"/>
              </w:rPr>
            </w:pPr>
          </w:p>
        </w:tc>
        <w:tc>
          <w:tcPr>
            <w:tcW w:w="2136" w:type="dxa"/>
          </w:tcPr>
          <w:p w14:paraId="55EF494B">
            <w:pPr>
              <w:rPr>
                <w:color w:val="auto"/>
                <w:highlight w:val="none"/>
              </w:rPr>
            </w:pPr>
          </w:p>
        </w:tc>
      </w:tr>
      <w:tr w14:paraId="5B91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20B1D623">
            <w:pPr>
              <w:rPr>
                <w:color w:val="auto"/>
                <w:highlight w:val="none"/>
              </w:rPr>
            </w:pPr>
          </w:p>
        </w:tc>
        <w:tc>
          <w:tcPr>
            <w:tcW w:w="2357" w:type="dxa"/>
          </w:tcPr>
          <w:p w14:paraId="6170CDA3">
            <w:pPr>
              <w:rPr>
                <w:color w:val="auto"/>
                <w:highlight w:val="none"/>
              </w:rPr>
            </w:pPr>
          </w:p>
        </w:tc>
        <w:tc>
          <w:tcPr>
            <w:tcW w:w="2356" w:type="dxa"/>
          </w:tcPr>
          <w:p w14:paraId="3F8DC6A6">
            <w:pPr>
              <w:rPr>
                <w:color w:val="auto"/>
                <w:highlight w:val="none"/>
              </w:rPr>
            </w:pPr>
          </w:p>
        </w:tc>
        <w:tc>
          <w:tcPr>
            <w:tcW w:w="2136" w:type="dxa"/>
          </w:tcPr>
          <w:p w14:paraId="3D0A9F61">
            <w:pPr>
              <w:rPr>
                <w:color w:val="auto"/>
                <w:highlight w:val="none"/>
              </w:rPr>
            </w:pPr>
          </w:p>
        </w:tc>
      </w:tr>
      <w:tr w14:paraId="6138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67C27DB7">
            <w:pPr>
              <w:rPr>
                <w:color w:val="auto"/>
                <w:highlight w:val="none"/>
              </w:rPr>
            </w:pPr>
          </w:p>
        </w:tc>
        <w:tc>
          <w:tcPr>
            <w:tcW w:w="2357" w:type="dxa"/>
          </w:tcPr>
          <w:p w14:paraId="2B5DC49A">
            <w:pPr>
              <w:rPr>
                <w:color w:val="auto"/>
                <w:highlight w:val="none"/>
              </w:rPr>
            </w:pPr>
          </w:p>
        </w:tc>
        <w:tc>
          <w:tcPr>
            <w:tcW w:w="2356" w:type="dxa"/>
          </w:tcPr>
          <w:p w14:paraId="474C09BB">
            <w:pPr>
              <w:rPr>
                <w:color w:val="auto"/>
                <w:highlight w:val="none"/>
              </w:rPr>
            </w:pPr>
          </w:p>
        </w:tc>
        <w:tc>
          <w:tcPr>
            <w:tcW w:w="2136" w:type="dxa"/>
          </w:tcPr>
          <w:p w14:paraId="4B1E3734">
            <w:pPr>
              <w:rPr>
                <w:color w:val="auto"/>
                <w:highlight w:val="none"/>
              </w:rPr>
            </w:pPr>
          </w:p>
        </w:tc>
      </w:tr>
    </w:tbl>
    <w:p w14:paraId="57095B70">
      <w:pPr>
        <w:spacing w:line="360" w:lineRule="auto"/>
        <w:ind w:firstLine="880" w:firstLineChars="200"/>
        <w:rPr>
          <w:rFonts w:hint="eastAsia" w:ascii="方正小标宋简体" w:hAnsi="方正小标宋简体" w:eastAsia="方正小标宋简体" w:cs="方正小标宋简体"/>
          <w:bCs/>
          <w:color w:val="auto"/>
          <w:sz w:val="44"/>
          <w:szCs w:val="44"/>
          <w:highlight w:val="none"/>
        </w:rPr>
      </w:pPr>
    </w:p>
    <w:p w14:paraId="5CDB5D02">
      <w:pPr>
        <w:spacing w:line="360" w:lineRule="auto"/>
        <w:jc w:val="center"/>
        <w:rPr>
          <w:rFonts w:ascii="方正小标宋简体" w:hAnsi="方正小标宋简体" w:eastAsia="方正小标宋简体" w:cs="方正小标宋简体"/>
          <w:bCs/>
          <w:color w:val="auto"/>
          <w:sz w:val="44"/>
          <w:szCs w:val="44"/>
          <w:highlight w:val="none"/>
        </w:rPr>
      </w:pPr>
    </w:p>
    <w:p w14:paraId="2D999C46">
      <w:pPr>
        <w:spacing w:line="360" w:lineRule="auto"/>
        <w:jc w:val="center"/>
        <w:rPr>
          <w:rFonts w:ascii="方正小标宋简体" w:hAnsi="方正小标宋简体" w:eastAsia="方正小标宋简体" w:cs="方正小标宋简体"/>
          <w:bCs/>
          <w:color w:val="auto"/>
          <w:sz w:val="44"/>
          <w:szCs w:val="44"/>
          <w:highlight w:val="none"/>
        </w:rPr>
      </w:pPr>
    </w:p>
    <w:p w14:paraId="7BDBC6CC">
      <w:pPr>
        <w:spacing w:line="360" w:lineRule="auto"/>
        <w:jc w:val="center"/>
        <w:rPr>
          <w:rFonts w:ascii="方正小标宋简体" w:hAnsi="方正小标宋简体" w:eastAsia="方正小标宋简体" w:cs="方正小标宋简体"/>
          <w:bCs/>
          <w:color w:val="auto"/>
          <w:sz w:val="44"/>
          <w:szCs w:val="44"/>
          <w:highlight w:val="none"/>
        </w:rPr>
      </w:pPr>
    </w:p>
    <w:p w14:paraId="38F5263A">
      <w:pPr>
        <w:spacing w:line="360" w:lineRule="auto"/>
        <w:jc w:val="center"/>
        <w:rPr>
          <w:rFonts w:ascii="方正小标宋简体" w:hAnsi="方正小标宋简体" w:eastAsia="方正小标宋简体" w:cs="方正小标宋简体"/>
          <w:bCs/>
          <w:color w:val="auto"/>
          <w:sz w:val="44"/>
          <w:szCs w:val="44"/>
          <w:highlight w:val="none"/>
        </w:rPr>
      </w:pPr>
    </w:p>
    <w:p w14:paraId="3CB46A6C">
      <w:pPr>
        <w:spacing w:line="360" w:lineRule="auto"/>
        <w:jc w:val="center"/>
        <w:rPr>
          <w:rFonts w:ascii="方正小标宋简体" w:hAnsi="方正小标宋简体" w:eastAsia="方正小标宋简体" w:cs="方正小标宋简体"/>
          <w:bCs/>
          <w:color w:val="auto"/>
          <w:sz w:val="44"/>
          <w:szCs w:val="44"/>
          <w:highlight w:val="none"/>
        </w:rPr>
      </w:pPr>
    </w:p>
    <w:p w14:paraId="69C57284">
      <w:pPr>
        <w:spacing w:line="360" w:lineRule="auto"/>
        <w:jc w:val="center"/>
        <w:rPr>
          <w:rFonts w:ascii="方正小标宋简体" w:hAnsi="方正小标宋简体" w:eastAsia="方正小标宋简体" w:cs="方正小标宋简体"/>
          <w:bCs/>
          <w:color w:val="auto"/>
          <w:sz w:val="44"/>
          <w:szCs w:val="44"/>
          <w:highlight w:val="none"/>
        </w:rPr>
      </w:pPr>
    </w:p>
    <w:p w14:paraId="5E5376CB">
      <w:pPr>
        <w:spacing w:line="360" w:lineRule="auto"/>
        <w:jc w:val="center"/>
        <w:rPr>
          <w:rFonts w:ascii="方正小标宋简体" w:hAnsi="方正小标宋简体" w:eastAsia="方正小标宋简体" w:cs="方正小标宋简体"/>
          <w:bCs/>
          <w:color w:val="auto"/>
          <w:sz w:val="44"/>
          <w:szCs w:val="44"/>
          <w:highlight w:val="none"/>
        </w:rPr>
      </w:pPr>
    </w:p>
    <w:p w14:paraId="387FF78D">
      <w:pPr>
        <w:spacing w:line="360" w:lineRule="auto"/>
        <w:ind w:firstLine="643" w:firstLineChars="200"/>
        <w:jc w:val="center"/>
        <w:rPr>
          <w:rFonts w:hint="eastAsia" w:cs="宋体"/>
          <w:b/>
          <w:bCs/>
          <w:color w:val="auto"/>
          <w:sz w:val="32"/>
          <w:szCs w:val="32"/>
          <w:highlight w:val="none"/>
        </w:rPr>
      </w:pPr>
    </w:p>
    <w:p w14:paraId="14786646">
      <w:pPr>
        <w:spacing w:line="360" w:lineRule="auto"/>
        <w:ind w:firstLine="643" w:firstLineChars="200"/>
        <w:jc w:val="center"/>
        <w:rPr>
          <w:rFonts w:cs="宋体"/>
          <w:b/>
          <w:bCs/>
          <w:color w:val="auto"/>
          <w:sz w:val="32"/>
          <w:szCs w:val="32"/>
          <w:highlight w:val="none"/>
        </w:rPr>
      </w:pPr>
      <w:r>
        <w:rPr>
          <w:rFonts w:hint="eastAsia" w:cs="宋体"/>
          <w:b/>
          <w:bCs/>
          <w:color w:val="auto"/>
          <w:sz w:val="32"/>
          <w:szCs w:val="32"/>
          <w:highlight w:val="none"/>
        </w:rPr>
        <w:t>工程保修服务保障承诺函</w:t>
      </w:r>
    </w:p>
    <w:p w14:paraId="0F1A1E72">
      <w:pPr>
        <w:spacing w:line="520" w:lineRule="exact"/>
        <w:ind w:left="-10" w:leftChars="0" w:firstLine="10" w:firstLineChars="0"/>
        <w:jc w:val="left"/>
        <w:rPr>
          <w:rFonts w:hint="eastAsia" w:cs="宋体"/>
          <w:bCs/>
          <w:color w:val="auto"/>
          <w:sz w:val="24"/>
          <w:highlight w:val="none"/>
          <w:lang w:eastAsia="zh-CN"/>
        </w:rPr>
      </w:pPr>
      <w:r>
        <w:rPr>
          <w:rFonts w:hint="eastAsia" w:cs="宋体"/>
          <w:bCs/>
          <w:color w:val="auto"/>
          <w:sz w:val="24"/>
          <w:highlight w:val="none"/>
          <w:lang w:eastAsia="zh-CN"/>
        </w:rPr>
        <w:t>永福县人民法院：</w:t>
      </w:r>
    </w:p>
    <w:p w14:paraId="6406E522">
      <w:pPr>
        <w:spacing w:line="520" w:lineRule="exact"/>
        <w:ind w:left="-10" w:firstLine="520" w:firstLineChars="217"/>
        <w:jc w:val="left"/>
        <w:rPr>
          <w:color w:val="auto"/>
          <w:sz w:val="24"/>
          <w:highlight w:val="none"/>
        </w:rPr>
      </w:pPr>
      <w:r>
        <w:rPr>
          <w:rFonts w:hint="eastAsia" w:cs="宋体"/>
          <w:bCs/>
          <w:color w:val="auto"/>
          <w:sz w:val="24"/>
          <w:highlight w:val="none"/>
          <w:lang w:eastAsia="zh-CN"/>
        </w:rPr>
        <w:t>我方若成为</w:t>
      </w:r>
      <w:r>
        <w:rPr>
          <w:rFonts w:hint="eastAsia" w:cs="宋体"/>
          <w:bCs/>
          <w:color w:val="auto"/>
          <w:sz w:val="24"/>
          <w:highlight w:val="none"/>
          <w:u w:val="single"/>
        </w:rPr>
        <w:t>（项目名称）</w:t>
      </w:r>
      <w:r>
        <w:rPr>
          <w:rFonts w:hint="eastAsia" w:cs="宋体"/>
          <w:bCs/>
          <w:color w:val="auto"/>
          <w:sz w:val="24"/>
          <w:highlight w:val="none"/>
        </w:rPr>
        <w:t>（项目编号</w:t>
      </w:r>
      <w:r>
        <w:rPr>
          <w:rFonts w:hint="eastAsia" w:cs="宋体"/>
          <w:bCs/>
          <w:color w:val="auto"/>
          <w:sz w:val="24"/>
          <w:highlight w:val="none"/>
          <w:u w:val="single"/>
        </w:rPr>
        <w:t xml:space="preserve">            </w:t>
      </w:r>
      <w:r>
        <w:rPr>
          <w:rFonts w:hint="eastAsia" w:cs="宋体"/>
          <w:bCs/>
          <w:color w:val="auto"/>
          <w:sz w:val="24"/>
          <w:highlight w:val="none"/>
        </w:rPr>
        <w:t>）项目</w:t>
      </w:r>
      <w:r>
        <w:rPr>
          <w:rFonts w:hint="eastAsia" w:cs="宋体"/>
          <w:bCs/>
          <w:color w:val="auto"/>
          <w:sz w:val="24"/>
          <w:highlight w:val="none"/>
          <w:lang w:eastAsia="zh-CN"/>
        </w:rPr>
        <w:t>的成交供应商</w:t>
      </w:r>
      <w:r>
        <w:rPr>
          <w:rFonts w:hint="eastAsia" w:cs="宋体"/>
          <w:bCs/>
          <w:color w:val="auto"/>
          <w:sz w:val="24"/>
          <w:highlight w:val="none"/>
        </w:rPr>
        <w:t>，</w:t>
      </w:r>
      <w:r>
        <w:rPr>
          <w:rFonts w:hint="eastAsia" w:cs="宋体"/>
          <w:bCs/>
          <w:color w:val="auto"/>
          <w:sz w:val="24"/>
          <w:highlight w:val="none"/>
          <w:lang w:eastAsia="zh-CN"/>
        </w:rPr>
        <w:t>承诺</w:t>
      </w:r>
      <w:r>
        <w:rPr>
          <w:rFonts w:hint="eastAsia" w:cs="宋体"/>
          <w:bCs/>
          <w:color w:val="auto"/>
          <w:sz w:val="24"/>
          <w:highlight w:val="none"/>
        </w:rPr>
        <w:t>在</w:t>
      </w:r>
      <w:r>
        <w:rPr>
          <w:rFonts w:hint="eastAsia" w:cs="宋体"/>
          <w:bCs/>
          <w:color w:val="auto"/>
          <w:sz w:val="24"/>
          <w:highlight w:val="none"/>
          <w:lang w:eastAsia="zh-CN"/>
        </w:rPr>
        <w:t>工程</w:t>
      </w:r>
      <w:r>
        <w:rPr>
          <w:rFonts w:hint="eastAsia" w:cs="宋体"/>
          <w:bCs/>
          <w:color w:val="auto"/>
          <w:sz w:val="24"/>
          <w:highlight w:val="none"/>
        </w:rPr>
        <w:t>保修期内，</w:t>
      </w:r>
      <w:r>
        <w:rPr>
          <w:rFonts w:hint="eastAsia" w:cs="宋体"/>
          <w:bCs/>
          <w:color w:val="auto"/>
          <w:sz w:val="24"/>
          <w:highlight w:val="none"/>
          <w:lang w:eastAsia="zh-CN"/>
        </w:rPr>
        <w:t>在接到贵单位</w:t>
      </w:r>
      <w:r>
        <w:rPr>
          <w:rFonts w:hint="eastAsia" w:cs="宋体"/>
          <w:bCs/>
          <w:color w:val="auto"/>
          <w:sz w:val="24"/>
          <w:highlight w:val="none"/>
        </w:rPr>
        <w:t>通知</w:t>
      </w:r>
      <w:r>
        <w:rPr>
          <w:rFonts w:hint="eastAsia" w:cs="宋体"/>
          <w:bCs/>
          <w:color w:val="auto"/>
          <w:sz w:val="24"/>
          <w:highlight w:val="none"/>
          <w:lang w:eastAsia="zh-CN"/>
        </w:rPr>
        <w:t>之时起</w:t>
      </w:r>
      <w:r>
        <w:rPr>
          <w:rFonts w:hint="eastAsia" w:cs="宋体"/>
          <w:bCs/>
          <w:color w:val="auto"/>
          <w:sz w:val="24"/>
          <w:highlight w:val="none"/>
        </w:rPr>
        <w:t>到达工程现场并修复缺陷或损坏</w:t>
      </w:r>
      <w:r>
        <w:rPr>
          <w:rFonts w:hint="eastAsia" w:cs="宋体"/>
          <w:bCs/>
          <w:color w:val="auto"/>
          <w:sz w:val="24"/>
          <w:highlight w:val="none"/>
          <w:lang w:eastAsia="zh-CN"/>
        </w:rPr>
        <w:t>工程的时间为</w:t>
      </w:r>
      <w:r>
        <w:rPr>
          <w:rFonts w:hint="eastAsia" w:cs="宋体"/>
          <w:bCs/>
          <w:color w:val="auto"/>
          <w:sz w:val="24"/>
          <w:highlight w:val="none"/>
          <w:u w:val="single"/>
          <w:lang w:val="en-US" w:eastAsia="zh-CN"/>
        </w:rPr>
        <w:t xml:space="preserve">    </w:t>
      </w:r>
      <w:r>
        <w:rPr>
          <w:rFonts w:hint="eastAsia" w:cs="宋体"/>
          <w:bCs/>
          <w:color w:val="auto"/>
          <w:sz w:val="24"/>
          <w:highlight w:val="none"/>
          <w:lang w:val="en-US" w:eastAsia="zh-CN"/>
        </w:rPr>
        <w:t>小时</w:t>
      </w:r>
      <w:r>
        <w:rPr>
          <w:rFonts w:hint="eastAsia" w:cs="宋体"/>
          <w:bCs/>
          <w:color w:val="auto"/>
          <w:sz w:val="24"/>
          <w:highlight w:val="none"/>
        </w:rPr>
        <w:t>。</w:t>
      </w:r>
      <w:r>
        <w:rPr>
          <w:rFonts w:hint="eastAsia" w:ascii="宋体" w:hAnsi="宋体" w:cs="仿宋_GB2312"/>
          <w:color w:val="auto"/>
          <w:sz w:val="24"/>
          <w:highlight w:val="none"/>
        </w:rPr>
        <w:t>如有</w:t>
      </w:r>
      <w:r>
        <w:rPr>
          <w:rFonts w:hint="eastAsia" w:ascii="宋体" w:hAnsi="宋体" w:cs="仿宋_GB2312"/>
          <w:color w:val="auto"/>
          <w:sz w:val="24"/>
          <w:highlight w:val="none"/>
          <w:lang w:eastAsia="zh-CN"/>
        </w:rPr>
        <w:t>未按承诺时间实施的</w:t>
      </w:r>
      <w:r>
        <w:rPr>
          <w:rFonts w:hint="eastAsia" w:ascii="宋体" w:hAnsi="宋体" w:cs="仿宋_GB2312"/>
          <w:color w:val="auto"/>
          <w:sz w:val="24"/>
          <w:highlight w:val="none"/>
        </w:rPr>
        <w:t>，将依法承担相应责任。</w:t>
      </w:r>
    </w:p>
    <w:p w14:paraId="0CDA06A7">
      <w:pPr>
        <w:spacing w:line="520" w:lineRule="exact"/>
        <w:ind w:left="-10" w:firstLine="455" w:firstLineChars="217"/>
        <w:jc w:val="left"/>
        <w:rPr>
          <w:color w:val="auto"/>
          <w:szCs w:val="21"/>
          <w:highlight w:val="none"/>
        </w:rPr>
      </w:pPr>
    </w:p>
    <w:p w14:paraId="4B4C2446">
      <w:pPr>
        <w:spacing w:line="520" w:lineRule="exact"/>
        <w:jc w:val="left"/>
        <w:rPr>
          <w:color w:val="auto"/>
          <w:highlight w:val="none"/>
        </w:rPr>
      </w:pPr>
    </w:p>
    <w:p w14:paraId="49797402">
      <w:pPr>
        <w:spacing w:line="360" w:lineRule="auto"/>
        <w:ind w:firstLine="4410" w:firstLineChars="2100"/>
        <w:jc w:val="left"/>
        <w:rPr>
          <w:rFonts w:cs="宋体"/>
          <w:color w:val="auto"/>
          <w:highlight w:val="none"/>
        </w:rPr>
      </w:pPr>
    </w:p>
    <w:p w14:paraId="0C817B0C">
      <w:pPr>
        <w:keepNext w:val="0"/>
        <w:keepLines w:val="0"/>
        <w:pageBreakBefore w:val="0"/>
        <w:widowControl w:val="0"/>
        <w:kinsoku/>
        <w:wordWrap w:val="0"/>
        <w:overflowPunct/>
        <w:topLinePunct w:val="0"/>
        <w:autoSpaceDE/>
        <w:autoSpaceDN/>
        <w:bidi w:val="0"/>
        <w:adjustRightInd/>
        <w:snapToGrid/>
        <w:spacing w:line="480" w:lineRule="auto"/>
        <w:ind w:left="2699"/>
        <w:textAlignment w:val="auto"/>
        <w:rPr>
          <w:color w:val="auto"/>
          <w:sz w:val="24"/>
          <w:szCs w:val="24"/>
          <w:highlight w:val="none"/>
        </w:rPr>
      </w:pPr>
      <w:r>
        <w:rPr>
          <w:rFonts w:hint="eastAsia" w:cs="宋体"/>
          <w:color w:val="auto"/>
          <w:sz w:val="24"/>
          <w:szCs w:val="24"/>
          <w:highlight w:val="none"/>
        </w:rPr>
        <w:t>供应商：</w:t>
      </w:r>
      <w:r>
        <w:rPr>
          <w:color w:val="auto"/>
          <w:sz w:val="24"/>
          <w:szCs w:val="24"/>
          <w:highlight w:val="none"/>
          <w:u w:val="single"/>
        </w:rPr>
        <w:t xml:space="preserve">                    </w:t>
      </w:r>
      <w:r>
        <w:rPr>
          <w:rFonts w:hint="eastAsia" w:cs="宋体"/>
          <w:color w:val="auto"/>
          <w:sz w:val="24"/>
          <w:szCs w:val="24"/>
          <w:highlight w:val="none"/>
          <w:u w:val="single"/>
        </w:rPr>
        <w:t>（盖供应商电子签章）</w:t>
      </w:r>
    </w:p>
    <w:p w14:paraId="562B2867">
      <w:pPr>
        <w:keepNext w:val="0"/>
        <w:keepLines w:val="0"/>
        <w:pageBreakBefore w:val="0"/>
        <w:widowControl w:val="0"/>
        <w:kinsoku/>
        <w:wordWrap w:val="0"/>
        <w:overflowPunct/>
        <w:topLinePunct w:val="0"/>
        <w:autoSpaceDE/>
        <w:autoSpaceDN/>
        <w:bidi w:val="0"/>
        <w:adjustRightInd/>
        <w:snapToGrid/>
        <w:spacing w:line="480" w:lineRule="auto"/>
        <w:ind w:left="2699"/>
        <w:textAlignment w:val="auto"/>
        <w:rPr>
          <w:color w:val="auto"/>
          <w:sz w:val="24"/>
          <w:szCs w:val="24"/>
          <w:highlight w:val="none"/>
        </w:rPr>
      </w:pPr>
      <w:r>
        <w:rPr>
          <w:rFonts w:hint="eastAsia" w:cs="宋体"/>
          <w:color w:val="auto"/>
          <w:sz w:val="24"/>
          <w:szCs w:val="24"/>
          <w:highlight w:val="none"/>
        </w:rPr>
        <w:t>法定代表人（或委托代理人）：</w:t>
      </w:r>
      <w:r>
        <w:rPr>
          <w:color w:val="auto"/>
          <w:sz w:val="24"/>
          <w:szCs w:val="24"/>
          <w:highlight w:val="none"/>
          <w:u w:val="single"/>
        </w:rPr>
        <w:t xml:space="preserve"> </w:t>
      </w:r>
      <w:r>
        <w:rPr>
          <w:rFonts w:hint="eastAsia"/>
          <w:color w:val="auto"/>
          <w:sz w:val="24"/>
          <w:szCs w:val="24"/>
          <w:highlight w:val="none"/>
          <w:u w:val="single"/>
        </w:rPr>
        <w:t>（签字或者电子签名）</w:t>
      </w:r>
    </w:p>
    <w:p w14:paraId="0088EECB">
      <w:pPr>
        <w:keepNext w:val="0"/>
        <w:keepLines w:val="0"/>
        <w:pageBreakBefore w:val="0"/>
        <w:widowControl w:val="0"/>
        <w:kinsoku/>
        <w:wordWrap w:val="0"/>
        <w:overflowPunct/>
        <w:topLinePunct w:val="0"/>
        <w:autoSpaceDE/>
        <w:autoSpaceDN/>
        <w:bidi w:val="0"/>
        <w:adjustRightInd/>
        <w:snapToGrid/>
        <w:spacing w:line="360" w:lineRule="auto"/>
        <w:ind w:firstLine="5040" w:firstLineChars="2100"/>
        <w:textAlignment w:val="auto"/>
        <w:rPr>
          <w:rFonts w:cs="宋体"/>
          <w:color w:val="auto"/>
          <w:sz w:val="24"/>
          <w:szCs w:val="24"/>
          <w:highlight w:val="none"/>
        </w:rPr>
      </w:pPr>
      <w:r>
        <w:rPr>
          <w:rFonts w:hint="eastAsia" w:cs="宋体"/>
          <w:color w:val="auto"/>
          <w:sz w:val="24"/>
          <w:szCs w:val="24"/>
          <w:highlight w:val="none"/>
        </w:rPr>
        <w:t>日期：</w:t>
      </w:r>
      <w:r>
        <w:rPr>
          <w:color w:val="auto"/>
          <w:sz w:val="24"/>
          <w:szCs w:val="24"/>
          <w:highlight w:val="none"/>
          <w:u w:val="single"/>
        </w:rPr>
        <w:t xml:space="preserve">       </w:t>
      </w:r>
      <w:r>
        <w:rPr>
          <w:rFonts w:hint="eastAsia" w:cs="宋体"/>
          <w:color w:val="auto"/>
          <w:sz w:val="24"/>
          <w:szCs w:val="24"/>
          <w:highlight w:val="none"/>
        </w:rPr>
        <w:t>年</w:t>
      </w:r>
      <w:r>
        <w:rPr>
          <w:color w:val="auto"/>
          <w:sz w:val="24"/>
          <w:szCs w:val="24"/>
          <w:highlight w:val="none"/>
          <w:u w:val="single"/>
        </w:rPr>
        <w:t xml:space="preserve">     </w:t>
      </w:r>
      <w:r>
        <w:rPr>
          <w:rFonts w:hint="eastAsia" w:cs="宋体"/>
          <w:color w:val="auto"/>
          <w:sz w:val="24"/>
          <w:szCs w:val="24"/>
          <w:highlight w:val="none"/>
        </w:rPr>
        <w:t>月</w:t>
      </w:r>
      <w:r>
        <w:rPr>
          <w:color w:val="auto"/>
          <w:sz w:val="24"/>
          <w:szCs w:val="24"/>
          <w:highlight w:val="none"/>
          <w:u w:val="single"/>
        </w:rPr>
        <w:t xml:space="preserve">     </w:t>
      </w:r>
      <w:r>
        <w:rPr>
          <w:rFonts w:hint="eastAsia" w:cs="宋体"/>
          <w:color w:val="auto"/>
          <w:sz w:val="24"/>
          <w:szCs w:val="24"/>
          <w:highlight w:val="none"/>
        </w:rPr>
        <w:t>日</w:t>
      </w:r>
    </w:p>
    <w:p w14:paraId="37354A86">
      <w:pPr>
        <w:spacing w:line="360" w:lineRule="auto"/>
        <w:rPr>
          <w:rFonts w:hint="eastAsia" w:ascii="宋体" w:hAnsi="宋体"/>
          <w:b/>
          <w:bCs/>
          <w:color w:val="auto"/>
          <w:sz w:val="24"/>
          <w:highlight w:val="none"/>
        </w:rPr>
      </w:pPr>
    </w:p>
    <w:p w14:paraId="48BD932A">
      <w:pPr>
        <w:spacing w:line="360" w:lineRule="auto"/>
        <w:rPr>
          <w:rFonts w:hint="eastAsia" w:ascii="宋体" w:hAnsi="宋体"/>
          <w:b/>
          <w:bCs/>
          <w:color w:val="auto"/>
          <w:sz w:val="24"/>
          <w:highlight w:val="none"/>
        </w:rPr>
      </w:pPr>
    </w:p>
    <w:p w14:paraId="7431754B">
      <w:pPr>
        <w:spacing w:line="360" w:lineRule="auto"/>
        <w:rPr>
          <w:rFonts w:hint="eastAsia" w:ascii="宋体" w:hAnsi="宋体"/>
          <w:b/>
          <w:bCs/>
          <w:color w:val="auto"/>
          <w:sz w:val="24"/>
          <w:highlight w:val="none"/>
        </w:rPr>
      </w:pPr>
    </w:p>
    <w:p w14:paraId="33CC604F">
      <w:pPr>
        <w:spacing w:line="360" w:lineRule="auto"/>
        <w:rPr>
          <w:rFonts w:hint="eastAsia" w:ascii="宋体" w:hAnsi="宋体"/>
          <w:b/>
          <w:bCs/>
          <w:color w:val="auto"/>
          <w:sz w:val="24"/>
          <w:highlight w:val="none"/>
        </w:rPr>
      </w:pPr>
    </w:p>
    <w:p w14:paraId="29891005">
      <w:pPr>
        <w:spacing w:line="360" w:lineRule="auto"/>
        <w:rPr>
          <w:rFonts w:hint="eastAsia" w:ascii="宋体" w:hAnsi="宋体"/>
          <w:b/>
          <w:bCs/>
          <w:color w:val="auto"/>
          <w:sz w:val="24"/>
          <w:highlight w:val="none"/>
        </w:rPr>
      </w:pPr>
    </w:p>
    <w:p w14:paraId="1386A4ED">
      <w:pPr>
        <w:spacing w:line="360" w:lineRule="auto"/>
        <w:rPr>
          <w:rFonts w:hint="eastAsia" w:ascii="宋体" w:hAnsi="宋体"/>
          <w:b/>
          <w:bCs/>
          <w:color w:val="auto"/>
          <w:sz w:val="24"/>
          <w:highlight w:val="none"/>
        </w:rPr>
      </w:pPr>
    </w:p>
    <w:p w14:paraId="195006FE">
      <w:pPr>
        <w:spacing w:line="360" w:lineRule="auto"/>
        <w:rPr>
          <w:rFonts w:hint="eastAsia" w:ascii="宋体" w:hAnsi="宋体"/>
          <w:b/>
          <w:bCs/>
          <w:color w:val="auto"/>
          <w:sz w:val="24"/>
          <w:highlight w:val="none"/>
        </w:rPr>
      </w:pPr>
    </w:p>
    <w:p w14:paraId="3ED3063D">
      <w:pPr>
        <w:spacing w:line="360" w:lineRule="auto"/>
        <w:rPr>
          <w:rFonts w:hint="eastAsia" w:ascii="宋体" w:hAnsi="宋体"/>
          <w:b/>
          <w:bCs/>
          <w:color w:val="auto"/>
          <w:sz w:val="24"/>
          <w:highlight w:val="none"/>
        </w:rPr>
      </w:pPr>
    </w:p>
    <w:p w14:paraId="169BD111">
      <w:pPr>
        <w:spacing w:line="360" w:lineRule="auto"/>
        <w:rPr>
          <w:rFonts w:hint="eastAsia" w:ascii="宋体" w:hAnsi="宋体"/>
          <w:b/>
          <w:bCs/>
          <w:color w:val="auto"/>
          <w:sz w:val="24"/>
          <w:highlight w:val="none"/>
        </w:rPr>
      </w:pPr>
    </w:p>
    <w:p w14:paraId="37BCD649">
      <w:pPr>
        <w:spacing w:line="360" w:lineRule="auto"/>
        <w:rPr>
          <w:rFonts w:hint="eastAsia" w:ascii="宋体" w:hAnsi="宋体"/>
          <w:b/>
          <w:bCs/>
          <w:color w:val="auto"/>
          <w:sz w:val="24"/>
          <w:highlight w:val="none"/>
        </w:rPr>
      </w:pPr>
    </w:p>
    <w:p w14:paraId="41B3AAB2">
      <w:pPr>
        <w:spacing w:line="360" w:lineRule="auto"/>
        <w:rPr>
          <w:rFonts w:hint="eastAsia" w:ascii="宋体" w:hAnsi="宋体"/>
          <w:b/>
          <w:bCs/>
          <w:color w:val="auto"/>
          <w:sz w:val="24"/>
          <w:highlight w:val="none"/>
        </w:rPr>
      </w:pPr>
    </w:p>
    <w:p w14:paraId="0F5D6B43">
      <w:pPr>
        <w:spacing w:line="360" w:lineRule="auto"/>
        <w:rPr>
          <w:rFonts w:hint="eastAsia" w:ascii="宋体" w:hAnsi="宋体"/>
          <w:b/>
          <w:bCs/>
          <w:color w:val="auto"/>
          <w:sz w:val="24"/>
          <w:highlight w:val="none"/>
        </w:rPr>
      </w:pPr>
    </w:p>
    <w:p w14:paraId="58F437F2">
      <w:pPr>
        <w:spacing w:line="360" w:lineRule="auto"/>
        <w:rPr>
          <w:rFonts w:hint="eastAsia" w:ascii="宋体" w:hAnsi="宋体"/>
          <w:b/>
          <w:bCs/>
          <w:color w:val="auto"/>
          <w:sz w:val="24"/>
          <w:highlight w:val="none"/>
        </w:rPr>
      </w:pPr>
    </w:p>
    <w:p w14:paraId="1A1AE3A9">
      <w:pPr>
        <w:spacing w:line="360" w:lineRule="auto"/>
        <w:rPr>
          <w:rFonts w:hint="eastAsia" w:ascii="宋体" w:hAnsi="宋体"/>
          <w:b/>
          <w:bCs/>
          <w:color w:val="auto"/>
          <w:sz w:val="24"/>
          <w:highlight w:val="none"/>
        </w:rPr>
      </w:pPr>
    </w:p>
    <w:p w14:paraId="4F902C9F">
      <w:pPr>
        <w:spacing w:line="360" w:lineRule="auto"/>
        <w:rPr>
          <w:rFonts w:hint="eastAsia" w:ascii="宋体" w:hAnsi="宋体"/>
          <w:b/>
          <w:bCs/>
          <w:color w:val="auto"/>
          <w:sz w:val="24"/>
          <w:highlight w:val="none"/>
        </w:rPr>
      </w:pPr>
    </w:p>
    <w:p w14:paraId="67446E54">
      <w:pPr>
        <w:spacing w:line="360" w:lineRule="auto"/>
        <w:rPr>
          <w:rFonts w:hint="eastAsia" w:ascii="宋体" w:hAnsi="宋体"/>
          <w:b/>
          <w:bCs/>
          <w:color w:val="auto"/>
          <w:sz w:val="24"/>
          <w:highlight w:val="none"/>
        </w:rPr>
      </w:pPr>
    </w:p>
    <w:p w14:paraId="7F0AF31E">
      <w:pPr>
        <w:spacing w:line="360" w:lineRule="auto"/>
        <w:rPr>
          <w:rFonts w:hint="eastAsia" w:ascii="宋体" w:hAnsi="宋体"/>
          <w:color w:val="auto"/>
          <w:szCs w:val="21"/>
          <w:highlight w:val="none"/>
        </w:rPr>
      </w:pPr>
      <w:r>
        <w:rPr>
          <w:rFonts w:hint="eastAsia" w:ascii="宋体" w:hAnsi="宋体"/>
          <w:b/>
          <w:bCs/>
          <w:color w:val="auto"/>
          <w:sz w:val="24"/>
          <w:highlight w:val="none"/>
        </w:rPr>
        <w:t>其他文书、文件格式</w:t>
      </w:r>
    </w:p>
    <w:p w14:paraId="04232B5E">
      <w:pPr>
        <w:spacing w:line="460" w:lineRule="exact"/>
        <w:ind w:firstLine="0" w:firstLineChars="0"/>
        <w:jc w:val="center"/>
        <w:rPr>
          <w:rFonts w:hint="eastAsia" w:ascii="宋体" w:hAnsi="宋体" w:cs="宋体"/>
          <w:color w:val="auto"/>
          <w:sz w:val="44"/>
          <w:szCs w:val="24"/>
          <w:highlight w:val="none"/>
        </w:rPr>
      </w:pPr>
    </w:p>
    <w:p w14:paraId="2C8D0C7F">
      <w:pPr>
        <w:spacing w:line="460" w:lineRule="exact"/>
        <w:ind w:firstLine="0" w:firstLineChars="0"/>
        <w:jc w:val="center"/>
        <w:rPr>
          <w:rFonts w:ascii="宋体" w:hAnsi="宋体" w:cs="宋体"/>
          <w:color w:val="auto"/>
          <w:sz w:val="44"/>
          <w:szCs w:val="24"/>
          <w:highlight w:val="none"/>
        </w:rPr>
      </w:pPr>
      <w:r>
        <w:rPr>
          <w:rFonts w:hint="eastAsia" w:ascii="宋体" w:hAnsi="宋体" w:cs="宋体"/>
          <w:color w:val="auto"/>
          <w:sz w:val="44"/>
          <w:szCs w:val="24"/>
          <w:highlight w:val="none"/>
        </w:rPr>
        <w:t>桂林市政府采购项目合同验收书（格式）</w:t>
      </w:r>
    </w:p>
    <w:p w14:paraId="13D1D2EB">
      <w:pPr>
        <w:widowControl/>
        <w:spacing w:line="600" w:lineRule="atLeast"/>
        <w:ind w:firstLine="0" w:firstLineChars="0"/>
        <w:jc w:val="center"/>
        <w:rPr>
          <w:rFonts w:ascii="方正小标宋简体" w:hAnsi="仿宋" w:eastAsia="方正小标宋简体"/>
          <w:color w:val="auto"/>
          <w:kern w:val="0"/>
          <w:sz w:val="36"/>
          <w:szCs w:val="36"/>
          <w:highlight w:val="none"/>
        </w:rPr>
      </w:pPr>
    </w:p>
    <w:p w14:paraId="195B7AE6">
      <w:pPr>
        <w:widowControl/>
        <w:spacing w:line="460" w:lineRule="exact"/>
        <w:ind w:firstLine="482" w:firstLineChars="0"/>
        <w:jc w:val="left"/>
        <w:rPr>
          <w:rFonts w:ascii="宋体" w:hAnsi="宋体"/>
          <w:color w:val="auto"/>
          <w:kern w:val="0"/>
          <w:sz w:val="30"/>
          <w:szCs w:val="30"/>
          <w:highlight w:val="none"/>
        </w:rPr>
      </w:pPr>
      <w:r>
        <w:rPr>
          <w:rFonts w:hint="eastAsia" w:ascii="宋体" w:hAnsi="宋体" w:cs="仿宋"/>
          <w:color w:val="auto"/>
          <w:kern w:val="0"/>
          <w:szCs w:val="24"/>
          <w:highlight w:val="none"/>
        </w:rPr>
        <w:t>根据政府采购项目（</w:t>
      </w:r>
      <w:r>
        <w:rPr>
          <w:rFonts w:hint="eastAsia" w:ascii="宋体" w:hAnsi="宋体" w:cs="仿宋"/>
          <w:color w:val="auto"/>
          <w:kern w:val="0"/>
          <w:szCs w:val="24"/>
          <w:highlight w:val="none"/>
          <w:u w:val="single"/>
        </w:rPr>
        <w:t>采购合同编号：</w:t>
      </w:r>
      <w:r>
        <w:rPr>
          <w:rFonts w:ascii="宋体" w:hAnsi="宋体"/>
          <w:color w:val="auto"/>
          <w:kern w:val="0"/>
          <w:szCs w:val="24"/>
          <w:highlight w:val="none"/>
          <w:u w:val="single"/>
        </w:rPr>
        <w:softHyphen/>
      </w:r>
      <w:r>
        <w:rPr>
          <w:rFonts w:ascii="宋体" w:hAnsi="宋体"/>
          <w:color w:val="auto"/>
          <w:kern w:val="0"/>
          <w:szCs w:val="24"/>
          <w:highlight w:val="none"/>
          <w:u w:val="single"/>
        </w:rPr>
        <w:t>   </w:t>
      </w:r>
      <w:r>
        <w:rPr>
          <w:rFonts w:hint="eastAsia" w:ascii="宋体" w:hAnsi="宋体" w:cs="仿宋"/>
          <w:color w:val="auto"/>
          <w:kern w:val="0"/>
          <w:szCs w:val="24"/>
          <w:highlight w:val="none"/>
        </w:rPr>
        <w:t>）的约定，采购人对（</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项目名称</w:t>
      </w:r>
      <w:r>
        <w:rPr>
          <w:rFonts w:ascii="宋体" w:hAnsi="宋体"/>
          <w:color w:val="auto"/>
          <w:kern w:val="0"/>
          <w:szCs w:val="24"/>
          <w:highlight w:val="none"/>
          <w:u w:val="single"/>
        </w:rPr>
        <w:t>   </w:t>
      </w:r>
      <w:r>
        <w:rPr>
          <w:rFonts w:hint="eastAsia" w:ascii="宋体" w:hAnsi="宋体" w:cs="仿宋"/>
          <w:color w:val="auto"/>
          <w:kern w:val="0"/>
          <w:szCs w:val="24"/>
          <w:highlight w:val="none"/>
        </w:rPr>
        <w:t>）政府采购项目成交供应商（</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公司名称</w:t>
      </w:r>
      <w:r>
        <w:rPr>
          <w:rFonts w:ascii="宋体" w:hAnsi="宋体"/>
          <w:color w:val="auto"/>
          <w:kern w:val="0"/>
          <w:szCs w:val="24"/>
          <w:highlight w:val="none"/>
          <w:u w:val="single"/>
        </w:rPr>
        <w:t>         </w:t>
      </w:r>
      <w:r>
        <w:rPr>
          <w:rFonts w:hint="eastAsia" w:ascii="宋体" w:hAnsi="宋体" w:cs="仿宋"/>
          <w:color w:val="auto"/>
          <w:kern w:val="0"/>
          <w:szCs w:val="24"/>
          <w:highlight w:val="none"/>
        </w:rPr>
        <w:t>）提供的服务进行了验收，验收情况如下：</w:t>
      </w:r>
    </w:p>
    <w:tbl>
      <w:tblPr>
        <w:tblStyle w:val="46"/>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20A9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noWrap w:val="0"/>
            <w:vAlign w:val="center"/>
          </w:tcPr>
          <w:p w14:paraId="7CA303D2">
            <w:pPr>
              <w:widowControl/>
              <w:spacing w:line="320" w:lineRule="atLeast"/>
              <w:ind w:firstLine="5"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验收方式：</w:t>
            </w:r>
          </w:p>
        </w:tc>
        <w:tc>
          <w:tcPr>
            <w:tcW w:w="5806" w:type="dxa"/>
            <w:gridSpan w:val="5"/>
            <w:noWrap w:val="0"/>
            <w:vAlign w:val="center"/>
          </w:tcPr>
          <w:p w14:paraId="0CB59FF2">
            <w:pPr>
              <w:widowControl/>
              <w:spacing w:line="320" w:lineRule="atLeast"/>
              <w:ind w:firstLine="480" w:firstLineChars="0"/>
              <w:jc w:val="center"/>
              <w:rPr>
                <w:rFonts w:ascii="宋体"/>
                <w:color w:val="auto"/>
                <w:kern w:val="0"/>
                <w:sz w:val="21"/>
                <w:szCs w:val="24"/>
                <w:highlight w:val="none"/>
              </w:rPr>
            </w:pP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自行验收</w:t>
            </w:r>
            <w:r>
              <w:rPr>
                <w:rFonts w:ascii="宋体"/>
                <w:color w:val="auto"/>
                <w:kern w:val="0"/>
                <w:sz w:val="21"/>
                <w:szCs w:val="24"/>
                <w:highlight w:val="none"/>
              </w:rPr>
              <w:t>        </w:t>
            </w: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委托验收</w:t>
            </w:r>
          </w:p>
        </w:tc>
      </w:tr>
      <w:tr w14:paraId="283C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noWrap w:val="0"/>
            <w:vAlign w:val="center"/>
          </w:tcPr>
          <w:p w14:paraId="0957C479">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序号</w:t>
            </w:r>
          </w:p>
        </w:tc>
        <w:tc>
          <w:tcPr>
            <w:tcW w:w="2294" w:type="dxa"/>
            <w:noWrap w:val="0"/>
            <w:vAlign w:val="center"/>
          </w:tcPr>
          <w:p w14:paraId="482C36DF">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名</w:t>
            </w:r>
            <w:r>
              <w:rPr>
                <w:rFonts w:ascii="宋体"/>
                <w:color w:val="auto"/>
                <w:kern w:val="0"/>
                <w:sz w:val="21"/>
                <w:szCs w:val="24"/>
                <w:highlight w:val="none"/>
              </w:rPr>
              <w:t> </w:t>
            </w:r>
            <w:r>
              <w:rPr>
                <w:rFonts w:hint="eastAsia" w:ascii="宋体" w:hAnsi="宋体" w:cs="宋体"/>
                <w:color w:val="auto"/>
                <w:kern w:val="0"/>
                <w:sz w:val="21"/>
                <w:szCs w:val="24"/>
                <w:highlight w:val="none"/>
              </w:rPr>
              <w:t>称</w:t>
            </w:r>
          </w:p>
        </w:tc>
        <w:tc>
          <w:tcPr>
            <w:tcW w:w="3441" w:type="dxa"/>
            <w:gridSpan w:val="2"/>
            <w:noWrap w:val="0"/>
            <w:vAlign w:val="center"/>
          </w:tcPr>
          <w:p w14:paraId="14CF7EA3">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服务内容、标准</w:t>
            </w:r>
          </w:p>
        </w:tc>
        <w:tc>
          <w:tcPr>
            <w:tcW w:w="998" w:type="dxa"/>
            <w:gridSpan w:val="2"/>
            <w:noWrap w:val="0"/>
            <w:vAlign w:val="center"/>
          </w:tcPr>
          <w:p w14:paraId="59B70463">
            <w:pPr>
              <w:widowControl/>
              <w:spacing w:line="320" w:lineRule="atLeast"/>
              <w:ind w:firstLine="0"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数量</w:t>
            </w:r>
          </w:p>
        </w:tc>
        <w:tc>
          <w:tcPr>
            <w:tcW w:w="1367" w:type="dxa"/>
            <w:noWrap w:val="0"/>
            <w:vAlign w:val="center"/>
          </w:tcPr>
          <w:p w14:paraId="02A9F7AE">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金</w:t>
            </w:r>
            <w:r>
              <w:rPr>
                <w:rFonts w:ascii="宋体"/>
                <w:color w:val="auto"/>
                <w:kern w:val="0"/>
                <w:sz w:val="21"/>
                <w:szCs w:val="24"/>
                <w:highlight w:val="none"/>
              </w:rPr>
              <w:t> </w:t>
            </w:r>
            <w:r>
              <w:rPr>
                <w:rFonts w:hint="eastAsia" w:ascii="宋体" w:hAnsi="宋体" w:cs="宋体"/>
                <w:color w:val="auto"/>
                <w:kern w:val="0"/>
                <w:sz w:val="21"/>
                <w:szCs w:val="24"/>
                <w:highlight w:val="none"/>
              </w:rPr>
              <w:t>额</w:t>
            </w:r>
          </w:p>
        </w:tc>
      </w:tr>
      <w:tr w14:paraId="5D17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2169A529">
            <w:pPr>
              <w:widowControl/>
              <w:spacing w:line="320" w:lineRule="atLeast"/>
              <w:ind w:firstLine="5"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00845713">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7A898163">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713C504B">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5F60396D">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14F7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5826AE20">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425D1959">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69714BAB">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1878B6F9">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46454C9D">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7D1D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7247670B">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268BC383">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6C264E4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51BFC4C9">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682623ED">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3FC9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noWrap w:val="0"/>
            <w:vAlign w:val="center"/>
          </w:tcPr>
          <w:p w14:paraId="3CC7A90E">
            <w:pPr>
              <w:widowControl/>
              <w:spacing w:line="320" w:lineRule="atLeast"/>
              <w:ind w:firstLine="5"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合</w:t>
            </w:r>
            <w:r>
              <w:rPr>
                <w:rFonts w:ascii="宋体"/>
                <w:color w:val="auto"/>
                <w:kern w:val="0"/>
                <w:sz w:val="21"/>
                <w:szCs w:val="24"/>
                <w:highlight w:val="none"/>
              </w:rPr>
              <w:t>       </w:t>
            </w:r>
            <w:r>
              <w:rPr>
                <w:rFonts w:hint="eastAsia" w:ascii="宋体" w:hAnsi="宋体" w:cs="宋体"/>
                <w:color w:val="auto"/>
                <w:kern w:val="0"/>
                <w:sz w:val="21"/>
                <w:szCs w:val="24"/>
                <w:highlight w:val="none"/>
              </w:rPr>
              <w:t>计</w:t>
            </w:r>
          </w:p>
        </w:tc>
        <w:tc>
          <w:tcPr>
            <w:tcW w:w="998" w:type="dxa"/>
            <w:gridSpan w:val="2"/>
            <w:noWrap w:val="0"/>
            <w:vAlign w:val="center"/>
          </w:tcPr>
          <w:p w14:paraId="401982C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5A9C3835">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30A3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noWrap w:val="0"/>
            <w:vAlign w:val="center"/>
          </w:tcPr>
          <w:p w14:paraId="38398DC2">
            <w:pPr>
              <w:widowControl/>
              <w:spacing w:line="320" w:lineRule="atLeast"/>
              <w:ind w:firstLine="2"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合计大写金额：</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万</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元</w:t>
            </w:r>
          </w:p>
        </w:tc>
      </w:tr>
      <w:tr w14:paraId="6DCA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noWrap w:val="0"/>
            <w:vAlign w:val="center"/>
          </w:tcPr>
          <w:p w14:paraId="2AB2E1AD">
            <w:pPr>
              <w:widowControl/>
              <w:spacing w:line="320" w:lineRule="atLeast"/>
              <w:ind w:firstLine="2"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服务期限</w:t>
            </w:r>
          </w:p>
        </w:tc>
        <w:tc>
          <w:tcPr>
            <w:tcW w:w="3240" w:type="dxa"/>
            <w:gridSpan w:val="2"/>
            <w:noWrap w:val="0"/>
            <w:vAlign w:val="center"/>
          </w:tcPr>
          <w:p w14:paraId="43C5833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700" w:type="dxa"/>
            <w:gridSpan w:val="2"/>
            <w:noWrap w:val="0"/>
            <w:vAlign w:val="center"/>
          </w:tcPr>
          <w:p w14:paraId="51706C8D">
            <w:pPr>
              <w:widowControl/>
              <w:spacing w:line="320" w:lineRule="atLeast"/>
              <w:ind w:firstLine="46"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验收日期</w:t>
            </w:r>
          </w:p>
        </w:tc>
        <w:tc>
          <w:tcPr>
            <w:tcW w:w="2160" w:type="dxa"/>
            <w:gridSpan w:val="2"/>
            <w:noWrap w:val="0"/>
            <w:vAlign w:val="center"/>
          </w:tcPr>
          <w:p w14:paraId="4495DD7F">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2DDB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noWrap w:val="0"/>
            <w:vAlign w:val="center"/>
          </w:tcPr>
          <w:p w14:paraId="14047EF6">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240" w:type="dxa"/>
            <w:gridSpan w:val="2"/>
            <w:noWrap w:val="0"/>
            <w:vAlign w:val="center"/>
          </w:tcPr>
          <w:p w14:paraId="66D5E5AB">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700" w:type="dxa"/>
            <w:gridSpan w:val="2"/>
            <w:noWrap w:val="0"/>
            <w:vAlign w:val="center"/>
          </w:tcPr>
          <w:p w14:paraId="402B2D78">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160" w:type="dxa"/>
            <w:gridSpan w:val="2"/>
            <w:noWrap w:val="0"/>
            <w:vAlign w:val="center"/>
          </w:tcPr>
          <w:p w14:paraId="544CD3AB">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6C27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noWrap w:val="0"/>
            <w:tcMar>
              <w:top w:w="0" w:type="dxa"/>
              <w:left w:w="108" w:type="dxa"/>
              <w:bottom w:w="0" w:type="dxa"/>
              <w:right w:w="108" w:type="dxa"/>
            </w:tcMar>
            <w:vAlign w:val="center"/>
          </w:tcPr>
          <w:p w14:paraId="639F701C">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验收具体内容</w:t>
            </w:r>
          </w:p>
        </w:tc>
        <w:tc>
          <w:tcPr>
            <w:tcW w:w="8100" w:type="dxa"/>
            <w:gridSpan w:val="6"/>
            <w:noWrap w:val="0"/>
            <w:tcMar>
              <w:top w:w="0" w:type="dxa"/>
              <w:left w:w="108" w:type="dxa"/>
              <w:bottom w:w="0" w:type="dxa"/>
              <w:right w:w="108" w:type="dxa"/>
            </w:tcMar>
            <w:vAlign w:val="center"/>
          </w:tcPr>
          <w:p w14:paraId="388F8BE6">
            <w:pPr>
              <w:widowControl/>
              <w:spacing w:line="320" w:lineRule="atLeast"/>
              <w:ind w:firstLine="0" w:firstLineChars="0"/>
              <w:jc w:val="left"/>
              <w:rPr>
                <w:rFonts w:hint="eastAsia" w:ascii="宋体" w:hAnsi="宋体" w:eastAsia="宋体" w:cs="宋体"/>
                <w:color w:val="auto"/>
                <w:kern w:val="0"/>
                <w:sz w:val="21"/>
                <w:szCs w:val="24"/>
                <w:highlight w:val="none"/>
                <w:lang w:eastAsia="zh-CN"/>
              </w:rPr>
            </w:pPr>
            <w:r>
              <w:rPr>
                <w:rFonts w:hint="eastAsia" w:ascii="宋体" w:hAnsi="宋体" w:cs="宋体"/>
                <w:color w:val="auto"/>
                <w:kern w:val="0"/>
                <w:sz w:val="21"/>
                <w:szCs w:val="24"/>
                <w:highlight w:val="none"/>
              </w:rPr>
              <w:t>（按</w:t>
            </w:r>
            <w:r>
              <w:rPr>
                <w:rFonts w:hint="eastAsia" w:ascii="宋体" w:hAnsi="宋体"/>
                <w:color w:val="auto"/>
                <w:sz w:val="21"/>
                <w:szCs w:val="21"/>
                <w:highlight w:val="none"/>
              </w:rPr>
              <w:t>采购文件、成交供应商响应文件承诺、合同条款、国家</w:t>
            </w:r>
            <w:r>
              <w:rPr>
                <w:rFonts w:hint="eastAsia" w:ascii="宋体" w:hAnsi="宋体" w:cs="宋体"/>
                <w:color w:val="auto"/>
                <w:sz w:val="21"/>
                <w:szCs w:val="21"/>
                <w:highlight w:val="none"/>
              </w:rPr>
              <w:t>相关标准规范以及行政主管部门政策文件</w:t>
            </w:r>
            <w:r>
              <w:rPr>
                <w:rFonts w:hint="eastAsia" w:ascii="宋体" w:hAnsi="宋体"/>
                <w:color w:val="auto"/>
                <w:sz w:val="21"/>
                <w:szCs w:val="21"/>
                <w:highlight w:val="none"/>
              </w:rPr>
              <w:t>进行验收。</w:t>
            </w:r>
            <w:r>
              <w:rPr>
                <w:rFonts w:hint="eastAsia" w:ascii="宋体" w:hAnsi="宋体" w:cs="宋体"/>
                <w:color w:val="auto"/>
                <w:kern w:val="0"/>
                <w:sz w:val="21"/>
                <w:szCs w:val="24"/>
                <w:highlight w:val="none"/>
              </w:rPr>
              <w:t>可附件</w:t>
            </w:r>
            <w:r>
              <w:rPr>
                <w:rFonts w:hint="eastAsia" w:ascii="宋体" w:hAnsi="宋体" w:cs="宋体"/>
                <w:color w:val="auto"/>
                <w:kern w:val="0"/>
                <w:sz w:val="21"/>
                <w:szCs w:val="24"/>
                <w:highlight w:val="none"/>
                <w:lang w:eastAsia="zh-CN"/>
              </w:rPr>
              <w:t>）</w:t>
            </w:r>
          </w:p>
        </w:tc>
      </w:tr>
      <w:tr w14:paraId="69CB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noWrap w:val="0"/>
            <w:tcMar>
              <w:top w:w="0" w:type="dxa"/>
              <w:left w:w="108" w:type="dxa"/>
              <w:bottom w:w="0" w:type="dxa"/>
              <w:right w:w="108" w:type="dxa"/>
            </w:tcMar>
            <w:vAlign w:val="center"/>
          </w:tcPr>
          <w:p w14:paraId="389AA6BD">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验收小组意见</w:t>
            </w:r>
          </w:p>
        </w:tc>
        <w:tc>
          <w:tcPr>
            <w:tcW w:w="8100" w:type="dxa"/>
            <w:gridSpan w:val="6"/>
            <w:noWrap w:val="0"/>
            <w:vAlign w:val="center"/>
          </w:tcPr>
          <w:p w14:paraId="4711AF46">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验收结论性意见：</w:t>
            </w:r>
          </w:p>
          <w:p w14:paraId="463BE406">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p>
        </w:tc>
      </w:tr>
      <w:tr w14:paraId="6BDA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0" w:type="auto"/>
            <w:vMerge w:val="continue"/>
            <w:noWrap w:val="0"/>
            <w:vAlign w:val="center"/>
          </w:tcPr>
          <w:p w14:paraId="000A1F36">
            <w:pPr>
              <w:widowControl/>
              <w:spacing w:line="240" w:lineRule="auto"/>
              <w:ind w:firstLine="0" w:firstLineChars="0"/>
              <w:jc w:val="left"/>
              <w:rPr>
                <w:rFonts w:ascii="宋体"/>
                <w:color w:val="auto"/>
                <w:kern w:val="0"/>
                <w:sz w:val="21"/>
                <w:szCs w:val="24"/>
                <w:highlight w:val="none"/>
              </w:rPr>
            </w:pPr>
          </w:p>
        </w:tc>
        <w:tc>
          <w:tcPr>
            <w:tcW w:w="8100" w:type="dxa"/>
            <w:gridSpan w:val="6"/>
            <w:noWrap w:val="0"/>
            <w:vAlign w:val="center"/>
          </w:tcPr>
          <w:p w14:paraId="751B7E04">
            <w:pPr>
              <w:widowControl/>
              <w:spacing w:line="320" w:lineRule="atLeast"/>
              <w:ind w:firstLine="96"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有异议的意见和说明理由：</w:t>
            </w:r>
          </w:p>
          <w:p w14:paraId="69CE2C70">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ascii="宋体" w:hAnsi="宋体" w:cs="宋体"/>
                <w:color w:val="auto"/>
                <w:kern w:val="0"/>
                <w:sz w:val="21"/>
                <w:szCs w:val="24"/>
                <w:highlight w:val="none"/>
              </w:rPr>
              <w:t xml:space="preserve">                              </w:t>
            </w:r>
            <w:r>
              <w:rPr>
                <w:rFonts w:hint="eastAsia" w:ascii="宋体" w:hAnsi="宋体" w:cs="宋体"/>
                <w:color w:val="auto"/>
                <w:kern w:val="0"/>
                <w:sz w:val="21"/>
                <w:szCs w:val="24"/>
                <w:highlight w:val="none"/>
              </w:rPr>
              <w:t>签字：</w:t>
            </w:r>
          </w:p>
        </w:tc>
      </w:tr>
      <w:tr w14:paraId="3379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noWrap w:val="0"/>
            <w:tcMar>
              <w:top w:w="0" w:type="dxa"/>
              <w:left w:w="108" w:type="dxa"/>
              <w:bottom w:w="0" w:type="dxa"/>
              <w:right w:w="108" w:type="dxa"/>
            </w:tcMar>
            <w:vAlign w:val="center"/>
          </w:tcPr>
          <w:p w14:paraId="5AB6CC46">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验收小组成员签字：</w:t>
            </w:r>
          </w:p>
        </w:tc>
      </w:tr>
      <w:tr w14:paraId="45A5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noWrap w:val="0"/>
            <w:tcMar>
              <w:top w:w="0" w:type="dxa"/>
              <w:left w:w="108" w:type="dxa"/>
              <w:bottom w:w="0" w:type="dxa"/>
              <w:right w:w="108" w:type="dxa"/>
            </w:tcMar>
            <w:vAlign w:val="center"/>
          </w:tcPr>
          <w:p w14:paraId="6551AC81">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监督人员或其他相关人员签字：</w:t>
            </w:r>
          </w:p>
          <w:p w14:paraId="2488A83F">
            <w:pPr>
              <w:widowControl/>
              <w:spacing w:line="320" w:lineRule="atLeast"/>
              <w:ind w:firstLine="74"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或受邀机构的意见（盖章）：</w:t>
            </w:r>
          </w:p>
        </w:tc>
      </w:tr>
      <w:tr w14:paraId="2420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noWrap w:val="0"/>
            <w:tcMar>
              <w:top w:w="0" w:type="dxa"/>
              <w:left w:w="108" w:type="dxa"/>
              <w:bottom w:w="0" w:type="dxa"/>
              <w:right w:w="108" w:type="dxa"/>
            </w:tcMar>
            <w:vAlign w:val="center"/>
          </w:tcPr>
          <w:p w14:paraId="5B1F3FFB">
            <w:pPr>
              <w:widowControl/>
              <w:spacing w:line="320" w:lineRule="atLeast"/>
              <w:ind w:firstLine="74"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中标或者成交供应商负责人签字或盖章：</w:t>
            </w:r>
          </w:p>
          <w:p w14:paraId="50440A92">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color w:val="auto"/>
                <w:kern w:val="0"/>
                <w:sz w:val="21"/>
                <w:szCs w:val="24"/>
                <w:highlight w:val="none"/>
              </w:rPr>
              <w:t xml:space="preserve">  </w:t>
            </w:r>
            <w:r>
              <w:rPr>
                <w:rFonts w:hint="eastAsia" w:ascii="宋体" w:hAnsi="宋体" w:cs="宋体"/>
                <w:color w:val="auto"/>
                <w:kern w:val="0"/>
                <w:sz w:val="21"/>
                <w:szCs w:val="24"/>
                <w:highlight w:val="none"/>
              </w:rPr>
              <w:t xml:space="preserve">月  </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c>
          <w:tcPr>
            <w:tcW w:w="4860" w:type="dxa"/>
            <w:gridSpan w:val="4"/>
            <w:noWrap w:val="0"/>
            <w:vAlign w:val="center"/>
          </w:tcPr>
          <w:p w14:paraId="7E5B1DC1">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采购人或受托机构的意见（盖章）：</w:t>
            </w:r>
          </w:p>
          <w:p w14:paraId="5C3E9C98">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hAnsi="宋体" w:cs="宋体"/>
                <w:color w:val="auto"/>
                <w:kern w:val="0"/>
                <w:sz w:val="21"/>
                <w:szCs w:val="24"/>
                <w:highlight w:val="none"/>
              </w:rPr>
              <w:t>月</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r>
    </w:tbl>
    <w:p w14:paraId="3DBAF799">
      <w:pPr>
        <w:snapToGrid w:val="0"/>
        <w:spacing w:line="340" w:lineRule="exact"/>
        <w:ind w:firstLine="0" w:firstLineChars="0"/>
        <w:rPr>
          <w:rFonts w:hint="eastAsia" w:ascii="宋体" w:hAnsi="宋体" w:cs="宋体"/>
          <w:b/>
          <w:color w:val="auto"/>
          <w:szCs w:val="24"/>
          <w:highlight w:val="none"/>
        </w:rPr>
      </w:pPr>
    </w:p>
    <w:p w14:paraId="55DEE2D7">
      <w:pPr>
        <w:snapToGrid w:val="0"/>
        <w:spacing w:line="340" w:lineRule="exact"/>
        <w:ind w:firstLine="0" w:firstLineChars="0"/>
        <w:rPr>
          <w:rFonts w:hint="eastAsia" w:ascii="宋体" w:hAnsi="宋体" w:cs="宋体"/>
          <w:b/>
          <w:color w:val="auto"/>
          <w:szCs w:val="24"/>
          <w:highlight w:val="none"/>
        </w:rPr>
      </w:pPr>
    </w:p>
    <w:p w14:paraId="55348C34">
      <w:pPr>
        <w:snapToGrid w:val="0"/>
        <w:spacing w:line="340" w:lineRule="exact"/>
        <w:ind w:firstLine="0" w:firstLineChars="0"/>
        <w:rPr>
          <w:rFonts w:hint="eastAsia" w:ascii="宋体" w:hAnsi="宋体" w:cs="宋体"/>
          <w:b/>
          <w:color w:val="auto"/>
          <w:szCs w:val="24"/>
          <w:highlight w:val="none"/>
        </w:rPr>
      </w:pPr>
    </w:p>
    <w:p w14:paraId="79DEC3C1">
      <w:pPr>
        <w:spacing w:line="360" w:lineRule="exact"/>
        <w:ind w:firstLine="480"/>
        <w:jc w:val="center"/>
        <w:rPr>
          <w:rFonts w:hint="eastAsia" w:ascii="宋体" w:hAnsi="宋体"/>
          <w:b/>
          <w:color w:val="auto"/>
          <w:sz w:val="32"/>
          <w:szCs w:val="32"/>
          <w:highlight w:val="none"/>
        </w:rPr>
      </w:pPr>
    </w:p>
    <w:p w14:paraId="07B064A8">
      <w:pPr>
        <w:spacing w:line="360" w:lineRule="exact"/>
        <w:ind w:firstLine="643"/>
        <w:jc w:val="center"/>
        <w:rPr>
          <w:rFonts w:hint="eastAsia" w:ascii="宋体" w:hAnsi="宋体"/>
          <w:b/>
          <w:color w:val="auto"/>
          <w:sz w:val="32"/>
          <w:szCs w:val="32"/>
          <w:highlight w:val="none"/>
        </w:rPr>
      </w:pPr>
      <w:r>
        <w:rPr>
          <w:color w:val="auto"/>
          <w:highlight w:val="none"/>
        </w:rPr>
        <w:drawing>
          <wp:anchor distT="0" distB="0" distL="114300" distR="114300" simplePos="0" relativeHeight="251661312" behindDoc="0" locked="0" layoutInCell="1" allowOverlap="1">
            <wp:simplePos x="0" y="0"/>
            <wp:positionH relativeFrom="column">
              <wp:posOffset>252730</wp:posOffset>
            </wp:positionH>
            <wp:positionV relativeFrom="paragraph">
              <wp:posOffset>1905</wp:posOffset>
            </wp:positionV>
            <wp:extent cx="5904230" cy="6205855"/>
            <wp:effectExtent l="0" t="0" r="1270" b="4445"/>
            <wp:wrapSquare wrapText="bothSides"/>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4"/>
                    <a:stretch>
                      <a:fillRect/>
                    </a:stretch>
                  </pic:blipFill>
                  <pic:spPr>
                    <a:xfrm>
                      <a:off x="0" y="0"/>
                      <a:ext cx="5904230" cy="6205855"/>
                    </a:xfrm>
                    <a:prstGeom prst="rect">
                      <a:avLst/>
                    </a:prstGeom>
                    <a:noFill/>
                    <a:ln>
                      <a:noFill/>
                    </a:ln>
                  </pic:spPr>
                </pic:pic>
              </a:graphicData>
            </a:graphic>
          </wp:anchor>
        </w:drawing>
      </w:r>
    </w:p>
    <w:p w14:paraId="438CDB9D">
      <w:pPr>
        <w:spacing w:line="360" w:lineRule="exact"/>
        <w:ind w:firstLine="643"/>
        <w:jc w:val="center"/>
        <w:rPr>
          <w:rFonts w:hint="eastAsia" w:ascii="宋体" w:hAnsi="宋体"/>
          <w:b/>
          <w:color w:val="auto"/>
          <w:sz w:val="32"/>
          <w:szCs w:val="32"/>
          <w:highlight w:val="none"/>
        </w:rPr>
      </w:pPr>
    </w:p>
    <w:p w14:paraId="537798DF">
      <w:pPr>
        <w:spacing w:line="360" w:lineRule="exact"/>
        <w:ind w:firstLine="643"/>
        <w:jc w:val="center"/>
        <w:rPr>
          <w:rFonts w:hint="eastAsia" w:ascii="宋体" w:hAnsi="宋体"/>
          <w:b/>
          <w:color w:val="auto"/>
          <w:sz w:val="32"/>
          <w:szCs w:val="32"/>
          <w:highlight w:val="none"/>
        </w:rPr>
      </w:pPr>
    </w:p>
    <w:p w14:paraId="1996499A">
      <w:pPr>
        <w:spacing w:line="360" w:lineRule="auto"/>
        <w:jc w:val="center"/>
        <w:rPr>
          <w:rFonts w:hint="eastAsia" w:ascii="宋体" w:hAnsi="宋体" w:cs="仿宋_GB2312"/>
          <w:color w:val="auto"/>
          <w:sz w:val="24"/>
          <w:highlight w:val="none"/>
        </w:rPr>
      </w:pPr>
      <w:r>
        <w:rPr>
          <w:rFonts w:ascii="宋体" w:hAnsi="宋体" w:cs="仿宋_GB2312"/>
          <w:color w:val="auto"/>
          <w:sz w:val="24"/>
          <w:highlight w:val="none"/>
        </w:rPr>
        <w:br w:type="page"/>
      </w:r>
    </w:p>
    <w:p w14:paraId="359245C1">
      <w:pPr>
        <w:spacing w:line="360" w:lineRule="auto"/>
        <w:jc w:val="center"/>
        <w:rPr>
          <w:rFonts w:hint="eastAsia"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478AC86B">
      <w:pPr>
        <w:pStyle w:val="26"/>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一、质疑供应商基本信息：</w:t>
      </w:r>
    </w:p>
    <w:p w14:paraId="32377967">
      <w:pPr>
        <w:pStyle w:val="26"/>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53937AB">
      <w:pPr>
        <w:pStyle w:val="26"/>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F194707">
      <w:pPr>
        <w:pStyle w:val="26"/>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7C6C252">
      <w:pPr>
        <w:pStyle w:val="26"/>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3F19710C">
      <w:pPr>
        <w:pStyle w:val="26"/>
        <w:spacing w:line="36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E12A81C">
      <w:pPr>
        <w:pStyle w:val="26"/>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CC81057">
      <w:pPr>
        <w:pStyle w:val="26"/>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6227AF19">
      <w:pPr>
        <w:pStyle w:val="26"/>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27753597">
      <w:pPr>
        <w:pStyle w:val="26"/>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56959DB9">
      <w:pPr>
        <w:pStyle w:val="2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4D0A111">
      <w:pPr>
        <w:pStyle w:val="2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12BFE15F">
      <w:pPr>
        <w:pStyle w:val="26"/>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6635A4F8">
      <w:pPr>
        <w:pStyle w:val="26"/>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3306A56C">
      <w:pPr>
        <w:pStyle w:val="26"/>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2104E638">
      <w:pPr>
        <w:pStyle w:val="26"/>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5400BED8">
      <w:pPr>
        <w:pStyle w:val="2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3BA64FC4">
      <w:pPr>
        <w:pStyle w:val="2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764EF03C">
      <w:pPr>
        <w:pStyle w:val="2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4D632C6D">
      <w:pPr>
        <w:pStyle w:val="2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70AC2A89">
      <w:pPr>
        <w:pStyle w:val="26"/>
        <w:spacing w:line="36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17E8BAEA">
      <w:pPr>
        <w:pStyle w:val="2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56576146">
      <w:pPr>
        <w:pStyle w:val="2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713B9218">
      <w:pPr>
        <w:pStyle w:val="26"/>
        <w:spacing w:line="360" w:lineRule="auto"/>
        <w:ind w:left="25" w:leftChars="12" w:firstLine="352" w:firstLineChars="147"/>
        <w:contextualSpacing/>
        <w:rPr>
          <w:rFonts w:hint="eastAsia" w:hAnsi="宋体"/>
          <w:color w:val="auto"/>
          <w:sz w:val="24"/>
          <w:szCs w:val="24"/>
          <w:highlight w:val="none"/>
        </w:rPr>
      </w:pPr>
    </w:p>
    <w:p w14:paraId="1560907E">
      <w:pPr>
        <w:pStyle w:val="2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3493E94C">
      <w:pPr>
        <w:pStyle w:val="26"/>
        <w:spacing w:line="360" w:lineRule="auto"/>
        <w:ind w:firstLine="480" w:firstLineChars="200"/>
        <w:contextualSpacing/>
        <w:rPr>
          <w:rFonts w:hint="eastAsia" w:hAnsi="宋体"/>
          <w:b/>
          <w:color w:val="auto"/>
          <w:sz w:val="24"/>
          <w:szCs w:val="24"/>
          <w:highlight w:val="none"/>
        </w:rPr>
      </w:pPr>
      <w:r>
        <w:rPr>
          <w:rFonts w:hint="eastAsia" w:hAnsi="宋体"/>
          <w:color w:val="auto"/>
          <w:sz w:val="24"/>
          <w:szCs w:val="24"/>
          <w:highlight w:val="none"/>
        </w:rPr>
        <w:t>日期：</w:t>
      </w:r>
    </w:p>
    <w:p w14:paraId="2969D2F1">
      <w:pPr>
        <w:pStyle w:val="26"/>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5BCE2238">
      <w:pPr>
        <w:pStyle w:val="26"/>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0E03A0CE">
      <w:pPr>
        <w:pStyle w:val="26"/>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C3CA5E0">
      <w:pPr>
        <w:pStyle w:val="26"/>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7DB44E33">
      <w:pPr>
        <w:pStyle w:val="26"/>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0928F3D7">
      <w:pPr>
        <w:pStyle w:val="26"/>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031F3595">
      <w:pPr>
        <w:pStyle w:val="26"/>
        <w:snapToGrid w:val="0"/>
        <w:rPr>
          <w:b/>
          <w:color w:val="auto"/>
          <w:sz w:val="24"/>
          <w:szCs w:val="24"/>
          <w:highlight w:val="none"/>
        </w:rPr>
      </w:pPr>
    </w:p>
    <w:p w14:paraId="5F574AA0">
      <w:pPr>
        <w:rPr>
          <w:color w:val="auto"/>
          <w:sz w:val="32"/>
          <w:szCs w:val="40"/>
          <w:highlight w:val="none"/>
        </w:rPr>
      </w:pPr>
    </w:p>
    <w:p w14:paraId="39DDFB80">
      <w:pPr>
        <w:pStyle w:val="26"/>
        <w:jc w:val="center"/>
        <w:rPr>
          <w:rFonts w:hint="eastAsia" w:hAnsi="宋体"/>
          <w:b/>
          <w:color w:val="auto"/>
          <w:sz w:val="32"/>
          <w:highlight w:val="none"/>
        </w:rPr>
      </w:pPr>
      <w:r>
        <w:rPr>
          <w:rFonts w:hint="eastAsia" w:hAnsi="宋体"/>
          <w:b/>
          <w:color w:val="auto"/>
          <w:sz w:val="32"/>
          <w:highlight w:val="none"/>
        </w:rPr>
        <w:t xml:space="preserve">  </w:t>
      </w:r>
    </w:p>
    <w:p w14:paraId="297A9305">
      <w:pPr>
        <w:pStyle w:val="26"/>
        <w:jc w:val="center"/>
        <w:rPr>
          <w:rFonts w:hint="eastAsia" w:hAnsi="宋体"/>
          <w:b/>
          <w:color w:val="auto"/>
          <w:sz w:val="32"/>
          <w:highlight w:val="none"/>
        </w:rPr>
      </w:pPr>
    </w:p>
    <w:p w14:paraId="7B3B11EA">
      <w:pPr>
        <w:pStyle w:val="26"/>
        <w:jc w:val="center"/>
        <w:rPr>
          <w:rFonts w:hint="eastAsia" w:hAnsi="宋体"/>
          <w:b/>
          <w:color w:val="auto"/>
          <w:sz w:val="32"/>
          <w:highlight w:val="none"/>
        </w:rPr>
      </w:pPr>
    </w:p>
    <w:p w14:paraId="14B7247D">
      <w:pPr>
        <w:pStyle w:val="26"/>
        <w:jc w:val="center"/>
        <w:rPr>
          <w:rFonts w:hint="eastAsia" w:hAnsi="宋体"/>
          <w:b/>
          <w:color w:val="auto"/>
          <w:sz w:val="32"/>
          <w:highlight w:val="none"/>
        </w:rPr>
      </w:pPr>
    </w:p>
    <w:p w14:paraId="2131A1CA">
      <w:pPr>
        <w:pStyle w:val="26"/>
        <w:jc w:val="center"/>
        <w:rPr>
          <w:rFonts w:hint="eastAsia" w:hAnsi="宋体"/>
          <w:b/>
          <w:color w:val="auto"/>
          <w:sz w:val="32"/>
          <w:highlight w:val="none"/>
        </w:rPr>
      </w:pPr>
    </w:p>
    <w:p w14:paraId="71CC916E">
      <w:pPr>
        <w:pStyle w:val="26"/>
        <w:jc w:val="center"/>
        <w:rPr>
          <w:rFonts w:hint="eastAsia" w:hAnsi="宋体"/>
          <w:b/>
          <w:color w:val="auto"/>
          <w:sz w:val="32"/>
          <w:highlight w:val="none"/>
        </w:rPr>
      </w:pPr>
    </w:p>
    <w:p w14:paraId="6F5CCFDA">
      <w:pPr>
        <w:pStyle w:val="26"/>
        <w:jc w:val="center"/>
        <w:rPr>
          <w:rFonts w:hint="eastAsia" w:hAnsi="宋体"/>
          <w:b/>
          <w:color w:val="auto"/>
          <w:sz w:val="32"/>
          <w:highlight w:val="none"/>
        </w:rPr>
      </w:pPr>
    </w:p>
    <w:p w14:paraId="30118525">
      <w:pPr>
        <w:pStyle w:val="26"/>
        <w:jc w:val="center"/>
        <w:rPr>
          <w:rFonts w:hint="eastAsia" w:hAnsi="宋体"/>
          <w:b/>
          <w:color w:val="auto"/>
          <w:sz w:val="32"/>
          <w:highlight w:val="none"/>
        </w:rPr>
      </w:pPr>
    </w:p>
    <w:p w14:paraId="10D5B8BA">
      <w:pPr>
        <w:pStyle w:val="26"/>
        <w:jc w:val="center"/>
        <w:rPr>
          <w:rFonts w:hint="eastAsia" w:hAnsi="宋体"/>
          <w:b/>
          <w:color w:val="auto"/>
          <w:sz w:val="32"/>
          <w:highlight w:val="none"/>
        </w:rPr>
      </w:pPr>
    </w:p>
    <w:p w14:paraId="54EEBCC5">
      <w:pPr>
        <w:pStyle w:val="26"/>
        <w:jc w:val="center"/>
        <w:rPr>
          <w:rFonts w:hint="eastAsia" w:hAnsi="宋体"/>
          <w:b/>
          <w:color w:val="auto"/>
          <w:sz w:val="32"/>
          <w:highlight w:val="none"/>
        </w:rPr>
      </w:pPr>
    </w:p>
    <w:p w14:paraId="27966A53">
      <w:pPr>
        <w:pStyle w:val="26"/>
        <w:jc w:val="center"/>
        <w:rPr>
          <w:rFonts w:hint="eastAsia" w:hAnsi="宋体"/>
          <w:b/>
          <w:color w:val="auto"/>
          <w:sz w:val="32"/>
          <w:highlight w:val="none"/>
        </w:rPr>
      </w:pPr>
    </w:p>
    <w:p w14:paraId="6F8FD356">
      <w:pPr>
        <w:pStyle w:val="26"/>
        <w:jc w:val="center"/>
        <w:rPr>
          <w:rFonts w:hint="eastAsia" w:hAnsi="宋体"/>
          <w:b/>
          <w:color w:val="auto"/>
          <w:sz w:val="32"/>
          <w:highlight w:val="none"/>
        </w:rPr>
      </w:pPr>
    </w:p>
    <w:p w14:paraId="5F2B2A67">
      <w:pPr>
        <w:pStyle w:val="26"/>
        <w:jc w:val="center"/>
        <w:rPr>
          <w:rFonts w:hint="eastAsia" w:hAnsi="宋体"/>
          <w:b/>
          <w:color w:val="auto"/>
          <w:sz w:val="32"/>
          <w:highlight w:val="none"/>
        </w:rPr>
      </w:pPr>
    </w:p>
    <w:p w14:paraId="2718ECDC">
      <w:pPr>
        <w:pStyle w:val="26"/>
        <w:jc w:val="center"/>
        <w:rPr>
          <w:rFonts w:hint="eastAsia" w:hAnsi="宋体"/>
          <w:b/>
          <w:color w:val="auto"/>
          <w:sz w:val="32"/>
          <w:highlight w:val="none"/>
        </w:rPr>
      </w:pPr>
    </w:p>
    <w:p w14:paraId="27289BB1">
      <w:pPr>
        <w:pStyle w:val="26"/>
        <w:jc w:val="center"/>
        <w:rPr>
          <w:rFonts w:hint="eastAsia" w:hAnsi="宋体"/>
          <w:b/>
          <w:color w:val="auto"/>
          <w:sz w:val="32"/>
          <w:highlight w:val="none"/>
        </w:rPr>
      </w:pPr>
    </w:p>
    <w:p w14:paraId="7E590401">
      <w:pPr>
        <w:pStyle w:val="26"/>
        <w:jc w:val="center"/>
        <w:rPr>
          <w:rFonts w:hint="eastAsia" w:hAnsi="宋体"/>
          <w:b/>
          <w:color w:val="auto"/>
          <w:sz w:val="32"/>
          <w:highlight w:val="none"/>
        </w:rPr>
      </w:pPr>
    </w:p>
    <w:p w14:paraId="2A4A6A0D">
      <w:pPr>
        <w:pStyle w:val="26"/>
        <w:jc w:val="center"/>
        <w:rPr>
          <w:rFonts w:hint="eastAsia" w:hAnsi="宋体"/>
          <w:b/>
          <w:color w:val="auto"/>
          <w:sz w:val="32"/>
          <w:highlight w:val="none"/>
        </w:rPr>
      </w:pPr>
    </w:p>
    <w:p w14:paraId="3074F295">
      <w:pPr>
        <w:pStyle w:val="26"/>
        <w:jc w:val="center"/>
        <w:rPr>
          <w:rFonts w:hint="eastAsia" w:hAnsi="宋体"/>
          <w:b/>
          <w:color w:val="auto"/>
          <w:sz w:val="32"/>
          <w:highlight w:val="none"/>
        </w:rPr>
      </w:pPr>
    </w:p>
    <w:p w14:paraId="356B1F1E">
      <w:pPr>
        <w:pStyle w:val="26"/>
        <w:jc w:val="center"/>
        <w:rPr>
          <w:rFonts w:hint="eastAsia" w:hAnsi="宋体"/>
          <w:b/>
          <w:color w:val="auto"/>
          <w:sz w:val="32"/>
          <w:highlight w:val="none"/>
        </w:rPr>
      </w:pPr>
    </w:p>
    <w:p w14:paraId="6E4926D9">
      <w:pPr>
        <w:pStyle w:val="26"/>
        <w:jc w:val="center"/>
        <w:rPr>
          <w:rFonts w:hint="eastAsia" w:hAnsi="宋体"/>
          <w:b/>
          <w:color w:val="auto"/>
          <w:sz w:val="32"/>
          <w:highlight w:val="none"/>
        </w:rPr>
      </w:pPr>
    </w:p>
    <w:p w14:paraId="07A24BBE">
      <w:pPr>
        <w:pStyle w:val="26"/>
        <w:jc w:val="center"/>
        <w:rPr>
          <w:rFonts w:hint="eastAsia" w:hAnsi="宋体"/>
          <w:b/>
          <w:color w:val="auto"/>
          <w:sz w:val="32"/>
          <w:highlight w:val="none"/>
        </w:rPr>
      </w:pPr>
    </w:p>
    <w:p w14:paraId="48F8D13C">
      <w:pPr>
        <w:pStyle w:val="26"/>
        <w:jc w:val="center"/>
        <w:rPr>
          <w:rFonts w:hint="eastAsia" w:hAnsi="宋体"/>
          <w:b/>
          <w:color w:val="auto"/>
          <w:sz w:val="32"/>
          <w:highlight w:val="none"/>
        </w:rPr>
      </w:pPr>
    </w:p>
    <w:p w14:paraId="61278D96">
      <w:pPr>
        <w:pStyle w:val="26"/>
        <w:jc w:val="center"/>
        <w:rPr>
          <w:rFonts w:hint="eastAsia" w:hAnsi="宋体"/>
          <w:b/>
          <w:color w:val="auto"/>
          <w:sz w:val="32"/>
          <w:highlight w:val="none"/>
        </w:rPr>
      </w:pPr>
    </w:p>
    <w:p w14:paraId="309DCBC8">
      <w:pPr>
        <w:pStyle w:val="26"/>
        <w:jc w:val="center"/>
        <w:rPr>
          <w:rFonts w:hint="eastAsia" w:ascii="宋体" w:hAnsi="宋体" w:eastAsia="宋体" w:cs="宋体"/>
          <w:b/>
          <w:bCs/>
          <w:color w:val="auto"/>
          <w:kern w:val="2"/>
          <w:sz w:val="44"/>
          <w:szCs w:val="24"/>
          <w:highlight w:val="none"/>
          <w:lang w:val="en-US" w:eastAsia="zh-CN" w:bidi="ar-SA"/>
        </w:rPr>
      </w:pPr>
      <w:r>
        <w:rPr>
          <w:rFonts w:hint="eastAsia" w:ascii="宋体" w:hAnsi="宋体" w:eastAsia="宋体" w:cs="宋体"/>
          <w:b/>
          <w:bCs/>
          <w:color w:val="auto"/>
          <w:kern w:val="2"/>
          <w:sz w:val="44"/>
          <w:szCs w:val="24"/>
          <w:highlight w:val="none"/>
          <w:lang w:val="en-US" w:eastAsia="zh-CN" w:bidi="ar-SA"/>
        </w:rPr>
        <w:t>质疑授权委托书（格式）</w:t>
      </w:r>
    </w:p>
    <w:p w14:paraId="024A2EC9">
      <w:pPr>
        <w:snapToGrid w:val="0"/>
        <w:spacing w:line="400" w:lineRule="exact"/>
        <w:outlineLvl w:val="4"/>
        <w:rPr>
          <w:rFonts w:hint="eastAsia" w:ascii="宋体" w:hAnsi="宋体"/>
          <w:b/>
          <w:color w:val="auto"/>
          <w:sz w:val="21"/>
          <w:szCs w:val="21"/>
          <w:highlight w:val="none"/>
        </w:rPr>
      </w:pPr>
    </w:p>
    <w:p w14:paraId="6DD61300">
      <w:pPr>
        <w:snapToGrid w:val="0"/>
        <w:spacing w:line="400" w:lineRule="exact"/>
        <w:ind w:left="0" w:leftChars="0" w:firstLine="0" w:firstLineChars="0"/>
        <w:outlineLvl w:val="4"/>
        <w:rPr>
          <w:rFonts w:hint="default" w:ascii="宋体" w:hAnsi="宋体" w:eastAsia="宋体"/>
          <w:color w:val="auto"/>
          <w:sz w:val="21"/>
          <w:szCs w:val="21"/>
          <w:highlight w:val="none"/>
          <w:lang w:val="en-US" w:eastAsia="zh-CN"/>
        </w:rPr>
      </w:pPr>
      <w:r>
        <w:rPr>
          <w:rFonts w:hint="eastAsia" w:ascii="宋体" w:hAnsi="宋体"/>
          <w:b/>
          <w:color w:val="auto"/>
          <w:sz w:val="21"/>
          <w:szCs w:val="21"/>
          <w:highlight w:val="none"/>
        </w:rPr>
        <w:t>致</w:t>
      </w:r>
      <w:r>
        <w:rPr>
          <w:rFonts w:hint="eastAsia" w:ascii="宋体" w:hAnsi="宋体"/>
          <w:color w:val="auto"/>
          <w:sz w:val="21"/>
          <w:szCs w:val="21"/>
          <w:highlight w:val="none"/>
        </w:rPr>
        <w:t>：</w:t>
      </w:r>
      <w:r>
        <w:rPr>
          <w:rFonts w:hint="eastAsia" w:ascii="宋体" w:hAnsi="宋体"/>
          <w:color w:val="auto"/>
          <w:sz w:val="21"/>
          <w:szCs w:val="21"/>
          <w:highlight w:val="none"/>
          <w:u w:val="single"/>
          <w:lang w:val="en-US" w:eastAsia="zh-CN"/>
        </w:rPr>
        <w:t xml:space="preserve">                  </w:t>
      </w:r>
    </w:p>
    <w:p w14:paraId="344DF366">
      <w:pPr>
        <w:snapToGrid w:val="0"/>
        <w:spacing w:line="400" w:lineRule="exact"/>
        <w:outlineLvl w:val="4"/>
        <w:rPr>
          <w:rFonts w:hint="eastAsia" w:ascii="宋体" w:hAnsi="宋体"/>
          <w:color w:val="auto"/>
          <w:sz w:val="21"/>
          <w:szCs w:val="21"/>
          <w:highlight w:val="none"/>
          <w:u w:val="single"/>
        </w:rPr>
      </w:pPr>
    </w:p>
    <w:p w14:paraId="342E9E2C">
      <w:pPr>
        <w:pStyle w:val="26"/>
        <w:spacing w:line="400" w:lineRule="exact"/>
        <w:ind w:firstLine="525" w:firstLineChars="250"/>
        <w:rPr>
          <w:rFonts w:hint="eastAsia" w:hAnsi="宋体"/>
          <w:color w:val="auto"/>
          <w:sz w:val="21"/>
          <w:szCs w:val="21"/>
          <w:highlight w:val="none"/>
        </w:rPr>
      </w:pPr>
      <w:r>
        <w:rPr>
          <w:rFonts w:hint="eastAsia" w:hAnsi="宋体"/>
          <w:color w:val="auto"/>
          <w:kern w:val="0"/>
          <w:sz w:val="21"/>
          <w:szCs w:val="21"/>
          <w:highlight w:val="none"/>
        </w:rPr>
        <w:t>我</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（姓名）系</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w:t>
      </w:r>
      <w:r>
        <w:rPr>
          <w:rFonts w:hint="eastAsia" w:hAnsi="宋体"/>
          <w:color w:val="auto"/>
          <w:kern w:val="0"/>
          <w:sz w:val="21"/>
          <w:szCs w:val="21"/>
          <w:highlight w:val="none"/>
          <w:lang w:eastAsia="zh-CN"/>
        </w:rPr>
        <w:t>供应商</w:t>
      </w:r>
      <w:r>
        <w:rPr>
          <w:rFonts w:hint="eastAsia" w:hAnsi="宋体"/>
          <w:color w:val="auto"/>
          <w:kern w:val="0"/>
          <w:sz w:val="21"/>
          <w:szCs w:val="21"/>
          <w:highlight w:val="none"/>
        </w:rPr>
        <w:t>名称）的法定代表人，现授权委托本单位在职职工</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（姓名）以我公司名义</w:t>
      </w:r>
      <w:r>
        <w:rPr>
          <w:rFonts w:hint="eastAsia" w:hAnsi="宋体"/>
          <w:color w:val="auto"/>
          <w:kern w:val="0"/>
          <w:sz w:val="21"/>
          <w:szCs w:val="21"/>
          <w:highlight w:val="none"/>
          <w:lang w:eastAsia="zh-CN"/>
        </w:rPr>
        <w:t>办理</w:t>
      </w:r>
      <w:r>
        <w:rPr>
          <w:rFonts w:hint="eastAsia" w:hAnsi="宋体"/>
          <w:color w:val="auto"/>
          <w:kern w:val="0"/>
          <w:sz w:val="21"/>
          <w:szCs w:val="21"/>
          <w:highlight w:val="none"/>
          <w:u w:val="single"/>
        </w:rPr>
        <w:t xml:space="preserve">      </w:t>
      </w:r>
      <w:r>
        <w:rPr>
          <w:rFonts w:hint="eastAsia" w:hAnsi="宋体"/>
          <w:color w:val="auto"/>
          <w:sz w:val="21"/>
          <w:szCs w:val="21"/>
          <w:highlight w:val="none"/>
          <w:u w:val="single"/>
        </w:rPr>
        <w:t xml:space="preserve">（项目名称及项目编号）        </w:t>
      </w:r>
      <w:r>
        <w:rPr>
          <w:rFonts w:hint="eastAsia" w:hAnsi="宋体"/>
          <w:color w:val="auto"/>
          <w:sz w:val="21"/>
          <w:szCs w:val="21"/>
          <w:highlight w:val="none"/>
        </w:rPr>
        <w:t>项目的</w:t>
      </w:r>
      <w:r>
        <w:rPr>
          <w:rFonts w:hint="eastAsia" w:hAnsi="宋体"/>
          <w:color w:val="auto"/>
          <w:sz w:val="21"/>
          <w:szCs w:val="21"/>
          <w:highlight w:val="none"/>
          <w:lang w:eastAsia="zh-CN"/>
        </w:rPr>
        <w:t>质疑事项</w:t>
      </w:r>
      <w:r>
        <w:rPr>
          <w:rFonts w:hint="eastAsia" w:hAnsi="宋体"/>
          <w:color w:val="auto"/>
          <w:sz w:val="21"/>
          <w:szCs w:val="21"/>
          <w:highlight w:val="none"/>
        </w:rPr>
        <w:t>，代表我方全权办理针对上述项目的</w:t>
      </w:r>
      <w:r>
        <w:rPr>
          <w:rFonts w:hint="eastAsia" w:hAnsi="宋体"/>
          <w:color w:val="auto"/>
          <w:sz w:val="21"/>
          <w:szCs w:val="21"/>
          <w:highlight w:val="none"/>
          <w:lang w:eastAsia="zh-CN"/>
        </w:rPr>
        <w:t>质疑</w:t>
      </w:r>
      <w:r>
        <w:rPr>
          <w:rFonts w:hint="eastAsia" w:hAnsi="宋体"/>
          <w:color w:val="auto"/>
          <w:sz w:val="21"/>
          <w:szCs w:val="21"/>
          <w:highlight w:val="none"/>
        </w:rPr>
        <w:t>具体事务和签署相关文件。</w:t>
      </w:r>
    </w:p>
    <w:p w14:paraId="77710922">
      <w:pPr>
        <w:pStyle w:val="26"/>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我方对被授权人的签字事项负全部责任。</w:t>
      </w:r>
    </w:p>
    <w:p w14:paraId="7F9EE440">
      <w:pPr>
        <w:pStyle w:val="26"/>
        <w:spacing w:line="400" w:lineRule="exact"/>
        <w:ind w:firstLine="420" w:firstLineChars="200"/>
        <w:rPr>
          <w:rFonts w:hint="eastAsia" w:hAnsi="宋体"/>
          <w:color w:val="auto"/>
          <w:sz w:val="21"/>
          <w:szCs w:val="21"/>
          <w:highlight w:val="none"/>
          <w:u w:val="single"/>
        </w:rPr>
      </w:pPr>
      <w:r>
        <w:rPr>
          <w:rFonts w:hint="eastAsia" w:hAnsi="宋体"/>
          <w:color w:val="auto"/>
          <w:sz w:val="21"/>
          <w:szCs w:val="21"/>
          <w:highlight w:val="none"/>
        </w:rPr>
        <w:t xml:space="preserve">授权委托代理期限：自即日起至该项目政府采购活动结束。                                                                                         </w:t>
      </w:r>
    </w:p>
    <w:p w14:paraId="00A1E4A4">
      <w:pPr>
        <w:spacing w:line="400" w:lineRule="exact"/>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代理人无转委托权，特此委托。</w:t>
      </w:r>
      <w:r>
        <w:rPr>
          <w:rFonts w:ascii="宋体" w:hAnsi="宋体"/>
          <w:color w:val="auto"/>
          <w:kern w:val="0"/>
          <w:sz w:val="21"/>
          <w:szCs w:val="21"/>
          <w:highlight w:val="none"/>
        </w:rPr>
        <w:t xml:space="preserve"> </w:t>
      </w:r>
    </w:p>
    <w:p w14:paraId="1D00B3F7">
      <w:pPr>
        <w:snapToGrid w:val="0"/>
        <w:spacing w:line="400" w:lineRule="exact"/>
        <w:ind w:firstLine="420"/>
        <w:outlineLvl w:val="4"/>
        <w:rPr>
          <w:rFonts w:hint="eastAsia" w:ascii="宋体" w:hAnsi="宋体"/>
          <w:color w:val="auto"/>
          <w:sz w:val="21"/>
          <w:szCs w:val="21"/>
          <w:highlight w:val="none"/>
        </w:rPr>
      </w:pPr>
      <w:r>
        <w:rPr>
          <w:rFonts w:hint="eastAsia" w:ascii="宋体" w:hAnsi="宋体"/>
          <w:color w:val="auto"/>
          <w:sz w:val="21"/>
          <w:szCs w:val="21"/>
          <w:highlight w:val="none"/>
        </w:rPr>
        <w:t>我已在下面签字，以资证明。</w:t>
      </w:r>
    </w:p>
    <w:p w14:paraId="56460309">
      <w:pPr>
        <w:snapToGrid w:val="0"/>
        <w:spacing w:line="400" w:lineRule="exact"/>
        <w:ind w:firstLine="420"/>
        <w:outlineLvl w:val="4"/>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委托代理人身份证号：</w:t>
      </w:r>
      <w:r>
        <w:rPr>
          <w:rFonts w:hint="eastAsia" w:ascii="宋体" w:hAnsi="宋体"/>
          <w:color w:val="auto"/>
          <w:sz w:val="21"/>
          <w:szCs w:val="21"/>
          <w:highlight w:val="none"/>
          <w:u w:val="single"/>
        </w:rPr>
        <w:t xml:space="preserve">                                   </w:t>
      </w:r>
    </w:p>
    <w:p w14:paraId="619A3399">
      <w:pPr>
        <w:snapToGrid w:val="0"/>
        <w:spacing w:line="400" w:lineRule="exact"/>
        <w:ind w:firstLine="420"/>
        <w:outlineLvl w:val="4"/>
        <w:rPr>
          <w:rFonts w:hint="eastAsia" w:ascii="宋体" w:hAnsi="宋体"/>
          <w:color w:val="auto"/>
          <w:sz w:val="21"/>
          <w:szCs w:val="21"/>
          <w:highlight w:val="none"/>
          <w:u w:val="single"/>
        </w:rPr>
      </w:pPr>
      <w:r>
        <w:rPr>
          <w:rFonts w:hint="eastAsia" w:ascii="宋体" w:hAnsi="宋体"/>
          <w:color w:val="auto"/>
          <w:sz w:val="21"/>
          <w:szCs w:val="21"/>
          <w:highlight w:val="none"/>
          <w:lang w:eastAsia="zh-CN"/>
        </w:rPr>
        <w:t>供应商</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公章</w:t>
      </w:r>
      <w:r>
        <w:rPr>
          <w:rFonts w:hint="eastAsia" w:ascii="宋体" w:hAnsi="宋体" w:cs="宋体"/>
          <w:color w:val="auto"/>
          <w:sz w:val="21"/>
          <w:szCs w:val="21"/>
          <w:highlight w:val="none"/>
        </w:rPr>
        <w:t>）</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06CA26D5">
      <w:pPr>
        <w:snapToGrid w:val="0"/>
        <w:spacing w:line="400" w:lineRule="exact"/>
        <w:ind w:firstLine="420"/>
        <w:outlineLvl w:val="4"/>
        <w:rPr>
          <w:rFonts w:hint="eastAsia" w:ascii="宋体" w:hAnsi="宋体"/>
          <w:color w:val="auto"/>
          <w:sz w:val="21"/>
          <w:szCs w:val="21"/>
          <w:highlight w:val="none"/>
        </w:rPr>
      </w:pPr>
    </w:p>
    <w:p w14:paraId="3DA4B8C5">
      <w:pPr>
        <w:snapToGrid w:val="0"/>
        <w:spacing w:line="400" w:lineRule="exact"/>
        <w:ind w:firstLine="420"/>
        <w:outlineLvl w:val="4"/>
        <w:rPr>
          <w:rFonts w:hint="eastAsia" w:ascii="宋体" w:hAnsi="宋体"/>
          <w:color w:val="auto"/>
          <w:sz w:val="21"/>
          <w:szCs w:val="21"/>
          <w:highlight w:val="non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00DE1F6A">
      <w:pPr>
        <w:snapToGrid w:val="0"/>
        <w:spacing w:line="400" w:lineRule="exact"/>
        <w:ind w:firstLine="420"/>
        <w:outlineLvl w:val="4"/>
        <w:rPr>
          <w:rFonts w:hint="eastAsia" w:ascii="宋体" w:hAnsi="宋体"/>
          <w:color w:val="auto"/>
          <w:sz w:val="21"/>
          <w:szCs w:val="21"/>
          <w:highlight w:val="none"/>
        </w:rPr>
      </w:pPr>
    </w:p>
    <w:p w14:paraId="4833440E">
      <w:pPr>
        <w:snapToGrid w:val="0"/>
        <w:spacing w:line="400" w:lineRule="exact"/>
        <w:ind w:firstLine="420"/>
        <w:outlineLvl w:val="4"/>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3A114F5F">
      <w:pPr>
        <w:snapToGrid w:val="0"/>
        <w:spacing w:line="400" w:lineRule="exact"/>
        <w:ind w:firstLine="420"/>
        <w:outlineLvl w:val="4"/>
        <w:rPr>
          <w:rFonts w:hint="eastAsia" w:ascii="宋体" w:hAnsi="宋体"/>
          <w:color w:val="auto"/>
          <w:sz w:val="21"/>
          <w:szCs w:val="21"/>
          <w:highlight w:val="none"/>
        </w:rPr>
      </w:pPr>
    </w:p>
    <w:p w14:paraId="70FBBBDF">
      <w:pPr>
        <w:tabs>
          <w:tab w:val="left" w:pos="1305"/>
        </w:tabs>
        <w:spacing w:line="520" w:lineRule="exact"/>
        <w:rPr>
          <w:rFonts w:hint="eastAsia" w:hAnsi="宋体"/>
          <w:b/>
          <w:color w:val="auto"/>
          <w:sz w:val="21"/>
          <w:szCs w:val="21"/>
          <w:highlight w:val="none"/>
        </w:rPr>
      </w:pPr>
      <w:r>
        <w:rPr>
          <w:rFonts w:hint="eastAsia" w:hAnsi="宋体"/>
          <w:b/>
          <w:color w:val="auto"/>
          <w:sz w:val="21"/>
          <w:szCs w:val="21"/>
          <w:highlight w:val="none"/>
        </w:rPr>
        <w:t>附：委托代理人身份证正反面复印件。</w:t>
      </w:r>
    </w:p>
    <w:p w14:paraId="00D1E5D7">
      <w:pPr>
        <w:rPr>
          <w:color w:val="auto"/>
          <w:sz w:val="32"/>
          <w:szCs w:val="40"/>
          <w:highlight w:val="none"/>
        </w:rPr>
      </w:pPr>
    </w:p>
    <w:p w14:paraId="76093F9F">
      <w:pPr>
        <w:rPr>
          <w:color w:val="auto"/>
          <w:sz w:val="32"/>
          <w:szCs w:val="40"/>
          <w:highlight w:val="none"/>
        </w:rPr>
      </w:pPr>
    </w:p>
    <w:p w14:paraId="5BDAAC66">
      <w:pPr>
        <w:rPr>
          <w:color w:val="auto"/>
          <w:sz w:val="32"/>
          <w:szCs w:val="40"/>
          <w:highlight w:val="none"/>
        </w:rPr>
      </w:pPr>
    </w:p>
    <w:p w14:paraId="6F14A5C9">
      <w:pPr>
        <w:rPr>
          <w:color w:val="auto"/>
          <w:sz w:val="32"/>
          <w:szCs w:val="40"/>
          <w:highlight w:val="none"/>
        </w:rPr>
      </w:pPr>
    </w:p>
    <w:p w14:paraId="0628FCF8">
      <w:pPr>
        <w:rPr>
          <w:color w:val="auto"/>
          <w:sz w:val="32"/>
          <w:szCs w:val="40"/>
          <w:highlight w:val="none"/>
        </w:rPr>
      </w:pPr>
    </w:p>
    <w:p w14:paraId="6D7D6DC3">
      <w:pPr>
        <w:rPr>
          <w:color w:val="auto"/>
          <w:sz w:val="32"/>
          <w:szCs w:val="40"/>
          <w:highlight w:val="none"/>
        </w:rPr>
      </w:pPr>
    </w:p>
    <w:p w14:paraId="7FE8D077">
      <w:pPr>
        <w:rPr>
          <w:color w:val="auto"/>
          <w:sz w:val="32"/>
          <w:szCs w:val="40"/>
          <w:highlight w:val="none"/>
        </w:rPr>
      </w:pPr>
    </w:p>
    <w:p w14:paraId="21926489">
      <w:pPr>
        <w:rPr>
          <w:color w:val="auto"/>
          <w:sz w:val="32"/>
          <w:szCs w:val="40"/>
          <w:highlight w:val="none"/>
        </w:rPr>
      </w:pPr>
    </w:p>
    <w:p w14:paraId="0827A6A0">
      <w:pPr>
        <w:rPr>
          <w:color w:val="auto"/>
          <w:sz w:val="32"/>
          <w:szCs w:val="40"/>
          <w:highlight w:val="none"/>
        </w:rPr>
      </w:pPr>
    </w:p>
    <w:p w14:paraId="74300D35">
      <w:pPr>
        <w:rPr>
          <w:color w:val="auto"/>
          <w:sz w:val="32"/>
          <w:szCs w:val="40"/>
          <w:highlight w:val="none"/>
        </w:rPr>
      </w:pPr>
    </w:p>
    <w:p w14:paraId="72779639">
      <w:pPr>
        <w:rPr>
          <w:color w:val="auto"/>
          <w:sz w:val="32"/>
          <w:szCs w:val="40"/>
          <w:highlight w:val="none"/>
        </w:rPr>
      </w:pPr>
    </w:p>
    <w:p w14:paraId="70CAFF2A">
      <w:pPr>
        <w:rPr>
          <w:color w:val="auto"/>
          <w:sz w:val="32"/>
          <w:szCs w:val="40"/>
          <w:highlight w:val="none"/>
        </w:rPr>
      </w:pPr>
    </w:p>
    <w:p w14:paraId="36ABF534">
      <w:pPr>
        <w:pStyle w:val="7"/>
        <w:rPr>
          <w:color w:val="auto"/>
          <w:highlight w:val="none"/>
        </w:rPr>
      </w:pPr>
    </w:p>
    <w:p w14:paraId="7DEAAAF9">
      <w:pPr>
        <w:pStyle w:val="7"/>
        <w:rPr>
          <w:color w:val="auto"/>
          <w:highlight w:val="none"/>
        </w:rPr>
      </w:pPr>
    </w:p>
    <w:p w14:paraId="2EADFF8E">
      <w:pPr>
        <w:pStyle w:val="7"/>
        <w:rPr>
          <w:color w:val="auto"/>
          <w:highlight w:val="none"/>
        </w:rPr>
      </w:pPr>
    </w:p>
    <w:p w14:paraId="6431B00B">
      <w:pPr>
        <w:pStyle w:val="7"/>
        <w:rPr>
          <w:color w:val="auto"/>
          <w:highlight w:val="none"/>
        </w:rPr>
      </w:pPr>
    </w:p>
    <w:p w14:paraId="613B7E72">
      <w:pPr>
        <w:pStyle w:val="7"/>
        <w:rPr>
          <w:color w:val="auto"/>
          <w:highlight w:val="none"/>
        </w:rPr>
      </w:pPr>
    </w:p>
    <w:p w14:paraId="7C6110DC">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32D0BBFD">
      <w:pPr>
        <w:pStyle w:val="26"/>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一、投诉相关主体基本情况：</w:t>
      </w:r>
    </w:p>
    <w:p w14:paraId="0CC89A53">
      <w:pPr>
        <w:pStyle w:val="2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6D52B96">
      <w:pPr>
        <w:pStyle w:val="2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AF5CD45">
      <w:pPr>
        <w:pStyle w:val="2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02D09741">
      <w:pPr>
        <w:pStyle w:val="2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7473B28">
      <w:pPr>
        <w:pStyle w:val="2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2B53D42">
      <w:pPr>
        <w:pStyle w:val="26"/>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DFBE1A6">
      <w:pPr>
        <w:pStyle w:val="2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30C5A85">
      <w:pPr>
        <w:pStyle w:val="26"/>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6BF98983">
      <w:pPr>
        <w:pStyle w:val="2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5F1D67B1">
      <w:pPr>
        <w:pStyle w:val="2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61FC9F2">
      <w:pPr>
        <w:pStyle w:val="2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0C92F7D3">
      <w:pPr>
        <w:pStyle w:val="26"/>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7D3A01E3">
      <w:pPr>
        <w:pStyle w:val="2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3567500F">
      <w:pPr>
        <w:pStyle w:val="2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57772D2F">
      <w:pPr>
        <w:pStyle w:val="26"/>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20D46D5">
      <w:pPr>
        <w:pStyle w:val="26"/>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2631C4B">
      <w:pPr>
        <w:pStyle w:val="26"/>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4F412497">
      <w:pPr>
        <w:pStyle w:val="26"/>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1125894E">
      <w:pPr>
        <w:pStyle w:val="26"/>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68111DA5">
      <w:pPr>
        <w:pStyle w:val="26"/>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73AB3880">
      <w:pPr>
        <w:pStyle w:val="26"/>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0AA3867B">
      <w:pPr>
        <w:pStyle w:val="26"/>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3E6AD973">
      <w:pPr>
        <w:pStyle w:val="26"/>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2424F688">
      <w:pPr>
        <w:pStyle w:val="26"/>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39128C82">
      <w:pPr>
        <w:pStyle w:val="26"/>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17A52D8C">
      <w:pPr>
        <w:pStyle w:val="26"/>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36D110ED">
      <w:pPr>
        <w:pStyle w:val="26"/>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0D832F5D">
      <w:pPr>
        <w:pStyle w:val="26"/>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7CBCBF66">
      <w:pPr>
        <w:pStyle w:val="26"/>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7007AA3B">
      <w:pPr>
        <w:pStyle w:val="26"/>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711A9523">
      <w:pPr>
        <w:pStyle w:val="26"/>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3D85BB9">
      <w:pPr>
        <w:pStyle w:val="26"/>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3E43935C">
      <w:pPr>
        <w:pStyle w:val="26"/>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1791161">
      <w:pPr>
        <w:pStyle w:val="26"/>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5C9C91B9">
      <w:pPr>
        <w:pStyle w:val="26"/>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7D8F5E17">
      <w:pPr>
        <w:pStyle w:val="26"/>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00198A2D">
      <w:pPr>
        <w:pStyle w:val="26"/>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6ED69086">
      <w:pPr>
        <w:pStyle w:val="2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38735D04">
      <w:pPr>
        <w:pStyle w:val="26"/>
        <w:spacing w:line="360" w:lineRule="auto"/>
        <w:ind w:left="25" w:leftChars="12" w:firstLine="352" w:firstLineChars="147"/>
        <w:rPr>
          <w:rFonts w:hint="eastAsia" w:hAnsi="宋体"/>
          <w:color w:val="auto"/>
          <w:sz w:val="24"/>
          <w:szCs w:val="24"/>
          <w:highlight w:val="none"/>
        </w:rPr>
      </w:pPr>
    </w:p>
    <w:p w14:paraId="3CC43F24">
      <w:pPr>
        <w:pStyle w:val="2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4FB71601">
      <w:pPr>
        <w:pStyle w:val="26"/>
        <w:spacing w:line="360" w:lineRule="auto"/>
        <w:ind w:left="25" w:leftChars="12" w:firstLine="352" w:firstLineChars="147"/>
        <w:rPr>
          <w:rFonts w:hint="eastAsia" w:hAnsi="宋体"/>
          <w:color w:val="auto"/>
          <w:sz w:val="24"/>
          <w:szCs w:val="24"/>
          <w:highlight w:val="none"/>
        </w:rPr>
      </w:pPr>
    </w:p>
    <w:p w14:paraId="3DD3FA9B">
      <w:pPr>
        <w:pStyle w:val="2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0841E8C6">
      <w:pPr>
        <w:pStyle w:val="26"/>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 xml:space="preserve">                                                                                 </w:t>
      </w:r>
    </w:p>
    <w:p w14:paraId="638BACF3">
      <w:pPr>
        <w:pStyle w:val="26"/>
        <w:snapToGrid w:val="0"/>
        <w:spacing w:line="400" w:lineRule="exact"/>
        <w:rPr>
          <w:rFonts w:hint="eastAsia" w:hAnsi="宋体"/>
          <w:b/>
          <w:color w:val="auto"/>
          <w:sz w:val="24"/>
          <w:szCs w:val="24"/>
          <w:highlight w:val="none"/>
        </w:rPr>
      </w:pPr>
      <w:r>
        <w:rPr>
          <w:rFonts w:hint="eastAsia" w:hAnsi="宋体"/>
          <w:b/>
          <w:color w:val="auto"/>
          <w:sz w:val="24"/>
          <w:szCs w:val="24"/>
          <w:highlight w:val="none"/>
        </w:rPr>
        <w:t>说明：</w:t>
      </w:r>
    </w:p>
    <w:p w14:paraId="0076C8E3">
      <w:pPr>
        <w:pStyle w:val="26"/>
        <w:spacing w:line="400" w:lineRule="exact"/>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68056170">
      <w:pPr>
        <w:pStyle w:val="26"/>
        <w:spacing w:line="40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177EFA3">
      <w:pPr>
        <w:pStyle w:val="26"/>
        <w:spacing w:line="40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61311F5F">
      <w:pPr>
        <w:pStyle w:val="26"/>
        <w:spacing w:line="40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348D7394">
      <w:pPr>
        <w:pStyle w:val="26"/>
        <w:spacing w:line="40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3197B61B">
      <w:pPr>
        <w:pStyle w:val="26"/>
        <w:spacing w:line="400" w:lineRule="exact"/>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2431EC46">
      <w:pPr>
        <w:jc w:val="center"/>
        <w:rPr>
          <w:rFonts w:hint="eastAsia" w:ascii="方正小标宋简体" w:hAnsi="方正小标宋简体" w:eastAsia="方正小标宋简体" w:cs="方正小标宋简体"/>
          <w:color w:val="auto"/>
          <w:sz w:val="44"/>
          <w:szCs w:val="44"/>
          <w:highlight w:val="none"/>
        </w:rPr>
      </w:pPr>
      <w:bookmarkStart w:id="109" w:name="_Toc71365926"/>
      <w:bookmarkStart w:id="110" w:name="_Toc74323461"/>
    </w:p>
    <w:bookmarkEnd w:id="109"/>
    <w:p w14:paraId="2A41F154">
      <w:pPr>
        <w:spacing w:line="360" w:lineRule="auto"/>
        <w:rPr>
          <w:rFonts w:hint="eastAsia" w:ascii="宋体" w:hAnsi="宋体" w:cs="仿宋_GB2312"/>
          <w:color w:val="auto"/>
          <w:sz w:val="24"/>
          <w:highlight w:val="none"/>
        </w:rPr>
      </w:pPr>
    </w:p>
    <w:p w14:paraId="3ED3EA53">
      <w:pPr>
        <w:rPr>
          <w:color w:val="auto"/>
          <w:highlight w:val="none"/>
        </w:rPr>
      </w:pPr>
    </w:p>
    <w:p w14:paraId="62D13E94">
      <w:pPr>
        <w:spacing w:line="360" w:lineRule="auto"/>
        <w:ind w:right="420"/>
        <w:contextualSpacing/>
        <w:jc w:val="left"/>
        <w:rPr>
          <w:rFonts w:hint="eastAsia" w:ascii="宋体" w:hAnsi="宋体"/>
          <w:b/>
          <w:bCs/>
          <w:color w:val="auto"/>
          <w:sz w:val="32"/>
          <w:szCs w:val="32"/>
          <w:highlight w:val="none"/>
        </w:rPr>
      </w:pPr>
    </w:p>
    <w:p w14:paraId="105A9819">
      <w:pPr>
        <w:pStyle w:val="2"/>
        <w:jc w:val="center"/>
        <w:rPr>
          <w:color w:val="auto"/>
          <w:highlight w:val="none"/>
        </w:rPr>
      </w:pPr>
    </w:p>
    <w:p w14:paraId="7E89B2DF">
      <w:pPr>
        <w:pStyle w:val="2"/>
        <w:jc w:val="center"/>
        <w:rPr>
          <w:color w:val="auto"/>
          <w:highlight w:val="none"/>
        </w:rPr>
      </w:pPr>
    </w:p>
    <w:p w14:paraId="03A01345">
      <w:pPr>
        <w:rPr>
          <w:color w:val="auto"/>
          <w:highlight w:val="none"/>
        </w:rPr>
      </w:pPr>
    </w:p>
    <w:p w14:paraId="2F0FF417">
      <w:pPr>
        <w:pStyle w:val="2"/>
        <w:jc w:val="center"/>
        <w:rPr>
          <w:color w:val="auto"/>
          <w:highlight w:val="none"/>
        </w:rPr>
      </w:pPr>
      <w:r>
        <w:rPr>
          <w:rFonts w:hint="eastAsia"/>
          <w:color w:val="auto"/>
          <w:highlight w:val="none"/>
        </w:rPr>
        <w:t>第七章 合同文本</w:t>
      </w:r>
      <w:bookmarkEnd w:id="110"/>
    </w:p>
    <w:p w14:paraId="1213EEC6">
      <w:pPr>
        <w:spacing w:line="520" w:lineRule="exact"/>
        <w:rPr>
          <w:rFonts w:hint="eastAsia" w:ascii="宋体" w:hAnsi="宋体" w:cs="Courier New"/>
          <w:b/>
          <w:color w:val="auto"/>
          <w:sz w:val="32"/>
          <w:szCs w:val="32"/>
          <w:highlight w:val="none"/>
        </w:rPr>
      </w:pPr>
    </w:p>
    <w:p w14:paraId="21BBE24C">
      <w:pPr>
        <w:widowControl/>
        <w:jc w:val="center"/>
        <w:rPr>
          <w:rFonts w:hint="eastAsia" w:ascii="宋体" w:hAnsi="宋体" w:cs="宋体"/>
          <w:b/>
          <w:color w:val="auto"/>
          <w:sz w:val="44"/>
          <w:szCs w:val="44"/>
          <w:highlight w:val="none"/>
        </w:rPr>
      </w:pPr>
      <w:r>
        <w:rPr>
          <w:rFonts w:ascii="宋体" w:hAnsi="宋体" w:cs="宋体"/>
          <w:color w:val="auto"/>
          <w:sz w:val="24"/>
          <w:highlight w:val="none"/>
        </w:rPr>
        <w:br w:type="page"/>
      </w:r>
      <w:r>
        <w:rPr>
          <w:rFonts w:hint="eastAsia" w:ascii="宋体" w:hAnsi="宋体" w:cs="宋体"/>
          <w:b/>
          <w:color w:val="auto"/>
          <w:sz w:val="44"/>
          <w:szCs w:val="44"/>
          <w:highlight w:val="none"/>
        </w:rPr>
        <w:t>建设工程施工合同</w:t>
      </w:r>
      <w:bookmarkStart w:id="111" w:name="_Toc19149"/>
      <w:bookmarkStart w:id="112" w:name="_Toc20394"/>
    </w:p>
    <w:p w14:paraId="3FE53236">
      <w:pPr>
        <w:widowControl/>
        <w:jc w:val="center"/>
        <w:rPr>
          <w:rFonts w:hint="eastAsia" w:ascii="宋体" w:hAnsi="宋体" w:cs="宋体"/>
          <w:b/>
          <w:color w:val="auto"/>
          <w:sz w:val="44"/>
          <w:szCs w:val="44"/>
          <w:highlight w:val="none"/>
        </w:rPr>
      </w:pPr>
    </w:p>
    <w:p w14:paraId="56C408B9">
      <w:pPr>
        <w:widowControl/>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第一部分  合同协议书</w:t>
      </w:r>
    </w:p>
    <w:p w14:paraId="398F8982">
      <w:pPr>
        <w:spacing w:line="400" w:lineRule="exact"/>
        <w:rPr>
          <w:rFonts w:hint="eastAsia" w:ascii="宋体" w:hAnsi="宋体" w:cs="宋体"/>
          <w:b/>
          <w:color w:val="auto"/>
          <w:szCs w:val="21"/>
          <w:highlight w:val="none"/>
          <w:u w:val="single"/>
        </w:rPr>
      </w:pPr>
      <w:r>
        <w:rPr>
          <w:rFonts w:hint="eastAsia" w:ascii="宋体" w:hAnsi="宋体" w:cs="宋体"/>
          <w:b/>
          <w:color w:val="auto"/>
          <w:szCs w:val="21"/>
          <w:highlight w:val="none"/>
        </w:rPr>
        <w:t>发包人（全称）：</w:t>
      </w:r>
      <w:r>
        <w:rPr>
          <w:rFonts w:hint="eastAsia" w:ascii="宋体" w:hAnsi="宋体" w:cs="宋体"/>
          <w:b/>
          <w:color w:val="auto"/>
          <w:szCs w:val="21"/>
          <w:highlight w:val="none"/>
          <w:u w:val="single"/>
          <w:lang w:eastAsia="zh-CN"/>
        </w:rPr>
        <w:t>永福县人民法院</w:t>
      </w:r>
      <w:r>
        <w:rPr>
          <w:rFonts w:hint="eastAsia" w:ascii="宋体" w:hAnsi="宋体" w:cs="宋体"/>
          <w:b/>
          <w:color w:val="auto"/>
          <w:szCs w:val="21"/>
          <w:highlight w:val="none"/>
          <w:u w:val="single"/>
        </w:rPr>
        <w:t xml:space="preserve"> </w:t>
      </w:r>
    </w:p>
    <w:p w14:paraId="529B1412">
      <w:pPr>
        <w:spacing w:line="400" w:lineRule="exact"/>
        <w:rPr>
          <w:rFonts w:hint="eastAsia" w:ascii="宋体" w:hAnsi="宋体" w:cs="宋体"/>
          <w:b/>
          <w:color w:val="auto"/>
          <w:szCs w:val="21"/>
          <w:highlight w:val="none"/>
          <w:u w:val="single"/>
        </w:rPr>
      </w:pPr>
      <w:r>
        <w:rPr>
          <w:rFonts w:hint="eastAsia" w:ascii="宋体" w:hAnsi="宋体" w:cs="宋体"/>
          <w:b/>
          <w:color w:val="auto"/>
          <w:szCs w:val="21"/>
          <w:highlight w:val="none"/>
        </w:rPr>
        <w:t>承包人（全称）：</w:t>
      </w:r>
      <w:r>
        <w:rPr>
          <w:rFonts w:hint="eastAsia" w:ascii="宋体" w:hAnsi="宋体" w:cs="宋体"/>
          <w:b/>
          <w:color w:val="auto"/>
          <w:szCs w:val="21"/>
          <w:highlight w:val="none"/>
          <w:u w:val="single"/>
        </w:rPr>
        <w:t xml:space="preserve">               </w:t>
      </w:r>
    </w:p>
    <w:p w14:paraId="225DDA32">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根据《中华人民共和国民法典》、《中华人民共和国建筑法》相关法律法规及行业规定等相关法律、法规规定，遵循平等、自愿、公平和诚实信用的原则，双方就工程施工及有关事项协商一致共同达成如下协议：</w:t>
      </w:r>
    </w:p>
    <w:p w14:paraId="058879F9">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一、工程概况</w:t>
      </w:r>
    </w:p>
    <w:p w14:paraId="5FBBF5B6">
      <w:pPr>
        <w:snapToGrid w:val="0"/>
        <w:spacing w:line="340" w:lineRule="exact"/>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rPr>
        <w:t>1.工程名称</w:t>
      </w:r>
      <w:r>
        <w:rPr>
          <w:rFonts w:hint="eastAsia" w:ascii="宋体" w:hAnsi="宋体" w:cs="宋体"/>
          <w:color w:val="auto"/>
          <w:szCs w:val="21"/>
          <w:highlight w:val="none"/>
        </w:rPr>
        <w:t>：</w:t>
      </w:r>
      <w:r>
        <w:rPr>
          <w:rFonts w:hint="eastAsia" w:ascii="宋体" w:hAnsi="宋体"/>
          <w:color w:val="auto"/>
          <w:szCs w:val="21"/>
          <w:highlight w:val="none"/>
          <w:u w:val="single"/>
          <w:lang w:eastAsia="zh-CN"/>
        </w:rPr>
        <w:t>永福县人民法院办公区域与生活区域物理隔离工程</w:t>
      </w:r>
      <w:r>
        <w:rPr>
          <w:rFonts w:hint="eastAsia" w:ascii="宋体" w:hAnsi="宋体" w:cs="宋体"/>
          <w:color w:val="auto"/>
          <w:szCs w:val="21"/>
          <w:highlight w:val="none"/>
        </w:rPr>
        <w:t>。</w:t>
      </w:r>
    </w:p>
    <w:p w14:paraId="48CE200F">
      <w:pPr>
        <w:snapToGrid w:val="0"/>
        <w:spacing w:line="340" w:lineRule="exact"/>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rPr>
        <w:t>2.工程地点：</w:t>
      </w:r>
      <w:r>
        <w:rPr>
          <w:rFonts w:hint="eastAsia" w:ascii="宋体" w:hAnsi="宋体" w:cs="宋体"/>
          <w:bCs/>
          <w:color w:val="auto"/>
          <w:szCs w:val="21"/>
          <w:highlight w:val="none"/>
          <w:u w:val="single"/>
        </w:rPr>
        <w:t>广西桂林永福县永福镇五里桥开发区</w:t>
      </w:r>
    </w:p>
    <w:p w14:paraId="26B0AA3B">
      <w:pPr>
        <w:snapToGrid w:val="0"/>
        <w:spacing w:line="34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3.工程立项批准文号：</w:t>
      </w:r>
      <w:r>
        <w:rPr>
          <w:rFonts w:hint="eastAsia" w:ascii="宋体" w:hAnsi="宋体" w:cs="宋体"/>
          <w:color w:val="auto"/>
          <w:szCs w:val="21"/>
          <w:highlight w:val="none"/>
          <w:u w:val="single"/>
        </w:rPr>
        <w:t>/</w:t>
      </w:r>
      <w:r>
        <w:rPr>
          <w:rFonts w:hint="eastAsia" w:ascii="宋体" w:hAnsi="宋体" w:cs="宋体"/>
          <w:bCs/>
          <w:color w:val="auto"/>
          <w:szCs w:val="21"/>
          <w:highlight w:val="none"/>
        </w:rPr>
        <w:t>。</w:t>
      </w:r>
    </w:p>
    <w:p w14:paraId="627F578C">
      <w:pPr>
        <w:snapToGrid w:val="0"/>
        <w:spacing w:line="340" w:lineRule="exact"/>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rPr>
        <w:t>4.工程承包范围：</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4A4E85F4">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二、合同工期</w:t>
      </w:r>
    </w:p>
    <w:p w14:paraId="4175B14A">
      <w:pPr>
        <w:snapToGrid w:val="0"/>
        <w:spacing w:line="340" w:lineRule="exact"/>
        <w:ind w:firstLine="459"/>
        <w:rPr>
          <w:rFonts w:hint="eastAsia"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w:t>
      </w:r>
      <w:r>
        <w:rPr>
          <w:rFonts w:hint="eastAsia" w:ascii="宋体" w:hAnsi="宋体" w:cs="宋体"/>
          <w:color w:val="auto"/>
          <w:szCs w:val="21"/>
          <w:highlight w:val="none"/>
        </w:rPr>
        <w:t>日。（</w:t>
      </w:r>
      <w:r>
        <w:rPr>
          <w:rFonts w:hint="eastAsia" w:ascii="宋体" w:hAnsi="宋体" w:cs="宋体"/>
          <w:bCs/>
          <w:color w:val="auto"/>
          <w:szCs w:val="21"/>
          <w:highlight w:val="none"/>
        </w:rPr>
        <w:t>具体以实际下发的开工令为准</w:t>
      </w:r>
      <w:r>
        <w:rPr>
          <w:rFonts w:hint="eastAsia" w:ascii="宋体" w:hAnsi="宋体" w:cs="宋体"/>
          <w:color w:val="auto"/>
          <w:szCs w:val="21"/>
          <w:highlight w:val="none"/>
        </w:rPr>
        <w:t>）</w:t>
      </w:r>
    </w:p>
    <w:p w14:paraId="5B1F40F1">
      <w:pPr>
        <w:snapToGrid w:val="0"/>
        <w:spacing w:line="340" w:lineRule="exact"/>
        <w:ind w:firstLine="459"/>
        <w:rPr>
          <w:rFonts w:hint="eastAsia" w:ascii="宋体" w:hAnsi="宋体" w:cs="宋体"/>
          <w:color w:val="auto"/>
          <w:szCs w:val="21"/>
          <w:highlight w:val="none"/>
        </w:rPr>
      </w:pPr>
      <w:r>
        <w:rPr>
          <w:rFonts w:hint="eastAsia" w:ascii="宋体" w:hAnsi="宋体" w:cs="宋体"/>
          <w:color w:val="auto"/>
          <w:szCs w:val="21"/>
          <w:highlight w:val="none"/>
        </w:rPr>
        <w:t>计划竣工日期：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90B4E51">
      <w:pPr>
        <w:snapToGrid w:val="0"/>
        <w:spacing w:line="340" w:lineRule="exact"/>
        <w:ind w:firstLine="459"/>
        <w:rPr>
          <w:rFonts w:hint="eastAsia" w:ascii="宋体" w:hAnsi="宋体" w:cs="宋体"/>
          <w:color w:val="auto"/>
          <w:szCs w:val="21"/>
          <w:highlight w:val="none"/>
        </w:rPr>
      </w:pPr>
      <w:r>
        <w:rPr>
          <w:rFonts w:hint="eastAsia" w:ascii="宋体" w:hAnsi="宋体" w:cs="宋体"/>
          <w:color w:val="auto"/>
          <w:szCs w:val="21"/>
          <w:highlight w:val="none"/>
        </w:rPr>
        <w:t>工期总日历天数：自接到采购人或采购人委托的监理单位发出开工令之日</w:t>
      </w:r>
      <w:r>
        <w:rPr>
          <w:rFonts w:hint="eastAsia" w:ascii="宋体" w:hAnsi="宋体" w:cs="宋体"/>
          <w:color w:val="auto"/>
          <w:szCs w:val="21"/>
          <w:highlight w:val="none"/>
          <w:u w:val="single"/>
        </w:rPr>
        <w:t xml:space="preserve">  </w:t>
      </w:r>
      <w:r>
        <w:rPr>
          <w:rFonts w:hint="eastAsia" w:ascii="宋体" w:hAnsi="宋体" w:cs="宋体"/>
          <w:color w:val="auto"/>
          <w:szCs w:val="20"/>
          <w:highlight w:val="none"/>
        </w:rPr>
        <w:t>天（日历日）</w:t>
      </w:r>
      <w:r>
        <w:rPr>
          <w:rFonts w:hint="eastAsia" w:ascii="宋体" w:hAnsi="宋体" w:cs="宋体"/>
          <w:color w:val="auto"/>
          <w:szCs w:val="21"/>
          <w:highlight w:val="none"/>
        </w:rPr>
        <w:t>。工期总日历天数与根据前述计划开竣工日期计算的工期天数不一致的，以工期总日历天数为准。</w:t>
      </w:r>
    </w:p>
    <w:p w14:paraId="21C8616E">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三、质量标准：</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w:t>
      </w:r>
    </w:p>
    <w:p w14:paraId="1F4E70EF">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四、签约合同价与合同价格形式</w:t>
      </w:r>
      <w:r>
        <w:rPr>
          <w:rFonts w:hint="eastAsia" w:ascii="宋体" w:hAnsi="宋体" w:cs="宋体"/>
          <w:color w:val="auto"/>
          <w:highlight w:val="none"/>
          <w:lang w:eastAsia="zh-CN"/>
        </w:rPr>
        <w:tab/>
      </w:r>
    </w:p>
    <w:p w14:paraId="1F4F4E9A">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1.签约合同价为：人民币（大写）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40873240">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其中：</w:t>
      </w:r>
    </w:p>
    <w:p w14:paraId="1D9FA5F5">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（1）安全文明施工费：人民币（大写）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 ；</w:t>
      </w:r>
    </w:p>
    <w:p w14:paraId="10AE6047">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（2）规费：人民币（大写）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0CB04715">
      <w:pPr>
        <w:snapToGrid w:val="0"/>
        <w:spacing w:line="340" w:lineRule="exact"/>
        <w:ind w:firstLine="1680" w:firstLineChars="800"/>
        <w:rPr>
          <w:rFonts w:hint="eastAsia" w:ascii="宋体" w:hAnsi="宋体" w:cs="宋体"/>
          <w:color w:val="auto"/>
          <w:szCs w:val="21"/>
          <w:highlight w:val="none"/>
        </w:rPr>
      </w:pPr>
      <w:r>
        <w:rPr>
          <w:rFonts w:hint="eastAsia" w:ascii="宋体" w:hAnsi="宋体" w:cs="宋体"/>
          <w:color w:val="auto"/>
          <w:szCs w:val="21"/>
          <w:highlight w:val="none"/>
        </w:rPr>
        <w:t>其中</w:t>
      </w:r>
      <w:r>
        <w:rPr>
          <w:rFonts w:hint="eastAsia" w:ascii="宋体" w:hAnsi="宋体" w:cs="宋体"/>
          <w:color w:val="auto"/>
          <w:szCs w:val="21"/>
          <w:highlight w:val="none"/>
          <w:lang w:eastAsia="zh-CN"/>
        </w:rPr>
        <w:t>：</w:t>
      </w:r>
      <w:r>
        <w:rPr>
          <w:rFonts w:hint="eastAsia" w:ascii="宋体" w:hAnsi="宋体" w:cs="宋体"/>
          <w:color w:val="auto"/>
          <w:szCs w:val="21"/>
          <w:highlight w:val="none"/>
        </w:rPr>
        <w:t>社会保险费人民币（大写）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61A3A873">
      <w:pPr>
        <w:snapToGrid w:val="0"/>
        <w:spacing w:line="340" w:lineRule="exact"/>
        <w:ind w:firstLine="1680" w:firstLineChars="800"/>
        <w:rPr>
          <w:rFonts w:hint="eastAsia" w:ascii="宋体" w:hAnsi="宋体" w:cs="宋体"/>
          <w:color w:val="auto"/>
          <w:szCs w:val="21"/>
          <w:highlight w:val="none"/>
        </w:rPr>
      </w:pPr>
      <w:r>
        <w:rPr>
          <w:rFonts w:hint="eastAsia" w:ascii="宋体" w:hAnsi="宋体" w:cs="宋体"/>
          <w:color w:val="auto"/>
          <w:szCs w:val="21"/>
          <w:highlight w:val="none"/>
        </w:rPr>
        <w:t>其他</w:t>
      </w:r>
      <w:r>
        <w:rPr>
          <w:rFonts w:hint="eastAsia" w:ascii="宋体" w:hAnsi="宋体" w:cs="宋体"/>
          <w:color w:val="auto"/>
          <w:szCs w:val="21"/>
          <w:highlight w:val="none"/>
          <w:lang w:eastAsia="zh-CN"/>
        </w:rPr>
        <w:t>：</w:t>
      </w: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 ；</w:t>
      </w:r>
    </w:p>
    <w:p w14:paraId="78617021">
      <w:pPr>
        <w:snapToGrid w:val="0"/>
        <w:spacing w:line="3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税金：</w:t>
      </w: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lang w:eastAsia="zh-CN"/>
        </w:rPr>
        <w:t>；</w:t>
      </w:r>
    </w:p>
    <w:p w14:paraId="5E8229FA">
      <w:pPr>
        <w:snapToGrid w:val="0"/>
        <w:spacing w:line="340" w:lineRule="exact"/>
        <w:ind w:left="0" w:leftChars="0" w:firstLine="840" w:firstLineChars="400"/>
        <w:rPr>
          <w:rFonts w:hint="eastAsia" w:ascii="宋体" w:hAnsi="宋体" w:cs="宋体"/>
          <w:color w:val="auto"/>
          <w:szCs w:val="21"/>
          <w:highlight w:val="none"/>
        </w:rPr>
      </w:pPr>
      <w:r>
        <w:rPr>
          <w:rFonts w:hint="eastAsia" w:ascii="宋体" w:hAnsi="宋体" w:cs="宋体"/>
          <w:color w:val="auto"/>
          <w:szCs w:val="21"/>
          <w:highlight w:val="none"/>
          <w:lang w:eastAsia="zh-CN"/>
        </w:rPr>
        <w:t>其中：</w:t>
      </w:r>
      <w:r>
        <w:rPr>
          <w:rFonts w:hint="eastAsia" w:ascii="宋体" w:hAnsi="宋体" w:cs="宋体"/>
          <w:color w:val="auto"/>
          <w:szCs w:val="21"/>
          <w:highlight w:val="none"/>
        </w:rPr>
        <w:t>增值税：人民币（大写）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429152BB">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（4）暂列金额：人民币（大写）</w:t>
      </w:r>
      <w:r>
        <w:rPr>
          <w:rFonts w:hint="eastAsia" w:ascii="宋体" w:hAnsi="宋体" w:cs="宋体"/>
          <w:color w:val="auto"/>
          <w:szCs w:val="21"/>
          <w:highlight w:val="none"/>
          <w:u w:val="single"/>
        </w:rPr>
        <w:t xml:space="preserve">    </w:t>
      </w:r>
      <w:r>
        <w:rPr>
          <w:rFonts w:hint="eastAsia" w:ascii="宋体" w:hAnsi="宋体"/>
          <w:color w:val="auto"/>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5C1FB3E3">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（5）安全生产责任保险费暂估价：人民币（大写）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4744F124">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2、合同价格形式：</w:t>
      </w:r>
      <w:r>
        <w:rPr>
          <w:rFonts w:hint="eastAsia" w:ascii="宋体" w:hAnsi="宋体" w:cs="宋体"/>
          <w:color w:val="auto"/>
          <w:szCs w:val="21"/>
          <w:highlight w:val="none"/>
          <w:u w:val="single"/>
        </w:rPr>
        <w:t>固定综合单价</w:t>
      </w:r>
      <w:r>
        <w:rPr>
          <w:rFonts w:hint="eastAsia" w:ascii="宋体" w:hAnsi="宋体" w:cs="宋体"/>
          <w:color w:val="auto"/>
          <w:szCs w:val="21"/>
          <w:highlight w:val="none"/>
        </w:rPr>
        <w:t>。</w:t>
      </w:r>
    </w:p>
    <w:p w14:paraId="3AE3DE93">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五、合同文件构成</w:t>
      </w:r>
    </w:p>
    <w:p w14:paraId="52DE87D7">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14:paraId="3E0E2629">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（1）成交通知书（如果有）；</w:t>
      </w:r>
    </w:p>
    <w:p w14:paraId="3FDAD1AE">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（2）竞标函及其附录（如果有）； </w:t>
      </w:r>
    </w:p>
    <w:p w14:paraId="48AAD16F">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（3）专用合同条款及其附件；</w:t>
      </w:r>
    </w:p>
    <w:p w14:paraId="5C316544">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（4）通用合同条款；</w:t>
      </w:r>
    </w:p>
    <w:p w14:paraId="6E06C8A7">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（5）技术标准和要求；</w:t>
      </w:r>
    </w:p>
    <w:p w14:paraId="154C9E8A">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（6）已标价工程量清单或预算书；</w:t>
      </w:r>
    </w:p>
    <w:p w14:paraId="376ACEF4">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（7）其他合同文件。</w:t>
      </w:r>
    </w:p>
    <w:p w14:paraId="179230AC">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14:paraId="5E61FBA4">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w:t>
      </w:r>
    </w:p>
    <w:p w14:paraId="6FFFB584">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六、承诺</w:t>
      </w:r>
    </w:p>
    <w:p w14:paraId="3FE37B38">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1.发包人承诺按照法律规定履行项目审批手续、筹集工程建设资金并按照合同约定的期限和方式支付合同价款。</w:t>
      </w:r>
    </w:p>
    <w:p w14:paraId="14FAED56">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796FB57C">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3.发包人和承包人通过磋商形式签订合同的，双方理解并同意不再就同一工程另行签订与合同实质性内容相背离的协议。</w:t>
      </w:r>
    </w:p>
    <w:p w14:paraId="4D924D8F">
      <w:pPr>
        <w:snapToGrid w:val="0"/>
        <w:spacing w:line="340" w:lineRule="exact"/>
        <w:ind w:firstLine="420" w:firstLineChars="200"/>
        <w:rPr>
          <w:rFonts w:hint="eastAsia" w:ascii="宋体" w:hAns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承包人应遵守发包人学校管理制度，包括但不限于施工用水用电管理、安全文明施工管理、  学校其他规章制度。</w:t>
      </w:r>
    </w:p>
    <w:p w14:paraId="00B63601">
      <w:pPr>
        <w:snapToGrid w:val="0"/>
        <w:spacing w:line="340" w:lineRule="exact"/>
        <w:ind w:firstLine="420" w:firstLineChars="200"/>
        <w:rPr>
          <w:color w:val="auto"/>
          <w:highlight w:val="none"/>
        </w:rPr>
      </w:pPr>
      <w:r>
        <w:rPr>
          <w:rFonts w:ascii="宋体" w:hAnsi="宋体" w:cs="宋体"/>
          <w:bCs/>
          <w:color w:val="auto"/>
          <w:szCs w:val="21"/>
          <w:highlight w:val="none"/>
        </w:rPr>
        <w:t>5.</w:t>
      </w:r>
      <w:r>
        <w:rPr>
          <w:rFonts w:hint="eastAsia" w:ascii="宋体" w:hAnsi="宋体" w:cs="宋体"/>
          <w:bCs/>
          <w:color w:val="auto"/>
          <w:szCs w:val="21"/>
          <w:highlight w:val="none"/>
        </w:rPr>
        <w:t>承包人应遵守主体工程建设场地管理制度，与主体施工单位建立良好的配合工作，完成相  关设施交接工作， 做好已完</w:t>
      </w:r>
      <w:r>
        <w:rPr>
          <w:rFonts w:hint="eastAsia"/>
          <w:color w:val="auto"/>
          <w:highlight w:val="none"/>
        </w:rPr>
        <w:t>工程的成品保护工作。</w:t>
      </w:r>
    </w:p>
    <w:p w14:paraId="694269AD">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七、词语含义</w:t>
      </w:r>
    </w:p>
    <w:p w14:paraId="33DCFD39">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14:paraId="3FEB3DD0">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八、签订时间</w:t>
      </w:r>
    </w:p>
    <w:p w14:paraId="3EAF20B1">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5F85EEC1">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九、签订地点</w:t>
      </w:r>
    </w:p>
    <w:p w14:paraId="302554C1">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color w:val="auto"/>
          <w:szCs w:val="21"/>
          <w:highlight w:val="none"/>
          <w:u w:val="single"/>
        </w:rPr>
        <w:t>桂林市</w:t>
      </w:r>
      <w:r>
        <w:rPr>
          <w:rFonts w:hint="eastAsia" w:ascii="宋体" w:hAnsi="宋体" w:cs="宋体"/>
          <w:color w:val="auto"/>
          <w:szCs w:val="21"/>
          <w:highlight w:val="none"/>
          <w:u w:val="single"/>
          <w:lang w:eastAsia="zh-CN"/>
        </w:rPr>
        <w:t>永福县</w:t>
      </w:r>
      <w:r>
        <w:rPr>
          <w:rFonts w:hint="eastAsia" w:ascii="宋体" w:hAnsi="宋体" w:cs="宋体"/>
          <w:bCs/>
          <w:color w:val="auto"/>
          <w:szCs w:val="21"/>
          <w:highlight w:val="none"/>
        </w:rPr>
        <w:t>签订。</w:t>
      </w:r>
    </w:p>
    <w:p w14:paraId="23314682">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十、补充协议</w:t>
      </w:r>
    </w:p>
    <w:p w14:paraId="346AAD43">
      <w:pPr>
        <w:snapToGrid w:val="0"/>
        <w:spacing w:line="340" w:lineRule="exact"/>
        <w:ind w:firstLine="420" w:firstLineChars="200"/>
        <w:rPr>
          <w:rFonts w:hint="eastAsia"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7B85BA7A">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十一、合同生效</w:t>
      </w:r>
    </w:p>
    <w:p w14:paraId="544FE40A">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发包人、承包人双方法定代表人或委托代理人签字并加盖单位公章后</w:t>
      </w:r>
      <w:r>
        <w:rPr>
          <w:rFonts w:hint="eastAsia" w:ascii="宋体" w:hAnsi="宋体" w:cs="宋体"/>
          <w:bCs/>
          <w:color w:val="auto"/>
          <w:szCs w:val="21"/>
          <w:highlight w:val="none"/>
        </w:rPr>
        <w:t>生效。</w:t>
      </w:r>
    </w:p>
    <w:p w14:paraId="17EC2814">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十二、合同份数</w:t>
      </w:r>
    </w:p>
    <w:p w14:paraId="59CA55F0">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本合同一式九份，均具有同等法律效力，发包人执四份，承包人执四份，采购代理机构执一份。</w:t>
      </w:r>
    </w:p>
    <w:p w14:paraId="424FCDC0">
      <w:pPr>
        <w:spacing w:line="400" w:lineRule="exact"/>
        <w:rPr>
          <w:rFonts w:hint="eastAsia" w:ascii="宋体" w:hAnsi="宋体" w:cs="宋体"/>
          <w:b/>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p>
    <w:p w14:paraId="0A95185E">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4D48AEB">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14:paraId="38E218C3">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宋体"/>
          <w:color w:val="auto"/>
          <w:szCs w:val="21"/>
          <w:highlight w:val="none"/>
          <w:u w:val="single"/>
        </w:rPr>
        <w:t xml:space="preserve">                 </w:t>
      </w:r>
    </w:p>
    <w:p w14:paraId="54DCBDF1">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336F9CDF">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14:paraId="5BE1D414">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w:t>
      </w:r>
    </w:p>
    <w:p w14:paraId="0191DE88">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5412C406">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6EF6F1FF">
      <w:pPr>
        <w:snapToGrid w:val="0"/>
        <w:spacing w:line="400" w:lineRule="exact"/>
        <w:rPr>
          <w:rFonts w:hint="eastAsia" w:ascii="宋体" w:hAnsi="宋体" w:cs="宋体"/>
          <w:color w:val="auto"/>
          <w:szCs w:val="20"/>
          <w:highlight w:val="none"/>
        </w:rPr>
      </w:pPr>
      <w:r>
        <w:rPr>
          <w:rFonts w:hint="eastAsia" w:ascii="宋体" w:hAnsi="宋体" w:cs="宋体"/>
          <w:color w:val="auto"/>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highlight w:val="none"/>
        </w:rPr>
        <w:t> 邮政编码：</w:t>
      </w:r>
      <w:r>
        <w:rPr>
          <w:rFonts w:hint="eastAsia" w:ascii="宋体" w:hAnsi="宋体" w:cs="宋体"/>
          <w:color w:val="auto"/>
          <w:szCs w:val="21"/>
          <w:highlight w:val="none"/>
          <w:u w:val="single"/>
        </w:rPr>
        <w:t xml:space="preserve">                          </w:t>
      </w:r>
    </w:p>
    <w:p w14:paraId="12AEA472">
      <w:pPr>
        <w:snapToGrid w:val="0"/>
        <w:spacing w:line="340" w:lineRule="exact"/>
        <w:rPr>
          <w:rFonts w:hint="eastAsia" w:ascii="宋体" w:hAnsi="宋体" w:cs="宋体"/>
          <w:color w:val="auto"/>
          <w:szCs w:val="21"/>
          <w:highlight w:val="none"/>
          <w:u w:val="single"/>
        </w:rPr>
      </w:pPr>
    </w:p>
    <w:p w14:paraId="50E776F7">
      <w:pPr>
        <w:pStyle w:val="2"/>
        <w:jc w:val="center"/>
        <w:rPr>
          <w:rFonts w:hint="eastAsia" w:ascii="宋体" w:hAnsi="宋体" w:cs="宋体"/>
          <w:color w:val="auto"/>
          <w:kern w:val="0"/>
          <w:szCs w:val="21"/>
          <w:highlight w:val="none"/>
        </w:rPr>
      </w:pPr>
      <w:bookmarkStart w:id="113" w:name="_Toc389065256"/>
      <w:bookmarkStart w:id="114" w:name="_Toc395382492"/>
      <w:bookmarkStart w:id="115" w:name="_Toc478389010"/>
      <w:bookmarkStart w:id="116" w:name="_Toc373227691"/>
      <w:bookmarkStart w:id="117" w:name="_Toc351203632"/>
      <w:bookmarkStart w:id="118" w:name="_Toc373478338"/>
      <w:r>
        <w:rPr>
          <w:rFonts w:hint="eastAsia" w:ascii="宋体" w:hAnsi="宋体" w:cs="宋体"/>
          <w:color w:val="auto"/>
          <w:highlight w:val="none"/>
        </w:rPr>
        <w:t>第二部分 通用合同条款</w:t>
      </w:r>
      <w:bookmarkEnd w:id="113"/>
      <w:bookmarkEnd w:id="114"/>
      <w:bookmarkEnd w:id="115"/>
    </w:p>
    <w:p w14:paraId="5ACBBB7E">
      <w:pPr>
        <w:pStyle w:val="321"/>
        <w:rPr>
          <w:rFonts w:hint="eastAsia" w:ascii="宋体" w:cs="宋体"/>
          <w:color w:val="auto"/>
          <w:highlight w:val="none"/>
        </w:rPr>
      </w:pPr>
      <w:bookmarkStart w:id="119" w:name="_Toc351203495"/>
      <w:bookmarkStart w:id="120" w:name="_Toc478389011"/>
      <w:bookmarkStart w:id="121" w:name="_Toc337558727"/>
      <w:r>
        <w:rPr>
          <w:rFonts w:hint="eastAsia" w:ascii="宋体" w:cs="宋体"/>
          <w:color w:val="auto"/>
          <w:highlight w:val="none"/>
        </w:rPr>
        <w:t>1.</w:t>
      </w:r>
      <w:bookmarkStart w:id="122" w:name="_Toc303538975"/>
      <w:bookmarkEnd w:id="122"/>
      <w:bookmarkStart w:id="123" w:name="_Toc303538972"/>
      <w:bookmarkEnd w:id="123"/>
      <w:bookmarkStart w:id="124" w:name="_Toc303538973"/>
      <w:bookmarkEnd w:id="124"/>
      <w:bookmarkStart w:id="125" w:name="_Toc303538974"/>
      <w:bookmarkEnd w:id="125"/>
      <w:bookmarkStart w:id="126" w:name="_Toc303538976"/>
      <w:bookmarkEnd w:id="126"/>
      <w:bookmarkStart w:id="127" w:name="_Toc296346528"/>
      <w:bookmarkStart w:id="128" w:name="_Toc296503027"/>
      <w:r>
        <w:rPr>
          <w:rFonts w:hint="eastAsia" w:ascii="宋体" w:cs="宋体"/>
          <w:color w:val="auto"/>
          <w:highlight w:val="none"/>
        </w:rPr>
        <w:t xml:space="preserve"> 一般约定</w:t>
      </w:r>
      <w:bookmarkEnd w:id="119"/>
      <w:bookmarkEnd w:id="120"/>
      <w:bookmarkEnd w:id="121"/>
      <w:bookmarkEnd w:id="127"/>
      <w:bookmarkEnd w:id="128"/>
    </w:p>
    <w:p w14:paraId="54E4C1D7">
      <w:pPr>
        <w:pStyle w:val="321"/>
        <w:rPr>
          <w:rFonts w:hint="eastAsia" w:ascii="宋体" w:cs="宋体"/>
          <w:color w:val="auto"/>
          <w:highlight w:val="none"/>
        </w:rPr>
      </w:pPr>
      <w:bookmarkStart w:id="129" w:name="_Toc296346529"/>
      <w:bookmarkStart w:id="130" w:name="_Toc337558728"/>
      <w:bookmarkStart w:id="131" w:name="_Toc296503028"/>
      <w:bookmarkStart w:id="132" w:name="_Toc478389012"/>
      <w:bookmarkStart w:id="133" w:name="_Toc351203496"/>
      <w:r>
        <w:rPr>
          <w:rFonts w:hint="eastAsia" w:ascii="宋体" w:cs="宋体"/>
          <w:color w:val="auto"/>
          <w:highlight w:val="none"/>
        </w:rPr>
        <w:t>1.1词语定义</w:t>
      </w:r>
      <w:bookmarkEnd w:id="129"/>
      <w:bookmarkEnd w:id="130"/>
      <w:bookmarkEnd w:id="131"/>
      <w:r>
        <w:rPr>
          <w:rFonts w:hint="eastAsia" w:ascii="宋体" w:cs="宋体"/>
          <w:color w:val="auto"/>
          <w:highlight w:val="none"/>
        </w:rPr>
        <w:t>与解释</w:t>
      </w:r>
      <w:bookmarkEnd w:id="132"/>
      <w:bookmarkEnd w:id="133"/>
    </w:p>
    <w:p w14:paraId="66ED329D">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合同协议书、通用合同条款、专用合同条款中的下列词语具有本款所赋予的含义：</w:t>
      </w:r>
    </w:p>
    <w:p w14:paraId="34BBA540">
      <w:pPr>
        <w:pStyle w:val="79"/>
        <w:ind w:firstLine="402"/>
        <w:outlineLvl w:val="0"/>
        <w:rPr>
          <w:rFonts w:hint="eastAsia" w:cs="宋体"/>
          <w:b/>
          <w:color w:val="auto"/>
          <w:highlight w:val="none"/>
        </w:rPr>
      </w:pPr>
      <w:bookmarkStart w:id="134" w:name="_Toc406522044"/>
      <w:bookmarkStart w:id="135" w:name="_Toc478389013"/>
      <w:bookmarkStart w:id="136" w:name="_Toc406419169"/>
      <w:r>
        <w:rPr>
          <w:rFonts w:hint="eastAsia" w:cs="宋体"/>
          <w:b/>
          <w:color w:val="auto"/>
          <w:highlight w:val="none"/>
        </w:rPr>
        <w:t>1.1.1 合同</w:t>
      </w:r>
      <w:bookmarkEnd w:id="134"/>
      <w:bookmarkEnd w:id="135"/>
      <w:bookmarkEnd w:id="136"/>
    </w:p>
    <w:p w14:paraId="1DBF5787">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1.1.1.1 合同：是指根据法律规定和合同当事人约定具有约束力的文件，构成合同的文件包括合同协议书、成交通知书（如果有）、投标函及其附录（如果有）、专用合同条款</w:t>
      </w:r>
      <w:r>
        <w:rPr>
          <w:rFonts w:hint="eastAsia" w:ascii="宋体" w:hAnsi="宋体" w:cs="宋体"/>
          <w:color w:val="auto"/>
          <w:szCs w:val="21"/>
          <w:highlight w:val="none"/>
        </w:rPr>
        <w:t>及其附件</w:t>
      </w:r>
      <w:r>
        <w:rPr>
          <w:rFonts w:hint="eastAsia" w:ascii="宋体" w:hAnsi="宋体" w:cs="宋体"/>
          <w:color w:val="auto"/>
          <w:kern w:val="0"/>
          <w:szCs w:val="21"/>
          <w:highlight w:val="none"/>
        </w:rPr>
        <w:t>、通用合同条款、技术标准和要求、图纸（如有）、已标价工程量清单或预算书以及其他合同文件。</w:t>
      </w:r>
    </w:p>
    <w:p w14:paraId="508D9043">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1.1.1.2 合同协议书：是指构成合同的由发包人和承包人共同签署的称为“合同协议书”的书面文件。</w:t>
      </w:r>
    </w:p>
    <w:p w14:paraId="61E43959">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1.1.1.3 成交通知书：是指构成合同的由发包人通知承包人成交的书面文件。</w:t>
      </w:r>
    </w:p>
    <w:p w14:paraId="0B78F176">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1.1.1.4 投标函：是指构成合同的由承包人填写并签署的用于投标的称为“投标函”的文件。</w:t>
      </w:r>
    </w:p>
    <w:p w14:paraId="39D40573">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1.1.1.5 投标函附录：是指构成合同的附在投标函后的称为“投标函附录”的文件。</w:t>
      </w:r>
    </w:p>
    <w:p w14:paraId="15E1CE7E">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1.1.1.6 技术标准和要求：是指构成合同的施工应当遵守的或指导施工的国家、行业或地方的技术标准和要求，以及合同约定的技术标准和要求。</w:t>
      </w:r>
    </w:p>
    <w:p w14:paraId="12BB76B7">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1.1.1.7 图纸（如有）：是指构成合同的图纸，包括由发包人按照合同约定提供或经发包人批准的设计文件、施工图、鸟瞰图及模型等，以及在合同履行过程中形成的图纸文件。图纸应当按照法律规定审查合格。</w:t>
      </w:r>
    </w:p>
    <w:p w14:paraId="3CC61423">
      <w:pPr>
        <w:autoSpaceDE w:val="0"/>
        <w:autoSpaceDN w:val="0"/>
        <w:adjustRightInd w:val="0"/>
        <w:spacing w:line="420" w:lineRule="exact"/>
        <w:ind w:firstLine="409" w:firstLineChars="19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1.1.1.8 已标价工程量清单：是指构成合同的由承包人按照规定的格式和要求填写并标明价格的工程量清单，包括说明和表格。</w:t>
      </w:r>
    </w:p>
    <w:p w14:paraId="15FF4B66">
      <w:pPr>
        <w:autoSpaceDE w:val="0"/>
        <w:autoSpaceDN w:val="0"/>
        <w:adjustRightInd w:val="0"/>
        <w:spacing w:line="420" w:lineRule="exact"/>
        <w:ind w:firstLine="409" w:firstLineChars="19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1.1.1.9 预算书：是指构成合同的由承包人按照发包人规定的格式和要求编制的工程预算文件。</w:t>
      </w:r>
    </w:p>
    <w:p w14:paraId="7DFC42DF">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1.1.1.10 其他合同文件：是指经合同当事人约定的与工程施工有关的具有合同约束力的文件或书面协议。合同当事人可以在专用合同条款中进行约定。</w:t>
      </w:r>
    </w:p>
    <w:p w14:paraId="519E5567">
      <w:pPr>
        <w:pStyle w:val="79"/>
        <w:ind w:firstLine="402"/>
        <w:outlineLvl w:val="0"/>
        <w:rPr>
          <w:rFonts w:hint="eastAsia" w:cs="宋体"/>
          <w:b/>
          <w:color w:val="auto"/>
          <w:highlight w:val="none"/>
        </w:rPr>
      </w:pPr>
      <w:bookmarkStart w:id="137" w:name="_Toc406522045"/>
      <w:bookmarkStart w:id="138" w:name="_Toc406419170"/>
      <w:bookmarkStart w:id="139" w:name="_Toc478389014"/>
      <w:r>
        <w:rPr>
          <w:rFonts w:hint="eastAsia" w:cs="宋体"/>
          <w:b/>
          <w:color w:val="auto"/>
          <w:highlight w:val="none"/>
        </w:rPr>
        <w:t>1.1.2 合同当事人及其他相关方</w:t>
      </w:r>
      <w:bookmarkEnd w:id="137"/>
      <w:bookmarkEnd w:id="138"/>
      <w:bookmarkEnd w:id="139"/>
    </w:p>
    <w:p w14:paraId="423F3BF1">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1.1.2.1 合同当事人：是指发包人和（或）承包人。</w:t>
      </w:r>
    </w:p>
    <w:p w14:paraId="0EEB5921">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1.1.2.2 发包人：是指与承包人签订合同协议书的当事人及取得该当事人资格的合法继承人。</w:t>
      </w:r>
    </w:p>
    <w:p w14:paraId="75C712E3">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1.1.2.3 承包人：是指与发包人签订合同协议书的，具有相应工程施工承包资质的当事人及取得该当事人资格的合法继承人。</w:t>
      </w:r>
    </w:p>
    <w:p w14:paraId="712C8EBD">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1.1.2.4 监理人：是指在专用合同条款中指明的，受发包人委托按照法律规定进行工程监督管理的法人或其他组织。</w:t>
      </w:r>
    </w:p>
    <w:p w14:paraId="556CE7AA">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1.1.2.5 设计人：是指在专用合同条款中指明的，受发包人委托负责工程设计并具备相应工程设计资质的法人或其他组织。</w:t>
      </w:r>
    </w:p>
    <w:p w14:paraId="4E003A1A">
      <w:pPr>
        <w:spacing w:line="420" w:lineRule="exact"/>
        <w:ind w:firstLine="409" w:firstLineChars="19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1.1.2.6 分包人：</w:t>
      </w:r>
      <w:bookmarkStart w:id="140" w:name="#go5"/>
      <w:bookmarkEnd w:id="140"/>
      <w:r>
        <w:rPr>
          <w:rFonts w:hint="eastAsia" w:ascii="宋体" w:hAnsi="宋体" w:cs="宋体"/>
          <w:color w:val="auto"/>
          <w:kern w:val="0"/>
          <w:szCs w:val="21"/>
          <w:highlight w:val="none"/>
        </w:rPr>
        <w:t>是指按照法律规定和合同约定，分包部分工程或工作，并与承包人签订分包合同的具有相应资质的法人。</w:t>
      </w:r>
    </w:p>
    <w:p w14:paraId="79C1CD03">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1.1.2.7 发包人代表：是指由发包人任命并派驻施工现场在发包人授权范围内行使发包人权利的人。</w:t>
      </w:r>
    </w:p>
    <w:p w14:paraId="1AE2D691">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1.1.2.8 项目经理：是指由承包人任命并派驻施工现场，在承包人授权范围内负责合同履行，且按照法律规定具有相应资格的项目负责人。</w:t>
      </w:r>
    </w:p>
    <w:p w14:paraId="0B4E3080">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1.1.2.9 总监理工程师：是指由监理人任命并派驻施工现场进行工程监理的总负责人。</w:t>
      </w:r>
    </w:p>
    <w:p w14:paraId="51A75E57">
      <w:pPr>
        <w:pStyle w:val="79"/>
        <w:ind w:firstLine="402"/>
        <w:outlineLvl w:val="0"/>
        <w:rPr>
          <w:rFonts w:hint="eastAsia" w:cs="宋体"/>
          <w:b/>
          <w:color w:val="auto"/>
          <w:highlight w:val="none"/>
        </w:rPr>
      </w:pPr>
      <w:bookmarkStart w:id="141" w:name="_Toc406522046"/>
      <w:bookmarkStart w:id="142" w:name="_Toc406419171"/>
      <w:bookmarkStart w:id="143" w:name="_Toc478389015"/>
      <w:r>
        <w:rPr>
          <w:rFonts w:hint="eastAsia" w:cs="宋体"/>
          <w:b/>
          <w:color w:val="auto"/>
          <w:highlight w:val="none"/>
        </w:rPr>
        <w:t>1.1.3 工程和设备</w:t>
      </w:r>
      <w:bookmarkEnd w:id="141"/>
      <w:bookmarkEnd w:id="142"/>
      <w:bookmarkEnd w:id="143"/>
    </w:p>
    <w:p w14:paraId="1CDB0028">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1.1.3.1 工程：是指与合同协议书中工程承包范围对应的永久工程和（或）临时工程。</w:t>
      </w:r>
    </w:p>
    <w:p w14:paraId="18A1BC20">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1.1.3.2 永久工程：是指按合同约定建造并移交给发包人的工程，包括工程设备。</w:t>
      </w:r>
    </w:p>
    <w:p w14:paraId="0FBAD6F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1.1.3.3 临时工程：是指为完成合同约定的永久工程所修建的各类临时性工程，不包括施工设备。</w:t>
      </w:r>
    </w:p>
    <w:p w14:paraId="0DD4A1B0">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1.1.3.4 单位工程：是指在合同协议书中指明的，具备独立施工条件并能形成独立使用功能的永久工程。</w:t>
      </w:r>
    </w:p>
    <w:p w14:paraId="314B9104">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1.1.3.5 工程设备：是指构成永久工程的机电设备、金属结构设备、仪器及其他类似的设备和装置。</w:t>
      </w:r>
    </w:p>
    <w:p w14:paraId="3B070325">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1.1.3.6 施工设备：是指为完成合同约定的各项工作所需的设备、器具和其他物品，但不包括工程设备、临时工程和材料。</w:t>
      </w:r>
    </w:p>
    <w:p w14:paraId="1710813B">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1.1.3.7 施工现场：是指用于工程施工的场所，以及在专用合同条款中指明作为施工场所组成部分的其他场所，包括永久占地和临时占地。</w:t>
      </w:r>
    </w:p>
    <w:p w14:paraId="6F3A5F4A">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1.1.3.8临时设施：是指为完成合同约定的各项工作所服务的临时性生产和生活设施。</w:t>
      </w:r>
    </w:p>
    <w:p w14:paraId="2D66963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1.1.3.9 永久占地：是指专用合同条款中指明为实施工程需永久占用的土地。</w:t>
      </w:r>
    </w:p>
    <w:p w14:paraId="539C9677">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1.1.3.10 临时占地：是指专用合同条款中指明为实施工程需要临时占用的土地。</w:t>
      </w:r>
    </w:p>
    <w:p w14:paraId="394523B4">
      <w:pPr>
        <w:pStyle w:val="79"/>
        <w:ind w:firstLine="402"/>
        <w:outlineLvl w:val="0"/>
        <w:rPr>
          <w:rFonts w:hint="eastAsia" w:cs="宋体"/>
          <w:b/>
          <w:color w:val="auto"/>
          <w:highlight w:val="none"/>
        </w:rPr>
      </w:pPr>
      <w:bookmarkStart w:id="144" w:name="_Toc406522047"/>
      <w:bookmarkStart w:id="145" w:name="_Toc406419172"/>
      <w:bookmarkStart w:id="146" w:name="_Toc478389016"/>
      <w:r>
        <w:rPr>
          <w:rFonts w:hint="eastAsia" w:cs="宋体"/>
          <w:b/>
          <w:color w:val="auto"/>
          <w:highlight w:val="none"/>
        </w:rPr>
        <w:t>1.1.4 日期和期限</w:t>
      </w:r>
      <w:bookmarkEnd w:id="144"/>
      <w:bookmarkEnd w:id="145"/>
      <w:bookmarkEnd w:id="146"/>
    </w:p>
    <w:p w14:paraId="2C778D6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017785AE">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1.1.4.2 竣工日期：包括计划竣工日期和实际竣工日期。计划竣工日期是指合同协议书约定的竣工日期；实际竣工日期按照第13.2.3项〔竣工日期〕的约定确定。 </w:t>
      </w:r>
    </w:p>
    <w:p w14:paraId="6150039B">
      <w:pPr>
        <w:spacing w:line="420" w:lineRule="exact"/>
        <w:ind w:firstLine="426" w:firstLineChars="203"/>
        <w:rPr>
          <w:rFonts w:hint="eastAsia" w:ascii="宋体" w:hAnsi="宋体" w:cs="宋体"/>
          <w:color w:val="auto"/>
          <w:szCs w:val="21"/>
          <w:highlight w:val="none"/>
        </w:rPr>
      </w:pPr>
      <w:r>
        <w:rPr>
          <w:rFonts w:hint="eastAsia" w:ascii="宋体" w:hAnsi="宋体" w:cs="宋体"/>
          <w:color w:val="auto"/>
          <w:kern w:val="0"/>
          <w:szCs w:val="21"/>
          <w:highlight w:val="none"/>
        </w:rPr>
        <w:t>1.1.4.3 工期：是指在合同协议书约定的承包人完成工程所需的期限，包括按照合同约定所作的期限变更。</w:t>
      </w:r>
    </w:p>
    <w:p w14:paraId="55A72F45">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1.1.4.4 缺陷责任期：是指承包人按照合同约定承担缺陷修复义务，且发包人预留质量保证金的期限，自工程实际竣工日期起计算。</w:t>
      </w:r>
    </w:p>
    <w:p w14:paraId="09CD46D5">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1.1.4.5 保修期：是指承包人按照合同约定对工程承担保修责任的期限，从工程竣工验收合格之日起计算。</w:t>
      </w:r>
    </w:p>
    <w:p w14:paraId="232307E9">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1.1.4.6 基准日期：招标发包的工程以投标截止日前28天的日期为基准日期，直接发包的工程以合同签订日前28天的日期为基准日期。</w:t>
      </w:r>
    </w:p>
    <w:p w14:paraId="11F347C5">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1.1.4.7 天：除特别指明外，均指日历天。合同中按天计算时间的，开始当天不计入，从次日开始计算，期限最后一天的截止时间为当天24：00时。</w:t>
      </w:r>
    </w:p>
    <w:p w14:paraId="3D15070A">
      <w:pPr>
        <w:pStyle w:val="79"/>
        <w:ind w:firstLine="402"/>
        <w:outlineLvl w:val="0"/>
        <w:rPr>
          <w:rFonts w:hint="eastAsia" w:cs="宋体"/>
          <w:b/>
          <w:color w:val="auto"/>
          <w:highlight w:val="none"/>
        </w:rPr>
      </w:pPr>
      <w:bookmarkStart w:id="147" w:name="_Toc406419173"/>
      <w:bookmarkStart w:id="148" w:name="_Toc478389017"/>
      <w:bookmarkStart w:id="149" w:name="_Toc406522048"/>
      <w:r>
        <w:rPr>
          <w:rFonts w:hint="eastAsia" w:cs="宋体"/>
          <w:b/>
          <w:color w:val="auto"/>
          <w:highlight w:val="none"/>
        </w:rPr>
        <w:t>1.1.5 合同价格和费用</w:t>
      </w:r>
      <w:bookmarkEnd w:id="147"/>
      <w:bookmarkEnd w:id="148"/>
      <w:bookmarkEnd w:id="149"/>
    </w:p>
    <w:p w14:paraId="6ABBE67E">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1.1.5.1 签约合同价：是指</w:t>
      </w:r>
      <w:r>
        <w:rPr>
          <w:rFonts w:hint="eastAsia" w:ascii="宋体" w:hAnsi="宋体" w:cs="宋体"/>
          <w:color w:val="auto"/>
          <w:szCs w:val="21"/>
          <w:highlight w:val="none"/>
        </w:rPr>
        <w:t>发包人和承包人在合同协议书中确定的总金额，包括安全文明施工费、暂估价及暂列金额等。</w:t>
      </w:r>
    </w:p>
    <w:p w14:paraId="45866423">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1.1.5.2 合同价格：是指发包人用于支付承包人按照合同约定完成承包范围内全部工作的金额，包括合同履行过程中按合同约定发生的价格变化。</w:t>
      </w:r>
    </w:p>
    <w:p w14:paraId="4FBC6FED">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1.1.5.3 费用：是指为履行合同所发生的或将要发生的所有必需的开支，包括管理费和应分摊的其他费用，但不包括利润。</w:t>
      </w:r>
    </w:p>
    <w:p w14:paraId="0B1EAF7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1.1.5.4 暂估价：是指发包人在工程量清单或预算书中提供的用于支付必然发生但暂时不能确定价格的材料、工程设备的单价、专业工程以及服务工作的金额。</w:t>
      </w:r>
    </w:p>
    <w:p w14:paraId="333D3B72">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4F1E637F">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1.1.5.6 计日工：是指合同履行过程中，承包人完成发包人提出的零星工作或需要采用计日工计价的变更工作时，按合同中约定的单价计价的一种方式。</w:t>
      </w:r>
    </w:p>
    <w:p w14:paraId="5BDBEC3B">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1.1.5.7 质量保证金</w:t>
      </w:r>
      <w:bookmarkStart w:id="150" w:name="#go2"/>
      <w:bookmarkEnd w:id="150"/>
      <w:r>
        <w:rPr>
          <w:rFonts w:hint="eastAsia" w:ascii="宋体" w:hAnsi="宋体" w:cs="宋体"/>
          <w:color w:val="auto"/>
          <w:kern w:val="0"/>
          <w:szCs w:val="21"/>
          <w:highlight w:val="none"/>
        </w:rPr>
        <w:t>：是指按照第15.3款〔质量保证金〕约定承包人用于保证其在缺陷责任期内履行缺陷修补义务的担保</w:t>
      </w:r>
      <w:r>
        <w:rPr>
          <w:rFonts w:hint="eastAsia" w:ascii="宋体" w:hAnsi="宋体" w:cs="宋体"/>
          <w:color w:val="auto"/>
          <w:szCs w:val="21"/>
          <w:highlight w:val="none"/>
        </w:rPr>
        <w:t>。</w:t>
      </w:r>
    </w:p>
    <w:p w14:paraId="1F027F42">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1.1.5.8 总价项目：是指在现行国家、行业以及地方的计量规则中无工程量计算规则，在已标价工程量清单或预算书中以总价或以费率形式计算的项目。</w:t>
      </w:r>
    </w:p>
    <w:p w14:paraId="3DD8C910">
      <w:pPr>
        <w:pStyle w:val="79"/>
        <w:ind w:firstLine="402"/>
        <w:outlineLvl w:val="0"/>
        <w:rPr>
          <w:rFonts w:hint="eastAsia" w:cs="宋体"/>
          <w:b/>
          <w:color w:val="auto"/>
          <w:highlight w:val="none"/>
        </w:rPr>
      </w:pPr>
      <w:bookmarkStart w:id="151" w:name="_Toc478389018"/>
      <w:bookmarkStart w:id="152" w:name="_Toc406419174"/>
      <w:bookmarkStart w:id="153" w:name="_Toc406522049"/>
      <w:r>
        <w:rPr>
          <w:rFonts w:hint="eastAsia" w:cs="宋体"/>
          <w:b/>
          <w:color w:val="auto"/>
          <w:highlight w:val="none"/>
        </w:rPr>
        <w:t>1.1.6 其他</w:t>
      </w:r>
      <w:bookmarkEnd w:id="151"/>
      <w:bookmarkEnd w:id="152"/>
      <w:bookmarkEnd w:id="153"/>
    </w:p>
    <w:p w14:paraId="40A64C98">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1.1.6.1 书面形式：是指合同文件、信函、电报、传真等可以有形地表现所载内容的形式。</w:t>
      </w:r>
    </w:p>
    <w:p w14:paraId="46D53EA2">
      <w:pPr>
        <w:pStyle w:val="321"/>
        <w:rPr>
          <w:rFonts w:hint="eastAsia" w:ascii="宋体" w:cs="宋体"/>
          <w:color w:val="auto"/>
          <w:highlight w:val="none"/>
        </w:rPr>
      </w:pPr>
      <w:bookmarkStart w:id="154" w:name="_Toc296346530"/>
      <w:bookmarkStart w:id="155" w:name="_Toc478389019"/>
      <w:bookmarkStart w:id="156" w:name="_Toc337558729"/>
      <w:bookmarkStart w:id="157" w:name="_Toc351203497"/>
      <w:bookmarkStart w:id="158" w:name="_Toc296503029"/>
      <w:r>
        <w:rPr>
          <w:rFonts w:hint="eastAsia" w:ascii="宋体" w:cs="宋体"/>
          <w:color w:val="auto"/>
          <w:highlight w:val="none"/>
        </w:rPr>
        <w:t>1.2语言文字</w:t>
      </w:r>
      <w:bookmarkEnd w:id="154"/>
      <w:bookmarkEnd w:id="155"/>
      <w:bookmarkEnd w:id="156"/>
      <w:bookmarkEnd w:id="157"/>
      <w:bookmarkEnd w:id="158"/>
    </w:p>
    <w:p w14:paraId="7DD09767">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合同以中国的汉语简体文字编写、解释和说明。合同当事人在专用合同条款中约定使用两种以上语言时，汉语为优先解释和说明合同的语言。</w:t>
      </w:r>
    </w:p>
    <w:p w14:paraId="464D405B">
      <w:pPr>
        <w:pStyle w:val="321"/>
        <w:rPr>
          <w:rFonts w:hint="eastAsia" w:ascii="宋体" w:cs="宋体"/>
          <w:color w:val="auto"/>
          <w:highlight w:val="none"/>
        </w:rPr>
      </w:pPr>
      <w:bookmarkStart w:id="159" w:name="_Toc337558730"/>
      <w:bookmarkStart w:id="160" w:name="_Toc296346531"/>
      <w:bookmarkStart w:id="161" w:name="_Toc296503030"/>
      <w:bookmarkStart w:id="162" w:name="_Toc351203498"/>
      <w:bookmarkStart w:id="163" w:name="_Toc478389020"/>
      <w:r>
        <w:rPr>
          <w:rFonts w:hint="eastAsia" w:ascii="宋体" w:cs="宋体"/>
          <w:color w:val="auto"/>
          <w:highlight w:val="none"/>
        </w:rPr>
        <w:t>1.3法律</w:t>
      </w:r>
      <w:bookmarkEnd w:id="159"/>
      <w:bookmarkEnd w:id="160"/>
      <w:bookmarkEnd w:id="161"/>
      <w:bookmarkEnd w:id="162"/>
      <w:bookmarkEnd w:id="163"/>
    </w:p>
    <w:p w14:paraId="1CAAB94E">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合同所称法律是指中华人民共和国法律、行政法规、部门规章，以及工程所在地的地方性法规、自治条例、单行条例和地方规章等。</w:t>
      </w:r>
    </w:p>
    <w:p w14:paraId="5C939B6F">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合同当事人可以在专用合同条款中约定合同适用的其他规范性文件。</w:t>
      </w:r>
    </w:p>
    <w:p w14:paraId="25BED0B6">
      <w:pPr>
        <w:pStyle w:val="321"/>
        <w:rPr>
          <w:rFonts w:hint="eastAsia" w:ascii="宋体" w:cs="宋体"/>
          <w:color w:val="auto"/>
          <w:highlight w:val="none"/>
        </w:rPr>
      </w:pPr>
      <w:bookmarkStart w:id="164" w:name="_Toc478389021"/>
      <w:bookmarkStart w:id="165" w:name="_Toc351203499"/>
      <w:r>
        <w:rPr>
          <w:rFonts w:hint="eastAsia" w:ascii="宋体" w:cs="宋体"/>
          <w:color w:val="auto"/>
          <w:highlight w:val="none"/>
        </w:rPr>
        <w:t>1.4 标准和规范</w:t>
      </w:r>
      <w:bookmarkEnd w:id="164"/>
      <w:bookmarkEnd w:id="165"/>
    </w:p>
    <w:p w14:paraId="2459925D">
      <w:pPr>
        <w:autoSpaceDE w:val="0"/>
        <w:autoSpaceDN w:val="0"/>
        <w:adjustRightInd w:val="0"/>
        <w:spacing w:line="420" w:lineRule="exact"/>
        <w:ind w:firstLine="42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1.4.1 适用于工程的国家标准、行业标准、工程所在地的地方性标准，以及相应的规范、规程等，合同当事人有特别要求的，应在专用合同条款中约定。</w:t>
      </w:r>
    </w:p>
    <w:p w14:paraId="1B50AEC3">
      <w:pPr>
        <w:autoSpaceDE w:val="0"/>
        <w:autoSpaceDN w:val="0"/>
        <w:adjustRightInd w:val="0"/>
        <w:spacing w:line="420" w:lineRule="exact"/>
        <w:ind w:firstLine="42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1.4.2 发包人要求使用国外标准、规范的，发包人负责提供原文版本和中文译本，并在专用合同条款中约定提供标准规范的名称、份数和时间。</w:t>
      </w:r>
    </w:p>
    <w:p w14:paraId="014D326E">
      <w:pPr>
        <w:autoSpaceDE w:val="0"/>
        <w:autoSpaceDN w:val="0"/>
        <w:adjustRightInd w:val="0"/>
        <w:spacing w:line="420" w:lineRule="exact"/>
        <w:ind w:firstLine="42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0994534C">
      <w:pPr>
        <w:pStyle w:val="321"/>
        <w:rPr>
          <w:rFonts w:hint="eastAsia" w:ascii="宋体" w:cs="宋体"/>
          <w:color w:val="auto"/>
          <w:highlight w:val="none"/>
        </w:rPr>
      </w:pPr>
      <w:bookmarkStart w:id="166" w:name="_Toc351203500"/>
      <w:bookmarkStart w:id="167" w:name="_Toc478389022"/>
      <w:r>
        <w:rPr>
          <w:rFonts w:hint="eastAsia" w:ascii="宋体" w:cs="宋体"/>
          <w:color w:val="auto"/>
          <w:highlight w:val="none"/>
        </w:rPr>
        <w:t>1</w:t>
      </w:r>
      <w:bookmarkStart w:id="168" w:name="_Toc296503031"/>
      <w:bookmarkStart w:id="169" w:name="_Toc337558731"/>
      <w:bookmarkStart w:id="170" w:name="_Toc296346532"/>
      <w:r>
        <w:rPr>
          <w:rFonts w:hint="eastAsia" w:ascii="宋体" w:cs="宋体"/>
          <w:color w:val="auto"/>
          <w:highlight w:val="none"/>
        </w:rPr>
        <w:t>.5 合同文件的优先顺序</w:t>
      </w:r>
      <w:bookmarkEnd w:id="166"/>
      <w:bookmarkEnd w:id="167"/>
    </w:p>
    <w:bookmarkEnd w:id="168"/>
    <w:bookmarkEnd w:id="169"/>
    <w:bookmarkEnd w:id="170"/>
    <w:p w14:paraId="1A4C39F8">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组成合同的各项文件应互相解释，互为说明。除专用合同条款另有约定外，解释合同文件的优先顺序如下：</w:t>
      </w:r>
    </w:p>
    <w:p w14:paraId="79589646">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（1）合同协议书；</w:t>
      </w:r>
    </w:p>
    <w:p w14:paraId="568A064F">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（2）成交通知书（如果有）；</w:t>
      </w:r>
    </w:p>
    <w:p w14:paraId="0820E523">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（3）投标函及其附录（如果有）；</w:t>
      </w:r>
    </w:p>
    <w:p w14:paraId="71031A6C">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（4）专用合同条款</w:t>
      </w:r>
      <w:r>
        <w:rPr>
          <w:rFonts w:hint="eastAsia" w:ascii="宋体" w:hAnsi="宋体" w:cs="宋体"/>
          <w:color w:val="auto"/>
          <w:szCs w:val="21"/>
          <w:highlight w:val="none"/>
        </w:rPr>
        <w:t>及其附件</w:t>
      </w:r>
      <w:r>
        <w:rPr>
          <w:rFonts w:hint="eastAsia" w:ascii="宋体" w:hAnsi="宋体" w:cs="宋体"/>
          <w:color w:val="auto"/>
          <w:kern w:val="0"/>
          <w:szCs w:val="21"/>
          <w:highlight w:val="none"/>
        </w:rPr>
        <w:t>；</w:t>
      </w:r>
    </w:p>
    <w:p w14:paraId="1F198F9B">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（5）通用合同条款；</w:t>
      </w:r>
    </w:p>
    <w:p w14:paraId="32A6F637">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（6）技术标准和要求；</w:t>
      </w:r>
    </w:p>
    <w:p w14:paraId="4A406BB4">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（7）已标价工程量清单或预算书；</w:t>
      </w:r>
    </w:p>
    <w:p w14:paraId="2470BC6C">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（8）其他合同文件。</w:t>
      </w:r>
    </w:p>
    <w:p w14:paraId="13F94185">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GB50500-2013）《建设工程工程量清单计价规范》及其广西实施细则及《关于建筑业实施营业税改征增值税后广西壮族自治区建设工程计价依据调整的通知》（桂建标〔2019〕12号）、（GB50854~50862-2013）《建设工程工程量计算规范广西壮族自治区实施细则》（修订本）。</w:t>
      </w:r>
    </w:p>
    <w:p w14:paraId="5C534D54">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上述各项合同文件包括合同当事人就该项合同文件所作出的补充和修改，属于同一类内容的文件，应以最新签署的为准。</w:t>
      </w:r>
    </w:p>
    <w:p w14:paraId="02CA6A55">
      <w:pPr>
        <w:spacing w:line="420" w:lineRule="exact"/>
        <w:ind w:firstLine="447" w:firstLineChars="213"/>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在合同订立及履行过程中形成的与合同有关的文件均构成合同文件组成部分，并根据其性质确定优先解释顺序。</w:t>
      </w:r>
    </w:p>
    <w:p w14:paraId="2A5DF80D">
      <w:pPr>
        <w:pStyle w:val="321"/>
        <w:rPr>
          <w:rFonts w:hint="eastAsia" w:ascii="宋体" w:cs="宋体"/>
          <w:color w:val="auto"/>
          <w:highlight w:val="none"/>
        </w:rPr>
      </w:pPr>
      <w:bookmarkStart w:id="171" w:name="_Toc351203501"/>
      <w:bookmarkStart w:id="172" w:name="_Toc478389023"/>
      <w:r>
        <w:rPr>
          <w:rFonts w:hint="eastAsia" w:ascii="宋体" w:cs="宋体"/>
          <w:color w:val="auto"/>
          <w:highlight w:val="none"/>
        </w:rPr>
        <w:t>1</w:t>
      </w:r>
      <w:bookmarkStart w:id="173" w:name="_Toc337558732"/>
      <w:bookmarkStart w:id="174" w:name="_Toc296346533"/>
      <w:bookmarkStart w:id="175" w:name="_Toc296503032"/>
      <w:r>
        <w:rPr>
          <w:rFonts w:hint="eastAsia" w:ascii="宋体" w:cs="宋体"/>
          <w:color w:val="auto"/>
          <w:highlight w:val="none"/>
        </w:rPr>
        <w:t>.6图纸和承包人文件</w:t>
      </w:r>
      <w:bookmarkEnd w:id="171"/>
      <w:bookmarkEnd w:id="172"/>
    </w:p>
    <w:bookmarkEnd w:id="173"/>
    <w:bookmarkEnd w:id="174"/>
    <w:bookmarkEnd w:id="175"/>
    <w:p w14:paraId="7201D4E7">
      <w:pPr>
        <w:spacing w:line="420" w:lineRule="exact"/>
        <w:ind w:firstLine="420" w:firstLineChars="200"/>
        <w:jc w:val="left"/>
        <w:outlineLvl w:val="0"/>
        <w:rPr>
          <w:rFonts w:hint="eastAsia" w:ascii="宋体" w:hAnsi="宋体" w:cs="宋体"/>
          <w:color w:val="auto"/>
          <w:kern w:val="0"/>
          <w:szCs w:val="21"/>
          <w:highlight w:val="none"/>
        </w:rPr>
      </w:pPr>
      <w:bookmarkStart w:id="176" w:name="_Toc406522055"/>
      <w:bookmarkStart w:id="177" w:name="_Toc478389024"/>
      <w:r>
        <w:rPr>
          <w:rFonts w:hint="eastAsia" w:ascii="宋体" w:hAnsi="宋体" w:cs="宋体"/>
          <w:color w:val="auto"/>
          <w:kern w:val="0"/>
          <w:szCs w:val="21"/>
          <w:highlight w:val="none"/>
        </w:rPr>
        <w:t>1.6.1 图纸的提供和交底</w:t>
      </w:r>
      <w:bookmarkEnd w:id="176"/>
      <w:bookmarkEnd w:id="177"/>
    </w:p>
    <w:p w14:paraId="4B518C04">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12755716">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因发包人未按合同约定提供图纸导致承包人费用增加和（或）工期延误的，按照第7.5.1项〔因发包人原因导致工期延误〕约定办理。</w:t>
      </w:r>
    </w:p>
    <w:p w14:paraId="3A9AB478">
      <w:pPr>
        <w:spacing w:line="420" w:lineRule="exact"/>
        <w:ind w:firstLine="420" w:firstLineChars="200"/>
        <w:jc w:val="left"/>
        <w:outlineLvl w:val="0"/>
        <w:rPr>
          <w:rFonts w:hint="eastAsia" w:ascii="宋体" w:hAnsi="宋体" w:cs="宋体"/>
          <w:color w:val="auto"/>
          <w:kern w:val="0"/>
          <w:szCs w:val="21"/>
          <w:highlight w:val="none"/>
        </w:rPr>
      </w:pPr>
      <w:bookmarkStart w:id="178" w:name="_Toc406522056"/>
      <w:bookmarkStart w:id="179" w:name="_Toc478389025"/>
      <w:r>
        <w:rPr>
          <w:rFonts w:hint="eastAsia" w:ascii="宋体" w:hAnsi="宋体" w:cs="宋体"/>
          <w:color w:val="auto"/>
          <w:kern w:val="0"/>
          <w:szCs w:val="21"/>
          <w:highlight w:val="none"/>
        </w:rPr>
        <w:t>1.6.2 图纸的错误</w:t>
      </w:r>
      <w:bookmarkEnd w:id="178"/>
      <w:bookmarkEnd w:id="179"/>
    </w:p>
    <w:p w14:paraId="5C0A3263">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0E3BF528">
      <w:pPr>
        <w:spacing w:line="420" w:lineRule="exact"/>
        <w:ind w:firstLine="420" w:firstLineChars="200"/>
        <w:jc w:val="left"/>
        <w:outlineLvl w:val="0"/>
        <w:rPr>
          <w:rFonts w:hint="eastAsia" w:ascii="宋体" w:hAnsi="宋体" w:cs="宋体"/>
          <w:color w:val="auto"/>
          <w:kern w:val="0"/>
          <w:szCs w:val="21"/>
          <w:highlight w:val="none"/>
        </w:rPr>
      </w:pPr>
      <w:bookmarkStart w:id="180" w:name="_Toc478389026"/>
      <w:bookmarkStart w:id="181" w:name="_Toc406522057"/>
      <w:r>
        <w:rPr>
          <w:rFonts w:hint="eastAsia" w:ascii="宋体" w:hAnsi="宋体" w:cs="宋体"/>
          <w:color w:val="auto"/>
          <w:kern w:val="0"/>
          <w:szCs w:val="21"/>
          <w:highlight w:val="none"/>
        </w:rPr>
        <w:t>1.6.3 图纸的修改和补充</w:t>
      </w:r>
      <w:bookmarkEnd w:id="180"/>
      <w:bookmarkEnd w:id="181"/>
    </w:p>
    <w:p w14:paraId="2D38B64E">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73B69FB5">
      <w:pPr>
        <w:spacing w:line="420" w:lineRule="exact"/>
        <w:ind w:firstLine="420" w:firstLineChars="200"/>
        <w:jc w:val="left"/>
        <w:outlineLvl w:val="0"/>
        <w:rPr>
          <w:rFonts w:hint="eastAsia" w:ascii="宋体" w:hAnsi="宋体" w:cs="宋体"/>
          <w:color w:val="auto"/>
          <w:kern w:val="0"/>
          <w:szCs w:val="21"/>
          <w:highlight w:val="none"/>
        </w:rPr>
      </w:pPr>
      <w:bookmarkStart w:id="182" w:name="_Toc406522058"/>
      <w:bookmarkStart w:id="183" w:name="_Toc478389027"/>
      <w:r>
        <w:rPr>
          <w:rFonts w:hint="eastAsia" w:ascii="宋体" w:hAnsi="宋体" w:cs="宋体"/>
          <w:color w:val="auto"/>
          <w:kern w:val="0"/>
          <w:szCs w:val="21"/>
          <w:highlight w:val="none"/>
        </w:rPr>
        <w:t>1.6.4 承包人文件</w:t>
      </w:r>
      <w:bookmarkEnd w:id="182"/>
      <w:bookmarkEnd w:id="183"/>
    </w:p>
    <w:p w14:paraId="4019C6A2">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承包人应按照专用合同条款的约定提供应当由其编制的与工程施工有关的文件，并按照专用合同条款约定的期限、数量和形式提交监理人，并由监理人报送发包人。</w:t>
      </w:r>
    </w:p>
    <w:p w14:paraId="37E613A3">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108C2571">
      <w:pPr>
        <w:spacing w:line="420" w:lineRule="exact"/>
        <w:ind w:firstLine="420" w:firstLineChars="200"/>
        <w:jc w:val="left"/>
        <w:outlineLvl w:val="0"/>
        <w:rPr>
          <w:rFonts w:hint="eastAsia" w:ascii="宋体" w:hAnsi="宋体" w:cs="宋体"/>
          <w:color w:val="auto"/>
          <w:kern w:val="0"/>
          <w:szCs w:val="21"/>
          <w:highlight w:val="none"/>
        </w:rPr>
      </w:pPr>
      <w:bookmarkStart w:id="184" w:name="_Toc406522059"/>
      <w:bookmarkStart w:id="185" w:name="_Toc478389028"/>
      <w:r>
        <w:rPr>
          <w:rFonts w:hint="eastAsia" w:ascii="宋体" w:hAnsi="宋体" w:cs="宋体"/>
          <w:color w:val="auto"/>
          <w:kern w:val="0"/>
          <w:szCs w:val="21"/>
          <w:highlight w:val="none"/>
        </w:rPr>
        <w:t>1.6.5 图纸和承包人文件的保管</w:t>
      </w:r>
      <w:bookmarkEnd w:id="184"/>
      <w:bookmarkEnd w:id="185"/>
    </w:p>
    <w:p w14:paraId="6B850FA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除专用合同条款另有约定外，承包人应在施工现场另外保存一套完整的图纸和承包人文件，供发包人、监理人及有关人员进行工程检查时使用。</w:t>
      </w:r>
    </w:p>
    <w:p w14:paraId="6AB57A70">
      <w:pPr>
        <w:pStyle w:val="321"/>
        <w:rPr>
          <w:rFonts w:hint="eastAsia" w:ascii="宋体" w:cs="宋体"/>
          <w:color w:val="auto"/>
          <w:highlight w:val="none"/>
        </w:rPr>
      </w:pPr>
      <w:bookmarkStart w:id="186" w:name="_Toc478389029"/>
      <w:bookmarkStart w:id="187" w:name="_Toc351203502"/>
      <w:r>
        <w:rPr>
          <w:rFonts w:hint="eastAsia" w:ascii="宋体" w:cs="宋体"/>
          <w:color w:val="auto"/>
          <w:highlight w:val="none"/>
        </w:rPr>
        <w:t>1</w:t>
      </w:r>
      <w:bookmarkStart w:id="188" w:name="_Toc296503033"/>
      <w:bookmarkStart w:id="189" w:name="_Toc337558733"/>
      <w:bookmarkStart w:id="190" w:name="_Toc296346534"/>
      <w:r>
        <w:rPr>
          <w:rFonts w:hint="eastAsia" w:ascii="宋体" w:cs="宋体"/>
          <w:color w:val="auto"/>
          <w:highlight w:val="none"/>
        </w:rPr>
        <w:t>.7联络</w:t>
      </w:r>
      <w:bookmarkEnd w:id="186"/>
      <w:bookmarkEnd w:id="187"/>
    </w:p>
    <w:bookmarkEnd w:id="188"/>
    <w:bookmarkEnd w:id="189"/>
    <w:bookmarkEnd w:id="190"/>
    <w:p w14:paraId="4F270AB4">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1.7.1 与合同有关的通知、批准、证明、证书、指示、指令、要求、请求、同意、意见、确定和决定等，均应采用书面形式，并应在合同约定的期限内送达接收人和送达地点。</w:t>
      </w:r>
    </w:p>
    <w:p w14:paraId="27D28A70">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1.7.2 发包人和承包人应在专用合同条款中约定各自的送达接收人和送达地点。任何一方合同当事人指定的接收人或送达地点发生变动的，应提前3天以书面形式通知对方。</w:t>
      </w:r>
    </w:p>
    <w:p w14:paraId="5315A581">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1.7.3 发包人和承包人应当及时签收另一方送达至送达地点和指定接收人的来往信函。拒不签收的，由此增加的费</w:t>
      </w:r>
      <w:r>
        <w:rPr>
          <w:rStyle w:val="76"/>
          <w:rFonts w:cs="宋体"/>
          <w:color w:val="auto"/>
          <w:highlight w:val="none"/>
        </w:rPr>
        <w:t>用和（或）延误的工期由拒绝接收一方承担。</w:t>
      </w:r>
    </w:p>
    <w:p w14:paraId="007B3643">
      <w:pPr>
        <w:pStyle w:val="321"/>
        <w:rPr>
          <w:rFonts w:hint="eastAsia" w:ascii="宋体" w:cs="宋体"/>
          <w:color w:val="auto"/>
          <w:highlight w:val="none"/>
        </w:rPr>
      </w:pPr>
      <w:bookmarkStart w:id="191" w:name="_Toc351203503"/>
      <w:bookmarkStart w:id="192" w:name="_Toc478389030"/>
      <w:r>
        <w:rPr>
          <w:rFonts w:hint="eastAsia" w:ascii="宋体" w:cs="宋体"/>
          <w:color w:val="auto"/>
          <w:highlight w:val="none"/>
        </w:rPr>
        <w:t>1</w:t>
      </w:r>
      <w:bookmarkStart w:id="193" w:name="_Toc296503035"/>
      <w:bookmarkStart w:id="194" w:name="_Toc296346536"/>
      <w:bookmarkStart w:id="195" w:name="_Toc337558734"/>
      <w:r>
        <w:rPr>
          <w:rFonts w:hint="eastAsia" w:ascii="宋体" w:cs="宋体"/>
          <w:color w:val="auto"/>
          <w:highlight w:val="none"/>
        </w:rPr>
        <w:t>.8严禁贿赂</w:t>
      </w:r>
      <w:bookmarkEnd w:id="191"/>
      <w:bookmarkEnd w:id="192"/>
    </w:p>
    <w:bookmarkEnd w:id="193"/>
    <w:bookmarkEnd w:id="194"/>
    <w:bookmarkEnd w:id="195"/>
    <w:p w14:paraId="11DD4723">
      <w:pPr>
        <w:pStyle w:val="79"/>
        <w:rPr>
          <w:rFonts w:hint="eastAsia" w:cs="宋体"/>
          <w:color w:val="auto"/>
          <w:sz w:val="21"/>
          <w:highlight w:val="none"/>
        </w:rPr>
      </w:pPr>
      <w:r>
        <w:rPr>
          <w:rFonts w:hint="eastAsia" w:cs="宋体"/>
          <w:color w:val="auto"/>
          <w:sz w:val="21"/>
          <w:highlight w:val="none"/>
        </w:rPr>
        <w:t>合同当事人不得以贿赂或变相贿赂的方式，谋取非法利益或损害对方权益。因一方合同当事人的贿赂造成对方损失的，应赔偿损失，并承担相应的法律责任。</w:t>
      </w:r>
    </w:p>
    <w:p w14:paraId="70FED64A">
      <w:pPr>
        <w:pStyle w:val="79"/>
        <w:rPr>
          <w:rFonts w:hint="eastAsia" w:cs="宋体"/>
          <w:color w:val="auto"/>
          <w:sz w:val="21"/>
          <w:highlight w:val="none"/>
        </w:rPr>
      </w:pPr>
      <w:r>
        <w:rPr>
          <w:rFonts w:hint="eastAsia" w:cs="宋体"/>
          <w:color w:val="auto"/>
          <w:sz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7B6FD2A6">
      <w:pPr>
        <w:pStyle w:val="321"/>
        <w:rPr>
          <w:rFonts w:hint="eastAsia" w:ascii="宋体" w:cs="宋体"/>
          <w:color w:val="auto"/>
          <w:highlight w:val="none"/>
        </w:rPr>
      </w:pPr>
      <w:bookmarkStart w:id="196" w:name="_Toc478389031"/>
      <w:bookmarkStart w:id="197" w:name="_Toc351203504"/>
      <w:r>
        <w:rPr>
          <w:rFonts w:hint="eastAsia" w:ascii="宋体" w:cs="宋体"/>
          <w:color w:val="auto"/>
          <w:highlight w:val="none"/>
        </w:rPr>
        <w:t>1</w:t>
      </w:r>
      <w:bookmarkStart w:id="198" w:name="_Toc296503036"/>
      <w:bookmarkStart w:id="199" w:name="_Toc296346537"/>
      <w:bookmarkStart w:id="200" w:name="_Toc337558735"/>
      <w:r>
        <w:rPr>
          <w:rFonts w:hint="eastAsia" w:ascii="宋体" w:cs="宋体"/>
          <w:color w:val="auto"/>
          <w:highlight w:val="none"/>
        </w:rPr>
        <w:t>.9化石、文物</w:t>
      </w:r>
      <w:bookmarkEnd w:id="196"/>
      <w:bookmarkEnd w:id="197"/>
    </w:p>
    <w:bookmarkEnd w:id="198"/>
    <w:bookmarkEnd w:id="199"/>
    <w:bookmarkEnd w:id="200"/>
    <w:p w14:paraId="0BF112FC">
      <w:pPr>
        <w:pStyle w:val="79"/>
        <w:rPr>
          <w:rFonts w:hint="eastAsia" w:cs="宋体"/>
          <w:color w:val="auto"/>
          <w:sz w:val="21"/>
          <w:highlight w:val="none"/>
        </w:rPr>
      </w:pPr>
      <w:r>
        <w:rPr>
          <w:rFonts w:hint="eastAsia" w:cs="宋体"/>
          <w:color w:val="auto"/>
          <w:sz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行政管理部门，同时通知监理人。</w:t>
      </w:r>
    </w:p>
    <w:p w14:paraId="3A71F795">
      <w:pPr>
        <w:pStyle w:val="79"/>
        <w:rPr>
          <w:rFonts w:hint="eastAsia" w:cs="宋体"/>
          <w:color w:val="auto"/>
          <w:sz w:val="21"/>
          <w:highlight w:val="none"/>
        </w:rPr>
      </w:pPr>
      <w:r>
        <w:rPr>
          <w:rFonts w:hint="eastAsia" w:cs="宋体"/>
          <w:color w:val="auto"/>
          <w:sz w:val="21"/>
          <w:highlight w:val="none"/>
        </w:rPr>
        <w:t>发包人、监理人和承包人应按有关行政管理部门要求采取妥善的保护措施，由此增加的费用和（或）延误的工期由发包人承担。</w:t>
      </w:r>
    </w:p>
    <w:p w14:paraId="4133E526">
      <w:pPr>
        <w:pStyle w:val="79"/>
        <w:rPr>
          <w:rFonts w:hint="eastAsia" w:cs="宋体"/>
          <w:color w:val="auto"/>
          <w:sz w:val="21"/>
          <w:highlight w:val="none"/>
        </w:rPr>
      </w:pPr>
      <w:r>
        <w:rPr>
          <w:rFonts w:hint="eastAsia" w:cs="宋体"/>
          <w:color w:val="auto"/>
          <w:sz w:val="21"/>
          <w:highlight w:val="none"/>
        </w:rPr>
        <w:t>承包人发现文物后不及时报告或隐瞒不报，致使文物丢失或损坏的，应赔偿损失，并承担相应的法律责任。</w:t>
      </w:r>
    </w:p>
    <w:p w14:paraId="7EEAAA5C">
      <w:pPr>
        <w:pStyle w:val="321"/>
        <w:rPr>
          <w:rFonts w:hint="eastAsia" w:ascii="宋体" w:cs="宋体"/>
          <w:color w:val="auto"/>
          <w:highlight w:val="none"/>
        </w:rPr>
      </w:pPr>
      <w:bookmarkStart w:id="201" w:name="_Toc478389032"/>
      <w:bookmarkStart w:id="202" w:name="_Toc351203505"/>
      <w:r>
        <w:rPr>
          <w:rFonts w:hint="eastAsia" w:ascii="宋体" w:cs="宋体"/>
          <w:color w:val="auto"/>
          <w:highlight w:val="none"/>
        </w:rPr>
        <w:t>1</w:t>
      </w:r>
      <w:bookmarkStart w:id="203" w:name="_Toc337558736"/>
      <w:r>
        <w:rPr>
          <w:rFonts w:hint="eastAsia" w:ascii="宋体" w:cs="宋体"/>
          <w:color w:val="auto"/>
          <w:highlight w:val="none"/>
        </w:rPr>
        <w:t>.10交通运输</w:t>
      </w:r>
      <w:bookmarkEnd w:id="201"/>
      <w:bookmarkEnd w:id="202"/>
    </w:p>
    <w:bookmarkEnd w:id="203"/>
    <w:p w14:paraId="0B96772C">
      <w:pPr>
        <w:pStyle w:val="79"/>
        <w:outlineLvl w:val="0"/>
        <w:rPr>
          <w:rFonts w:hint="eastAsia" w:cs="宋体"/>
          <w:color w:val="auto"/>
          <w:sz w:val="21"/>
          <w:highlight w:val="none"/>
        </w:rPr>
      </w:pPr>
      <w:bookmarkStart w:id="204" w:name="_Toc406522064"/>
      <w:bookmarkStart w:id="205" w:name="_Toc478389033"/>
      <w:r>
        <w:rPr>
          <w:rFonts w:hint="eastAsia" w:cs="宋体"/>
          <w:color w:val="auto"/>
          <w:sz w:val="21"/>
          <w:highlight w:val="none"/>
        </w:rPr>
        <w:t>1.10.1 出入现场的权利</w:t>
      </w:r>
      <w:bookmarkEnd w:id="204"/>
      <w:bookmarkEnd w:id="205"/>
    </w:p>
    <w:p w14:paraId="26668E41">
      <w:pPr>
        <w:pStyle w:val="79"/>
        <w:rPr>
          <w:rFonts w:hint="eastAsia" w:cs="宋体"/>
          <w:color w:val="auto"/>
          <w:sz w:val="21"/>
          <w:highlight w:val="none"/>
        </w:rPr>
      </w:pPr>
      <w:r>
        <w:rPr>
          <w:rFonts w:hint="eastAsia" w:cs="宋体"/>
          <w:color w:val="auto"/>
          <w:sz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476C2117">
      <w:pPr>
        <w:pStyle w:val="79"/>
        <w:rPr>
          <w:rFonts w:hint="eastAsia" w:cs="宋体"/>
          <w:color w:val="auto"/>
          <w:sz w:val="21"/>
          <w:highlight w:val="none"/>
        </w:rPr>
      </w:pPr>
      <w:r>
        <w:rPr>
          <w:rFonts w:hint="eastAsia" w:cs="宋体"/>
          <w:color w:val="auto"/>
          <w:sz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1A3E4227">
      <w:pPr>
        <w:pStyle w:val="79"/>
        <w:outlineLvl w:val="0"/>
        <w:rPr>
          <w:rFonts w:hint="eastAsia" w:cs="宋体"/>
          <w:color w:val="auto"/>
          <w:sz w:val="21"/>
          <w:highlight w:val="none"/>
        </w:rPr>
      </w:pPr>
      <w:bookmarkStart w:id="206" w:name="_Toc406522065"/>
      <w:bookmarkStart w:id="207" w:name="_Toc478389034"/>
      <w:r>
        <w:rPr>
          <w:rFonts w:hint="eastAsia" w:cs="宋体"/>
          <w:color w:val="auto"/>
          <w:sz w:val="21"/>
          <w:highlight w:val="none"/>
        </w:rPr>
        <w:t>1.10.2 场外交通</w:t>
      </w:r>
      <w:bookmarkEnd w:id="206"/>
      <w:bookmarkEnd w:id="207"/>
    </w:p>
    <w:p w14:paraId="617CA0FE">
      <w:pPr>
        <w:pStyle w:val="79"/>
        <w:rPr>
          <w:rFonts w:hint="eastAsia" w:cs="宋体"/>
          <w:color w:val="auto"/>
          <w:sz w:val="21"/>
          <w:highlight w:val="none"/>
        </w:rPr>
      </w:pPr>
      <w:r>
        <w:rPr>
          <w:rFonts w:hint="eastAsia" w:cs="宋体"/>
          <w:color w:val="auto"/>
          <w:sz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05390D6A">
      <w:pPr>
        <w:pStyle w:val="79"/>
        <w:rPr>
          <w:rFonts w:hint="eastAsia" w:cs="宋体"/>
          <w:color w:val="auto"/>
          <w:sz w:val="21"/>
          <w:highlight w:val="none"/>
        </w:rPr>
      </w:pPr>
      <w:r>
        <w:rPr>
          <w:rFonts w:hint="eastAsia" w:cs="宋体"/>
          <w:color w:val="auto"/>
          <w:sz w:val="21"/>
          <w:highlight w:val="none"/>
        </w:rPr>
        <w:t>1.10.3场内交通</w:t>
      </w:r>
    </w:p>
    <w:p w14:paraId="78C44683">
      <w:pPr>
        <w:pStyle w:val="79"/>
        <w:rPr>
          <w:rFonts w:hint="eastAsia" w:cs="宋体"/>
          <w:color w:val="auto"/>
          <w:sz w:val="21"/>
          <w:highlight w:val="none"/>
        </w:rPr>
      </w:pPr>
      <w:r>
        <w:rPr>
          <w:rFonts w:hint="eastAsia" w:cs="宋体"/>
          <w:color w:val="auto"/>
          <w:sz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1CD219D6">
      <w:pPr>
        <w:pStyle w:val="79"/>
        <w:rPr>
          <w:rFonts w:hint="eastAsia" w:cs="宋体"/>
          <w:color w:val="auto"/>
          <w:sz w:val="21"/>
          <w:highlight w:val="none"/>
        </w:rPr>
      </w:pPr>
      <w:r>
        <w:rPr>
          <w:rFonts w:hint="eastAsia" w:cs="宋体"/>
          <w:color w:val="auto"/>
          <w:sz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4335DF2A">
      <w:pPr>
        <w:pStyle w:val="79"/>
        <w:rPr>
          <w:rFonts w:hint="eastAsia" w:cs="宋体"/>
          <w:color w:val="auto"/>
          <w:sz w:val="21"/>
          <w:highlight w:val="none"/>
        </w:rPr>
      </w:pPr>
      <w:r>
        <w:rPr>
          <w:rFonts w:hint="eastAsia" w:cs="宋体"/>
          <w:color w:val="auto"/>
          <w:sz w:val="21"/>
          <w:highlight w:val="none"/>
        </w:rPr>
        <w:t>场外交通和场内交通的边界由合同当事人在专用合同条款中约定。</w:t>
      </w:r>
    </w:p>
    <w:p w14:paraId="04BF1F7C">
      <w:pPr>
        <w:pStyle w:val="79"/>
        <w:outlineLvl w:val="0"/>
        <w:rPr>
          <w:rFonts w:hint="eastAsia" w:cs="宋体"/>
          <w:color w:val="auto"/>
          <w:sz w:val="21"/>
          <w:highlight w:val="none"/>
        </w:rPr>
      </w:pPr>
      <w:bookmarkStart w:id="208" w:name="_Toc478389035"/>
      <w:bookmarkStart w:id="209" w:name="_Toc406522066"/>
      <w:r>
        <w:rPr>
          <w:rFonts w:hint="eastAsia" w:cs="宋体"/>
          <w:color w:val="auto"/>
          <w:sz w:val="21"/>
          <w:highlight w:val="none"/>
        </w:rPr>
        <w:t>1.10.4 超大件和超重件的运输</w:t>
      </w:r>
      <w:bookmarkEnd w:id="208"/>
      <w:bookmarkEnd w:id="209"/>
    </w:p>
    <w:p w14:paraId="332787A1">
      <w:pPr>
        <w:pStyle w:val="79"/>
        <w:rPr>
          <w:rFonts w:hint="eastAsia" w:cs="宋体"/>
          <w:color w:val="auto"/>
          <w:sz w:val="21"/>
          <w:highlight w:val="none"/>
        </w:rPr>
      </w:pPr>
      <w:r>
        <w:rPr>
          <w:rFonts w:hint="eastAsia" w:cs="宋体"/>
          <w:color w:val="auto"/>
          <w:sz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E8AEC14">
      <w:pPr>
        <w:pStyle w:val="79"/>
        <w:outlineLvl w:val="0"/>
        <w:rPr>
          <w:rFonts w:hint="eastAsia" w:cs="宋体"/>
          <w:color w:val="auto"/>
          <w:sz w:val="21"/>
          <w:highlight w:val="none"/>
        </w:rPr>
      </w:pPr>
      <w:bookmarkStart w:id="210" w:name="_Toc406522067"/>
      <w:bookmarkStart w:id="211" w:name="_Toc478389036"/>
      <w:r>
        <w:rPr>
          <w:rFonts w:hint="eastAsia" w:cs="宋体"/>
          <w:color w:val="auto"/>
          <w:sz w:val="21"/>
          <w:highlight w:val="none"/>
        </w:rPr>
        <w:t>1.10.5 道路和桥梁的损坏责任</w:t>
      </w:r>
      <w:bookmarkEnd w:id="210"/>
      <w:bookmarkEnd w:id="211"/>
    </w:p>
    <w:p w14:paraId="028F84C6">
      <w:pPr>
        <w:pStyle w:val="79"/>
        <w:rPr>
          <w:rFonts w:hint="eastAsia" w:cs="宋体"/>
          <w:color w:val="auto"/>
          <w:sz w:val="21"/>
          <w:highlight w:val="none"/>
        </w:rPr>
      </w:pPr>
      <w:r>
        <w:rPr>
          <w:rFonts w:hint="eastAsia" w:cs="宋体"/>
          <w:color w:val="auto"/>
          <w:sz w:val="21"/>
          <w:highlight w:val="none"/>
        </w:rPr>
        <w:t>因承包人运输造成施工场地内外公共道路和桥梁损坏的，由承包人承担修复损坏的全部费用和可能引起的赔偿。</w:t>
      </w:r>
    </w:p>
    <w:p w14:paraId="56E55AAC">
      <w:pPr>
        <w:pStyle w:val="79"/>
        <w:outlineLvl w:val="0"/>
        <w:rPr>
          <w:rFonts w:hint="eastAsia" w:cs="宋体"/>
          <w:color w:val="auto"/>
          <w:sz w:val="21"/>
          <w:highlight w:val="none"/>
        </w:rPr>
      </w:pPr>
      <w:bookmarkStart w:id="212" w:name="_Toc478389037"/>
      <w:bookmarkStart w:id="213" w:name="_Toc406522068"/>
      <w:r>
        <w:rPr>
          <w:rFonts w:hint="eastAsia" w:cs="宋体"/>
          <w:color w:val="auto"/>
          <w:sz w:val="21"/>
          <w:highlight w:val="none"/>
        </w:rPr>
        <w:t>1.10.6 水路和航空运输</w:t>
      </w:r>
      <w:bookmarkEnd w:id="212"/>
      <w:bookmarkEnd w:id="213"/>
    </w:p>
    <w:p w14:paraId="37D461E9">
      <w:pPr>
        <w:pStyle w:val="79"/>
        <w:rPr>
          <w:rFonts w:hint="eastAsia" w:cs="宋体"/>
          <w:color w:val="auto"/>
          <w:sz w:val="21"/>
          <w:highlight w:val="none"/>
        </w:rPr>
      </w:pPr>
      <w:r>
        <w:rPr>
          <w:rFonts w:hint="eastAsia" w:cs="宋体"/>
          <w:color w:val="auto"/>
          <w:sz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69BD07ED">
      <w:pPr>
        <w:pStyle w:val="321"/>
        <w:rPr>
          <w:rFonts w:hint="eastAsia" w:ascii="宋体" w:cs="宋体"/>
          <w:color w:val="auto"/>
          <w:highlight w:val="none"/>
        </w:rPr>
      </w:pPr>
      <w:bookmarkStart w:id="214" w:name="_Toc351203506"/>
      <w:bookmarkStart w:id="215" w:name="_Toc478389038"/>
      <w:r>
        <w:rPr>
          <w:rFonts w:hint="eastAsia" w:ascii="宋体" w:cs="宋体"/>
          <w:color w:val="auto"/>
          <w:highlight w:val="none"/>
        </w:rPr>
        <w:t>1</w:t>
      </w:r>
      <w:bookmarkStart w:id="216" w:name="_Toc337558737"/>
      <w:bookmarkStart w:id="217" w:name="_Toc296346538"/>
      <w:bookmarkStart w:id="218" w:name="_Toc296503037"/>
      <w:r>
        <w:rPr>
          <w:rFonts w:hint="eastAsia" w:ascii="宋体" w:cs="宋体"/>
          <w:color w:val="auto"/>
          <w:highlight w:val="none"/>
        </w:rPr>
        <w:t>.11知识产权</w:t>
      </w:r>
      <w:bookmarkEnd w:id="214"/>
      <w:bookmarkEnd w:id="215"/>
      <w:bookmarkEnd w:id="216"/>
    </w:p>
    <w:bookmarkEnd w:id="217"/>
    <w:bookmarkEnd w:id="218"/>
    <w:p w14:paraId="13E5F89A">
      <w:pPr>
        <w:pStyle w:val="79"/>
        <w:rPr>
          <w:rFonts w:hint="eastAsia" w:cs="宋体"/>
          <w:color w:val="auto"/>
          <w:sz w:val="21"/>
          <w:highlight w:val="none"/>
        </w:rPr>
      </w:pPr>
      <w:r>
        <w:rPr>
          <w:rFonts w:hint="eastAsia" w:cs="宋体"/>
          <w:color w:val="auto"/>
          <w:sz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87ED5D4">
      <w:pPr>
        <w:pStyle w:val="79"/>
        <w:rPr>
          <w:rFonts w:hint="eastAsia" w:cs="宋体"/>
          <w:color w:val="auto"/>
          <w:sz w:val="21"/>
          <w:highlight w:val="none"/>
        </w:rPr>
      </w:pPr>
      <w:r>
        <w:rPr>
          <w:rFonts w:hint="eastAsia" w:cs="宋体"/>
          <w:color w:val="auto"/>
          <w:sz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4DE1476">
      <w:pPr>
        <w:pStyle w:val="79"/>
        <w:rPr>
          <w:rFonts w:hint="eastAsia" w:cs="宋体"/>
          <w:color w:val="auto"/>
          <w:sz w:val="21"/>
          <w:highlight w:val="none"/>
        </w:rPr>
      </w:pPr>
      <w:r>
        <w:rPr>
          <w:rFonts w:hint="eastAsia" w:cs="宋体"/>
          <w:color w:val="auto"/>
          <w:sz w:val="21"/>
          <w:highlight w:val="none"/>
        </w:rPr>
        <w:t>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6C3C2D1">
      <w:pPr>
        <w:pStyle w:val="79"/>
        <w:rPr>
          <w:rFonts w:hint="eastAsia" w:cs="宋体"/>
          <w:color w:val="auto"/>
          <w:sz w:val="21"/>
          <w:highlight w:val="none"/>
        </w:rPr>
      </w:pPr>
      <w:r>
        <w:rPr>
          <w:rFonts w:hint="eastAsia" w:cs="宋体"/>
          <w:color w:val="auto"/>
          <w:sz w:val="21"/>
          <w:highlight w:val="none"/>
        </w:rPr>
        <w:t>1.11.4除专用合同条款另有约定外，承包人在合同签订前和签订时已确定采用的专利、专有技术、技术秘密的使用费已包含在签约合同价中。</w:t>
      </w:r>
    </w:p>
    <w:p w14:paraId="5F159E7F">
      <w:pPr>
        <w:pStyle w:val="321"/>
        <w:rPr>
          <w:rFonts w:hint="eastAsia" w:ascii="宋体" w:cs="宋体"/>
          <w:color w:val="auto"/>
          <w:highlight w:val="none"/>
        </w:rPr>
      </w:pPr>
      <w:bookmarkStart w:id="219" w:name="_Toc351203507"/>
      <w:bookmarkStart w:id="220" w:name="_Toc478389039"/>
      <w:r>
        <w:rPr>
          <w:rFonts w:hint="eastAsia" w:ascii="宋体" w:cs="宋体"/>
          <w:color w:val="auto"/>
          <w:highlight w:val="none"/>
        </w:rPr>
        <w:t>1</w:t>
      </w:r>
      <w:bookmarkStart w:id="221" w:name="_Toc337558738"/>
      <w:r>
        <w:rPr>
          <w:rFonts w:hint="eastAsia" w:ascii="宋体" w:cs="宋体"/>
          <w:color w:val="auto"/>
          <w:highlight w:val="none"/>
        </w:rPr>
        <w:t>.12保密</w:t>
      </w:r>
      <w:bookmarkEnd w:id="219"/>
      <w:bookmarkEnd w:id="220"/>
    </w:p>
    <w:bookmarkEnd w:id="221"/>
    <w:p w14:paraId="5B6E4E6B">
      <w:pPr>
        <w:pStyle w:val="79"/>
        <w:rPr>
          <w:rFonts w:hint="eastAsia" w:cs="宋体"/>
          <w:color w:val="auto"/>
          <w:sz w:val="21"/>
          <w:highlight w:val="none"/>
        </w:rPr>
      </w:pPr>
      <w:r>
        <w:rPr>
          <w:rFonts w:hint="eastAsia" w:cs="宋体"/>
          <w:color w:val="auto"/>
          <w:sz w:val="21"/>
          <w:highlight w:val="none"/>
        </w:rPr>
        <w:t>除法律规定或合同另有约定外，未经发包人同意，承包人不得将发包人提供的图纸、文件以及声明需要保密的资料信息等商业秘密泄露给第三方。</w:t>
      </w:r>
    </w:p>
    <w:p w14:paraId="31C3485F">
      <w:pPr>
        <w:pStyle w:val="79"/>
        <w:rPr>
          <w:rFonts w:hint="eastAsia" w:cs="宋体"/>
          <w:color w:val="auto"/>
          <w:sz w:val="21"/>
          <w:highlight w:val="none"/>
        </w:rPr>
      </w:pPr>
      <w:r>
        <w:rPr>
          <w:rFonts w:hint="eastAsia" w:cs="宋体"/>
          <w:color w:val="auto"/>
          <w:sz w:val="21"/>
          <w:highlight w:val="none"/>
        </w:rPr>
        <w:t>除法律规定或合同另有约定外，未经承包人同意，发包人不得将承包人提供的技术秘密及声明需要保密的资料信息等商业秘密泄露给第三方。</w:t>
      </w:r>
    </w:p>
    <w:p w14:paraId="2BBC34C3">
      <w:pPr>
        <w:pStyle w:val="321"/>
        <w:rPr>
          <w:rFonts w:hint="eastAsia" w:ascii="宋体" w:cs="宋体"/>
          <w:color w:val="auto"/>
          <w:highlight w:val="none"/>
        </w:rPr>
      </w:pPr>
      <w:bookmarkStart w:id="222" w:name="_Toc478389040"/>
      <w:bookmarkStart w:id="223" w:name="_Toc351203508"/>
      <w:r>
        <w:rPr>
          <w:rFonts w:hint="eastAsia" w:ascii="宋体" w:cs="宋体"/>
          <w:color w:val="auto"/>
          <w:highlight w:val="none"/>
        </w:rPr>
        <w:t>1.13工程量清单错误的修正</w:t>
      </w:r>
      <w:bookmarkEnd w:id="222"/>
      <w:bookmarkEnd w:id="223"/>
    </w:p>
    <w:p w14:paraId="6E40E4EB">
      <w:pPr>
        <w:pStyle w:val="79"/>
        <w:rPr>
          <w:rFonts w:hint="eastAsia" w:cs="宋体"/>
          <w:color w:val="auto"/>
          <w:sz w:val="21"/>
          <w:highlight w:val="none"/>
        </w:rPr>
      </w:pPr>
      <w:r>
        <w:rPr>
          <w:rFonts w:hint="eastAsia" w:cs="宋体"/>
          <w:color w:val="auto"/>
          <w:sz w:val="21"/>
          <w:highlight w:val="none"/>
        </w:rPr>
        <w:t>除专用合同条款另有约定外，发包人提供的工程量清单，应被认为是准确的和完整的。出现下列情形之一时，发包人应予以修正，并相应调整合同价格：</w:t>
      </w:r>
    </w:p>
    <w:p w14:paraId="4A9B0188">
      <w:pPr>
        <w:pStyle w:val="79"/>
        <w:rPr>
          <w:rFonts w:hint="eastAsia" w:cs="宋体"/>
          <w:color w:val="auto"/>
          <w:sz w:val="21"/>
          <w:highlight w:val="none"/>
        </w:rPr>
      </w:pPr>
      <w:r>
        <w:rPr>
          <w:rFonts w:hint="eastAsia" w:cs="宋体"/>
          <w:color w:val="auto"/>
          <w:sz w:val="21"/>
          <w:highlight w:val="none"/>
        </w:rPr>
        <w:t>（1）工程量清单存在缺项、漏项的；</w:t>
      </w:r>
    </w:p>
    <w:p w14:paraId="3796A97B">
      <w:pPr>
        <w:pStyle w:val="79"/>
        <w:rPr>
          <w:rFonts w:hint="eastAsia" w:cs="宋体"/>
          <w:color w:val="auto"/>
          <w:sz w:val="21"/>
          <w:highlight w:val="none"/>
        </w:rPr>
      </w:pPr>
      <w:r>
        <w:rPr>
          <w:rFonts w:hint="eastAsia" w:cs="宋体"/>
          <w:color w:val="auto"/>
          <w:sz w:val="21"/>
          <w:highlight w:val="none"/>
        </w:rPr>
        <w:t>（2）工程量清单偏差超出专用合同条款约定的工程量偏差范围的；</w:t>
      </w:r>
    </w:p>
    <w:p w14:paraId="29F09CD1">
      <w:pPr>
        <w:pStyle w:val="79"/>
        <w:rPr>
          <w:rFonts w:hint="eastAsia" w:cs="宋体"/>
          <w:color w:val="auto"/>
          <w:sz w:val="21"/>
          <w:highlight w:val="none"/>
        </w:rPr>
      </w:pPr>
      <w:r>
        <w:rPr>
          <w:rFonts w:hint="eastAsia" w:cs="宋体"/>
          <w:color w:val="auto"/>
          <w:sz w:val="21"/>
          <w:highlight w:val="none"/>
        </w:rPr>
        <w:t>（3）未按照国家现行计量规范强制性规定计量的。</w:t>
      </w:r>
    </w:p>
    <w:p w14:paraId="0EBCBC32">
      <w:pPr>
        <w:pStyle w:val="321"/>
        <w:rPr>
          <w:rFonts w:hint="eastAsia" w:ascii="宋体" w:cs="宋体"/>
          <w:color w:val="auto"/>
          <w:highlight w:val="none"/>
        </w:rPr>
      </w:pPr>
      <w:bookmarkStart w:id="224" w:name="_Toc478389041"/>
      <w:bookmarkStart w:id="225" w:name="_Toc351203509"/>
      <w:r>
        <w:rPr>
          <w:rFonts w:hint="eastAsia" w:ascii="宋体" w:cs="宋体"/>
          <w:color w:val="auto"/>
          <w:highlight w:val="none"/>
        </w:rPr>
        <w:t>2</w:t>
      </w:r>
      <w:bookmarkStart w:id="226" w:name="_Toc296503038"/>
      <w:bookmarkStart w:id="227" w:name="_Toc337558739"/>
      <w:bookmarkStart w:id="228" w:name="_Toc296346539"/>
      <w:r>
        <w:rPr>
          <w:rFonts w:hint="eastAsia" w:ascii="宋体" w:cs="宋体"/>
          <w:color w:val="auto"/>
          <w:highlight w:val="none"/>
        </w:rPr>
        <w:t>. 发包人</w:t>
      </w:r>
      <w:bookmarkEnd w:id="224"/>
      <w:bookmarkEnd w:id="225"/>
    </w:p>
    <w:bookmarkEnd w:id="226"/>
    <w:bookmarkEnd w:id="227"/>
    <w:bookmarkEnd w:id="228"/>
    <w:p w14:paraId="798C7B77">
      <w:pPr>
        <w:pStyle w:val="321"/>
        <w:rPr>
          <w:rFonts w:hint="eastAsia" w:ascii="宋体" w:cs="宋体"/>
          <w:color w:val="auto"/>
          <w:highlight w:val="none"/>
        </w:rPr>
      </w:pPr>
      <w:bookmarkStart w:id="229" w:name="_Toc478389042"/>
      <w:bookmarkStart w:id="230" w:name="_Toc351203510"/>
      <w:r>
        <w:rPr>
          <w:rFonts w:hint="eastAsia" w:ascii="宋体" w:cs="宋体"/>
          <w:color w:val="auto"/>
          <w:highlight w:val="none"/>
        </w:rPr>
        <w:t>2</w:t>
      </w:r>
      <w:bookmarkStart w:id="231" w:name="_Toc296346540"/>
      <w:bookmarkStart w:id="232" w:name="_Toc337558740"/>
      <w:bookmarkStart w:id="233" w:name="_Toc296503039"/>
      <w:r>
        <w:rPr>
          <w:rFonts w:hint="eastAsia" w:ascii="宋体" w:cs="宋体"/>
          <w:color w:val="auto"/>
          <w:highlight w:val="none"/>
        </w:rPr>
        <w:t>.1 许可或批准</w:t>
      </w:r>
      <w:bookmarkEnd w:id="229"/>
      <w:bookmarkEnd w:id="230"/>
    </w:p>
    <w:p w14:paraId="1D697201">
      <w:pPr>
        <w:pStyle w:val="79"/>
        <w:rPr>
          <w:rFonts w:hint="eastAsia" w:cs="宋体"/>
          <w:color w:val="auto"/>
          <w:sz w:val="21"/>
          <w:highlight w:val="none"/>
        </w:rPr>
      </w:pPr>
      <w:r>
        <w:rPr>
          <w:rFonts w:hint="eastAsia" w:cs="宋体"/>
          <w:color w:val="auto"/>
          <w:sz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714747E2">
      <w:pPr>
        <w:pStyle w:val="79"/>
        <w:rPr>
          <w:rFonts w:hint="eastAsia" w:cs="宋体"/>
          <w:color w:val="auto"/>
          <w:sz w:val="21"/>
          <w:highlight w:val="none"/>
        </w:rPr>
      </w:pPr>
      <w:r>
        <w:rPr>
          <w:rFonts w:hint="eastAsia" w:cs="宋体"/>
          <w:color w:val="auto"/>
          <w:sz w:val="21"/>
          <w:highlight w:val="none"/>
        </w:rPr>
        <w:t>因发包人原因未能及时办理完毕前述许可、批准或备案，由发包人承担由此增加的费用和（或）延误的工期，并支付承包人合理的利润。</w:t>
      </w:r>
    </w:p>
    <w:p w14:paraId="569D99CB">
      <w:pPr>
        <w:pStyle w:val="321"/>
        <w:rPr>
          <w:rFonts w:hint="eastAsia" w:ascii="宋体" w:cs="宋体"/>
          <w:color w:val="auto"/>
          <w:highlight w:val="none"/>
        </w:rPr>
      </w:pPr>
      <w:bookmarkStart w:id="234" w:name="_Toc351203511"/>
      <w:bookmarkStart w:id="235" w:name="_Toc478389043"/>
      <w:r>
        <w:rPr>
          <w:rFonts w:hint="eastAsia" w:ascii="宋体" w:cs="宋体"/>
          <w:color w:val="auto"/>
          <w:highlight w:val="none"/>
        </w:rPr>
        <w:t>2.2 发包人代表</w:t>
      </w:r>
      <w:bookmarkEnd w:id="234"/>
      <w:bookmarkEnd w:id="235"/>
    </w:p>
    <w:p w14:paraId="7721E1C6">
      <w:pPr>
        <w:pStyle w:val="79"/>
        <w:rPr>
          <w:rFonts w:hint="eastAsia" w:cs="宋体"/>
          <w:color w:val="auto"/>
          <w:sz w:val="21"/>
          <w:highlight w:val="none"/>
        </w:rPr>
      </w:pPr>
      <w:r>
        <w:rPr>
          <w:rFonts w:hint="eastAsia" w:cs="宋体"/>
          <w:color w:val="auto"/>
          <w:sz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69DF71BF">
      <w:pPr>
        <w:pStyle w:val="79"/>
        <w:rPr>
          <w:rFonts w:hint="eastAsia" w:cs="宋体"/>
          <w:color w:val="auto"/>
          <w:sz w:val="21"/>
          <w:highlight w:val="none"/>
        </w:rPr>
      </w:pPr>
      <w:r>
        <w:rPr>
          <w:rFonts w:hint="eastAsia" w:cs="宋体"/>
          <w:color w:val="auto"/>
          <w:sz w:val="21"/>
          <w:highlight w:val="none"/>
        </w:rPr>
        <w:t>发包人代表不能按照合同约定履行其职责及义务，并导致合同无法继续正常履行的，承包人可以要求发包人撤换发包人代表。</w:t>
      </w:r>
    </w:p>
    <w:p w14:paraId="3C1BA04D">
      <w:pPr>
        <w:pStyle w:val="79"/>
        <w:rPr>
          <w:rFonts w:hint="eastAsia" w:cs="宋体"/>
          <w:color w:val="auto"/>
          <w:sz w:val="21"/>
          <w:highlight w:val="none"/>
        </w:rPr>
      </w:pPr>
      <w:r>
        <w:rPr>
          <w:rFonts w:hint="eastAsia" w:cs="宋体"/>
          <w:color w:val="auto"/>
          <w:sz w:val="21"/>
          <w:highlight w:val="none"/>
        </w:rPr>
        <w:t>不属于法定必须监理的工程，监理人的职权可以由发包人代表或发包人指定的其他人员行使</w:t>
      </w:r>
    </w:p>
    <w:p w14:paraId="0AE183BE">
      <w:pPr>
        <w:pStyle w:val="321"/>
        <w:rPr>
          <w:rFonts w:hint="eastAsia" w:ascii="宋体" w:cs="宋体"/>
          <w:color w:val="auto"/>
          <w:highlight w:val="none"/>
        </w:rPr>
      </w:pPr>
      <w:bookmarkStart w:id="236" w:name="_Toc351203512"/>
      <w:bookmarkStart w:id="237" w:name="_Toc478389044"/>
      <w:r>
        <w:rPr>
          <w:rFonts w:hint="eastAsia" w:ascii="宋体" w:cs="宋体"/>
          <w:color w:val="auto"/>
          <w:highlight w:val="none"/>
        </w:rPr>
        <w:t>2.3 发包人人员</w:t>
      </w:r>
      <w:bookmarkEnd w:id="236"/>
      <w:bookmarkEnd w:id="237"/>
    </w:p>
    <w:p w14:paraId="0887B45E">
      <w:pPr>
        <w:pStyle w:val="79"/>
        <w:rPr>
          <w:rFonts w:hint="eastAsia" w:cs="宋体"/>
          <w:color w:val="auto"/>
          <w:sz w:val="21"/>
          <w:highlight w:val="none"/>
        </w:rPr>
      </w:pPr>
      <w:r>
        <w:rPr>
          <w:rFonts w:hint="eastAsia" w:cs="宋体"/>
          <w:color w:val="auto"/>
          <w:sz w:val="21"/>
          <w:highlight w:val="none"/>
        </w:rPr>
        <w:t>发包人应要求在施工现场的发包人人员遵守法律及有关安全、质量、环境保护、文明施工等规定，并保障承包人免于承受因发包人人员未遵守上述要求给承包人造成的损失和责任。</w:t>
      </w:r>
    </w:p>
    <w:p w14:paraId="591F314B">
      <w:pPr>
        <w:pStyle w:val="79"/>
        <w:rPr>
          <w:rFonts w:hint="eastAsia" w:cs="宋体"/>
          <w:color w:val="auto"/>
          <w:sz w:val="21"/>
          <w:highlight w:val="none"/>
        </w:rPr>
      </w:pPr>
      <w:r>
        <w:rPr>
          <w:rFonts w:hint="eastAsia" w:cs="宋体"/>
          <w:color w:val="auto"/>
          <w:sz w:val="21"/>
          <w:highlight w:val="none"/>
        </w:rPr>
        <w:t>发包人人员包括发包人代表及其他由发包人派驻施工现场的人员。</w:t>
      </w:r>
      <w:bookmarkEnd w:id="231"/>
      <w:bookmarkEnd w:id="232"/>
      <w:bookmarkEnd w:id="233"/>
    </w:p>
    <w:p w14:paraId="1CB2FE76">
      <w:pPr>
        <w:pStyle w:val="321"/>
        <w:rPr>
          <w:rFonts w:hint="eastAsia" w:ascii="宋体" w:cs="宋体"/>
          <w:color w:val="auto"/>
          <w:highlight w:val="none"/>
        </w:rPr>
      </w:pPr>
      <w:bookmarkStart w:id="238" w:name="_Toc478389045"/>
      <w:bookmarkStart w:id="239" w:name="_Toc351203513"/>
      <w:r>
        <w:rPr>
          <w:rFonts w:hint="eastAsia" w:ascii="宋体" w:cs="宋体"/>
          <w:color w:val="auto"/>
          <w:highlight w:val="none"/>
        </w:rPr>
        <w:t>2</w:t>
      </w:r>
      <w:bookmarkStart w:id="240" w:name="_Toc296503040"/>
      <w:bookmarkStart w:id="241" w:name="_Toc337558741"/>
      <w:bookmarkStart w:id="242" w:name="_Toc296346541"/>
      <w:r>
        <w:rPr>
          <w:rFonts w:hint="eastAsia" w:ascii="宋体" w:cs="宋体"/>
          <w:color w:val="auto"/>
          <w:highlight w:val="none"/>
        </w:rPr>
        <w:t>.4 施工现场、施工条件和基础资料的提供</w:t>
      </w:r>
      <w:bookmarkEnd w:id="238"/>
      <w:bookmarkEnd w:id="239"/>
      <w:bookmarkEnd w:id="240"/>
      <w:bookmarkEnd w:id="241"/>
      <w:bookmarkEnd w:id="242"/>
    </w:p>
    <w:p w14:paraId="19D8C425">
      <w:pPr>
        <w:pStyle w:val="79"/>
        <w:rPr>
          <w:rFonts w:hint="eastAsia" w:cs="宋体"/>
          <w:color w:val="auto"/>
          <w:sz w:val="21"/>
          <w:highlight w:val="none"/>
        </w:rPr>
      </w:pPr>
      <w:r>
        <w:rPr>
          <w:rFonts w:hint="eastAsia" w:cs="宋体"/>
          <w:color w:val="auto"/>
          <w:sz w:val="21"/>
          <w:highlight w:val="none"/>
        </w:rPr>
        <w:t>2.4.1 提供施工现场</w:t>
      </w:r>
    </w:p>
    <w:p w14:paraId="2BE979AA">
      <w:pPr>
        <w:pStyle w:val="79"/>
        <w:rPr>
          <w:rFonts w:hint="eastAsia" w:cs="宋体"/>
          <w:color w:val="auto"/>
          <w:sz w:val="21"/>
          <w:highlight w:val="none"/>
        </w:rPr>
      </w:pPr>
      <w:r>
        <w:rPr>
          <w:rFonts w:hint="eastAsia" w:cs="宋体"/>
          <w:color w:val="auto"/>
          <w:sz w:val="21"/>
          <w:highlight w:val="none"/>
        </w:rPr>
        <w:t>除专用合同条款另有约定外，发包人应最迟于开工日期7天前向承包人移交施工现场。</w:t>
      </w:r>
    </w:p>
    <w:p w14:paraId="36ED2768">
      <w:pPr>
        <w:pStyle w:val="79"/>
        <w:rPr>
          <w:rFonts w:hint="eastAsia" w:cs="宋体"/>
          <w:color w:val="auto"/>
          <w:sz w:val="21"/>
          <w:highlight w:val="none"/>
        </w:rPr>
      </w:pPr>
      <w:r>
        <w:rPr>
          <w:rFonts w:hint="eastAsia" w:cs="宋体"/>
          <w:color w:val="auto"/>
          <w:sz w:val="21"/>
          <w:highlight w:val="none"/>
        </w:rPr>
        <w:t>2.4.2 提供施工条件</w:t>
      </w:r>
    </w:p>
    <w:p w14:paraId="430D808C">
      <w:pPr>
        <w:pStyle w:val="79"/>
        <w:rPr>
          <w:rFonts w:hint="eastAsia" w:cs="宋体"/>
          <w:color w:val="auto"/>
          <w:sz w:val="21"/>
          <w:highlight w:val="none"/>
        </w:rPr>
      </w:pPr>
      <w:r>
        <w:rPr>
          <w:rFonts w:hint="eastAsia" w:cs="宋体"/>
          <w:color w:val="auto"/>
          <w:sz w:val="21"/>
          <w:highlight w:val="none"/>
        </w:rPr>
        <w:t>除专用合同条款另有约定外，发包人应负责提供施工所需要的条件，包括：</w:t>
      </w:r>
    </w:p>
    <w:p w14:paraId="78094470">
      <w:pPr>
        <w:pStyle w:val="79"/>
        <w:rPr>
          <w:rFonts w:hint="eastAsia" w:cs="宋体"/>
          <w:color w:val="auto"/>
          <w:sz w:val="21"/>
          <w:highlight w:val="none"/>
        </w:rPr>
      </w:pPr>
      <w:r>
        <w:rPr>
          <w:rFonts w:hint="eastAsia" w:cs="宋体"/>
          <w:color w:val="auto"/>
          <w:sz w:val="21"/>
          <w:highlight w:val="none"/>
        </w:rPr>
        <w:t>（1）将施工用水、电力、通讯线路等施工所必需的条件接至施工现场内；</w:t>
      </w:r>
    </w:p>
    <w:p w14:paraId="169364C4">
      <w:pPr>
        <w:pStyle w:val="79"/>
        <w:rPr>
          <w:rFonts w:hint="eastAsia" w:cs="宋体"/>
          <w:color w:val="auto"/>
          <w:sz w:val="21"/>
          <w:highlight w:val="none"/>
        </w:rPr>
      </w:pPr>
      <w:r>
        <w:rPr>
          <w:rFonts w:hint="eastAsia" w:cs="宋体"/>
          <w:color w:val="auto"/>
          <w:sz w:val="21"/>
          <w:highlight w:val="none"/>
        </w:rPr>
        <w:t>（2）保证向承包人提供正常施工所需要的进入施工现场的交通条件；</w:t>
      </w:r>
    </w:p>
    <w:p w14:paraId="2F8D7238">
      <w:pPr>
        <w:pStyle w:val="79"/>
        <w:rPr>
          <w:rFonts w:hint="eastAsia" w:cs="宋体"/>
          <w:color w:val="auto"/>
          <w:sz w:val="21"/>
          <w:highlight w:val="none"/>
        </w:rPr>
      </w:pPr>
      <w:r>
        <w:rPr>
          <w:rFonts w:hint="eastAsia" w:cs="宋体"/>
          <w:color w:val="auto"/>
          <w:sz w:val="21"/>
          <w:highlight w:val="none"/>
        </w:rPr>
        <w:t>（3）协调处理施工现场周围地下管线和邻近建筑物、构筑物、古树名木的保护工作，并承担相关费用；</w:t>
      </w:r>
    </w:p>
    <w:p w14:paraId="60639EF7">
      <w:pPr>
        <w:pStyle w:val="79"/>
        <w:rPr>
          <w:rFonts w:hint="eastAsia" w:cs="宋体"/>
          <w:color w:val="auto"/>
          <w:sz w:val="21"/>
          <w:highlight w:val="none"/>
        </w:rPr>
      </w:pPr>
      <w:r>
        <w:rPr>
          <w:rFonts w:hint="eastAsia" w:cs="宋体"/>
          <w:color w:val="auto"/>
          <w:sz w:val="21"/>
          <w:highlight w:val="none"/>
        </w:rPr>
        <w:t>（4）按照专用合同条款约定应提供的其他设施和条件。</w:t>
      </w:r>
    </w:p>
    <w:p w14:paraId="68D654A7">
      <w:pPr>
        <w:pStyle w:val="79"/>
        <w:rPr>
          <w:rFonts w:hint="eastAsia" w:cs="宋体"/>
          <w:color w:val="auto"/>
          <w:sz w:val="21"/>
          <w:highlight w:val="none"/>
        </w:rPr>
      </w:pPr>
      <w:r>
        <w:rPr>
          <w:rFonts w:hint="eastAsia" w:cs="宋体"/>
          <w:color w:val="auto"/>
          <w:sz w:val="21"/>
          <w:highlight w:val="none"/>
        </w:rPr>
        <w:t>2.4.3 提供基础资料</w:t>
      </w:r>
    </w:p>
    <w:p w14:paraId="017A6C3B">
      <w:pPr>
        <w:pStyle w:val="79"/>
        <w:rPr>
          <w:rFonts w:hint="eastAsia" w:cs="宋体"/>
          <w:color w:val="auto"/>
          <w:sz w:val="21"/>
          <w:highlight w:val="none"/>
        </w:rPr>
      </w:pPr>
      <w:r>
        <w:rPr>
          <w:rFonts w:hint="eastAsia" w:cs="宋体"/>
          <w:color w:val="auto"/>
          <w:sz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5096B394">
      <w:pPr>
        <w:pStyle w:val="79"/>
        <w:rPr>
          <w:rFonts w:hint="eastAsia" w:cs="宋体"/>
          <w:color w:val="auto"/>
          <w:sz w:val="21"/>
          <w:highlight w:val="none"/>
        </w:rPr>
      </w:pPr>
      <w:r>
        <w:rPr>
          <w:rFonts w:hint="eastAsia" w:cs="宋体"/>
          <w:color w:val="auto"/>
          <w:sz w:val="21"/>
          <w:highlight w:val="none"/>
        </w:rPr>
        <w:t>按照法律规定确需在开工后方能提供的基础资料，发包人应尽其努力及时地在相应工程施工前的合理期限内提供，合理期限应以不影响承包人的正常施工为限。</w:t>
      </w:r>
    </w:p>
    <w:p w14:paraId="40740BAF">
      <w:pPr>
        <w:pStyle w:val="79"/>
        <w:rPr>
          <w:rFonts w:hint="eastAsia" w:cs="宋体"/>
          <w:color w:val="auto"/>
          <w:sz w:val="21"/>
          <w:highlight w:val="none"/>
        </w:rPr>
      </w:pPr>
      <w:r>
        <w:rPr>
          <w:rFonts w:hint="eastAsia" w:cs="宋体"/>
          <w:color w:val="auto"/>
          <w:sz w:val="21"/>
          <w:highlight w:val="none"/>
        </w:rPr>
        <w:t>2.4.4 逾期提供的责任</w:t>
      </w:r>
    </w:p>
    <w:p w14:paraId="3EF1127D">
      <w:pPr>
        <w:pStyle w:val="79"/>
        <w:rPr>
          <w:rFonts w:hint="eastAsia" w:cs="宋体"/>
          <w:color w:val="auto"/>
          <w:sz w:val="21"/>
          <w:highlight w:val="none"/>
        </w:rPr>
      </w:pPr>
      <w:r>
        <w:rPr>
          <w:rFonts w:hint="eastAsia" w:cs="宋体"/>
          <w:color w:val="auto"/>
          <w:sz w:val="21"/>
          <w:highlight w:val="none"/>
        </w:rPr>
        <w:t>因发包人原因未能按合同约定及时向承包人提供施工现场、施工条件、基础资料的，由发包人承担由此增加的费用和（或）延误的工期。</w:t>
      </w:r>
    </w:p>
    <w:p w14:paraId="415F1E0D">
      <w:pPr>
        <w:pStyle w:val="321"/>
        <w:rPr>
          <w:rFonts w:hint="eastAsia" w:ascii="宋体" w:cs="宋体"/>
          <w:color w:val="auto"/>
          <w:highlight w:val="none"/>
        </w:rPr>
      </w:pPr>
      <w:bookmarkStart w:id="243" w:name="_Toc478389046"/>
      <w:bookmarkStart w:id="244" w:name="_Toc351203514"/>
      <w:r>
        <w:rPr>
          <w:rFonts w:hint="eastAsia" w:ascii="宋体" w:cs="宋体"/>
          <w:color w:val="auto"/>
          <w:highlight w:val="none"/>
        </w:rPr>
        <w:t>2</w:t>
      </w:r>
      <w:bookmarkStart w:id="245" w:name="_Toc337558745"/>
      <w:bookmarkStart w:id="246" w:name="_Toc296346543"/>
      <w:bookmarkStart w:id="247" w:name="_Toc296503042"/>
      <w:r>
        <w:rPr>
          <w:rFonts w:hint="eastAsia" w:ascii="宋体" w:cs="宋体"/>
          <w:color w:val="auto"/>
          <w:highlight w:val="none"/>
        </w:rPr>
        <w:t>.5 资</w:t>
      </w:r>
      <w:bookmarkEnd w:id="245"/>
      <w:bookmarkEnd w:id="246"/>
      <w:bookmarkEnd w:id="247"/>
      <w:r>
        <w:rPr>
          <w:rFonts w:hint="eastAsia" w:ascii="宋体" w:cs="宋体"/>
          <w:color w:val="auto"/>
          <w:highlight w:val="none"/>
        </w:rPr>
        <w:t>金来源证明及支付担保</w:t>
      </w:r>
      <w:bookmarkEnd w:id="243"/>
      <w:bookmarkEnd w:id="244"/>
    </w:p>
    <w:p w14:paraId="7910ADFD">
      <w:pPr>
        <w:pStyle w:val="79"/>
        <w:rPr>
          <w:rFonts w:hint="eastAsia" w:cs="宋体"/>
          <w:color w:val="auto"/>
          <w:sz w:val="21"/>
          <w:highlight w:val="none"/>
        </w:rPr>
      </w:pPr>
      <w:r>
        <w:rPr>
          <w:rFonts w:hint="eastAsia" w:cs="宋体"/>
          <w:color w:val="auto"/>
          <w:sz w:val="21"/>
          <w:highlight w:val="none"/>
        </w:rPr>
        <w:t>除专用合同条款另有约定外，发包人应在收到承包人要求提供资金来源证明的书面通知后28天内，向承包人提供能够按照合同约定支付合同价款的相应资金来源证明。</w:t>
      </w:r>
    </w:p>
    <w:p w14:paraId="0FEFB7E0">
      <w:pPr>
        <w:pStyle w:val="79"/>
        <w:rPr>
          <w:rFonts w:hint="eastAsia" w:cs="宋体"/>
          <w:color w:val="auto"/>
          <w:sz w:val="21"/>
          <w:highlight w:val="none"/>
        </w:rPr>
      </w:pPr>
      <w:r>
        <w:rPr>
          <w:rFonts w:hint="eastAsia" w:cs="宋体"/>
          <w:color w:val="auto"/>
          <w:sz w:val="21"/>
          <w:highlight w:val="none"/>
        </w:rPr>
        <w:t>除专用合同条款另有约定外，发包人要求承包人提供履约保证金的，发包人应当向承包人提供支付担保。支付担保可以采用银行保函或担保公司担保等形式，具体由合同当事人在专用合同条款中约定。</w:t>
      </w:r>
    </w:p>
    <w:p w14:paraId="7A6DD4AD">
      <w:pPr>
        <w:pStyle w:val="321"/>
        <w:rPr>
          <w:rFonts w:hint="eastAsia" w:ascii="宋体" w:cs="宋体"/>
          <w:color w:val="auto"/>
          <w:highlight w:val="none"/>
        </w:rPr>
      </w:pPr>
      <w:bookmarkStart w:id="248" w:name="_Toc478389047"/>
      <w:bookmarkStart w:id="249" w:name="_Toc351203515"/>
      <w:r>
        <w:rPr>
          <w:rFonts w:hint="eastAsia" w:ascii="宋体" w:cs="宋体"/>
          <w:color w:val="auto"/>
          <w:highlight w:val="none"/>
        </w:rPr>
        <w:t>2.6 支付合同价款</w:t>
      </w:r>
      <w:bookmarkEnd w:id="248"/>
      <w:bookmarkEnd w:id="249"/>
    </w:p>
    <w:p w14:paraId="6284FBEA">
      <w:pPr>
        <w:pStyle w:val="79"/>
        <w:rPr>
          <w:rFonts w:hint="eastAsia" w:cs="宋体"/>
          <w:color w:val="auto"/>
          <w:sz w:val="21"/>
          <w:highlight w:val="none"/>
        </w:rPr>
      </w:pPr>
      <w:r>
        <w:rPr>
          <w:rFonts w:hint="eastAsia" w:cs="宋体"/>
          <w:color w:val="auto"/>
          <w:sz w:val="21"/>
          <w:highlight w:val="none"/>
        </w:rPr>
        <w:t>发包人应按合同约定向承包人及时支付合同价款。</w:t>
      </w:r>
    </w:p>
    <w:p w14:paraId="22C11EA5">
      <w:pPr>
        <w:pStyle w:val="321"/>
        <w:rPr>
          <w:rFonts w:hint="eastAsia" w:ascii="宋体" w:cs="宋体"/>
          <w:color w:val="auto"/>
          <w:highlight w:val="none"/>
        </w:rPr>
      </w:pPr>
      <w:bookmarkStart w:id="250" w:name="_Toc478389048"/>
      <w:bookmarkStart w:id="251" w:name="_Toc351203516"/>
      <w:r>
        <w:rPr>
          <w:rFonts w:hint="eastAsia" w:ascii="宋体" w:cs="宋体"/>
          <w:color w:val="auto"/>
          <w:highlight w:val="none"/>
        </w:rPr>
        <w:t>2.7 组织竣工验收</w:t>
      </w:r>
      <w:bookmarkEnd w:id="250"/>
      <w:bookmarkEnd w:id="251"/>
    </w:p>
    <w:p w14:paraId="65C1633A">
      <w:pPr>
        <w:pStyle w:val="79"/>
        <w:rPr>
          <w:rFonts w:hint="eastAsia" w:cs="宋体"/>
          <w:color w:val="auto"/>
          <w:sz w:val="21"/>
          <w:highlight w:val="none"/>
        </w:rPr>
      </w:pPr>
      <w:r>
        <w:rPr>
          <w:rFonts w:hint="eastAsia" w:cs="宋体"/>
          <w:color w:val="auto"/>
          <w:sz w:val="21"/>
          <w:highlight w:val="none"/>
        </w:rPr>
        <w:t>发包人应按合同约定及时组织竣工验收。</w:t>
      </w:r>
    </w:p>
    <w:p w14:paraId="47088641">
      <w:pPr>
        <w:pStyle w:val="321"/>
        <w:rPr>
          <w:rFonts w:hint="eastAsia" w:ascii="宋体" w:cs="宋体"/>
          <w:color w:val="auto"/>
          <w:highlight w:val="none"/>
        </w:rPr>
      </w:pPr>
      <w:bookmarkStart w:id="252" w:name="_Toc351203517"/>
      <w:bookmarkStart w:id="253" w:name="_Toc478389049"/>
      <w:r>
        <w:rPr>
          <w:rFonts w:hint="eastAsia" w:ascii="宋体" w:cs="宋体"/>
          <w:color w:val="auto"/>
          <w:highlight w:val="none"/>
        </w:rPr>
        <w:t>2.8 现场统一管理协议</w:t>
      </w:r>
      <w:bookmarkEnd w:id="252"/>
      <w:bookmarkEnd w:id="253"/>
    </w:p>
    <w:p w14:paraId="2D1351D1">
      <w:pPr>
        <w:pStyle w:val="79"/>
        <w:rPr>
          <w:rFonts w:hint="eastAsia" w:cs="宋体"/>
          <w:color w:val="auto"/>
          <w:sz w:val="21"/>
          <w:highlight w:val="none"/>
        </w:rPr>
      </w:pPr>
      <w:r>
        <w:rPr>
          <w:rFonts w:hint="eastAsia" w:cs="宋体"/>
          <w:color w:val="auto"/>
          <w:sz w:val="21"/>
          <w:highlight w:val="none"/>
        </w:rPr>
        <w:t>发包人应与承包人、由发包人直接发包的专业工程的承包人签订施工现场统一管理协议，明确各方的权利义务。施工现场统一管理协议作为专用合同条款的附件。</w:t>
      </w:r>
    </w:p>
    <w:p w14:paraId="59368F79">
      <w:pPr>
        <w:pStyle w:val="321"/>
        <w:rPr>
          <w:rFonts w:hint="eastAsia" w:ascii="宋体" w:cs="宋体"/>
          <w:color w:val="auto"/>
          <w:highlight w:val="none"/>
        </w:rPr>
      </w:pPr>
      <w:bookmarkStart w:id="254" w:name="_Toc351203518"/>
      <w:bookmarkStart w:id="255" w:name="_Toc478389050"/>
      <w:r>
        <w:rPr>
          <w:rFonts w:hint="eastAsia" w:ascii="宋体" w:cs="宋体"/>
          <w:color w:val="auto"/>
          <w:highlight w:val="none"/>
        </w:rPr>
        <w:t>3</w:t>
      </w:r>
      <w:bookmarkStart w:id="256" w:name="_Toc296503045"/>
      <w:bookmarkStart w:id="257" w:name="_Toc296346546"/>
      <w:bookmarkStart w:id="258" w:name="_Toc337558746"/>
      <w:r>
        <w:rPr>
          <w:rFonts w:hint="eastAsia" w:ascii="宋体" w:cs="宋体"/>
          <w:color w:val="auto"/>
          <w:highlight w:val="none"/>
        </w:rPr>
        <w:t>. 承包人</w:t>
      </w:r>
      <w:bookmarkEnd w:id="254"/>
      <w:bookmarkEnd w:id="255"/>
    </w:p>
    <w:bookmarkEnd w:id="256"/>
    <w:bookmarkEnd w:id="257"/>
    <w:bookmarkEnd w:id="258"/>
    <w:p w14:paraId="1D2AF8EA">
      <w:pPr>
        <w:pStyle w:val="321"/>
        <w:rPr>
          <w:rFonts w:hint="eastAsia" w:ascii="宋体" w:cs="宋体"/>
          <w:color w:val="auto"/>
          <w:highlight w:val="none"/>
        </w:rPr>
      </w:pPr>
      <w:bookmarkStart w:id="259" w:name="_Toc351203519"/>
      <w:bookmarkStart w:id="260" w:name="_Toc478389051"/>
      <w:r>
        <w:rPr>
          <w:rFonts w:hint="eastAsia" w:ascii="宋体" w:cs="宋体"/>
          <w:color w:val="auto"/>
          <w:highlight w:val="none"/>
        </w:rPr>
        <w:t>3</w:t>
      </w:r>
      <w:bookmarkStart w:id="261" w:name="_Toc337558747"/>
      <w:bookmarkStart w:id="262" w:name="_Toc296346547"/>
      <w:bookmarkStart w:id="263" w:name="_Toc296503046"/>
      <w:r>
        <w:rPr>
          <w:rFonts w:hint="eastAsia" w:ascii="宋体" w:cs="宋体"/>
          <w:color w:val="auto"/>
          <w:highlight w:val="none"/>
        </w:rPr>
        <w:t>.1 承包人的一般义务</w:t>
      </w:r>
      <w:bookmarkEnd w:id="259"/>
      <w:bookmarkEnd w:id="260"/>
    </w:p>
    <w:bookmarkEnd w:id="261"/>
    <w:bookmarkEnd w:id="262"/>
    <w:bookmarkEnd w:id="263"/>
    <w:p w14:paraId="149BE853">
      <w:pPr>
        <w:pStyle w:val="79"/>
        <w:rPr>
          <w:rFonts w:hint="eastAsia" w:cs="宋体"/>
          <w:color w:val="auto"/>
          <w:sz w:val="21"/>
          <w:highlight w:val="none"/>
        </w:rPr>
      </w:pPr>
      <w:r>
        <w:rPr>
          <w:rFonts w:hint="eastAsia" w:cs="宋体"/>
          <w:color w:val="auto"/>
          <w:sz w:val="21"/>
          <w:highlight w:val="none"/>
        </w:rPr>
        <w:t>承包人在履行合同过程中应遵守法律和工程建设标准规范，并履行以下义务：</w:t>
      </w:r>
    </w:p>
    <w:p w14:paraId="3C2C7E49">
      <w:pPr>
        <w:pStyle w:val="79"/>
        <w:rPr>
          <w:rFonts w:hint="eastAsia" w:cs="宋体"/>
          <w:color w:val="auto"/>
          <w:sz w:val="21"/>
          <w:highlight w:val="none"/>
        </w:rPr>
      </w:pPr>
      <w:r>
        <w:rPr>
          <w:rFonts w:hint="eastAsia" w:cs="宋体"/>
          <w:color w:val="auto"/>
          <w:sz w:val="21"/>
          <w:highlight w:val="none"/>
        </w:rPr>
        <w:t>办理法律规定应由承包人办理的许可和批准，并将办理结果书面报送发包人留存；</w:t>
      </w:r>
    </w:p>
    <w:p w14:paraId="11F590F6">
      <w:pPr>
        <w:pStyle w:val="79"/>
        <w:rPr>
          <w:rFonts w:hint="eastAsia" w:cs="宋体"/>
          <w:color w:val="auto"/>
          <w:sz w:val="21"/>
          <w:highlight w:val="none"/>
        </w:rPr>
      </w:pPr>
      <w:r>
        <w:rPr>
          <w:rFonts w:hint="eastAsia" w:cs="宋体"/>
          <w:color w:val="auto"/>
          <w:sz w:val="21"/>
          <w:highlight w:val="none"/>
        </w:rPr>
        <w:t>（2）按法律规定和合同约定完成工程，并在保修期内承担保修义务；</w:t>
      </w:r>
    </w:p>
    <w:p w14:paraId="14C6EA10">
      <w:pPr>
        <w:pStyle w:val="79"/>
        <w:rPr>
          <w:rFonts w:hint="eastAsia" w:cs="宋体"/>
          <w:color w:val="auto"/>
          <w:sz w:val="21"/>
          <w:highlight w:val="none"/>
        </w:rPr>
      </w:pPr>
      <w:r>
        <w:rPr>
          <w:rFonts w:hint="eastAsia" w:cs="宋体"/>
          <w:color w:val="auto"/>
          <w:sz w:val="21"/>
          <w:highlight w:val="none"/>
        </w:rPr>
        <w:t>（3）按法律规定和合同约定采取施工安全和环境保护措施，办理工伤保险，确保工程及人员、材料、设备和设施的安全；</w:t>
      </w:r>
    </w:p>
    <w:p w14:paraId="2E0E203C">
      <w:pPr>
        <w:pStyle w:val="79"/>
        <w:rPr>
          <w:rFonts w:hint="eastAsia" w:cs="宋体"/>
          <w:color w:val="auto"/>
          <w:sz w:val="21"/>
          <w:highlight w:val="none"/>
        </w:rPr>
      </w:pPr>
      <w:r>
        <w:rPr>
          <w:rFonts w:hint="eastAsia" w:cs="宋体"/>
          <w:color w:val="auto"/>
          <w:sz w:val="21"/>
          <w:highlight w:val="none"/>
        </w:rPr>
        <w:t>（4）按合同约定的工作内容和施工进度要求，编制施工组织设计和施工措施计划，并对所有施工作业和施工方法的完备性和安全可靠性负责；</w:t>
      </w:r>
    </w:p>
    <w:p w14:paraId="6EF76F04">
      <w:pPr>
        <w:pStyle w:val="79"/>
        <w:rPr>
          <w:rFonts w:hint="eastAsia" w:cs="宋体"/>
          <w:color w:val="auto"/>
          <w:sz w:val="21"/>
          <w:highlight w:val="none"/>
        </w:rPr>
      </w:pPr>
      <w:r>
        <w:rPr>
          <w:rFonts w:hint="eastAsia" w:cs="宋体"/>
          <w:color w:val="auto"/>
          <w:sz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56AE8C3">
      <w:pPr>
        <w:pStyle w:val="79"/>
        <w:rPr>
          <w:rFonts w:hint="eastAsia" w:cs="宋体"/>
          <w:color w:val="auto"/>
          <w:sz w:val="21"/>
          <w:highlight w:val="none"/>
        </w:rPr>
      </w:pPr>
      <w:r>
        <w:rPr>
          <w:rFonts w:hint="eastAsia" w:cs="宋体"/>
          <w:color w:val="auto"/>
          <w:sz w:val="21"/>
          <w:highlight w:val="none"/>
        </w:rPr>
        <w:t>（6）按照第6.3款〔环境保护〕约定负责施工场地及其周边环境与生态的保护工作；</w:t>
      </w:r>
    </w:p>
    <w:p w14:paraId="11704182">
      <w:pPr>
        <w:pStyle w:val="79"/>
        <w:rPr>
          <w:rFonts w:hint="eastAsia" w:cs="宋体"/>
          <w:color w:val="auto"/>
          <w:sz w:val="21"/>
          <w:highlight w:val="none"/>
        </w:rPr>
      </w:pPr>
      <w:r>
        <w:rPr>
          <w:rFonts w:hint="eastAsia" w:cs="宋体"/>
          <w:color w:val="auto"/>
          <w:sz w:val="21"/>
          <w:highlight w:val="none"/>
        </w:rPr>
        <w:t>（7）按第6.1款〔安全文明施工〕约定采取施工安全措施，确保工程及其人员、材料、设备和设施的安全，防止因工程施工造成的人身伤害和财产损失；</w:t>
      </w:r>
    </w:p>
    <w:p w14:paraId="1A8DC257">
      <w:pPr>
        <w:pStyle w:val="79"/>
        <w:rPr>
          <w:rFonts w:hint="eastAsia" w:cs="宋体"/>
          <w:color w:val="auto"/>
          <w:sz w:val="21"/>
          <w:highlight w:val="none"/>
        </w:rPr>
      </w:pPr>
      <w:r>
        <w:rPr>
          <w:rFonts w:hint="eastAsia" w:cs="宋体"/>
          <w:color w:val="auto"/>
          <w:sz w:val="21"/>
          <w:highlight w:val="none"/>
        </w:rPr>
        <w:t>（8）将发包人按合同约定支付的各项价款专用于合同工程，且应及时支付其雇用人员工资，并及时向分包人支付合同价款；</w:t>
      </w:r>
    </w:p>
    <w:p w14:paraId="4B653A3A">
      <w:pPr>
        <w:pStyle w:val="79"/>
        <w:rPr>
          <w:rFonts w:hint="eastAsia" w:cs="宋体"/>
          <w:color w:val="auto"/>
          <w:sz w:val="21"/>
          <w:highlight w:val="none"/>
        </w:rPr>
      </w:pPr>
      <w:r>
        <w:rPr>
          <w:rFonts w:hint="eastAsia" w:cs="宋体"/>
          <w:color w:val="auto"/>
          <w:sz w:val="21"/>
          <w:highlight w:val="none"/>
        </w:rPr>
        <w:t>（9）按照法律规定和合同约定编制竣工资料，完成竣工资料立卷及归档，并按专用合同条款约定的竣工资料的套数、内容、时间等要求移交发包人；</w:t>
      </w:r>
    </w:p>
    <w:p w14:paraId="0577ACDF">
      <w:pPr>
        <w:pStyle w:val="79"/>
        <w:rPr>
          <w:rFonts w:hint="eastAsia" w:cs="宋体"/>
          <w:color w:val="auto"/>
          <w:sz w:val="21"/>
          <w:highlight w:val="none"/>
        </w:rPr>
      </w:pPr>
      <w:r>
        <w:rPr>
          <w:rFonts w:hint="eastAsia" w:cs="宋体"/>
          <w:color w:val="auto"/>
          <w:sz w:val="21"/>
          <w:highlight w:val="none"/>
        </w:rPr>
        <w:t>（10）应履行的其他义务。</w:t>
      </w:r>
    </w:p>
    <w:p w14:paraId="5B2FACC5">
      <w:pPr>
        <w:pStyle w:val="321"/>
        <w:rPr>
          <w:rFonts w:hint="eastAsia" w:ascii="宋体" w:cs="宋体"/>
          <w:color w:val="auto"/>
          <w:highlight w:val="none"/>
        </w:rPr>
      </w:pPr>
      <w:bookmarkStart w:id="264" w:name="_Toc351203520"/>
      <w:bookmarkStart w:id="265" w:name="_Toc478389052"/>
      <w:r>
        <w:rPr>
          <w:rFonts w:hint="eastAsia" w:ascii="宋体" w:cs="宋体"/>
          <w:color w:val="auto"/>
          <w:highlight w:val="none"/>
        </w:rPr>
        <w:t>3</w:t>
      </w:r>
      <w:bookmarkStart w:id="266" w:name="_Toc296503047"/>
      <w:bookmarkStart w:id="267" w:name="_Toc337558748"/>
      <w:bookmarkStart w:id="268" w:name="_Toc296346548"/>
      <w:r>
        <w:rPr>
          <w:rFonts w:hint="eastAsia" w:ascii="宋体" w:cs="宋体"/>
          <w:color w:val="auto"/>
          <w:highlight w:val="none"/>
        </w:rPr>
        <w:t xml:space="preserve">.2 </w:t>
      </w:r>
      <w:bookmarkEnd w:id="264"/>
      <w:r>
        <w:rPr>
          <w:rFonts w:hint="eastAsia" w:ascii="宋体" w:cs="宋体"/>
          <w:color w:val="auto"/>
          <w:highlight w:val="none"/>
        </w:rPr>
        <w:t>项目经理</w:t>
      </w:r>
      <w:bookmarkEnd w:id="265"/>
    </w:p>
    <w:bookmarkEnd w:id="266"/>
    <w:bookmarkEnd w:id="267"/>
    <w:bookmarkEnd w:id="268"/>
    <w:p w14:paraId="4F03DF87">
      <w:pPr>
        <w:pStyle w:val="79"/>
        <w:rPr>
          <w:rFonts w:hint="eastAsia" w:cs="宋体"/>
          <w:color w:val="auto"/>
          <w:sz w:val="21"/>
          <w:highlight w:val="none"/>
        </w:rPr>
      </w:pPr>
      <w:r>
        <w:rPr>
          <w:rFonts w:hint="eastAsia" w:cs="宋体"/>
          <w:color w:val="auto"/>
          <w:sz w:val="21"/>
          <w:highlight w:val="none"/>
        </w:rPr>
        <w:t>3.2.1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2A30F57">
      <w:pPr>
        <w:pStyle w:val="79"/>
        <w:rPr>
          <w:rFonts w:hint="eastAsia" w:cs="宋体"/>
          <w:color w:val="auto"/>
          <w:sz w:val="21"/>
          <w:highlight w:val="none"/>
        </w:rPr>
      </w:pPr>
      <w:r>
        <w:rPr>
          <w:rFonts w:hint="eastAsia" w:cs="宋体"/>
          <w:color w:val="auto"/>
          <w:sz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24905985">
      <w:pPr>
        <w:pStyle w:val="79"/>
        <w:rPr>
          <w:rFonts w:hint="eastAsia" w:cs="宋体"/>
          <w:color w:val="auto"/>
          <w:sz w:val="21"/>
          <w:highlight w:val="none"/>
        </w:rPr>
      </w:pPr>
      <w:r>
        <w:rPr>
          <w:rFonts w:hint="eastAsia" w:cs="宋体"/>
          <w:color w:val="auto"/>
          <w:sz w:val="21"/>
          <w:highlight w:val="none"/>
        </w:rPr>
        <w:t>承包人违反上述约定的，应按照专用合同条款的约定，承担违约责任。</w:t>
      </w:r>
    </w:p>
    <w:p w14:paraId="50C6FFC8">
      <w:pPr>
        <w:pStyle w:val="79"/>
        <w:rPr>
          <w:rFonts w:hint="eastAsia" w:cs="宋体"/>
          <w:color w:val="auto"/>
          <w:sz w:val="21"/>
          <w:highlight w:val="none"/>
        </w:rPr>
      </w:pPr>
      <w:r>
        <w:rPr>
          <w:rFonts w:hint="eastAsia" w:cs="宋体"/>
          <w:color w:val="auto"/>
          <w:sz w:val="21"/>
          <w:highlight w:val="none"/>
        </w:rPr>
        <w:t>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D4F8BE5">
      <w:pPr>
        <w:pStyle w:val="79"/>
        <w:rPr>
          <w:rFonts w:hint="eastAsia" w:cs="宋体"/>
          <w:color w:val="auto"/>
          <w:sz w:val="21"/>
          <w:highlight w:val="none"/>
        </w:rPr>
      </w:pPr>
      <w:r>
        <w:rPr>
          <w:rFonts w:hint="eastAsia" w:cs="宋体"/>
          <w:color w:val="auto"/>
          <w:sz w:val="21"/>
          <w:highlight w:val="none"/>
        </w:rPr>
        <w:t>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6FB6D423">
      <w:pPr>
        <w:pStyle w:val="79"/>
        <w:rPr>
          <w:rFonts w:hint="eastAsia" w:cs="宋体"/>
          <w:color w:val="auto"/>
          <w:sz w:val="21"/>
          <w:highlight w:val="none"/>
        </w:rPr>
      </w:pPr>
      <w:r>
        <w:rPr>
          <w:rFonts w:hint="eastAsia" w:cs="宋体"/>
          <w:color w:val="auto"/>
          <w:sz w:val="21"/>
          <w:highlight w:val="none"/>
        </w:rPr>
        <w:t>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53F53DF9">
      <w:pPr>
        <w:pStyle w:val="79"/>
        <w:rPr>
          <w:rFonts w:hint="eastAsia" w:cs="宋体"/>
          <w:color w:val="auto"/>
          <w:sz w:val="21"/>
          <w:highlight w:val="none"/>
        </w:rPr>
      </w:pPr>
      <w:r>
        <w:rPr>
          <w:rFonts w:hint="eastAsia" w:cs="宋体"/>
          <w:color w:val="auto"/>
          <w:sz w:val="21"/>
          <w:highlight w:val="none"/>
        </w:rPr>
        <w:t>3.2.5项目经理因特殊情况授权其下属人员履行其某项工作职责的，该下属人员应具备履行相应职责的能力，并应提前7天将上述人员的姓名和授权范围书面通知监理人，并征得发包人书面同意。</w:t>
      </w:r>
    </w:p>
    <w:p w14:paraId="02574BA8">
      <w:pPr>
        <w:pStyle w:val="321"/>
        <w:rPr>
          <w:rFonts w:hint="eastAsia" w:ascii="宋体" w:cs="宋体"/>
          <w:color w:val="auto"/>
          <w:highlight w:val="none"/>
        </w:rPr>
      </w:pPr>
      <w:bookmarkStart w:id="269" w:name="_Toc351203521"/>
      <w:bookmarkStart w:id="270" w:name="_Toc478389053"/>
      <w:r>
        <w:rPr>
          <w:rFonts w:hint="eastAsia" w:ascii="宋体" w:cs="宋体"/>
          <w:color w:val="auto"/>
          <w:highlight w:val="none"/>
        </w:rPr>
        <w:t>3</w:t>
      </w:r>
      <w:bookmarkStart w:id="271" w:name="_Toc296346549"/>
      <w:bookmarkStart w:id="272" w:name="_Toc296503048"/>
      <w:bookmarkStart w:id="273" w:name="_Toc337558749"/>
      <w:r>
        <w:rPr>
          <w:rFonts w:hint="eastAsia" w:ascii="宋体" w:cs="宋体"/>
          <w:color w:val="auto"/>
          <w:highlight w:val="none"/>
        </w:rPr>
        <w:t xml:space="preserve">.3 </w:t>
      </w:r>
      <w:bookmarkEnd w:id="271"/>
      <w:bookmarkEnd w:id="272"/>
      <w:r>
        <w:rPr>
          <w:rFonts w:hint="eastAsia" w:ascii="宋体" w:cs="宋体"/>
          <w:color w:val="auto"/>
          <w:highlight w:val="none"/>
        </w:rPr>
        <w:t>承包人人员</w:t>
      </w:r>
      <w:bookmarkEnd w:id="269"/>
      <w:bookmarkEnd w:id="270"/>
    </w:p>
    <w:bookmarkEnd w:id="273"/>
    <w:p w14:paraId="69FE2978">
      <w:pPr>
        <w:pStyle w:val="79"/>
        <w:rPr>
          <w:rFonts w:hint="eastAsia" w:cs="宋体"/>
          <w:color w:val="auto"/>
          <w:sz w:val="21"/>
          <w:highlight w:val="none"/>
        </w:rPr>
      </w:pPr>
      <w:r>
        <w:rPr>
          <w:rFonts w:hint="eastAsia" w:cs="宋体"/>
          <w:color w:val="auto"/>
          <w:sz w:val="21"/>
          <w:highlight w:val="none"/>
        </w:rPr>
        <w:t>3.3.1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689DEB3">
      <w:pPr>
        <w:pStyle w:val="79"/>
        <w:rPr>
          <w:rFonts w:hint="eastAsia" w:cs="宋体"/>
          <w:color w:val="auto"/>
          <w:sz w:val="21"/>
          <w:highlight w:val="none"/>
        </w:rPr>
      </w:pPr>
      <w:r>
        <w:rPr>
          <w:rFonts w:hint="eastAsia" w:cs="宋体"/>
          <w:color w:val="auto"/>
          <w:sz w:val="21"/>
          <w:highlight w:val="none"/>
        </w:rPr>
        <w:t>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特殊工种作业人员均应持有相应的资格证明，监理人可以随时检查。</w:t>
      </w:r>
    </w:p>
    <w:p w14:paraId="02315E69">
      <w:pPr>
        <w:pStyle w:val="79"/>
        <w:rPr>
          <w:rFonts w:hint="eastAsia" w:cs="宋体"/>
          <w:color w:val="auto"/>
          <w:sz w:val="21"/>
          <w:highlight w:val="none"/>
        </w:rPr>
      </w:pPr>
      <w:r>
        <w:rPr>
          <w:rFonts w:hint="eastAsia" w:cs="宋体"/>
          <w:color w:val="auto"/>
          <w:sz w:val="21"/>
          <w:highlight w:val="none"/>
        </w:rPr>
        <w:t>3.3.3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AFF8C68">
      <w:pPr>
        <w:pStyle w:val="79"/>
        <w:rPr>
          <w:rFonts w:hint="eastAsia" w:cs="宋体"/>
          <w:color w:val="auto"/>
          <w:sz w:val="21"/>
          <w:highlight w:val="none"/>
        </w:rPr>
      </w:pPr>
      <w:r>
        <w:rPr>
          <w:rFonts w:hint="eastAsia" w:cs="宋体"/>
          <w:color w:val="auto"/>
          <w:sz w:val="21"/>
          <w:highlight w:val="none"/>
        </w:rPr>
        <w:t>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8BA3657">
      <w:pPr>
        <w:pStyle w:val="79"/>
        <w:rPr>
          <w:rFonts w:hint="eastAsia" w:cs="宋体"/>
          <w:color w:val="auto"/>
          <w:sz w:val="21"/>
          <w:highlight w:val="none"/>
        </w:rPr>
      </w:pPr>
      <w:r>
        <w:rPr>
          <w:rFonts w:hint="eastAsia" w:cs="宋体"/>
          <w:color w:val="auto"/>
          <w:sz w:val="21"/>
          <w:highlight w:val="none"/>
        </w:rPr>
        <w:t>3.3.5承包人擅自更换主要施工管理人员，或前述人员未经监理人或发包人同意擅自离开施工现场的，应按照专用合同条款约定承担违约责任。</w:t>
      </w:r>
    </w:p>
    <w:p w14:paraId="1AC3A02B">
      <w:pPr>
        <w:pStyle w:val="321"/>
        <w:rPr>
          <w:rFonts w:hint="eastAsia" w:ascii="宋体" w:cs="宋体"/>
          <w:color w:val="auto"/>
          <w:highlight w:val="none"/>
        </w:rPr>
      </w:pPr>
      <w:bookmarkStart w:id="274" w:name="_Toc351203522"/>
      <w:bookmarkStart w:id="275" w:name="_Toc478389054"/>
      <w:r>
        <w:rPr>
          <w:rFonts w:hint="eastAsia" w:ascii="宋体" w:cs="宋体"/>
          <w:color w:val="auto"/>
          <w:highlight w:val="none"/>
        </w:rPr>
        <w:t>3</w:t>
      </w:r>
      <w:bookmarkStart w:id="276" w:name="_Toc337558750"/>
      <w:bookmarkStart w:id="277" w:name="_Toc296503050"/>
      <w:bookmarkStart w:id="278" w:name="_Toc296346551"/>
      <w:r>
        <w:rPr>
          <w:rFonts w:hint="eastAsia" w:ascii="宋体" w:cs="宋体"/>
          <w:color w:val="auto"/>
          <w:highlight w:val="none"/>
        </w:rPr>
        <w:t>.4 承包人现场查勘</w:t>
      </w:r>
      <w:bookmarkEnd w:id="274"/>
      <w:bookmarkEnd w:id="275"/>
    </w:p>
    <w:bookmarkEnd w:id="276"/>
    <w:bookmarkEnd w:id="277"/>
    <w:bookmarkEnd w:id="278"/>
    <w:p w14:paraId="5DE44F23">
      <w:pPr>
        <w:pStyle w:val="79"/>
        <w:rPr>
          <w:rFonts w:hint="eastAsia" w:cs="宋体"/>
          <w:color w:val="auto"/>
          <w:sz w:val="21"/>
          <w:highlight w:val="none"/>
        </w:rPr>
      </w:pPr>
      <w:r>
        <w:rPr>
          <w:rFonts w:hint="eastAsia" w:cs="宋体"/>
          <w:color w:val="auto"/>
          <w:sz w:val="21"/>
          <w:highlight w:val="none"/>
        </w:rPr>
        <w:t>承包人应对基于发包人按照第2.4.3项〔提供基础资料〕提交的基础资料所做出的解释和推断负责，但因基础资料存在错误、遗漏导致承包人解释或推断失实的，由发包人承担责任。</w:t>
      </w:r>
    </w:p>
    <w:p w14:paraId="1ABCD06D">
      <w:pPr>
        <w:pStyle w:val="79"/>
        <w:rPr>
          <w:rFonts w:hint="eastAsia" w:cs="宋体"/>
          <w:color w:val="auto"/>
          <w:sz w:val="21"/>
          <w:highlight w:val="none"/>
        </w:rPr>
      </w:pPr>
      <w:r>
        <w:rPr>
          <w:rFonts w:hint="eastAsia" w:cs="宋体"/>
          <w:color w:val="auto"/>
          <w:sz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894AFDA">
      <w:pPr>
        <w:pStyle w:val="321"/>
        <w:rPr>
          <w:rFonts w:hint="eastAsia" w:ascii="宋体" w:cs="宋体"/>
          <w:color w:val="auto"/>
          <w:highlight w:val="none"/>
        </w:rPr>
      </w:pPr>
      <w:bookmarkStart w:id="279" w:name="_Toc351203523"/>
      <w:bookmarkStart w:id="280" w:name="_Toc478389055"/>
      <w:r>
        <w:rPr>
          <w:rFonts w:hint="eastAsia" w:ascii="宋体" w:cs="宋体"/>
          <w:color w:val="auto"/>
          <w:highlight w:val="none"/>
        </w:rPr>
        <w:t>3</w:t>
      </w:r>
      <w:bookmarkStart w:id="281" w:name="_Toc296503051"/>
      <w:bookmarkStart w:id="282" w:name="_Toc337558751"/>
      <w:bookmarkStart w:id="283" w:name="_Toc296346552"/>
      <w:r>
        <w:rPr>
          <w:rFonts w:hint="eastAsia" w:ascii="宋体" w:cs="宋体"/>
          <w:color w:val="auto"/>
          <w:highlight w:val="none"/>
        </w:rPr>
        <w:t>.5 分包</w:t>
      </w:r>
      <w:bookmarkEnd w:id="279"/>
      <w:bookmarkEnd w:id="280"/>
    </w:p>
    <w:bookmarkEnd w:id="281"/>
    <w:bookmarkEnd w:id="282"/>
    <w:bookmarkEnd w:id="283"/>
    <w:p w14:paraId="5B2B1842">
      <w:pPr>
        <w:pStyle w:val="79"/>
        <w:rPr>
          <w:rFonts w:hint="eastAsia" w:cs="宋体"/>
          <w:color w:val="auto"/>
          <w:sz w:val="21"/>
          <w:highlight w:val="none"/>
        </w:rPr>
      </w:pPr>
      <w:r>
        <w:rPr>
          <w:rFonts w:hint="eastAsia" w:cs="宋体"/>
          <w:color w:val="auto"/>
          <w:sz w:val="21"/>
          <w:highlight w:val="none"/>
        </w:rPr>
        <w:t>3.5.1 分包的一般约定</w:t>
      </w:r>
    </w:p>
    <w:p w14:paraId="1F4E828E">
      <w:pPr>
        <w:pStyle w:val="79"/>
        <w:rPr>
          <w:rFonts w:hint="eastAsia" w:cs="宋体"/>
          <w:color w:val="auto"/>
          <w:sz w:val="21"/>
          <w:highlight w:val="none"/>
        </w:rPr>
      </w:pPr>
      <w:r>
        <w:rPr>
          <w:rFonts w:hint="eastAsia" w:cs="宋体"/>
          <w:color w:val="auto"/>
          <w:sz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1F34E9D">
      <w:pPr>
        <w:pStyle w:val="79"/>
        <w:rPr>
          <w:rFonts w:hint="eastAsia" w:cs="宋体"/>
          <w:color w:val="auto"/>
          <w:sz w:val="21"/>
          <w:highlight w:val="none"/>
        </w:rPr>
      </w:pPr>
      <w:r>
        <w:rPr>
          <w:rFonts w:hint="eastAsia" w:cs="宋体"/>
          <w:color w:val="auto"/>
          <w:sz w:val="21"/>
          <w:highlight w:val="none"/>
        </w:rPr>
        <w:t>承包人不得以劳务分包的名义转包或违法分包工程。</w:t>
      </w:r>
    </w:p>
    <w:p w14:paraId="0E1BAC63">
      <w:pPr>
        <w:pStyle w:val="79"/>
        <w:rPr>
          <w:rFonts w:hint="eastAsia" w:cs="宋体"/>
          <w:color w:val="auto"/>
          <w:sz w:val="21"/>
          <w:highlight w:val="none"/>
        </w:rPr>
      </w:pPr>
      <w:r>
        <w:rPr>
          <w:rFonts w:hint="eastAsia" w:cs="宋体"/>
          <w:color w:val="auto"/>
          <w:sz w:val="21"/>
          <w:highlight w:val="none"/>
        </w:rPr>
        <w:t>3.5.2 分包的确定</w:t>
      </w:r>
    </w:p>
    <w:p w14:paraId="56B11327">
      <w:pPr>
        <w:pStyle w:val="79"/>
        <w:rPr>
          <w:rFonts w:hint="eastAsia" w:cs="宋体"/>
          <w:color w:val="auto"/>
          <w:sz w:val="21"/>
          <w:highlight w:val="none"/>
        </w:rPr>
      </w:pPr>
      <w:r>
        <w:rPr>
          <w:rFonts w:hint="eastAsia" w:cs="宋体"/>
          <w:color w:val="auto"/>
          <w:sz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2389A0E">
      <w:pPr>
        <w:pStyle w:val="79"/>
        <w:rPr>
          <w:rFonts w:hint="eastAsia" w:cs="宋体"/>
          <w:color w:val="auto"/>
          <w:sz w:val="21"/>
          <w:highlight w:val="none"/>
        </w:rPr>
      </w:pPr>
      <w:r>
        <w:rPr>
          <w:rFonts w:hint="eastAsia" w:cs="宋体"/>
          <w:color w:val="auto"/>
          <w:sz w:val="21"/>
          <w:highlight w:val="none"/>
        </w:rPr>
        <w:t>3.5.3 分包管理</w:t>
      </w:r>
    </w:p>
    <w:p w14:paraId="307AF197">
      <w:pPr>
        <w:pStyle w:val="79"/>
        <w:rPr>
          <w:rFonts w:hint="eastAsia" w:cs="宋体"/>
          <w:color w:val="auto"/>
          <w:sz w:val="21"/>
          <w:highlight w:val="none"/>
        </w:rPr>
      </w:pPr>
      <w:r>
        <w:rPr>
          <w:rFonts w:hint="eastAsia" w:cs="宋体"/>
          <w:color w:val="auto"/>
          <w:sz w:val="21"/>
          <w:highlight w:val="none"/>
        </w:rPr>
        <w:t>承包人应向监理人提交分包人的主要施工管理人员表，并对分包人的施工人员进行实名制管理，包括但不限于进出场管理、登记造册以及各种证照的办理。</w:t>
      </w:r>
    </w:p>
    <w:p w14:paraId="7792F3E9">
      <w:pPr>
        <w:pStyle w:val="79"/>
        <w:rPr>
          <w:rFonts w:hint="eastAsia" w:cs="宋体"/>
          <w:color w:val="auto"/>
          <w:sz w:val="21"/>
          <w:highlight w:val="none"/>
        </w:rPr>
      </w:pPr>
      <w:r>
        <w:rPr>
          <w:rFonts w:hint="eastAsia" w:cs="宋体"/>
          <w:color w:val="auto"/>
          <w:sz w:val="21"/>
          <w:highlight w:val="none"/>
        </w:rPr>
        <w:t>3.5.4 分包合同价款</w:t>
      </w:r>
    </w:p>
    <w:p w14:paraId="5BA42B7A">
      <w:pPr>
        <w:pStyle w:val="79"/>
        <w:rPr>
          <w:rFonts w:hint="eastAsia" w:cs="宋体"/>
          <w:color w:val="auto"/>
          <w:sz w:val="21"/>
          <w:highlight w:val="none"/>
        </w:rPr>
      </w:pPr>
      <w:r>
        <w:rPr>
          <w:rFonts w:hint="eastAsia" w:cs="宋体"/>
          <w:color w:val="auto"/>
          <w:sz w:val="21"/>
          <w:highlight w:val="none"/>
        </w:rPr>
        <w:t>（1）除本项第（2）目约定的情况或专用合同条款另有约定外，分包合同价款由承包人与分包人结算，未经承包人同意，发包人不得向分包人支付分包工程价款；</w:t>
      </w:r>
    </w:p>
    <w:p w14:paraId="4424CEA6">
      <w:pPr>
        <w:pStyle w:val="79"/>
        <w:rPr>
          <w:rFonts w:hint="eastAsia" w:cs="宋体"/>
          <w:color w:val="auto"/>
          <w:sz w:val="21"/>
          <w:highlight w:val="none"/>
        </w:rPr>
      </w:pPr>
      <w:r>
        <w:rPr>
          <w:rFonts w:hint="eastAsia" w:cs="宋体"/>
          <w:color w:val="auto"/>
          <w:sz w:val="21"/>
          <w:highlight w:val="none"/>
        </w:rPr>
        <w:t>（2）生效法律文书要求发包人向分包人支付分包合同价款的，发包人有权从应付承包人工程款中扣除该部分款项。</w:t>
      </w:r>
    </w:p>
    <w:p w14:paraId="53187C49">
      <w:pPr>
        <w:pStyle w:val="79"/>
        <w:rPr>
          <w:rFonts w:hint="eastAsia" w:cs="宋体"/>
          <w:color w:val="auto"/>
          <w:sz w:val="21"/>
          <w:highlight w:val="none"/>
        </w:rPr>
      </w:pPr>
      <w:r>
        <w:rPr>
          <w:rFonts w:hint="eastAsia" w:cs="宋体"/>
          <w:color w:val="auto"/>
          <w:sz w:val="21"/>
          <w:highlight w:val="none"/>
        </w:rPr>
        <w:t>3.5.5 分包合同权益的转让</w:t>
      </w:r>
    </w:p>
    <w:p w14:paraId="6D64EF62">
      <w:pPr>
        <w:pStyle w:val="79"/>
        <w:rPr>
          <w:rFonts w:hint="eastAsia" w:cs="宋体"/>
          <w:color w:val="auto"/>
          <w:sz w:val="21"/>
          <w:highlight w:val="none"/>
        </w:rPr>
      </w:pPr>
      <w:r>
        <w:rPr>
          <w:rFonts w:hint="eastAsia" w:cs="宋体"/>
          <w:color w:val="auto"/>
          <w:sz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84" w:name="_Toc351203524"/>
    </w:p>
    <w:p w14:paraId="54406DE6">
      <w:pPr>
        <w:pStyle w:val="321"/>
        <w:rPr>
          <w:rFonts w:hint="eastAsia" w:ascii="宋体" w:cs="宋体"/>
          <w:color w:val="auto"/>
          <w:highlight w:val="none"/>
        </w:rPr>
      </w:pPr>
      <w:bookmarkStart w:id="285" w:name="_Toc478389056"/>
      <w:r>
        <w:rPr>
          <w:rFonts w:hint="eastAsia" w:ascii="宋体" w:cs="宋体"/>
          <w:color w:val="auto"/>
          <w:highlight w:val="none"/>
        </w:rPr>
        <w:t>3.6 工程照管与成品、半成品保护</w:t>
      </w:r>
      <w:bookmarkEnd w:id="284"/>
      <w:bookmarkEnd w:id="285"/>
    </w:p>
    <w:p w14:paraId="46C4EE97">
      <w:pPr>
        <w:pStyle w:val="79"/>
        <w:rPr>
          <w:rFonts w:hint="eastAsia" w:cs="宋体"/>
          <w:color w:val="auto"/>
          <w:sz w:val="21"/>
          <w:highlight w:val="none"/>
        </w:rPr>
      </w:pPr>
      <w:r>
        <w:rPr>
          <w:rFonts w:hint="eastAsia" w:cs="宋体"/>
          <w:color w:val="auto"/>
          <w:sz w:val="21"/>
          <w:highlight w:val="none"/>
        </w:rPr>
        <w:t>（1）除专用合同条款另有约定外，自发包人向承包人移交施工现场之日起，承包人应负责照管工程及工程相关的材料、工程设备，直到颁发工程接收证书之日止。</w:t>
      </w:r>
    </w:p>
    <w:p w14:paraId="0C01EF20">
      <w:pPr>
        <w:pStyle w:val="79"/>
        <w:rPr>
          <w:rFonts w:hint="eastAsia" w:cs="宋体"/>
          <w:color w:val="auto"/>
          <w:sz w:val="21"/>
          <w:highlight w:val="none"/>
        </w:rPr>
      </w:pPr>
      <w:r>
        <w:rPr>
          <w:rFonts w:hint="eastAsia" w:cs="宋体"/>
          <w:color w:val="auto"/>
          <w:sz w:val="21"/>
          <w:highlight w:val="none"/>
        </w:rPr>
        <w:t>（2）在承包人负责照管期间，因承包人原因造成工程、材料、工程设备损坏的，由承包人负责修复或更换，并承担由此增加的费用和（或）延误的工期。</w:t>
      </w:r>
    </w:p>
    <w:p w14:paraId="413F510D">
      <w:pPr>
        <w:pStyle w:val="79"/>
        <w:rPr>
          <w:rFonts w:hint="eastAsia" w:cs="宋体"/>
          <w:color w:val="auto"/>
          <w:sz w:val="21"/>
          <w:highlight w:val="none"/>
        </w:rPr>
      </w:pPr>
      <w:r>
        <w:rPr>
          <w:rFonts w:hint="eastAsia" w:cs="宋体"/>
          <w:color w:val="auto"/>
          <w:sz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351542EE">
      <w:pPr>
        <w:pStyle w:val="321"/>
        <w:rPr>
          <w:rFonts w:hint="eastAsia" w:ascii="宋体" w:cs="宋体"/>
          <w:color w:val="auto"/>
          <w:highlight w:val="none"/>
        </w:rPr>
      </w:pPr>
      <w:bookmarkStart w:id="286" w:name="_Toc478389057"/>
      <w:bookmarkStart w:id="287" w:name="_Toc351203525"/>
      <w:r>
        <w:rPr>
          <w:rFonts w:hint="eastAsia" w:ascii="宋体" w:cs="宋体"/>
          <w:color w:val="auto"/>
          <w:highlight w:val="none"/>
        </w:rPr>
        <w:t>3</w:t>
      </w:r>
      <w:bookmarkStart w:id="288" w:name="_Toc296346553"/>
      <w:bookmarkStart w:id="289" w:name="_Toc296503052"/>
      <w:bookmarkStart w:id="290" w:name="_Toc337558752"/>
      <w:r>
        <w:rPr>
          <w:rFonts w:hint="eastAsia" w:ascii="宋体" w:cs="宋体"/>
          <w:color w:val="auto"/>
          <w:highlight w:val="none"/>
        </w:rPr>
        <w:t>.7 履约保证金</w:t>
      </w:r>
      <w:bookmarkEnd w:id="286"/>
      <w:bookmarkEnd w:id="287"/>
    </w:p>
    <w:bookmarkEnd w:id="288"/>
    <w:bookmarkEnd w:id="289"/>
    <w:bookmarkEnd w:id="290"/>
    <w:p w14:paraId="0BB56AD2">
      <w:pPr>
        <w:pStyle w:val="79"/>
        <w:rPr>
          <w:rFonts w:hint="eastAsia" w:cs="宋体"/>
          <w:color w:val="auto"/>
          <w:sz w:val="21"/>
          <w:highlight w:val="none"/>
        </w:rPr>
      </w:pPr>
      <w:r>
        <w:rPr>
          <w:rFonts w:hint="eastAsia" w:cs="宋体"/>
          <w:color w:val="auto"/>
          <w:sz w:val="21"/>
          <w:highlight w:val="none"/>
        </w:rPr>
        <w:t>发包人需要承包人提供履约保证金的，由合同当事人在专用合同条款中约定履约保证金的方式、金额及期限等。履约保证金可以采用银行保函或担保公司担保等形式，具体由合同当事人在专用合同条款中约定。</w:t>
      </w:r>
    </w:p>
    <w:p w14:paraId="49CFC345">
      <w:pPr>
        <w:pStyle w:val="79"/>
        <w:rPr>
          <w:rFonts w:hint="eastAsia" w:cs="宋体"/>
          <w:color w:val="auto"/>
          <w:sz w:val="21"/>
          <w:highlight w:val="none"/>
        </w:rPr>
      </w:pPr>
      <w:r>
        <w:rPr>
          <w:rFonts w:hint="eastAsia" w:cs="宋体"/>
          <w:color w:val="auto"/>
          <w:sz w:val="21"/>
          <w:highlight w:val="none"/>
        </w:rPr>
        <w:t>因承包人原因导致工期延长的，继续提供履约保证金所增加的费用由承包人承担；非因承包人原因导致工期延长的，继续提供履约保证金所增加的费用由发包人承担。</w:t>
      </w:r>
    </w:p>
    <w:p w14:paraId="428304C2">
      <w:pPr>
        <w:pStyle w:val="321"/>
        <w:rPr>
          <w:rFonts w:hint="eastAsia" w:ascii="宋体" w:cs="宋体"/>
          <w:color w:val="auto"/>
          <w:highlight w:val="none"/>
        </w:rPr>
      </w:pPr>
      <w:bookmarkStart w:id="291" w:name="_Toc478389058"/>
      <w:bookmarkStart w:id="292" w:name="_Toc351203526"/>
      <w:r>
        <w:rPr>
          <w:rFonts w:hint="eastAsia" w:ascii="宋体" w:cs="宋体"/>
          <w:color w:val="auto"/>
          <w:highlight w:val="none"/>
        </w:rPr>
        <w:t>3.8 联合体</w:t>
      </w:r>
      <w:bookmarkEnd w:id="291"/>
      <w:bookmarkEnd w:id="292"/>
    </w:p>
    <w:p w14:paraId="375A6663">
      <w:pPr>
        <w:pStyle w:val="79"/>
        <w:rPr>
          <w:rFonts w:hint="eastAsia" w:cs="宋体"/>
          <w:color w:val="auto"/>
          <w:sz w:val="21"/>
          <w:highlight w:val="none"/>
        </w:rPr>
      </w:pPr>
      <w:r>
        <w:rPr>
          <w:rFonts w:hint="eastAsia" w:cs="宋体"/>
          <w:color w:val="auto"/>
          <w:sz w:val="21"/>
          <w:highlight w:val="none"/>
        </w:rPr>
        <w:t>3.8.1联合体各方应共同与发包人签订合同协议书。联合体各方应为履行合同向发包人承担连带责任。</w:t>
      </w:r>
    </w:p>
    <w:p w14:paraId="2216AAA0">
      <w:pPr>
        <w:pStyle w:val="79"/>
        <w:rPr>
          <w:rFonts w:hint="eastAsia" w:cs="宋体"/>
          <w:color w:val="auto"/>
          <w:sz w:val="21"/>
          <w:highlight w:val="none"/>
        </w:rPr>
      </w:pPr>
      <w:r>
        <w:rPr>
          <w:rFonts w:hint="eastAsia" w:cs="宋体"/>
          <w:color w:val="auto"/>
          <w:sz w:val="21"/>
          <w:highlight w:val="none"/>
        </w:rPr>
        <w:t>3.8.2联合体协议经发包人确认后作为合同附件。在履行合同过程中，未经发包人同意，不得修改联合体协议。</w:t>
      </w:r>
    </w:p>
    <w:p w14:paraId="5A9C7A9D">
      <w:pPr>
        <w:pStyle w:val="79"/>
        <w:rPr>
          <w:rFonts w:hint="eastAsia" w:cs="宋体"/>
          <w:color w:val="auto"/>
          <w:sz w:val="21"/>
          <w:highlight w:val="none"/>
        </w:rPr>
      </w:pPr>
      <w:r>
        <w:rPr>
          <w:rFonts w:hint="eastAsia" w:cs="宋体"/>
          <w:color w:val="auto"/>
          <w:sz w:val="21"/>
          <w:highlight w:val="none"/>
        </w:rPr>
        <w:t>3.8.3联合体牵头人负责与发包人和监理人联系，并接受指示，负责组织联合体各成员全面履行合同。</w:t>
      </w:r>
    </w:p>
    <w:p w14:paraId="4018C59B">
      <w:pPr>
        <w:pStyle w:val="321"/>
        <w:rPr>
          <w:rFonts w:hint="eastAsia" w:ascii="宋体" w:cs="宋体"/>
          <w:color w:val="auto"/>
          <w:highlight w:val="none"/>
        </w:rPr>
      </w:pPr>
      <w:bookmarkStart w:id="293" w:name="_Toc478389059"/>
      <w:bookmarkStart w:id="294" w:name="_Toc351203527"/>
      <w:r>
        <w:rPr>
          <w:rFonts w:hint="eastAsia" w:ascii="宋体" w:cs="宋体"/>
          <w:color w:val="auto"/>
          <w:highlight w:val="none"/>
        </w:rPr>
        <w:t>4</w:t>
      </w:r>
      <w:bookmarkStart w:id="295" w:name="_Toc296346554"/>
      <w:bookmarkStart w:id="296" w:name="_Toc296503053"/>
      <w:bookmarkStart w:id="297" w:name="_Toc337558753"/>
      <w:r>
        <w:rPr>
          <w:rFonts w:hint="eastAsia" w:ascii="宋体" w:cs="宋体"/>
          <w:color w:val="auto"/>
          <w:highlight w:val="none"/>
        </w:rPr>
        <w:t>. 监</w:t>
      </w:r>
      <w:bookmarkEnd w:id="295"/>
      <w:bookmarkEnd w:id="296"/>
      <w:r>
        <w:rPr>
          <w:rFonts w:hint="eastAsia" w:ascii="宋体" w:cs="宋体"/>
          <w:color w:val="auto"/>
          <w:highlight w:val="none"/>
        </w:rPr>
        <w:t>理人</w:t>
      </w:r>
      <w:bookmarkEnd w:id="293"/>
      <w:bookmarkEnd w:id="294"/>
    </w:p>
    <w:bookmarkEnd w:id="297"/>
    <w:p w14:paraId="1161ACB8">
      <w:pPr>
        <w:pStyle w:val="321"/>
        <w:rPr>
          <w:rFonts w:hint="eastAsia" w:ascii="宋体" w:cs="宋体"/>
          <w:color w:val="auto"/>
          <w:highlight w:val="none"/>
        </w:rPr>
      </w:pPr>
      <w:bookmarkStart w:id="298" w:name="_Toc351203528"/>
      <w:bookmarkStart w:id="299" w:name="_Toc478389060"/>
      <w:r>
        <w:rPr>
          <w:rFonts w:hint="eastAsia" w:ascii="宋体" w:cs="宋体"/>
          <w:color w:val="auto"/>
          <w:highlight w:val="none"/>
        </w:rPr>
        <w:t>4</w:t>
      </w:r>
      <w:bookmarkStart w:id="300" w:name="_Toc296346555"/>
      <w:bookmarkStart w:id="301" w:name="_Toc296503054"/>
      <w:bookmarkStart w:id="302" w:name="_Toc337558754"/>
      <w:r>
        <w:rPr>
          <w:rFonts w:hint="eastAsia" w:ascii="宋体" w:cs="宋体"/>
          <w:color w:val="auto"/>
          <w:highlight w:val="none"/>
        </w:rPr>
        <w:t>.1监理人的一般规定</w:t>
      </w:r>
      <w:bookmarkEnd w:id="298"/>
      <w:bookmarkEnd w:id="299"/>
    </w:p>
    <w:bookmarkEnd w:id="300"/>
    <w:bookmarkEnd w:id="301"/>
    <w:bookmarkEnd w:id="302"/>
    <w:p w14:paraId="6B2BC76A">
      <w:pPr>
        <w:pStyle w:val="79"/>
        <w:rPr>
          <w:rFonts w:hint="eastAsia" w:cs="宋体"/>
          <w:color w:val="auto"/>
          <w:sz w:val="21"/>
          <w:highlight w:val="none"/>
        </w:rPr>
      </w:pPr>
      <w:r>
        <w:rPr>
          <w:rFonts w:hint="eastAsia" w:cs="宋体"/>
          <w:color w:val="auto"/>
          <w:sz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98E0CAC">
      <w:pPr>
        <w:pStyle w:val="79"/>
        <w:rPr>
          <w:rFonts w:hint="eastAsia" w:cs="宋体"/>
          <w:color w:val="auto"/>
          <w:sz w:val="21"/>
          <w:highlight w:val="none"/>
        </w:rPr>
      </w:pPr>
      <w:r>
        <w:rPr>
          <w:rFonts w:hint="eastAsia" w:cs="宋体"/>
          <w:color w:val="auto"/>
          <w:sz w:val="21"/>
          <w:highlight w:val="none"/>
        </w:rPr>
        <w:t>除专用合同条款另有约定外，监理人在施工现场的办公场所、生活场所由承包人提供，所发生的费用由发包人承担。</w:t>
      </w:r>
    </w:p>
    <w:p w14:paraId="2988C9F9">
      <w:pPr>
        <w:pStyle w:val="321"/>
        <w:rPr>
          <w:rFonts w:hint="eastAsia" w:ascii="宋体" w:cs="宋体"/>
          <w:color w:val="auto"/>
          <w:highlight w:val="none"/>
        </w:rPr>
      </w:pPr>
      <w:bookmarkStart w:id="303" w:name="_Toc478389061"/>
      <w:bookmarkStart w:id="304" w:name="_Toc351203529"/>
      <w:r>
        <w:rPr>
          <w:rFonts w:hint="eastAsia" w:ascii="宋体" w:cs="宋体"/>
          <w:color w:val="auto"/>
          <w:highlight w:val="none"/>
        </w:rPr>
        <w:t>4</w:t>
      </w:r>
      <w:bookmarkStart w:id="305" w:name="_Toc337558755"/>
      <w:r>
        <w:rPr>
          <w:rFonts w:hint="eastAsia" w:ascii="宋体" w:cs="宋体"/>
          <w:color w:val="auto"/>
          <w:highlight w:val="none"/>
        </w:rPr>
        <w:t>.2监理人员</w:t>
      </w:r>
      <w:bookmarkEnd w:id="303"/>
      <w:bookmarkEnd w:id="304"/>
    </w:p>
    <w:bookmarkEnd w:id="305"/>
    <w:p w14:paraId="7FB924BA">
      <w:pPr>
        <w:pStyle w:val="79"/>
        <w:rPr>
          <w:rFonts w:hint="eastAsia" w:cs="宋体"/>
          <w:color w:val="auto"/>
          <w:sz w:val="21"/>
          <w:highlight w:val="none"/>
        </w:rPr>
      </w:pPr>
      <w:r>
        <w:rPr>
          <w:rFonts w:hint="eastAsia" w:cs="宋体"/>
          <w:color w:val="auto"/>
          <w:sz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7CC2FA83">
      <w:pPr>
        <w:pStyle w:val="321"/>
        <w:rPr>
          <w:rFonts w:hint="eastAsia" w:ascii="宋体" w:cs="宋体"/>
          <w:color w:val="auto"/>
          <w:highlight w:val="none"/>
        </w:rPr>
      </w:pPr>
      <w:bookmarkStart w:id="306" w:name="_Toc351203530"/>
      <w:bookmarkStart w:id="307" w:name="_Toc478389062"/>
      <w:r>
        <w:rPr>
          <w:rFonts w:hint="eastAsia" w:ascii="宋体" w:cs="宋体"/>
          <w:color w:val="auto"/>
          <w:highlight w:val="none"/>
        </w:rPr>
        <w:t>4</w:t>
      </w:r>
      <w:bookmarkStart w:id="308" w:name="_Toc296503055"/>
      <w:bookmarkStart w:id="309" w:name="_Toc296346556"/>
      <w:bookmarkStart w:id="310" w:name="_Toc337558756"/>
      <w:r>
        <w:rPr>
          <w:rFonts w:hint="eastAsia" w:ascii="宋体" w:cs="宋体"/>
          <w:color w:val="auto"/>
          <w:highlight w:val="none"/>
        </w:rPr>
        <w:t>.3</w:t>
      </w:r>
      <w:bookmarkEnd w:id="308"/>
      <w:bookmarkEnd w:id="309"/>
      <w:r>
        <w:rPr>
          <w:rFonts w:hint="eastAsia" w:ascii="宋体" w:cs="宋体"/>
          <w:color w:val="auto"/>
          <w:highlight w:val="none"/>
        </w:rPr>
        <w:t>监理人的指</w:t>
      </w:r>
      <w:bookmarkEnd w:id="310"/>
      <w:r>
        <w:rPr>
          <w:rFonts w:hint="eastAsia" w:ascii="宋体" w:cs="宋体"/>
          <w:color w:val="auto"/>
          <w:highlight w:val="none"/>
        </w:rPr>
        <w:t>示</w:t>
      </w:r>
      <w:bookmarkEnd w:id="306"/>
      <w:bookmarkEnd w:id="307"/>
    </w:p>
    <w:p w14:paraId="5F117909">
      <w:pPr>
        <w:pStyle w:val="79"/>
        <w:rPr>
          <w:rFonts w:hint="eastAsia" w:cs="宋体"/>
          <w:color w:val="auto"/>
          <w:sz w:val="21"/>
          <w:highlight w:val="none"/>
        </w:rPr>
      </w:pPr>
      <w:r>
        <w:rPr>
          <w:rFonts w:hint="eastAsia" w:cs="宋体"/>
          <w:color w:val="auto"/>
          <w:sz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3C5D3B71">
      <w:pPr>
        <w:pStyle w:val="79"/>
        <w:rPr>
          <w:rFonts w:hint="eastAsia" w:cs="宋体"/>
          <w:color w:val="auto"/>
          <w:sz w:val="21"/>
          <w:highlight w:val="none"/>
        </w:rPr>
      </w:pPr>
      <w:r>
        <w:rPr>
          <w:rFonts w:hint="eastAsia" w:cs="宋体"/>
          <w:color w:val="auto"/>
          <w:sz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5FBE2A7A">
      <w:pPr>
        <w:pStyle w:val="79"/>
        <w:rPr>
          <w:rFonts w:hint="eastAsia" w:cs="宋体"/>
          <w:color w:val="auto"/>
          <w:sz w:val="21"/>
          <w:highlight w:val="none"/>
        </w:rPr>
      </w:pPr>
      <w:r>
        <w:rPr>
          <w:rFonts w:hint="eastAsia" w:cs="宋体"/>
          <w:color w:val="auto"/>
          <w:sz w:val="21"/>
          <w:highlight w:val="none"/>
        </w:rPr>
        <w:t>承包人对监理人发出的指示有疑问的，应向监理人提出书面异议，监理人应在48小时内对该指示予以确认、更改或撤销，监理人逾期未回复的，承包人有权拒绝执行上述指示。</w:t>
      </w:r>
    </w:p>
    <w:p w14:paraId="1D706EA7">
      <w:pPr>
        <w:pStyle w:val="79"/>
        <w:rPr>
          <w:rFonts w:hint="eastAsia" w:cs="宋体"/>
          <w:color w:val="auto"/>
          <w:sz w:val="21"/>
          <w:highlight w:val="none"/>
        </w:rPr>
      </w:pPr>
      <w:r>
        <w:rPr>
          <w:rFonts w:hint="eastAsia" w:cs="宋体"/>
          <w:color w:val="auto"/>
          <w:sz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7D51B875">
      <w:pPr>
        <w:pStyle w:val="321"/>
        <w:rPr>
          <w:rFonts w:hint="eastAsia" w:ascii="宋体" w:cs="宋体"/>
          <w:color w:val="auto"/>
          <w:sz w:val="32"/>
          <w:highlight w:val="none"/>
        </w:rPr>
      </w:pPr>
      <w:bookmarkStart w:id="311" w:name="_Toc351203531"/>
      <w:bookmarkStart w:id="312" w:name="_Toc478389063"/>
      <w:r>
        <w:rPr>
          <w:rFonts w:hint="eastAsia" w:ascii="宋体" w:cs="宋体"/>
          <w:color w:val="auto"/>
          <w:highlight w:val="none"/>
        </w:rPr>
        <w:t>4</w:t>
      </w:r>
      <w:bookmarkStart w:id="313" w:name="_Toc296346558"/>
      <w:bookmarkStart w:id="314" w:name="_Toc337558757"/>
      <w:bookmarkStart w:id="315" w:name="_Toc296503057"/>
      <w:r>
        <w:rPr>
          <w:rFonts w:hint="eastAsia" w:ascii="宋体" w:cs="宋体"/>
          <w:color w:val="auto"/>
          <w:highlight w:val="none"/>
        </w:rPr>
        <w:t>.4 商定或确定</w:t>
      </w:r>
      <w:bookmarkEnd w:id="311"/>
      <w:bookmarkEnd w:id="312"/>
    </w:p>
    <w:bookmarkEnd w:id="313"/>
    <w:bookmarkEnd w:id="314"/>
    <w:bookmarkEnd w:id="315"/>
    <w:p w14:paraId="431E5EC2">
      <w:pPr>
        <w:pStyle w:val="79"/>
        <w:rPr>
          <w:rFonts w:hint="eastAsia" w:cs="宋体"/>
          <w:color w:val="auto"/>
          <w:sz w:val="21"/>
          <w:highlight w:val="none"/>
        </w:rPr>
      </w:pPr>
      <w:r>
        <w:rPr>
          <w:rFonts w:hint="eastAsia" w:cs="宋体"/>
          <w:color w:val="auto"/>
          <w:sz w:val="21"/>
          <w:highlight w:val="none"/>
        </w:rPr>
        <w:t>合同当事人进行商定或确定时，总监理工程师应当会同合同当事人尽量通过协商达成一致，不能达成一致的，由总监理工程师按照合同约定审慎做出公正的确定。</w:t>
      </w:r>
    </w:p>
    <w:p w14:paraId="7F2614DC">
      <w:pPr>
        <w:pStyle w:val="79"/>
        <w:rPr>
          <w:rFonts w:hint="eastAsia" w:cs="宋体"/>
          <w:color w:val="auto"/>
          <w:sz w:val="21"/>
          <w:highlight w:val="none"/>
        </w:rPr>
      </w:pPr>
      <w:r>
        <w:rPr>
          <w:rFonts w:hint="eastAsia" w:cs="宋体"/>
          <w:color w:val="auto"/>
          <w:sz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72FB3AB3">
      <w:pPr>
        <w:pStyle w:val="321"/>
        <w:rPr>
          <w:rFonts w:hint="eastAsia" w:ascii="宋体" w:cs="宋体"/>
          <w:color w:val="auto"/>
          <w:highlight w:val="none"/>
        </w:rPr>
      </w:pPr>
      <w:bookmarkStart w:id="316" w:name="_Toc351203532"/>
      <w:bookmarkStart w:id="317" w:name="_Toc478389064"/>
      <w:r>
        <w:rPr>
          <w:rFonts w:hint="eastAsia" w:ascii="宋体" w:cs="宋体"/>
          <w:color w:val="auto"/>
          <w:highlight w:val="none"/>
        </w:rPr>
        <w:t>5</w:t>
      </w:r>
      <w:bookmarkStart w:id="318" w:name="_Toc337558758"/>
      <w:r>
        <w:rPr>
          <w:rFonts w:hint="eastAsia" w:ascii="宋体" w:cs="宋体"/>
          <w:color w:val="auto"/>
          <w:highlight w:val="none"/>
        </w:rPr>
        <w:t>. 工程质量</w:t>
      </w:r>
      <w:bookmarkEnd w:id="316"/>
      <w:bookmarkEnd w:id="317"/>
    </w:p>
    <w:bookmarkEnd w:id="318"/>
    <w:p w14:paraId="2B07CBC1">
      <w:pPr>
        <w:pStyle w:val="321"/>
        <w:rPr>
          <w:rFonts w:hint="eastAsia" w:ascii="宋体" w:cs="宋体"/>
          <w:color w:val="auto"/>
          <w:highlight w:val="none"/>
        </w:rPr>
      </w:pPr>
      <w:bookmarkStart w:id="319" w:name="_Toc478389065"/>
      <w:bookmarkStart w:id="320" w:name="_Toc351203533"/>
      <w:r>
        <w:rPr>
          <w:rFonts w:hint="eastAsia" w:ascii="宋体" w:cs="宋体"/>
          <w:color w:val="auto"/>
          <w:highlight w:val="none"/>
        </w:rPr>
        <w:t>5</w:t>
      </w:r>
      <w:bookmarkStart w:id="321" w:name="_Toc337558759"/>
      <w:r>
        <w:rPr>
          <w:rFonts w:hint="eastAsia" w:ascii="宋体" w:cs="宋体"/>
          <w:color w:val="auto"/>
          <w:highlight w:val="none"/>
        </w:rPr>
        <w:t>.1质量要求</w:t>
      </w:r>
      <w:bookmarkEnd w:id="319"/>
      <w:bookmarkEnd w:id="320"/>
    </w:p>
    <w:bookmarkEnd w:id="321"/>
    <w:p w14:paraId="65208626">
      <w:pPr>
        <w:pStyle w:val="79"/>
        <w:rPr>
          <w:rFonts w:hint="eastAsia" w:cs="宋体"/>
          <w:color w:val="auto"/>
          <w:sz w:val="21"/>
          <w:highlight w:val="none"/>
        </w:rPr>
      </w:pPr>
      <w:r>
        <w:rPr>
          <w:rFonts w:hint="eastAsia" w:cs="宋体"/>
          <w:color w:val="auto"/>
          <w:sz w:val="21"/>
          <w:highlight w:val="none"/>
        </w:rPr>
        <w:t>5.1.1工程质量标准必须符合现行国家有关工程施工质量验收规范和标准的要求。有关工程质量的特殊标准或要求由合同当事人在专用合同条款中约定。</w:t>
      </w:r>
    </w:p>
    <w:p w14:paraId="2BC7543F">
      <w:pPr>
        <w:pStyle w:val="79"/>
        <w:rPr>
          <w:rFonts w:hint="eastAsia" w:cs="宋体"/>
          <w:color w:val="auto"/>
          <w:sz w:val="21"/>
          <w:highlight w:val="none"/>
        </w:rPr>
      </w:pPr>
      <w:r>
        <w:rPr>
          <w:rFonts w:hint="eastAsia" w:cs="宋体"/>
          <w:color w:val="auto"/>
          <w:sz w:val="21"/>
          <w:highlight w:val="none"/>
        </w:rPr>
        <w:t>5.1.2因发包人原因造成工程质量未达到合同约定标准的，由发包人承担由此增加的费用和（或）延误的工期，并支付承包人合理的利润。</w:t>
      </w:r>
    </w:p>
    <w:p w14:paraId="18F7B2B5">
      <w:pPr>
        <w:pStyle w:val="79"/>
        <w:rPr>
          <w:rFonts w:hint="eastAsia" w:cs="宋体"/>
          <w:color w:val="auto"/>
          <w:sz w:val="21"/>
          <w:highlight w:val="none"/>
        </w:rPr>
      </w:pPr>
      <w:r>
        <w:rPr>
          <w:rFonts w:hint="eastAsia" w:cs="宋体"/>
          <w:color w:val="auto"/>
          <w:sz w:val="21"/>
          <w:highlight w:val="none"/>
        </w:rPr>
        <w:t>5.1.3因承包人原因造成工程质量未达到合同约定标准的，发包人有权要求承包人返工直至工程质量达到合同约定的标准为止，并由承包人承担由此增加的费用和（或）延误的工期。</w:t>
      </w:r>
    </w:p>
    <w:p w14:paraId="718F779B">
      <w:pPr>
        <w:pStyle w:val="321"/>
        <w:rPr>
          <w:rFonts w:hint="eastAsia" w:ascii="宋体" w:cs="宋体"/>
          <w:color w:val="auto"/>
          <w:highlight w:val="none"/>
        </w:rPr>
      </w:pPr>
      <w:bookmarkStart w:id="322" w:name="_Toc478389066"/>
      <w:bookmarkStart w:id="323" w:name="_Toc351203534"/>
      <w:r>
        <w:rPr>
          <w:rFonts w:hint="eastAsia" w:ascii="宋体" w:cs="宋体"/>
          <w:color w:val="auto"/>
          <w:highlight w:val="none"/>
        </w:rPr>
        <w:t>5</w:t>
      </w:r>
      <w:bookmarkStart w:id="324" w:name="_Toc337558760"/>
      <w:r>
        <w:rPr>
          <w:rFonts w:hint="eastAsia" w:ascii="宋体" w:cs="宋体"/>
          <w:color w:val="auto"/>
          <w:highlight w:val="none"/>
        </w:rPr>
        <w:t>.2质量保证措施</w:t>
      </w:r>
      <w:bookmarkEnd w:id="322"/>
      <w:bookmarkEnd w:id="323"/>
    </w:p>
    <w:bookmarkEnd w:id="324"/>
    <w:p w14:paraId="27EC7BCF">
      <w:pPr>
        <w:pStyle w:val="79"/>
        <w:rPr>
          <w:rFonts w:hint="eastAsia" w:cs="宋体"/>
          <w:color w:val="auto"/>
          <w:sz w:val="21"/>
          <w:highlight w:val="none"/>
        </w:rPr>
      </w:pPr>
      <w:r>
        <w:rPr>
          <w:rFonts w:hint="eastAsia" w:cs="宋体"/>
          <w:color w:val="auto"/>
          <w:sz w:val="21"/>
          <w:highlight w:val="none"/>
        </w:rPr>
        <w:t>5.2.1 发包人的质量管理</w:t>
      </w:r>
    </w:p>
    <w:p w14:paraId="36566979">
      <w:pPr>
        <w:pStyle w:val="79"/>
        <w:rPr>
          <w:rFonts w:hint="eastAsia" w:cs="宋体"/>
          <w:color w:val="auto"/>
          <w:sz w:val="21"/>
          <w:highlight w:val="none"/>
        </w:rPr>
      </w:pPr>
      <w:r>
        <w:rPr>
          <w:rFonts w:hint="eastAsia" w:cs="宋体"/>
          <w:color w:val="auto"/>
          <w:sz w:val="21"/>
          <w:highlight w:val="none"/>
        </w:rPr>
        <w:t>发包人应按照法律规定及合同约定完成与工程质量有关的各项工作。</w:t>
      </w:r>
    </w:p>
    <w:p w14:paraId="2C19266B">
      <w:pPr>
        <w:pStyle w:val="79"/>
        <w:rPr>
          <w:rFonts w:hint="eastAsia" w:cs="宋体"/>
          <w:color w:val="auto"/>
          <w:sz w:val="21"/>
          <w:highlight w:val="none"/>
        </w:rPr>
      </w:pPr>
      <w:r>
        <w:rPr>
          <w:rFonts w:hint="eastAsia" w:cs="宋体"/>
          <w:color w:val="auto"/>
          <w:sz w:val="21"/>
          <w:highlight w:val="none"/>
        </w:rPr>
        <w:t>5.2.2 承包人的质量管理</w:t>
      </w:r>
    </w:p>
    <w:p w14:paraId="5BE39A15">
      <w:pPr>
        <w:pStyle w:val="79"/>
        <w:rPr>
          <w:rFonts w:hint="eastAsia" w:cs="宋体"/>
          <w:color w:val="auto"/>
          <w:sz w:val="21"/>
          <w:highlight w:val="none"/>
        </w:rPr>
      </w:pPr>
      <w:r>
        <w:rPr>
          <w:rFonts w:hint="eastAsia" w:cs="宋体"/>
          <w:color w:val="auto"/>
          <w:sz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459AEED8">
      <w:pPr>
        <w:pStyle w:val="79"/>
        <w:rPr>
          <w:rFonts w:hint="eastAsia" w:cs="宋体"/>
          <w:color w:val="auto"/>
          <w:sz w:val="21"/>
          <w:highlight w:val="none"/>
        </w:rPr>
      </w:pPr>
      <w:r>
        <w:rPr>
          <w:rFonts w:hint="eastAsia" w:cs="宋体"/>
          <w:color w:val="auto"/>
          <w:sz w:val="21"/>
          <w:highlight w:val="none"/>
        </w:rPr>
        <w:t>承包人应对施工人员进行质量教育和技术培训，定期考核施工人员的劳动技能，严格执行施工规范和操作规程。</w:t>
      </w:r>
    </w:p>
    <w:p w14:paraId="63C9BECA">
      <w:pPr>
        <w:pStyle w:val="79"/>
        <w:rPr>
          <w:rFonts w:hint="eastAsia" w:cs="宋体"/>
          <w:color w:val="auto"/>
          <w:sz w:val="21"/>
          <w:highlight w:val="none"/>
        </w:rPr>
      </w:pPr>
      <w:r>
        <w:rPr>
          <w:rFonts w:hint="eastAsia" w:cs="宋体"/>
          <w:color w:val="auto"/>
          <w:sz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DA941EB">
      <w:pPr>
        <w:pStyle w:val="79"/>
        <w:rPr>
          <w:rFonts w:hint="eastAsia" w:cs="宋体"/>
          <w:color w:val="auto"/>
          <w:sz w:val="21"/>
          <w:highlight w:val="none"/>
        </w:rPr>
      </w:pPr>
      <w:r>
        <w:rPr>
          <w:rFonts w:hint="eastAsia" w:cs="宋体"/>
          <w:color w:val="auto"/>
          <w:sz w:val="21"/>
          <w:highlight w:val="none"/>
        </w:rPr>
        <w:t>5.2.3 监理人的质量检查和检验</w:t>
      </w:r>
    </w:p>
    <w:p w14:paraId="7152BBD8">
      <w:pPr>
        <w:pStyle w:val="79"/>
        <w:rPr>
          <w:rFonts w:hint="eastAsia" w:cs="宋体"/>
          <w:color w:val="auto"/>
          <w:sz w:val="21"/>
          <w:highlight w:val="none"/>
        </w:rPr>
      </w:pPr>
      <w:r>
        <w:rPr>
          <w:rFonts w:hint="eastAsia" w:cs="宋体"/>
          <w:color w:val="auto"/>
          <w:sz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0DFD47C1">
      <w:pPr>
        <w:pStyle w:val="79"/>
        <w:rPr>
          <w:rFonts w:hint="eastAsia" w:cs="宋体"/>
          <w:color w:val="auto"/>
          <w:sz w:val="21"/>
          <w:highlight w:val="none"/>
        </w:rPr>
      </w:pPr>
      <w:r>
        <w:rPr>
          <w:rFonts w:hint="eastAsia" w:cs="宋体"/>
          <w:color w:val="auto"/>
          <w:sz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8B67B5F">
      <w:pPr>
        <w:pStyle w:val="321"/>
        <w:rPr>
          <w:rFonts w:hint="eastAsia" w:ascii="宋体" w:cs="宋体"/>
          <w:color w:val="auto"/>
          <w:highlight w:val="none"/>
        </w:rPr>
      </w:pPr>
      <w:bookmarkStart w:id="325" w:name="_Toc478389067"/>
      <w:bookmarkStart w:id="326" w:name="_Toc351203535"/>
      <w:r>
        <w:rPr>
          <w:rFonts w:hint="eastAsia" w:ascii="宋体" w:cs="宋体"/>
          <w:color w:val="auto"/>
          <w:highlight w:val="none"/>
        </w:rPr>
        <w:t>5</w:t>
      </w:r>
      <w:bookmarkStart w:id="327" w:name="_Toc337558761"/>
      <w:r>
        <w:rPr>
          <w:rFonts w:hint="eastAsia" w:ascii="宋体" w:cs="宋体"/>
          <w:color w:val="auto"/>
          <w:highlight w:val="none"/>
        </w:rPr>
        <w:t>.3 隐蔽工程检查</w:t>
      </w:r>
      <w:bookmarkEnd w:id="325"/>
      <w:bookmarkEnd w:id="326"/>
    </w:p>
    <w:bookmarkEnd w:id="327"/>
    <w:p w14:paraId="1BA7D790">
      <w:pPr>
        <w:pStyle w:val="79"/>
        <w:rPr>
          <w:rFonts w:hint="eastAsia" w:cs="宋体"/>
          <w:color w:val="auto"/>
          <w:sz w:val="21"/>
          <w:highlight w:val="none"/>
        </w:rPr>
      </w:pPr>
      <w:r>
        <w:rPr>
          <w:rFonts w:hint="eastAsia" w:cs="宋体"/>
          <w:color w:val="auto"/>
          <w:sz w:val="21"/>
          <w:highlight w:val="none"/>
        </w:rPr>
        <w:t>5.3.1承包人自检</w:t>
      </w:r>
    </w:p>
    <w:p w14:paraId="11055FF2">
      <w:pPr>
        <w:pStyle w:val="79"/>
        <w:rPr>
          <w:rFonts w:hint="eastAsia" w:cs="宋体"/>
          <w:color w:val="auto"/>
          <w:sz w:val="21"/>
          <w:highlight w:val="none"/>
        </w:rPr>
      </w:pPr>
      <w:r>
        <w:rPr>
          <w:rFonts w:hint="eastAsia" w:cs="宋体"/>
          <w:color w:val="auto"/>
          <w:sz w:val="21"/>
          <w:highlight w:val="none"/>
        </w:rPr>
        <w:t>承包人应当对工程隐蔽部位进行自检，并经自检确认是否具备覆盖条件。</w:t>
      </w:r>
    </w:p>
    <w:p w14:paraId="163E75F9">
      <w:pPr>
        <w:pStyle w:val="79"/>
        <w:rPr>
          <w:rFonts w:hint="eastAsia" w:cs="宋体"/>
          <w:color w:val="auto"/>
          <w:sz w:val="21"/>
          <w:highlight w:val="none"/>
        </w:rPr>
      </w:pPr>
      <w:r>
        <w:rPr>
          <w:rFonts w:hint="eastAsia" w:cs="宋体"/>
          <w:color w:val="auto"/>
          <w:sz w:val="21"/>
          <w:highlight w:val="none"/>
        </w:rPr>
        <w:t>5.3.2检查程序</w:t>
      </w:r>
    </w:p>
    <w:p w14:paraId="754087A1">
      <w:pPr>
        <w:pStyle w:val="79"/>
        <w:rPr>
          <w:rFonts w:hint="eastAsia" w:cs="宋体"/>
          <w:color w:val="auto"/>
          <w:sz w:val="21"/>
          <w:highlight w:val="none"/>
        </w:rPr>
      </w:pPr>
      <w:r>
        <w:rPr>
          <w:rFonts w:hint="eastAsia" w:cs="宋体"/>
          <w:color w:val="auto"/>
          <w:sz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47A011D7">
      <w:pPr>
        <w:pStyle w:val="79"/>
        <w:rPr>
          <w:rFonts w:hint="eastAsia" w:cs="宋体"/>
          <w:color w:val="auto"/>
          <w:sz w:val="21"/>
          <w:highlight w:val="none"/>
        </w:rPr>
      </w:pPr>
      <w:r>
        <w:rPr>
          <w:rFonts w:hint="eastAsia" w:cs="宋体"/>
          <w:color w:val="auto"/>
          <w:sz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2D943BD">
      <w:pPr>
        <w:pStyle w:val="79"/>
        <w:rPr>
          <w:rFonts w:hint="eastAsia" w:cs="宋体"/>
          <w:color w:val="auto"/>
          <w:sz w:val="21"/>
          <w:highlight w:val="none"/>
        </w:rPr>
      </w:pPr>
      <w:r>
        <w:rPr>
          <w:rFonts w:hint="eastAsia" w:cs="宋体"/>
          <w:color w:val="auto"/>
          <w:sz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4408934F">
      <w:pPr>
        <w:pStyle w:val="79"/>
        <w:rPr>
          <w:rFonts w:hint="eastAsia" w:cs="宋体"/>
          <w:color w:val="auto"/>
          <w:sz w:val="21"/>
          <w:highlight w:val="none"/>
        </w:rPr>
      </w:pPr>
      <w:r>
        <w:rPr>
          <w:rFonts w:hint="eastAsia" w:cs="宋体"/>
          <w:color w:val="auto"/>
          <w:sz w:val="21"/>
          <w:highlight w:val="none"/>
        </w:rPr>
        <w:t>5.3.3 重新检查</w:t>
      </w:r>
    </w:p>
    <w:p w14:paraId="18081BE3">
      <w:pPr>
        <w:pStyle w:val="79"/>
        <w:rPr>
          <w:rFonts w:hint="eastAsia" w:cs="宋体"/>
          <w:color w:val="auto"/>
          <w:sz w:val="21"/>
          <w:highlight w:val="none"/>
        </w:rPr>
      </w:pPr>
      <w:r>
        <w:rPr>
          <w:rFonts w:hint="eastAsia" w:cs="宋体"/>
          <w:color w:val="auto"/>
          <w:sz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A22934F">
      <w:pPr>
        <w:pStyle w:val="79"/>
        <w:rPr>
          <w:rFonts w:hint="eastAsia" w:cs="宋体"/>
          <w:color w:val="auto"/>
          <w:sz w:val="21"/>
          <w:highlight w:val="none"/>
        </w:rPr>
      </w:pPr>
      <w:r>
        <w:rPr>
          <w:rFonts w:hint="eastAsia" w:cs="宋体"/>
          <w:color w:val="auto"/>
          <w:sz w:val="21"/>
          <w:highlight w:val="none"/>
        </w:rPr>
        <w:t>5.3.4 承包人私自覆盖</w:t>
      </w:r>
    </w:p>
    <w:p w14:paraId="6B79E7E2">
      <w:pPr>
        <w:pStyle w:val="79"/>
        <w:rPr>
          <w:rFonts w:hint="eastAsia" w:cs="宋体"/>
          <w:color w:val="auto"/>
          <w:sz w:val="21"/>
          <w:highlight w:val="none"/>
        </w:rPr>
      </w:pPr>
      <w:r>
        <w:rPr>
          <w:rFonts w:hint="eastAsia" w:cs="宋体"/>
          <w:color w:val="auto"/>
          <w:sz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3EC1AD0E">
      <w:pPr>
        <w:pStyle w:val="321"/>
        <w:rPr>
          <w:rFonts w:hint="eastAsia" w:ascii="宋体" w:cs="宋体"/>
          <w:color w:val="auto"/>
          <w:highlight w:val="none"/>
        </w:rPr>
      </w:pPr>
      <w:bookmarkStart w:id="328" w:name="_Toc478389068"/>
      <w:bookmarkStart w:id="329" w:name="_Toc351203536"/>
      <w:r>
        <w:rPr>
          <w:rFonts w:hint="eastAsia" w:ascii="宋体" w:cs="宋体"/>
          <w:color w:val="auto"/>
          <w:highlight w:val="none"/>
        </w:rPr>
        <w:t>5</w:t>
      </w:r>
      <w:bookmarkStart w:id="330" w:name="_Toc337558762"/>
      <w:r>
        <w:rPr>
          <w:rFonts w:hint="eastAsia" w:ascii="宋体" w:cs="宋体"/>
          <w:color w:val="auto"/>
          <w:highlight w:val="none"/>
        </w:rPr>
        <w:t>.4不合格工程的处理</w:t>
      </w:r>
      <w:bookmarkEnd w:id="328"/>
      <w:bookmarkEnd w:id="329"/>
    </w:p>
    <w:bookmarkEnd w:id="330"/>
    <w:p w14:paraId="2718D7EA">
      <w:pPr>
        <w:pStyle w:val="79"/>
        <w:rPr>
          <w:rFonts w:hint="eastAsia" w:cs="宋体"/>
          <w:color w:val="auto"/>
          <w:sz w:val="21"/>
          <w:highlight w:val="none"/>
        </w:rPr>
      </w:pPr>
      <w:r>
        <w:rPr>
          <w:rFonts w:hint="eastAsia" w:cs="宋体"/>
          <w:color w:val="auto"/>
          <w:sz w:val="21"/>
          <w:highlight w:val="none"/>
        </w:rPr>
        <w:t xml:space="preserve">5.4.1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7F200013">
      <w:pPr>
        <w:pStyle w:val="79"/>
        <w:rPr>
          <w:rFonts w:hint="eastAsia" w:cs="宋体"/>
          <w:color w:val="auto"/>
          <w:sz w:val="21"/>
          <w:highlight w:val="none"/>
        </w:rPr>
      </w:pPr>
      <w:r>
        <w:rPr>
          <w:rFonts w:hint="eastAsia" w:cs="宋体"/>
          <w:color w:val="auto"/>
          <w:sz w:val="21"/>
          <w:highlight w:val="none"/>
        </w:rPr>
        <w:t>5.4.2因发包人原因造成工程不合格的，由此增加的费用和（或）延误的工期由发包人承担，并支付承包人合理的利润。</w:t>
      </w:r>
    </w:p>
    <w:p w14:paraId="09AFD177">
      <w:pPr>
        <w:pStyle w:val="321"/>
        <w:rPr>
          <w:rFonts w:hint="eastAsia" w:ascii="宋体" w:cs="宋体"/>
          <w:color w:val="auto"/>
          <w:highlight w:val="none"/>
        </w:rPr>
      </w:pPr>
      <w:bookmarkStart w:id="331" w:name="_Toc478389069"/>
      <w:bookmarkStart w:id="332" w:name="_Toc351203537"/>
      <w:r>
        <w:rPr>
          <w:rFonts w:hint="eastAsia" w:ascii="宋体" w:cs="宋体"/>
          <w:color w:val="auto"/>
          <w:highlight w:val="none"/>
        </w:rPr>
        <w:t>5.5 质量争议检测</w:t>
      </w:r>
      <w:bookmarkEnd w:id="331"/>
      <w:bookmarkEnd w:id="332"/>
    </w:p>
    <w:p w14:paraId="39037FBF">
      <w:pPr>
        <w:pStyle w:val="79"/>
        <w:rPr>
          <w:rFonts w:hint="eastAsia" w:cs="宋体"/>
          <w:color w:val="auto"/>
          <w:sz w:val="21"/>
          <w:highlight w:val="none"/>
        </w:rPr>
      </w:pPr>
      <w:r>
        <w:rPr>
          <w:rFonts w:hint="eastAsia" w:cs="宋体"/>
          <w:color w:val="auto"/>
          <w:sz w:val="21"/>
          <w:highlight w:val="none"/>
        </w:rPr>
        <w:t>合同当事人对工程质量有争议的，由双方协商确定的工程质量检测机构鉴定，由此产生的费用及因此造成的损失，由责任方承担。</w:t>
      </w:r>
    </w:p>
    <w:p w14:paraId="5648A118">
      <w:pPr>
        <w:pStyle w:val="79"/>
        <w:rPr>
          <w:rFonts w:hint="eastAsia" w:cs="宋体"/>
          <w:color w:val="auto"/>
          <w:sz w:val="21"/>
          <w:highlight w:val="none"/>
        </w:rPr>
      </w:pPr>
      <w:r>
        <w:rPr>
          <w:rFonts w:hint="eastAsia" w:cs="宋体"/>
          <w:color w:val="auto"/>
          <w:sz w:val="21"/>
          <w:highlight w:val="none"/>
        </w:rPr>
        <w:t>合同当事人均有责任的，由双方根据其责任分别承担。合同当事人无法达成一致的，按照第4.4款〔商定或确定〕执行。</w:t>
      </w:r>
    </w:p>
    <w:p w14:paraId="3B590656">
      <w:pPr>
        <w:pStyle w:val="321"/>
        <w:rPr>
          <w:rFonts w:hint="eastAsia" w:ascii="宋体" w:cs="宋体"/>
          <w:color w:val="auto"/>
          <w:highlight w:val="none"/>
        </w:rPr>
      </w:pPr>
      <w:bookmarkStart w:id="333" w:name="_Toc351203538"/>
      <w:bookmarkStart w:id="334" w:name="_Toc478389070"/>
      <w:r>
        <w:rPr>
          <w:rFonts w:hint="eastAsia" w:ascii="宋体" w:cs="宋体"/>
          <w:color w:val="auto"/>
          <w:highlight w:val="none"/>
        </w:rPr>
        <w:t>6</w:t>
      </w:r>
      <w:bookmarkStart w:id="335" w:name="_Toc337558763"/>
      <w:r>
        <w:rPr>
          <w:rFonts w:hint="eastAsia" w:ascii="宋体" w:cs="宋体"/>
          <w:color w:val="auto"/>
          <w:highlight w:val="none"/>
        </w:rPr>
        <w:t>. 安全文明施工与环境保护</w:t>
      </w:r>
      <w:bookmarkEnd w:id="333"/>
      <w:bookmarkEnd w:id="334"/>
    </w:p>
    <w:bookmarkEnd w:id="335"/>
    <w:p w14:paraId="6154EB4E">
      <w:pPr>
        <w:pStyle w:val="321"/>
        <w:rPr>
          <w:rFonts w:hint="eastAsia" w:ascii="宋体" w:cs="宋体"/>
          <w:color w:val="auto"/>
          <w:highlight w:val="none"/>
        </w:rPr>
      </w:pPr>
      <w:bookmarkStart w:id="336" w:name="_Toc478389071"/>
      <w:bookmarkStart w:id="337" w:name="_Toc351203539"/>
      <w:r>
        <w:rPr>
          <w:rFonts w:hint="eastAsia" w:ascii="宋体" w:cs="宋体"/>
          <w:color w:val="auto"/>
          <w:highlight w:val="none"/>
        </w:rPr>
        <w:t>6</w:t>
      </w:r>
      <w:bookmarkStart w:id="338" w:name="_Toc337558764"/>
      <w:r>
        <w:rPr>
          <w:rFonts w:hint="eastAsia" w:ascii="宋体" w:cs="宋体"/>
          <w:color w:val="auto"/>
          <w:highlight w:val="none"/>
        </w:rPr>
        <w:t>.1安全文明施工</w:t>
      </w:r>
      <w:bookmarkEnd w:id="336"/>
      <w:bookmarkEnd w:id="337"/>
    </w:p>
    <w:bookmarkEnd w:id="338"/>
    <w:p w14:paraId="11D3F5EA">
      <w:pPr>
        <w:pStyle w:val="79"/>
        <w:rPr>
          <w:rFonts w:hint="eastAsia" w:cs="宋体"/>
          <w:color w:val="auto"/>
          <w:sz w:val="21"/>
          <w:highlight w:val="none"/>
        </w:rPr>
      </w:pPr>
      <w:r>
        <w:rPr>
          <w:rFonts w:hint="eastAsia" w:cs="宋体"/>
          <w:color w:val="auto"/>
          <w:sz w:val="21"/>
          <w:highlight w:val="none"/>
        </w:rPr>
        <w:t>6.1.1安全生产要求</w:t>
      </w:r>
    </w:p>
    <w:p w14:paraId="0B8DDF0A">
      <w:pPr>
        <w:pStyle w:val="79"/>
        <w:rPr>
          <w:rFonts w:hint="eastAsia" w:cs="宋体"/>
          <w:color w:val="auto"/>
          <w:sz w:val="21"/>
          <w:highlight w:val="none"/>
        </w:rPr>
      </w:pPr>
      <w:r>
        <w:rPr>
          <w:rFonts w:hint="eastAsia" w:cs="宋体"/>
          <w:color w:val="auto"/>
          <w:sz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CB22B9E">
      <w:pPr>
        <w:pStyle w:val="79"/>
        <w:rPr>
          <w:rFonts w:hint="eastAsia" w:cs="宋体"/>
          <w:color w:val="auto"/>
          <w:sz w:val="21"/>
          <w:highlight w:val="none"/>
        </w:rPr>
      </w:pPr>
      <w:r>
        <w:rPr>
          <w:rFonts w:hint="eastAsia" w:cs="宋体"/>
          <w:color w:val="auto"/>
          <w:sz w:val="21"/>
          <w:highlight w:val="none"/>
        </w:rPr>
        <w:t>在施工过程中，如遇到突发的地质变动、事先未知的地下施工障碍等影响施工安全的紧急情况，承包人应及时报告监理人和发包人，发包人应当及时下令停工并报有关行政管理部门采取应急措施。</w:t>
      </w:r>
    </w:p>
    <w:p w14:paraId="3A4033F3">
      <w:pPr>
        <w:pStyle w:val="79"/>
        <w:rPr>
          <w:rFonts w:hint="eastAsia" w:cs="宋体"/>
          <w:color w:val="auto"/>
          <w:sz w:val="21"/>
          <w:highlight w:val="none"/>
        </w:rPr>
      </w:pPr>
      <w:r>
        <w:rPr>
          <w:rFonts w:hint="eastAsia" w:cs="宋体"/>
          <w:color w:val="auto"/>
          <w:sz w:val="21"/>
          <w:highlight w:val="none"/>
        </w:rPr>
        <w:t>因安全生产需要暂停施工的，按照第7.8款〔暂停施工〕的约定执行。</w:t>
      </w:r>
    </w:p>
    <w:p w14:paraId="4C15CC2A">
      <w:pPr>
        <w:pStyle w:val="79"/>
        <w:rPr>
          <w:rFonts w:hint="eastAsia" w:cs="宋体"/>
          <w:color w:val="auto"/>
          <w:sz w:val="21"/>
          <w:highlight w:val="none"/>
        </w:rPr>
      </w:pPr>
      <w:r>
        <w:rPr>
          <w:rFonts w:hint="eastAsia" w:cs="宋体"/>
          <w:color w:val="auto"/>
          <w:sz w:val="21"/>
          <w:highlight w:val="none"/>
        </w:rPr>
        <w:t>6.1.2 安全生产保证措施</w:t>
      </w:r>
    </w:p>
    <w:p w14:paraId="7B464DC2">
      <w:pPr>
        <w:pStyle w:val="79"/>
        <w:rPr>
          <w:rFonts w:hint="eastAsia" w:cs="宋体"/>
          <w:color w:val="auto"/>
          <w:sz w:val="21"/>
          <w:highlight w:val="none"/>
        </w:rPr>
      </w:pPr>
      <w:r>
        <w:rPr>
          <w:rFonts w:hint="eastAsia" w:cs="宋体"/>
          <w:color w:val="auto"/>
          <w:sz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安全监督部门的检查与监督。</w:t>
      </w:r>
    </w:p>
    <w:p w14:paraId="5321F7E6">
      <w:pPr>
        <w:pStyle w:val="79"/>
        <w:rPr>
          <w:rFonts w:hint="eastAsia" w:cs="宋体"/>
          <w:color w:val="auto"/>
          <w:sz w:val="21"/>
          <w:highlight w:val="none"/>
        </w:rPr>
      </w:pPr>
      <w:r>
        <w:rPr>
          <w:rFonts w:hint="eastAsia" w:cs="宋体"/>
          <w:color w:val="auto"/>
          <w:sz w:val="21"/>
          <w:highlight w:val="none"/>
        </w:rPr>
        <w:t>6.1.3特别安全生产事项</w:t>
      </w:r>
    </w:p>
    <w:p w14:paraId="59300619">
      <w:pPr>
        <w:pStyle w:val="79"/>
        <w:rPr>
          <w:rFonts w:hint="eastAsia" w:cs="宋体"/>
          <w:color w:val="auto"/>
          <w:sz w:val="21"/>
          <w:highlight w:val="none"/>
        </w:rPr>
      </w:pPr>
      <w:r>
        <w:rPr>
          <w:rFonts w:hint="eastAsia" w:cs="宋体"/>
          <w:color w:val="auto"/>
          <w:sz w:val="21"/>
          <w:highlight w:val="none"/>
        </w:rPr>
        <w:t>承包人应按照法律规定进行施工，开工前做好安全技术交底工作，施工过程中做好各项安全防护措施。承包人为实施合同而雇用的特殊工种的人员应受过专门的培训并已取得有关管理机构颁发的上岗证书。</w:t>
      </w:r>
    </w:p>
    <w:p w14:paraId="2266DB3B">
      <w:pPr>
        <w:pStyle w:val="79"/>
        <w:rPr>
          <w:rFonts w:hint="eastAsia" w:cs="宋体"/>
          <w:color w:val="auto"/>
          <w:sz w:val="21"/>
          <w:highlight w:val="none"/>
        </w:rPr>
      </w:pPr>
      <w:r>
        <w:rPr>
          <w:rFonts w:hint="eastAsia" w:cs="宋体"/>
          <w:color w:val="auto"/>
          <w:sz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5EF51A5B">
      <w:pPr>
        <w:pStyle w:val="79"/>
        <w:rPr>
          <w:rFonts w:hint="eastAsia" w:cs="宋体"/>
          <w:color w:val="auto"/>
          <w:sz w:val="21"/>
          <w:highlight w:val="none"/>
        </w:rPr>
      </w:pPr>
      <w:r>
        <w:rPr>
          <w:rFonts w:hint="eastAsia" w:cs="宋体"/>
          <w:color w:val="auto"/>
          <w:sz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7C011089">
      <w:pPr>
        <w:pStyle w:val="79"/>
        <w:rPr>
          <w:rFonts w:hint="eastAsia" w:cs="宋体"/>
          <w:color w:val="auto"/>
          <w:sz w:val="21"/>
          <w:highlight w:val="none"/>
        </w:rPr>
      </w:pPr>
      <w:r>
        <w:rPr>
          <w:rFonts w:hint="eastAsia" w:cs="宋体"/>
          <w:color w:val="auto"/>
          <w:sz w:val="21"/>
          <w:highlight w:val="none"/>
        </w:rPr>
        <w:t>需单独编制危险性较大分部分项专项工程施工方案的，及要求进行专家论证的超过一定规模的危险性较大的分部分项工程，承包人应及时编制和组织论证。</w:t>
      </w:r>
    </w:p>
    <w:p w14:paraId="4FE46529">
      <w:pPr>
        <w:pStyle w:val="79"/>
        <w:rPr>
          <w:rFonts w:hint="eastAsia" w:cs="宋体"/>
          <w:color w:val="auto"/>
          <w:sz w:val="21"/>
          <w:highlight w:val="none"/>
        </w:rPr>
      </w:pPr>
      <w:r>
        <w:rPr>
          <w:rFonts w:hint="eastAsia" w:cs="宋体"/>
          <w:color w:val="auto"/>
          <w:sz w:val="21"/>
          <w:highlight w:val="none"/>
        </w:rPr>
        <w:t>6.1.4 治安保卫</w:t>
      </w:r>
    </w:p>
    <w:p w14:paraId="0809A672">
      <w:pPr>
        <w:pStyle w:val="79"/>
        <w:rPr>
          <w:rFonts w:hint="eastAsia" w:cs="宋体"/>
          <w:color w:val="auto"/>
          <w:sz w:val="21"/>
          <w:highlight w:val="none"/>
        </w:rPr>
      </w:pPr>
      <w:r>
        <w:rPr>
          <w:rFonts w:hint="eastAsia" w:cs="宋体"/>
          <w:color w:val="auto"/>
          <w:sz w:val="21"/>
          <w:highlight w:val="none"/>
        </w:rPr>
        <w:t>除专用合同条款另有约定外，发包人应与当地公安部门协商，在现场建立治安管理机构或联防组织，统一管理施工场地的治安保卫事项，履行合同工程的治安保卫职责。</w:t>
      </w:r>
    </w:p>
    <w:p w14:paraId="75432101">
      <w:pPr>
        <w:pStyle w:val="79"/>
        <w:rPr>
          <w:rFonts w:hint="eastAsia" w:cs="宋体"/>
          <w:color w:val="auto"/>
          <w:sz w:val="21"/>
          <w:highlight w:val="none"/>
        </w:rPr>
      </w:pPr>
      <w:r>
        <w:rPr>
          <w:rFonts w:hint="eastAsia" w:cs="宋体"/>
          <w:color w:val="auto"/>
          <w:sz w:val="21"/>
          <w:highlight w:val="none"/>
        </w:rPr>
        <w:t>发包人和承包人除应协助现场治安管理机构或联防组织维护施工场地的社会治安外，还应做好包括生活区在内的各自管辖区的治安保卫工作。</w:t>
      </w:r>
    </w:p>
    <w:p w14:paraId="2B56090B">
      <w:pPr>
        <w:pStyle w:val="79"/>
        <w:rPr>
          <w:rFonts w:hint="eastAsia" w:cs="宋体"/>
          <w:color w:val="auto"/>
          <w:sz w:val="21"/>
          <w:highlight w:val="none"/>
        </w:rPr>
      </w:pPr>
      <w:r>
        <w:rPr>
          <w:rFonts w:hint="eastAsia" w:cs="宋体"/>
          <w:color w:val="auto"/>
          <w:sz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报告。发包人和承包人应积极协助当地有关部门采取措施平息事态，防止事态扩大，尽量避免人员伤亡和财产损失。</w:t>
      </w:r>
    </w:p>
    <w:p w14:paraId="1EA5B135">
      <w:pPr>
        <w:pStyle w:val="79"/>
        <w:rPr>
          <w:rFonts w:hint="eastAsia" w:cs="宋体"/>
          <w:color w:val="auto"/>
          <w:sz w:val="21"/>
          <w:highlight w:val="none"/>
        </w:rPr>
      </w:pPr>
      <w:r>
        <w:rPr>
          <w:rFonts w:hint="eastAsia" w:cs="宋体"/>
          <w:color w:val="auto"/>
          <w:sz w:val="21"/>
          <w:highlight w:val="none"/>
        </w:rPr>
        <w:t>6.1.5 文明施工</w:t>
      </w:r>
    </w:p>
    <w:p w14:paraId="558BF94C">
      <w:pPr>
        <w:pStyle w:val="79"/>
        <w:rPr>
          <w:rFonts w:hint="eastAsia" w:cs="宋体"/>
          <w:color w:val="auto"/>
          <w:sz w:val="21"/>
          <w:highlight w:val="none"/>
        </w:rPr>
      </w:pPr>
      <w:r>
        <w:rPr>
          <w:rFonts w:hint="eastAsia" w:cs="宋体"/>
          <w:color w:val="auto"/>
          <w:sz w:val="21"/>
          <w:highlight w:val="none"/>
        </w:rPr>
        <w:t>承包人在工程施工期间，应当采取措施保持施工现场平整，物料堆放整齐。工程所在地有关行政管理部门有特殊要求的，按照其要求执行。合同当事人对文明施工有其他要求的，可以在专用合同条款中明确。</w:t>
      </w:r>
    </w:p>
    <w:p w14:paraId="75E7B78A">
      <w:pPr>
        <w:pStyle w:val="79"/>
        <w:rPr>
          <w:rFonts w:hint="eastAsia" w:cs="宋体"/>
          <w:color w:val="auto"/>
          <w:sz w:val="21"/>
          <w:highlight w:val="none"/>
        </w:rPr>
      </w:pPr>
      <w:r>
        <w:rPr>
          <w:rFonts w:hint="eastAsia" w:cs="宋体"/>
          <w:color w:val="auto"/>
          <w:sz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5792EA7">
      <w:pPr>
        <w:pStyle w:val="79"/>
        <w:rPr>
          <w:rFonts w:hint="eastAsia" w:cs="宋体"/>
          <w:color w:val="auto"/>
          <w:sz w:val="21"/>
          <w:highlight w:val="none"/>
        </w:rPr>
      </w:pPr>
      <w:r>
        <w:rPr>
          <w:rFonts w:hint="eastAsia" w:cs="宋体"/>
          <w:color w:val="auto"/>
          <w:sz w:val="21"/>
          <w:highlight w:val="none"/>
        </w:rPr>
        <w:t>6.1.6 安全文明施工费</w:t>
      </w:r>
    </w:p>
    <w:p w14:paraId="24FFB0E2">
      <w:pPr>
        <w:pStyle w:val="79"/>
        <w:rPr>
          <w:rFonts w:hint="eastAsia" w:cs="宋体"/>
          <w:color w:val="auto"/>
          <w:sz w:val="21"/>
          <w:highlight w:val="none"/>
        </w:rPr>
      </w:pPr>
      <w:r>
        <w:rPr>
          <w:rFonts w:hint="eastAsia" w:cs="宋体"/>
          <w:color w:val="auto"/>
          <w:sz w:val="21"/>
          <w:highlight w:val="none"/>
        </w:rPr>
        <w:t>安全文明施工费由发包人承担，发包人不得以任何形式扣减该部分费用。因基准日期后合同所适用的法律或有关规定发生变化，增加的安全文明施工费由发包人承担。</w:t>
      </w:r>
    </w:p>
    <w:p w14:paraId="00319D61">
      <w:pPr>
        <w:pStyle w:val="79"/>
        <w:rPr>
          <w:rFonts w:hint="eastAsia" w:cs="宋体"/>
          <w:color w:val="auto"/>
          <w:sz w:val="21"/>
          <w:highlight w:val="none"/>
        </w:rPr>
      </w:pPr>
      <w:r>
        <w:rPr>
          <w:rFonts w:hint="eastAsia" w:cs="宋体"/>
          <w:color w:val="auto"/>
          <w:sz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A6F4C76">
      <w:pPr>
        <w:pStyle w:val="79"/>
        <w:rPr>
          <w:rFonts w:hint="eastAsia" w:cs="宋体"/>
          <w:color w:val="auto"/>
          <w:sz w:val="21"/>
          <w:highlight w:val="none"/>
        </w:rPr>
      </w:pPr>
      <w:r>
        <w:rPr>
          <w:rFonts w:hint="eastAsia" w:cs="宋体"/>
          <w:color w:val="auto"/>
          <w:sz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6AD50383">
      <w:pPr>
        <w:pStyle w:val="79"/>
        <w:rPr>
          <w:rFonts w:hint="eastAsia" w:cs="宋体"/>
          <w:color w:val="auto"/>
          <w:sz w:val="21"/>
          <w:highlight w:val="none"/>
        </w:rPr>
      </w:pPr>
      <w:r>
        <w:rPr>
          <w:rFonts w:hint="eastAsia" w:cs="宋体"/>
          <w:color w:val="auto"/>
          <w:sz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8F4AD19">
      <w:pPr>
        <w:pStyle w:val="79"/>
        <w:rPr>
          <w:rFonts w:hint="eastAsia" w:cs="宋体"/>
          <w:color w:val="auto"/>
          <w:sz w:val="21"/>
          <w:highlight w:val="none"/>
        </w:rPr>
      </w:pPr>
      <w:r>
        <w:rPr>
          <w:rFonts w:hint="eastAsia" w:cs="宋体"/>
          <w:color w:val="auto"/>
          <w:sz w:val="21"/>
          <w:highlight w:val="none"/>
        </w:rPr>
        <w:t>6.1.7 紧急情况处理</w:t>
      </w:r>
    </w:p>
    <w:p w14:paraId="2DA14DA8">
      <w:pPr>
        <w:pStyle w:val="79"/>
        <w:rPr>
          <w:rFonts w:hint="eastAsia" w:cs="宋体"/>
          <w:color w:val="auto"/>
          <w:sz w:val="21"/>
          <w:highlight w:val="none"/>
        </w:rPr>
      </w:pPr>
      <w:r>
        <w:rPr>
          <w:rFonts w:hint="eastAsia" w:cs="宋体"/>
          <w:color w:val="auto"/>
          <w:sz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202CFB01">
      <w:pPr>
        <w:pStyle w:val="79"/>
        <w:rPr>
          <w:rFonts w:hint="eastAsia" w:cs="宋体"/>
          <w:color w:val="auto"/>
          <w:sz w:val="21"/>
          <w:highlight w:val="none"/>
        </w:rPr>
      </w:pPr>
      <w:r>
        <w:rPr>
          <w:rFonts w:hint="eastAsia" w:cs="宋体"/>
          <w:color w:val="auto"/>
          <w:sz w:val="21"/>
          <w:highlight w:val="none"/>
        </w:rPr>
        <w:t>6.1.8 事故处理</w:t>
      </w:r>
    </w:p>
    <w:p w14:paraId="78A60816">
      <w:pPr>
        <w:pStyle w:val="79"/>
        <w:rPr>
          <w:rFonts w:hint="eastAsia" w:cs="宋体"/>
          <w:color w:val="auto"/>
          <w:sz w:val="21"/>
          <w:highlight w:val="none"/>
        </w:rPr>
      </w:pPr>
      <w:r>
        <w:rPr>
          <w:rFonts w:hint="eastAsia" w:cs="宋体"/>
          <w:color w:val="auto"/>
          <w:sz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4913313">
      <w:pPr>
        <w:pStyle w:val="79"/>
        <w:rPr>
          <w:rFonts w:hint="eastAsia" w:cs="宋体"/>
          <w:color w:val="auto"/>
          <w:sz w:val="21"/>
          <w:highlight w:val="none"/>
        </w:rPr>
      </w:pPr>
      <w:r>
        <w:rPr>
          <w:rFonts w:hint="eastAsia" w:cs="宋体"/>
          <w:color w:val="auto"/>
          <w:sz w:val="21"/>
          <w:highlight w:val="none"/>
        </w:rPr>
        <w:t xml:space="preserve"> 6.1.9 安全生产责任</w:t>
      </w:r>
    </w:p>
    <w:p w14:paraId="216115C7">
      <w:pPr>
        <w:pStyle w:val="79"/>
        <w:outlineLvl w:val="0"/>
        <w:rPr>
          <w:rFonts w:hint="eastAsia" w:cs="宋体"/>
          <w:color w:val="auto"/>
          <w:sz w:val="21"/>
          <w:highlight w:val="none"/>
        </w:rPr>
      </w:pPr>
      <w:bookmarkStart w:id="339" w:name="_Toc406522103"/>
      <w:bookmarkStart w:id="340" w:name="_Toc478389072"/>
      <w:r>
        <w:rPr>
          <w:rFonts w:hint="eastAsia" w:cs="宋体"/>
          <w:color w:val="auto"/>
          <w:sz w:val="21"/>
          <w:highlight w:val="none"/>
        </w:rPr>
        <w:t>6.1.9.1 发包人的安全责任</w:t>
      </w:r>
      <w:bookmarkEnd w:id="339"/>
      <w:bookmarkEnd w:id="340"/>
    </w:p>
    <w:p w14:paraId="248D3DC6">
      <w:pPr>
        <w:pStyle w:val="79"/>
        <w:rPr>
          <w:rFonts w:hint="eastAsia" w:cs="宋体"/>
          <w:color w:val="auto"/>
          <w:sz w:val="21"/>
          <w:highlight w:val="none"/>
        </w:rPr>
      </w:pPr>
      <w:r>
        <w:rPr>
          <w:rFonts w:hint="eastAsia" w:cs="宋体"/>
          <w:color w:val="auto"/>
          <w:sz w:val="21"/>
          <w:highlight w:val="none"/>
        </w:rPr>
        <w:t xml:space="preserve"> 发包人应负责赔偿以下各种情况造成的损失：</w:t>
      </w:r>
    </w:p>
    <w:p w14:paraId="59879D89">
      <w:pPr>
        <w:pStyle w:val="79"/>
        <w:rPr>
          <w:rFonts w:hint="eastAsia" w:cs="宋体"/>
          <w:color w:val="auto"/>
          <w:sz w:val="21"/>
          <w:highlight w:val="none"/>
        </w:rPr>
      </w:pPr>
      <w:r>
        <w:rPr>
          <w:rFonts w:hint="eastAsia" w:cs="宋体"/>
          <w:color w:val="auto"/>
          <w:sz w:val="21"/>
          <w:highlight w:val="none"/>
        </w:rPr>
        <w:t>（1）工程或工程的任何部分对土地的占用所造成的第三者财产损失；</w:t>
      </w:r>
    </w:p>
    <w:p w14:paraId="42B36AFC">
      <w:pPr>
        <w:pStyle w:val="79"/>
        <w:rPr>
          <w:rFonts w:hint="eastAsia" w:cs="宋体"/>
          <w:color w:val="auto"/>
          <w:sz w:val="21"/>
          <w:highlight w:val="none"/>
        </w:rPr>
      </w:pPr>
      <w:r>
        <w:rPr>
          <w:rFonts w:hint="eastAsia" w:cs="宋体"/>
          <w:color w:val="auto"/>
          <w:sz w:val="21"/>
          <w:highlight w:val="none"/>
        </w:rPr>
        <w:t>（2）由于发包人原因在施工场地及其毗邻地带造成的第三者人身伤亡和财产损失；</w:t>
      </w:r>
    </w:p>
    <w:p w14:paraId="781C13B2">
      <w:pPr>
        <w:pStyle w:val="79"/>
        <w:rPr>
          <w:rFonts w:hint="eastAsia" w:cs="宋体"/>
          <w:color w:val="auto"/>
          <w:sz w:val="21"/>
          <w:highlight w:val="none"/>
        </w:rPr>
      </w:pPr>
      <w:r>
        <w:rPr>
          <w:rFonts w:hint="eastAsia" w:cs="宋体"/>
          <w:color w:val="auto"/>
          <w:sz w:val="21"/>
          <w:highlight w:val="none"/>
        </w:rPr>
        <w:t>（3）由于发包人原因对承包人、监理人造成的人员人身伤亡和财产损失；</w:t>
      </w:r>
    </w:p>
    <w:p w14:paraId="682C7ECF">
      <w:pPr>
        <w:pStyle w:val="79"/>
        <w:rPr>
          <w:rFonts w:hint="eastAsia" w:cs="宋体"/>
          <w:color w:val="auto"/>
          <w:sz w:val="21"/>
          <w:highlight w:val="none"/>
        </w:rPr>
      </w:pPr>
      <w:r>
        <w:rPr>
          <w:rFonts w:hint="eastAsia" w:cs="宋体"/>
          <w:color w:val="auto"/>
          <w:sz w:val="21"/>
          <w:highlight w:val="none"/>
        </w:rPr>
        <w:t>（4）由于发包人原因造成的发包人自身人员的人身伤害以及财产损失。</w:t>
      </w:r>
    </w:p>
    <w:p w14:paraId="0E09C1D0">
      <w:pPr>
        <w:pStyle w:val="79"/>
        <w:outlineLvl w:val="0"/>
        <w:rPr>
          <w:rFonts w:hint="eastAsia" w:cs="宋体"/>
          <w:color w:val="auto"/>
          <w:sz w:val="21"/>
          <w:highlight w:val="none"/>
        </w:rPr>
      </w:pPr>
      <w:bookmarkStart w:id="341" w:name="_Toc406522104"/>
      <w:bookmarkStart w:id="342" w:name="_Toc478389073"/>
      <w:r>
        <w:rPr>
          <w:rFonts w:hint="eastAsia" w:cs="宋体"/>
          <w:color w:val="auto"/>
          <w:sz w:val="21"/>
          <w:highlight w:val="none"/>
        </w:rPr>
        <w:t>6.1.9.2 承包人的安全责任</w:t>
      </w:r>
      <w:bookmarkEnd w:id="341"/>
      <w:bookmarkEnd w:id="342"/>
    </w:p>
    <w:p w14:paraId="275D10A5">
      <w:pPr>
        <w:pStyle w:val="79"/>
        <w:rPr>
          <w:rFonts w:hint="eastAsia" w:cs="宋体"/>
          <w:color w:val="auto"/>
          <w:sz w:val="21"/>
          <w:highlight w:val="none"/>
        </w:rPr>
      </w:pPr>
      <w:r>
        <w:rPr>
          <w:rFonts w:hint="eastAsia" w:cs="宋体"/>
          <w:color w:val="auto"/>
          <w:sz w:val="21"/>
          <w:highlight w:val="none"/>
        </w:rPr>
        <w:t>由于承包人原因在施工场地内及其毗邻地带造成的发包人、监理人以及第三者人员伤亡和财产损失，由承包人负责赔偿。</w:t>
      </w:r>
    </w:p>
    <w:p w14:paraId="385459BE">
      <w:pPr>
        <w:pStyle w:val="321"/>
        <w:rPr>
          <w:rFonts w:hint="eastAsia" w:ascii="宋体" w:cs="宋体"/>
          <w:color w:val="auto"/>
          <w:highlight w:val="none"/>
        </w:rPr>
      </w:pPr>
      <w:bookmarkStart w:id="343" w:name="_Toc351203540"/>
      <w:bookmarkStart w:id="344" w:name="_Toc478389074"/>
      <w:r>
        <w:rPr>
          <w:rFonts w:hint="eastAsia" w:ascii="宋体" w:cs="宋体"/>
          <w:color w:val="auto"/>
          <w:highlight w:val="none"/>
        </w:rPr>
        <w:t>6</w:t>
      </w:r>
      <w:bookmarkStart w:id="345" w:name="_Toc337558765"/>
      <w:r>
        <w:rPr>
          <w:rFonts w:hint="eastAsia" w:ascii="宋体" w:cs="宋体"/>
          <w:color w:val="auto"/>
          <w:highlight w:val="none"/>
        </w:rPr>
        <w:t>.2 职业健康</w:t>
      </w:r>
      <w:bookmarkEnd w:id="343"/>
      <w:bookmarkEnd w:id="344"/>
    </w:p>
    <w:bookmarkEnd w:id="345"/>
    <w:p w14:paraId="170392A9">
      <w:pPr>
        <w:pStyle w:val="79"/>
        <w:outlineLvl w:val="0"/>
        <w:rPr>
          <w:rFonts w:hint="eastAsia" w:cs="宋体"/>
          <w:color w:val="auto"/>
          <w:sz w:val="21"/>
          <w:highlight w:val="none"/>
        </w:rPr>
      </w:pPr>
      <w:bookmarkStart w:id="346" w:name="_Toc406522106"/>
      <w:bookmarkStart w:id="347" w:name="_Toc478389075"/>
      <w:r>
        <w:rPr>
          <w:rFonts w:hint="eastAsia" w:cs="宋体"/>
          <w:color w:val="auto"/>
          <w:sz w:val="21"/>
          <w:highlight w:val="none"/>
        </w:rPr>
        <w:t>6.2.1 劳动保护</w:t>
      </w:r>
      <w:bookmarkEnd w:id="346"/>
      <w:bookmarkEnd w:id="347"/>
    </w:p>
    <w:p w14:paraId="7F1E1F8D">
      <w:pPr>
        <w:pStyle w:val="79"/>
        <w:rPr>
          <w:rFonts w:hint="eastAsia" w:cs="宋体"/>
          <w:color w:val="auto"/>
          <w:sz w:val="21"/>
          <w:highlight w:val="none"/>
        </w:rPr>
      </w:pPr>
      <w:r>
        <w:rPr>
          <w:rFonts w:hint="eastAsia" w:cs="宋体"/>
          <w:color w:val="auto"/>
          <w:sz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41AD7356">
      <w:pPr>
        <w:pStyle w:val="79"/>
        <w:rPr>
          <w:rFonts w:hint="eastAsia" w:cs="宋体"/>
          <w:color w:val="auto"/>
          <w:sz w:val="21"/>
          <w:highlight w:val="none"/>
        </w:rPr>
      </w:pPr>
      <w:r>
        <w:rPr>
          <w:rFonts w:hint="eastAsia" w:cs="宋体"/>
          <w:color w:val="auto"/>
          <w:sz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62E81AF">
      <w:pPr>
        <w:pStyle w:val="79"/>
        <w:rPr>
          <w:rFonts w:hint="eastAsia" w:cs="宋体"/>
          <w:color w:val="auto"/>
          <w:sz w:val="21"/>
          <w:highlight w:val="none"/>
        </w:rPr>
      </w:pPr>
      <w:r>
        <w:rPr>
          <w:rFonts w:hint="eastAsia" w:cs="宋体"/>
          <w:color w:val="auto"/>
          <w:sz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3131EF71">
      <w:pPr>
        <w:pStyle w:val="79"/>
        <w:outlineLvl w:val="0"/>
        <w:rPr>
          <w:rFonts w:hint="eastAsia" w:cs="宋体"/>
          <w:color w:val="auto"/>
          <w:sz w:val="21"/>
          <w:highlight w:val="none"/>
        </w:rPr>
      </w:pPr>
      <w:bookmarkStart w:id="348" w:name="_Toc406522107"/>
      <w:bookmarkStart w:id="349" w:name="_Toc478389076"/>
      <w:r>
        <w:rPr>
          <w:rFonts w:hint="eastAsia" w:cs="宋体"/>
          <w:color w:val="auto"/>
          <w:sz w:val="21"/>
          <w:highlight w:val="none"/>
        </w:rPr>
        <w:t>6.2.2 生活条件</w:t>
      </w:r>
      <w:bookmarkEnd w:id="348"/>
      <w:bookmarkEnd w:id="349"/>
    </w:p>
    <w:p w14:paraId="63BB85DC">
      <w:pPr>
        <w:pStyle w:val="79"/>
        <w:rPr>
          <w:rFonts w:hint="eastAsia" w:cs="宋体"/>
          <w:color w:val="auto"/>
          <w:sz w:val="21"/>
          <w:highlight w:val="none"/>
        </w:rPr>
      </w:pPr>
      <w:r>
        <w:rPr>
          <w:rFonts w:hint="eastAsia" w:cs="宋体"/>
          <w:color w:val="auto"/>
          <w:sz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C0B3186">
      <w:pPr>
        <w:pStyle w:val="321"/>
        <w:rPr>
          <w:rFonts w:hint="eastAsia" w:ascii="宋体" w:cs="宋体"/>
          <w:color w:val="auto"/>
          <w:highlight w:val="none"/>
        </w:rPr>
      </w:pPr>
      <w:bookmarkStart w:id="350" w:name="_Toc478389077"/>
      <w:bookmarkStart w:id="351" w:name="_Toc351203541"/>
      <w:r>
        <w:rPr>
          <w:rFonts w:hint="eastAsia" w:ascii="宋体" w:cs="宋体"/>
          <w:color w:val="auto"/>
          <w:highlight w:val="none"/>
        </w:rPr>
        <w:t>6</w:t>
      </w:r>
      <w:bookmarkStart w:id="352" w:name="_Toc337558766"/>
      <w:r>
        <w:rPr>
          <w:rFonts w:hint="eastAsia" w:ascii="宋体" w:cs="宋体"/>
          <w:color w:val="auto"/>
          <w:highlight w:val="none"/>
        </w:rPr>
        <w:t>.3 环境保护</w:t>
      </w:r>
      <w:bookmarkEnd w:id="350"/>
      <w:bookmarkEnd w:id="351"/>
    </w:p>
    <w:bookmarkEnd w:id="352"/>
    <w:p w14:paraId="4477AB09">
      <w:pPr>
        <w:pStyle w:val="79"/>
        <w:rPr>
          <w:rFonts w:hint="eastAsia" w:cs="宋体"/>
          <w:color w:val="auto"/>
          <w:sz w:val="21"/>
          <w:highlight w:val="none"/>
        </w:rPr>
      </w:pPr>
      <w:r>
        <w:rPr>
          <w:rFonts w:hint="eastAsia" w:cs="宋体"/>
          <w:color w:val="auto"/>
          <w:sz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3DE94B71">
      <w:pPr>
        <w:pStyle w:val="79"/>
        <w:rPr>
          <w:rFonts w:hint="eastAsia" w:cs="宋体"/>
          <w:color w:val="auto"/>
          <w:sz w:val="21"/>
          <w:highlight w:val="none"/>
        </w:rPr>
      </w:pPr>
      <w:r>
        <w:rPr>
          <w:rFonts w:hint="eastAsia" w:cs="宋体"/>
          <w:color w:val="auto"/>
          <w:sz w:val="21"/>
          <w:highlight w:val="none"/>
        </w:rPr>
        <w:t>承包人应当承担因其原因引起的环境污染侵权损害赔偿责任，因上述环境污染引起纠纷而导致暂停施工的，由此增加的费用和（或）延误的工期由承包人承担。</w:t>
      </w:r>
    </w:p>
    <w:p w14:paraId="39FFF95B">
      <w:pPr>
        <w:pStyle w:val="321"/>
        <w:rPr>
          <w:rFonts w:hint="eastAsia" w:ascii="宋体" w:cs="宋体"/>
          <w:color w:val="auto"/>
          <w:highlight w:val="none"/>
        </w:rPr>
      </w:pPr>
      <w:bookmarkStart w:id="353" w:name="_Toc351203542"/>
      <w:bookmarkStart w:id="354" w:name="_Toc478389078"/>
      <w:r>
        <w:rPr>
          <w:rFonts w:hint="eastAsia" w:ascii="宋体" w:cs="宋体"/>
          <w:color w:val="auto"/>
          <w:highlight w:val="none"/>
        </w:rPr>
        <w:t>7</w:t>
      </w:r>
      <w:bookmarkStart w:id="355" w:name="_Toc337558767"/>
      <w:r>
        <w:rPr>
          <w:rFonts w:hint="eastAsia" w:ascii="宋体" w:cs="宋体"/>
          <w:color w:val="auto"/>
          <w:highlight w:val="none"/>
        </w:rPr>
        <w:t>. 工期和进度</w:t>
      </w:r>
      <w:bookmarkEnd w:id="353"/>
      <w:bookmarkEnd w:id="354"/>
    </w:p>
    <w:bookmarkEnd w:id="355"/>
    <w:p w14:paraId="2C0DE097">
      <w:pPr>
        <w:pStyle w:val="321"/>
        <w:rPr>
          <w:rFonts w:hint="eastAsia" w:ascii="宋体" w:cs="宋体"/>
          <w:color w:val="auto"/>
          <w:highlight w:val="none"/>
        </w:rPr>
      </w:pPr>
      <w:bookmarkStart w:id="356" w:name="_Toc351203543"/>
      <w:bookmarkStart w:id="357" w:name="_Toc478389079"/>
      <w:r>
        <w:rPr>
          <w:rFonts w:hint="eastAsia" w:ascii="宋体" w:cs="宋体"/>
          <w:color w:val="auto"/>
          <w:highlight w:val="none"/>
        </w:rPr>
        <w:t>7</w:t>
      </w:r>
      <w:bookmarkStart w:id="358" w:name="_Toc337558768"/>
      <w:bookmarkStart w:id="359" w:name="_Toc296346567"/>
      <w:bookmarkStart w:id="360" w:name="_Toc296503066"/>
      <w:r>
        <w:rPr>
          <w:rFonts w:hint="eastAsia" w:ascii="宋体" w:cs="宋体"/>
          <w:color w:val="auto"/>
          <w:highlight w:val="none"/>
        </w:rPr>
        <w:t>.1施工组织设计</w:t>
      </w:r>
      <w:bookmarkEnd w:id="356"/>
      <w:bookmarkEnd w:id="357"/>
    </w:p>
    <w:bookmarkEnd w:id="358"/>
    <w:p w14:paraId="2B6DD41A">
      <w:pPr>
        <w:pStyle w:val="79"/>
        <w:outlineLvl w:val="0"/>
        <w:rPr>
          <w:rFonts w:hint="eastAsia" w:cs="宋体"/>
          <w:color w:val="auto"/>
          <w:sz w:val="21"/>
          <w:highlight w:val="none"/>
        </w:rPr>
      </w:pPr>
      <w:bookmarkStart w:id="361" w:name="_Toc406522111"/>
      <w:bookmarkStart w:id="362" w:name="_Toc478389080"/>
      <w:r>
        <w:rPr>
          <w:rFonts w:hint="eastAsia" w:cs="宋体"/>
          <w:color w:val="auto"/>
          <w:sz w:val="21"/>
          <w:highlight w:val="none"/>
        </w:rPr>
        <w:t>7.1.1 施工组织设计的内容</w:t>
      </w:r>
      <w:bookmarkEnd w:id="361"/>
      <w:bookmarkEnd w:id="362"/>
    </w:p>
    <w:p w14:paraId="2F6EBBB8">
      <w:pPr>
        <w:pStyle w:val="79"/>
        <w:rPr>
          <w:rFonts w:hint="eastAsia" w:cs="宋体"/>
          <w:color w:val="auto"/>
          <w:sz w:val="21"/>
          <w:highlight w:val="none"/>
        </w:rPr>
      </w:pPr>
      <w:r>
        <w:rPr>
          <w:rFonts w:hint="eastAsia" w:cs="宋体"/>
          <w:color w:val="auto"/>
          <w:sz w:val="21"/>
          <w:highlight w:val="none"/>
        </w:rPr>
        <w:t xml:space="preserve"> 施工组织设计应包含以下内容：</w:t>
      </w:r>
    </w:p>
    <w:p w14:paraId="46244641">
      <w:pPr>
        <w:pStyle w:val="79"/>
        <w:rPr>
          <w:rFonts w:hint="eastAsia" w:cs="宋体"/>
          <w:color w:val="auto"/>
          <w:sz w:val="21"/>
          <w:highlight w:val="none"/>
        </w:rPr>
      </w:pPr>
      <w:r>
        <w:rPr>
          <w:rFonts w:hint="eastAsia" w:cs="宋体"/>
          <w:color w:val="auto"/>
          <w:sz w:val="21"/>
          <w:highlight w:val="none"/>
        </w:rPr>
        <w:t xml:space="preserve">（1）施工方案； </w:t>
      </w:r>
    </w:p>
    <w:p w14:paraId="78A7FF3B">
      <w:pPr>
        <w:pStyle w:val="79"/>
        <w:rPr>
          <w:rFonts w:hint="eastAsia" w:cs="宋体"/>
          <w:color w:val="auto"/>
          <w:sz w:val="21"/>
          <w:highlight w:val="none"/>
        </w:rPr>
      </w:pPr>
      <w:r>
        <w:rPr>
          <w:rFonts w:hint="eastAsia" w:cs="宋体"/>
          <w:color w:val="auto"/>
          <w:sz w:val="21"/>
          <w:highlight w:val="none"/>
        </w:rPr>
        <w:t>（2）施工现场平面布置图；</w:t>
      </w:r>
    </w:p>
    <w:p w14:paraId="5FF76F8B">
      <w:pPr>
        <w:pStyle w:val="79"/>
        <w:rPr>
          <w:rFonts w:hint="eastAsia" w:cs="宋体"/>
          <w:color w:val="auto"/>
          <w:sz w:val="21"/>
          <w:highlight w:val="none"/>
        </w:rPr>
      </w:pPr>
      <w:r>
        <w:rPr>
          <w:rFonts w:hint="eastAsia" w:cs="宋体"/>
          <w:color w:val="auto"/>
          <w:sz w:val="21"/>
          <w:highlight w:val="none"/>
        </w:rPr>
        <w:t xml:space="preserve">（3）施工进度计划和保证措施； </w:t>
      </w:r>
    </w:p>
    <w:p w14:paraId="327F241A">
      <w:pPr>
        <w:pStyle w:val="79"/>
        <w:rPr>
          <w:rFonts w:hint="eastAsia" w:cs="宋体"/>
          <w:color w:val="auto"/>
          <w:sz w:val="21"/>
          <w:highlight w:val="none"/>
        </w:rPr>
      </w:pPr>
      <w:r>
        <w:rPr>
          <w:rFonts w:hint="eastAsia" w:cs="宋体"/>
          <w:color w:val="auto"/>
          <w:sz w:val="21"/>
          <w:highlight w:val="none"/>
        </w:rPr>
        <w:t>（4）劳动力及材料供应计划；</w:t>
      </w:r>
    </w:p>
    <w:p w14:paraId="5298D5E8">
      <w:pPr>
        <w:pStyle w:val="79"/>
        <w:rPr>
          <w:rFonts w:hint="eastAsia" w:cs="宋体"/>
          <w:color w:val="auto"/>
          <w:sz w:val="21"/>
          <w:highlight w:val="none"/>
        </w:rPr>
      </w:pPr>
      <w:r>
        <w:rPr>
          <w:rFonts w:hint="eastAsia" w:cs="宋体"/>
          <w:color w:val="auto"/>
          <w:sz w:val="21"/>
          <w:highlight w:val="none"/>
        </w:rPr>
        <w:t>（5）施工机械设备的选用；</w:t>
      </w:r>
    </w:p>
    <w:p w14:paraId="4C5304AA">
      <w:pPr>
        <w:pStyle w:val="79"/>
        <w:rPr>
          <w:rFonts w:hint="eastAsia" w:cs="宋体"/>
          <w:color w:val="auto"/>
          <w:sz w:val="21"/>
          <w:highlight w:val="none"/>
        </w:rPr>
      </w:pPr>
      <w:r>
        <w:rPr>
          <w:rFonts w:hint="eastAsia" w:cs="宋体"/>
          <w:color w:val="auto"/>
          <w:sz w:val="21"/>
          <w:highlight w:val="none"/>
        </w:rPr>
        <w:t>（6）质量保证体系及措施；</w:t>
      </w:r>
    </w:p>
    <w:p w14:paraId="27E6D05E">
      <w:pPr>
        <w:pStyle w:val="79"/>
        <w:rPr>
          <w:rFonts w:hint="eastAsia" w:cs="宋体"/>
          <w:color w:val="auto"/>
          <w:sz w:val="21"/>
          <w:highlight w:val="none"/>
        </w:rPr>
      </w:pPr>
      <w:r>
        <w:rPr>
          <w:rFonts w:hint="eastAsia" w:cs="宋体"/>
          <w:color w:val="auto"/>
          <w:sz w:val="21"/>
          <w:highlight w:val="none"/>
        </w:rPr>
        <w:t>（7）安全生产、文明施工措施；</w:t>
      </w:r>
    </w:p>
    <w:p w14:paraId="5CD45B1F">
      <w:pPr>
        <w:pStyle w:val="79"/>
        <w:rPr>
          <w:rFonts w:hint="eastAsia" w:cs="宋体"/>
          <w:color w:val="auto"/>
          <w:sz w:val="21"/>
          <w:highlight w:val="none"/>
        </w:rPr>
      </w:pPr>
      <w:r>
        <w:rPr>
          <w:rFonts w:hint="eastAsia" w:cs="宋体"/>
          <w:color w:val="auto"/>
          <w:sz w:val="21"/>
          <w:highlight w:val="none"/>
        </w:rPr>
        <w:t>（8）环境保护、成本控制措施；</w:t>
      </w:r>
    </w:p>
    <w:p w14:paraId="59B89E36">
      <w:pPr>
        <w:pStyle w:val="79"/>
        <w:rPr>
          <w:rFonts w:hint="eastAsia" w:cs="宋体"/>
          <w:color w:val="auto"/>
          <w:sz w:val="21"/>
          <w:highlight w:val="none"/>
        </w:rPr>
      </w:pPr>
      <w:r>
        <w:rPr>
          <w:rFonts w:hint="eastAsia" w:cs="宋体"/>
          <w:color w:val="auto"/>
          <w:sz w:val="21"/>
          <w:highlight w:val="none"/>
        </w:rPr>
        <w:t>（9）合同当事人约定的其他内容。</w:t>
      </w:r>
    </w:p>
    <w:p w14:paraId="1A9A5151">
      <w:pPr>
        <w:pStyle w:val="79"/>
        <w:outlineLvl w:val="0"/>
        <w:rPr>
          <w:rFonts w:hint="eastAsia" w:cs="宋体"/>
          <w:color w:val="auto"/>
          <w:sz w:val="21"/>
          <w:highlight w:val="none"/>
        </w:rPr>
      </w:pPr>
      <w:bookmarkStart w:id="363" w:name="_Toc406522112"/>
      <w:bookmarkStart w:id="364" w:name="_Toc478389081"/>
      <w:r>
        <w:rPr>
          <w:rFonts w:hint="eastAsia" w:cs="宋体"/>
          <w:color w:val="auto"/>
          <w:sz w:val="21"/>
          <w:highlight w:val="none"/>
        </w:rPr>
        <w:t>7.1.2 施工组织设计的提交和修改</w:t>
      </w:r>
      <w:bookmarkEnd w:id="363"/>
      <w:bookmarkEnd w:id="364"/>
    </w:p>
    <w:p w14:paraId="2D2E3FC8">
      <w:pPr>
        <w:pStyle w:val="79"/>
        <w:rPr>
          <w:rFonts w:hint="eastAsia" w:cs="宋体"/>
          <w:color w:val="auto"/>
          <w:sz w:val="21"/>
          <w:highlight w:val="none"/>
        </w:rPr>
      </w:pPr>
      <w:r>
        <w:rPr>
          <w:rFonts w:hint="eastAsia" w:cs="宋体"/>
          <w:color w:val="auto"/>
          <w:sz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6251ADB3">
      <w:pPr>
        <w:pStyle w:val="79"/>
        <w:rPr>
          <w:rFonts w:hint="eastAsia" w:cs="宋体"/>
          <w:color w:val="auto"/>
          <w:sz w:val="21"/>
          <w:highlight w:val="none"/>
        </w:rPr>
      </w:pPr>
      <w:r>
        <w:rPr>
          <w:rFonts w:hint="eastAsia" w:cs="宋体"/>
          <w:color w:val="auto"/>
          <w:sz w:val="21"/>
          <w:highlight w:val="none"/>
        </w:rPr>
        <w:t>施工进度计划的编制和修改按照第7.2款〔施工进度计划〕执行。</w:t>
      </w:r>
    </w:p>
    <w:p w14:paraId="7281A841">
      <w:pPr>
        <w:pStyle w:val="321"/>
        <w:rPr>
          <w:rFonts w:hint="eastAsia" w:ascii="宋体" w:cs="宋体"/>
          <w:color w:val="auto"/>
          <w:highlight w:val="none"/>
        </w:rPr>
      </w:pPr>
      <w:bookmarkStart w:id="365" w:name="_Toc351203544"/>
      <w:bookmarkStart w:id="366" w:name="_Toc478389082"/>
      <w:r>
        <w:rPr>
          <w:rFonts w:hint="eastAsia" w:ascii="宋体" w:cs="宋体"/>
          <w:color w:val="auto"/>
          <w:highlight w:val="none"/>
        </w:rPr>
        <w:t>7</w:t>
      </w:r>
      <w:bookmarkStart w:id="367" w:name="_Toc337558769"/>
      <w:r>
        <w:rPr>
          <w:rFonts w:hint="eastAsia" w:ascii="宋体" w:cs="宋体"/>
          <w:color w:val="auto"/>
          <w:highlight w:val="none"/>
        </w:rPr>
        <w:t>.2 施工进度计划</w:t>
      </w:r>
      <w:bookmarkEnd w:id="365"/>
      <w:bookmarkEnd w:id="366"/>
    </w:p>
    <w:bookmarkEnd w:id="367"/>
    <w:p w14:paraId="7320CBF5">
      <w:pPr>
        <w:pStyle w:val="79"/>
        <w:rPr>
          <w:rFonts w:hint="eastAsia" w:cs="宋体"/>
          <w:color w:val="auto"/>
          <w:sz w:val="21"/>
          <w:highlight w:val="none"/>
        </w:rPr>
      </w:pPr>
      <w:r>
        <w:rPr>
          <w:rFonts w:hint="eastAsia" w:cs="宋体"/>
          <w:color w:val="auto"/>
          <w:sz w:val="21"/>
          <w:highlight w:val="none"/>
        </w:rPr>
        <w:t>7.2.1 施工进度计划的编制</w:t>
      </w:r>
    </w:p>
    <w:p w14:paraId="4C3D6A11">
      <w:pPr>
        <w:pStyle w:val="79"/>
        <w:rPr>
          <w:rFonts w:hint="eastAsia" w:cs="宋体"/>
          <w:color w:val="auto"/>
          <w:sz w:val="21"/>
          <w:highlight w:val="none"/>
        </w:rPr>
      </w:pPr>
      <w:r>
        <w:rPr>
          <w:rFonts w:hint="eastAsia" w:cs="宋体"/>
          <w:color w:val="auto"/>
          <w:sz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6B1AF5F3">
      <w:pPr>
        <w:pStyle w:val="79"/>
        <w:rPr>
          <w:rFonts w:hint="eastAsia" w:cs="宋体"/>
          <w:color w:val="auto"/>
          <w:sz w:val="21"/>
          <w:highlight w:val="none"/>
        </w:rPr>
      </w:pPr>
      <w:r>
        <w:rPr>
          <w:rFonts w:hint="eastAsia" w:cs="宋体"/>
          <w:color w:val="auto"/>
          <w:sz w:val="21"/>
          <w:highlight w:val="none"/>
        </w:rPr>
        <w:t>7.2.2 施工进度计划的修订</w:t>
      </w:r>
    </w:p>
    <w:p w14:paraId="045A5B13">
      <w:pPr>
        <w:pStyle w:val="79"/>
        <w:rPr>
          <w:rFonts w:hint="eastAsia" w:cs="宋体"/>
          <w:color w:val="auto"/>
          <w:sz w:val="21"/>
          <w:highlight w:val="none"/>
        </w:rPr>
      </w:pPr>
      <w:r>
        <w:rPr>
          <w:rFonts w:hint="eastAsia" w:cs="宋体"/>
          <w:color w:val="auto"/>
          <w:sz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9649BAE">
      <w:pPr>
        <w:pStyle w:val="321"/>
        <w:rPr>
          <w:rFonts w:hint="eastAsia" w:ascii="宋体" w:cs="宋体"/>
          <w:color w:val="auto"/>
          <w:highlight w:val="none"/>
        </w:rPr>
      </w:pPr>
      <w:bookmarkStart w:id="368" w:name="_Toc351203545"/>
      <w:bookmarkStart w:id="369" w:name="_Toc478389083"/>
      <w:r>
        <w:rPr>
          <w:rFonts w:hint="eastAsia" w:ascii="宋体" w:cs="宋体"/>
          <w:color w:val="auto"/>
          <w:highlight w:val="none"/>
        </w:rPr>
        <w:t>7</w:t>
      </w:r>
      <w:bookmarkStart w:id="370" w:name="_Toc337558770"/>
      <w:r>
        <w:rPr>
          <w:rFonts w:hint="eastAsia" w:ascii="宋体" w:cs="宋体"/>
          <w:color w:val="auto"/>
          <w:highlight w:val="none"/>
        </w:rPr>
        <w:t>.3 开工</w:t>
      </w:r>
      <w:bookmarkEnd w:id="368"/>
      <w:bookmarkEnd w:id="369"/>
    </w:p>
    <w:p w14:paraId="43B52965">
      <w:pPr>
        <w:pStyle w:val="79"/>
        <w:rPr>
          <w:rFonts w:hint="eastAsia" w:cs="宋体"/>
          <w:color w:val="auto"/>
          <w:sz w:val="21"/>
          <w:highlight w:val="none"/>
        </w:rPr>
      </w:pPr>
      <w:r>
        <w:rPr>
          <w:rFonts w:hint="eastAsia" w:cs="宋体"/>
          <w:color w:val="auto"/>
          <w:sz w:val="21"/>
          <w:highlight w:val="none"/>
        </w:rPr>
        <w:t>7.3.1 开工准备</w:t>
      </w:r>
    </w:p>
    <w:p w14:paraId="1801D099">
      <w:pPr>
        <w:pStyle w:val="79"/>
        <w:rPr>
          <w:rFonts w:hint="eastAsia" w:cs="宋体"/>
          <w:color w:val="auto"/>
          <w:sz w:val="21"/>
          <w:highlight w:val="none"/>
        </w:rPr>
      </w:pPr>
      <w:r>
        <w:rPr>
          <w:rFonts w:hint="eastAsia" w:cs="宋体"/>
          <w:color w:val="auto"/>
          <w:sz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8AC4D4F">
      <w:pPr>
        <w:pStyle w:val="79"/>
        <w:rPr>
          <w:rFonts w:hint="eastAsia" w:cs="宋体"/>
          <w:color w:val="auto"/>
          <w:sz w:val="21"/>
          <w:highlight w:val="none"/>
        </w:rPr>
      </w:pPr>
      <w:r>
        <w:rPr>
          <w:rFonts w:hint="eastAsia" w:cs="宋体"/>
          <w:color w:val="auto"/>
          <w:sz w:val="21"/>
          <w:highlight w:val="none"/>
        </w:rPr>
        <w:t>除专用合同条款另有约定外，合同当事人应按约定完成开工准备工作。</w:t>
      </w:r>
    </w:p>
    <w:p w14:paraId="251E8D5E">
      <w:pPr>
        <w:pStyle w:val="79"/>
        <w:rPr>
          <w:rFonts w:hint="eastAsia" w:cs="宋体"/>
          <w:color w:val="auto"/>
          <w:sz w:val="21"/>
          <w:highlight w:val="none"/>
        </w:rPr>
      </w:pPr>
      <w:r>
        <w:rPr>
          <w:rFonts w:hint="eastAsia" w:cs="宋体"/>
          <w:color w:val="auto"/>
          <w:sz w:val="21"/>
          <w:highlight w:val="none"/>
        </w:rPr>
        <w:t>7.3.2 开工通知</w:t>
      </w:r>
    </w:p>
    <w:bookmarkEnd w:id="370"/>
    <w:p w14:paraId="2022156F">
      <w:pPr>
        <w:pStyle w:val="79"/>
        <w:rPr>
          <w:rFonts w:hint="eastAsia" w:cs="宋体"/>
          <w:color w:val="auto"/>
          <w:sz w:val="21"/>
          <w:highlight w:val="none"/>
        </w:rPr>
      </w:pPr>
      <w:r>
        <w:rPr>
          <w:rFonts w:hint="eastAsia" w:cs="宋体"/>
          <w:color w:val="auto"/>
          <w:sz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569D0556">
      <w:pPr>
        <w:pStyle w:val="79"/>
        <w:rPr>
          <w:rFonts w:hint="eastAsia" w:cs="宋体"/>
          <w:color w:val="auto"/>
          <w:sz w:val="21"/>
          <w:highlight w:val="none"/>
        </w:rPr>
      </w:pPr>
      <w:r>
        <w:rPr>
          <w:rFonts w:hint="eastAsia" w:cs="宋体"/>
          <w:color w:val="auto"/>
          <w:sz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60E28F0E">
      <w:pPr>
        <w:pStyle w:val="321"/>
        <w:rPr>
          <w:rFonts w:hint="eastAsia" w:ascii="宋体" w:cs="宋体"/>
          <w:color w:val="auto"/>
          <w:highlight w:val="none"/>
        </w:rPr>
      </w:pPr>
      <w:bookmarkStart w:id="371" w:name="_Toc351203546"/>
      <w:bookmarkStart w:id="372" w:name="_Toc478389084"/>
      <w:r>
        <w:rPr>
          <w:rFonts w:hint="eastAsia" w:ascii="宋体" w:cs="宋体"/>
          <w:color w:val="auto"/>
          <w:highlight w:val="none"/>
        </w:rPr>
        <w:t>7.4测量放线</w:t>
      </w:r>
      <w:bookmarkEnd w:id="371"/>
      <w:bookmarkEnd w:id="372"/>
    </w:p>
    <w:p w14:paraId="6E96EB9E">
      <w:pPr>
        <w:pStyle w:val="79"/>
        <w:rPr>
          <w:rFonts w:hint="eastAsia" w:cs="宋体"/>
          <w:color w:val="auto"/>
          <w:sz w:val="21"/>
          <w:highlight w:val="none"/>
        </w:rPr>
      </w:pPr>
      <w:r>
        <w:rPr>
          <w:rFonts w:hint="eastAsia" w:cs="宋体"/>
          <w:color w:val="auto"/>
          <w:sz w:val="21"/>
          <w:highlight w:val="none"/>
        </w:rPr>
        <w:t>7.4.1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2ED9FCF1">
      <w:pPr>
        <w:pStyle w:val="79"/>
        <w:rPr>
          <w:rFonts w:hint="eastAsia" w:cs="宋体"/>
          <w:color w:val="auto"/>
          <w:sz w:val="21"/>
          <w:highlight w:val="none"/>
        </w:rPr>
      </w:pPr>
      <w:r>
        <w:rPr>
          <w:rFonts w:hint="eastAsia" w:cs="宋体"/>
          <w:color w:val="auto"/>
          <w:sz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7BC97CCB">
      <w:pPr>
        <w:pStyle w:val="79"/>
        <w:rPr>
          <w:rFonts w:hint="eastAsia" w:cs="宋体"/>
          <w:color w:val="auto"/>
          <w:sz w:val="21"/>
          <w:highlight w:val="none"/>
        </w:rPr>
      </w:pPr>
      <w:r>
        <w:rPr>
          <w:rFonts w:hint="eastAsia" w:cs="宋体"/>
          <w:color w:val="auto"/>
          <w:sz w:val="21"/>
          <w:highlight w:val="none"/>
        </w:rPr>
        <w:t>7.4.2承包人负责施工过程中的全部施工测量放线工作，并配置具有相应资质的人员、合格的仪器、设备和其他物品。承包人应矫正工程的位置、标高、尺寸或准线中出现的任何差错，并对工程各部分的定位负责。</w:t>
      </w:r>
    </w:p>
    <w:p w14:paraId="7BC57061">
      <w:pPr>
        <w:pStyle w:val="79"/>
        <w:rPr>
          <w:rFonts w:hint="eastAsia" w:cs="宋体"/>
          <w:color w:val="auto"/>
          <w:sz w:val="21"/>
          <w:highlight w:val="none"/>
        </w:rPr>
      </w:pPr>
      <w:r>
        <w:rPr>
          <w:rFonts w:hint="eastAsia" w:cs="宋体"/>
          <w:color w:val="auto"/>
          <w:sz w:val="21"/>
          <w:highlight w:val="none"/>
        </w:rPr>
        <w:t>施工过程中对施工现场内水准点等测量标志物的保护工作由承包人负责。</w:t>
      </w:r>
      <w:bookmarkStart w:id="373" w:name="_Toc351203547"/>
    </w:p>
    <w:p w14:paraId="60752429">
      <w:pPr>
        <w:pStyle w:val="321"/>
        <w:rPr>
          <w:rFonts w:hint="eastAsia" w:ascii="宋体" w:cs="宋体"/>
          <w:color w:val="auto"/>
          <w:highlight w:val="none"/>
        </w:rPr>
      </w:pPr>
      <w:bookmarkStart w:id="374" w:name="_Toc478389085"/>
      <w:r>
        <w:rPr>
          <w:rFonts w:hint="eastAsia" w:ascii="宋体" w:cs="宋体"/>
          <w:color w:val="auto"/>
          <w:highlight w:val="none"/>
        </w:rPr>
        <w:t>7</w:t>
      </w:r>
      <w:bookmarkEnd w:id="359"/>
      <w:bookmarkEnd w:id="360"/>
      <w:bookmarkStart w:id="375" w:name="_Toc296346574"/>
      <w:bookmarkStart w:id="376" w:name="_Toc296503073"/>
      <w:bookmarkStart w:id="377" w:name="_Toc337558772"/>
      <w:r>
        <w:rPr>
          <w:rFonts w:hint="eastAsia" w:ascii="宋体" w:cs="宋体"/>
          <w:color w:val="auto"/>
          <w:highlight w:val="none"/>
        </w:rPr>
        <w:t>.5 工期延误</w:t>
      </w:r>
      <w:bookmarkEnd w:id="373"/>
      <w:bookmarkEnd w:id="374"/>
    </w:p>
    <w:bookmarkEnd w:id="375"/>
    <w:bookmarkEnd w:id="376"/>
    <w:bookmarkEnd w:id="377"/>
    <w:p w14:paraId="08F91A88">
      <w:pPr>
        <w:pStyle w:val="79"/>
        <w:rPr>
          <w:rFonts w:hint="eastAsia" w:cs="宋体"/>
          <w:color w:val="auto"/>
          <w:sz w:val="21"/>
          <w:highlight w:val="none"/>
        </w:rPr>
      </w:pPr>
      <w:r>
        <w:rPr>
          <w:rFonts w:hint="eastAsia" w:cs="宋体"/>
          <w:color w:val="auto"/>
          <w:sz w:val="21"/>
          <w:highlight w:val="none"/>
        </w:rPr>
        <w:t>7.5.1 因发包人原因导致工期延误</w:t>
      </w:r>
    </w:p>
    <w:p w14:paraId="577B7A85">
      <w:pPr>
        <w:pStyle w:val="79"/>
        <w:rPr>
          <w:rFonts w:hint="eastAsia" w:cs="宋体"/>
          <w:color w:val="auto"/>
          <w:sz w:val="21"/>
          <w:highlight w:val="none"/>
        </w:rPr>
      </w:pPr>
      <w:r>
        <w:rPr>
          <w:rFonts w:hint="eastAsia" w:cs="宋体"/>
          <w:color w:val="auto"/>
          <w:sz w:val="21"/>
          <w:highlight w:val="none"/>
        </w:rPr>
        <w:t xml:space="preserve">在合同履行过程中，因下列情况导致工期延误和（或）费用增加的，由发包人承担由此延误的工期和（或）增加的费用，且发包人应支付承包人合理的利润： </w:t>
      </w:r>
    </w:p>
    <w:p w14:paraId="3718131D">
      <w:pPr>
        <w:pStyle w:val="79"/>
        <w:rPr>
          <w:rFonts w:hint="eastAsia" w:cs="宋体"/>
          <w:color w:val="auto"/>
          <w:sz w:val="21"/>
          <w:highlight w:val="none"/>
        </w:rPr>
      </w:pPr>
      <w:r>
        <w:rPr>
          <w:rFonts w:hint="eastAsia" w:cs="宋体"/>
          <w:color w:val="auto"/>
          <w:sz w:val="21"/>
          <w:highlight w:val="none"/>
        </w:rPr>
        <w:t>（1）发包人未能按合同约定提供图纸或所提供图纸不符合合同约定的；</w:t>
      </w:r>
    </w:p>
    <w:p w14:paraId="31A20E5C">
      <w:pPr>
        <w:pStyle w:val="79"/>
        <w:rPr>
          <w:rFonts w:hint="eastAsia" w:cs="宋体"/>
          <w:color w:val="auto"/>
          <w:sz w:val="21"/>
          <w:highlight w:val="none"/>
        </w:rPr>
      </w:pPr>
      <w:r>
        <w:rPr>
          <w:rFonts w:hint="eastAsia" w:cs="宋体"/>
          <w:color w:val="auto"/>
          <w:sz w:val="21"/>
          <w:highlight w:val="none"/>
        </w:rPr>
        <w:t>（2）发包人未能按合同约定提供施工现场、施工条件、基础资料、许可、批准等开工条件的；</w:t>
      </w:r>
    </w:p>
    <w:p w14:paraId="310DBC8F">
      <w:pPr>
        <w:pStyle w:val="79"/>
        <w:rPr>
          <w:rFonts w:hint="eastAsia" w:cs="宋体"/>
          <w:color w:val="auto"/>
          <w:sz w:val="21"/>
          <w:highlight w:val="none"/>
        </w:rPr>
      </w:pPr>
      <w:r>
        <w:rPr>
          <w:rFonts w:hint="eastAsia" w:cs="宋体"/>
          <w:color w:val="auto"/>
          <w:sz w:val="21"/>
          <w:highlight w:val="none"/>
        </w:rPr>
        <w:t>（3）发包人提供的测量基准点、基准线和水准点及其书面资料存在错误或疏漏的；</w:t>
      </w:r>
    </w:p>
    <w:p w14:paraId="77078B51">
      <w:pPr>
        <w:pStyle w:val="79"/>
        <w:rPr>
          <w:rFonts w:hint="eastAsia" w:cs="宋体"/>
          <w:color w:val="auto"/>
          <w:sz w:val="21"/>
          <w:highlight w:val="none"/>
        </w:rPr>
      </w:pPr>
      <w:r>
        <w:rPr>
          <w:rFonts w:hint="eastAsia" w:cs="宋体"/>
          <w:color w:val="auto"/>
          <w:sz w:val="21"/>
          <w:highlight w:val="none"/>
        </w:rPr>
        <w:t>（4）发包人未能在计划开工日期之日起7天内同意下达开工通知的；</w:t>
      </w:r>
    </w:p>
    <w:p w14:paraId="7778ACAA">
      <w:pPr>
        <w:pStyle w:val="79"/>
        <w:rPr>
          <w:rFonts w:hint="eastAsia" w:cs="宋体"/>
          <w:color w:val="auto"/>
          <w:sz w:val="21"/>
          <w:highlight w:val="none"/>
        </w:rPr>
      </w:pPr>
      <w:r>
        <w:rPr>
          <w:rFonts w:hint="eastAsia" w:cs="宋体"/>
          <w:color w:val="auto"/>
          <w:sz w:val="21"/>
          <w:highlight w:val="none"/>
        </w:rPr>
        <w:t>（5）发包人未能按合同约定日期支付工程预付款、进度款或竣工结算款的；</w:t>
      </w:r>
    </w:p>
    <w:p w14:paraId="6B84FAE7">
      <w:pPr>
        <w:pStyle w:val="79"/>
        <w:rPr>
          <w:rFonts w:hint="eastAsia" w:cs="宋体"/>
          <w:color w:val="auto"/>
          <w:sz w:val="21"/>
          <w:highlight w:val="none"/>
        </w:rPr>
      </w:pPr>
      <w:r>
        <w:rPr>
          <w:rFonts w:hint="eastAsia" w:cs="宋体"/>
          <w:color w:val="auto"/>
          <w:sz w:val="21"/>
          <w:highlight w:val="none"/>
        </w:rPr>
        <w:t>（6）监理人未按合同约定发出指示、批准等文件的；</w:t>
      </w:r>
    </w:p>
    <w:p w14:paraId="679A6794">
      <w:pPr>
        <w:pStyle w:val="79"/>
        <w:rPr>
          <w:rFonts w:hint="eastAsia" w:cs="宋体"/>
          <w:color w:val="auto"/>
          <w:sz w:val="21"/>
          <w:highlight w:val="none"/>
        </w:rPr>
      </w:pPr>
      <w:r>
        <w:rPr>
          <w:rFonts w:hint="eastAsia" w:cs="宋体"/>
          <w:color w:val="auto"/>
          <w:sz w:val="21"/>
          <w:highlight w:val="none"/>
        </w:rPr>
        <w:t>（7）专用合同条款中约定的其他情形。</w:t>
      </w:r>
    </w:p>
    <w:p w14:paraId="298475C1">
      <w:pPr>
        <w:pStyle w:val="79"/>
        <w:rPr>
          <w:rFonts w:hint="eastAsia" w:cs="宋体"/>
          <w:color w:val="auto"/>
          <w:sz w:val="21"/>
          <w:highlight w:val="none"/>
        </w:rPr>
      </w:pPr>
      <w:r>
        <w:rPr>
          <w:rFonts w:hint="eastAsia" w:cs="宋体"/>
          <w:color w:val="auto"/>
          <w:sz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59A6308C">
      <w:pPr>
        <w:pStyle w:val="79"/>
        <w:rPr>
          <w:rFonts w:hint="eastAsia" w:cs="宋体"/>
          <w:color w:val="auto"/>
          <w:sz w:val="21"/>
          <w:highlight w:val="none"/>
        </w:rPr>
      </w:pPr>
      <w:r>
        <w:rPr>
          <w:rFonts w:hint="eastAsia" w:cs="宋体"/>
          <w:color w:val="auto"/>
          <w:sz w:val="21"/>
          <w:highlight w:val="none"/>
        </w:rPr>
        <w:t>7.5.2 因承包人原因导致工期延误</w:t>
      </w:r>
    </w:p>
    <w:p w14:paraId="57A156FB">
      <w:pPr>
        <w:pStyle w:val="79"/>
        <w:rPr>
          <w:rFonts w:hint="eastAsia" w:cs="宋体"/>
          <w:color w:val="auto"/>
          <w:sz w:val="21"/>
          <w:highlight w:val="none"/>
        </w:rPr>
      </w:pPr>
      <w:bookmarkStart w:id="378" w:name="_Toc296503076"/>
      <w:bookmarkStart w:id="379" w:name="_Toc296346577"/>
      <w:r>
        <w:rPr>
          <w:rFonts w:hint="eastAsia" w:cs="宋体"/>
          <w:color w:val="auto"/>
          <w:sz w:val="21"/>
          <w:highlight w:val="none"/>
        </w:rPr>
        <w:t>因</w:t>
      </w:r>
      <w:bookmarkEnd w:id="378"/>
      <w:bookmarkEnd w:id="379"/>
      <w:r>
        <w:rPr>
          <w:rFonts w:hint="eastAsia" w:cs="宋体"/>
          <w:color w:val="auto"/>
          <w:sz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6392B924">
      <w:pPr>
        <w:pStyle w:val="321"/>
        <w:rPr>
          <w:rFonts w:hint="eastAsia" w:ascii="宋体" w:cs="宋体"/>
          <w:color w:val="auto"/>
          <w:highlight w:val="none"/>
        </w:rPr>
      </w:pPr>
      <w:bookmarkStart w:id="380" w:name="_Toc351203548"/>
      <w:bookmarkStart w:id="381" w:name="_Toc478389086"/>
      <w:r>
        <w:rPr>
          <w:rFonts w:hint="eastAsia" w:ascii="宋体" w:cs="宋体"/>
          <w:color w:val="auto"/>
          <w:highlight w:val="none"/>
        </w:rPr>
        <w:t>7</w:t>
      </w:r>
      <w:bookmarkStart w:id="382" w:name="_Toc296503074"/>
      <w:bookmarkStart w:id="383" w:name="_Toc296346575"/>
      <w:bookmarkStart w:id="384" w:name="_Toc337558773"/>
      <w:bookmarkStart w:id="385" w:name="_Toc296503077"/>
      <w:bookmarkStart w:id="386" w:name="_Toc296346578"/>
      <w:r>
        <w:rPr>
          <w:rFonts w:hint="eastAsia" w:ascii="宋体" w:cs="宋体"/>
          <w:color w:val="auto"/>
          <w:highlight w:val="none"/>
        </w:rPr>
        <w:t>.6 不利物质条件</w:t>
      </w:r>
      <w:bookmarkEnd w:id="380"/>
      <w:bookmarkEnd w:id="381"/>
    </w:p>
    <w:bookmarkEnd w:id="382"/>
    <w:bookmarkEnd w:id="383"/>
    <w:bookmarkEnd w:id="384"/>
    <w:p w14:paraId="0ED591BE">
      <w:pPr>
        <w:pStyle w:val="79"/>
        <w:rPr>
          <w:rFonts w:hint="eastAsia" w:cs="宋体"/>
          <w:color w:val="auto"/>
          <w:sz w:val="21"/>
          <w:highlight w:val="none"/>
        </w:rPr>
      </w:pPr>
      <w:r>
        <w:rPr>
          <w:rFonts w:hint="eastAsia" w:cs="宋体"/>
          <w:color w:val="auto"/>
          <w:sz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244DC93">
      <w:pPr>
        <w:pStyle w:val="79"/>
        <w:rPr>
          <w:rFonts w:hint="eastAsia" w:cs="宋体"/>
          <w:color w:val="auto"/>
          <w:sz w:val="21"/>
          <w:highlight w:val="none"/>
        </w:rPr>
      </w:pPr>
      <w:r>
        <w:rPr>
          <w:rFonts w:hint="eastAsia" w:cs="宋体"/>
          <w:color w:val="auto"/>
          <w:sz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16CEAFDF">
      <w:pPr>
        <w:pStyle w:val="321"/>
        <w:rPr>
          <w:rFonts w:hint="eastAsia" w:ascii="宋体" w:cs="宋体"/>
          <w:color w:val="auto"/>
          <w:highlight w:val="none"/>
        </w:rPr>
      </w:pPr>
      <w:bookmarkStart w:id="387" w:name="_Toc351203549"/>
      <w:bookmarkStart w:id="388" w:name="_Toc478389087"/>
      <w:r>
        <w:rPr>
          <w:rFonts w:hint="eastAsia" w:ascii="宋体" w:cs="宋体"/>
          <w:color w:val="auto"/>
          <w:highlight w:val="none"/>
        </w:rPr>
        <w:t>7</w:t>
      </w:r>
      <w:bookmarkStart w:id="389" w:name="_Toc337558774"/>
      <w:bookmarkStart w:id="390" w:name="_Toc296503075"/>
      <w:bookmarkStart w:id="391" w:name="_Toc296346576"/>
      <w:r>
        <w:rPr>
          <w:rFonts w:hint="eastAsia" w:ascii="宋体" w:cs="宋体"/>
          <w:color w:val="auto"/>
          <w:highlight w:val="none"/>
        </w:rPr>
        <w:t>.7 异常恶劣的气候条件</w:t>
      </w:r>
      <w:bookmarkEnd w:id="387"/>
      <w:bookmarkEnd w:id="388"/>
    </w:p>
    <w:bookmarkEnd w:id="389"/>
    <w:bookmarkEnd w:id="390"/>
    <w:bookmarkEnd w:id="391"/>
    <w:p w14:paraId="123DC7E5">
      <w:pPr>
        <w:pStyle w:val="79"/>
        <w:rPr>
          <w:rFonts w:hint="eastAsia" w:cs="宋体"/>
          <w:color w:val="auto"/>
          <w:sz w:val="21"/>
          <w:highlight w:val="none"/>
        </w:rPr>
      </w:pPr>
      <w:r>
        <w:rPr>
          <w:rFonts w:hint="eastAsia" w:cs="宋体"/>
          <w:color w:val="auto"/>
          <w:sz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672A5369">
      <w:pPr>
        <w:pStyle w:val="79"/>
        <w:rPr>
          <w:rFonts w:hint="eastAsia" w:cs="宋体"/>
          <w:color w:val="auto"/>
          <w:sz w:val="21"/>
          <w:highlight w:val="none"/>
        </w:rPr>
      </w:pPr>
      <w:r>
        <w:rPr>
          <w:rFonts w:hint="eastAsia" w:cs="宋体"/>
          <w:color w:val="auto"/>
          <w:sz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392" w:name="_Toc351203550"/>
    </w:p>
    <w:p w14:paraId="5DCEDE53">
      <w:pPr>
        <w:pStyle w:val="321"/>
        <w:rPr>
          <w:rFonts w:hint="eastAsia" w:ascii="宋体" w:cs="宋体"/>
          <w:color w:val="auto"/>
          <w:highlight w:val="none"/>
        </w:rPr>
      </w:pPr>
      <w:bookmarkStart w:id="393" w:name="_Toc478389088"/>
      <w:r>
        <w:rPr>
          <w:rFonts w:hint="eastAsia" w:ascii="宋体" w:cs="宋体"/>
          <w:color w:val="auto"/>
          <w:highlight w:val="none"/>
        </w:rPr>
        <w:t>7</w:t>
      </w:r>
      <w:bookmarkStart w:id="394" w:name="_Toc337558775"/>
      <w:r>
        <w:rPr>
          <w:rFonts w:hint="eastAsia" w:ascii="宋体" w:cs="宋体"/>
          <w:color w:val="auto"/>
          <w:highlight w:val="none"/>
        </w:rPr>
        <w:t>.8 暂停施工</w:t>
      </w:r>
      <w:bookmarkEnd w:id="392"/>
      <w:bookmarkEnd w:id="393"/>
    </w:p>
    <w:bookmarkEnd w:id="385"/>
    <w:bookmarkEnd w:id="386"/>
    <w:bookmarkEnd w:id="394"/>
    <w:p w14:paraId="643407AB">
      <w:pPr>
        <w:pStyle w:val="79"/>
        <w:rPr>
          <w:rFonts w:hint="eastAsia" w:cs="宋体"/>
          <w:color w:val="auto"/>
          <w:sz w:val="21"/>
          <w:highlight w:val="none"/>
        </w:rPr>
      </w:pPr>
      <w:r>
        <w:rPr>
          <w:rFonts w:hint="eastAsia" w:cs="宋体"/>
          <w:color w:val="auto"/>
          <w:sz w:val="21"/>
          <w:highlight w:val="none"/>
        </w:rPr>
        <w:t>7.8.1发包人原因引起的暂停施工</w:t>
      </w:r>
    </w:p>
    <w:p w14:paraId="3B170C14">
      <w:pPr>
        <w:pStyle w:val="79"/>
        <w:rPr>
          <w:rFonts w:hint="eastAsia" w:cs="宋体"/>
          <w:color w:val="auto"/>
          <w:sz w:val="21"/>
          <w:highlight w:val="none"/>
        </w:rPr>
      </w:pPr>
      <w:r>
        <w:rPr>
          <w:rFonts w:hint="eastAsia" w:cs="宋体"/>
          <w:color w:val="auto"/>
          <w:sz w:val="21"/>
          <w:highlight w:val="none"/>
        </w:rPr>
        <w:t>因发包人原因引起暂停施工的，监理人经发包人同意后，应及时下达暂停施工指示。情况紧急且监理人未及时下达暂停施工指示的，按照第7.8.4项〔紧急情况下的暂停施工〕执行。</w:t>
      </w:r>
    </w:p>
    <w:p w14:paraId="7E3736C0">
      <w:pPr>
        <w:pStyle w:val="79"/>
        <w:rPr>
          <w:rFonts w:hint="eastAsia" w:cs="宋体"/>
          <w:color w:val="auto"/>
          <w:sz w:val="21"/>
          <w:highlight w:val="none"/>
        </w:rPr>
      </w:pPr>
      <w:r>
        <w:rPr>
          <w:rFonts w:hint="eastAsia" w:cs="宋体"/>
          <w:color w:val="auto"/>
          <w:sz w:val="21"/>
          <w:highlight w:val="none"/>
        </w:rPr>
        <w:t>因发包人原因引起的暂停施工，发包人应承担由此增加的费用和（或）延误的工期，并支付承包人合理的利润。</w:t>
      </w:r>
    </w:p>
    <w:p w14:paraId="273C5BA3">
      <w:pPr>
        <w:pStyle w:val="79"/>
        <w:rPr>
          <w:rFonts w:hint="eastAsia" w:cs="宋体"/>
          <w:color w:val="auto"/>
          <w:sz w:val="21"/>
          <w:highlight w:val="none"/>
        </w:rPr>
      </w:pPr>
      <w:r>
        <w:rPr>
          <w:rFonts w:hint="eastAsia" w:cs="宋体"/>
          <w:color w:val="auto"/>
          <w:sz w:val="21"/>
          <w:highlight w:val="none"/>
        </w:rPr>
        <w:t>7.8.2 承包人原因引起的暂停施工</w:t>
      </w:r>
    </w:p>
    <w:p w14:paraId="519447AB">
      <w:pPr>
        <w:pStyle w:val="79"/>
        <w:rPr>
          <w:rFonts w:hint="eastAsia" w:cs="宋体"/>
          <w:color w:val="auto"/>
          <w:sz w:val="21"/>
          <w:highlight w:val="none"/>
        </w:rPr>
      </w:pPr>
      <w:r>
        <w:rPr>
          <w:rFonts w:hint="eastAsia" w:cs="宋体"/>
          <w:color w:val="auto"/>
          <w:sz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408E4197">
      <w:pPr>
        <w:pStyle w:val="79"/>
        <w:rPr>
          <w:rFonts w:hint="eastAsia" w:cs="宋体"/>
          <w:color w:val="auto"/>
          <w:sz w:val="21"/>
          <w:highlight w:val="none"/>
        </w:rPr>
      </w:pPr>
      <w:r>
        <w:rPr>
          <w:rFonts w:hint="eastAsia" w:cs="宋体"/>
          <w:color w:val="auto"/>
          <w:sz w:val="21"/>
          <w:highlight w:val="none"/>
        </w:rPr>
        <w:t>7.8.3 指示暂停施工</w:t>
      </w:r>
    </w:p>
    <w:p w14:paraId="2C7708DC">
      <w:pPr>
        <w:pStyle w:val="79"/>
        <w:rPr>
          <w:rFonts w:hint="eastAsia" w:cs="宋体"/>
          <w:color w:val="auto"/>
          <w:sz w:val="21"/>
          <w:highlight w:val="none"/>
        </w:rPr>
      </w:pPr>
      <w:r>
        <w:rPr>
          <w:rFonts w:hint="eastAsia" w:cs="宋体"/>
          <w:color w:val="auto"/>
          <w:sz w:val="21"/>
          <w:highlight w:val="none"/>
        </w:rPr>
        <w:t>监理人认为有必要时，并经发包人批准后，可向承包人作出暂停施工的指示，承包人应按监理人指示暂停施工。</w:t>
      </w:r>
    </w:p>
    <w:p w14:paraId="6D9BB2F1">
      <w:pPr>
        <w:pStyle w:val="79"/>
        <w:rPr>
          <w:rFonts w:hint="eastAsia" w:cs="宋体"/>
          <w:color w:val="auto"/>
          <w:sz w:val="21"/>
          <w:highlight w:val="none"/>
        </w:rPr>
      </w:pPr>
      <w:r>
        <w:rPr>
          <w:rFonts w:hint="eastAsia" w:cs="宋体"/>
          <w:color w:val="auto"/>
          <w:sz w:val="21"/>
          <w:highlight w:val="none"/>
        </w:rPr>
        <w:t>7.8.4 紧急情况下的暂停施工</w:t>
      </w:r>
    </w:p>
    <w:p w14:paraId="092CAB49">
      <w:pPr>
        <w:pStyle w:val="79"/>
        <w:rPr>
          <w:rFonts w:hint="eastAsia" w:cs="宋体"/>
          <w:color w:val="auto"/>
          <w:sz w:val="21"/>
          <w:highlight w:val="none"/>
        </w:rPr>
      </w:pPr>
      <w:r>
        <w:rPr>
          <w:rFonts w:hint="eastAsia" w:cs="宋体"/>
          <w:color w:val="auto"/>
          <w:sz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11B3BA02">
      <w:pPr>
        <w:pStyle w:val="79"/>
        <w:rPr>
          <w:rFonts w:hint="eastAsia" w:cs="宋体"/>
          <w:color w:val="auto"/>
          <w:sz w:val="21"/>
          <w:highlight w:val="none"/>
        </w:rPr>
      </w:pPr>
      <w:r>
        <w:rPr>
          <w:rFonts w:hint="eastAsia" w:cs="宋体"/>
          <w:color w:val="auto"/>
          <w:sz w:val="21"/>
          <w:highlight w:val="none"/>
        </w:rPr>
        <w:t>7.8.5 暂停施工后的复工</w:t>
      </w:r>
    </w:p>
    <w:p w14:paraId="36F391D4">
      <w:pPr>
        <w:pStyle w:val="79"/>
        <w:rPr>
          <w:rFonts w:hint="eastAsia" w:cs="宋体"/>
          <w:color w:val="auto"/>
          <w:sz w:val="21"/>
          <w:highlight w:val="none"/>
        </w:rPr>
      </w:pPr>
      <w:r>
        <w:rPr>
          <w:rFonts w:hint="eastAsia" w:cs="宋体"/>
          <w:color w:val="auto"/>
          <w:sz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92E4736">
      <w:pPr>
        <w:pStyle w:val="79"/>
        <w:rPr>
          <w:rFonts w:hint="eastAsia" w:cs="宋体"/>
          <w:color w:val="auto"/>
          <w:sz w:val="21"/>
          <w:highlight w:val="none"/>
        </w:rPr>
      </w:pPr>
      <w:r>
        <w:rPr>
          <w:rFonts w:hint="eastAsia" w:cs="宋体"/>
          <w:color w:val="auto"/>
          <w:sz w:val="21"/>
          <w:highlight w:val="none"/>
        </w:rPr>
        <w:t>承包人无故拖延和拒绝复工的，承包人承担由此增加的费用和（或）延误的工期；因发包人原因无法按时复工的，按照第7.5.1项〔因发包人原因导致工期延误〕约定办理。</w:t>
      </w:r>
    </w:p>
    <w:p w14:paraId="3F6EAA40">
      <w:pPr>
        <w:pStyle w:val="79"/>
        <w:rPr>
          <w:rFonts w:hint="eastAsia" w:cs="宋体"/>
          <w:color w:val="auto"/>
          <w:sz w:val="21"/>
          <w:highlight w:val="none"/>
        </w:rPr>
      </w:pPr>
      <w:r>
        <w:rPr>
          <w:rFonts w:hint="eastAsia" w:cs="宋体"/>
          <w:color w:val="auto"/>
          <w:sz w:val="21"/>
          <w:highlight w:val="none"/>
        </w:rPr>
        <w:t>7.8.6 暂停施工持续56天以上</w:t>
      </w:r>
    </w:p>
    <w:p w14:paraId="1386259B">
      <w:pPr>
        <w:pStyle w:val="79"/>
        <w:rPr>
          <w:rFonts w:hint="eastAsia" w:cs="宋体"/>
          <w:color w:val="auto"/>
          <w:sz w:val="21"/>
          <w:highlight w:val="none"/>
        </w:rPr>
      </w:pPr>
      <w:r>
        <w:rPr>
          <w:rFonts w:hint="eastAsia" w:cs="宋体"/>
          <w:color w:val="auto"/>
          <w:sz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1C5D624F">
      <w:pPr>
        <w:pStyle w:val="79"/>
        <w:rPr>
          <w:rFonts w:hint="eastAsia" w:cs="宋体"/>
          <w:color w:val="auto"/>
          <w:sz w:val="21"/>
          <w:highlight w:val="none"/>
        </w:rPr>
      </w:pPr>
      <w:r>
        <w:rPr>
          <w:rFonts w:hint="eastAsia" w:cs="宋体"/>
          <w:color w:val="auto"/>
          <w:sz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4591309D">
      <w:pPr>
        <w:pStyle w:val="79"/>
        <w:rPr>
          <w:rFonts w:hint="eastAsia" w:cs="宋体"/>
          <w:color w:val="auto"/>
          <w:sz w:val="21"/>
          <w:highlight w:val="none"/>
        </w:rPr>
      </w:pPr>
      <w:r>
        <w:rPr>
          <w:rFonts w:hint="eastAsia" w:cs="宋体"/>
          <w:color w:val="auto"/>
          <w:sz w:val="21"/>
          <w:highlight w:val="none"/>
        </w:rPr>
        <w:t>7.8.7 暂停施工期间的工程照管</w:t>
      </w:r>
    </w:p>
    <w:p w14:paraId="6E02CE8D">
      <w:pPr>
        <w:pStyle w:val="79"/>
        <w:rPr>
          <w:rFonts w:hint="eastAsia" w:cs="宋体"/>
          <w:color w:val="auto"/>
          <w:sz w:val="21"/>
          <w:highlight w:val="none"/>
        </w:rPr>
      </w:pPr>
      <w:r>
        <w:rPr>
          <w:rFonts w:hint="eastAsia" w:cs="宋体"/>
          <w:color w:val="auto"/>
          <w:sz w:val="21"/>
          <w:highlight w:val="none"/>
        </w:rPr>
        <w:t>暂停施工期间，承包人应负责妥善照管工程并提供安全保障，由此增加的费用由责任方承担</w:t>
      </w:r>
    </w:p>
    <w:p w14:paraId="7CBAD70D">
      <w:pPr>
        <w:pStyle w:val="79"/>
        <w:rPr>
          <w:rFonts w:hint="eastAsia" w:cs="宋体"/>
          <w:color w:val="auto"/>
          <w:sz w:val="21"/>
          <w:highlight w:val="none"/>
        </w:rPr>
      </w:pPr>
      <w:r>
        <w:rPr>
          <w:rFonts w:hint="eastAsia" w:cs="宋体"/>
          <w:color w:val="auto"/>
          <w:sz w:val="21"/>
          <w:highlight w:val="none"/>
        </w:rPr>
        <w:t>7.8.8 暂停施工的措施</w:t>
      </w:r>
    </w:p>
    <w:p w14:paraId="26D91A37">
      <w:pPr>
        <w:pStyle w:val="79"/>
        <w:rPr>
          <w:rFonts w:hint="eastAsia" w:cs="宋体"/>
          <w:color w:val="auto"/>
          <w:sz w:val="21"/>
          <w:highlight w:val="none"/>
        </w:rPr>
      </w:pPr>
      <w:r>
        <w:rPr>
          <w:rFonts w:hint="eastAsia" w:cs="宋体"/>
          <w:color w:val="auto"/>
          <w:sz w:val="21"/>
          <w:highlight w:val="none"/>
        </w:rPr>
        <w:t>暂停施工期间，发包人和承包人均应采取必要的措施确保工程质量及安全，防止因暂停施工扩大损失。</w:t>
      </w:r>
    </w:p>
    <w:p w14:paraId="71CF79A2">
      <w:pPr>
        <w:pStyle w:val="321"/>
        <w:rPr>
          <w:rFonts w:hint="eastAsia" w:ascii="宋体" w:cs="宋体"/>
          <w:color w:val="auto"/>
          <w:highlight w:val="none"/>
        </w:rPr>
      </w:pPr>
      <w:bookmarkStart w:id="395" w:name="_Toc478389089"/>
      <w:bookmarkStart w:id="396" w:name="_Toc351203551"/>
      <w:r>
        <w:rPr>
          <w:rFonts w:hint="eastAsia" w:ascii="宋体" w:cs="宋体"/>
          <w:color w:val="auto"/>
          <w:highlight w:val="none"/>
        </w:rPr>
        <w:t>7.9提前竣工</w:t>
      </w:r>
      <w:bookmarkEnd w:id="395"/>
      <w:bookmarkEnd w:id="396"/>
    </w:p>
    <w:p w14:paraId="3F7A2AE5">
      <w:pPr>
        <w:pStyle w:val="79"/>
        <w:rPr>
          <w:rFonts w:hint="eastAsia" w:cs="宋体"/>
          <w:color w:val="auto"/>
          <w:sz w:val="21"/>
          <w:highlight w:val="none"/>
        </w:rPr>
      </w:pPr>
      <w:r>
        <w:rPr>
          <w:rFonts w:hint="eastAsia" w:cs="宋体"/>
          <w:color w:val="auto"/>
          <w:sz w:val="21"/>
          <w:highlight w:val="none"/>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4CCC7486">
      <w:pPr>
        <w:pStyle w:val="79"/>
        <w:rPr>
          <w:rFonts w:hint="eastAsia" w:cs="宋体"/>
          <w:color w:val="auto"/>
          <w:sz w:val="21"/>
          <w:highlight w:val="none"/>
        </w:rPr>
      </w:pPr>
      <w:r>
        <w:rPr>
          <w:rFonts w:hint="eastAsia" w:cs="宋体"/>
          <w:color w:val="auto"/>
          <w:sz w:val="21"/>
          <w:highlight w:val="none"/>
        </w:rPr>
        <w:t>7.9.2发包人要求承包人提前竣工，或承包人提出提前竣工的建议能够给发包人带来效益的，合同当事人可以在专用合同条款中约定提前竣工的奖励。</w:t>
      </w:r>
    </w:p>
    <w:p w14:paraId="5A9F10A5">
      <w:pPr>
        <w:pStyle w:val="321"/>
        <w:rPr>
          <w:rFonts w:hint="eastAsia" w:ascii="宋体" w:cs="宋体"/>
          <w:color w:val="auto"/>
          <w:highlight w:val="none"/>
        </w:rPr>
      </w:pPr>
      <w:bookmarkStart w:id="397" w:name="_Toc478389090"/>
      <w:bookmarkStart w:id="398" w:name="_Toc351203552"/>
      <w:r>
        <w:rPr>
          <w:rFonts w:hint="eastAsia" w:ascii="宋体" w:cs="宋体"/>
          <w:color w:val="auto"/>
          <w:highlight w:val="none"/>
        </w:rPr>
        <w:t>8</w:t>
      </w:r>
      <w:bookmarkStart w:id="399" w:name="_Toc296503058"/>
      <w:bookmarkStart w:id="400" w:name="_Toc337558776"/>
      <w:bookmarkStart w:id="401" w:name="_Toc296346559"/>
      <w:r>
        <w:rPr>
          <w:rFonts w:hint="eastAsia" w:ascii="宋体" w:cs="宋体"/>
          <w:color w:val="auto"/>
          <w:highlight w:val="none"/>
        </w:rPr>
        <w:t>. 材料与设备</w:t>
      </w:r>
      <w:bookmarkEnd w:id="397"/>
      <w:bookmarkEnd w:id="398"/>
    </w:p>
    <w:bookmarkEnd w:id="399"/>
    <w:bookmarkEnd w:id="400"/>
    <w:bookmarkEnd w:id="401"/>
    <w:p w14:paraId="234E6D39">
      <w:pPr>
        <w:pStyle w:val="321"/>
        <w:rPr>
          <w:rFonts w:hint="eastAsia" w:ascii="宋体" w:cs="宋体"/>
          <w:color w:val="auto"/>
          <w:highlight w:val="none"/>
        </w:rPr>
      </w:pPr>
      <w:bookmarkStart w:id="402" w:name="_Toc351203553"/>
      <w:bookmarkStart w:id="403" w:name="_Toc478389091"/>
      <w:r>
        <w:rPr>
          <w:rFonts w:hint="eastAsia" w:ascii="宋体" w:cs="宋体"/>
          <w:color w:val="auto"/>
          <w:highlight w:val="none"/>
        </w:rPr>
        <w:t>8</w:t>
      </w:r>
      <w:bookmarkStart w:id="404" w:name="_Toc337558777"/>
      <w:bookmarkStart w:id="405" w:name="_Toc296346560"/>
      <w:bookmarkStart w:id="406" w:name="_Toc296503059"/>
      <w:bookmarkStart w:id="407" w:name="_Toc468936960"/>
      <w:r>
        <w:rPr>
          <w:rFonts w:hint="eastAsia" w:ascii="宋体" w:cs="宋体"/>
          <w:color w:val="auto"/>
          <w:highlight w:val="none"/>
        </w:rPr>
        <w:t>.1发包人供应材料与工程设备</w:t>
      </w:r>
      <w:bookmarkEnd w:id="402"/>
      <w:bookmarkEnd w:id="403"/>
    </w:p>
    <w:bookmarkEnd w:id="404"/>
    <w:bookmarkEnd w:id="405"/>
    <w:bookmarkEnd w:id="406"/>
    <w:p w14:paraId="12C0F109">
      <w:pPr>
        <w:pStyle w:val="79"/>
        <w:rPr>
          <w:rFonts w:hint="eastAsia" w:cs="宋体"/>
          <w:color w:val="auto"/>
          <w:sz w:val="21"/>
          <w:highlight w:val="none"/>
        </w:rPr>
      </w:pPr>
      <w:r>
        <w:rPr>
          <w:rFonts w:hint="eastAsia" w:cs="宋体"/>
          <w:color w:val="auto"/>
          <w:sz w:val="21"/>
          <w:highlight w:val="none"/>
        </w:rPr>
        <w:t>发包人自行供应材料、工程设备的，应在签订合同时在专用合同条款的附件《发包人供应材料设备一览表》中明确材料、工程设备的品种、规格、型号、数量、单价、质量等级和送达地点。</w:t>
      </w:r>
    </w:p>
    <w:p w14:paraId="0EEBAB22">
      <w:pPr>
        <w:pStyle w:val="79"/>
        <w:rPr>
          <w:rFonts w:hint="eastAsia" w:cs="宋体"/>
          <w:color w:val="auto"/>
          <w:sz w:val="21"/>
          <w:highlight w:val="none"/>
        </w:rPr>
      </w:pPr>
      <w:r>
        <w:rPr>
          <w:rFonts w:hint="eastAsia" w:cs="宋体"/>
          <w:color w:val="auto"/>
          <w:sz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210E80F">
      <w:pPr>
        <w:pStyle w:val="321"/>
        <w:rPr>
          <w:rFonts w:hint="eastAsia" w:ascii="宋体" w:cs="宋体"/>
          <w:color w:val="auto"/>
          <w:highlight w:val="none"/>
        </w:rPr>
      </w:pPr>
      <w:bookmarkStart w:id="408" w:name="_Toc478389092"/>
      <w:bookmarkStart w:id="409" w:name="_Toc351203554"/>
      <w:r>
        <w:rPr>
          <w:rFonts w:hint="eastAsia" w:ascii="宋体" w:cs="宋体"/>
          <w:color w:val="auto"/>
          <w:highlight w:val="none"/>
        </w:rPr>
        <w:t>8</w:t>
      </w:r>
      <w:bookmarkStart w:id="410" w:name="_Toc337558778"/>
      <w:bookmarkStart w:id="411" w:name="_Toc296503060"/>
      <w:bookmarkStart w:id="412" w:name="_Toc296346561"/>
      <w:r>
        <w:rPr>
          <w:rFonts w:hint="eastAsia" w:ascii="宋体" w:cs="宋体"/>
          <w:color w:val="auto"/>
          <w:highlight w:val="none"/>
        </w:rPr>
        <w:t>.2承包人采购材料与工程设备</w:t>
      </w:r>
      <w:bookmarkEnd w:id="408"/>
      <w:bookmarkEnd w:id="409"/>
    </w:p>
    <w:bookmarkEnd w:id="410"/>
    <w:bookmarkEnd w:id="411"/>
    <w:bookmarkEnd w:id="412"/>
    <w:p w14:paraId="5DA33D79">
      <w:pPr>
        <w:pStyle w:val="79"/>
        <w:rPr>
          <w:rFonts w:hint="eastAsia" w:cs="宋体"/>
          <w:color w:val="auto"/>
          <w:sz w:val="21"/>
          <w:highlight w:val="none"/>
        </w:rPr>
      </w:pPr>
      <w:r>
        <w:rPr>
          <w:rFonts w:hint="eastAsia" w:cs="宋体"/>
          <w:color w:val="auto"/>
          <w:sz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A7A2360">
      <w:pPr>
        <w:pStyle w:val="321"/>
        <w:rPr>
          <w:rFonts w:hint="eastAsia" w:ascii="宋体" w:cs="宋体"/>
          <w:color w:val="auto"/>
          <w:highlight w:val="none"/>
        </w:rPr>
      </w:pPr>
      <w:bookmarkStart w:id="413" w:name="_Toc478389093"/>
      <w:bookmarkStart w:id="414" w:name="_Toc351203555"/>
      <w:r>
        <w:rPr>
          <w:rFonts w:hint="eastAsia" w:ascii="宋体" w:cs="宋体"/>
          <w:color w:val="auto"/>
          <w:highlight w:val="none"/>
        </w:rPr>
        <w:t>8</w:t>
      </w:r>
      <w:bookmarkStart w:id="415" w:name="_Toc296346562"/>
      <w:bookmarkStart w:id="416" w:name="_Toc296503061"/>
      <w:bookmarkStart w:id="417" w:name="_Toc337558779"/>
      <w:r>
        <w:rPr>
          <w:rFonts w:hint="eastAsia" w:ascii="宋体" w:cs="宋体"/>
          <w:color w:val="auto"/>
          <w:highlight w:val="none"/>
        </w:rPr>
        <w:t>.3材料与工程设备的接收与拒收</w:t>
      </w:r>
      <w:bookmarkEnd w:id="413"/>
      <w:bookmarkEnd w:id="414"/>
    </w:p>
    <w:bookmarkEnd w:id="415"/>
    <w:bookmarkEnd w:id="416"/>
    <w:bookmarkEnd w:id="417"/>
    <w:p w14:paraId="1AABF13E">
      <w:pPr>
        <w:pStyle w:val="79"/>
        <w:rPr>
          <w:rFonts w:hint="eastAsia" w:cs="宋体"/>
          <w:color w:val="auto"/>
          <w:sz w:val="21"/>
          <w:highlight w:val="none"/>
        </w:rPr>
      </w:pPr>
      <w:r>
        <w:rPr>
          <w:rFonts w:hint="eastAsia" w:cs="宋体"/>
          <w:color w:val="auto"/>
          <w:sz w:val="21"/>
          <w:highlight w:val="none"/>
        </w:rPr>
        <w:t>8.3.1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5152A96B">
      <w:pPr>
        <w:pStyle w:val="79"/>
        <w:rPr>
          <w:rFonts w:hint="eastAsia" w:cs="宋体"/>
          <w:color w:val="auto"/>
          <w:sz w:val="21"/>
          <w:highlight w:val="none"/>
        </w:rPr>
      </w:pPr>
      <w:r>
        <w:rPr>
          <w:rFonts w:hint="eastAsia" w:cs="宋体"/>
          <w:color w:val="auto"/>
          <w:sz w:val="21"/>
          <w:highlight w:val="none"/>
        </w:rPr>
        <w:t>发包人提供的材料和工程设备的规格、数量或质量不符合合同约定的，或因发包人原因导致交货日期延误或交货地点变更等情况的，按照第16.1款〔发包人违约〕约定办理。</w:t>
      </w:r>
    </w:p>
    <w:p w14:paraId="6B3A5C2A">
      <w:pPr>
        <w:pStyle w:val="79"/>
        <w:rPr>
          <w:rFonts w:hint="eastAsia" w:cs="宋体"/>
          <w:color w:val="auto"/>
          <w:sz w:val="21"/>
          <w:highlight w:val="none"/>
        </w:rPr>
      </w:pPr>
      <w:r>
        <w:rPr>
          <w:rFonts w:hint="eastAsia" w:cs="宋体"/>
          <w:color w:val="auto"/>
          <w:sz w:val="21"/>
          <w:highlight w:val="none"/>
        </w:rPr>
        <w:t>8.3.2承包人采购的材料和工程设备，应保证产品质量合格，承包人应在材料和工程设备到货前24小时通知监理人检验。承</w:t>
      </w:r>
      <w:bookmarkStart w:id="418" w:name="_Toc250655469"/>
      <w:r>
        <w:rPr>
          <w:rFonts w:hint="eastAsia" w:cs="宋体"/>
          <w:color w:val="auto"/>
          <w:sz w:val="21"/>
          <w:highlight w:val="none"/>
        </w:rPr>
        <w:t>包人进行永久设备、材料的制造和生产的，应符合相关质量标准，并向监理人提交材料的样本以及有关资料，并应在使用该材料或工程设备之前获得监理人同意。</w:t>
      </w:r>
      <w:bookmarkEnd w:id="418"/>
      <w:r>
        <w:rPr>
          <w:rFonts w:hint="eastAsia" w:cs="宋体"/>
          <w:color w:val="auto"/>
          <w:sz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8EE9F7C">
      <w:pPr>
        <w:pStyle w:val="321"/>
        <w:rPr>
          <w:rFonts w:hint="eastAsia" w:ascii="宋体" w:cs="宋体"/>
          <w:color w:val="auto"/>
          <w:highlight w:val="none"/>
        </w:rPr>
      </w:pPr>
      <w:bookmarkStart w:id="419" w:name="_Toc351203556"/>
      <w:bookmarkStart w:id="420" w:name="_Toc478389094"/>
      <w:r>
        <w:rPr>
          <w:rFonts w:hint="eastAsia" w:ascii="宋体" w:cs="宋体"/>
          <w:color w:val="auto"/>
          <w:highlight w:val="none"/>
        </w:rPr>
        <w:t>8</w:t>
      </w:r>
      <w:bookmarkStart w:id="421" w:name="_Toc296346563"/>
      <w:bookmarkStart w:id="422" w:name="_Toc296503062"/>
      <w:bookmarkStart w:id="423" w:name="_Toc337558780"/>
      <w:r>
        <w:rPr>
          <w:rFonts w:hint="eastAsia" w:ascii="宋体" w:cs="宋体"/>
          <w:color w:val="auto"/>
          <w:highlight w:val="none"/>
        </w:rPr>
        <w:t>.4材料与工程设备的保管与使用</w:t>
      </w:r>
      <w:bookmarkEnd w:id="419"/>
      <w:bookmarkEnd w:id="420"/>
    </w:p>
    <w:bookmarkEnd w:id="421"/>
    <w:bookmarkEnd w:id="422"/>
    <w:bookmarkEnd w:id="423"/>
    <w:p w14:paraId="35692500">
      <w:pPr>
        <w:pStyle w:val="79"/>
        <w:rPr>
          <w:rFonts w:hint="eastAsia" w:cs="宋体"/>
          <w:color w:val="auto"/>
          <w:sz w:val="21"/>
          <w:highlight w:val="none"/>
        </w:rPr>
      </w:pPr>
      <w:r>
        <w:rPr>
          <w:rFonts w:hint="eastAsia" w:cs="宋体"/>
          <w:color w:val="auto"/>
          <w:sz w:val="21"/>
          <w:highlight w:val="none"/>
        </w:rPr>
        <w:t>8.4.1 发包人供应材料与工程设备的保管与使用</w:t>
      </w:r>
    </w:p>
    <w:p w14:paraId="1DBD3962">
      <w:pPr>
        <w:pStyle w:val="79"/>
        <w:rPr>
          <w:rFonts w:hint="eastAsia" w:cs="宋体"/>
          <w:color w:val="auto"/>
          <w:sz w:val="21"/>
          <w:highlight w:val="none"/>
        </w:rPr>
      </w:pPr>
      <w:r>
        <w:rPr>
          <w:rFonts w:hint="eastAsia" w:cs="宋体"/>
          <w:color w:val="auto"/>
          <w:sz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7F4F29E8">
      <w:pPr>
        <w:pStyle w:val="79"/>
        <w:rPr>
          <w:rFonts w:hint="eastAsia" w:cs="宋体"/>
          <w:color w:val="auto"/>
          <w:sz w:val="21"/>
          <w:highlight w:val="none"/>
        </w:rPr>
      </w:pPr>
      <w:r>
        <w:rPr>
          <w:rFonts w:hint="eastAsia" w:cs="宋体"/>
          <w:color w:val="auto"/>
          <w:sz w:val="21"/>
          <w:highlight w:val="none"/>
        </w:rPr>
        <w:t>发包人供应的材料和工程设备使用前，由承包人负责检验，检验费用由发包人承担，不合格的不得使用。</w:t>
      </w:r>
    </w:p>
    <w:p w14:paraId="1B07AA29">
      <w:pPr>
        <w:pStyle w:val="79"/>
        <w:rPr>
          <w:rFonts w:hint="eastAsia" w:cs="宋体"/>
          <w:color w:val="auto"/>
          <w:sz w:val="21"/>
          <w:highlight w:val="none"/>
        </w:rPr>
      </w:pPr>
      <w:r>
        <w:rPr>
          <w:rFonts w:hint="eastAsia" w:cs="宋体"/>
          <w:color w:val="auto"/>
          <w:sz w:val="21"/>
          <w:highlight w:val="none"/>
        </w:rPr>
        <w:t>8.4.2 承包人采购材料与工程设备的保管与使用</w:t>
      </w:r>
    </w:p>
    <w:p w14:paraId="1017AA8F">
      <w:pPr>
        <w:pStyle w:val="79"/>
        <w:rPr>
          <w:rFonts w:hint="eastAsia" w:cs="宋体"/>
          <w:color w:val="auto"/>
          <w:sz w:val="21"/>
          <w:highlight w:val="none"/>
        </w:rPr>
      </w:pPr>
      <w:r>
        <w:rPr>
          <w:rFonts w:hint="eastAsia" w:cs="宋体"/>
          <w:color w:val="auto"/>
          <w:sz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76F6E43F">
      <w:pPr>
        <w:pStyle w:val="79"/>
        <w:rPr>
          <w:rFonts w:hint="eastAsia" w:cs="宋体"/>
          <w:color w:val="auto"/>
          <w:sz w:val="21"/>
          <w:highlight w:val="none"/>
        </w:rPr>
      </w:pPr>
      <w:r>
        <w:rPr>
          <w:rFonts w:hint="eastAsia" w:cs="宋体"/>
          <w:color w:val="auto"/>
          <w:sz w:val="21"/>
          <w:highlight w:val="none"/>
        </w:rPr>
        <w:t>发包人或监理人发现承包人使用不符合设计或有关标准要求的材料和工程设备时，有权要求承包人进行修复、拆除或重新采购，由此增加的费用和（或）延误的工期，由承包人承担。</w:t>
      </w:r>
    </w:p>
    <w:p w14:paraId="789F3CD8">
      <w:pPr>
        <w:pStyle w:val="321"/>
        <w:rPr>
          <w:rFonts w:hint="eastAsia" w:ascii="宋体" w:cs="宋体"/>
          <w:color w:val="auto"/>
          <w:highlight w:val="none"/>
        </w:rPr>
      </w:pPr>
      <w:bookmarkStart w:id="424" w:name="_Toc351203557"/>
      <w:bookmarkStart w:id="425" w:name="_Toc478389095"/>
      <w:r>
        <w:rPr>
          <w:rFonts w:hint="eastAsia" w:ascii="宋体" w:cs="宋体"/>
          <w:color w:val="auto"/>
          <w:highlight w:val="none"/>
        </w:rPr>
        <w:t>8.5禁止使用不合格的材料和工程设备</w:t>
      </w:r>
      <w:bookmarkEnd w:id="424"/>
      <w:bookmarkEnd w:id="425"/>
    </w:p>
    <w:p w14:paraId="0FEE2355">
      <w:pPr>
        <w:pStyle w:val="79"/>
        <w:snapToGrid w:val="0"/>
        <w:rPr>
          <w:rFonts w:hint="eastAsia" w:cs="宋体"/>
          <w:color w:val="auto"/>
          <w:sz w:val="21"/>
          <w:highlight w:val="none"/>
        </w:rPr>
      </w:pPr>
      <w:r>
        <w:rPr>
          <w:rFonts w:hint="eastAsia" w:cs="宋体"/>
          <w:color w:val="auto"/>
          <w:sz w:val="21"/>
          <w:highlight w:val="none"/>
        </w:rPr>
        <w:t>8.5.1监理人有权拒绝承包人提供的不合格材料或工程设备，并要求承包人立即进行更换。监理人应在更换后再次进行检查和检验，由此增加的费用和（或）延误的工期由承包人承担。</w:t>
      </w:r>
    </w:p>
    <w:p w14:paraId="3DCE26E8">
      <w:pPr>
        <w:pStyle w:val="79"/>
        <w:rPr>
          <w:rFonts w:hint="eastAsia" w:cs="宋体"/>
          <w:color w:val="auto"/>
          <w:sz w:val="21"/>
          <w:highlight w:val="none"/>
        </w:rPr>
      </w:pPr>
      <w:r>
        <w:rPr>
          <w:rFonts w:hint="eastAsia" w:cs="宋体"/>
          <w:color w:val="auto"/>
          <w:sz w:val="21"/>
          <w:highlight w:val="none"/>
        </w:rPr>
        <w:t>8.5.2监理人发现承包人使用了不合格的材料和工程设备，承包人应按照监理人的指示立即改正，并禁止在工程中继续使用不合格的材料和工程设备。</w:t>
      </w:r>
    </w:p>
    <w:p w14:paraId="28B76082">
      <w:pPr>
        <w:pStyle w:val="79"/>
        <w:rPr>
          <w:rFonts w:hint="eastAsia" w:cs="宋体"/>
          <w:color w:val="auto"/>
          <w:sz w:val="21"/>
          <w:highlight w:val="none"/>
        </w:rPr>
      </w:pPr>
      <w:r>
        <w:rPr>
          <w:rFonts w:hint="eastAsia" w:cs="宋体"/>
          <w:color w:val="auto"/>
          <w:sz w:val="21"/>
          <w:highlight w:val="none"/>
        </w:rPr>
        <w:t>8.5.3发包人提供的材料或工程设备不符合合同要求的，承包人有权拒绝，并可要求发包人更换，由此增加的费用和（或）延误的工期由发包人承担，并支付承包人合理的利润。</w:t>
      </w:r>
    </w:p>
    <w:p w14:paraId="1DFE26FB">
      <w:pPr>
        <w:pStyle w:val="321"/>
        <w:rPr>
          <w:rFonts w:hint="eastAsia" w:ascii="宋体" w:cs="宋体"/>
          <w:color w:val="auto"/>
          <w:highlight w:val="none"/>
        </w:rPr>
      </w:pPr>
      <w:bookmarkStart w:id="426" w:name="_Toc351203558"/>
      <w:bookmarkStart w:id="427" w:name="_Toc478389096"/>
      <w:r>
        <w:rPr>
          <w:rFonts w:hint="eastAsia" w:ascii="宋体" w:cs="宋体"/>
          <w:color w:val="auto"/>
          <w:highlight w:val="none"/>
        </w:rPr>
        <w:t>8.6 样品</w:t>
      </w:r>
      <w:bookmarkEnd w:id="426"/>
      <w:bookmarkEnd w:id="427"/>
    </w:p>
    <w:p w14:paraId="3A2A3729">
      <w:pPr>
        <w:pStyle w:val="79"/>
        <w:rPr>
          <w:rFonts w:hint="eastAsia" w:cs="宋体"/>
          <w:color w:val="auto"/>
          <w:sz w:val="21"/>
          <w:highlight w:val="none"/>
        </w:rPr>
      </w:pPr>
      <w:r>
        <w:rPr>
          <w:rFonts w:hint="eastAsia" w:cs="宋体"/>
          <w:color w:val="auto"/>
          <w:sz w:val="21"/>
          <w:highlight w:val="none"/>
        </w:rPr>
        <w:t>8.6.1样品的报送与封存</w:t>
      </w:r>
    </w:p>
    <w:p w14:paraId="009300C8">
      <w:pPr>
        <w:pStyle w:val="79"/>
        <w:rPr>
          <w:rFonts w:hint="eastAsia" w:cs="宋体"/>
          <w:color w:val="auto"/>
          <w:sz w:val="21"/>
          <w:highlight w:val="none"/>
        </w:rPr>
      </w:pPr>
      <w:r>
        <w:rPr>
          <w:rFonts w:hint="eastAsia" w:cs="宋体"/>
          <w:color w:val="auto"/>
          <w:sz w:val="21"/>
          <w:highlight w:val="none"/>
        </w:rPr>
        <w:t>需要承包人报送样品的材料或工程设备，样品的种类、名称、规格、数量等要求均应在专用合同条款中约定。样品的报送程序如下：</w:t>
      </w:r>
    </w:p>
    <w:p w14:paraId="2291A6D0">
      <w:pPr>
        <w:pStyle w:val="79"/>
        <w:rPr>
          <w:rFonts w:hint="eastAsia" w:cs="宋体"/>
          <w:color w:val="auto"/>
          <w:sz w:val="21"/>
          <w:highlight w:val="none"/>
        </w:rPr>
      </w:pPr>
      <w:r>
        <w:rPr>
          <w:rFonts w:hint="eastAsia" w:cs="宋体"/>
          <w:color w:val="auto"/>
          <w:sz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8B94F35">
      <w:pPr>
        <w:pStyle w:val="79"/>
        <w:rPr>
          <w:rFonts w:hint="eastAsia" w:cs="宋体"/>
          <w:color w:val="auto"/>
          <w:sz w:val="21"/>
          <w:highlight w:val="none"/>
        </w:rPr>
      </w:pPr>
      <w:r>
        <w:rPr>
          <w:rFonts w:hint="eastAsia" w:cs="宋体"/>
          <w:color w:val="auto"/>
          <w:sz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8207AD6">
      <w:pPr>
        <w:pStyle w:val="79"/>
        <w:rPr>
          <w:rFonts w:hint="eastAsia" w:cs="宋体"/>
          <w:color w:val="auto"/>
          <w:sz w:val="21"/>
          <w:highlight w:val="none"/>
        </w:rPr>
      </w:pPr>
      <w:r>
        <w:rPr>
          <w:rFonts w:hint="eastAsia" w:cs="宋体"/>
          <w:color w:val="auto"/>
          <w:sz w:val="21"/>
          <w:highlight w:val="none"/>
        </w:rPr>
        <w:t>（3）经发包人和监理人审批确认的样品应按约定的方法封样，封存的样品作为检验工程相关部分的标准之一。承包人在施工过程中不得使用与样品不符的材料或工程设备。</w:t>
      </w:r>
    </w:p>
    <w:p w14:paraId="611525FA">
      <w:pPr>
        <w:pStyle w:val="79"/>
        <w:rPr>
          <w:rFonts w:hint="eastAsia" w:cs="宋体"/>
          <w:color w:val="auto"/>
          <w:sz w:val="21"/>
          <w:highlight w:val="none"/>
        </w:rPr>
      </w:pPr>
      <w:r>
        <w:rPr>
          <w:rFonts w:hint="eastAsia" w:cs="宋体"/>
          <w:color w:val="auto"/>
          <w:sz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035ED78B">
      <w:pPr>
        <w:pStyle w:val="79"/>
        <w:rPr>
          <w:rFonts w:hint="eastAsia" w:cs="宋体"/>
          <w:color w:val="auto"/>
          <w:sz w:val="21"/>
          <w:highlight w:val="none"/>
        </w:rPr>
      </w:pPr>
      <w:r>
        <w:rPr>
          <w:rFonts w:hint="eastAsia" w:cs="宋体"/>
          <w:color w:val="auto"/>
          <w:sz w:val="21"/>
          <w:highlight w:val="none"/>
        </w:rPr>
        <w:t>8.6.2 样品的保管</w:t>
      </w:r>
    </w:p>
    <w:p w14:paraId="687F9C4D">
      <w:pPr>
        <w:pStyle w:val="79"/>
        <w:rPr>
          <w:rFonts w:hint="eastAsia" w:cs="宋体"/>
          <w:color w:val="auto"/>
          <w:sz w:val="21"/>
          <w:highlight w:val="none"/>
        </w:rPr>
      </w:pPr>
      <w:r>
        <w:rPr>
          <w:rFonts w:hint="eastAsia" w:cs="宋体"/>
          <w:color w:val="auto"/>
          <w:sz w:val="21"/>
          <w:highlight w:val="none"/>
        </w:rPr>
        <w:t>经批准的样品应由监理人负责封存于现场，承包人应在现场为保存样品提供适当和固定的场所并保持适当和良好的存储环境条件。</w:t>
      </w:r>
    </w:p>
    <w:p w14:paraId="029C27A5">
      <w:pPr>
        <w:pStyle w:val="321"/>
        <w:rPr>
          <w:rFonts w:hint="eastAsia" w:ascii="宋体" w:cs="宋体"/>
          <w:color w:val="auto"/>
          <w:highlight w:val="none"/>
        </w:rPr>
      </w:pPr>
      <w:bookmarkStart w:id="428" w:name="_Toc351203559"/>
      <w:bookmarkStart w:id="429" w:name="_Toc478389097"/>
      <w:r>
        <w:rPr>
          <w:rFonts w:hint="eastAsia" w:ascii="宋体" w:cs="宋体"/>
          <w:color w:val="auto"/>
          <w:highlight w:val="none"/>
        </w:rPr>
        <w:t>8.7材料与工程设备的替代</w:t>
      </w:r>
      <w:bookmarkEnd w:id="428"/>
      <w:bookmarkEnd w:id="429"/>
    </w:p>
    <w:p w14:paraId="3BA9871C">
      <w:pPr>
        <w:pStyle w:val="79"/>
        <w:rPr>
          <w:rFonts w:hint="eastAsia" w:cs="宋体"/>
          <w:color w:val="auto"/>
          <w:sz w:val="21"/>
          <w:highlight w:val="none"/>
        </w:rPr>
      </w:pPr>
      <w:r>
        <w:rPr>
          <w:rFonts w:hint="eastAsia" w:cs="宋体"/>
          <w:color w:val="auto"/>
          <w:sz w:val="21"/>
          <w:highlight w:val="none"/>
        </w:rPr>
        <w:t>8.7.1出现下列情况需要使用替代材料和工程设备的，承包人应按照第8.7.2项约定的程序执行：</w:t>
      </w:r>
    </w:p>
    <w:p w14:paraId="71B1106B">
      <w:pPr>
        <w:pStyle w:val="79"/>
        <w:rPr>
          <w:rFonts w:hint="eastAsia" w:cs="宋体"/>
          <w:color w:val="auto"/>
          <w:sz w:val="21"/>
          <w:highlight w:val="none"/>
        </w:rPr>
      </w:pPr>
      <w:r>
        <w:rPr>
          <w:rFonts w:hint="eastAsia" w:cs="宋体"/>
          <w:color w:val="auto"/>
          <w:sz w:val="21"/>
          <w:highlight w:val="none"/>
        </w:rPr>
        <w:t>（1）基准日期后生效的法律规定禁止使用的；</w:t>
      </w:r>
    </w:p>
    <w:p w14:paraId="30CFC226">
      <w:pPr>
        <w:pStyle w:val="79"/>
        <w:rPr>
          <w:rFonts w:hint="eastAsia" w:cs="宋体"/>
          <w:color w:val="auto"/>
          <w:sz w:val="21"/>
          <w:highlight w:val="none"/>
        </w:rPr>
      </w:pPr>
      <w:r>
        <w:rPr>
          <w:rFonts w:hint="eastAsia" w:cs="宋体"/>
          <w:color w:val="auto"/>
          <w:sz w:val="21"/>
          <w:highlight w:val="none"/>
        </w:rPr>
        <w:t>（2）发包人要求使用替代品的；</w:t>
      </w:r>
    </w:p>
    <w:p w14:paraId="2D57E739">
      <w:pPr>
        <w:pStyle w:val="79"/>
        <w:rPr>
          <w:rFonts w:hint="eastAsia" w:cs="宋体"/>
          <w:color w:val="auto"/>
          <w:sz w:val="21"/>
          <w:highlight w:val="none"/>
        </w:rPr>
      </w:pPr>
      <w:r>
        <w:rPr>
          <w:rFonts w:hint="eastAsia" w:cs="宋体"/>
          <w:color w:val="auto"/>
          <w:sz w:val="21"/>
          <w:highlight w:val="none"/>
        </w:rPr>
        <w:t>（3）因其他原因必须使用替代品的。</w:t>
      </w:r>
    </w:p>
    <w:p w14:paraId="204E511F">
      <w:pPr>
        <w:pStyle w:val="79"/>
        <w:rPr>
          <w:rFonts w:hint="eastAsia" w:cs="宋体"/>
          <w:color w:val="auto"/>
          <w:sz w:val="21"/>
          <w:highlight w:val="none"/>
        </w:rPr>
      </w:pPr>
      <w:r>
        <w:rPr>
          <w:rFonts w:hint="eastAsia" w:cs="宋体"/>
          <w:color w:val="auto"/>
          <w:sz w:val="21"/>
          <w:highlight w:val="none"/>
        </w:rPr>
        <w:t>8.7.2 承包人应在使用替代材料和工程设备28天前书面通知监理人，并附下列文件：</w:t>
      </w:r>
    </w:p>
    <w:p w14:paraId="778ADCD0">
      <w:pPr>
        <w:pStyle w:val="79"/>
        <w:rPr>
          <w:rFonts w:hint="eastAsia" w:cs="宋体"/>
          <w:color w:val="auto"/>
          <w:sz w:val="21"/>
          <w:highlight w:val="none"/>
        </w:rPr>
      </w:pPr>
      <w:r>
        <w:rPr>
          <w:rFonts w:hint="eastAsia" w:cs="宋体"/>
          <w:color w:val="auto"/>
          <w:sz w:val="21"/>
          <w:highlight w:val="none"/>
        </w:rPr>
        <w:t>（1）被替代的材料和工程设备的名称、数量、规格、型号、品牌、性能、价格及其他相关资料；</w:t>
      </w:r>
    </w:p>
    <w:p w14:paraId="25460D80">
      <w:pPr>
        <w:pStyle w:val="79"/>
        <w:rPr>
          <w:rFonts w:hint="eastAsia" w:cs="宋体"/>
          <w:color w:val="auto"/>
          <w:sz w:val="21"/>
          <w:highlight w:val="none"/>
        </w:rPr>
      </w:pPr>
      <w:r>
        <w:rPr>
          <w:rFonts w:hint="eastAsia" w:cs="宋体"/>
          <w:color w:val="auto"/>
          <w:sz w:val="21"/>
          <w:highlight w:val="none"/>
        </w:rPr>
        <w:t>（2）替代品的名称、数量、规格、型号、品牌、性能、价格及其他相关资料；</w:t>
      </w:r>
    </w:p>
    <w:p w14:paraId="0B80BDBF">
      <w:pPr>
        <w:pStyle w:val="79"/>
        <w:rPr>
          <w:rFonts w:hint="eastAsia" w:cs="宋体"/>
          <w:color w:val="auto"/>
          <w:sz w:val="21"/>
          <w:highlight w:val="none"/>
        </w:rPr>
      </w:pPr>
      <w:r>
        <w:rPr>
          <w:rFonts w:hint="eastAsia" w:cs="宋体"/>
          <w:color w:val="auto"/>
          <w:sz w:val="21"/>
          <w:highlight w:val="none"/>
        </w:rPr>
        <w:t>（3）替代品与被替代产品之间的差异以及使用替代品可能对工程产生的影响；</w:t>
      </w:r>
    </w:p>
    <w:p w14:paraId="64FBFE7C">
      <w:pPr>
        <w:pStyle w:val="79"/>
        <w:rPr>
          <w:rFonts w:hint="eastAsia" w:cs="宋体"/>
          <w:color w:val="auto"/>
          <w:sz w:val="21"/>
          <w:highlight w:val="none"/>
        </w:rPr>
      </w:pPr>
      <w:r>
        <w:rPr>
          <w:rFonts w:hint="eastAsia" w:cs="宋体"/>
          <w:color w:val="auto"/>
          <w:sz w:val="21"/>
          <w:highlight w:val="none"/>
        </w:rPr>
        <w:t>（4）替代品与被替代产品的价格差异；</w:t>
      </w:r>
    </w:p>
    <w:p w14:paraId="325EBA6F">
      <w:pPr>
        <w:pStyle w:val="79"/>
        <w:rPr>
          <w:rFonts w:hint="eastAsia" w:cs="宋体"/>
          <w:color w:val="auto"/>
          <w:sz w:val="21"/>
          <w:highlight w:val="none"/>
        </w:rPr>
      </w:pPr>
      <w:r>
        <w:rPr>
          <w:rFonts w:hint="eastAsia" w:cs="宋体"/>
          <w:color w:val="auto"/>
          <w:sz w:val="21"/>
          <w:highlight w:val="none"/>
        </w:rPr>
        <w:t>（5）使用替代品的理由和原因说明；</w:t>
      </w:r>
    </w:p>
    <w:p w14:paraId="7722F090">
      <w:pPr>
        <w:pStyle w:val="79"/>
        <w:rPr>
          <w:rFonts w:hint="eastAsia" w:cs="宋体"/>
          <w:color w:val="auto"/>
          <w:sz w:val="21"/>
          <w:highlight w:val="none"/>
        </w:rPr>
      </w:pPr>
      <w:r>
        <w:rPr>
          <w:rFonts w:hint="eastAsia" w:cs="宋体"/>
          <w:color w:val="auto"/>
          <w:sz w:val="21"/>
          <w:highlight w:val="none"/>
        </w:rPr>
        <w:t>（6）监理人要求的其他文件。</w:t>
      </w:r>
    </w:p>
    <w:p w14:paraId="1273C604">
      <w:pPr>
        <w:pStyle w:val="79"/>
        <w:rPr>
          <w:rFonts w:hint="eastAsia" w:cs="宋体"/>
          <w:color w:val="auto"/>
          <w:sz w:val="21"/>
          <w:highlight w:val="none"/>
        </w:rPr>
      </w:pPr>
      <w:r>
        <w:rPr>
          <w:rFonts w:hint="eastAsia" w:cs="宋体"/>
          <w:color w:val="auto"/>
          <w:sz w:val="21"/>
          <w:highlight w:val="none"/>
        </w:rPr>
        <w:t>监理人应在收到通知后14天内向承包人发出经发包人签认的书面指示；监理人逾期发出书面指示的，视为发包人和监理人同意使用替代品。</w:t>
      </w:r>
    </w:p>
    <w:p w14:paraId="7E804B1C">
      <w:pPr>
        <w:pStyle w:val="79"/>
        <w:rPr>
          <w:rFonts w:hint="eastAsia" w:cs="宋体"/>
          <w:color w:val="auto"/>
          <w:sz w:val="21"/>
          <w:highlight w:val="none"/>
        </w:rPr>
      </w:pPr>
      <w:r>
        <w:rPr>
          <w:rFonts w:hint="eastAsia" w:cs="宋体"/>
          <w:color w:val="auto"/>
          <w:sz w:val="21"/>
          <w:highlight w:val="none"/>
        </w:rPr>
        <w:t>8.7.3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1ACE7233">
      <w:pPr>
        <w:pStyle w:val="321"/>
        <w:rPr>
          <w:rFonts w:hint="eastAsia" w:ascii="宋体" w:cs="宋体"/>
          <w:color w:val="auto"/>
          <w:highlight w:val="none"/>
        </w:rPr>
      </w:pPr>
      <w:bookmarkStart w:id="430" w:name="_Toc351203560"/>
      <w:bookmarkStart w:id="431" w:name="_Toc478389098"/>
      <w:r>
        <w:rPr>
          <w:rFonts w:hint="eastAsia" w:ascii="宋体" w:cs="宋体"/>
          <w:color w:val="auto"/>
          <w:highlight w:val="none"/>
        </w:rPr>
        <w:t>8.8施工设备和临时设施</w:t>
      </w:r>
      <w:bookmarkEnd w:id="430"/>
      <w:bookmarkEnd w:id="431"/>
    </w:p>
    <w:p w14:paraId="7CFFE045">
      <w:pPr>
        <w:pStyle w:val="79"/>
        <w:rPr>
          <w:rFonts w:hint="eastAsia" w:cs="宋体"/>
          <w:color w:val="auto"/>
          <w:sz w:val="21"/>
          <w:highlight w:val="none"/>
        </w:rPr>
      </w:pPr>
      <w:r>
        <w:rPr>
          <w:rFonts w:hint="eastAsia" w:cs="宋体"/>
          <w:color w:val="auto"/>
          <w:sz w:val="21"/>
          <w:highlight w:val="none"/>
        </w:rPr>
        <w:t>8.8.1 承包人提供的施工设备和临时设施</w:t>
      </w:r>
    </w:p>
    <w:p w14:paraId="7F4BBDC9">
      <w:pPr>
        <w:pStyle w:val="79"/>
        <w:rPr>
          <w:rFonts w:hint="eastAsia" w:cs="宋体"/>
          <w:color w:val="auto"/>
          <w:sz w:val="21"/>
          <w:highlight w:val="none"/>
        </w:rPr>
      </w:pPr>
      <w:r>
        <w:rPr>
          <w:rFonts w:hint="eastAsia" w:cs="宋体"/>
          <w:color w:val="auto"/>
          <w:sz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17BCB8A4">
      <w:pPr>
        <w:pStyle w:val="79"/>
        <w:rPr>
          <w:rFonts w:hint="eastAsia" w:cs="宋体"/>
          <w:color w:val="auto"/>
          <w:sz w:val="21"/>
          <w:highlight w:val="none"/>
        </w:rPr>
      </w:pPr>
      <w:r>
        <w:rPr>
          <w:rFonts w:hint="eastAsia" w:cs="宋体"/>
          <w:color w:val="auto"/>
          <w:sz w:val="21"/>
          <w:highlight w:val="none"/>
        </w:rPr>
        <w:t>除专用合同条款另有约定外，承包人应自行承担修建临时设施的费用，需要临时占地的，应由发包人办理申请手续并承担相应费用。</w:t>
      </w:r>
    </w:p>
    <w:p w14:paraId="3E041F5B">
      <w:pPr>
        <w:pStyle w:val="79"/>
        <w:rPr>
          <w:rFonts w:hint="eastAsia" w:cs="宋体"/>
          <w:color w:val="auto"/>
          <w:sz w:val="21"/>
          <w:highlight w:val="none"/>
        </w:rPr>
      </w:pPr>
      <w:r>
        <w:rPr>
          <w:rFonts w:hint="eastAsia" w:cs="宋体"/>
          <w:color w:val="auto"/>
          <w:sz w:val="21"/>
          <w:highlight w:val="none"/>
        </w:rPr>
        <w:t>8.8.2发包人提供的施工设备和临时设施</w:t>
      </w:r>
    </w:p>
    <w:p w14:paraId="3F33AD3E">
      <w:pPr>
        <w:pStyle w:val="79"/>
        <w:rPr>
          <w:rFonts w:hint="eastAsia" w:cs="宋体"/>
          <w:color w:val="auto"/>
          <w:sz w:val="21"/>
          <w:highlight w:val="none"/>
        </w:rPr>
      </w:pPr>
      <w:r>
        <w:rPr>
          <w:rFonts w:hint="eastAsia" w:cs="宋体"/>
          <w:color w:val="auto"/>
          <w:sz w:val="21"/>
          <w:highlight w:val="none"/>
        </w:rPr>
        <w:t>发包人提供的施工设备或临时设施在专用合同条款中约定。</w:t>
      </w:r>
    </w:p>
    <w:p w14:paraId="3C89EC6E">
      <w:pPr>
        <w:pStyle w:val="79"/>
        <w:rPr>
          <w:rFonts w:hint="eastAsia" w:cs="宋体"/>
          <w:color w:val="auto"/>
          <w:sz w:val="21"/>
          <w:highlight w:val="none"/>
        </w:rPr>
      </w:pPr>
      <w:r>
        <w:rPr>
          <w:rFonts w:hint="eastAsia" w:cs="宋体"/>
          <w:color w:val="auto"/>
          <w:sz w:val="21"/>
          <w:highlight w:val="none"/>
        </w:rPr>
        <w:t>8.8.3要求承包人增加或更换施工设备</w:t>
      </w:r>
    </w:p>
    <w:p w14:paraId="124007B0">
      <w:pPr>
        <w:pStyle w:val="79"/>
        <w:rPr>
          <w:rFonts w:hint="eastAsia" w:cs="宋体"/>
          <w:color w:val="auto"/>
          <w:sz w:val="21"/>
          <w:highlight w:val="none"/>
        </w:rPr>
      </w:pPr>
      <w:r>
        <w:rPr>
          <w:rFonts w:hint="eastAsia" w:cs="宋体"/>
          <w:color w:val="auto"/>
          <w:sz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3D73A89B">
      <w:pPr>
        <w:pStyle w:val="321"/>
        <w:rPr>
          <w:rFonts w:hint="eastAsia" w:ascii="宋体" w:cs="宋体"/>
          <w:color w:val="auto"/>
          <w:highlight w:val="none"/>
        </w:rPr>
      </w:pPr>
      <w:bookmarkStart w:id="432" w:name="_Toc351203561"/>
      <w:bookmarkStart w:id="433" w:name="_Toc478389099"/>
      <w:r>
        <w:rPr>
          <w:rFonts w:hint="eastAsia" w:ascii="宋体" w:cs="宋体"/>
          <w:color w:val="auto"/>
          <w:highlight w:val="none"/>
        </w:rPr>
        <w:t>8</w:t>
      </w:r>
      <w:bookmarkStart w:id="434" w:name="_Toc337558781"/>
      <w:bookmarkStart w:id="435" w:name="_Toc296346564"/>
      <w:bookmarkStart w:id="436" w:name="_Toc296503063"/>
      <w:r>
        <w:rPr>
          <w:rFonts w:hint="eastAsia" w:ascii="宋体" w:cs="宋体"/>
          <w:color w:val="auto"/>
          <w:highlight w:val="none"/>
        </w:rPr>
        <w:t>.9材料与设备专用</w:t>
      </w:r>
      <w:bookmarkEnd w:id="432"/>
      <w:r>
        <w:rPr>
          <w:rFonts w:hint="eastAsia" w:ascii="宋体" w:cs="宋体"/>
          <w:color w:val="auto"/>
          <w:highlight w:val="none"/>
        </w:rPr>
        <w:t>要求</w:t>
      </w:r>
      <w:bookmarkEnd w:id="433"/>
    </w:p>
    <w:bookmarkEnd w:id="434"/>
    <w:bookmarkEnd w:id="435"/>
    <w:bookmarkEnd w:id="436"/>
    <w:p w14:paraId="19180898">
      <w:pPr>
        <w:pStyle w:val="79"/>
        <w:rPr>
          <w:rFonts w:hint="eastAsia" w:cs="宋体"/>
          <w:color w:val="auto"/>
          <w:sz w:val="21"/>
          <w:highlight w:val="none"/>
        </w:rPr>
      </w:pPr>
      <w:r>
        <w:rPr>
          <w:rFonts w:hint="eastAsia" w:cs="宋体"/>
          <w:color w:val="auto"/>
          <w:sz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407"/>
      <w:r>
        <w:rPr>
          <w:rFonts w:hint="eastAsia" w:cs="宋体"/>
          <w:color w:val="auto"/>
          <w:sz w:val="21"/>
          <w:highlight w:val="none"/>
        </w:rPr>
        <w:t>经发包人批准，承包人可以根据施工进度计划撤走闲置的施工设备和其他物品。</w:t>
      </w:r>
    </w:p>
    <w:p w14:paraId="4A0E713B">
      <w:pPr>
        <w:pStyle w:val="321"/>
        <w:rPr>
          <w:rFonts w:hint="eastAsia" w:ascii="宋体" w:cs="宋体"/>
          <w:color w:val="auto"/>
          <w:highlight w:val="none"/>
        </w:rPr>
      </w:pPr>
      <w:bookmarkStart w:id="437" w:name="_Toc351203562"/>
      <w:bookmarkStart w:id="438" w:name="_Toc478389100"/>
      <w:r>
        <w:rPr>
          <w:rFonts w:hint="eastAsia" w:ascii="宋体" w:cs="宋体"/>
          <w:color w:val="auto"/>
          <w:highlight w:val="none"/>
        </w:rPr>
        <w:t>9</w:t>
      </w:r>
      <w:bookmarkStart w:id="439" w:name="_Toc337558782"/>
      <w:bookmarkStart w:id="440" w:name="_Toc296346584"/>
      <w:bookmarkStart w:id="441" w:name="_Toc296503083"/>
      <w:r>
        <w:rPr>
          <w:rFonts w:hint="eastAsia" w:ascii="宋体" w:cs="宋体"/>
          <w:color w:val="auto"/>
          <w:highlight w:val="none"/>
        </w:rPr>
        <w:t>. 试验与检验</w:t>
      </w:r>
      <w:bookmarkEnd w:id="437"/>
      <w:bookmarkEnd w:id="438"/>
    </w:p>
    <w:bookmarkEnd w:id="439"/>
    <w:p w14:paraId="271ABF40">
      <w:pPr>
        <w:pStyle w:val="321"/>
        <w:rPr>
          <w:rFonts w:hint="eastAsia" w:ascii="宋体" w:cs="宋体"/>
          <w:color w:val="auto"/>
          <w:highlight w:val="none"/>
        </w:rPr>
      </w:pPr>
      <w:bookmarkStart w:id="442" w:name="_Toc478389101"/>
      <w:bookmarkStart w:id="443" w:name="_Toc351203563"/>
      <w:r>
        <w:rPr>
          <w:rFonts w:hint="eastAsia" w:ascii="宋体" w:cs="宋体"/>
          <w:color w:val="auto"/>
          <w:highlight w:val="none"/>
        </w:rPr>
        <w:t>9</w:t>
      </w:r>
      <w:bookmarkStart w:id="444" w:name="_Toc337558783"/>
      <w:r>
        <w:rPr>
          <w:rFonts w:hint="eastAsia" w:ascii="宋体" w:cs="宋体"/>
          <w:color w:val="auto"/>
          <w:highlight w:val="none"/>
        </w:rPr>
        <w:t>.1试验设备与试验人员</w:t>
      </w:r>
      <w:bookmarkEnd w:id="442"/>
      <w:bookmarkEnd w:id="443"/>
    </w:p>
    <w:bookmarkEnd w:id="444"/>
    <w:p w14:paraId="4827B36C">
      <w:pPr>
        <w:pStyle w:val="79"/>
        <w:rPr>
          <w:rFonts w:hint="eastAsia" w:cs="宋体"/>
          <w:color w:val="auto"/>
          <w:sz w:val="21"/>
          <w:highlight w:val="none"/>
        </w:rPr>
      </w:pPr>
      <w:r>
        <w:rPr>
          <w:rFonts w:hint="eastAsia" w:cs="宋体"/>
          <w:color w:val="auto"/>
          <w:sz w:val="21"/>
          <w:highlight w:val="none"/>
        </w:rPr>
        <w:t>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61B006A">
      <w:pPr>
        <w:pStyle w:val="79"/>
        <w:rPr>
          <w:rFonts w:hint="eastAsia" w:cs="宋体"/>
          <w:color w:val="auto"/>
          <w:sz w:val="21"/>
          <w:highlight w:val="none"/>
        </w:rPr>
      </w:pPr>
      <w:r>
        <w:rPr>
          <w:rFonts w:hint="eastAsia" w:cs="宋体"/>
          <w:color w:val="auto"/>
          <w:sz w:val="21"/>
          <w:highlight w:val="none"/>
        </w:rPr>
        <w:t>9.1.2承包人应按专用合同条款的约定提供试验设备、取样装置、试验场所和试验条件，并向监理人提交相应进场计划表。</w:t>
      </w:r>
    </w:p>
    <w:p w14:paraId="44EBB59A">
      <w:pPr>
        <w:pStyle w:val="79"/>
        <w:rPr>
          <w:rFonts w:hint="eastAsia" w:cs="宋体"/>
          <w:color w:val="auto"/>
          <w:sz w:val="21"/>
          <w:highlight w:val="none"/>
        </w:rPr>
      </w:pPr>
      <w:r>
        <w:rPr>
          <w:rFonts w:hint="eastAsia" w:cs="宋体"/>
          <w:color w:val="auto"/>
          <w:sz w:val="21"/>
          <w:highlight w:val="none"/>
        </w:rPr>
        <w:t>承包人配置的试验设备要符合相应试验规程的要求并经过具有资质的检测单位检测，且在正式使用该试验设备前，需要经过监理人与承包人共同校定。</w:t>
      </w:r>
    </w:p>
    <w:p w14:paraId="21A2BFA5">
      <w:pPr>
        <w:pStyle w:val="79"/>
        <w:rPr>
          <w:rFonts w:hint="eastAsia" w:cs="宋体"/>
          <w:color w:val="auto"/>
          <w:sz w:val="21"/>
          <w:highlight w:val="none"/>
        </w:rPr>
      </w:pPr>
      <w:r>
        <w:rPr>
          <w:rFonts w:hint="eastAsia" w:cs="宋体"/>
          <w:color w:val="auto"/>
          <w:sz w:val="21"/>
          <w:highlight w:val="none"/>
        </w:rPr>
        <w:t>9.1.3承包人应向监理人提交试验人员的名单及其岗位、资格等证明资料，试验人员必须能够熟练进行相应的检测试验，承包人对试验人员的试验程序和试验结果的正确性负责。</w:t>
      </w:r>
    </w:p>
    <w:p w14:paraId="7B9EE997">
      <w:pPr>
        <w:pStyle w:val="321"/>
        <w:rPr>
          <w:rFonts w:hint="eastAsia" w:ascii="宋体" w:cs="宋体"/>
          <w:color w:val="auto"/>
          <w:highlight w:val="none"/>
        </w:rPr>
      </w:pPr>
      <w:bookmarkStart w:id="445" w:name="_Toc478389102"/>
      <w:bookmarkStart w:id="446" w:name="_Toc351203564"/>
      <w:r>
        <w:rPr>
          <w:rFonts w:hint="eastAsia" w:ascii="宋体" w:cs="宋体"/>
          <w:color w:val="auto"/>
          <w:highlight w:val="none"/>
        </w:rPr>
        <w:t>9</w:t>
      </w:r>
      <w:bookmarkStart w:id="447" w:name="_Toc337558784"/>
      <w:r>
        <w:rPr>
          <w:rFonts w:hint="eastAsia" w:ascii="宋体" w:cs="宋体"/>
          <w:color w:val="auto"/>
          <w:highlight w:val="none"/>
        </w:rPr>
        <w:t>.2取样</w:t>
      </w:r>
      <w:bookmarkEnd w:id="445"/>
      <w:bookmarkEnd w:id="446"/>
    </w:p>
    <w:bookmarkEnd w:id="447"/>
    <w:p w14:paraId="1A743F18">
      <w:pPr>
        <w:pStyle w:val="79"/>
        <w:rPr>
          <w:rFonts w:hint="eastAsia" w:cs="宋体"/>
          <w:color w:val="auto"/>
          <w:sz w:val="21"/>
          <w:highlight w:val="none"/>
        </w:rPr>
      </w:pPr>
      <w:r>
        <w:rPr>
          <w:rFonts w:hint="eastAsia" w:cs="宋体"/>
          <w:color w:val="auto"/>
          <w:sz w:val="21"/>
          <w:highlight w:val="none"/>
        </w:rPr>
        <w:t>试验属于自检性质的，承包人可以单独取样。试验属于监理人抽检性质的，可由监理人取样，也可由承包人的试验人员在监理人的监督下取样。</w:t>
      </w:r>
    </w:p>
    <w:p w14:paraId="78A52B4C">
      <w:pPr>
        <w:pStyle w:val="321"/>
        <w:rPr>
          <w:rFonts w:hint="eastAsia" w:ascii="宋体" w:cs="宋体"/>
          <w:color w:val="auto"/>
          <w:highlight w:val="none"/>
        </w:rPr>
      </w:pPr>
      <w:bookmarkStart w:id="448" w:name="_Toc351203565"/>
      <w:bookmarkStart w:id="449" w:name="_Toc478389103"/>
      <w:r>
        <w:rPr>
          <w:rFonts w:hint="eastAsia" w:ascii="宋体" w:cs="宋体"/>
          <w:color w:val="auto"/>
          <w:highlight w:val="none"/>
        </w:rPr>
        <w:t>9</w:t>
      </w:r>
      <w:bookmarkStart w:id="450" w:name="_Toc337558785"/>
      <w:r>
        <w:rPr>
          <w:rFonts w:hint="eastAsia" w:ascii="宋体" w:cs="宋体"/>
          <w:color w:val="auto"/>
          <w:highlight w:val="none"/>
        </w:rPr>
        <w:t>.3材料、工程设备和工程的试验和检验</w:t>
      </w:r>
      <w:bookmarkEnd w:id="448"/>
      <w:bookmarkEnd w:id="449"/>
    </w:p>
    <w:bookmarkEnd w:id="450"/>
    <w:p w14:paraId="737AE98F">
      <w:pPr>
        <w:pStyle w:val="79"/>
        <w:rPr>
          <w:rFonts w:hint="eastAsia" w:cs="宋体"/>
          <w:color w:val="auto"/>
          <w:sz w:val="21"/>
          <w:highlight w:val="none"/>
        </w:rPr>
      </w:pPr>
      <w:r>
        <w:rPr>
          <w:rFonts w:hint="eastAsia" w:cs="宋体"/>
          <w:color w:val="auto"/>
          <w:sz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D5F02F7">
      <w:pPr>
        <w:pStyle w:val="79"/>
        <w:rPr>
          <w:rFonts w:hint="eastAsia" w:cs="宋体"/>
          <w:color w:val="auto"/>
          <w:sz w:val="21"/>
          <w:highlight w:val="none"/>
        </w:rPr>
      </w:pPr>
      <w:r>
        <w:rPr>
          <w:rFonts w:hint="eastAsia" w:cs="宋体"/>
          <w:color w:val="auto"/>
          <w:sz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101ACD9">
      <w:pPr>
        <w:pStyle w:val="79"/>
        <w:rPr>
          <w:rFonts w:hint="eastAsia" w:cs="宋体"/>
          <w:color w:val="auto"/>
          <w:sz w:val="21"/>
          <w:highlight w:val="none"/>
        </w:rPr>
      </w:pPr>
      <w:r>
        <w:rPr>
          <w:rFonts w:hint="eastAsia" w:cs="宋体"/>
          <w:color w:val="auto"/>
          <w:sz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850E8FB">
      <w:pPr>
        <w:pStyle w:val="321"/>
        <w:rPr>
          <w:rFonts w:hint="eastAsia" w:ascii="宋体" w:cs="宋体"/>
          <w:color w:val="auto"/>
          <w:highlight w:val="none"/>
        </w:rPr>
      </w:pPr>
      <w:bookmarkStart w:id="451" w:name="_Toc478389104"/>
      <w:bookmarkStart w:id="452" w:name="_Toc351203566"/>
      <w:r>
        <w:rPr>
          <w:rFonts w:hint="eastAsia" w:ascii="宋体" w:cs="宋体"/>
          <w:color w:val="auto"/>
          <w:highlight w:val="none"/>
        </w:rPr>
        <w:t>9</w:t>
      </w:r>
      <w:bookmarkStart w:id="453" w:name="_Toc337558786"/>
      <w:r>
        <w:rPr>
          <w:rFonts w:hint="eastAsia" w:ascii="宋体" w:cs="宋体"/>
          <w:color w:val="auto"/>
          <w:highlight w:val="none"/>
        </w:rPr>
        <w:t>.4现场工艺试验</w:t>
      </w:r>
      <w:bookmarkEnd w:id="451"/>
      <w:bookmarkEnd w:id="452"/>
    </w:p>
    <w:bookmarkEnd w:id="453"/>
    <w:p w14:paraId="6306D174">
      <w:pPr>
        <w:pStyle w:val="79"/>
        <w:rPr>
          <w:rFonts w:hint="eastAsia" w:cs="宋体"/>
          <w:color w:val="auto"/>
          <w:sz w:val="21"/>
          <w:highlight w:val="none"/>
        </w:rPr>
      </w:pPr>
      <w:r>
        <w:rPr>
          <w:rFonts w:hint="eastAsia" w:cs="宋体"/>
          <w:color w:val="auto"/>
          <w:sz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179E3B0A">
      <w:pPr>
        <w:pStyle w:val="321"/>
        <w:rPr>
          <w:rFonts w:hint="eastAsia" w:ascii="宋体" w:cs="宋体"/>
          <w:color w:val="auto"/>
          <w:highlight w:val="none"/>
        </w:rPr>
      </w:pPr>
      <w:bookmarkStart w:id="454" w:name="_Toc478389105"/>
      <w:bookmarkStart w:id="455" w:name="_Toc351203567"/>
      <w:r>
        <w:rPr>
          <w:rFonts w:hint="eastAsia" w:ascii="宋体" w:cs="宋体"/>
          <w:color w:val="auto"/>
          <w:highlight w:val="none"/>
        </w:rPr>
        <w:t>1</w:t>
      </w:r>
      <w:bookmarkStart w:id="456" w:name="_Toc337558787"/>
      <w:r>
        <w:rPr>
          <w:rFonts w:hint="eastAsia" w:ascii="宋体" w:cs="宋体"/>
          <w:color w:val="auto"/>
          <w:highlight w:val="none"/>
        </w:rPr>
        <w:t>0. 变更</w:t>
      </w:r>
      <w:bookmarkEnd w:id="440"/>
      <w:bookmarkEnd w:id="441"/>
      <w:bookmarkEnd w:id="454"/>
      <w:bookmarkEnd w:id="455"/>
    </w:p>
    <w:bookmarkEnd w:id="456"/>
    <w:p w14:paraId="2C4BB7B0">
      <w:pPr>
        <w:pStyle w:val="321"/>
        <w:rPr>
          <w:rFonts w:hint="eastAsia" w:ascii="宋体" w:cs="宋体"/>
          <w:color w:val="auto"/>
          <w:highlight w:val="none"/>
        </w:rPr>
      </w:pPr>
      <w:bookmarkStart w:id="457" w:name="_Toc478389106"/>
      <w:bookmarkStart w:id="458" w:name="_Toc351203568"/>
      <w:r>
        <w:rPr>
          <w:rFonts w:hint="eastAsia" w:ascii="宋体" w:cs="宋体"/>
          <w:color w:val="auto"/>
          <w:highlight w:val="none"/>
        </w:rPr>
        <w:t>1</w:t>
      </w:r>
      <w:bookmarkStart w:id="459" w:name="_Toc296346585"/>
      <w:bookmarkStart w:id="460" w:name="_Toc337558788"/>
      <w:bookmarkStart w:id="461" w:name="_Toc296503084"/>
      <w:r>
        <w:rPr>
          <w:rFonts w:hint="eastAsia" w:ascii="宋体" w:cs="宋体"/>
          <w:color w:val="auto"/>
          <w:highlight w:val="none"/>
        </w:rPr>
        <w:t>0.1变更的范围</w:t>
      </w:r>
      <w:bookmarkEnd w:id="457"/>
      <w:bookmarkEnd w:id="458"/>
    </w:p>
    <w:bookmarkEnd w:id="459"/>
    <w:bookmarkEnd w:id="460"/>
    <w:bookmarkEnd w:id="461"/>
    <w:p w14:paraId="6FD2B898">
      <w:pPr>
        <w:pStyle w:val="79"/>
        <w:rPr>
          <w:rFonts w:hint="eastAsia" w:cs="宋体"/>
          <w:color w:val="auto"/>
          <w:sz w:val="21"/>
          <w:highlight w:val="none"/>
        </w:rPr>
      </w:pPr>
      <w:r>
        <w:rPr>
          <w:rFonts w:hint="eastAsia" w:cs="宋体"/>
          <w:color w:val="auto"/>
          <w:sz w:val="21"/>
          <w:highlight w:val="none"/>
        </w:rPr>
        <w:t>除专用合同条款另有约定外，合同履行过程中发生以下情形的，应按照本条约定进行变更：</w:t>
      </w:r>
    </w:p>
    <w:p w14:paraId="0200A160">
      <w:pPr>
        <w:pStyle w:val="79"/>
        <w:rPr>
          <w:rFonts w:hint="eastAsia" w:cs="宋体"/>
          <w:color w:val="auto"/>
          <w:sz w:val="21"/>
          <w:highlight w:val="none"/>
        </w:rPr>
      </w:pPr>
      <w:r>
        <w:rPr>
          <w:rFonts w:hint="eastAsia" w:cs="宋体"/>
          <w:color w:val="auto"/>
          <w:sz w:val="21"/>
          <w:highlight w:val="none"/>
        </w:rPr>
        <w:t>（1）增加或减少合同中任何工作，或追加额外的工作；</w:t>
      </w:r>
    </w:p>
    <w:p w14:paraId="6D3B809E">
      <w:pPr>
        <w:pStyle w:val="79"/>
        <w:rPr>
          <w:rFonts w:hint="eastAsia" w:cs="宋体"/>
          <w:color w:val="auto"/>
          <w:sz w:val="21"/>
          <w:highlight w:val="none"/>
        </w:rPr>
      </w:pPr>
      <w:r>
        <w:rPr>
          <w:rFonts w:hint="eastAsia" w:cs="宋体"/>
          <w:color w:val="auto"/>
          <w:sz w:val="21"/>
          <w:highlight w:val="none"/>
        </w:rPr>
        <w:t>（2）取消合同中任何工作，但转由他人实施的工作除外；</w:t>
      </w:r>
    </w:p>
    <w:p w14:paraId="1EC215B4">
      <w:pPr>
        <w:pStyle w:val="79"/>
        <w:rPr>
          <w:rFonts w:hint="eastAsia" w:cs="宋体"/>
          <w:color w:val="auto"/>
          <w:sz w:val="21"/>
          <w:highlight w:val="none"/>
        </w:rPr>
      </w:pPr>
      <w:r>
        <w:rPr>
          <w:rFonts w:hint="eastAsia" w:cs="宋体"/>
          <w:color w:val="auto"/>
          <w:sz w:val="21"/>
          <w:highlight w:val="none"/>
        </w:rPr>
        <w:t>（3）改变合同中任何工作的质量标准或其他特性；</w:t>
      </w:r>
    </w:p>
    <w:p w14:paraId="16C75EF4">
      <w:pPr>
        <w:pStyle w:val="79"/>
        <w:rPr>
          <w:rFonts w:hint="eastAsia" w:cs="宋体"/>
          <w:color w:val="auto"/>
          <w:sz w:val="21"/>
          <w:highlight w:val="none"/>
        </w:rPr>
      </w:pPr>
      <w:r>
        <w:rPr>
          <w:rFonts w:hint="eastAsia" w:cs="宋体"/>
          <w:color w:val="auto"/>
          <w:sz w:val="21"/>
          <w:highlight w:val="none"/>
        </w:rPr>
        <w:t>（4）改变工程的基线、标高、位置和尺寸；</w:t>
      </w:r>
    </w:p>
    <w:p w14:paraId="799271D5">
      <w:pPr>
        <w:pStyle w:val="79"/>
        <w:rPr>
          <w:rFonts w:hint="eastAsia" w:cs="宋体"/>
          <w:color w:val="auto"/>
          <w:sz w:val="21"/>
          <w:highlight w:val="none"/>
        </w:rPr>
      </w:pPr>
      <w:r>
        <w:rPr>
          <w:rFonts w:hint="eastAsia" w:cs="宋体"/>
          <w:color w:val="auto"/>
          <w:sz w:val="21"/>
          <w:highlight w:val="none"/>
        </w:rPr>
        <w:t>（5）改变工程的时间安排或实施顺序。</w:t>
      </w:r>
    </w:p>
    <w:p w14:paraId="0225E541">
      <w:pPr>
        <w:pStyle w:val="321"/>
        <w:rPr>
          <w:rFonts w:hint="eastAsia" w:ascii="宋体" w:cs="宋体"/>
          <w:color w:val="auto"/>
          <w:highlight w:val="none"/>
        </w:rPr>
      </w:pPr>
      <w:bookmarkStart w:id="462" w:name="_Toc478389107"/>
      <w:bookmarkStart w:id="463" w:name="_Toc351203569"/>
      <w:r>
        <w:rPr>
          <w:rFonts w:hint="eastAsia" w:ascii="宋体" w:cs="宋体"/>
          <w:color w:val="auto"/>
          <w:highlight w:val="none"/>
        </w:rPr>
        <w:t>1</w:t>
      </w:r>
      <w:bookmarkStart w:id="464" w:name="_Toc296503085"/>
      <w:bookmarkStart w:id="465" w:name="_Toc296346586"/>
      <w:bookmarkStart w:id="466" w:name="_Toc337558789"/>
      <w:r>
        <w:rPr>
          <w:rFonts w:hint="eastAsia" w:ascii="宋体" w:cs="宋体"/>
          <w:color w:val="auto"/>
          <w:highlight w:val="none"/>
        </w:rPr>
        <w:t>0.2变更权</w:t>
      </w:r>
      <w:bookmarkEnd w:id="462"/>
      <w:bookmarkEnd w:id="463"/>
    </w:p>
    <w:bookmarkEnd w:id="464"/>
    <w:bookmarkEnd w:id="465"/>
    <w:bookmarkEnd w:id="466"/>
    <w:p w14:paraId="02D89F3F">
      <w:pPr>
        <w:pStyle w:val="79"/>
        <w:rPr>
          <w:rFonts w:hint="eastAsia" w:cs="宋体"/>
          <w:color w:val="auto"/>
          <w:sz w:val="21"/>
          <w:highlight w:val="none"/>
        </w:rPr>
      </w:pPr>
      <w:r>
        <w:rPr>
          <w:rFonts w:hint="eastAsia" w:cs="宋体"/>
          <w:color w:val="auto"/>
          <w:sz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B61E2F2">
      <w:pPr>
        <w:pStyle w:val="79"/>
        <w:rPr>
          <w:rFonts w:hint="eastAsia" w:cs="宋体"/>
          <w:color w:val="auto"/>
          <w:sz w:val="21"/>
          <w:highlight w:val="none"/>
        </w:rPr>
      </w:pPr>
      <w:r>
        <w:rPr>
          <w:rFonts w:hint="eastAsia" w:cs="宋体"/>
          <w:color w:val="auto"/>
          <w:sz w:val="21"/>
          <w:highlight w:val="none"/>
        </w:rPr>
        <w:t>涉及设计变更的，应由设计人提供变更后的图纸和说明。如变更超过原设计标准或批准的建设规模时，发包人应及时办理规划、设计变更等审批手续。</w:t>
      </w:r>
    </w:p>
    <w:p w14:paraId="054C2B17">
      <w:pPr>
        <w:pStyle w:val="321"/>
        <w:rPr>
          <w:rFonts w:hint="eastAsia" w:ascii="宋体" w:cs="宋体"/>
          <w:color w:val="auto"/>
          <w:highlight w:val="none"/>
        </w:rPr>
      </w:pPr>
      <w:bookmarkStart w:id="467" w:name="_Toc351203570"/>
      <w:bookmarkStart w:id="468" w:name="_Toc478389108"/>
      <w:r>
        <w:rPr>
          <w:rFonts w:hint="eastAsia" w:ascii="宋体" w:cs="宋体"/>
          <w:color w:val="auto"/>
          <w:highlight w:val="none"/>
        </w:rPr>
        <w:t>1</w:t>
      </w:r>
      <w:bookmarkStart w:id="469" w:name="_Toc296503086"/>
      <w:bookmarkStart w:id="470" w:name="_Toc296346587"/>
      <w:bookmarkStart w:id="471" w:name="_Toc337558790"/>
      <w:r>
        <w:rPr>
          <w:rFonts w:hint="eastAsia" w:ascii="宋体" w:cs="宋体"/>
          <w:color w:val="auto"/>
          <w:highlight w:val="none"/>
        </w:rPr>
        <w:t>0.3变更程序</w:t>
      </w:r>
      <w:bookmarkEnd w:id="467"/>
      <w:bookmarkEnd w:id="468"/>
    </w:p>
    <w:bookmarkEnd w:id="469"/>
    <w:bookmarkEnd w:id="470"/>
    <w:bookmarkEnd w:id="471"/>
    <w:p w14:paraId="561DC0A2">
      <w:pPr>
        <w:pStyle w:val="79"/>
        <w:rPr>
          <w:rFonts w:hint="eastAsia" w:cs="宋体"/>
          <w:color w:val="auto"/>
          <w:sz w:val="21"/>
          <w:highlight w:val="none"/>
        </w:rPr>
      </w:pPr>
      <w:r>
        <w:rPr>
          <w:rFonts w:hint="eastAsia" w:cs="宋体"/>
          <w:color w:val="auto"/>
          <w:sz w:val="21"/>
          <w:highlight w:val="none"/>
        </w:rPr>
        <w:t>10.3.1 发包人提出变更</w:t>
      </w:r>
    </w:p>
    <w:p w14:paraId="4E73F84B">
      <w:pPr>
        <w:pStyle w:val="79"/>
        <w:rPr>
          <w:rFonts w:hint="eastAsia" w:cs="宋体"/>
          <w:color w:val="auto"/>
          <w:sz w:val="21"/>
          <w:highlight w:val="none"/>
        </w:rPr>
      </w:pPr>
      <w:r>
        <w:rPr>
          <w:rFonts w:hint="eastAsia" w:cs="宋体"/>
          <w:color w:val="auto"/>
          <w:sz w:val="21"/>
          <w:highlight w:val="none"/>
        </w:rPr>
        <w:t>发包人提出变更的，应通过监理人向承包人发出变更指示，变更指示应说明计划变更的工程范围和变更的内容。</w:t>
      </w:r>
    </w:p>
    <w:p w14:paraId="52092F3C">
      <w:pPr>
        <w:pStyle w:val="79"/>
        <w:rPr>
          <w:rFonts w:hint="eastAsia" w:cs="宋体"/>
          <w:color w:val="auto"/>
          <w:sz w:val="21"/>
          <w:highlight w:val="none"/>
        </w:rPr>
      </w:pPr>
      <w:r>
        <w:rPr>
          <w:rFonts w:hint="eastAsia" w:cs="宋体"/>
          <w:color w:val="auto"/>
          <w:sz w:val="21"/>
          <w:highlight w:val="none"/>
        </w:rPr>
        <w:t>10.3.2 监理人提出变更建议</w:t>
      </w:r>
    </w:p>
    <w:p w14:paraId="4565F068">
      <w:pPr>
        <w:pStyle w:val="79"/>
        <w:rPr>
          <w:rFonts w:hint="eastAsia" w:cs="宋体"/>
          <w:color w:val="auto"/>
          <w:sz w:val="21"/>
          <w:highlight w:val="none"/>
        </w:rPr>
      </w:pPr>
      <w:r>
        <w:rPr>
          <w:rFonts w:hint="eastAsia" w:cs="宋体"/>
          <w:color w:val="auto"/>
          <w:sz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2C496ED">
      <w:pPr>
        <w:pStyle w:val="79"/>
        <w:rPr>
          <w:rFonts w:hint="eastAsia" w:cs="宋体"/>
          <w:color w:val="auto"/>
          <w:sz w:val="21"/>
          <w:highlight w:val="none"/>
        </w:rPr>
      </w:pPr>
      <w:r>
        <w:rPr>
          <w:rFonts w:hint="eastAsia" w:cs="宋体"/>
          <w:color w:val="auto"/>
          <w:sz w:val="21"/>
          <w:highlight w:val="none"/>
        </w:rPr>
        <w:t>10.3.3 变更执行</w:t>
      </w:r>
    </w:p>
    <w:p w14:paraId="7ADEF76F">
      <w:pPr>
        <w:pStyle w:val="79"/>
        <w:rPr>
          <w:rFonts w:hint="eastAsia" w:cs="宋体"/>
          <w:color w:val="auto"/>
          <w:sz w:val="21"/>
          <w:highlight w:val="none"/>
        </w:rPr>
      </w:pPr>
      <w:r>
        <w:rPr>
          <w:rFonts w:hint="eastAsia" w:cs="宋体"/>
          <w:color w:val="auto"/>
          <w:sz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56C7488C">
      <w:pPr>
        <w:pStyle w:val="321"/>
        <w:rPr>
          <w:rFonts w:hint="eastAsia" w:ascii="宋体" w:cs="宋体"/>
          <w:color w:val="auto"/>
          <w:highlight w:val="none"/>
        </w:rPr>
      </w:pPr>
      <w:bookmarkStart w:id="472" w:name="_Toc478389109"/>
      <w:bookmarkStart w:id="473" w:name="_Toc351203571"/>
      <w:r>
        <w:rPr>
          <w:rFonts w:hint="eastAsia" w:ascii="宋体" w:cs="宋体"/>
          <w:color w:val="auto"/>
          <w:highlight w:val="none"/>
        </w:rPr>
        <w:t>1</w:t>
      </w:r>
      <w:bookmarkStart w:id="474" w:name="_Toc296503087"/>
      <w:bookmarkStart w:id="475" w:name="_Toc296346588"/>
      <w:bookmarkStart w:id="476" w:name="_Toc337558791"/>
      <w:r>
        <w:rPr>
          <w:rFonts w:hint="eastAsia" w:ascii="宋体" w:cs="宋体"/>
          <w:color w:val="auto"/>
          <w:highlight w:val="none"/>
        </w:rPr>
        <w:t>0.4变更估价</w:t>
      </w:r>
      <w:bookmarkEnd w:id="472"/>
      <w:bookmarkEnd w:id="473"/>
    </w:p>
    <w:bookmarkEnd w:id="474"/>
    <w:bookmarkEnd w:id="475"/>
    <w:bookmarkEnd w:id="476"/>
    <w:p w14:paraId="3636FA00">
      <w:pPr>
        <w:pStyle w:val="79"/>
        <w:rPr>
          <w:rFonts w:hint="eastAsia" w:cs="宋体"/>
          <w:color w:val="auto"/>
          <w:sz w:val="21"/>
          <w:highlight w:val="none"/>
        </w:rPr>
      </w:pPr>
      <w:r>
        <w:rPr>
          <w:rFonts w:hint="eastAsia" w:cs="宋体"/>
          <w:color w:val="auto"/>
          <w:sz w:val="21"/>
          <w:highlight w:val="none"/>
        </w:rPr>
        <w:t>10.4.1 变更估价原则</w:t>
      </w:r>
    </w:p>
    <w:p w14:paraId="7621B55A">
      <w:pPr>
        <w:pStyle w:val="79"/>
        <w:rPr>
          <w:rFonts w:hint="eastAsia" w:cs="宋体"/>
          <w:color w:val="auto"/>
          <w:sz w:val="21"/>
          <w:highlight w:val="none"/>
        </w:rPr>
      </w:pPr>
      <w:r>
        <w:rPr>
          <w:rFonts w:hint="eastAsia" w:cs="宋体"/>
          <w:color w:val="auto"/>
          <w:sz w:val="21"/>
          <w:highlight w:val="none"/>
        </w:rPr>
        <w:t>除专用合同条款另有约定外，变更估价按照本款约定处理：</w:t>
      </w:r>
    </w:p>
    <w:p w14:paraId="0637385B">
      <w:pPr>
        <w:pStyle w:val="79"/>
        <w:rPr>
          <w:rFonts w:hint="eastAsia" w:cs="宋体"/>
          <w:color w:val="auto"/>
          <w:sz w:val="21"/>
          <w:highlight w:val="none"/>
        </w:rPr>
      </w:pPr>
      <w:r>
        <w:rPr>
          <w:rFonts w:hint="eastAsia" w:cs="宋体"/>
          <w:color w:val="auto"/>
          <w:sz w:val="21"/>
          <w:highlight w:val="none"/>
        </w:rPr>
        <w:t>（1）已标价工程量清单或预算书有相同项目的，按照相同项目单价认定；</w:t>
      </w:r>
    </w:p>
    <w:p w14:paraId="0F79BBE0">
      <w:pPr>
        <w:pStyle w:val="79"/>
        <w:rPr>
          <w:rFonts w:hint="eastAsia" w:cs="宋体"/>
          <w:color w:val="auto"/>
          <w:sz w:val="21"/>
          <w:highlight w:val="none"/>
        </w:rPr>
      </w:pPr>
      <w:r>
        <w:rPr>
          <w:rFonts w:hint="eastAsia" w:cs="宋体"/>
          <w:color w:val="auto"/>
          <w:sz w:val="21"/>
          <w:highlight w:val="none"/>
        </w:rPr>
        <w:t>（2）已标价工程量清单或预算书中无相同项目，但有类似项目的，参照类似项目的单价认定；</w:t>
      </w:r>
    </w:p>
    <w:p w14:paraId="4C29386C">
      <w:pPr>
        <w:pStyle w:val="79"/>
        <w:rPr>
          <w:rFonts w:hint="eastAsia" w:cs="宋体"/>
          <w:color w:val="auto"/>
          <w:sz w:val="21"/>
          <w:highlight w:val="none"/>
        </w:rPr>
      </w:pPr>
      <w:r>
        <w:rPr>
          <w:rFonts w:hint="eastAsia" w:cs="宋体"/>
          <w:color w:val="auto"/>
          <w:sz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64665BFA">
      <w:pPr>
        <w:pStyle w:val="79"/>
        <w:rPr>
          <w:rFonts w:hint="eastAsia" w:cs="宋体"/>
          <w:color w:val="auto"/>
          <w:sz w:val="21"/>
          <w:highlight w:val="none"/>
        </w:rPr>
      </w:pPr>
      <w:r>
        <w:rPr>
          <w:rFonts w:hint="eastAsia" w:cs="宋体"/>
          <w:color w:val="auto"/>
          <w:sz w:val="21"/>
          <w:highlight w:val="none"/>
        </w:rPr>
        <w:t>10.4.2 变更估价程序</w:t>
      </w:r>
    </w:p>
    <w:p w14:paraId="45E3705E">
      <w:pPr>
        <w:pStyle w:val="79"/>
        <w:rPr>
          <w:rFonts w:hint="eastAsia" w:cs="宋体"/>
          <w:color w:val="auto"/>
          <w:sz w:val="21"/>
          <w:highlight w:val="none"/>
        </w:rPr>
      </w:pPr>
      <w:r>
        <w:rPr>
          <w:rFonts w:hint="eastAsia" w:cs="宋体"/>
          <w:color w:val="auto"/>
          <w:sz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415AAB3A">
      <w:pPr>
        <w:pStyle w:val="79"/>
        <w:rPr>
          <w:rFonts w:hint="eastAsia" w:cs="宋体"/>
          <w:color w:val="auto"/>
          <w:sz w:val="21"/>
          <w:highlight w:val="none"/>
        </w:rPr>
      </w:pPr>
      <w:r>
        <w:rPr>
          <w:rFonts w:hint="eastAsia" w:cs="宋体"/>
          <w:color w:val="auto"/>
          <w:sz w:val="21"/>
          <w:highlight w:val="none"/>
        </w:rPr>
        <w:t>因变更引起的价格调整应计入最近一期的进度款中支付。</w:t>
      </w:r>
    </w:p>
    <w:p w14:paraId="4E67AB2F">
      <w:pPr>
        <w:pStyle w:val="321"/>
        <w:rPr>
          <w:rFonts w:hint="eastAsia" w:ascii="宋体" w:cs="宋体"/>
          <w:color w:val="auto"/>
          <w:highlight w:val="none"/>
        </w:rPr>
      </w:pPr>
      <w:bookmarkStart w:id="477" w:name="_Toc351203572"/>
      <w:bookmarkStart w:id="478" w:name="_Toc478389110"/>
      <w:r>
        <w:rPr>
          <w:rFonts w:hint="eastAsia" w:ascii="宋体" w:cs="宋体"/>
          <w:color w:val="auto"/>
          <w:highlight w:val="none"/>
        </w:rPr>
        <w:t>1</w:t>
      </w:r>
      <w:bookmarkStart w:id="479" w:name="_Toc337558792"/>
      <w:bookmarkStart w:id="480" w:name="_Toc296346595"/>
      <w:bookmarkStart w:id="481" w:name="_Toc296503094"/>
      <w:r>
        <w:rPr>
          <w:rFonts w:hint="eastAsia" w:ascii="宋体" w:cs="宋体"/>
          <w:color w:val="auto"/>
          <w:highlight w:val="none"/>
        </w:rPr>
        <w:t>0.5承包人的合理化建议</w:t>
      </w:r>
      <w:bookmarkEnd w:id="477"/>
      <w:bookmarkEnd w:id="478"/>
    </w:p>
    <w:bookmarkEnd w:id="479"/>
    <w:bookmarkEnd w:id="480"/>
    <w:bookmarkEnd w:id="481"/>
    <w:p w14:paraId="7A1EFF1D">
      <w:pPr>
        <w:pStyle w:val="79"/>
        <w:rPr>
          <w:rFonts w:hint="eastAsia" w:cs="宋体"/>
          <w:color w:val="auto"/>
          <w:sz w:val="21"/>
          <w:highlight w:val="none"/>
        </w:rPr>
      </w:pPr>
      <w:r>
        <w:rPr>
          <w:rFonts w:hint="eastAsia" w:cs="宋体"/>
          <w:color w:val="auto"/>
          <w:sz w:val="21"/>
          <w:highlight w:val="none"/>
        </w:rPr>
        <w:t>承包人提出合理化建议的，应向监理人提交合理化建议说明，说明建议的内容和理由，以及实施该建议对合同价格和工期的影响。</w:t>
      </w:r>
    </w:p>
    <w:p w14:paraId="122E01F6">
      <w:pPr>
        <w:pStyle w:val="79"/>
        <w:rPr>
          <w:rFonts w:hint="eastAsia" w:cs="宋体"/>
          <w:color w:val="auto"/>
          <w:sz w:val="21"/>
          <w:highlight w:val="none"/>
        </w:rPr>
      </w:pPr>
      <w:r>
        <w:rPr>
          <w:rFonts w:hint="eastAsia" w:cs="宋体"/>
          <w:color w:val="auto"/>
          <w:sz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A0DE8C0">
      <w:pPr>
        <w:pStyle w:val="79"/>
        <w:rPr>
          <w:rFonts w:hint="eastAsia" w:cs="宋体"/>
          <w:color w:val="auto"/>
          <w:sz w:val="21"/>
          <w:highlight w:val="none"/>
        </w:rPr>
      </w:pPr>
      <w:r>
        <w:rPr>
          <w:rFonts w:hint="eastAsia" w:cs="宋体"/>
          <w:color w:val="auto"/>
          <w:sz w:val="21"/>
          <w:highlight w:val="none"/>
        </w:rPr>
        <w:t>合理化建议降低了合同价格或者提高了工程经济效益的，发包人可对承包人给予奖励，奖励的方法和金额在专用合同条款中约定。</w:t>
      </w:r>
    </w:p>
    <w:p w14:paraId="52A6D1EF">
      <w:pPr>
        <w:pStyle w:val="321"/>
        <w:rPr>
          <w:rFonts w:hint="eastAsia" w:ascii="宋体" w:cs="宋体"/>
          <w:color w:val="auto"/>
          <w:highlight w:val="none"/>
        </w:rPr>
      </w:pPr>
      <w:bookmarkStart w:id="482" w:name="_Toc351203573"/>
      <w:bookmarkStart w:id="483" w:name="_Toc478389111"/>
      <w:r>
        <w:rPr>
          <w:rFonts w:hint="eastAsia" w:ascii="宋体" w:cs="宋体"/>
          <w:color w:val="auto"/>
          <w:highlight w:val="none"/>
        </w:rPr>
        <w:t>1</w:t>
      </w:r>
      <w:bookmarkStart w:id="484" w:name="_Toc337558793"/>
      <w:r>
        <w:rPr>
          <w:rFonts w:hint="eastAsia" w:ascii="宋体" w:cs="宋体"/>
          <w:color w:val="auto"/>
          <w:highlight w:val="none"/>
        </w:rPr>
        <w:t>0.6变更引起的工期调整</w:t>
      </w:r>
      <w:bookmarkEnd w:id="482"/>
      <w:bookmarkEnd w:id="483"/>
      <w:bookmarkEnd w:id="484"/>
    </w:p>
    <w:p w14:paraId="64D0A2E7">
      <w:pPr>
        <w:pStyle w:val="79"/>
        <w:rPr>
          <w:rFonts w:hint="eastAsia" w:cs="宋体"/>
          <w:color w:val="auto"/>
          <w:sz w:val="21"/>
          <w:highlight w:val="none"/>
        </w:rPr>
      </w:pPr>
      <w:r>
        <w:rPr>
          <w:rFonts w:hint="eastAsia" w:cs="宋体"/>
          <w:color w:val="auto"/>
          <w:sz w:val="21"/>
          <w:highlight w:val="none"/>
        </w:rPr>
        <w:t>因变更引起工期变化的，合同当事人均可要求调整合同工期，由合同当事人按照第4.4款〔商定或确定〕并参考工程所在地的工期定额标准确定增减工期天数。</w:t>
      </w:r>
    </w:p>
    <w:p w14:paraId="33065308">
      <w:pPr>
        <w:pStyle w:val="321"/>
        <w:rPr>
          <w:rFonts w:hint="eastAsia" w:ascii="宋体" w:cs="宋体"/>
          <w:color w:val="auto"/>
          <w:highlight w:val="none"/>
        </w:rPr>
      </w:pPr>
      <w:bookmarkStart w:id="485" w:name="_Toc478389112"/>
      <w:bookmarkStart w:id="486" w:name="_Toc351203574"/>
      <w:r>
        <w:rPr>
          <w:rFonts w:hint="eastAsia" w:ascii="宋体" w:cs="宋体"/>
          <w:color w:val="auto"/>
          <w:highlight w:val="none"/>
        </w:rPr>
        <w:t>10.7暂估价</w:t>
      </w:r>
      <w:bookmarkEnd w:id="485"/>
      <w:bookmarkEnd w:id="486"/>
    </w:p>
    <w:p w14:paraId="14AC2EF4">
      <w:pPr>
        <w:pStyle w:val="79"/>
        <w:rPr>
          <w:rFonts w:hint="eastAsia" w:cs="宋体"/>
          <w:color w:val="auto"/>
          <w:sz w:val="21"/>
          <w:highlight w:val="none"/>
        </w:rPr>
      </w:pPr>
      <w:r>
        <w:rPr>
          <w:rFonts w:hint="eastAsia" w:cs="宋体"/>
          <w:color w:val="auto"/>
          <w:sz w:val="21"/>
          <w:highlight w:val="none"/>
        </w:rPr>
        <w:t>暂估价专业分包工程、服务、材料和工程设备的明细由合同当事人在专用合同条款中约定。</w:t>
      </w:r>
    </w:p>
    <w:p w14:paraId="2C920056">
      <w:pPr>
        <w:pStyle w:val="79"/>
        <w:outlineLvl w:val="0"/>
        <w:rPr>
          <w:rFonts w:hint="eastAsia" w:cs="宋体"/>
          <w:color w:val="auto"/>
          <w:sz w:val="21"/>
          <w:highlight w:val="none"/>
        </w:rPr>
      </w:pPr>
      <w:bookmarkStart w:id="487" w:name="_Toc478389113"/>
      <w:r>
        <w:rPr>
          <w:rFonts w:hint="eastAsia" w:cs="宋体"/>
          <w:color w:val="auto"/>
          <w:sz w:val="21"/>
          <w:highlight w:val="none"/>
        </w:rPr>
        <w:t>10.7.1 依法必须招标的暂估价项目</w:t>
      </w:r>
      <w:bookmarkEnd w:id="487"/>
    </w:p>
    <w:p w14:paraId="7823B7D5">
      <w:pPr>
        <w:pStyle w:val="79"/>
        <w:rPr>
          <w:rFonts w:hint="eastAsia" w:cs="宋体"/>
          <w:color w:val="auto"/>
          <w:sz w:val="21"/>
          <w:highlight w:val="none"/>
        </w:rPr>
      </w:pPr>
      <w:r>
        <w:rPr>
          <w:rFonts w:hint="eastAsia" w:cs="宋体"/>
          <w:color w:val="auto"/>
          <w:sz w:val="21"/>
          <w:highlight w:val="none"/>
        </w:rPr>
        <w:t>对于依法必须招标的暂估价项目，采取以下第1种方式确定。合同当事人也可以在专用合同条款中选择其他招标方式。</w:t>
      </w:r>
    </w:p>
    <w:p w14:paraId="0D50695B">
      <w:pPr>
        <w:pStyle w:val="79"/>
        <w:rPr>
          <w:rFonts w:hint="eastAsia" w:cs="宋体"/>
          <w:color w:val="auto"/>
          <w:sz w:val="21"/>
          <w:highlight w:val="none"/>
        </w:rPr>
      </w:pPr>
      <w:r>
        <w:rPr>
          <w:rFonts w:hint="eastAsia" w:cs="宋体"/>
          <w:color w:val="auto"/>
          <w:sz w:val="21"/>
          <w:highlight w:val="none"/>
        </w:rPr>
        <w:t>第1种方式：对于依法必须招标的暂估价项目，由承包人招标，对该暂估价项目的确认和批准按照以下约定执行：</w:t>
      </w:r>
    </w:p>
    <w:p w14:paraId="60E68F04">
      <w:pPr>
        <w:pStyle w:val="79"/>
        <w:rPr>
          <w:rFonts w:hint="eastAsia" w:cs="宋体"/>
          <w:color w:val="auto"/>
          <w:sz w:val="21"/>
          <w:highlight w:val="none"/>
        </w:rPr>
      </w:pPr>
      <w:r>
        <w:rPr>
          <w:rFonts w:hint="eastAsia" w:cs="宋体"/>
          <w:color w:val="auto"/>
          <w:sz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80966D2">
      <w:pPr>
        <w:pStyle w:val="79"/>
        <w:rPr>
          <w:rFonts w:hint="eastAsia" w:cs="宋体"/>
          <w:color w:val="auto"/>
          <w:sz w:val="21"/>
          <w:highlight w:val="none"/>
        </w:rPr>
      </w:pPr>
      <w:r>
        <w:rPr>
          <w:rFonts w:hint="eastAsia" w:cs="宋体"/>
          <w:color w:val="auto"/>
          <w:sz w:val="21"/>
          <w:highlight w:val="none"/>
        </w:rPr>
        <w:t>（2）承包人应当根据施工进度计划，提前14天将采购文件通过监理人报送发包人审批，发包人应当在收到承包人报送的相关文件后7天内完成审批或提出修改意见；发包人有权确定最高投标限价并按照法律规定参加评标；</w:t>
      </w:r>
    </w:p>
    <w:p w14:paraId="6BBA3C03">
      <w:pPr>
        <w:pStyle w:val="79"/>
        <w:rPr>
          <w:rFonts w:hint="eastAsia" w:cs="宋体"/>
          <w:color w:val="auto"/>
          <w:sz w:val="21"/>
          <w:highlight w:val="none"/>
        </w:rPr>
      </w:pPr>
      <w:r>
        <w:rPr>
          <w:rFonts w:hint="eastAsia" w:cs="宋体"/>
          <w:color w:val="auto"/>
          <w:sz w:val="21"/>
          <w:highlight w:val="none"/>
        </w:rPr>
        <w:t>（3）承包人与供应商、分包人在签订暂估价合同前，应当提前7天将确定的成交候选人或成交候选分包人的资料报送发包人，发包人应在收到资料后3天内与承包人共同确定成交供应商；承包人应当在签订合同后7天内，将暂估价合同副本报送发包人留存。</w:t>
      </w:r>
    </w:p>
    <w:p w14:paraId="629D21FE">
      <w:pPr>
        <w:pStyle w:val="79"/>
        <w:rPr>
          <w:rFonts w:hint="eastAsia" w:cs="宋体"/>
          <w:color w:val="auto"/>
          <w:sz w:val="21"/>
          <w:highlight w:val="none"/>
        </w:rPr>
      </w:pPr>
      <w:r>
        <w:rPr>
          <w:rFonts w:hint="eastAsia" w:cs="宋体"/>
          <w:color w:val="auto"/>
          <w:sz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成交供应商后，由发包人、承包人与成交供应商共同签订暂估价合同。</w:t>
      </w:r>
    </w:p>
    <w:p w14:paraId="412E047C">
      <w:pPr>
        <w:pStyle w:val="79"/>
        <w:rPr>
          <w:rFonts w:hint="eastAsia" w:cs="宋体"/>
          <w:color w:val="auto"/>
          <w:sz w:val="21"/>
          <w:highlight w:val="none"/>
        </w:rPr>
      </w:pPr>
      <w:r>
        <w:rPr>
          <w:rFonts w:hint="eastAsia" w:cs="宋体"/>
          <w:color w:val="auto"/>
          <w:sz w:val="21"/>
          <w:highlight w:val="none"/>
        </w:rPr>
        <w:t>10.7.2不属于依法必须招标的暂估价项目</w:t>
      </w:r>
    </w:p>
    <w:p w14:paraId="1D6EE284">
      <w:pPr>
        <w:pStyle w:val="79"/>
        <w:rPr>
          <w:rFonts w:hint="eastAsia" w:cs="宋体"/>
          <w:color w:val="auto"/>
          <w:sz w:val="21"/>
          <w:highlight w:val="none"/>
        </w:rPr>
      </w:pPr>
      <w:r>
        <w:rPr>
          <w:rFonts w:hint="eastAsia" w:cs="宋体"/>
          <w:color w:val="auto"/>
          <w:sz w:val="21"/>
          <w:highlight w:val="none"/>
        </w:rPr>
        <w:t xml:space="preserve">除专用合同条款另有约定外，对于不属于依法必须招标的暂估价项目，采取以下第1种方式确定： </w:t>
      </w:r>
    </w:p>
    <w:p w14:paraId="41F490C9">
      <w:pPr>
        <w:pStyle w:val="79"/>
        <w:rPr>
          <w:rFonts w:hint="eastAsia" w:cs="宋体"/>
          <w:color w:val="auto"/>
          <w:sz w:val="21"/>
          <w:highlight w:val="none"/>
        </w:rPr>
      </w:pPr>
      <w:r>
        <w:rPr>
          <w:rFonts w:hint="eastAsia" w:cs="宋体"/>
          <w:color w:val="auto"/>
          <w:sz w:val="21"/>
          <w:highlight w:val="none"/>
        </w:rPr>
        <w:t>第1种方式：对于不属于依法必须招标的暂估价项目，按本项约定确认和批准：</w:t>
      </w:r>
    </w:p>
    <w:p w14:paraId="5E6336A6">
      <w:pPr>
        <w:pStyle w:val="79"/>
        <w:rPr>
          <w:rFonts w:hint="eastAsia" w:cs="宋体"/>
          <w:color w:val="auto"/>
          <w:sz w:val="21"/>
          <w:highlight w:val="none"/>
        </w:rPr>
      </w:pPr>
      <w:r>
        <w:rPr>
          <w:rFonts w:hint="eastAsia" w:cs="宋体"/>
          <w:color w:val="auto"/>
          <w:sz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F347106">
      <w:pPr>
        <w:pStyle w:val="79"/>
        <w:rPr>
          <w:rFonts w:hint="eastAsia" w:cs="宋体"/>
          <w:color w:val="auto"/>
          <w:sz w:val="21"/>
          <w:highlight w:val="none"/>
        </w:rPr>
      </w:pPr>
      <w:r>
        <w:rPr>
          <w:rFonts w:hint="eastAsia" w:cs="宋体"/>
          <w:color w:val="auto"/>
          <w:sz w:val="21"/>
          <w:highlight w:val="none"/>
        </w:rPr>
        <w:t>（2）发包人认为承包人确定的供应商、分包人无法满足工程质量或合同要求的，发包人可以要求承包人重新确定暂估价项目的供应商、分包人；</w:t>
      </w:r>
    </w:p>
    <w:p w14:paraId="39E0AA2E">
      <w:pPr>
        <w:pStyle w:val="79"/>
        <w:rPr>
          <w:rFonts w:hint="eastAsia" w:cs="宋体"/>
          <w:color w:val="auto"/>
          <w:sz w:val="21"/>
          <w:highlight w:val="none"/>
        </w:rPr>
      </w:pPr>
      <w:r>
        <w:rPr>
          <w:rFonts w:hint="eastAsia" w:cs="宋体"/>
          <w:color w:val="auto"/>
          <w:sz w:val="21"/>
          <w:highlight w:val="none"/>
        </w:rPr>
        <w:t>（3）承包人应当在签订暂估价合同后7天内，将暂估价合同副本报送发包人留存。</w:t>
      </w:r>
    </w:p>
    <w:p w14:paraId="7AED669F">
      <w:pPr>
        <w:pStyle w:val="79"/>
        <w:rPr>
          <w:rFonts w:hint="eastAsia" w:cs="宋体"/>
          <w:color w:val="auto"/>
          <w:sz w:val="21"/>
          <w:highlight w:val="none"/>
        </w:rPr>
      </w:pPr>
      <w:r>
        <w:rPr>
          <w:rFonts w:hint="eastAsia" w:cs="宋体"/>
          <w:color w:val="auto"/>
          <w:sz w:val="21"/>
          <w:highlight w:val="none"/>
        </w:rPr>
        <w:t>第2种方式：承包人按照第10.7.1项〔依法必须招标的暂估价项目〕约定的第1种方式确定暂估价项目。</w:t>
      </w:r>
    </w:p>
    <w:p w14:paraId="0086DFA5">
      <w:pPr>
        <w:pStyle w:val="79"/>
        <w:rPr>
          <w:rFonts w:hint="eastAsia" w:cs="宋体"/>
          <w:color w:val="auto"/>
          <w:sz w:val="21"/>
          <w:highlight w:val="none"/>
        </w:rPr>
      </w:pPr>
      <w:r>
        <w:rPr>
          <w:rFonts w:hint="eastAsia" w:cs="宋体"/>
          <w:color w:val="auto"/>
          <w:sz w:val="21"/>
          <w:highlight w:val="none"/>
        </w:rPr>
        <w:t>第3种方式：承包人直接实施的暂估价项目</w:t>
      </w:r>
    </w:p>
    <w:p w14:paraId="513E7669">
      <w:pPr>
        <w:pStyle w:val="79"/>
        <w:rPr>
          <w:rFonts w:hint="eastAsia" w:cs="宋体"/>
          <w:color w:val="auto"/>
          <w:sz w:val="21"/>
          <w:highlight w:val="none"/>
        </w:rPr>
      </w:pPr>
      <w:r>
        <w:rPr>
          <w:rFonts w:hint="eastAsia" w:cs="宋体"/>
          <w:color w:val="auto"/>
          <w:sz w:val="21"/>
          <w:highlight w:val="none"/>
        </w:rPr>
        <w:t>承包人具备实施暂估价项目的资格和条件的，经发包人和承包人协商一致后，可由承包人自行实施暂估价项目，合同当事人可以在专用合同条款约定具体事项。</w:t>
      </w:r>
    </w:p>
    <w:p w14:paraId="64518032">
      <w:pPr>
        <w:pStyle w:val="79"/>
        <w:rPr>
          <w:rFonts w:hint="eastAsia" w:cs="宋体"/>
          <w:color w:val="auto"/>
          <w:sz w:val="21"/>
          <w:highlight w:val="none"/>
        </w:rPr>
      </w:pPr>
      <w:r>
        <w:rPr>
          <w:rFonts w:hint="eastAsia" w:cs="宋体"/>
          <w:color w:val="auto"/>
          <w:sz w:val="21"/>
          <w:highlight w:val="none"/>
        </w:rPr>
        <w:t>10.7.3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5AFF29B">
      <w:pPr>
        <w:pStyle w:val="321"/>
        <w:rPr>
          <w:rFonts w:hint="eastAsia" w:ascii="宋体" w:cs="宋体"/>
          <w:color w:val="auto"/>
          <w:highlight w:val="none"/>
        </w:rPr>
      </w:pPr>
      <w:bookmarkStart w:id="488" w:name="_Toc478389114"/>
      <w:bookmarkStart w:id="489" w:name="_Toc351203575"/>
      <w:r>
        <w:rPr>
          <w:rFonts w:hint="eastAsia" w:ascii="宋体" w:cs="宋体"/>
          <w:color w:val="auto"/>
          <w:highlight w:val="none"/>
        </w:rPr>
        <w:t>1</w:t>
      </w:r>
      <w:bookmarkStart w:id="490" w:name="_Toc337558794"/>
      <w:bookmarkStart w:id="491" w:name="_Toc296346591"/>
      <w:bookmarkStart w:id="492" w:name="_Toc296503090"/>
      <w:bookmarkStart w:id="493" w:name="_Toc322522561"/>
      <w:r>
        <w:rPr>
          <w:rFonts w:hint="eastAsia" w:ascii="宋体" w:cs="宋体"/>
          <w:color w:val="auto"/>
          <w:highlight w:val="none"/>
        </w:rPr>
        <w:t>0.8暂列金额</w:t>
      </w:r>
      <w:bookmarkEnd w:id="488"/>
      <w:bookmarkEnd w:id="489"/>
    </w:p>
    <w:bookmarkEnd w:id="490"/>
    <w:p w14:paraId="69FAE21F">
      <w:pPr>
        <w:pStyle w:val="79"/>
        <w:rPr>
          <w:rFonts w:hint="eastAsia" w:cs="宋体"/>
          <w:color w:val="auto"/>
          <w:sz w:val="21"/>
          <w:highlight w:val="none"/>
        </w:rPr>
      </w:pPr>
      <w:r>
        <w:rPr>
          <w:rFonts w:hint="eastAsia" w:cs="宋体"/>
          <w:color w:val="auto"/>
          <w:sz w:val="21"/>
          <w:highlight w:val="none"/>
        </w:rPr>
        <w:t>暂列金额应按照发包人的要求使用，发包人的要求应通过监理人发出。合同当事人可以在专用合同条款中协商确定有关事项。</w:t>
      </w:r>
    </w:p>
    <w:bookmarkEnd w:id="491"/>
    <w:bookmarkEnd w:id="492"/>
    <w:bookmarkEnd w:id="493"/>
    <w:p w14:paraId="58C1B9D8">
      <w:pPr>
        <w:pStyle w:val="321"/>
        <w:rPr>
          <w:rFonts w:hint="eastAsia" w:ascii="宋体" w:cs="宋体"/>
          <w:color w:val="auto"/>
          <w:highlight w:val="none"/>
        </w:rPr>
      </w:pPr>
      <w:bookmarkStart w:id="494" w:name="_Toc478389115"/>
      <w:bookmarkStart w:id="495" w:name="_Toc351203576"/>
      <w:r>
        <w:rPr>
          <w:rFonts w:hint="eastAsia" w:ascii="宋体" w:cs="宋体"/>
          <w:color w:val="auto"/>
          <w:highlight w:val="none"/>
        </w:rPr>
        <w:t>1</w:t>
      </w:r>
      <w:bookmarkStart w:id="496" w:name="_Toc296346592"/>
      <w:bookmarkStart w:id="497" w:name="_Toc337558796"/>
      <w:bookmarkStart w:id="498" w:name="_Toc296503091"/>
      <w:r>
        <w:rPr>
          <w:rFonts w:hint="eastAsia" w:ascii="宋体" w:cs="宋体"/>
          <w:color w:val="auto"/>
          <w:highlight w:val="none"/>
        </w:rPr>
        <w:t>0.9计日工</w:t>
      </w:r>
      <w:bookmarkEnd w:id="494"/>
      <w:bookmarkEnd w:id="495"/>
      <w:bookmarkEnd w:id="496"/>
      <w:bookmarkEnd w:id="497"/>
      <w:bookmarkEnd w:id="498"/>
    </w:p>
    <w:p w14:paraId="1B03739B">
      <w:pPr>
        <w:pStyle w:val="79"/>
        <w:rPr>
          <w:rFonts w:hint="eastAsia" w:cs="宋体"/>
          <w:color w:val="auto"/>
          <w:sz w:val="21"/>
          <w:highlight w:val="none"/>
        </w:rPr>
      </w:pPr>
      <w:r>
        <w:rPr>
          <w:rFonts w:hint="eastAsia" w:cs="宋体"/>
          <w:color w:val="auto"/>
          <w:sz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6E76B681">
      <w:pPr>
        <w:pStyle w:val="79"/>
        <w:rPr>
          <w:rFonts w:hint="eastAsia" w:cs="宋体"/>
          <w:color w:val="auto"/>
          <w:sz w:val="21"/>
          <w:highlight w:val="none"/>
        </w:rPr>
      </w:pPr>
      <w:r>
        <w:rPr>
          <w:rFonts w:hint="eastAsia" w:cs="宋体"/>
          <w:color w:val="auto"/>
          <w:sz w:val="21"/>
          <w:highlight w:val="none"/>
        </w:rPr>
        <w:t>采用计日工计价的任何一项工作，承包人应在该项工作实施过程中，每天提交以下报表和有关凭证报送监理人审查：</w:t>
      </w:r>
    </w:p>
    <w:p w14:paraId="5B4471B7">
      <w:pPr>
        <w:pStyle w:val="79"/>
        <w:rPr>
          <w:rFonts w:hint="eastAsia" w:cs="宋体"/>
          <w:color w:val="auto"/>
          <w:sz w:val="21"/>
          <w:highlight w:val="none"/>
        </w:rPr>
      </w:pPr>
      <w:r>
        <w:rPr>
          <w:rFonts w:hint="eastAsia" w:cs="宋体"/>
          <w:color w:val="auto"/>
          <w:sz w:val="21"/>
          <w:highlight w:val="none"/>
        </w:rPr>
        <w:t>（1）工作名称、内容和数量；</w:t>
      </w:r>
    </w:p>
    <w:p w14:paraId="6BCB6740">
      <w:pPr>
        <w:pStyle w:val="79"/>
        <w:rPr>
          <w:rFonts w:hint="eastAsia" w:cs="宋体"/>
          <w:color w:val="auto"/>
          <w:sz w:val="21"/>
          <w:highlight w:val="none"/>
        </w:rPr>
      </w:pPr>
      <w:r>
        <w:rPr>
          <w:rFonts w:hint="eastAsia" w:cs="宋体"/>
          <w:color w:val="auto"/>
          <w:sz w:val="21"/>
          <w:highlight w:val="none"/>
        </w:rPr>
        <w:t>（2）投入该工作的所有人员的姓名、专业、工种、级别和耗用工时；</w:t>
      </w:r>
    </w:p>
    <w:p w14:paraId="7544E00F">
      <w:pPr>
        <w:pStyle w:val="79"/>
        <w:rPr>
          <w:rFonts w:hint="eastAsia" w:cs="宋体"/>
          <w:color w:val="auto"/>
          <w:sz w:val="21"/>
          <w:highlight w:val="none"/>
        </w:rPr>
      </w:pPr>
      <w:r>
        <w:rPr>
          <w:rFonts w:hint="eastAsia" w:cs="宋体"/>
          <w:color w:val="auto"/>
          <w:sz w:val="21"/>
          <w:highlight w:val="none"/>
        </w:rPr>
        <w:t>（3）投入该工作的材料类别和数量；</w:t>
      </w:r>
    </w:p>
    <w:p w14:paraId="6E54892C">
      <w:pPr>
        <w:pStyle w:val="79"/>
        <w:rPr>
          <w:rFonts w:hint="eastAsia" w:cs="宋体"/>
          <w:color w:val="auto"/>
          <w:sz w:val="21"/>
          <w:highlight w:val="none"/>
        </w:rPr>
      </w:pPr>
      <w:r>
        <w:rPr>
          <w:rFonts w:hint="eastAsia" w:cs="宋体"/>
          <w:color w:val="auto"/>
          <w:sz w:val="21"/>
          <w:highlight w:val="none"/>
        </w:rPr>
        <w:t>（4）投入该工作的施工设备型号、台数和耗用台时；</w:t>
      </w:r>
    </w:p>
    <w:p w14:paraId="3C1F4237">
      <w:pPr>
        <w:pStyle w:val="79"/>
        <w:rPr>
          <w:rFonts w:hint="eastAsia" w:cs="宋体"/>
          <w:color w:val="auto"/>
          <w:sz w:val="21"/>
          <w:highlight w:val="none"/>
        </w:rPr>
      </w:pPr>
      <w:r>
        <w:rPr>
          <w:rFonts w:hint="eastAsia" w:cs="宋体"/>
          <w:color w:val="auto"/>
          <w:sz w:val="21"/>
          <w:highlight w:val="none"/>
        </w:rPr>
        <w:t>（5）其他有关资料和凭证。</w:t>
      </w:r>
    </w:p>
    <w:p w14:paraId="163BFABF">
      <w:pPr>
        <w:pStyle w:val="79"/>
        <w:rPr>
          <w:rFonts w:hint="eastAsia" w:cs="宋体"/>
          <w:color w:val="auto"/>
          <w:sz w:val="21"/>
          <w:highlight w:val="none"/>
        </w:rPr>
      </w:pPr>
      <w:r>
        <w:rPr>
          <w:rFonts w:hint="eastAsia" w:cs="宋体"/>
          <w:color w:val="auto"/>
          <w:sz w:val="21"/>
          <w:highlight w:val="none"/>
        </w:rPr>
        <w:t>计日工由承包人汇总后，列入最近一期进度付款申请单，由监理人审查并经发包人批准后列入进度付款。</w:t>
      </w:r>
    </w:p>
    <w:p w14:paraId="160F1ECC">
      <w:pPr>
        <w:pStyle w:val="321"/>
        <w:rPr>
          <w:rFonts w:hint="eastAsia" w:ascii="宋体" w:cs="宋体"/>
          <w:color w:val="auto"/>
          <w:highlight w:val="none"/>
        </w:rPr>
      </w:pPr>
      <w:bookmarkStart w:id="499" w:name="_Toc478389116"/>
      <w:bookmarkStart w:id="500" w:name="_Toc351203577"/>
      <w:r>
        <w:rPr>
          <w:rFonts w:hint="eastAsia" w:ascii="宋体" w:cs="宋体"/>
          <w:color w:val="auto"/>
          <w:highlight w:val="none"/>
        </w:rPr>
        <w:t>11. 价格调整</w:t>
      </w:r>
      <w:bookmarkEnd w:id="499"/>
      <w:bookmarkEnd w:id="500"/>
    </w:p>
    <w:p w14:paraId="5D1D2E6E">
      <w:pPr>
        <w:pStyle w:val="321"/>
        <w:rPr>
          <w:rFonts w:hint="eastAsia" w:ascii="宋体" w:cs="宋体"/>
          <w:color w:val="auto"/>
          <w:highlight w:val="none"/>
        </w:rPr>
      </w:pPr>
      <w:bookmarkStart w:id="501" w:name="_Toc351203578"/>
      <w:bookmarkStart w:id="502" w:name="_Toc478389117"/>
      <w:bookmarkStart w:id="503" w:name="_Toc337558797"/>
      <w:bookmarkStart w:id="504" w:name="_Toc296346593"/>
      <w:bookmarkStart w:id="505" w:name="_Toc296503092"/>
      <w:r>
        <w:rPr>
          <w:rFonts w:hint="eastAsia" w:ascii="宋体" w:cs="宋体"/>
          <w:color w:val="auto"/>
          <w:highlight w:val="none"/>
        </w:rPr>
        <w:t>11.1市场价格波动引起的调整</w:t>
      </w:r>
      <w:bookmarkEnd w:id="501"/>
      <w:bookmarkEnd w:id="502"/>
    </w:p>
    <w:bookmarkEnd w:id="503"/>
    <w:bookmarkEnd w:id="504"/>
    <w:bookmarkEnd w:id="505"/>
    <w:p w14:paraId="438B2640">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14:paraId="4C473B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63C22D3C">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（1）价格调整公式</w:t>
      </w:r>
    </w:p>
    <w:p w14:paraId="2B4E362F">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因人工、材料和设备等价格波动影响合同价格时，根据专用合同条款中约定的数据，按以下公式计算差额并调整合同价格：</w:t>
      </w:r>
    </w:p>
    <w:p w14:paraId="72816550">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position w:val="-30"/>
          <w:szCs w:val="21"/>
          <w:highlight w:val="none"/>
        </w:rPr>
        <w:object>
          <v:shape id="_x0000_i1025" o:spt="75" type="#_x0000_t75" style="height:43.7pt;width:360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p>
    <w:p w14:paraId="6918AFC3">
      <w:pPr>
        <w:tabs>
          <w:tab w:val="left" w:pos="0"/>
          <w:tab w:val="left" w:pos="360"/>
          <w:tab w:val="left" w:pos="540"/>
        </w:tabs>
        <w:spacing w:line="360" w:lineRule="auto"/>
        <w:ind w:firstLine="640"/>
        <w:rPr>
          <w:rFonts w:hint="eastAsia" w:ascii="宋体" w:hAnsi="宋体" w:cs="宋体"/>
          <w:color w:val="auto"/>
          <w:szCs w:val="21"/>
          <w:highlight w:val="none"/>
        </w:rPr>
      </w:pPr>
      <w:r>
        <w:rPr>
          <w:rFonts w:hint="eastAsia" w:ascii="宋体" w:hAnsi="宋体" w:cs="宋体"/>
          <w:color w:val="auto"/>
          <w:szCs w:val="21"/>
          <w:highlight w:val="none"/>
        </w:rPr>
        <w:t>公式中：ΔP——需调整的价格差额；</w:t>
      </w:r>
    </w:p>
    <w:p w14:paraId="731BB5DC">
      <w:pPr>
        <w:tabs>
          <w:tab w:val="left" w:pos="0"/>
          <w:tab w:val="left" w:pos="360"/>
          <w:tab w:val="left" w:pos="540"/>
        </w:tabs>
        <w:spacing w:line="360" w:lineRule="auto"/>
        <w:ind w:firstLine="1260" w:firstLineChars="600"/>
        <w:rPr>
          <w:rFonts w:hint="eastAsia" w:ascii="宋体" w:hAnsi="宋体" w:cs="宋体"/>
          <w:color w:val="auto"/>
          <w:szCs w:val="21"/>
          <w:highlight w:val="none"/>
        </w:rPr>
      </w:pPr>
      <w:r>
        <w:rPr>
          <w:rFonts w:hint="eastAsia" w:ascii="宋体" w:hAnsi="宋体" w:cs="宋体"/>
          <w:color w:val="auto"/>
          <w:position w:val="-6"/>
          <w:szCs w:val="21"/>
          <w:highlight w:val="none"/>
        </w:rPr>
        <w:object>
          <v:shape id="_x0000_i1026" o:spt="75" type="#_x0000_t75" style="height:17.8pt;width:17.8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ascii="宋体" w:hAnsi="宋体" w:cs="宋体"/>
          <w:color w:val="auto"/>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091CB9F4">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A——定值权重（即不调部分的权重）；</w:t>
      </w:r>
    </w:p>
    <w:p w14:paraId="2E167107">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position w:val="-10"/>
          <w:szCs w:val="21"/>
          <w:highlight w:val="none"/>
        </w:rPr>
        <w:object>
          <v:shape id="_x0000_i1027" o:spt="75" type="#_x0000_t75" style="height:21.85pt;width:101.1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ascii="宋体" w:hAnsi="宋体" w:cs="宋体"/>
          <w:color w:val="auto"/>
          <w:szCs w:val="21"/>
          <w:highlight w:val="none"/>
        </w:rPr>
        <w:t>——各可调因子的变值权重（即可调部分的权重），为各可调因子在签约合同价中所占的比例；</w:t>
      </w:r>
    </w:p>
    <w:p w14:paraId="2DFAD38A">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position w:val="-10"/>
          <w:szCs w:val="21"/>
          <w:highlight w:val="none"/>
        </w:rPr>
        <w:object>
          <v:shape id="_x0000_i1028" o:spt="75" type="#_x0000_t75" style="height:21.85pt;width:101.1pt;" o:ole="t" filled="f" o:preferrelative="t" stroked="f" coordsize="21600,21600">
            <v:path/>
            <v:fill on="f" focussize="0,0"/>
            <v:stroke on="f" joinstyle="miter"/>
            <v:imagedata r:id="rId22" o:title=""/>
            <o:lock v:ext="edit" aspectratio="t"/>
            <w10:wrap type="none"/>
            <w10:anchorlock/>
          </v:shape>
          <o:OLEObject Type="Embed" ProgID="Equation.3" ShapeID="_x0000_i1028" DrawAspect="Content" ObjectID="_1468075728" r:id="rId21">
            <o:LockedField>false</o:LockedField>
          </o:OLEObject>
        </w:object>
      </w:r>
      <w:r>
        <w:rPr>
          <w:rFonts w:hint="eastAsia" w:ascii="宋体" w:hAnsi="宋体" w:cs="宋体"/>
          <w:color w:val="auto"/>
          <w:szCs w:val="21"/>
          <w:highlight w:val="none"/>
        </w:rPr>
        <w:t>——各可调因子的现行价格指数，指约定的付款证书相关周期最后一天的前42天的各可调因子的价格指数；</w:t>
      </w:r>
    </w:p>
    <w:p w14:paraId="0A921F3E">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position w:val="-10"/>
          <w:szCs w:val="21"/>
          <w:highlight w:val="none"/>
        </w:rPr>
        <w:object>
          <v:shape id="_x0000_i1029" o:spt="75" type="#_x0000_t75" style="height:21.05pt;width:106.8pt;" o:ole="t" filled="f" o:preferrelative="t" stroked="f" coordsize="21600,21600">
            <v:path/>
            <v:fill on="f" focussize="0,0"/>
            <v:stroke on="f" joinstyle="miter"/>
            <v:imagedata r:id="rId24" o:title=""/>
            <o:lock v:ext="edit" aspectratio="t"/>
            <w10:wrap type="none"/>
            <w10:anchorlock/>
          </v:shape>
          <o:OLEObject Type="Embed" ProgID="Equation.3" ShapeID="_x0000_i1029" DrawAspect="Content" ObjectID="_1468075729" r:id="rId23">
            <o:LockedField>false</o:LockedField>
          </o:OLEObject>
        </w:object>
      </w:r>
      <w:r>
        <w:rPr>
          <w:rFonts w:hint="eastAsia" w:ascii="宋体" w:hAnsi="宋体" w:cs="宋体"/>
          <w:color w:val="auto"/>
          <w:szCs w:val="21"/>
          <w:highlight w:val="none"/>
        </w:rPr>
        <w:t>——各可调因子的基本价格指数，指基准日期的各可调因子的价格指数。</w:t>
      </w:r>
    </w:p>
    <w:p w14:paraId="22C5334A">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024D6658">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（2）暂时确定调整差额</w:t>
      </w:r>
    </w:p>
    <w:p w14:paraId="6E5BE3E1">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在计算调整差额时无现行价格指数的，合同当事人同意暂用前次价格指数计算。实际价格指数有调整的，合同当事人进行相应调整。</w:t>
      </w:r>
    </w:p>
    <w:p w14:paraId="56422B7F">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（3）权重的调整</w:t>
      </w:r>
    </w:p>
    <w:p w14:paraId="438B822D">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因变更导致合同约定的权重不合理时，按照第4.4款〔商定或确定〕执行。</w:t>
      </w:r>
    </w:p>
    <w:p w14:paraId="5A0DC66C">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（4）因承包人原因工期延误后的价格调整</w:t>
      </w:r>
    </w:p>
    <w:p w14:paraId="5D820169">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5F7D13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5C6AA6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028A22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86BC3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（2）材料、工程设备价格变化的价款调整按照发包人提供的基准价格，按以下风险范围规定执行：</w:t>
      </w:r>
    </w:p>
    <w:p w14:paraId="2929B6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05245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2F3DA2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6A969A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EB67C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前述基准价格是指由发包人在采购文件或专用合同条款中给定的材料、工程设备的价格，该价格原则上应当按照省级或行业建设主管部门或其授权的工程造价管理机构发布的信息价编制。</w:t>
      </w:r>
    </w:p>
    <w:p w14:paraId="29C325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（3）施工机械台班单价或施工机械使用费发生变化超过省级或行业建设主管部门或其授权的工程造价管理机构规定的范围时，按规定调整合同价格。</w:t>
      </w:r>
    </w:p>
    <w:p w14:paraId="3E927E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第3种方式：专用合同条款约定的其他方式。</w:t>
      </w:r>
    </w:p>
    <w:p w14:paraId="15102980">
      <w:pPr>
        <w:pStyle w:val="321"/>
        <w:rPr>
          <w:rFonts w:hint="eastAsia" w:ascii="宋体" w:cs="宋体"/>
          <w:color w:val="auto"/>
          <w:highlight w:val="none"/>
        </w:rPr>
      </w:pPr>
      <w:bookmarkStart w:id="506" w:name="_Toc478389118"/>
      <w:bookmarkStart w:id="507" w:name="_Toc351203579"/>
      <w:bookmarkStart w:id="508" w:name="_Toc296346594"/>
      <w:bookmarkStart w:id="509" w:name="_Toc337558798"/>
      <w:bookmarkStart w:id="510" w:name="_Toc296503093"/>
      <w:r>
        <w:rPr>
          <w:rFonts w:hint="eastAsia" w:ascii="宋体" w:cs="宋体"/>
          <w:color w:val="auto"/>
          <w:highlight w:val="none"/>
        </w:rPr>
        <w:t>11.2法律变化引起的调整</w:t>
      </w:r>
      <w:bookmarkEnd w:id="506"/>
      <w:bookmarkEnd w:id="507"/>
    </w:p>
    <w:bookmarkEnd w:id="508"/>
    <w:bookmarkEnd w:id="509"/>
    <w:bookmarkEnd w:id="510"/>
    <w:p w14:paraId="2814CC86">
      <w:pPr>
        <w:pStyle w:val="79"/>
        <w:rPr>
          <w:rFonts w:hint="eastAsia" w:cs="宋体"/>
          <w:color w:val="auto"/>
          <w:sz w:val="21"/>
          <w:highlight w:val="none"/>
        </w:rPr>
      </w:pPr>
      <w:r>
        <w:rPr>
          <w:rFonts w:hint="eastAsia" w:cs="宋体"/>
          <w:color w:val="auto"/>
          <w:sz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40F6ECEC">
      <w:pPr>
        <w:pStyle w:val="79"/>
        <w:rPr>
          <w:rFonts w:hint="eastAsia" w:cs="宋体"/>
          <w:color w:val="auto"/>
          <w:sz w:val="21"/>
          <w:highlight w:val="none"/>
        </w:rPr>
      </w:pPr>
      <w:r>
        <w:rPr>
          <w:rFonts w:hint="eastAsia" w:cs="宋体"/>
          <w:color w:val="auto"/>
          <w:sz w:val="21"/>
          <w:highlight w:val="none"/>
        </w:rPr>
        <w:t>因法律变化引起的合同价格和工期调整，合同当事人无法达成一致的，由总监理工程师按第4.4款〔商定或确定〕的约定处理。</w:t>
      </w:r>
    </w:p>
    <w:p w14:paraId="5BEBF512">
      <w:pPr>
        <w:pStyle w:val="79"/>
        <w:rPr>
          <w:rFonts w:hint="eastAsia" w:cs="宋体"/>
          <w:color w:val="auto"/>
          <w:sz w:val="21"/>
          <w:highlight w:val="none"/>
        </w:rPr>
      </w:pPr>
      <w:r>
        <w:rPr>
          <w:rFonts w:hint="eastAsia" w:cs="宋体"/>
          <w:color w:val="auto"/>
          <w:sz w:val="21"/>
          <w:highlight w:val="none"/>
        </w:rPr>
        <w:t>因承包人原因造成工期延误，在工期延误期间出现法律变化的，由此增加的费用和（或）延误的工期由承包人承担。</w:t>
      </w:r>
    </w:p>
    <w:p w14:paraId="06259D7E">
      <w:pPr>
        <w:pStyle w:val="321"/>
        <w:rPr>
          <w:rFonts w:hint="eastAsia" w:ascii="宋体" w:cs="宋体"/>
          <w:color w:val="auto"/>
          <w:highlight w:val="none"/>
        </w:rPr>
      </w:pPr>
      <w:bookmarkStart w:id="511" w:name="_Toc351203580"/>
      <w:bookmarkStart w:id="512" w:name="_Toc478389119"/>
      <w:bookmarkStart w:id="513" w:name="_Toc337558799"/>
      <w:bookmarkStart w:id="514" w:name="_Toc296503096"/>
      <w:bookmarkStart w:id="515" w:name="_Toc296346597"/>
      <w:r>
        <w:rPr>
          <w:rFonts w:hint="eastAsia" w:ascii="宋体" w:cs="宋体"/>
          <w:color w:val="auto"/>
          <w:highlight w:val="none"/>
        </w:rPr>
        <w:t>12. 合同价格、计量与支付</w:t>
      </w:r>
      <w:bookmarkEnd w:id="511"/>
      <w:bookmarkEnd w:id="512"/>
    </w:p>
    <w:bookmarkEnd w:id="513"/>
    <w:p w14:paraId="6C17981A">
      <w:pPr>
        <w:pStyle w:val="321"/>
        <w:rPr>
          <w:rFonts w:hint="eastAsia" w:ascii="宋体" w:cs="宋体"/>
          <w:color w:val="auto"/>
          <w:highlight w:val="none"/>
        </w:rPr>
      </w:pPr>
      <w:bookmarkStart w:id="516" w:name="_Toc478389120"/>
      <w:bookmarkStart w:id="517" w:name="_Toc351203581"/>
      <w:bookmarkStart w:id="518" w:name="_Toc337558800"/>
      <w:r>
        <w:rPr>
          <w:rFonts w:hint="eastAsia" w:ascii="宋体" w:cs="宋体"/>
          <w:color w:val="auto"/>
          <w:highlight w:val="none"/>
        </w:rPr>
        <w:t>12.1 合同价</w:t>
      </w:r>
      <w:bookmarkEnd w:id="514"/>
      <w:bookmarkEnd w:id="515"/>
      <w:r>
        <w:rPr>
          <w:rFonts w:hint="eastAsia" w:ascii="宋体" w:cs="宋体"/>
          <w:color w:val="auto"/>
          <w:highlight w:val="none"/>
        </w:rPr>
        <w:t>格形式</w:t>
      </w:r>
      <w:bookmarkEnd w:id="516"/>
      <w:bookmarkEnd w:id="517"/>
    </w:p>
    <w:bookmarkEnd w:id="518"/>
    <w:p w14:paraId="60331986">
      <w:pPr>
        <w:pStyle w:val="79"/>
        <w:rPr>
          <w:rFonts w:hint="eastAsia" w:cs="宋体"/>
          <w:color w:val="auto"/>
          <w:sz w:val="21"/>
          <w:highlight w:val="none"/>
        </w:rPr>
      </w:pPr>
      <w:r>
        <w:rPr>
          <w:rFonts w:hint="eastAsia" w:cs="宋体"/>
          <w:color w:val="auto"/>
          <w:sz w:val="21"/>
          <w:highlight w:val="none"/>
        </w:rPr>
        <w:t xml:space="preserve">发包人和承包人应在合同协议书中选择下列一种合同价格形式： </w:t>
      </w:r>
    </w:p>
    <w:p w14:paraId="23672217">
      <w:pPr>
        <w:pStyle w:val="79"/>
        <w:rPr>
          <w:rFonts w:hint="eastAsia" w:cs="宋体"/>
          <w:color w:val="auto"/>
          <w:sz w:val="21"/>
          <w:highlight w:val="none"/>
        </w:rPr>
      </w:pPr>
      <w:r>
        <w:rPr>
          <w:rFonts w:hint="eastAsia" w:cs="宋体"/>
          <w:color w:val="auto"/>
          <w:sz w:val="21"/>
          <w:highlight w:val="none"/>
        </w:rPr>
        <w:t>1、单价合同</w:t>
      </w:r>
    </w:p>
    <w:p w14:paraId="4693A239">
      <w:pPr>
        <w:pStyle w:val="79"/>
        <w:rPr>
          <w:rFonts w:hint="eastAsia" w:cs="宋体"/>
          <w:color w:val="auto"/>
          <w:sz w:val="21"/>
          <w:highlight w:val="none"/>
        </w:rPr>
      </w:pPr>
      <w:r>
        <w:rPr>
          <w:rFonts w:hint="eastAsia" w:cs="宋体"/>
          <w:color w:val="auto"/>
          <w:sz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28C344B1">
      <w:pPr>
        <w:pStyle w:val="79"/>
        <w:rPr>
          <w:rFonts w:hint="eastAsia" w:cs="宋体"/>
          <w:color w:val="auto"/>
          <w:sz w:val="21"/>
          <w:highlight w:val="none"/>
        </w:rPr>
      </w:pPr>
      <w:r>
        <w:rPr>
          <w:rFonts w:hint="eastAsia" w:cs="宋体"/>
          <w:color w:val="auto"/>
          <w:sz w:val="21"/>
          <w:highlight w:val="none"/>
        </w:rPr>
        <w:t>2、总价合同</w:t>
      </w:r>
    </w:p>
    <w:p w14:paraId="662F07ED">
      <w:pPr>
        <w:pStyle w:val="79"/>
        <w:rPr>
          <w:rFonts w:hint="eastAsia" w:cs="宋体"/>
          <w:color w:val="auto"/>
          <w:sz w:val="21"/>
          <w:highlight w:val="none"/>
        </w:rPr>
      </w:pPr>
      <w:r>
        <w:rPr>
          <w:rFonts w:hint="eastAsia" w:cs="宋体"/>
          <w:color w:val="auto"/>
          <w:sz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354FEFD5">
      <w:pPr>
        <w:pStyle w:val="79"/>
        <w:rPr>
          <w:rFonts w:hint="eastAsia" w:cs="宋体"/>
          <w:color w:val="auto"/>
          <w:sz w:val="21"/>
          <w:highlight w:val="none"/>
        </w:rPr>
      </w:pPr>
      <w:r>
        <w:rPr>
          <w:rFonts w:hint="eastAsia" w:cs="宋体"/>
          <w:color w:val="auto"/>
          <w:sz w:val="21"/>
          <w:highlight w:val="none"/>
        </w:rPr>
        <w:t>3、其它价格形式</w:t>
      </w:r>
    </w:p>
    <w:p w14:paraId="56B084F6">
      <w:pPr>
        <w:pStyle w:val="79"/>
        <w:rPr>
          <w:rFonts w:hint="eastAsia" w:cs="宋体"/>
          <w:color w:val="auto"/>
          <w:sz w:val="21"/>
          <w:highlight w:val="none"/>
        </w:rPr>
      </w:pPr>
      <w:r>
        <w:rPr>
          <w:rFonts w:hint="eastAsia" w:cs="宋体"/>
          <w:color w:val="auto"/>
          <w:sz w:val="21"/>
          <w:highlight w:val="none"/>
        </w:rPr>
        <w:t>合同当事人可在专用合同条款中约定其他合同价格形式。</w:t>
      </w:r>
    </w:p>
    <w:p w14:paraId="4CE9AF40">
      <w:pPr>
        <w:pStyle w:val="321"/>
        <w:rPr>
          <w:rFonts w:hint="eastAsia" w:ascii="宋体" w:cs="宋体"/>
          <w:color w:val="auto"/>
          <w:highlight w:val="none"/>
        </w:rPr>
      </w:pPr>
      <w:bookmarkStart w:id="519" w:name="_Toc296346598"/>
      <w:bookmarkStart w:id="520" w:name="_Toc296503097"/>
      <w:bookmarkStart w:id="521" w:name="_Toc478389121"/>
      <w:bookmarkStart w:id="522" w:name="_Toc351203582"/>
      <w:bookmarkStart w:id="523" w:name="_Toc337558801"/>
      <w:r>
        <w:rPr>
          <w:rFonts w:hint="eastAsia" w:ascii="宋体" w:cs="宋体"/>
          <w:color w:val="auto"/>
          <w:highlight w:val="none"/>
        </w:rPr>
        <w:t>12.2预</w:t>
      </w:r>
      <w:bookmarkEnd w:id="519"/>
      <w:bookmarkEnd w:id="520"/>
      <w:bookmarkStart w:id="524" w:name="_Toc296346601"/>
      <w:bookmarkStart w:id="525" w:name="_Toc296503100"/>
      <w:r>
        <w:rPr>
          <w:rFonts w:hint="eastAsia" w:ascii="宋体" w:cs="宋体"/>
          <w:color w:val="auto"/>
          <w:highlight w:val="none"/>
        </w:rPr>
        <w:t>付款</w:t>
      </w:r>
      <w:bookmarkEnd w:id="521"/>
      <w:bookmarkEnd w:id="522"/>
    </w:p>
    <w:bookmarkEnd w:id="523"/>
    <w:bookmarkEnd w:id="524"/>
    <w:bookmarkEnd w:id="525"/>
    <w:p w14:paraId="3BF51AF1">
      <w:pPr>
        <w:pStyle w:val="79"/>
        <w:rPr>
          <w:rFonts w:hint="eastAsia" w:cs="宋体"/>
          <w:color w:val="auto"/>
          <w:sz w:val="21"/>
          <w:highlight w:val="none"/>
        </w:rPr>
      </w:pPr>
      <w:r>
        <w:rPr>
          <w:rFonts w:hint="eastAsia" w:cs="宋体"/>
          <w:color w:val="auto"/>
          <w:sz w:val="21"/>
          <w:highlight w:val="none"/>
        </w:rPr>
        <w:t>12.2.1预付款的支付</w:t>
      </w:r>
    </w:p>
    <w:p w14:paraId="45177095">
      <w:pPr>
        <w:pStyle w:val="79"/>
        <w:rPr>
          <w:rFonts w:hint="eastAsia" w:cs="宋体"/>
          <w:color w:val="auto"/>
          <w:sz w:val="21"/>
          <w:highlight w:val="none"/>
        </w:rPr>
      </w:pPr>
      <w:r>
        <w:rPr>
          <w:rFonts w:hint="eastAsia" w:cs="宋体"/>
          <w:color w:val="auto"/>
          <w:sz w:val="21"/>
          <w:highlight w:val="none"/>
        </w:rPr>
        <w:t>预付款的支付按照专用合同条款约定执行，但至迟应在开工通知载明的开工日期7天前支付。预付款应当用于材料、工程设备、施工设备的采购及修建临时工程、组织施工队伍进场等。</w:t>
      </w:r>
    </w:p>
    <w:p w14:paraId="2F46E696">
      <w:pPr>
        <w:pStyle w:val="79"/>
        <w:rPr>
          <w:rFonts w:hint="eastAsia" w:cs="宋体"/>
          <w:color w:val="auto"/>
          <w:sz w:val="21"/>
          <w:highlight w:val="none"/>
        </w:rPr>
      </w:pPr>
      <w:r>
        <w:rPr>
          <w:rFonts w:hint="eastAsia" w:cs="宋体"/>
          <w:color w:val="auto"/>
          <w:sz w:val="21"/>
          <w:highlight w:val="none"/>
        </w:rPr>
        <w:t>除专用合同条款另有约定外，预付款在进度付款中同比例扣回。在颁发工程接收证书前，提前解除合同的，尚未扣完的预付款应与合同价款一并结算。</w:t>
      </w:r>
    </w:p>
    <w:p w14:paraId="4E08D5E5">
      <w:pPr>
        <w:pStyle w:val="79"/>
        <w:rPr>
          <w:rFonts w:hint="eastAsia" w:cs="宋体"/>
          <w:color w:val="auto"/>
          <w:sz w:val="21"/>
          <w:highlight w:val="none"/>
        </w:rPr>
      </w:pPr>
      <w:r>
        <w:rPr>
          <w:rFonts w:hint="eastAsia" w:cs="宋体"/>
          <w:color w:val="auto"/>
          <w:sz w:val="21"/>
          <w:highlight w:val="none"/>
        </w:rPr>
        <w:t>发包人逾期支付预付款超过7天的，承包人有权向发包人发出要求预付的催告通知，发包人收到通知后7天内仍未支付的，承包人有权暂停施工，并按第16.1.1项〔发包人违约的情形〕执行。</w:t>
      </w:r>
    </w:p>
    <w:p w14:paraId="44027E05">
      <w:pPr>
        <w:pStyle w:val="79"/>
        <w:rPr>
          <w:rFonts w:hint="eastAsia" w:cs="宋体"/>
          <w:color w:val="auto"/>
          <w:sz w:val="21"/>
          <w:highlight w:val="none"/>
        </w:rPr>
      </w:pPr>
      <w:r>
        <w:rPr>
          <w:rFonts w:hint="eastAsia" w:cs="宋体"/>
          <w:color w:val="auto"/>
          <w:sz w:val="21"/>
          <w:highlight w:val="none"/>
        </w:rPr>
        <w:t>12.2.2 预付款担保</w:t>
      </w:r>
    </w:p>
    <w:p w14:paraId="2EA958C3">
      <w:pPr>
        <w:pStyle w:val="79"/>
        <w:rPr>
          <w:rFonts w:hint="eastAsia" w:cs="宋体"/>
          <w:color w:val="auto"/>
          <w:sz w:val="21"/>
          <w:highlight w:val="none"/>
        </w:rPr>
      </w:pPr>
      <w:r>
        <w:rPr>
          <w:rFonts w:hint="eastAsia" w:cs="宋体"/>
          <w:color w:val="auto"/>
          <w:sz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31BF0D9A">
      <w:pPr>
        <w:pStyle w:val="79"/>
        <w:rPr>
          <w:rFonts w:hint="eastAsia" w:cs="宋体"/>
          <w:color w:val="auto"/>
          <w:sz w:val="21"/>
          <w:highlight w:val="none"/>
        </w:rPr>
      </w:pPr>
      <w:r>
        <w:rPr>
          <w:rFonts w:hint="eastAsia" w:cs="宋体"/>
          <w:color w:val="auto"/>
          <w:sz w:val="21"/>
          <w:highlight w:val="none"/>
        </w:rPr>
        <w:t>发包人在工程款中逐期扣回预付款后，预付款担保额度应相应减少，但剩余的预付款担保金额不得低于未被扣回的预付款金额。</w:t>
      </w:r>
    </w:p>
    <w:p w14:paraId="0979A1D8">
      <w:pPr>
        <w:pStyle w:val="321"/>
        <w:rPr>
          <w:rFonts w:hint="eastAsia" w:ascii="宋体" w:cs="宋体"/>
          <w:color w:val="auto"/>
          <w:highlight w:val="none"/>
        </w:rPr>
      </w:pPr>
      <w:bookmarkStart w:id="526" w:name="_Toc478389122"/>
      <w:bookmarkStart w:id="527" w:name="_Toc351203583"/>
      <w:bookmarkStart w:id="528" w:name="_Toc337558802"/>
      <w:r>
        <w:rPr>
          <w:rFonts w:hint="eastAsia" w:ascii="宋体" w:cs="宋体"/>
          <w:color w:val="auto"/>
          <w:highlight w:val="none"/>
        </w:rPr>
        <w:t>12.3计量</w:t>
      </w:r>
      <w:bookmarkEnd w:id="526"/>
      <w:bookmarkEnd w:id="527"/>
    </w:p>
    <w:bookmarkEnd w:id="528"/>
    <w:p w14:paraId="1A42873B">
      <w:pPr>
        <w:pStyle w:val="79"/>
        <w:outlineLvl w:val="0"/>
        <w:rPr>
          <w:rFonts w:hint="eastAsia" w:cs="宋体"/>
          <w:color w:val="auto"/>
          <w:sz w:val="21"/>
          <w:highlight w:val="none"/>
        </w:rPr>
      </w:pPr>
      <w:bookmarkStart w:id="529" w:name="_Toc478389123"/>
      <w:bookmarkStart w:id="530" w:name="_Toc406522154"/>
      <w:bookmarkStart w:id="531" w:name="_Toc406419279"/>
      <w:r>
        <w:rPr>
          <w:rFonts w:hint="eastAsia" w:cs="宋体"/>
          <w:color w:val="auto"/>
          <w:sz w:val="21"/>
          <w:highlight w:val="none"/>
        </w:rPr>
        <w:t>12.3.1 计量原则</w:t>
      </w:r>
      <w:bookmarkEnd w:id="529"/>
      <w:bookmarkEnd w:id="530"/>
      <w:bookmarkEnd w:id="531"/>
    </w:p>
    <w:p w14:paraId="054A98E9">
      <w:pPr>
        <w:pStyle w:val="79"/>
        <w:rPr>
          <w:rFonts w:hint="eastAsia" w:cs="宋体"/>
          <w:color w:val="auto"/>
          <w:sz w:val="21"/>
          <w:highlight w:val="none"/>
        </w:rPr>
      </w:pPr>
      <w:r>
        <w:rPr>
          <w:rFonts w:hint="eastAsia" w:cs="宋体"/>
          <w:color w:val="auto"/>
          <w:sz w:val="21"/>
          <w:highlight w:val="none"/>
        </w:rPr>
        <w:t>工程量计量按照合同约定的工程量计算规则、图纸及变更指示等进行计量。工程量计算规则应以相关的国家标准、行业标准等为依据，由合同当事人在专用合同条款中约定。</w:t>
      </w:r>
    </w:p>
    <w:p w14:paraId="19D8D825">
      <w:pPr>
        <w:pStyle w:val="79"/>
        <w:rPr>
          <w:rFonts w:hint="eastAsia" w:cs="宋体"/>
          <w:color w:val="auto"/>
          <w:sz w:val="21"/>
          <w:highlight w:val="none"/>
        </w:rPr>
      </w:pPr>
      <w:r>
        <w:rPr>
          <w:rFonts w:hint="eastAsia" w:cs="宋体"/>
          <w:color w:val="auto"/>
          <w:sz w:val="21"/>
          <w:highlight w:val="none"/>
        </w:rPr>
        <w:t>12.3.2 计量周期</w:t>
      </w:r>
    </w:p>
    <w:p w14:paraId="2EE8D171">
      <w:pPr>
        <w:pStyle w:val="79"/>
        <w:rPr>
          <w:rFonts w:hint="eastAsia" w:cs="宋体"/>
          <w:color w:val="auto"/>
          <w:sz w:val="21"/>
          <w:highlight w:val="none"/>
        </w:rPr>
      </w:pPr>
      <w:r>
        <w:rPr>
          <w:rFonts w:hint="eastAsia" w:cs="宋体"/>
          <w:color w:val="auto"/>
          <w:sz w:val="21"/>
          <w:highlight w:val="none"/>
        </w:rPr>
        <w:t>除专用合同条款另有约定外，工程量的计量按月进行。</w:t>
      </w:r>
    </w:p>
    <w:p w14:paraId="34B7B943">
      <w:pPr>
        <w:pStyle w:val="79"/>
        <w:rPr>
          <w:rFonts w:hint="eastAsia" w:cs="宋体"/>
          <w:color w:val="auto"/>
          <w:sz w:val="21"/>
          <w:highlight w:val="none"/>
        </w:rPr>
      </w:pPr>
      <w:r>
        <w:rPr>
          <w:rFonts w:hint="eastAsia" w:cs="宋体"/>
          <w:color w:val="auto"/>
          <w:sz w:val="21"/>
          <w:highlight w:val="none"/>
        </w:rPr>
        <w:t>12.3.3 单价合同的计量</w:t>
      </w:r>
    </w:p>
    <w:p w14:paraId="074B17AF">
      <w:pPr>
        <w:pStyle w:val="79"/>
        <w:rPr>
          <w:rFonts w:hint="eastAsia" w:cs="宋体"/>
          <w:color w:val="auto"/>
          <w:sz w:val="21"/>
          <w:highlight w:val="none"/>
        </w:rPr>
      </w:pPr>
      <w:r>
        <w:rPr>
          <w:rFonts w:hint="eastAsia" w:cs="宋体"/>
          <w:color w:val="auto"/>
          <w:sz w:val="21"/>
          <w:highlight w:val="none"/>
        </w:rPr>
        <w:t>除专用合同条款另有约定外，单价合同的计量按照本项约定执行：</w:t>
      </w:r>
    </w:p>
    <w:p w14:paraId="66D84DF8">
      <w:pPr>
        <w:pStyle w:val="79"/>
        <w:rPr>
          <w:rFonts w:hint="eastAsia" w:cs="宋体"/>
          <w:color w:val="auto"/>
          <w:sz w:val="21"/>
          <w:highlight w:val="none"/>
        </w:rPr>
      </w:pPr>
      <w:r>
        <w:rPr>
          <w:rFonts w:hint="eastAsia" w:cs="宋体"/>
          <w:color w:val="auto"/>
          <w:sz w:val="21"/>
          <w:highlight w:val="none"/>
        </w:rPr>
        <w:t>（1）承包人应于每月25日向监理人报送上月20日至当月19日已完成的工程量报告，并附具进度付款申请单、已完成工程量报表和有关资料。</w:t>
      </w:r>
    </w:p>
    <w:p w14:paraId="1334022E">
      <w:pPr>
        <w:pStyle w:val="79"/>
        <w:rPr>
          <w:rFonts w:hint="eastAsia" w:cs="宋体"/>
          <w:color w:val="auto"/>
          <w:sz w:val="21"/>
          <w:highlight w:val="none"/>
        </w:rPr>
      </w:pPr>
      <w:r>
        <w:rPr>
          <w:rFonts w:hint="eastAsia" w:cs="宋体"/>
          <w:color w:val="auto"/>
          <w:sz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D446571">
      <w:pPr>
        <w:pStyle w:val="79"/>
        <w:rPr>
          <w:rFonts w:hint="eastAsia" w:cs="宋体"/>
          <w:color w:val="auto"/>
          <w:sz w:val="21"/>
          <w:highlight w:val="none"/>
        </w:rPr>
      </w:pPr>
      <w:r>
        <w:rPr>
          <w:rFonts w:hint="eastAsia" w:cs="宋体"/>
          <w:color w:val="auto"/>
          <w:sz w:val="21"/>
          <w:highlight w:val="none"/>
        </w:rPr>
        <w:t>（3）监理人未在收到承包人提交的工程量报表后的7天内完成审核的，承包人报送的工程量报告中的工程量视为承包人实际完成的工程量，据此计算工程价款。</w:t>
      </w:r>
    </w:p>
    <w:p w14:paraId="53F48BDF">
      <w:pPr>
        <w:pStyle w:val="79"/>
        <w:rPr>
          <w:rFonts w:hint="eastAsia" w:cs="宋体"/>
          <w:color w:val="auto"/>
          <w:sz w:val="21"/>
          <w:highlight w:val="none"/>
        </w:rPr>
      </w:pPr>
      <w:r>
        <w:rPr>
          <w:rFonts w:hint="eastAsia" w:cs="宋体"/>
          <w:color w:val="auto"/>
          <w:sz w:val="21"/>
          <w:highlight w:val="none"/>
        </w:rPr>
        <w:t>12.3.4 总价合同的计量</w:t>
      </w:r>
    </w:p>
    <w:p w14:paraId="67A6D276">
      <w:pPr>
        <w:pStyle w:val="79"/>
        <w:rPr>
          <w:rFonts w:hint="eastAsia" w:cs="宋体"/>
          <w:color w:val="auto"/>
          <w:sz w:val="21"/>
          <w:highlight w:val="none"/>
        </w:rPr>
      </w:pPr>
      <w:r>
        <w:rPr>
          <w:rFonts w:hint="eastAsia" w:cs="宋体"/>
          <w:color w:val="auto"/>
          <w:sz w:val="21"/>
          <w:highlight w:val="none"/>
        </w:rPr>
        <w:t>除专用合同条款另有约定外，按月计量支付的总价合同，按照本项约定执行：</w:t>
      </w:r>
    </w:p>
    <w:p w14:paraId="05E4DAA7">
      <w:pPr>
        <w:pStyle w:val="79"/>
        <w:rPr>
          <w:rFonts w:hint="eastAsia" w:cs="宋体"/>
          <w:color w:val="auto"/>
          <w:sz w:val="21"/>
          <w:highlight w:val="none"/>
        </w:rPr>
      </w:pPr>
      <w:r>
        <w:rPr>
          <w:rFonts w:hint="eastAsia" w:cs="宋体"/>
          <w:color w:val="auto"/>
          <w:sz w:val="21"/>
          <w:highlight w:val="none"/>
        </w:rPr>
        <w:t>（1）承包人应于每月25日向监理人报送上月20日至当月19日已完成的工程量报告，并附具进度付款申请单、已完成工程量报表和有关资料。</w:t>
      </w:r>
    </w:p>
    <w:p w14:paraId="37A4EDB8">
      <w:pPr>
        <w:pStyle w:val="79"/>
        <w:rPr>
          <w:rFonts w:hint="eastAsia" w:cs="宋体"/>
          <w:color w:val="auto"/>
          <w:sz w:val="21"/>
          <w:highlight w:val="none"/>
        </w:rPr>
      </w:pPr>
      <w:r>
        <w:rPr>
          <w:rFonts w:hint="eastAsia" w:cs="宋体"/>
          <w:color w:val="auto"/>
          <w:sz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D407666">
      <w:pPr>
        <w:pStyle w:val="79"/>
        <w:rPr>
          <w:rFonts w:hint="eastAsia" w:cs="宋体"/>
          <w:color w:val="auto"/>
          <w:sz w:val="21"/>
          <w:highlight w:val="none"/>
        </w:rPr>
      </w:pPr>
      <w:r>
        <w:rPr>
          <w:rFonts w:hint="eastAsia" w:cs="宋体"/>
          <w:color w:val="auto"/>
          <w:sz w:val="21"/>
          <w:highlight w:val="none"/>
        </w:rPr>
        <w:t>（3）监理人未在收到承包人提交的工程量报表后的7天内完成复核的，承包人提交的工程量报告中的工程量视为承包人实际完成的工程量。</w:t>
      </w:r>
    </w:p>
    <w:p w14:paraId="3D0AF6A1">
      <w:pPr>
        <w:pStyle w:val="79"/>
        <w:outlineLvl w:val="0"/>
        <w:rPr>
          <w:rFonts w:hint="eastAsia" w:cs="宋体"/>
          <w:color w:val="auto"/>
          <w:sz w:val="21"/>
          <w:highlight w:val="none"/>
        </w:rPr>
      </w:pPr>
      <w:bookmarkStart w:id="532" w:name="_Toc478389124"/>
      <w:bookmarkStart w:id="533" w:name="_Toc406419280"/>
      <w:bookmarkStart w:id="534" w:name="_Toc406522155"/>
      <w:r>
        <w:rPr>
          <w:rFonts w:hint="eastAsia" w:cs="宋体"/>
          <w:color w:val="auto"/>
          <w:sz w:val="21"/>
          <w:highlight w:val="none"/>
        </w:rPr>
        <w:t>12.3.5总价合同采用支付分解表计量支付的，可以按照第12.3.4项〔总价合同的计量〕约定进行计量，但合同价款按照支付分解表进行支付。</w:t>
      </w:r>
      <w:bookmarkEnd w:id="532"/>
      <w:bookmarkEnd w:id="533"/>
      <w:bookmarkEnd w:id="534"/>
    </w:p>
    <w:p w14:paraId="68A45494">
      <w:pPr>
        <w:pStyle w:val="79"/>
        <w:rPr>
          <w:rFonts w:hint="eastAsia" w:cs="宋体"/>
          <w:color w:val="auto"/>
          <w:sz w:val="21"/>
          <w:highlight w:val="none"/>
        </w:rPr>
      </w:pPr>
      <w:r>
        <w:rPr>
          <w:rFonts w:hint="eastAsia" w:cs="宋体"/>
          <w:color w:val="auto"/>
          <w:sz w:val="21"/>
          <w:highlight w:val="none"/>
        </w:rPr>
        <w:t>12.3.6 其他价格形式合同的计量</w:t>
      </w:r>
    </w:p>
    <w:p w14:paraId="034DA6A8">
      <w:pPr>
        <w:pStyle w:val="79"/>
        <w:rPr>
          <w:rFonts w:hint="eastAsia" w:cs="宋体"/>
          <w:color w:val="auto"/>
          <w:sz w:val="21"/>
          <w:highlight w:val="none"/>
        </w:rPr>
      </w:pPr>
      <w:r>
        <w:rPr>
          <w:rFonts w:hint="eastAsia" w:cs="宋体"/>
          <w:color w:val="auto"/>
          <w:sz w:val="21"/>
          <w:highlight w:val="none"/>
        </w:rPr>
        <w:t>合同当事人可在专用合同条款中约定其他价格形式合同的计量方式和程序。</w:t>
      </w:r>
    </w:p>
    <w:p w14:paraId="54FF3C4B">
      <w:pPr>
        <w:pStyle w:val="321"/>
        <w:rPr>
          <w:rFonts w:hint="eastAsia" w:ascii="宋体" w:cs="宋体"/>
          <w:color w:val="auto"/>
          <w:highlight w:val="none"/>
        </w:rPr>
      </w:pPr>
      <w:bookmarkStart w:id="535" w:name="_Toc296503101"/>
      <w:bookmarkStart w:id="536" w:name="_Toc296346602"/>
      <w:bookmarkStart w:id="537" w:name="_Toc478389125"/>
      <w:bookmarkStart w:id="538" w:name="_Toc351203584"/>
      <w:bookmarkStart w:id="539" w:name="_Toc337558803"/>
      <w:r>
        <w:rPr>
          <w:rFonts w:hint="eastAsia" w:ascii="宋体" w:cs="宋体"/>
          <w:color w:val="auto"/>
          <w:highlight w:val="none"/>
        </w:rPr>
        <w:t>12.4工程进度款支</w:t>
      </w:r>
      <w:bookmarkEnd w:id="535"/>
      <w:bookmarkEnd w:id="536"/>
      <w:r>
        <w:rPr>
          <w:rFonts w:hint="eastAsia" w:ascii="宋体" w:cs="宋体"/>
          <w:color w:val="auto"/>
          <w:highlight w:val="none"/>
        </w:rPr>
        <w:t>付</w:t>
      </w:r>
      <w:bookmarkEnd w:id="537"/>
      <w:bookmarkEnd w:id="538"/>
    </w:p>
    <w:bookmarkEnd w:id="539"/>
    <w:p w14:paraId="5EB8EB1A">
      <w:pPr>
        <w:pStyle w:val="79"/>
        <w:outlineLvl w:val="0"/>
        <w:rPr>
          <w:rFonts w:hint="eastAsia" w:cs="宋体"/>
          <w:color w:val="auto"/>
          <w:sz w:val="21"/>
          <w:highlight w:val="none"/>
        </w:rPr>
      </w:pPr>
      <w:bookmarkStart w:id="540" w:name="_Toc406419282"/>
      <w:bookmarkStart w:id="541" w:name="_Toc406522157"/>
      <w:bookmarkStart w:id="542" w:name="_Toc478389126"/>
      <w:r>
        <w:rPr>
          <w:rFonts w:hint="eastAsia" w:cs="宋体"/>
          <w:color w:val="auto"/>
          <w:sz w:val="21"/>
          <w:highlight w:val="none"/>
        </w:rPr>
        <w:t>12.4.1 付款周期</w:t>
      </w:r>
      <w:bookmarkEnd w:id="540"/>
      <w:bookmarkEnd w:id="541"/>
      <w:bookmarkEnd w:id="542"/>
    </w:p>
    <w:p w14:paraId="77203DD3">
      <w:pPr>
        <w:pStyle w:val="79"/>
        <w:rPr>
          <w:rFonts w:hint="eastAsia" w:cs="宋体"/>
          <w:color w:val="auto"/>
          <w:sz w:val="21"/>
          <w:highlight w:val="none"/>
        </w:rPr>
      </w:pPr>
      <w:r>
        <w:rPr>
          <w:rFonts w:hint="eastAsia" w:cs="宋体"/>
          <w:color w:val="auto"/>
          <w:sz w:val="21"/>
          <w:highlight w:val="none"/>
        </w:rPr>
        <w:t>除专用合同条款另有约定外，付款周期应按照第12.3.2项〔计量周期〕的约定与计量周期保持一致。</w:t>
      </w:r>
    </w:p>
    <w:p w14:paraId="2AF0D1BF">
      <w:pPr>
        <w:pStyle w:val="79"/>
        <w:rPr>
          <w:rFonts w:hint="eastAsia" w:cs="宋体"/>
          <w:color w:val="auto"/>
          <w:sz w:val="21"/>
          <w:highlight w:val="none"/>
        </w:rPr>
      </w:pPr>
      <w:r>
        <w:rPr>
          <w:rFonts w:hint="eastAsia" w:cs="宋体"/>
          <w:color w:val="auto"/>
          <w:sz w:val="21"/>
          <w:highlight w:val="none"/>
        </w:rPr>
        <w:t>12.4.2 进度付款申请单的编制</w:t>
      </w:r>
    </w:p>
    <w:p w14:paraId="73AB5D3B">
      <w:pPr>
        <w:pStyle w:val="79"/>
        <w:rPr>
          <w:rFonts w:hint="eastAsia" w:cs="宋体"/>
          <w:color w:val="auto"/>
          <w:sz w:val="21"/>
          <w:highlight w:val="none"/>
        </w:rPr>
      </w:pPr>
      <w:r>
        <w:rPr>
          <w:rFonts w:hint="eastAsia" w:cs="宋体"/>
          <w:color w:val="auto"/>
          <w:sz w:val="21"/>
          <w:highlight w:val="none"/>
        </w:rPr>
        <w:t>除专用合同条款另有约定外，进度付款申请单应包括下列内容：</w:t>
      </w:r>
    </w:p>
    <w:p w14:paraId="1024A044">
      <w:pPr>
        <w:pStyle w:val="79"/>
        <w:rPr>
          <w:rFonts w:hint="eastAsia" w:cs="宋体"/>
          <w:color w:val="auto"/>
          <w:sz w:val="21"/>
          <w:highlight w:val="none"/>
        </w:rPr>
      </w:pPr>
      <w:r>
        <w:rPr>
          <w:rFonts w:hint="eastAsia" w:cs="宋体"/>
          <w:color w:val="auto"/>
          <w:sz w:val="21"/>
          <w:highlight w:val="none"/>
        </w:rPr>
        <w:t>（1）截至本次付款周期已完成工作对应的金额；</w:t>
      </w:r>
    </w:p>
    <w:p w14:paraId="6824FFAE">
      <w:pPr>
        <w:pStyle w:val="79"/>
        <w:rPr>
          <w:rFonts w:hint="eastAsia" w:cs="宋体"/>
          <w:color w:val="auto"/>
          <w:sz w:val="21"/>
          <w:highlight w:val="none"/>
        </w:rPr>
      </w:pPr>
      <w:r>
        <w:rPr>
          <w:rFonts w:hint="eastAsia" w:cs="宋体"/>
          <w:color w:val="auto"/>
          <w:sz w:val="21"/>
          <w:highlight w:val="none"/>
        </w:rPr>
        <w:t>（2）根据第10条〔变更〕应增加和扣减的变更金额；</w:t>
      </w:r>
    </w:p>
    <w:p w14:paraId="6E71B224">
      <w:pPr>
        <w:pStyle w:val="79"/>
        <w:rPr>
          <w:rFonts w:hint="eastAsia" w:cs="宋体"/>
          <w:color w:val="auto"/>
          <w:sz w:val="21"/>
          <w:highlight w:val="none"/>
        </w:rPr>
      </w:pPr>
      <w:r>
        <w:rPr>
          <w:rFonts w:hint="eastAsia" w:cs="宋体"/>
          <w:color w:val="auto"/>
          <w:sz w:val="21"/>
          <w:highlight w:val="none"/>
        </w:rPr>
        <w:t>（3）根据第12.2款〔预付款〕约定应支付的预付款和扣减的返还预付款；</w:t>
      </w:r>
    </w:p>
    <w:p w14:paraId="1ACBF98E">
      <w:pPr>
        <w:pStyle w:val="79"/>
        <w:rPr>
          <w:rFonts w:hint="eastAsia" w:cs="宋体"/>
          <w:color w:val="auto"/>
          <w:sz w:val="21"/>
          <w:highlight w:val="none"/>
        </w:rPr>
      </w:pPr>
      <w:r>
        <w:rPr>
          <w:rFonts w:hint="eastAsia" w:cs="宋体"/>
          <w:color w:val="auto"/>
          <w:sz w:val="21"/>
          <w:highlight w:val="none"/>
        </w:rPr>
        <w:t>（4）根据第15.3款〔质量保证金〕约定应扣减的质量保证金；</w:t>
      </w:r>
    </w:p>
    <w:p w14:paraId="1E317469">
      <w:pPr>
        <w:pStyle w:val="79"/>
        <w:rPr>
          <w:rFonts w:hint="eastAsia" w:cs="宋体"/>
          <w:color w:val="auto"/>
          <w:sz w:val="21"/>
          <w:highlight w:val="none"/>
        </w:rPr>
      </w:pPr>
      <w:r>
        <w:rPr>
          <w:rFonts w:hint="eastAsia" w:cs="宋体"/>
          <w:color w:val="auto"/>
          <w:sz w:val="21"/>
          <w:highlight w:val="none"/>
        </w:rPr>
        <w:t>（5）根据第19条〔索赔〕应增加和扣减的索赔金额；</w:t>
      </w:r>
    </w:p>
    <w:p w14:paraId="6A4B9FFB">
      <w:pPr>
        <w:pStyle w:val="79"/>
        <w:rPr>
          <w:rFonts w:hint="eastAsia" w:cs="宋体"/>
          <w:color w:val="auto"/>
          <w:sz w:val="21"/>
          <w:highlight w:val="none"/>
        </w:rPr>
      </w:pPr>
      <w:r>
        <w:rPr>
          <w:rFonts w:hint="eastAsia" w:cs="宋体"/>
          <w:color w:val="auto"/>
          <w:sz w:val="21"/>
          <w:highlight w:val="none"/>
        </w:rPr>
        <w:t>（6）对已签发的进度款支付证书中出现错误的修正，应在本次进度付款中支付或扣除的金额；</w:t>
      </w:r>
    </w:p>
    <w:p w14:paraId="72455718">
      <w:pPr>
        <w:pStyle w:val="79"/>
        <w:rPr>
          <w:rFonts w:hint="eastAsia" w:cs="宋体"/>
          <w:color w:val="auto"/>
          <w:sz w:val="21"/>
          <w:highlight w:val="none"/>
        </w:rPr>
      </w:pPr>
      <w:r>
        <w:rPr>
          <w:rFonts w:hint="eastAsia" w:cs="宋体"/>
          <w:color w:val="auto"/>
          <w:sz w:val="21"/>
          <w:highlight w:val="none"/>
        </w:rPr>
        <w:t>（7）根据合同约定应增加和扣减的其他金额。</w:t>
      </w:r>
    </w:p>
    <w:p w14:paraId="692B17AC">
      <w:pPr>
        <w:pStyle w:val="79"/>
        <w:rPr>
          <w:rFonts w:hint="eastAsia" w:cs="宋体"/>
          <w:color w:val="auto"/>
          <w:sz w:val="21"/>
          <w:highlight w:val="none"/>
        </w:rPr>
      </w:pPr>
      <w:r>
        <w:rPr>
          <w:rFonts w:hint="eastAsia" w:cs="宋体"/>
          <w:color w:val="auto"/>
          <w:sz w:val="21"/>
          <w:highlight w:val="none"/>
        </w:rPr>
        <w:t>12.4.3 进度付款申请单的提交</w:t>
      </w:r>
    </w:p>
    <w:p w14:paraId="35380750">
      <w:pPr>
        <w:pStyle w:val="79"/>
        <w:rPr>
          <w:rFonts w:hint="eastAsia" w:cs="宋体"/>
          <w:color w:val="auto"/>
          <w:sz w:val="21"/>
          <w:highlight w:val="none"/>
        </w:rPr>
      </w:pPr>
      <w:r>
        <w:rPr>
          <w:rFonts w:hint="eastAsia" w:cs="宋体"/>
          <w:color w:val="auto"/>
          <w:sz w:val="21"/>
          <w:highlight w:val="none"/>
        </w:rPr>
        <w:t>（1）单价合同进度付款申请单的提交</w:t>
      </w:r>
    </w:p>
    <w:p w14:paraId="417D5C22">
      <w:pPr>
        <w:pStyle w:val="79"/>
        <w:rPr>
          <w:rFonts w:hint="eastAsia" w:cs="宋体"/>
          <w:color w:val="auto"/>
          <w:sz w:val="21"/>
          <w:highlight w:val="none"/>
        </w:rPr>
      </w:pPr>
      <w:r>
        <w:rPr>
          <w:rFonts w:hint="eastAsia" w:cs="宋体"/>
          <w:color w:val="auto"/>
          <w:sz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0144568D">
      <w:pPr>
        <w:pStyle w:val="79"/>
        <w:rPr>
          <w:rFonts w:hint="eastAsia" w:cs="宋体"/>
          <w:color w:val="auto"/>
          <w:sz w:val="21"/>
          <w:highlight w:val="none"/>
        </w:rPr>
      </w:pPr>
      <w:r>
        <w:rPr>
          <w:rFonts w:hint="eastAsia" w:cs="宋体"/>
          <w:color w:val="auto"/>
          <w:sz w:val="21"/>
          <w:highlight w:val="none"/>
        </w:rPr>
        <w:t>（2）总价合同进度付款申请单的提交</w:t>
      </w:r>
    </w:p>
    <w:p w14:paraId="35B91CAA">
      <w:pPr>
        <w:pStyle w:val="79"/>
        <w:rPr>
          <w:rFonts w:hint="eastAsia" w:cs="宋体"/>
          <w:color w:val="auto"/>
          <w:sz w:val="21"/>
          <w:highlight w:val="none"/>
        </w:rPr>
      </w:pPr>
      <w:r>
        <w:rPr>
          <w:rFonts w:hint="eastAsia" w:cs="宋体"/>
          <w:color w:val="auto"/>
          <w:sz w:val="21"/>
          <w:highlight w:val="none"/>
        </w:rPr>
        <w:t>总价合同按月计量支付的，承包人按照第12.3.4项〔总价合同的计量〕约定的时间按月向监理人提交进度付款申请单，并附上已完成工程量报表和有关资料。</w:t>
      </w:r>
    </w:p>
    <w:p w14:paraId="198D7D81">
      <w:pPr>
        <w:pStyle w:val="79"/>
        <w:rPr>
          <w:rFonts w:hint="eastAsia" w:cs="宋体"/>
          <w:color w:val="auto"/>
          <w:sz w:val="21"/>
          <w:highlight w:val="none"/>
        </w:rPr>
      </w:pPr>
      <w:r>
        <w:rPr>
          <w:rFonts w:hint="eastAsia" w:cs="宋体"/>
          <w:color w:val="auto"/>
          <w:sz w:val="21"/>
          <w:highlight w:val="none"/>
        </w:rPr>
        <w:t>总价合同按支付分解表支付的，承包人应按照第12.4.6项〔支付分解表〕及第12.4.2项〔进度付款申请单的编制〕的约定向监理人提交进度付款申请单。</w:t>
      </w:r>
    </w:p>
    <w:p w14:paraId="64147156">
      <w:pPr>
        <w:pStyle w:val="79"/>
        <w:rPr>
          <w:rFonts w:hint="eastAsia" w:cs="宋体"/>
          <w:color w:val="auto"/>
          <w:sz w:val="21"/>
          <w:highlight w:val="none"/>
        </w:rPr>
      </w:pPr>
      <w:r>
        <w:rPr>
          <w:rFonts w:hint="eastAsia" w:cs="宋体"/>
          <w:color w:val="auto"/>
          <w:sz w:val="21"/>
          <w:highlight w:val="none"/>
        </w:rPr>
        <w:t>（3）其他价格形式合同的进度付款申请单的提交</w:t>
      </w:r>
    </w:p>
    <w:p w14:paraId="7F4CE846">
      <w:pPr>
        <w:pStyle w:val="79"/>
        <w:rPr>
          <w:rFonts w:hint="eastAsia" w:cs="宋体"/>
          <w:color w:val="auto"/>
          <w:sz w:val="21"/>
          <w:highlight w:val="none"/>
        </w:rPr>
      </w:pPr>
      <w:r>
        <w:rPr>
          <w:rFonts w:hint="eastAsia" w:cs="宋体"/>
          <w:color w:val="auto"/>
          <w:sz w:val="21"/>
          <w:highlight w:val="none"/>
        </w:rPr>
        <w:t>合同当事人可在专用合同条款中约定其他价格形式合同的进度付款申请单的编制和提交程序。</w:t>
      </w:r>
    </w:p>
    <w:p w14:paraId="4477C52F">
      <w:pPr>
        <w:pStyle w:val="79"/>
        <w:rPr>
          <w:rFonts w:hint="eastAsia" w:cs="宋体"/>
          <w:color w:val="auto"/>
          <w:sz w:val="21"/>
          <w:highlight w:val="none"/>
        </w:rPr>
      </w:pPr>
      <w:r>
        <w:rPr>
          <w:rFonts w:hint="eastAsia" w:cs="宋体"/>
          <w:color w:val="auto"/>
          <w:sz w:val="21"/>
          <w:highlight w:val="none"/>
        </w:rPr>
        <w:t>12.4.4 进度款审核和支付</w:t>
      </w:r>
    </w:p>
    <w:p w14:paraId="41D46A60">
      <w:pPr>
        <w:pStyle w:val="79"/>
        <w:rPr>
          <w:rFonts w:hint="eastAsia" w:cs="宋体"/>
          <w:color w:val="auto"/>
          <w:sz w:val="21"/>
          <w:highlight w:val="none"/>
        </w:rPr>
      </w:pPr>
      <w:r>
        <w:rPr>
          <w:rFonts w:hint="eastAsia" w:cs="宋体"/>
          <w:color w:val="auto"/>
          <w:sz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0D01B799">
      <w:pPr>
        <w:pStyle w:val="79"/>
        <w:rPr>
          <w:rFonts w:hint="eastAsia" w:cs="宋体"/>
          <w:color w:val="auto"/>
          <w:sz w:val="21"/>
          <w:highlight w:val="none"/>
        </w:rPr>
      </w:pPr>
      <w:r>
        <w:rPr>
          <w:rFonts w:hint="eastAsia" w:cs="宋体"/>
          <w:color w:val="auto"/>
          <w:sz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15ED3071">
      <w:pPr>
        <w:pStyle w:val="79"/>
        <w:rPr>
          <w:rFonts w:hint="eastAsia" w:cs="宋体"/>
          <w:color w:val="auto"/>
          <w:sz w:val="21"/>
          <w:highlight w:val="none"/>
        </w:rPr>
      </w:pPr>
      <w:r>
        <w:rPr>
          <w:rFonts w:hint="eastAsia" w:cs="宋体"/>
          <w:color w:val="auto"/>
          <w:sz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476819F2">
      <w:pPr>
        <w:pStyle w:val="79"/>
        <w:rPr>
          <w:rFonts w:hint="eastAsia" w:cs="宋体"/>
          <w:color w:val="auto"/>
          <w:sz w:val="21"/>
          <w:highlight w:val="none"/>
        </w:rPr>
      </w:pPr>
      <w:r>
        <w:rPr>
          <w:rFonts w:hint="eastAsia" w:cs="宋体"/>
          <w:color w:val="auto"/>
          <w:sz w:val="21"/>
          <w:highlight w:val="none"/>
        </w:rPr>
        <w:t>（3）发包人签发进度款支付证书或临时进度款支付证书，不表明发包人已同意、批准或接受了承包人完成的相应部分的工作。</w:t>
      </w:r>
    </w:p>
    <w:p w14:paraId="7FB829E8">
      <w:pPr>
        <w:pStyle w:val="79"/>
        <w:outlineLvl w:val="0"/>
        <w:rPr>
          <w:rFonts w:hint="eastAsia" w:cs="宋体"/>
          <w:color w:val="auto"/>
          <w:sz w:val="21"/>
          <w:highlight w:val="none"/>
        </w:rPr>
      </w:pPr>
      <w:bookmarkStart w:id="543" w:name="_Toc406419283"/>
      <w:bookmarkStart w:id="544" w:name="_Toc406522158"/>
      <w:bookmarkStart w:id="545" w:name="_Toc478389127"/>
      <w:r>
        <w:rPr>
          <w:rFonts w:hint="eastAsia" w:cs="宋体"/>
          <w:color w:val="auto"/>
          <w:sz w:val="21"/>
          <w:highlight w:val="none"/>
        </w:rPr>
        <w:t>12.4.5 进度付款的修正</w:t>
      </w:r>
      <w:bookmarkEnd w:id="543"/>
      <w:bookmarkEnd w:id="544"/>
      <w:bookmarkEnd w:id="545"/>
    </w:p>
    <w:p w14:paraId="572CB70B">
      <w:pPr>
        <w:pStyle w:val="79"/>
        <w:rPr>
          <w:rFonts w:hint="eastAsia" w:cs="宋体"/>
          <w:color w:val="auto"/>
          <w:sz w:val="21"/>
          <w:highlight w:val="none"/>
        </w:rPr>
      </w:pPr>
      <w:r>
        <w:rPr>
          <w:rFonts w:hint="eastAsia" w:cs="宋体"/>
          <w:color w:val="auto"/>
          <w:sz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6977144F">
      <w:pPr>
        <w:pStyle w:val="79"/>
        <w:rPr>
          <w:rFonts w:hint="eastAsia" w:cs="宋体"/>
          <w:color w:val="auto"/>
          <w:sz w:val="21"/>
          <w:highlight w:val="none"/>
        </w:rPr>
      </w:pPr>
      <w:r>
        <w:rPr>
          <w:rFonts w:hint="eastAsia" w:cs="宋体"/>
          <w:color w:val="auto"/>
          <w:sz w:val="21"/>
          <w:highlight w:val="none"/>
        </w:rPr>
        <w:t>12.4.6 支付分解表</w:t>
      </w:r>
    </w:p>
    <w:p w14:paraId="18530972">
      <w:pPr>
        <w:pStyle w:val="79"/>
        <w:rPr>
          <w:rFonts w:hint="eastAsia" w:cs="宋体"/>
          <w:color w:val="auto"/>
          <w:sz w:val="21"/>
          <w:highlight w:val="none"/>
        </w:rPr>
      </w:pPr>
      <w:r>
        <w:rPr>
          <w:rFonts w:hint="eastAsia" w:cs="宋体"/>
          <w:color w:val="auto"/>
          <w:sz w:val="21"/>
          <w:highlight w:val="none"/>
        </w:rPr>
        <w:t>1、支付分解表的编制要求</w:t>
      </w:r>
    </w:p>
    <w:p w14:paraId="449E1FB9">
      <w:pPr>
        <w:pStyle w:val="79"/>
        <w:rPr>
          <w:rFonts w:hint="eastAsia" w:cs="宋体"/>
          <w:color w:val="auto"/>
          <w:sz w:val="21"/>
          <w:highlight w:val="none"/>
        </w:rPr>
      </w:pPr>
      <w:r>
        <w:rPr>
          <w:rFonts w:hint="eastAsia" w:cs="宋体"/>
          <w:color w:val="auto"/>
          <w:sz w:val="21"/>
          <w:highlight w:val="none"/>
        </w:rPr>
        <w:t>（1）支付分解表中所列的每期付款金额，应为第12.4.2项〔进度付款申请单的编制〕第（1）目的估算金额；</w:t>
      </w:r>
    </w:p>
    <w:p w14:paraId="0133D6B9">
      <w:pPr>
        <w:pStyle w:val="79"/>
        <w:rPr>
          <w:rFonts w:hint="eastAsia" w:cs="宋体"/>
          <w:color w:val="auto"/>
          <w:sz w:val="21"/>
          <w:highlight w:val="none"/>
        </w:rPr>
      </w:pPr>
      <w:r>
        <w:rPr>
          <w:rFonts w:hint="eastAsia" w:cs="宋体"/>
          <w:color w:val="auto"/>
          <w:sz w:val="21"/>
          <w:highlight w:val="none"/>
        </w:rPr>
        <w:t>（2）实际进度与施工进度计划不一致的，合同当事人可按照第4.4款〔商定或确定〕修改支付分解表；</w:t>
      </w:r>
    </w:p>
    <w:p w14:paraId="3CC13ADE">
      <w:pPr>
        <w:pStyle w:val="79"/>
        <w:rPr>
          <w:rFonts w:hint="eastAsia" w:cs="宋体"/>
          <w:color w:val="auto"/>
          <w:sz w:val="21"/>
          <w:highlight w:val="none"/>
        </w:rPr>
      </w:pPr>
      <w:r>
        <w:rPr>
          <w:rFonts w:hint="eastAsia" w:cs="宋体"/>
          <w:color w:val="auto"/>
          <w:sz w:val="21"/>
          <w:highlight w:val="none"/>
        </w:rPr>
        <w:t>（3）不采用支付分解表的，承包人应向发包人和监理人提交按季度编制的支付估算分解表，用于支付参考。</w:t>
      </w:r>
    </w:p>
    <w:p w14:paraId="5BFC3150">
      <w:pPr>
        <w:pStyle w:val="79"/>
        <w:rPr>
          <w:rFonts w:hint="eastAsia" w:cs="宋体"/>
          <w:color w:val="auto"/>
          <w:sz w:val="21"/>
          <w:highlight w:val="none"/>
        </w:rPr>
      </w:pPr>
      <w:r>
        <w:rPr>
          <w:rFonts w:hint="eastAsia" w:cs="宋体"/>
          <w:color w:val="auto"/>
          <w:sz w:val="21"/>
          <w:highlight w:val="none"/>
        </w:rPr>
        <w:t>2、总价合同支付分解表的编制与审批</w:t>
      </w:r>
    </w:p>
    <w:p w14:paraId="74FCA71F">
      <w:pPr>
        <w:pStyle w:val="79"/>
        <w:rPr>
          <w:rFonts w:hint="eastAsia" w:cs="宋体"/>
          <w:color w:val="auto"/>
          <w:sz w:val="21"/>
          <w:highlight w:val="none"/>
        </w:rPr>
      </w:pPr>
      <w:r>
        <w:rPr>
          <w:rFonts w:hint="eastAsia" w:cs="宋体"/>
          <w:color w:val="auto"/>
          <w:sz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1BA44108">
      <w:pPr>
        <w:pStyle w:val="79"/>
        <w:rPr>
          <w:rFonts w:hint="eastAsia" w:cs="宋体"/>
          <w:color w:val="auto"/>
          <w:sz w:val="21"/>
          <w:highlight w:val="none"/>
        </w:rPr>
      </w:pPr>
      <w:r>
        <w:rPr>
          <w:rFonts w:hint="eastAsia" w:cs="宋体"/>
          <w:color w:val="auto"/>
          <w:sz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075F919F">
      <w:pPr>
        <w:pStyle w:val="79"/>
        <w:rPr>
          <w:rFonts w:hint="eastAsia" w:cs="宋体"/>
          <w:color w:val="auto"/>
          <w:sz w:val="21"/>
          <w:highlight w:val="none"/>
        </w:rPr>
      </w:pPr>
      <w:r>
        <w:rPr>
          <w:rFonts w:hint="eastAsia" w:cs="宋体"/>
          <w:color w:val="auto"/>
          <w:sz w:val="21"/>
          <w:highlight w:val="none"/>
        </w:rPr>
        <w:t>（3）发包人逾期未完成支付分解表审批的，也未及时要求承包人进行修正和提供补充资料的，则承包人提交的支付分解表视为已经获得发包人批准。</w:t>
      </w:r>
    </w:p>
    <w:p w14:paraId="78623FB3">
      <w:pPr>
        <w:pStyle w:val="79"/>
        <w:rPr>
          <w:rFonts w:hint="eastAsia" w:cs="宋体"/>
          <w:color w:val="auto"/>
          <w:sz w:val="21"/>
          <w:highlight w:val="none"/>
        </w:rPr>
      </w:pPr>
      <w:r>
        <w:rPr>
          <w:rFonts w:hint="eastAsia" w:cs="宋体"/>
          <w:color w:val="auto"/>
          <w:sz w:val="21"/>
          <w:highlight w:val="none"/>
        </w:rPr>
        <w:t>3、单价合同的总价项目支付分解表的编制与审批</w:t>
      </w:r>
    </w:p>
    <w:p w14:paraId="6C32A60B">
      <w:pPr>
        <w:pStyle w:val="79"/>
        <w:rPr>
          <w:rFonts w:hint="eastAsia" w:cs="宋体"/>
          <w:color w:val="auto"/>
          <w:sz w:val="21"/>
          <w:highlight w:val="none"/>
        </w:rPr>
      </w:pPr>
      <w:r>
        <w:rPr>
          <w:rFonts w:hint="eastAsia" w:cs="宋体"/>
          <w:color w:val="auto"/>
          <w:sz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E18E31D">
      <w:pPr>
        <w:pStyle w:val="321"/>
        <w:rPr>
          <w:rFonts w:hint="eastAsia" w:ascii="宋体" w:cs="宋体"/>
          <w:color w:val="auto"/>
          <w:highlight w:val="none"/>
        </w:rPr>
      </w:pPr>
      <w:bookmarkStart w:id="546" w:name="_Toc478389128"/>
      <w:bookmarkStart w:id="547" w:name="_Toc351203585"/>
      <w:r>
        <w:rPr>
          <w:rFonts w:hint="eastAsia" w:ascii="宋体" w:cs="宋体"/>
          <w:color w:val="auto"/>
          <w:highlight w:val="none"/>
        </w:rPr>
        <w:t>12.5支付账户</w:t>
      </w:r>
      <w:bookmarkEnd w:id="546"/>
      <w:bookmarkEnd w:id="547"/>
    </w:p>
    <w:p w14:paraId="4BCDB7C3">
      <w:pPr>
        <w:pStyle w:val="79"/>
        <w:rPr>
          <w:rFonts w:hint="eastAsia" w:cs="宋体"/>
          <w:color w:val="auto"/>
          <w:sz w:val="21"/>
          <w:highlight w:val="none"/>
        </w:rPr>
      </w:pPr>
      <w:r>
        <w:rPr>
          <w:rFonts w:hint="eastAsia" w:cs="宋体"/>
          <w:color w:val="auto"/>
          <w:sz w:val="21"/>
          <w:highlight w:val="none"/>
        </w:rPr>
        <w:t>发包人应将合同价款支付至合同协议书中约定的承包人账户。</w:t>
      </w:r>
    </w:p>
    <w:p w14:paraId="2E0F80CB">
      <w:pPr>
        <w:pStyle w:val="321"/>
        <w:rPr>
          <w:rFonts w:hint="eastAsia" w:ascii="宋体" w:cs="宋体"/>
          <w:color w:val="auto"/>
          <w:highlight w:val="none"/>
        </w:rPr>
      </w:pPr>
      <w:bookmarkStart w:id="548" w:name="_Toc478389129"/>
      <w:bookmarkStart w:id="549" w:name="_Toc351203586"/>
      <w:bookmarkStart w:id="550" w:name="_Toc322522574"/>
      <w:bookmarkStart w:id="551" w:name="_Toc337558804"/>
      <w:bookmarkStart w:id="552" w:name="_Toc296503106"/>
      <w:bookmarkStart w:id="553" w:name="_Toc296346607"/>
      <w:r>
        <w:rPr>
          <w:rFonts w:hint="eastAsia" w:ascii="宋体" w:cs="宋体"/>
          <w:color w:val="auto"/>
          <w:highlight w:val="none"/>
        </w:rPr>
        <w:t>13. 验收和工程试车</w:t>
      </w:r>
      <w:bookmarkEnd w:id="548"/>
      <w:bookmarkEnd w:id="549"/>
    </w:p>
    <w:bookmarkEnd w:id="550"/>
    <w:bookmarkEnd w:id="551"/>
    <w:bookmarkEnd w:id="552"/>
    <w:bookmarkEnd w:id="553"/>
    <w:p w14:paraId="23CCB421">
      <w:pPr>
        <w:pStyle w:val="321"/>
        <w:rPr>
          <w:rFonts w:hint="eastAsia" w:ascii="宋体" w:cs="宋体"/>
          <w:color w:val="auto"/>
          <w:highlight w:val="none"/>
        </w:rPr>
      </w:pPr>
      <w:bookmarkStart w:id="554" w:name="_Toc351203587"/>
      <w:bookmarkStart w:id="555" w:name="_Toc478389130"/>
      <w:bookmarkStart w:id="556" w:name="_Toc337558805"/>
      <w:bookmarkStart w:id="557" w:name="_Toc296503110"/>
      <w:bookmarkStart w:id="558" w:name="_Toc296346611"/>
      <w:r>
        <w:rPr>
          <w:rFonts w:hint="eastAsia" w:ascii="宋体" w:cs="宋体"/>
          <w:color w:val="auto"/>
          <w:highlight w:val="none"/>
        </w:rPr>
        <w:t>13.1分部分项工程验收</w:t>
      </w:r>
      <w:bookmarkEnd w:id="554"/>
      <w:bookmarkEnd w:id="555"/>
    </w:p>
    <w:bookmarkEnd w:id="556"/>
    <w:p w14:paraId="7F271B4B">
      <w:pPr>
        <w:pStyle w:val="79"/>
        <w:rPr>
          <w:rFonts w:hint="eastAsia" w:cs="宋体"/>
          <w:color w:val="auto"/>
          <w:sz w:val="21"/>
          <w:highlight w:val="none"/>
        </w:rPr>
      </w:pPr>
      <w:r>
        <w:rPr>
          <w:rFonts w:hint="eastAsia" w:cs="宋体"/>
          <w:color w:val="auto"/>
          <w:sz w:val="21"/>
          <w:highlight w:val="none"/>
        </w:rPr>
        <w:t>13.1.1分部分项工程质量应符合国家有关工程施工验收规范、标准及合同约定，承包人应按照施工组织设计的要求完成分部分项工程施工。</w:t>
      </w:r>
    </w:p>
    <w:p w14:paraId="1A4F0D20">
      <w:pPr>
        <w:pStyle w:val="79"/>
        <w:rPr>
          <w:rFonts w:hint="eastAsia" w:cs="宋体"/>
          <w:color w:val="auto"/>
          <w:sz w:val="21"/>
          <w:highlight w:val="none"/>
        </w:rPr>
      </w:pPr>
      <w:r>
        <w:rPr>
          <w:rFonts w:hint="eastAsia" w:cs="宋体"/>
          <w:color w:val="auto"/>
          <w:sz w:val="21"/>
          <w:highlight w:val="none"/>
        </w:rPr>
        <w:t>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65B74849">
      <w:pPr>
        <w:pStyle w:val="79"/>
        <w:rPr>
          <w:rFonts w:hint="eastAsia" w:cs="宋体"/>
          <w:color w:val="auto"/>
          <w:sz w:val="21"/>
          <w:highlight w:val="none"/>
        </w:rPr>
      </w:pPr>
      <w:r>
        <w:rPr>
          <w:rFonts w:hint="eastAsia" w:cs="宋体"/>
          <w:color w:val="auto"/>
          <w:sz w:val="21"/>
          <w:highlight w:val="none"/>
        </w:rPr>
        <w:t>分部分项工程的验收资料应当作为竣工资料的组成部分。</w:t>
      </w:r>
    </w:p>
    <w:p w14:paraId="435CF32F">
      <w:pPr>
        <w:pStyle w:val="321"/>
        <w:rPr>
          <w:rFonts w:hint="eastAsia" w:ascii="宋体" w:cs="宋体"/>
          <w:color w:val="auto"/>
          <w:highlight w:val="none"/>
        </w:rPr>
      </w:pPr>
      <w:bookmarkStart w:id="559" w:name="_Toc351203588"/>
      <w:bookmarkStart w:id="560" w:name="_Toc478389131"/>
      <w:bookmarkStart w:id="561" w:name="_Toc337558806"/>
      <w:r>
        <w:rPr>
          <w:rFonts w:hint="eastAsia" w:ascii="宋体" w:cs="宋体"/>
          <w:color w:val="auto"/>
          <w:highlight w:val="none"/>
        </w:rPr>
        <w:t>13.2竣工验收</w:t>
      </w:r>
      <w:bookmarkEnd w:id="559"/>
      <w:bookmarkEnd w:id="560"/>
    </w:p>
    <w:bookmarkEnd w:id="557"/>
    <w:bookmarkEnd w:id="558"/>
    <w:bookmarkEnd w:id="561"/>
    <w:p w14:paraId="5FEA23AB">
      <w:pPr>
        <w:pStyle w:val="79"/>
        <w:outlineLvl w:val="0"/>
        <w:rPr>
          <w:rFonts w:hint="eastAsia" w:cs="宋体"/>
          <w:color w:val="auto"/>
          <w:sz w:val="21"/>
          <w:highlight w:val="none"/>
        </w:rPr>
      </w:pPr>
      <w:bookmarkStart w:id="562" w:name="_Toc478389132"/>
      <w:bookmarkStart w:id="563" w:name="_Toc406419288"/>
      <w:bookmarkStart w:id="564" w:name="_Toc406522163"/>
      <w:r>
        <w:rPr>
          <w:rFonts w:hint="eastAsia" w:cs="宋体"/>
          <w:color w:val="auto"/>
          <w:sz w:val="21"/>
          <w:highlight w:val="none"/>
        </w:rPr>
        <w:t>13.2.1竣工验收条件</w:t>
      </w:r>
      <w:bookmarkEnd w:id="562"/>
      <w:bookmarkEnd w:id="563"/>
      <w:bookmarkEnd w:id="564"/>
    </w:p>
    <w:p w14:paraId="34674FE8">
      <w:pPr>
        <w:pStyle w:val="79"/>
        <w:rPr>
          <w:rFonts w:hint="eastAsia" w:cs="宋体"/>
          <w:color w:val="auto"/>
          <w:sz w:val="21"/>
          <w:highlight w:val="none"/>
        </w:rPr>
      </w:pPr>
      <w:r>
        <w:rPr>
          <w:rFonts w:hint="eastAsia" w:cs="宋体"/>
          <w:color w:val="auto"/>
          <w:sz w:val="21"/>
          <w:highlight w:val="none"/>
        </w:rPr>
        <w:t>工程具备以下条件的，承包人可以申请竣工验收：</w:t>
      </w:r>
    </w:p>
    <w:p w14:paraId="7A7149A0">
      <w:pPr>
        <w:pStyle w:val="79"/>
        <w:rPr>
          <w:rFonts w:hint="eastAsia" w:cs="宋体"/>
          <w:color w:val="auto"/>
          <w:sz w:val="21"/>
          <w:highlight w:val="none"/>
        </w:rPr>
      </w:pPr>
      <w:r>
        <w:rPr>
          <w:rFonts w:hint="eastAsia" w:cs="宋体"/>
          <w:color w:val="auto"/>
          <w:sz w:val="21"/>
          <w:highlight w:val="none"/>
        </w:rPr>
        <w:t>（1）除发包人同意的甩项工作和缺陷修补工作外，合同范围内的全部工程以及有关工作，包括合同要求的试验、试运行以及检验均已完成，并符合合同要求；</w:t>
      </w:r>
    </w:p>
    <w:p w14:paraId="672270DD">
      <w:pPr>
        <w:pStyle w:val="79"/>
        <w:rPr>
          <w:rFonts w:hint="eastAsia" w:cs="宋体"/>
          <w:color w:val="auto"/>
          <w:sz w:val="21"/>
          <w:highlight w:val="none"/>
        </w:rPr>
      </w:pPr>
      <w:r>
        <w:rPr>
          <w:rFonts w:hint="eastAsia" w:cs="宋体"/>
          <w:color w:val="auto"/>
          <w:sz w:val="21"/>
          <w:highlight w:val="none"/>
        </w:rPr>
        <w:t>（2）已按合同约定编制了甩项工作和缺陷修补工作清单以及相应的施工计划；</w:t>
      </w:r>
    </w:p>
    <w:p w14:paraId="2F50C44C">
      <w:pPr>
        <w:pStyle w:val="79"/>
        <w:rPr>
          <w:rFonts w:hint="eastAsia" w:cs="宋体"/>
          <w:color w:val="auto"/>
          <w:sz w:val="21"/>
          <w:highlight w:val="none"/>
        </w:rPr>
      </w:pPr>
      <w:r>
        <w:rPr>
          <w:rFonts w:hint="eastAsia" w:cs="宋体"/>
          <w:color w:val="auto"/>
          <w:sz w:val="21"/>
          <w:highlight w:val="none"/>
        </w:rPr>
        <w:t>（3）已按合同约定的内容和份数备齐竣工资料。</w:t>
      </w:r>
    </w:p>
    <w:p w14:paraId="488774AC">
      <w:pPr>
        <w:pStyle w:val="79"/>
        <w:rPr>
          <w:rFonts w:hint="eastAsia" w:cs="宋体"/>
          <w:color w:val="auto"/>
          <w:sz w:val="21"/>
          <w:highlight w:val="none"/>
        </w:rPr>
      </w:pPr>
      <w:r>
        <w:rPr>
          <w:rFonts w:hint="eastAsia" w:cs="宋体"/>
          <w:color w:val="auto"/>
          <w:sz w:val="21"/>
          <w:highlight w:val="none"/>
        </w:rPr>
        <w:t>13.2.2竣工验收程序</w:t>
      </w:r>
    </w:p>
    <w:p w14:paraId="0F93B4E4">
      <w:pPr>
        <w:pStyle w:val="79"/>
        <w:rPr>
          <w:rFonts w:hint="eastAsia" w:cs="宋体"/>
          <w:color w:val="auto"/>
          <w:sz w:val="21"/>
          <w:highlight w:val="none"/>
        </w:rPr>
      </w:pPr>
      <w:r>
        <w:rPr>
          <w:rFonts w:hint="eastAsia" w:cs="宋体"/>
          <w:color w:val="auto"/>
          <w:sz w:val="21"/>
          <w:highlight w:val="none"/>
        </w:rPr>
        <w:t>除专用合同条款另有约定外，承包人申请竣工验收的，应当按照以下程序进行：</w:t>
      </w:r>
    </w:p>
    <w:p w14:paraId="308F5077">
      <w:pPr>
        <w:pStyle w:val="79"/>
        <w:rPr>
          <w:rFonts w:hint="eastAsia" w:cs="宋体"/>
          <w:color w:val="auto"/>
          <w:sz w:val="21"/>
          <w:highlight w:val="none"/>
        </w:rPr>
      </w:pPr>
      <w:r>
        <w:rPr>
          <w:rFonts w:hint="eastAsia" w:cs="宋体"/>
          <w:color w:val="auto"/>
          <w:sz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050EC392">
      <w:pPr>
        <w:pStyle w:val="79"/>
        <w:rPr>
          <w:rFonts w:hint="eastAsia" w:cs="宋体"/>
          <w:color w:val="auto"/>
          <w:sz w:val="21"/>
          <w:highlight w:val="none"/>
        </w:rPr>
      </w:pPr>
      <w:r>
        <w:rPr>
          <w:rFonts w:hint="eastAsia" w:cs="宋体"/>
          <w:color w:val="auto"/>
          <w:sz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22715F74">
      <w:pPr>
        <w:pStyle w:val="79"/>
        <w:rPr>
          <w:rFonts w:hint="eastAsia" w:cs="宋体"/>
          <w:color w:val="auto"/>
          <w:sz w:val="21"/>
          <w:highlight w:val="none"/>
        </w:rPr>
      </w:pPr>
      <w:r>
        <w:rPr>
          <w:rFonts w:hint="eastAsia" w:cs="宋体"/>
          <w:color w:val="auto"/>
          <w:sz w:val="21"/>
          <w:highlight w:val="none"/>
        </w:rPr>
        <w:t>（3）竣工验收合格的，发包人应在验收合格后14天内向承包人签发工程接收证书。发包人无正当理由逾期不颁发工程接收证书的，自验收合格后第15天起视为已颁发工程接收证书。</w:t>
      </w:r>
    </w:p>
    <w:p w14:paraId="7267AD72">
      <w:pPr>
        <w:pStyle w:val="79"/>
        <w:rPr>
          <w:rFonts w:hint="eastAsia" w:cs="宋体"/>
          <w:color w:val="auto"/>
          <w:sz w:val="21"/>
          <w:highlight w:val="none"/>
        </w:rPr>
      </w:pPr>
      <w:r>
        <w:rPr>
          <w:rFonts w:hint="eastAsia" w:cs="宋体"/>
          <w:color w:val="auto"/>
          <w:sz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E75D31F">
      <w:pPr>
        <w:pStyle w:val="79"/>
        <w:rPr>
          <w:rFonts w:hint="eastAsia" w:cs="宋体"/>
          <w:color w:val="auto"/>
          <w:sz w:val="21"/>
          <w:highlight w:val="none"/>
        </w:rPr>
      </w:pPr>
      <w:r>
        <w:rPr>
          <w:rFonts w:hint="eastAsia" w:cs="宋体"/>
          <w:color w:val="auto"/>
          <w:sz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59310488">
      <w:pPr>
        <w:pStyle w:val="79"/>
        <w:rPr>
          <w:rFonts w:hint="eastAsia" w:cs="宋体"/>
          <w:color w:val="auto"/>
          <w:sz w:val="21"/>
          <w:highlight w:val="none"/>
        </w:rPr>
      </w:pPr>
      <w:r>
        <w:rPr>
          <w:rFonts w:hint="eastAsia" w:cs="宋体"/>
          <w:color w:val="auto"/>
          <w:sz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4887BF0E">
      <w:pPr>
        <w:pStyle w:val="79"/>
        <w:rPr>
          <w:rFonts w:hint="eastAsia" w:cs="宋体"/>
          <w:color w:val="auto"/>
          <w:sz w:val="21"/>
          <w:highlight w:val="none"/>
        </w:rPr>
      </w:pPr>
      <w:r>
        <w:rPr>
          <w:rFonts w:hint="eastAsia" w:cs="宋体"/>
          <w:color w:val="auto"/>
          <w:sz w:val="21"/>
          <w:highlight w:val="none"/>
        </w:rPr>
        <w:t>13.2.3竣工日期</w:t>
      </w:r>
    </w:p>
    <w:p w14:paraId="1AB95A46">
      <w:pPr>
        <w:pStyle w:val="79"/>
        <w:rPr>
          <w:rFonts w:hint="eastAsia" w:cs="宋体"/>
          <w:color w:val="auto"/>
          <w:sz w:val="21"/>
          <w:highlight w:val="none"/>
        </w:rPr>
      </w:pPr>
      <w:r>
        <w:rPr>
          <w:rFonts w:hint="eastAsia" w:cs="宋体"/>
          <w:color w:val="auto"/>
          <w:sz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565" w:name="#go14"/>
      <w:bookmarkEnd w:id="565"/>
      <w:r>
        <w:rPr>
          <w:rFonts w:hint="eastAsia" w:cs="宋体"/>
          <w:color w:val="auto"/>
          <w:sz w:val="21"/>
          <w:highlight w:val="none"/>
        </w:rPr>
        <w:t>收申请报告的日期为实际竣工日期；工程未经竣工验收，发包人擅自使用的，以转移占有工程之日为实际竣工日期。</w:t>
      </w:r>
    </w:p>
    <w:p w14:paraId="53C8EF45">
      <w:pPr>
        <w:pStyle w:val="79"/>
        <w:rPr>
          <w:rFonts w:hint="eastAsia" w:cs="宋体"/>
          <w:color w:val="auto"/>
          <w:sz w:val="21"/>
          <w:highlight w:val="none"/>
        </w:rPr>
      </w:pPr>
      <w:r>
        <w:rPr>
          <w:rFonts w:hint="eastAsia" w:cs="宋体"/>
          <w:color w:val="auto"/>
          <w:sz w:val="21"/>
          <w:highlight w:val="none"/>
        </w:rPr>
        <w:t>13.2.4 拒绝接收全部或部分工程</w:t>
      </w:r>
    </w:p>
    <w:p w14:paraId="5E8FFA9D">
      <w:pPr>
        <w:pStyle w:val="79"/>
        <w:rPr>
          <w:rFonts w:hint="eastAsia" w:cs="宋体"/>
          <w:color w:val="auto"/>
          <w:sz w:val="21"/>
          <w:highlight w:val="none"/>
        </w:rPr>
      </w:pPr>
      <w:r>
        <w:rPr>
          <w:rFonts w:hint="eastAsia" w:cs="宋体"/>
          <w:color w:val="auto"/>
          <w:sz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48E3CFD">
      <w:pPr>
        <w:pStyle w:val="79"/>
        <w:outlineLvl w:val="0"/>
        <w:rPr>
          <w:rFonts w:hint="eastAsia" w:cs="宋体"/>
          <w:color w:val="auto"/>
          <w:sz w:val="21"/>
          <w:highlight w:val="none"/>
        </w:rPr>
      </w:pPr>
      <w:bookmarkStart w:id="566" w:name="_Toc406522164"/>
      <w:bookmarkStart w:id="567" w:name="_Toc478389133"/>
      <w:bookmarkStart w:id="568" w:name="_Toc406419289"/>
      <w:r>
        <w:rPr>
          <w:rFonts w:hint="eastAsia" w:cs="宋体"/>
          <w:color w:val="auto"/>
          <w:sz w:val="21"/>
          <w:highlight w:val="none"/>
        </w:rPr>
        <w:t>13.2.5 移交、接收全部与部分工程</w:t>
      </w:r>
      <w:bookmarkEnd w:id="566"/>
      <w:bookmarkEnd w:id="567"/>
      <w:bookmarkEnd w:id="568"/>
    </w:p>
    <w:p w14:paraId="6FC69B96">
      <w:pPr>
        <w:pStyle w:val="79"/>
        <w:rPr>
          <w:rFonts w:hint="eastAsia" w:cs="宋体"/>
          <w:color w:val="auto"/>
          <w:sz w:val="21"/>
          <w:highlight w:val="none"/>
        </w:rPr>
      </w:pPr>
      <w:r>
        <w:rPr>
          <w:rFonts w:hint="eastAsia" w:cs="宋体"/>
          <w:color w:val="auto"/>
          <w:sz w:val="21"/>
          <w:highlight w:val="none"/>
        </w:rPr>
        <w:t>除专用合同条款另有约定外，合同当事人应当在颁发工程接收证书后7天内完成工程的移交。</w:t>
      </w:r>
    </w:p>
    <w:p w14:paraId="314BB5FD">
      <w:pPr>
        <w:pStyle w:val="79"/>
        <w:rPr>
          <w:rFonts w:hint="eastAsia" w:cs="宋体"/>
          <w:color w:val="auto"/>
          <w:sz w:val="21"/>
          <w:highlight w:val="none"/>
        </w:rPr>
      </w:pPr>
      <w:r>
        <w:rPr>
          <w:rFonts w:hint="eastAsia" w:cs="宋体"/>
          <w:color w:val="auto"/>
          <w:sz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40918559">
      <w:pPr>
        <w:pStyle w:val="79"/>
        <w:rPr>
          <w:rFonts w:hint="eastAsia" w:cs="宋体"/>
          <w:color w:val="auto"/>
          <w:sz w:val="21"/>
          <w:highlight w:val="none"/>
        </w:rPr>
      </w:pPr>
      <w:r>
        <w:rPr>
          <w:rFonts w:hint="eastAsia" w:cs="宋体"/>
          <w:color w:val="auto"/>
          <w:sz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29B58A64">
      <w:pPr>
        <w:pStyle w:val="321"/>
        <w:rPr>
          <w:rFonts w:hint="eastAsia" w:ascii="宋体" w:cs="宋体"/>
          <w:color w:val="auto"/>
          <w:highlight w:val="none"/>
        </w:rPr>
      </w:pPr>
      <w:bookmarkStart w:id="569" w:name="_Toc351203589"/>
      <w:bookmarkStart w:id="570" w:name="_Toc478389134"/>
      <w:bookmarkStart w:id="571" w:name="_Toc337558807"/>
      <w:bookmarkStart w:id="572" w:name="_Toc296503111"/>
      <w:bookmarkStart w:id="573" w:name="_Toc296346612"/>
      <w:r>
        <w:rPr>
          <w:rFonts w:hint="eastAsia" w:ascii="宋体" w:cs="宋体"/>
          <w:color w:val="auto"/>
          <w:highlight w:val="none"/>
        </w:rPr>
        <w:t>13.3工程试车</w:t>
      </w:r>
      <w:bookmarkEnd w:id="569"/>
      <w:bookmarkEnd w:id="570"/>
    </w:p>
    <w:bookmarkEnd w:id="571"/>
    <w:bookmarkEnd w:id="572"/>
    <w:bookmarkEnd w:id="573"/>
    <w:p w14:paraId="348AD6C0">
      <w:pPr>
        <w:pStyle w:val="79"/>
        <w:rPr>
          <w:rFonts w:hint="eastAsia" w:cs="宋体"/>
          <w:color w:val="auto"/>
          <w:sz w:val="21"/>
          <w:highlight w:val="none"/>
        </w:rPr>
      </w:pPr>
      <w:r>
        <w:rPr>
          <w:rFonts w:hint="eastAsia" w:cs="宋体"/>
          <w:color w:val="auto"/>
          <w:sz w:val="21"/>
          <w:highlight w:val="none"/>
        </w:rPr>
        <w:t>13.3.1试车程序</w:t>
      </w:r>
    </w:p>
    <w:p w14:paraId="4D5D54F9">
      <w:pPr>
        <w:pStyle w:val="79"/>
        <w:rPr>
          <w:rFonts w:hint="eastAsia" w:cs="宋体"/>
          <w:color w:val="auto"/>
          <w:sz w:val="21"/>
          <w:highlight w:val="none"/>
        </w:rPr>
      </w:pPr>
      <w:r>
        <w:rPr>
          <w:rFonts w:hint="eastAsia" w:cs="宋体"/>
          <w:color w:val="auto"/>
          <w:sz w:val="21"/>
          <w:highlight w:val="none"/>
        </w:rPr>
        <w:t>工程需要试车的，除专用合同条款另有约定外，试车内容应与承包人承包范围相一致，试车费用由承包人承担。工程试车应按如下程序进行：</w:t>
      </w:r>
    </w:p>
    <w:p w14:paraId="1091AA67">
      <w:pPr>
        <w:pStyle w:val="79"/>
        <w:rPr>
          <w:rFonts w:hint="eastAsia" w:cs="宋体"/>
          <w:color w:val="auto"/>
          <w:sz w:val="21"/>
          <w:highlight w:val="none"/>
        </w:rPr>
      </w:pPr>
      <w:r>
        <w:rPr>
          <w:rFonts w:hint="eastAsia" w:cs="宋体"/>
          <w:color w:val="auto"/>
          <w:sz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F42F202">
      <w:pPr>
        <w:pStyle w:val="79"/>
        <w:rPr>
          <w:rFonts w:hint="eastAsia" w:cs="宋体"/>
          <w:color w:val="auto"/>
          <w:sz w:val="21"/>
          <w:highlight w:val="none"/>
        </w:rPr>
      </w:pPr>
      <w:r>
        <w:rPr>
          <w:rFonts w:hint="eastAsia" w:cs="宋体"/>
          <w:color w:val="auto"/>
          <w:sz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64B003C">
      <w:pPr>
        <w:pStyle w:val="79"/>
        <w:rPr>
          <w:rFonts w:hint="eastAsia" w:cs="宋体"/>
          <w:color w:val="auto"/>
          <w:sz w:val="21"/>
          <w:highlight w:val="none"/>
        </w:rPr>
      </w:pPr>
      <w:r>
        <w:rPr>
          <w:rFonts w:hint="eastAsia" w:cs="宋体"/>
          <w:color w:val="auto"/>
          <w:sz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0654B88B">
      <w:pPr>
        <w:pStyle w:val="79"/>
        <w:rPr>
          <w:rFonts w:hint="eastAsia" w:cs="宋体"/>
          <w:color w:val="auto"/>
          <w:sz w:val="21"/>
          <w:highlight w:val="none"/>
        </w:rPr>
      </w:pPr>
      <w:r>
        <w:rPr>
          <w:rFonts w:hint="eastAsia" w:cs="宋体"/>
          <w:color w:val="auto"/>
          <w:sz w:val="21"/>
          <w:highlight w:val="none"/>
        </w:rPr>
        <w:t>13.3.2 试车中的责任</w:t>
      </w:r>
    </w:p>
    <w:p w14:paraId="7B386F8E">
      <w:pPr>
        <w:pStyle w:val="79"/>
        <w:rPr>
          <w:rFonts w:hint="eastAsia" w:cs="宋体"/>
          <w:color w:val="auto"/>
          <w:sz w:val="21"/>
          <w:highlight w:val="none"/>
        </w:rPr>
      </w:pPr>
      <w:r>
        <w:rPr>
          <w:rFonts w:hint="eastAsia" w:cs="宋体"/>
          <w:color w:val="auto"/>
          <w:sz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F1C8A3B">
      <w:pPr>
        <w:pStyle w:val="79"/>
        <w:rPr>
          <w:rFonts w:hint="eastAsia" w:cs="宋体"/>
          <w:color w:val="auto"/>
          <w:sz w:val="21"/>
          <w:highlight w:val="none"/>
        </w:rPr>
      </w:pPr>
      <w:r>
        <w:rPr>
          <w:rFonts w:hint="eastAsia" w:cs="宋体"/>
          <w:color w:val="auto"/>
          <w:sz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4EFC5C9">
      <w:pPr>
        <w:pStyle w:val="79"/>
        <w:rPr>
          <w:rFonts w:hint="eastAsia" w:cs="宋体"/>
          <w:color w:val="auto"/>
          <w:sz w:val="21"/>
          <w:highlight w:val="none"/>
        </w:rPr>
      </w:pPr>
      <w:r>
        <w:rPr>
          <w:rFonts w:hint="eastAsia" w:cs="宋体"/>
          <w:color w:val="auto"/>
          <w:sz w:val="21"/>
          <w:highlight w:val="none"/>
        </w:rPr>
        <w:t>13.3.3 投料试车</w:t>
      </w:r>
    </w:p>
    <w:p w14:paraId="3D838D61">
      <w:pPr>
        <w:pStyle w:val="79"/>
        <w:rPr>
          <w:rFonts w:hint="eastAsia" w:cs="宋体"/>
          <w:color w:val="auto"/>
          <w:sz w:val="21"/>
          <w:highlight w:val="none"/>
        </w:rPr>
      </w:pPr>
      <w:r>
        <w:rPr>
          <w:rFonts w:hint="eastAsia" w:cs="宋体"/>
          <w:color w:val="auto"/>
          <w:sz w:val="21"/>
          <w:highlight w:val="none"/>
        </w:rPr>
        <w:t>如需进行投料试车的，发包人应在工程竣工验收后组织投料试车。发包人要求在工程竣工验收前进行或需要承包人配合时，应征得承包人同意，并在专用合同条款中约定有关事项。</w:t>
      </w:r>
    </w:p>
    <w:p w14:paraId="7AD3A883">
      <w:pPr>
        <w:pStyle w:val="79"/>
        <w:rPr>
          <w:rFonts w:hint="eastAsia" w:cs="宋体"/>
          <w:color w:val="auto"/>
          <w:sz w:val="21"/>
          <w:highlight w:val="none"/>
        </w:rPr>
      </w:pPr>
      <w:r>
        <w:rPr>
          <w:rFonts w:hint="eastAsia" w:cs="宋体"/>
          <w:color w:val="auto"/>
          <w:sz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4F4A779">
      <w:pPr>
        <w:pStyle w:val="321"/>
        <w:rPr>
          <w:rFonts w:hint="eastAsia" w:ascii="宋体" w:cs="宋体"/>
          <w:color w:val="auto"/>
          <w:highlight w:val="none"/>
        </w:rPr>
      </w:pPr>
      <w:bookmarkStart w:id="574" w:name="_Toc478389135"/>
      <w:bookmarkStart w:id="575" w:name="_Toc351203590"/>
      <w:bookmarkStart w:id="576" w:name="_Toc337558808"/>
      <w:r>
        <w:rPr>
          <w:rFonts w:hint="eastAsia" w:ascii="宋体" w:cs="宋体"/>
          <w:color w:val="auto"/>
          <w:highlight w:val="none"/>
        </w:rPr>
        <w:t>13.4提前交付单位工程的验收</w:t>
      </w:r>
      <w:bookmarkEnd w:id="574"/>
      <w:bookmarkEnd w:id="575"/>
    </w:p>
    <w:bookmarkEnd w:id="576"/>
    <w:p w14:paraId="58C9866D">
      <w:pPr>
        <w:pStyle w:val="79"/>
        <w:rPr>
          <w:rFonts w:hint="eastAsia" w:cs="宋体"/>
          <w:color w:val="auto"/>
          <w:sz w:val="21"/>
          <w:highlight w:val="none"/>
        </w:rPr>
      </w:pPr>
      <w:r>
        <w:rPr>
          <w:rFonts w:hint="eastAsia" w:cs="宋体"/>
          <w:color w:val="auto"/>
          <w:sz w:val="21"/>
          <w:highlight w:val="none"/>
        </w:rPr>
        <w:t>13.4.1 发包人需要在工程竣工前使用单位工程的，或承包人提出提前交付已经竣工的单位工程且经发包人同意的，可进行单位工程验收，验收的程序按照第13.2款〔竣工验收〕的约定进行。</w:t>
      </w:r>
    </w:p>
    <w:p w14:paraId="4636E9A6">
      <w:pPr>
        <w:pStyle w:val="79"/>
        <w:rPr>
          <w:rFonts w:hint="eastAsia" w:cs="宋体"/>
          <w:color w:val="auto"/>
          <w:sz w:val="21"/>
          <w:highlight w:val="none"/>
        </w:rPr>
      </w:pPr>
      <w:r>
        <w:rPr>
          <w:rFonts w:hint="eastAsia" w:cs="宋体"/>
          <w:color w:val="auto"/>
          <w:sz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43AE6E48">
      <w:pPr>
        <w:pStyle w:val="79"/>
        <w:rPr>
          <w:rFonts w:hint="eastAsia" w:cs="宋体"/>
          <w:color w:val="auto"/>
          <w:sz w:val="21"/>
          <w:highlight w:val="none"/>
        </w:rPr>
      </w:pPr>
      <w:r>
        <w:rPr>
          <w:rFonts w:hint="eastAsia" w:cs="宋体"/>
          <w:color w:val="auto"/>
          <w:sz w:val="21"/>
          <w:highlight w:val="none"/>
        </w:rPr>
        <w:t>13.4.2 发包人要求在工程竣工前交付单位工程，由此导致承包人费用增加和（或）工期延误的，由发包人承担由此增加的费用和（或）延误的工期，并支付承包人合理的利润。</w:t>
      </w:r>
    </w:p>
    <w:p w14:paraId="15C985FE">
      <w:pPr>
        <w:pStyle w:val="321"/>
        <w:rPr>
          <w:rFonts w:hint="eastAsia" w:ascii="宋体" w:cs="宋体"/>
          <w:color w:val="auto"/>
          <w:highlight w:val="none"/>
        </w:rPr>
      </w:pPr>
      <w:bookmarkStart w:id="577" w:name="_Toc351203591"/>
      <w:bookmarkStart w:id="578" w:name="_Toc478389136"/>
      <w:r>
        <w:rPr>
          <w:rFonts w:hint="eastAsia" w:ascii="宋体" w:cs="宋体"/>
          <w:color w:val="auto"/>
          <w:highlight w:val="none"/>
        </w:rPr>
        <w:t>13.5 施工期运行</w:t>
      </w:r>
      <w:bookmarkEnd w:id="577"/>
      <w:bookmarkEnd w:id="578"/>
    </w:p>
    <w:p w14:paraId="6F261FD6">
      <w:pPr>
        <w:pStyle w:val="79"/>
        <w:rPr>
          <w:rFonts w:hint="eastAsia" w:cs="宋体"/>
          <w:color w:val="auto"/>
          <w:sz w:val="21"/>
          <w:highlight w:val="none"/>
        </w:rPr>
      </w:pPr>
      <w:r>
        <w:rPr>
          <w:rFonts w:hint="eastAsia" w:cs="宋体"/>
          <w:color w:val="auto"/>
          <w:sz w:val="21"/>
          <w:highlight w:val="none"/>
        </w:rPr>
        <w:t>13.5.1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4A04849">
      <w:pPr>
        <w:pStyle w:val="79"/>
        <w:rPr>
          <w:rFonts w:hint="eastAsia" w:cs="宋体"/>
          <w:color w:val="auto"/>
          <w:sz w:val="21"/>
          <w:highlight w:val="none"/>
        </w:rPr>
      </w:pPr>
      <w:r>
        <w:rPr>
          <w:rFonts w:hint="eastAsia" w:cs="宋体"/>
          <w:color w:val="auto"/>
          <w:sz w:val="21"/>
          <w:highlight w:val="none"/>
        </w:rPr>
        <w:t>13.5.2在施工期运行中发现工程或工程设备损坏或存在缺陷的，由承包人按第15.2款〔缺陷责任期〕约定进行修复。</w:t>
      </w:r>
    </w:p>
    <w:p w14:paraId="3401CF98">
      <w:pPr>
        <w:pStyle w:val="321"/>
        <w:rPr>
          <w:rFonts w:hint="eastAsia" w:ascii="宋体" w:cs="宋体"/>
          <w:color w:val="auto"/>
          <w:highlight w:val="none"/>
        </w:rPr>
      </w:pPr>
      <w:bookmarkStart w:id="579" w:name="_Toc296503112"/>
      <w:bookmarkStart w:id="580" w:name="_Toc296346613"/>
      <w:bookmarkStart w:id="581" w:name="_Toc351203592"/>
      <w:bookmarkStart w:id="582" w:name="_Toc478389137"/>
      <w:bookmarkStart w:id="583" w:name="_Toc337558809"/>
      <w:r>
        <w:rPr>
          <w:rFonts w:hint="eastAsia" w:ascii="宋体" w:cs="宋体"/>
          <w:color w:val="auto"/>
          <w:highlight w:val="none"/>
        </w:rPr>
        <w:t>13.6 竣工退</w:t>
      </w:r>
      <w:bookmarkEnd w:id="579"/>
      <w:bookmarkEnd w:id="580"/>
      <w:r>
        <w:rPr>
          <w:rFonts w:hint="eastAsia" w:ascii="宋体" w:cs="宋体"/>
          <w:color w:val="auto"/>
          <w:highlight w:val="none"/>
        </w:rPr>
        <w:t>场</w:t>
      </w:r>
      <w:bookmarkEnd w:id="581"/>
      <w:bookmarkEnd w:id="582"/>
    </w:p>
    <w:bookmarkEnd w:id="583"/>
    <w:p w14:paraId="4485C11A">
      <w:pPr>
        <w:pStyle w:val="79"/>
        <w:rPr>
          <w:rFonts w:hint="eastAsia" w:cs="宋体"/>
          <w:color w:val="auto"/>
          <w:sz w:val="21"/>
          <w:highlight w:val="none"/>
        </w:rPr>
      </w:pPr>
      <w:r>
        <w:rPr>
          <w:rFonts w:hint="eastAsia" w:cs="宋体"/>
          <w:color w:val="auto"/>
          <w:sz w:val="21"/>
          <w:highlight w:val="none"/>
        </w:rPr>
        <w:t>13.6.1 竣工退场</w:t>
      </w:r>
    </w:p>
    <w:p w14:paraId="5A4DD5D7">
      <w:pPr>
        <w:pStyle w:val="79"/>
        <w:rPr>
          <w:rFonts w:hint="eastAsia" w:cs="宋体"/>
          <w:color w:val="auto"/>
          <w:sz w:val="21"/>
          <w:highlight w:val="none"/>
        </w:rPr>
      </w:pPr>
      <w:r>
        <w:rPr>
          <w:rFonts w:hint="eastAsia" w:cs="宋体"/>
          <w:color w:val="auto"/>
          <w:sz w:val="21"/>
          <w:highlight w:val="none"/>
        </w:rPr>
        <w:t>颁发工程接收证书后，承包人应按以下要求对施工现场进行清理：</w:t>
      </w:r>
    </w:p>
    <w:p w14:paraId="7711794F">
      <w:pPr>
        <w:pStyle w:val="79"/>
        <w:rPr>
          <w:rFonts w:hint="eastAsia" w:cs="宋体"/>
          <w:color w:val="auto"/>
          <w:sz w:val="21"/>
          <w:highlight w:val="none"/>
        </w:rPr>
      </w:pPr>
      <w:r>
        <w:rPr>
          <w:rFonts w:hint="eastAsia" w:cs="宋体"/>
          <w:color w:val="auto"/>
          <w:sz w:val="21"/>
          <w:highlight w:val="none"/>
        </w:rPr>
        <w:t>（1）施工现场内残留的垃圾已全部清除出场；</w:t>
      </w:r>
    </w:p>
    <w:p w14:paraId="7467D497">
      <w:pPr>
        <w:pStyle w:val="79"/>
        <w:rPr>
          <w:rFonts w:hint="eastAsia" w:cs="宋体"/>
          <w:color w:val="auto"/>
          <w:sz w:val="21"/>
          <w:highlight w:val="none"/>
        </w:rPr>
      </w:pPr>
      <w:r>
        <w:rPr>
          <w:rFonts w:hint="eastAsia" w:cs="宋体"/>
          <w:color w:val="auto"/>
          <w:sz w:val="21"/>
          <w:highlight w:val="none"/>
        </w:rPr>
        <w:t>（2）临时工程已拆除，场地已进行清理、平整或复原；</w:t>
      </w:r>
    </w:p>
    <w:p w14:paraId="4E539FAA">
      <w:pPr>
        <w:pStyle w:val="79"/>
        <w:rPr>
          <w:rFonts w:hint="eastAsia" w:cs="宋体"/>
          <w:color w:val="auto"/>
          <w:sz w:val="21"/>
          <w:highlight w:val="none"/>
        </w:rPr>
      </w:pPr>
      <w:r>
        <w:rPr>
          <w:rFonts w:hint="eastAsia" w:cs="宋体"/>
          <w:color w:val="auto"/>
          <w:sz w:val="21"/>
          <w:highlight w:val="none"/>
        </w:rPr>
        <w:t>（3）按合同约定应撤离的人员、承包人施工设备和剩余的材料，包括废弃的施工设备和材料，已按计划撤离施工现场；</w:t>
      </w:r>
    </w:p>
    <w:p w14:paraId="79210B81">
      <w:pPr>
        <w:pStyle w:val="79"/>
        <w:rPr>
          <w:rFonts w:hint="eastAsia" w:cs="宋体"/>
          <w:color w:val="auto"/>
          <w:sz w:val="21"/>
          <w:highlight w:val="none"/>
        </w:rPr>
      </w:pPr>
      <w:r>
        <w:rPr>
          <w:rFonts w:hint="eastAsia" w:cs="宋体"/>
          <w:color w:val="auto"/>
          <w:sz w:val="21"/>
          <w:highlight w:val="none"/>
        </w:rPr>
        <w:t>（4）施工现场周边及其附近道路、河道的施工堆积物，已全部清理；</w:t>
      </w:r>
    </w:p>
    <w:p w14:paraId="03C35066">
      <w:pPr>
        <w:pStyle w:val="79"/>
        <w:rPr>
          <w:rFonts w:hint="eastAsia" w:cs="宋体"/>
          <w:color w:val="auto"/>
          <w:sz w:val="21"/>
          <w:highlight w:val="none"/>
        </w:rPr>
      </w:pPr>
      <w:r>
        <w:rPr>
          <w:rFonts w:hint="eastAsia" w:cs="宋体"/>
          <w:color w:val="auto"/>
          <w:sz w:val="21"/>
          <w:highlight w:val="none"/>
        </w:rPr>
        <w:t>（5）施工现场其他场地清理工作已全部完成。</w:t>
      </w:r>
    </w:p>
    <w:p w14:paraId="76F00855">
      <w:pPr>
        <w:pStyle w:val="79"/>
        <w:rPr>
          <w:rFonts w:hint="eastAsia" w:cs="宋体"/>
          <w:color w:val="auto"/>
          <w:sz w:val="21"/>
          <w:highlight w:val="none"/>
        </w:rPr>
      </w:pPr>
      <w:r>
        <w:rPr>
          <w:rFonts w:hint="eastAsia" w:cs="宋体"/>
          <w:color w:val="auto"/>
          <w:sz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717C9651">
      <w:pPr>
        <w:pStyle w:val="79"/>
        <w:rPr>
          <w:rFonts w:hint="eastAsia" w:cs="宋体"/>
          <w:color w:val="auto"/>
          <w:sz w:val="21"/>
          <w:highlight w:val="none"/>
        </w:rPr>
      </w:pPr>
      <w:r>
        <w:rPr>
          <w:rFonts w:hint="eastAsia" w:cs="宋体"/>
          <w:color w:val="auto"/>
          <w:sz w:val="21"/>
          <w:highlight w:val="none"/>
        </w:rPr>
        <w:t>13.6.2 地表还原</w:t>
      </w:r>
    </w:p>
    <w:p w14:paraId="539FA1ED">
      <w:pPr>
        <w:pStyle w:val="79"/>
        <w:rPr>
          <w:rFonts w:hint="eastAsia" w:cs="宋体"/>
          <w:color w:val="auto"/>
          <w:sz w:val="21"/>
          <w:highlight w:val="none"/>
        </w:rPr>
      </w:pPr>
      <w:r>
        <w:rPr>
          <w:rFonts w:hint="eastAsia" w:cs="宋体"/>
          <w:color w:val="auto"/>
          <w:sz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2E13EEB8">
      <w:pPr>
        <w:pStyle w:val="321"/>
        <w:rPr>
          <w:rFonts w:hint="eastAsia" w:ascii="宋体" w:cs="宋体"/>
          <w:color w:val="auto"/>
          <w:highlight w:val="none"/>
        </w:rPr>
      </w:pPr>
      <w:bookmarkStart w:id="584" w:name="_Toc478389138"/>
      <w:bookmarkStart w:id="585" w:name="_Toc351203593"/>
      <w:bookmarkStart w:id="586" w:name="_Toc337558810"/>
      <w:bookmarkStart w:id="587" w:name="_Toc296346614"/>
      <w:bookmarkStart w:id="588" w:name="_Toc296503113"/>
      <w:r>
        <w:rPr>
          <w:rFonts w:hint="eastAsia" w:ascii="宋体" w:cs="宋体"/>
          <w:color w:val="auto"/>
          <w:highlight w:val="none"/>
        </w:rPr>
        <w:t>14. 竣工结算</w:t>
      </w:r>
      <w:bookmarkEnd w:id="584"/>
      <w:bookmarkEnd w:id="585"/>
    </w:p>
    <w:bookmarkEnd w:id="586"/>
    <w:p w14:paraId="4DB9D8B8">
      <w:pPr>
        <w:pStyle w:val="321"/>
        <w:rPr>
          <w:rFonts w:hint="eastAsia" w:ascii="宋体" w:cs="宋体"/>
          <w:color w:val="auto"/>
          <w:highlight w:val="none"/>
        </w:rPr>
      </w:pPr>
      <w:bookmarkStart w:id="589" w:name="_Toc351203594"/>
      <w:bookmarkStart w:id="590" w:name="_Toc478389139"/>
      <w:bookmarkStart w:id="591" w:name="_Toc337558811"/>
      <w:r>
        <w:rPr>
          <w:rFonts w:hint="eastAsia" w:ascii="宋体" w:cs="宋体"/>
          <w:color w:val="auto"/>
          <w:highlight w:val="none"/>
        </w:rPr>
        <w:t>14.1 竣工结算申请</w:t>
      </w:r>
      <w:bookmarkEnd w:id="589"/>
      <w:bookmarkEnd w:id="590"/>
    </w:p>
    <w:bookmarkEnd w:id="591"/>
    <w:p w14:paraId="6DBBD672">
      <w:pPr>
        <w:pStyle w:val="79"/>
        <w:rPr>
          <w:rFonts w:hint="eastAsia" w:cs="宋体"/>
          <w:color w:val="auto"/>
          <w:sz w:val="21"/>
          <w:highlight w:val="none"/>
        </w:rPr>
      </w:pPr>
      <w:r>
        <w:rPr>
          <w:rFonts w:hint="eastAsia" w:cs="宋体"/>
          <w:color w:val="auto"/>
          <w:sz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5A1EB7D1">
      <w:pPr>
        <w:pStyle w:val="79"/>
        <w:rPr>
          <w:rFonts w:hint="eastAsia" w:cs="宋体"/>
          <w:color w:val="auto"/>
          <w:sz w:val="21"/>
          <w:highlight w:val="none"/>
        </w:rPr>
      </w:pPr>
      <w:r>
        <w:rPr>
          <w:rFonts w:hint="eastAsia" w:cs="宋体"/>
          <w:color w:val="auto"/>
          <w:sz w:val="21"/>
          <w:highlight w:val="none"/>
        </w:rPr>
        <w:t>除专用合同条款另有约定外，竣工结算申请单应包括以下内容：</w:t>
      </w:r>
    </w:p>
    <w:p w14:paraId="677EB60C">
      <w:pPr>
        <w:pStyle w:val="79"/>
        <w:rPr>
          <w:rFonts w:hint="eastAsia" w:cs="宋体"/>
          <w:color w:val="auto"/>
          <w:sz w:val="21"/>
          <w:highlight w:val="none"/>
        </w:rPr>
      </w:pPr>
      <w:r>
        <w:rPr>
          <w:rFonts w:hint="eastAsia" w:cs="宋体"/>
          <w:color w:val="auto"/>
          <w:sz w:val="21"/>
          <w:highlight w:val="none"/>
        </w:rPr>
        <w:t>（1）竣工结算合同价格；</w:t>
      </w:r>
    </w:p>
    <w:p w14:paraId="031AE47F">
      <w:pPr>
        <w:pStyle w:val="79"/>
        <w:rPr>
          <w:rFonts w:hint="eastAsia" w:cs="宋体"/>
          <w:color w:val="auto"/>
          <w:sz w:val="21"/>
          <w:highlight w:val="none"/>
        </w:rPr>
      </w:pPr>
      <w:r>
        <w:rPr>
          <w:rFonts w:hint="eastAsia" w:cs="宋体"/>
          <w:color w:val="auto"/>
          <w:sz w:val="21"/>
          <w:highlight w:val="none"/>
        </w:rPr>
        <w:t>（2）发包人已支付承包人的款项；</w:t>
      </w:r>
    </w:p>
    <w:p w14:paraId="39BC9276">
      <w:pPr>
        <w:pStyle w:val="79"/>
        <w:rPr>
          <w:rFonts w:hint="eastAsia" w:cs="宋体"/>
          <w:color w:val="auto"/>
          <w:sz w:val="21"/>
          <w:highlight w:val="none"/>
        </w:rPr>
      </w:pPr>
      <w:r>
        <w:rPr>
          <w:rFonts w:hint="eastAsia" w:cs="宋体"/>
          <w:color w:val="auto"/>
          <w:sz w:val="21"/>
          <w:highlight w:val="none"/>
        </w:rPr>
        <w:t xml:space="preserve">（3）应扣留的质量保证金； </w:t>
      </w:r>
    </w:p>
    <w:p w14:paraId="124B86CC">
      <w:pPr>
        <w:pStyle w:val="79"/>
        <w:rPr>
          <w:rFonts w:hint="eastAsia" w:cs="宋体"/>
          <w:color w:val="auto"/>
          <w:sz w:val="21"/>
          <w:highlight w:val="none"/>
        </w:rPr>
      </w:pPr>
      <w:r>
        <w:rPr>
          <w:rFonts w:hint="eastAsia" w:cs="宋体"/>
          <w:color w:val="auto"/>
          <w:sz w:val="21"/>
          <w:highlight w:val="none"/>
        </w:rPr>
        <w:t>（4）发包人应支付承包人的合同价款。</w:t>
      </w:r>
    </w:p>
    <w:p w14:paraId="767F06FD">
      <w:pPr>
        <w:pStyle w:val="321"/>
        <w:rPr>
          <w:rFonts w:hint="eastAsia" w:ascii="宋体" w:cs="宋体"/>
          <w:color w:val="auto"/>
          <w:highlight w:val="none"/>
        </w:rPr>
      </w:pPr>
      <w:bookmarkStart w:id="592" w:name="_Toc351203595"/>
      <w:bookmarkStart w:id="593" w:name="_Toc478389140"/>
      <w:bookmarkStart w:id="594" w:name="_Toc337558812"/>
      <w:r>
        <w:rPr>
          <w:rFonts w:hint="eastAsia" w:ascii="宋体" w:cs="宋体"/>
          <w:color w:val="auto"/>
          <w:highlight w:val="none"/>
        </w:rPr>
        <w:t>14.2 竣工结算审核</w:t>
      </w:r>
      <w:bookmarkEnd w:id="592"/>
      <w:bookmarkEnd w:id="593"/>
    </w:p>
    <w:bookmarkEnd w:id="594"/>
    <w:p w14:paraId="023C11AC">
      <w:pPr>
        <w:pStyle w:val="79"/>
        <w:rPr>
          <w:rFonts w:hint="eastAsia" w:cs="宋体"/>
          <w:color w:val="auto"/>
          <w:sz w:val="21"/>
          <w:highlight w:val="none"/>
        </w:rPr>
      </w:pPr>
      <w:r>
        <w:rPr>
          <w:rFonts w:hint="eastAsia" w:cs="宋体"/>
          <w:color w:val="auto"/>
          <w:sz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557EAD67">
      <w:pPr>
        <w:pStyle w:val="79"/>
        <w:rPr>
          <w:rFonts w:hint="eastAsia" w:cs="宋体"/>
          <w:color w:val="auto"/>
          <w:sz w:val="21"/>
          <w:highlight w:val="none"/>
        </w:rPr>
      </w:pPr>
      <w:r>
        <w:rPr>
          <w:rFonts w:hint="eastAsia" w:cs="宋体"/>
          <w:color w:val="auto"/>
          <w:sz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77CF31EB">
      <w:pPr>
        <w:pStyle w:val="79"/>
        <w:rPr>
          <w:rFonts w:hint="eastAsia" w:cs="宋体"/>
          <w:color w:val="auto"/>
          <w:sz w:val="21"/>
          <w:highlight w:val="none"/>
        </w:rPr>
      </w:pPr>
      <w:r>
        <w:rPr>
          <w:rFonts w:hint="eastAsia" w:cs="宋体"/>
          <w:color w:val="auto"/>
          <w:sz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2BAEB9F">
      <w:pPr>
        <w:pStyle w:val="79"/>
        <w:rPr>
          <w:rFonts w:hint="eastAsia" w:cs="宋体"/>
          <w:color w:val="auto"/>
          <w:sz w:val="21"/>
          <w:highlight w:val="none"/>
        </w:rPr>
      </w:pPr>
      <w:r>
        <w:rPr>
          <w:rFonts w:hint="eastAsia" w:cs="宋体"/>
          <w:color w:val="auto"/>
          <w:sz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7EE184A">
      <w:pPr>
        <w:pStyle w:val="321"/>
        <w:rPr>
          <w:rFonts w:hint="eastAsia" w:ascii="宋体" w:cs="宋体"/>
          <w:color w:val="auto"/>
          <w:highlight w:val="none"/>
        </w:rPr>
      </w:pPr>
      <w:bookmarkStart w:id="595" w:name="_Toc478389141"/>
      <w:bookmarkStart w:id="596" w:name="_Toc351203596"/>
      <w:bookmarkStart w:id="597" w:name="_Toc337558813"/>
      <w:r>
        <w:rPr>
          <w:rFonts w:hint="eastAsia" w:ascii="宋体" w:cs="宋体"/>
          <w:color w:val="auto"/>
          <w:highlight w:val="none"/>
        </w:rPr>
        <w:t>14.3 甩项竣工协议</w:t>
      </w:r>
      <w:bookmarkEnd w:id="595"/>
      <w:bookmarkEnd w:id="596"/>
    </w:p>
    <w:bookmarkEnd w:id="597"/>
    <w:p w14:paraId="4426AD71">
      <w:pPr>
        <w:pStyle w:val="79"/>
        <w:rPr>
          <w:rFonts w:hint="eastAsia" w:cs="宋体"/>
          <w:color w:val="auto"/>
          <w:sz w:val="21"/>
          <w:highlight w:val="none"/>
        </w:rPr>
      </w:pPr>
      <w:r>
        <w:rPr>
          <w:rFonts w:hint="eastAsia" w:cs="宋体"/>
          <w:color w:val="auto"/>
          <w:sz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1AD8AABC">
      <w:pPr>
        <w:pStyle w:val="321"/>
        <w:rPr>
          <w:rFonts w:hint="eastAsia" w:ascii="宋体" w:cs="宋体"/>
          <w:color w:val="auto"/>
          <w:highlight w:val="none"/>
        </w:rPr>
      </w:pPr>
      <w:bookmarkStart w:id="598" w:name="_Toc478389142"/>
      <w:bookmarkStart w:id="599" w:name="_Toc351203597"/>
      <w:bookmarkStart w:id="600" w:name="_Toc337558814"/>
      <w:r>
        <w:rPr>
          <w:rFonts w:hint="eastAsia" w:ascii="宋体" w:cs="宋体"/>
          <w:color w:val="auto"/>
          <w:highlight w:val="none"/>
        </w:rPr>
        <w:t>14.4 最终结清</w:t>
      </w:r>
      <w:bookmarkEnd w:id="598"/>
      <w:bookmarkEnd w:id="599"/>
    </w:p>
    <w:bookmarkEnd w:id="600"/>
    <w:p w14:paraId="051AAA3E">
      <w:pPr>
        <w:pStyle w:val="79"/>
        <w:rPr>
          <w:rFonts w:hint="eastAsia" w:cs="宋体"/>
          <w:color w:val="auto"/>
          <w:sz w:val="21"/>
          <w:highlight w:val="none"/>
        </w:rPr>
      </w:pPr>
      <w:r>
        <w:rPr>
          <w:rFonts w:hint="eastAsia" w:cs="宋体"/>
          <w:color w:val="auto"/>
          <w:sz w:val="21"/>
          <w:highlight w:val="none"/>
        </w:rPr>
        <w:t>14.4.1 最终结清申请单</w:t>
      </w:r>
    </w:p>
    <w:p w14:paraId="6B01CBFC">
      <w:pPr>
        <w:pStyle w:val="79"/>
        <w:rPr>
          <w:rFonts w:hint="eastAsia" w:cs="宋体"/>
          <w:color w:val="auto"/>
          <w:sz w:val="21"/>
          <w:highlight w:val="none"/>
        </w:rPr>
      </w:pPr>
      <w:r>
        <w:rPr>
          <w:rFonts w:hint="eastAsia" w:cs="宋体"/>
          <w:color w:val="auto"/>
          <w:sz w:val="21"/>
          <w:highlight w:val="none"/>
        </w:rPr>
        <w:t>（1）除专用合同条款另有约定外，承包人应在缺陷责任期终止证书颁发后7天内，按专用合同条款约定的份数向发包人提交最终结清申请单，并提供相关证明材料。</w:t>
      </w:r>
    </w:p>
    <w:p w14:paraId="3EFB7CFB">
      <w:pPr>
        <w:pStyle w:val="79"/>
        <w:rPr>
          <w:rFonts w:hint="eastAsia" w:cs="宋体"/>
          <w:color w:val="auto"/>
          <w:sz w:val="21"/>
          <w:highlight w:val="none"/>
        </w:rPr>
      </w:pPr>
      <w:r>
        <w:rPr>
          <w:rFonts w:hint="eastAsia" w:cs="宋体"/>
          <w:color w:val="auto"/>
          <w:sz w:val="21"/>
          <w:highlight w:val="none"/>
        </w:rPr>
        <w:t>除专用合同条款另有约定外，最终结清申请单应列明质量保证金、应扣除的质量保证金、缺陷责任期内发生的增减费用。</w:t>
      </w:r>
    </w:p>
    <w:p w14:paraId="50F67B87">
      <w:pPr>
        <w:pStyle w:val="79"/>
        <w:rPr>
          <w:rFonts w:hint="eastAsia" w:cs="宋体"/>
          <w:color w:val="auto"/>
          <w:sz w:val="21"/>
          <w:highlight w:val="none"/>
        </w:rPr>
      </w:pPr>
      <w:r>
        <w:rPr>
          <w:rFonts w:hint="eastAsia" w:cs="宋体"/>
          <w:color w:val="auto"/>
          <w:sz w:val="21"/>
          <w:highlight w:val="none"/>
        </w:rPr>
        <w:t>（2）发包人对最终结清申请单内容有异议的，有权要求承包人进行修正和提供补充资料，承包人应向发包人提交修正后的最终结清申请单。</w:t>
      </w:r>
    </w:p>
    <w:p w14:paraId="1AEDDBC9">
      <w:pPr>
        <w:pStyle w:val="79"/>
        <w:rPr>
          <w:rFonts w:hint="eastAsia" w:cs="宋体"/>
          <w:color w:val="auto"/>
          <w:sz w:val="21"/>
          <w:highlight w:val="none"/>
        </w:rPr>
      </w:pPr>
      <w:r>
        <w:rPr>
          <w:rFonts w:hint="eastAsia" w:cs="宋体"/>
          <w:color w:val="auto"/>
          <w:sz w:val="21"/>
          <w:highlight w:val="none"/>
        </w:rPr>
        <w:t>14.4.2 最终结清证书和支付</w:t>
      </w:r>
    </w:p>
    <w:p w14:paraId="32157D85">
      <w:pPr>
        <w:pStyle w:val="79"/>
        <w:rPr>
          <w:rFonts w:hint="eastAsia" w:cs="宋体"/>
          <w:color w:val="auto"/>
          <w:sz w:val="21"/>
          <w:highlight w:val="none"/>
        </w:rPr>
      </w:pPr>
      <w:r>
        <w:rPr>
          <w:rFonts w:hint="eastAsia" w:cs="宋体"/>
          <w:color w:val="auto"/>
          <w:sz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7D7D2670">
      <w:pPr>
        <w:pStyle w:val="79"/>
        <w:rPr>
          <w:rFonts w:hint="eastAsia" w:cs="宋体"/>
          <w:color w:val="auto"/>
          <w:sz w:val="21"/>
          <w:highlight w:val="none"/>
        </w:rPr>
      </w:pPr>
      <w:r>
        <w:rPr>
          <w:rFonts w:hint="eastAsia" w:cs="宋体"/>
          <w:color w:val="auto"/>
          <w:sz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5388FB2">
      <w:pPr>
        <w:pStyle w:val="79"/>
        <w:rPr>
          <w:rFonts w:hint="eastAsia" w:cs="宋体"/>
          <w:color w:val="auto"/>
          <w:sz w:val="21"/>
          <w:highlight w:val="none"/>
        </w:rPr>
      </w:pPr>
      <w:r>
        <w:rPr>
          <w:rFonts w:hint="eastAsia" w:cs="宋体"/>
          <w:color w:val="auto"/>
          <w:sz w:val="21"/>
          <w:highlight w:val="none"/>
        </w:rPr>
        <w:t>（3）承包人对发包人颁发的最终结清证书有异议的，按第20条〔争议解决〕的约定办理。</w:t>
      </w:r>
    </w:p>
    <w:p w14:paraId="25ED86FE">
      <w:pPr>
        <w:pStyle w:val="321"/>
        <w:rPr>
          <w:rFonts w:hint="eastAsia" w:ascii="宋体" w:cs="宋体"/>
          <w:color w:val="auto"/>
          <w:highlight w:val="none"/>
        </w:rPr>
      </w:pPr>
      <w:bookmarkStart w:id="601" w:name="_Toc351203598"/>
      <w:bookmarkStart w:id="602" w:name="_Toc478389143"/>
      <w:bookmarkStart w:id="603" w:name="_Toc337558815"/>
      <w:r>
        <w:rPr>
          <w:rFonts w:hint="eastAsia" w:ascii="宋体" w:cs="宋体"/>
          <w:color w:val="auto"/>
          <w:highlight w:val="none"/>
        </w:rPr>
        <w:t>15. 缺陷责任与保修</w:t>
      </w:r>
      <w:bookmarkEnd w:id="601"/>
      <w:bookmarkEnd w:id="602"/>
    </w:p>
    <w:bookmarkEnd w:id="587"/>
    <w:bookmarkEnd w:id="588"/>
    <w:bookmarkEnd w:id="603"/>
    <w:p w14:paraId="24608442">
      <w:pPr>
        <w:pStyle w:val="321"/>
        <w:rPr>
          <w:rFonts w:hint="eastAsia" w:ascii="宋体" w:cs="宋体"/>
          <w:color w:val="auto"/>
          <w:highlight w:val="none"/>
        </w:rPr>
      </w:pPr>
      <w:bookmarkStart w:id="604" w:name="_Toc351203599"/>
      <w:bookmarkStart w:id="605" w:name="_Toc478389144"/>
      <w:bookmarkStart w:id="606" w:name="_Toc337558816"/>
      <w:bookmarkStart w:id="607" w:name="_Toc296346615"/>
      <w:bookmarkStart w:id="608" w:name="_Toc296503114"/>
      <w:r>
        <w:rPr>
          <w:rFonts w:hint="eastAsia" w:ascii="宋体" w:cs="宋体"/>
          <w:color w:val="auto"/>
          <w:highlight w:val="none"/>
        </w:rPr>
        <w:t>15.1 工程保修的原则</w:t>
      </w:r>
      <w:bookmarkEnd w:id="604"/>
      <w:bookmarkEnd w:id="605"/>
    </w:p>
    <w:bookmarkEnd w:id="606"/>
    <w:p w14:paraId="25BEA47B">
      <w:pPr>
        <w:pStyle w:val="79"/>
        <w:rPr>
          <w:rFonts w:hint="eastAsia" w:cs="宋体"/>
          <w:color w:val="auto"/>
          <w:sz w:val="21"/>
          <w:highlight w:val="none"/>
        </w:rPr>
      </w:pPr>
      <w:r>
        <w:rPr>
          <w:rFonts w:hint="eastAsia" w:cs="宋体"/>
          <w:color w:val="auto"/>
          <w:sz w:val="21"/>
          <w:highlight w:val="none"/>
        </w:rPr>
        <w:t>在工程移交发包人后，因承包人原因产生的质量缺陷，承包人应承担质量缺陷责任和保修义务。缺陷责任期届满，承包人仍应按合同约定的工程各部位保修年限承担保修义务。</w:t>
      </w:r>
    </w:p>
    <w:p w14:paraId="1DB8C79F">
      <w:pPr>
        <w:pStyle w:val="321"/>
        <w:rPr>
          <w:rFonts w:hint="eastAsia" w:ascii="宋体" w:cs="宋体"/>
          <w:color w:val="auto"/>
          <w:highlight w:val="none"/>
        </w:rPr>
      </w:pPr>
      <w:bookmarkStart w:id="609" w:name="_Toc351203600"/>
      <w:bookmarkStart w:id="610" w:name="_Toc478389145"/>
      <w:bookmarkStart w:id="611" w:name="_Toc337558817"/>
      <w:r>
        <w:rPr>
          <w:rFonts w:hint="eastAsia" w:ascii="宋体" w:cs="宋体"/>
          <w:color w:val="auto"/>
          <w:highlight w:val="none"/>
        </w:rPr>
        <w:t>15.2 缺陷责任期</w:t>
      </w:r>
      <w:bookmarkEnd w:id="607"/>
      <w:bookmarkEnd w:id="608"/>
      <w:bookmarkEnd w:id="609"/>
      <w:bookmarkEnd w:id="610"/>
    </w:p>
    <w:bookmarkEnd w:id="611"/>
    <w:p w14:paraId="54CED66F">
      <w:pPr>
        <w:pStyle w:val="79"/>
        <w:rPr>
          <w:rFonts w:hint="eastAsia" w:cs="宋体"/>
          <w:color w:val="auto"/>
          <w:sz w:val="21"/>
          <w:highlight w:val="none"/>
        </w:rPr>
      </w:pPr>
      <w:r>
        <w:rPr>
          <w:rFonts w:hint="eastAsia" w:cs="宋体"/>
          <w:color w:val="auto"/>
          <w:sz w:val="21"/>
          <w:highlight w:val="none"/>
        </w:rPr>
        <w:t>15.2.1缺陷责任期自实际竣工日期起计算，合同当事人应在专用合同条款约定缺陷责任期的具体期限，但该期限最长不超过24个月。</w:t>
      </w:r>
    </w:p>
    <w:p w14:paraId="1E053898">
      <w:pPr>
        <w:pStyle w:val="79"/>
        <w:rPr>
          <w:rFonts w:hint="eastAsia" w:cs="宋体"/>
          <w:color w:val="auto"/>
          <w:sz w:val="21"/>
          <w:highlight w:val="none"/>
        </w:rPr>
      </w:pPr>
      <w:r>
        <w:rPr>
          <w:rFonts w:hint="eastAsia" w:cs="宋体"/>
          <w:color w:val="auto"/>
          <w:sz w:val="21"/>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4958D1A5">
      <w:pPr>
        <w:pStyle w:val="79"/>
        <w:rPr>
          <w:rFonts w:hint="eastAsia" w:cs="宋体"/>
          <w:color w:val="auto"/>
          <w:sz w:val="21"/>
          <w:highlight w:val="none"/>
        </w:rPr>
      </w:pPr>
      <w:r>
        <w:rPr>
          <w:rFonts w:hint="eastAsia" w:cs="宋体"/>
          <w:color w:val="auto"/>
          <w:sz w:val="21"/>
          <w:highlight w:val="none"/>
        </w:rPr>
        <w:t>15.2.2工程竣工验收合格后，因承包人原因导致的缺陷或损坏致使工程、单位工程或某项主要设备不能按原定目的使用的，则发包人有权要求承</w:t>
      </w:r>
      <w:r>
        <w:rPr>
          <w:rFonts w:hint="eastAsia" w:cs="宋体"/>
          <w:bCs/>
          <w:color w:val="auto"/>
          <w:sz w:val="21"/>
          <w:highlight w:val="none"/>
        </w:rPr>
        <w:t>包人延长缺陷责任期，</w:t>
      </w:r>
      <w:r>
        <w:rPr>
          <w:rFonts w:hint="eastAsia" w:cs="宋体"/>
          <w:color w:val="auto"/>
          <w:sz w:val="21"/>
          <w:highlight w:val="none"/>
        </w:rPr>
        <w:t>并应在原缺陷责任期届满前发出延长通知，</w:t>
      </w:r>
      <w:r>
        <w:rPr>
          <w:rFonts w:hint="eastAsia" w:cs="宋体"/>
          <w:bCs/>
          <w:color w:val="auto"/>
          <w:sz w:val="21"/>
          <w:highlight w:val="none"/>
        </w:rPr>
        <w:t>但缺陷责任期最长</w:t>
      </w:r>
      <w:r>
        <w:rPr>
          <w:rFonts w:hint="eastAsia" w:cs="宋体"/>
          <w:color w:val="auto"/>
          <w:sz w:val="21"/>
          <w:highlight w:val="none"/>
        </w:rPr>
        <w:t>不能超过24个月。</w:t>
      </w:r>
    </w:p>
    <w:p w14:paraId="6F6F8A25">
      <w:pPr>
        <w:pStyle w:val="79"/>
        <w:rPr>
          <w:rFonts w:hint="eastAsia" w:cs="宋体"/>
          <w:color w:val="auto"/>
          <w:sz w:val="21"/>
          <w:highlight w:val="none"/>
        </w:rPr>
      </w:pPr>
      <w:r>
        <w:rPr>
          <w:rFonts w:hint="eastAsia" w:cs="宋体"/>
          <w:color w:val="auto"/>
          <w:sz w:val="21"/>
          <w:highlight w:val="none"/>
        </w:rPr>
        <w:t>15.2.3任何一项缺陷或损坏修复后，经检查证明其影响了工程或工程设备的使用性能，承包人应重新进行合同约定的试验和试运行，试验和试运行的全部费用应由责任方承担。</w:t>
      </w:r>
    </w:p>
    <w:p w14:paraId="25139A2A">
      <w:pPr>
        <w:pStyle w:val="79"/>
        <w:rPr>
          <w:rFonts w:hint="eastAsia" w:cs="宋体"/>
          <w:color w:val="auto"/>
          <w:sz w:val="21"/>
          <w:highlight w:val="none"/>
        </w:rPr>
      </w:pPr>
      <w:r>
        <w:rPr>
          <w:rFonts w:hint="eastAsia" w:cs="宋体"/>
          <w:color w:val="auto"/>
          <w:sz w:val="21"/>
          <w:highlight w:val="none"/>
        </w:rPr>
        <w:t>15.2.4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7C0E064F">
      <w:pPr>
        <w:pStyle w:val="321"/>
        <w:rPr>
          <w:rFonts w:hint="eastAsia" w:ascii="宋体" w:cs="宋体"/>
          <w:color w:val="auto"/>
          <w:highlight w:val="none"/>
        </w:rPr>
      </w:pPr>
      <w:bookmarkStart w:id="612" w:name="_Toc351203601"/>
      <w:bookmarkStart w:id="613" w:name="_Toc478389146"/>
      <w:bookmarkStart w:id="614" w:name="_Toc337558818"/>
      <w:bookmarkStart w:id="615" w:name="_Toc296346616"/>
      <w:bookmarkStart w:id="616" w:name="_Toc296503115"/>
      <w:r>
        <w:rPr>
          <w:rFonts w:hint="eastAsia" w:ascii="宋体" w:cs="宋体"/>
          <w:color w:val="auto"/>
          <w:highlight w:val="none"/>
        </w:rPr>
        <w:t>15.3 质量保证金</w:t>
      </w:r>
      <w:bookmarkEnd w:id="612"/>
      <w:bookmarkEnd w:id="613"/>
    </w:p>
    <w:bookmarkEnd w:id="614"/>
    <w:p w14:paraId="411508B9">
      <w:pPr>
        <w:pStyle w:val="79"/>
        <w:rPr>
          <w:rFonts w:hint="eastAsia" w:cs="宋体"/>
          <w:color w:val="auto"/>
          <w:sz w:val="21"/>
          <w:highlight w:val="none"/>
        </w:rPr>
      </w:pPr>
      <w:r>
        <w:rPr>
          <w:rFonts w:hint="eastAsia" w:cs="宋体"/>
          <w:color w:val="auto"/>
          <w:sz w:val="21"/>
          <w:highlight w:val="none"/>
        </w:rPr>
        <w:t>经合同当事人协商一致扣留质量保证金的，应在专用合同条款中予以明确。</w:t>
      </w:r>
    </w:p>
    <w:p w14:paraId="5EFC7D24">
      <w:pPr>
        <w:pStyle w:val="79"/>
        <w:outlineLvl w:val="0"/>
        <w:rPr>
          <w:rFonts w:hint="eastAsia" w:cs="宋体"/>
          <w:color w:val="auto"/>
          <w:sz w:val="21"/>
          <w:highlight w:val="none"/>
        </w:rPr>
      </w:pPr>
      <w:bookmarkStart w:id="617" w:name="_Toc406522178"/>
      <w:bookmarkStart w:id="618" w:name="_Toc406419303"/>
      <w:bookmarkStart w:id="619" w:name="_Toc478389147"/>
      <w:r>
        <w:rPr>
          <w:rFonts w:hint="eastAsia" w:cs="宋体"/>
          <w:color w:val="auto"/>
          <w:sz w:val="21"/>
          <w:highlight w:val="none"/>
        </w:rPr>
        <w:t>15.3.1 承包人提供质量保证金的方式</w:t>
      </w:r>
      <w:bookmarkEnd w:id="617"/>
      <w:bookmarkEnd w:id="618"/>
      <w:bookmarkEnd w:id="619"/>
    </w:p>
    <w:p w14:paraId="1759C96A">
      <w:pPr>
        <w:pStyle w:val="79"/>
        <w:rPr>
          <w:rFonts w:hint="eastAsia" w:cs="宋体"/>
          <w:color w:val="auto"/>
          <w:sz w:val="21"/>
          <w:highlight w:val="none"/>
        </w:rPr>
      </w:pPr>
      <w:r>
        <w:rPr>
          <w:rFonts w:hint="eastAsia" w:cs="宋体"/>
          <w:color w:val="auto"/>
          <w:sz w:val="21"/>
          <w:highlight w:val="none"/>
        </w:rPr>
        <w:t>承包人提供质量保证金有以下三种方式：</w:t>
      </w:r>
    </w:p>
    <w:p w14:paraId="6A909A3B">
      <w:pPr>
        <w:pStyle w:val="79"/>
        <w:rPr>
          <w:rFonts w:hint="eastAsia" w:cs="宋体"/>
          <w:color w:val="auto"/>
          <w:sz w:val="21"/>
          <w:highlight w:val="none"/>
        </w:rPr>
      </w:pPr>
      <w:r>
        <w:rPr>
          <w:rFonts w:hint="eastAsia" w:cs="宋体"/>
          <w:color w:val="auto"/>
          <w:sz w:val="21"/>
          <w:highlight w:val="none"/>
        </w:rPr>
        <w:t xml:space="preserve">（1）质量保证金保函； </w:t>
      </w:r>
    </w:p>
    <w:p w14:paraId="4879C883">
      <w:pPr>
        <w:pStyle w:val="79"/>
        <w:rPr>
          <w:rFonts w:hint="eastAsia" w:cs="宋体"/>
          <w:color w:val="auto"/>
          <w:sz w:val="21"/>
          <w:highlight w:val="none"/>
        </w:rPr>
      </w:pPr>
      <w:r>
        <w:rPr>
          <w:rFonts w:hint="eastAsia" w:cs="宋体"/>
          <w:color w:val="auto"/>
          <w:sz w:val="21"/>
          <w:highlight w:val="none"/>
        </w:rPr>
        <w:t>（2）相应比例的工程款；</w:t>
      </w:r>
    </w:p>
    <w:p w14:paraId="030E25D5">
      <w:pPr>
        <w:pStyle w:val="79"/>
        <w:rPr>
          <w:rFonts w:hint="eastAsia" w:cs="宋体"/>
          <w:color w:val="auto"/>
          <w:sz w:val="21"/>
          <w:highlight w:val="none"/>
        </w:rPr>
      </w:pPr>
      <w:r>
        <w:rPr>
          <w:rFonts w:hint="eastAsia" w:cs="宋体"/>
          <w:color w:val="auto"/>
          <w:sz w:val="21"/>
          <w:highlight w:val="none"/>
        </w:rPr>
        <w:t>（3）双方约定的其他方式。</w:t>
      </w:r>
    </w:p>
    <w:p w14:paraId="50CE007E">
      <w:pPr>
        <w:pStyle w:val="79"/>
        <w:rPr>
          <w:rFonts w:hint="eastAsia" w:cs="宋体"/>
          <w:color w:val="auto"/>
          <w:sz w:val="21"/>
          <w:highlight w:val="none"/>
        </w:rPr>
      </w:pPr>
      <w:r>
        <w:rPr>
          <w:rFonts w:hint="eastAsia" w:cs="宋体"/>
          <w:color w:val="auto"/>
          <w:sz w:val="21"/>
          <w:highlight w:val="none"/>
        </w:rPr>
        <w:t>除专用合同条款另有约定外，质量保证金原则上采用上述第（1）种方式。</w:t>
      </w:r>
    </w:p>
    <w:p w14:paraId="09F5D0C0">
      <w:pPr>
        <w:pStyle w:val="79"/>
        <w:outlineLvl w:val="0"/>
        <w:rPr>
          <w:rFonts w:hint="eastAsia" w:cs="宋体"/>
          <w:color w:val="auto"/>
          <w:sz w:val="21"/>
          <w:highlight w:val="none"/>
        </w:rPr>
      </w:pPr>
      <w:bookmarkStart w:id="620" w:name="_Toc478389148"/>
      <w:bookmarkStart w:id="621" w:name="_Toc406419304"/>
      <w:bookmarkStart w:id="622" w:name="_Toc406522179"/>
      <w:r>
        <w:rPr>
          <w:rFonts w:hint="eastAsia" w:cs="宋体"/>
          <w:color w:val="auto"/>
          <w:sz w:val="21"/>
          <w:highlight w:val="none"/>
        </w:rPr>
        <w:t>15.3.2 质量保证金的扣留</w:t>
      </w:r>
      <w:bookmarkEnd w:id="620"/>
      <w:bookmarkEnd w:id="621"/>
      <w:bookmarkEnd w:id="622"/>
    </w:p>
    <w:p w14:paraId="3655FA3E">
      <w:pPr>
        <w:pStyle w:val="79"/>
        <w:rPr>
          <w:rFonts w:hint="eastAsia" w:cs="宋体"/>
          <w:color w:val="auto"/>
          <w:sz w:val="21"/>
          <w:highlight w:val="none"/>
        </w:rPr>
      </w:pPr>
      <w:r>
        <w:rPr>
          <w:rFonts w:hint="eastAsia" w:cs="宋体"/>
          <w:color w:val="auto"/>
          <w:sz w:val="21"/>
          <w:highlight w:val="none"/>
        </w:rPr>
        <w:t>质量保证金的扣留有以下三种方式：</w:t>
      </w:r>
    </w:p>
    <w:p w14:paraId="1B6DE19C">
      <w:pPr>
        <w:pStyle w:val="79"/>
        <w:rPr>
          <w:rFonts w:hint="eastAsia" w:cs="宋体"/>
          <w:color w:val="auto"/>
          <w:sz w:val="21"/>
          <w:highlight w:val="none"/>
        </w:rPr>
      </w:pPr>
      <w:r>
        <w:rPr>
          <w:rFonts w:hint="eastAsia" w:cs="宋体"/>
          <w:color w:val="auto"/>
          <w:sz w:val="21"/>
          <w:highlight w:val="none"/>
        </w:rPr>
        <w:t>（1）在支付工程进度款时逐次扣留，在此情形下，质量保证金的计算基数不包括预付款的支付、扣回以及价格调整的金额；</w:t>
      </w:r>
    </w:p>
    <w:p w14:paraId="6174E347">
      <w:pPr>
        <w:pStyle w:val="79"/>
        <w:rPr>
          <w:rFonts w:hint="eastAsia" w:cs="宋体"/>
          <w:color w:val="auto"/>
          <w:sz w:val="21"/>
          <w:highlight w:val="none"/>
        </w:rPr>
      </w:pPr>
      <w:r>
        <w:rPr>
          <w:rFonts w:hint="eastAsia" w:cs="宋体"/>
          <w:color w:val="auto"/>
          <w:sz w:val="21"/>
          <w:highlight w:val="none"/>
        </w:rPr>
        <w:t>（2）工</w:t>
      </w:r>
      <w:bookmarkStart w:id="623" w:name="#go6"/>
      <w:bookmarkEnd w:id="623"/>
      <w:r>
        <w:rPr>
          <w:rFonts w:hint="eastAsia" w:cs="宋体"/>
          <w:color w:val="auto"/>
          <w:sz w:val="21"/>
          <w:highlight w:val="none"/>
        </w:rPr>
        <w:t>程竣工结算时一次性扣留质量保证金；</w:t>
      </w:r>
    </w:p>
    <w:p w14:paraId="5C40112E">
      <w:pPr>
        <w:pStyle w:val="79"/>
        <w:rPr>
          <w:rFonts w:hint="eastAsia" w:cs="宋体"/>
          <w:color w:val="auto"/>
          <w:sz w:val="21"/>
          <w:highlight w:val="none"/>
        </w:rPr>
      </w:pPr>
      <w:r>
        <w:rPr>
          <w:rFonts w:hint="eastAsia" w:cs="宋体"/>
          <w:color w:val="auto"/>
          <w:sz w:val="21"/>
          <w:highlight w:val="none"/>
        </w:rPr>
        <w:t>（3）双方约定的其他扣留方式。</w:t>
      </w:r>
    </w:p>
    <w:p w14:paraId="20DFEB41">
      <w:pPr>
        <w:pStyle w:val="79"/>
        <w:rPr>
          <w:rFonts w:hint="eastAsia" w:cs="宋体"/>
          <w:color w:val="auto"/>
          <w:sz w:val="21"/>
          <w:highlight w:val="none"/>
        </w:rPr>
      </w:pPr>
      <w:r>
        <w:rPr>
          <w:rFonts w:hint="eastAsia" w:cs="宋体"/>
          <w:color w:val="auto"/>
          <w:sz w:val="21"/>
          <w:highlight w:val="none"/>
        </w:rPr>
        <w:t>除专用合同条款另有约定外，质量保证金的扣留原则上采用上述第（1）种方式。</w:t>
      </w:r>
    </w:p>
    <w:p w14:paraId="4950D269">
      <w:pPr>
        <w:pStyle w:val="79"/>
        <w:rPr>
          <w:rFonts w:hint="eastAsia" w:cs="宋体"/>
          <w:color w:val="auto"/>
          <w:sz w:val="21"/>
          <w:highlight w:val="none"/>
        </w:rPr>
      </w:pPr>
      <w:r>
        <w:rPr>
          <w:rFonts w:hint="eastAsia" w:cs="宋体"/>
          <w:color w:val="auto"/>
          <w:sz w:val="21"/>
          <w:highlight w:val="none"/>
        </w:rPr>
        <w:t>发</w:t>
      </w:r>
      <w:bookmarkStart w:id="624" w:name="#go4"/>
      <w:bookmarkEnd w:id="624"/>
      <w:r>
        <w:rPr>
          <w:rFonts w:hint="eastAsia" w:cs="宋体"/>
          <w:color w:val="auto"/>
          <w:sz w:val="21"/>
          <w:highlight w:val="none"/>
        </w:rPr>
        <w:t>包人累计扣留的质量保证金不得超过结算合同价格的5%，如承包人在发包人签发竣工付款证书后28天内提交质量保证金保函，发包人应同时退还扣留的作为质量保证金的工程价款。</w:t>
      </w:r>
    </w:p>
    <w:p w14:paraId="3CA4F005">
      <w:pPr>
        <w:pStyle w:val="79"/>
        <w:rPr>
          <w:rFonts w:hint="eastAsia" w:cs="宋体"/>
          <w:color w:val="auto"/>
          <w:sz w:val="21"/>
          <w:highlight w:val="none"/>
        </w:rPr>
      </w:pPr>
      <w:r>
        <w:rPr>
          <w:rFonts w:hint="eastAsia" w:cs="宋体"/>
          <w:color w:val="auto"/>
          <w:sz w:val="21"/>
          <w:highlight w:val="none"/>
        </w:rPr>
        <w:t>15.3.3 质量保证金的退还</w:t>
      </w:r>
    </w:p>
    <w:p w14:paraId="1E98BC8C">
      <w:pPr>
        <w:pStyle w:val="79"/>
        <w:rPr>
          <w:rFonts w:hint="eastAsia" w:cs="宋体"/>
          <w:color w:val="auto"/>
          <w:sz w:val="21"/>
          <w:highlight w:val="none"/>
        </w:rPr>
      </w:pPr>
      <w:r>
        <w:rPr>
          <w:rFonts w:hint="eastAsia" w:cs="宋体"/>
          <w:color w:val="auto"/>
          <w:sz w:val="21"/>
          <w:highlight w:val="none"/>
        </w:rPr>
        <w:t>发包人应按14.4款〔最终结清〕的约定退还质量保证金。</w:t>
      </w:r>
    </w:p>
    <w:p w14:paraId="6485FA55">
      <w:pPr>
        <w:pStyle w:val="321"/>
        <w:rPr>
          <w:rFonts w:hint="eastAsia" w:ascii="宋体" w:cs="宋体"/>
          <w:color w:val="auto"/>
          <w:highlight w:val="none"/>
        </w:rPr>
      </w:pPr>
      <w:bookmarkStart w:id="625" w:name="_Toc478389149"/>
      <w:bookmarkStart w:id="626" w:name="_Toc351203602"/>
      <w:bookmarkStart w:id="627" w:name="_Toc337558819"/>
      <w:r>
        <w:rPr>
          <w:rFonts w:hint="eastAsia" w:ascii="宋体" w:cs="宋体"/>
          <w:color w:val="auto"/>
          <w:highlight w:val="none"/>
        </w:rPr>
        <w:t>15.4 保修</w:t>
      </w:r>
      <w:bookmarkEnd w:id="625"/>
      <w:bookmarkEnd w:id="626"/>
    </w:p>
    <w:bookmarkEnd w:id="615"/>
    <w:bookmarkEnd w:id="616"/>
    <w:bookmarkEnd w:id="627"/>
    <w:p w14:paraId="02E186EB">
      <w:pPr>
        <w:pStyle w:val="79"/>
        <w:rPr>
          <w:rFonts w:hint="eastAsia" w:cs="宋体"/>
          <w:color w:val="auto"/>
          <w:sz w:val="21"/>
          <w:highlight w:val="none"/>
        </w:rPr>
      </w:pPr>
      <w:r>
        <w:rPr>
          <w:rFonts w:hint="eastAsia" w:cs="宋体"/>
          <w:color w:val="auto"/>
          <w:sz w:val="21"/>
          <w:highlight w:val="none"/>
        </w:rPr>
        <w:t>15.4.1保修责任</w:t>
      </w:r>
    </w:p>
    <w:p w14:paraId="21019866">
      <w:pPr>
        <w:pStyle w:val="79"/>
        <w:rPr>
          <w:rFonts w:hint="eastAsia" w:cs="宋体"/>
          <w:color w:val="auto"/>
          <w:sz w:val="21"/>
          <w:highlight w:val="none"/>
        </w:rPr>
      </w:pPr>
      <w:r>
        <w:rPr>
          <w:rFonts w:hint="eastAsia" w:cs="宋体"/>
          <w:color w:val="auto"/>
          <w:sz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55404F48">
      <w:pPr>
        <w:pStyle w:val="79"/>
        <w:rPr>
          <w:rFonts w:hint="eastAsia" w:cs="宋体"/>
          <w:color w:val="auto"/>
          <w:sz w:val="21"/>
          <w:highlight w:val="none"/>
        </w:rPr>
      </w:pPr>
      <w:r>
        <w:rPr>
          <w:rFonts w:hint="eastAsia" w:cs="宋体"/>
          <w:color w:val="auto"/>
          <w:sz w:val="21"/>
          <w:highlight w:val="none"/>
        </w:rPr>
        <w:t>发包人未经竣工验收擅自使用工程的，保修期自转移占有之日起算。</w:t>
      </w:r>
    </w:p>
    <w:p w14:paraId="1F2E5FEA">
      <w:pPr>
        <w:pStyle w:val="79"/>
        <w:outlineLvl w:val="0"/>
        <w:rPr>
          <w:rFonts w:hint="eastAsia" w:cs="宋体"/>
          <w:color w:val="auto"/>
          <w:sz w:val="21"/>
          <w:highlight w:val="none"/>
        </w:rPr>
      </w:pPr>
      <w:bookmarkStart w:id="628" w:name="_Toc478389150"/>
      <w:r>
        <w:rPr>
          <w:rFonts w:hint="eastAsia" w:cs="宋体"/>
          <w:color w:val="auto"/>
          <w:sz w:val="21"/>
          <w:highlight w:val="none"/>
        </w:rPr>
        <w:t>15.4.2 修复费用</w:t>
      </w:r>
      <w:bookmarkEnd w:id="628"/>
    </w:p>
    <w:p w14:paraId="512256EB">
      <w:pPr>
        <w:pStyle w:val="79"/>
        <w:rPr>
          <w:rFonts w:hint="eastAsia" w:cs="宋体"/>
          <w:color w:val="auto"/>
          <w:sz w:val="21"/>
          <w:highlight w:val="none"/>
        </w:rPr>
      </w:pPr>
      <w:r>
        <w:rPr>
          <w:rFonts w:hint="eastAsia" w:cs="宋体"/>
          <w:color w:val="auto"/>
          <w:sz w:val="21"/>
          <w:highlight w:val="none"/>
        </w:rPr>
        <w:t>保修期内，修复的费用按照以下约定处理：</w:t>
      </w:r>
    </w:p>
    <w:p w14:paraId="2D6D5714">
      <w:pPr>
        <w:pStyle w:val="79"/>
        <w:rPr>
          <w:rFonts w:hint="eastAsia" w:cs="宋体"/>
          <w:color w:val="auto"/>
          <w:sz w:val="21"/>
          <w:highlight w:val="none"/>
        </w:rPr>
      </w:pPr>
      <w:r>
        <w:rPr>
          <w:rFonts w:hint="eastAsia" w:cs="宋体"/>
          <w:color w:val="auto"/>
          <w:sz w:val="21"/>
          <w:highlight w:val="none"/>
        </w:rPr>
        <w:t>（1）保修期内，因承包人原因造成工程的缺陷、损坏，承包人应负责修复，并承担修复的费用以及因工程的缺陷、损坏造成的人身伤害和财产损失；</w:t>
      </w:r>
    </w:p>
    <w:p w14:paraId="56B26EB5">
      <w:pPr>
        <w:pStyle w:val="79"/>
        <w:rPr>
          <w:rFonts w:hint="eastAsia" w:cs="宋体"/>
          <w:color w:val="auto"/>
          <w:sz w:val="21"/>
          <w:highlight w:val="none"/>
        </w:rPr>
      </w:pPr>
      <w:r>
        <w:rPr>
          <w:rFonts w:hint="eastAsia" w:cs="宋体"/>
          <w:color w:val="auto"/>
          <w:sz w:val="21"/>
          <w:highlight w:val="none"/>
        </w:rPr>
        <w:t>（2）保修期内，因发包人使用不当造成工程的缺陷、损坏，可以委托承包人修复，但发包人应承担修复的费用，并支付承包人合理利润；</w:t>
      </w:r>
    </w:p>
    <w:p w14:paraId="164E0ACB">
      <w:pPr>
        <w:pStyle w:val="79"/>
        <w:rPr>
          <w:rFonts w:hint="eastAsia" w:cs="宋体"/>
          <w:color w:val="auto"/>
          <w:sz w:val="21"/>
          <w:highlight w:val="none"/>
        </w:rPr>
      </w:pPr>
      <w:r>
        <w:rPr>
          <w:rFonts w:hint="eastAsia" w:cs="宋体"/>
          <w:color w:val="auto"/>
          <w:sz w:val="21"/>
          <w:highlight w:val="none"/>
        </w:rPr>
        <w:t>（3）因其他原因造成工程的缺陷、损坏，可以委托承包人修复，发包人应承担修复的费用，并支付承包人合理的利润，因工程的缺陷、损坏造成的人身伤害和财产损失由责任方承担。</w:t>
      </w:r>
    </w:p>
    <w:p w14:paraId="4B00DCF2">
      <w:pPr>
        <w:pStyle w:val="79"/>
        <w:rPr>
          <w:rFonts w:hint="eastAsia" w:cs="宋体"/>
          <w:color w:val="auto"/>
          <w:sz w:val="21"/>
          <w:highlight w:val="none"/>
        </w:rPr>
      </w:pPr>
      <w:r>
        <w:rPr>
          <w:rFonts w:hint="eastAsia" w:cs="宋体"/>
          <w:color w:val="auto"/>
          <w:sz w:val="21"/>
          <w:highlight w:val="none"/>
        </w:rPr>
        <w:t>15.4.3 修复通知</w:t>
      </w:r>
    </w:p>
    <w:p w14:paraId="7B290986">
      <w:pPr>
        <w:pStyle w:val="79"/>
        <w:rPr>
          <w:rFonts w:hint="eastAsia" w:cs="宋体"/>
          <w:color w:val="auto"/>
          <w:sz w:val="21"/>
          <w:highlight w:val="none"/>
        </w:rPr>
      </w:pPr>
      <w:r>
        <w:rPr>
          <w:rFonts w:hint="eastAsia" w:cs="宋体"/>
          <w:color w:val="auto"/>
          <w:sz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05F632C">
      <w:pPr>
        <w:pStyle w:val="79"/>
        <w:outlineLvl w:val="0"/>
        <w:rPr>
          <w:rFonts w:hint="eastAsia" w:cs="宋体"/>
          <w:color w:val="auto"/>
          <w:sz w:val="21"/>
          <w:highlight w:val="none"/>
        </w:rPr>
      </w:pPr>
      <w:bookmarkStart w:id="629" w:name="_Toc478389151"/>
      <w:r>
        <w:rPr>
          <w:rFonts w:hint="eastAsia" w:cs="宋体"/>
          <w:color w:val="auto"/>
          <w:sz w:val="21"/>
          <w:highlight w:val="none"/>
        </w:rPr>
        <w:t>15.4.4 未能修复</w:t>
      </w:r>
      <w:bookmarkEnd w:id="629"/>
    </w:p>
    <w:p w14:paraId="166C74D1">
      <w:pPr>
        <w:pStyle w:val="79"/>
        <w:rPr>
          <w:rFonts w:hint="eastAsia" w:cs="宋体"/>
          <w:color w:val="auto"/>
          <w:sz w:val="21"/>
          <w:highlight w:val="none"/>
        </w:rPr>
      </w:pPr>
      <w:r>
        <w:rPr>
          <w:rFonts w:hint="eastAsia" w:cs="宋体"/>
          <w:color w:val="auto"/>
          <w:sz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59CA23B5">
      <w:pPr>
        <w:pStyle w:val="79"/>
        <w:rPr>
          <w:rFonts w:hint="eastAsia" w:cs="宋体"/>
          <w:color w:val="auto"/>
          <w:sz w:val="21"/>
          <w:highlight w:val="none"/>
        </w:rPr>
      </w:pPr>
      <w:r>
        <w:rPr>
          <w:rFonts w:hint="eastAsia" w:cs="宋体"/>
          <w:color w:val="auto"/>
          <w:sz w:val="21"/>
          <w:highlight w:val="none"/>
        </w:rPr>
        <w:t>15.4.5 承包人出入权</w:t>
      </w:r>
    </w:p>
    <w:p w14:paraId="3AC8AFEB">
      <w:pPr>
        <w:pStyle w:val="79"/>
        <w:rPr>
          <w:rFonts w:hint="eastAsia" w:cs="宋体"/>
          <w:color w:val="auto"/>
          <w:sz w:val="21"/>
          <w:highlight w:val="none"/>
        </w:rPr>
      </w:pPr>
      <w:r>
        <w:rPr>
          <w:rFonts w:hint="eastAsia" w:cs="宋体"/>
          <w:color w:val="auto"/>
          <w:sz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4011AA0E">
      <w:pPr>
        <w:pStyle w:val="321"/>
        <w:rPr>
          <w:rFonts w:hint="eastAsia" w:ascii="宋体" w:cs="宋体"/>
          <w:color w:val="auto"/>
          <w:highlight w:val="none"/>
        </w:rPr>
      </w:pPr>
      <w:bookmarkStart w:id="630" w:name="_Toc478389152"/>
      <w:bookmarkStart w:id="631" w:name="_Toc351203603"/>
      <w:bookmarkStart w:id="632" w:name="_Toc337558820"/>
      <w:r>
        <w:rPr>
          <w:rFonts w:hint="eastAsia" w:ascii="宋体" w:cs="宋体"/>
          <w:color w:val="auto"/>
          <w:highlight w:val="none"/>
        </w:rPr>
        <w:t>16. 违约</w:t>
      </w:r>
      <w:bookmarkEnd w:id="630"/>
      <w:bookmarkEnd w:id="631"/>
    </w:p>
    <w:bookmarkEnd w:id="632"/>
    <w:p w14:paraId="00B5B335">
      <w:pPr>
        <w:pStyle w:val="321"/>
        <w:rPr>
          <w:rFonts w:hint="eastAsia" w:ascii="宋体" w:cs="宋体"/>
          <w:color w:val="auto"/>
          <w:highlight w:val="none"/>
        </w:rPr>
      </w:pPr>
      <w:bookmarkStart w:id="633" w:name="_Toc296503129"/>
      <w:bookmarkStart w:id="634" w:name="_Toc296346630"/>
      <w:bookmarkStart w:id="635" w:name="_Toc478389153"/>
      <w:bookmarkStart w:id="636" w:name="_Toc351203604"/>
      <w:bookmarkStart w:id="637" w:name="_Toc337558821"/>
      <w:r>
        <w:rPr>
          <w:rFonts w:hint="eastAsia" w:ascii="宋体" w:cs="宋体"/>
          <w:color w:val="auto"/>
          <w:highlight w:val="none"/>
        </w:rPr>
        <w:t>16.1 发</w:t>
      </w:r>
      <w:bookmarkEnd w:id="633"/>
      <w:bookmarkEnd w:id="634"/>
      <w:r>
        <w:rPr>
          <w:rFonts w:hint="eastAsia" w:ascii="宋体" w:cs="宋体"/>
          <w:color w:val="auto"/>
          <w:highlight w:val="none"/>
        </w:rPr>
        <w:t>包人违约</w:t>
      </w:r>
      <w:bookmarkEnd w:id="635"/>
      <w:bookmarkEnd w:id="636"/>
    </w:p>
    <w:bookmarkEnd w:id="637"/>
    <w:p w14:paraId="55A89CBE">
      <w:pPr>
        <w:pStyle w:val="79"/>
        <w:rPr>
          <w:rFonts w:hint="eastAsia" w:cs="宋体"/>
          <w:color w:val="auto"/>
          <w:sz w:val="21"/>
          <w:highlight w:val="none"/>
        </w:rPr>
      </w:pPr>
      <w:r>
        <w:rPr>
          <w:rFonts w:hint="eastAsia" w:cs="宋体"/>
          <w:color w:val="auto"/>
          <w:sz w:val="21"/>
          <w:highlight w:val="none"/>
        </w:rPr>
        <w:t>16.1.1 发包人违约的情形</w:t>
      </w:r>
    </w:p>
    <w:p w14:paraId="40921079">
      <w:pPr>
        <w:pStyle w:val="79"/>
        <w:rPr>
          <w:rFonts w:hint="eastAsia" w:cs="宋体"/>
          <w:color w:val="auto"/>
          <w:sz w:val="21"/>
          <w:highlight w:val="none"/>
        </w:rPr>
      </w:pPr>
      <w:r>
        <w:rPr>
          <w:rFonts w:hint="eastAsia" w:cs="宋体"/>
          <w:color w:val="auto"/>
          <w:sz w:val="21"/>
          <w:highlight w:val="none"/>
        </w:rPr>
        <w:t>在合同履行过程中发生的下列情形，属于发包人违约：</w:t>
      </w:r>
    </w:p>
    <w:p w14:paraId="3E8EC308">
      <w:pPr>
        <w:pStyle w:val="79"/>
        <w:rPr>
          <w:rFonts w:hint="eastAsia" w:cs="宋体"/>
          <w:color w:val="auto"/>
          <w:sz w:val="21"/>
          <w:highlight w:val="none"/>
        </w:rPr>
      </w:pPr>
      <w:r>
        <w:rPr>
          <w:rFonts w:hint="eastAsia" w:cs="宋体"/>
          <w:color w:val="auto"/>
          <w:sz w:val="21"/>
          <w:highlight w:val="none"/>
        </w:rPr>
        <w:t>（1）因发包人原因未能在计划开工日期前7天内下达开工通知的；</w:t>
      </w:r>
    </w:p>
    <w:p w14:paraId="05DCD1EB">
      <w:pPr>
        <w:pStyle w:val="79"/>
        <w:rPr>
          <w:rFonts w:hint="eastAsia" w:cs="宋体"/>
          <w:color w:val="auto"/>
          <w:sz w:val="21"/>
          <w:highlight w:val="none"/>
        </w:rPr>
      </w:pPr>
      <w:r>
        <w:rPr>
          <w:rFonts w:hint="eastAsia" w:cs="宋体"/>
          <w:color w:val="auto"/>
          <w:sz w:val="21"/>
          <w:highlight w:val="none"/>
        </w:rPr>
        <w:t>（2）因发包人原因未能按合同约定支付合同价款的；</w:t>
      </w:r>
    </w:p>
    <w:p w14:paraId="036DC6D8">
      <w:pPr>
        <w:pStyle w:val="79"/>
        <w:rPr>
          <w:rFonts w:hint="eastAsia" w:cs="宋体"/>
          <w:color w:val="auto"/>
          <w:sz w:val="21"/>
          <w:highlight w:val="none"/>
        </w:rPr>
      </w:pPr>
      <w:r>
        <w:rPr>
          <w:rFonts w:hint="eastAsia" w:cs="宋体"/>
          <w:color w:val="auto"/>
          <w:sz w:val="21"/>
          <w:highlight w:val="none"/>
        </w:rPr>
        <w:t>（3）发包人违反第10.1款〔变更的范围〕第（2）项约定，自行实施被取消的工作或转由他人实施的；</w:t>
      </w:r>
    </w:p>
    <w:p w14:paraId="2571EEDD">
      <w:pPr>
        <w:pStyle w:val="79"/>
        <w:rPr>
          <w:rFonts w:hint="eastAsia" w:cs="宋体"/>
          <w:color w:val="auto"/>
          <w:sz w:val="21"/>
          <w:highlight w:val="none"/>
        </w:rPr>
      </w:pPr>
      <w:r>
        <w:rPr>
          <w:rFonts w:hint="eastAsia" w:cs="宋体"/>
          <w:color w:val="auto"/>
          <w:sz w:val="21"/>
          <w:highlight w:val="none"/>
        </w:rPr>
        <w:t>（4）发包人提供的材料、工程设备的规格、数量或质量不符合合同约定，或因发包人原因导致交货日期延误或交货地点变更等情况的；</w:t>
      </w:r>
    </w:p>
    <w:p w14:paraId="1EE55613">
      <w:pPr>
        <w:pStyle w:val="79"/>
        <w:rPr>
          <w:rFonts w:hint="eastAsia" w:cs="宋体"/>
          <w:color w:val="auto"/>
          <w:sz w:val="21"/>
          <w:highlight w:val="none"/>
        </w:rPr>
      </w:pPr>
      <w:r>
        <w:rPr>
          <w:rFonts w:hint="eastAsia" w:cs="宋体"/>
          <w:color w:val="auto"/>
          <w:sz w:val="21"/>
          <w:highlight w:val="none"/>
        </w:rPr>
        <w:t>（5）因发包人违反合同约定造成暂停施工的；</w:t>
      </w:r>
    </w:p>
    <w:p w14:paraId="5F23DCCF">
      <w:pPr>
        <w:pStyle w:val="79"/>
        <w:rPr>
          <w:rFonts w:hint="eastAsia" w:cs="宋体"/>
          <w:color w:val="auto"/>
          <w:sz w:val="21"/>
          <w:highlight w:val="none"/>
        </w:rPr>
      </w:pPr>
      <w:r>
        <w:rPr>
          <w:rFonts w:hint="eastAsia" w:cs="宋体"/>
          <w:color w:val="auto"/>
          <w:sz w:val="21"/>
          <w:highlight w:val="none"/>
        </w:rPr>
        <w:t>（6）发包人无正当理由没有在约定期限内发出复工指示，导致承包人无法复工的；</w:t>
      </w:r>
    </w:p>
    <w:p w14:paraId="7DDADD18">
      <w:pPr>
        <w:pStyle w:val="79"/>
        <w:rPr>
          <w:rFonts w:hint="eastAsia" w:cs="宋体"/>
          <w:color w:val="auto"/>
          <w:sz w:val="21"/>
          <w:highlight w:val="none"/>
        </w:rPr>
      </w:pPr>
      <w:r>
        <w:rPr>
          <w:rFonts w:hint="eastAsia" w:cs="宋体"/>
          <w:color w:val="auto"/>
          <w:sz w:val="21"/>
          <w:highlight w:val="none"/>
        </w:rPr>
        <w:t>（7）发包人明确表示或者以其行为表明不履行合同主要义务的；</w:t>
      </w:r>
    </w:p>
    <w:p w14:paraId="5060D123">
      <w:pPr>
        <w:pStyle w:val="79"/>
        <w:rPr>
          <w:rFonts w:hint="eastAsia" w:cs="宋体"/>
          <w:color w:val="auto"/>
          <w:sz w:val="21"/>
          <w:highlight w:val="none"/>
        </w:rPr>
      </w:pPr>
      <w:r>
        <w:rPr>
          <w:rFonts w:hint="eastAsia" w:cs="宋体"/>
          <w:color w:val="auto"/>
          <w:sz w:val="21"/>
          <w:highlight w:val="none"/>
        </w:rPr>
        <w:t>（8）发包人未能按照合同约定履行其他义务的。</w:t>
      </w:r>
    </w:p>
    <w:p w14:paraId="2D440974">
      <w:pPr>
        <w:pStyle w:val="79"/>
        <w:rPr>
          <w:rFonts w:hint="eastAsia" w:cs="宋体"/>
          <w:color w:val="auto"/>
          <w:sz w:val="21"/>
          <w:highlight w:val="none"/>
        </w:rPr>
      </w:pPr>
      <w:r>
        <w:rPr>
          <w:rFonts w:hint="eastAsia" w:cs="宋体"/>
          <w:color w:val="auto"/>
          <w:sz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62B6389">
      <w:pPr>
        <w:pStyle w:val="79"/>
        <w:rPr>
          <w:rFonts w:hint="eastAsia" w:cs="宋体"/>
          <w:color w:val="auto"/>
          <w:sz w:val="21"/>
          <w:highlight w:val="none"/>
        </w:rPr>
      </w:pPr>
      <w:r>
        <w:rPr>
          <w:rFonts w:hint="eastAsia" w:cs="宋体"/>
          <w:color w:val="auto"/>
          <w:sz w:val="21"/>
          <w:highlight w:val="none"/>
        </w:rPr>
        <w:t>16.1.2 发包人违约的责任</w:t>
      </w:r>
    </w:p>
    <w:p w14:paraId="699641AE">
      <w:pPr>
        <w:pStyle w:val="79"/>
        <w:rPr>
          <w:rFonts w:hint="eastAsia" w:cs="宋体"/>
          <w:color w:val="auto"/>
          <w:sz w:val="21"/>
          <w:highlight w:val="none"/>
        </w:rPr>
      </w:pPr>
      <w:r>
        <w:rPr>
          <w:rFonts w:hint="eastAsia" w:cs="宋体"/>
          <w:color w:val="auto"/>
          <w:sz w:val="21"/>
          <w:highlight w:val="none"/>
        </w:rPr>
        <w:t>发包人应承担因其违约给承包人增加的费用和（或）延误的工期，并支付承包人合理的利润。此外，合同当事人可在专用合同条款中另行约定发包人违约责任的承担方式和计算方法。</w:t>
      </w:r>
    </w:p>
    <w:p w14:paraId="446291EB">
      <w:pPr>
        <w:pStyle w:val="79"/>
        <w:rPr>
          <w:rFonts w:hint="eastAsia" w:cs="宋体"/>
          <w:color w:val="auto"/>
          <w:sz w:val="21"/>
          <w:highlight w:val="none"/>
        </w:rPr>
      </w:pPr>
      <w:r>
        <w:rPr>
          <w:rFonts w:hint="eastAsia" w:cs="宋体"/>
          <w:color w:val="auto"/>
          <w:sz w:val="21"/>
          <w:highlight w:val="none"/>
        </w:rPr>
        <w:t>16.1.3 因发包人违约解除合同</w:t>
      </w:r>
    </w:p>
    <w:p w14:paraId="1484B8D1">
      <w:pPr>
        <w:pStyle w:val="79"/>
        <w:rPr>
          <w:rFonts w:hint="eastAsia" w:cs="宋体"/>
          <w:color w:val="auto"/>
          <w:sz w:val="21"/>
          <w:highlight w:val="none"/>
        </w:rPr>
      </w:pPr>
      <w:r>
        <w:rPr>
          <w:rFonts w:hint="eastAsia" w:cs="宋体"/>
          <w:color w:val="auto"/>
          <w:sz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42B2F89A">
      <w:pPr>
        <w:pStyle w:val="79"/>
        <w:rPr>
          <w:rFonts w:hint="eastAsia" w:cs="宋体"/>
          <w:color w:val="auto"/>
          <w:sz w:val="21"/>
          <w:highlight w:val="none"/>
        </w:rPr>
      </w:pPr>
      <w:r>
        <w:rPr>
          <w:rFonts w:hint="eastAsia" w:cs="宋体"/>
          <w:color w:val="auto"/>
          <w:sz w:val="21"/>
          <w:highlight w:val="none"/>
        </w:rPr>
        <w:t>16.1.4 因发包人违约解除合同后的付款</w:t>
      </w:r>
    </w:p>
    <w:p w14:paraId="66F7FB24">
      <w:pPr>
        <w:pStyle w:val="79"/>
        <w:rPr>
          <w:rFonts w:hint="eastAsia" w:cs="宋体"/>
          <w:color w:val="auto"/>
          <w:sz w:val="21"/>
          <w:highlight w:val="none"/>
        </w:rPr>
      </w:pPr>
      <w:r>
        <w:rPr>
          <w:rFonts w:hint="eastAsia" w:cs="宋体"/>
          <w:color w:val="auto"/>
          <w:sz w:val="21"/>
          <w:highlight w:val="none"/>
        </w:rPr>
        <w:t>承包人按照本款约定解除合同的，发包人应在解除合同后28天内支付下列款项，并解除履约保证金：</w:t>
      </w:r>
    </w:p>
    <w:p w14:paraId="526A940E">
      <w:pPr>
        <w:pStyle w:val="79"/>
        <w:rPr>
          <w:rFonts w:hint="eastAsia" w:cs="宋体"/>
          <w:color w:val="auto"/>
          <w:sz w:val="21"/>
          <w:highlight w:val="none"/>
        </w:rPr>
      </w:pPr>
      <w:r>
        <w:rPr>
          <w:rFonts w:hint="eastAsia" w:cs="宋体"/>
          <w:color w:val="auto"/>
          <w:sz w:val="21"/>
          <w:highlight w:val="none"/>
        </w:rPr>
        <w:t>（1）合同解除前所完成工作的价款；</w:t>
      </w:r>
    </w:p>
    <w:p w14:paraId="5DBEC037">
      <w:pPr>
        <w:pStyle w:val="79"/>
        <w:rPr>
          <w:rFonts w:hint="eastAsia" w:cs="宋体"/>
          <w:color w:val="auto"/>
          <w:sz w:val="21"/>
          <w:highlight w:val="none"/>
        </w:rPr>
      </w:pPr>
      <w:r>
        <w:rPr>
          <w:rFonts w:hint="eastAsia" w:cs="宋体"/>
          <w:color w:val="auto"/>
          <w:sz w:val="21"/>
          <w:highlight w:val="none"/>
        </w:rPr>
        <w:t>（2）承包人为工程施工订购并已付款的材料、工程设备和其他物品的价款；</w:t>
      </w:r>
    </w:p>
    <w:p w14:paraId="79E0E3BB">
      <w:pPr>
        <w:pStyle w:val="79"/>
        <w:rPr>
          <w:rFonts w:hint="eastAsia" w:cs="宋体"/>
          <w:color w:val="auto"/>
          <w:sz w:val="21"/>
          <w:highlight w:val="none"/>
        </w:rPr>
      </w:pPr>
      <w:r>
        <w:rPr>
          <w:rFonts w:hint="eastAsia" w:cs="宋体"/>
          <w:color w:val="auto"/>
          <w:sz w:val="21"/>
          <w:highlight w:val="none"/>
        </w:rPr>
        <w:t>（3）承包人撤离施工现场以及遣散承包人人员的款项；</w:t>
      </w:r>
    </w:p>
    <w:p w14:paraId="438D7066">
      <w:pPr>
        <w:pStyle w:val="79"/>
        <w:rPr>
          <w:rFonts w:hint="eastAsia" w:cs="宋体"/>
          <w:color w:val="auto"/>
          <w:sz w:val="21"/>
          <w:highlight w:val="none"/>
        </w:rPr>
      </w:pPr>
      <w:r>
        <w:rPr>
          <w:rFonts w:hint="eastAsia" w:cs="宋体"/>
          <w:color w:val="auto"/>
          <w:sz w:val="21"/>
          <w:highlight w:val="none"/>
        </w:rPr>
        <w:t>（4）按照合同约定在合同解除前应支付的违约金；</w:t>
      </w:r>
    </w:p>
    <w:p w14:paraId="241DCF73">
      <w:pPr>
        <w:pStyle w:val="79"/>
        <w:rPr>
          <w:rFonts w:hint="eastAsia" w:cs="宋体"/>
          <w:color w:val="auto"/>
          <w:sz w:val="21"/>
          <w:highlight w:val="none"/>
        </w:rPr>
      </w:pPr>
      <w:r>
        <w:rPr>
          <w:rFonts w:hint="eastAsia" w:cs="宋体"/>
          <w:color w:val="auto"/>
          <w:sz w:val="21"/>
          <w:highlight w:val="none"/>
        </w:rPr>
        <w:t>（5）按照合同约定应当支付给承包人的其他款项；</w:t>
      </w:r>
    </w:p>
    <w:p w14:paraId="26AC32D0">
      <w:pPr>
        <w:pStyle w:val="79"/>
        <w:rPr>
          <w:rFonts w:hint="eastAsia" w:cs="宋体"/>
          <w:color w:val="auto"/>
          <w:sz w:val="21"/>
          <w:highlight w:val="none"/>
        </w:rPr>
      </w:pPr>
      <w:r>
        <w:rPr>
          <w:rFonts w:hint="eastAsia" w:cs="宋体"/>
          <w:color w:val="auto"/>
          <w:sz w:val="21"/>
          <w:highlight w:val="none"/>
        </w:rPr>
        <w:t>（6）按照合同约定应退还的质量保证金；</w:t>
      </w:r>
    </w:p>
    <w:p w14:paraId="37262CB4">
      <w:pPr>
        <w:pStyle w:val="79"/>
        <w:rPr>
          <w:rFonts w:hint="eastAsia" w:cs="宋体"/>
          <w:color w:val="auto"/>
          <w:sz w:val="21"/>
          <w:highlight w:val="none"/>
        </w:rPr>
      </w:pPr>
      <w:r>
        <w:rPr>
          <w:rFonts w:hint="eastAsia" w:cs="宋体"/>
          <w:color w:val="auto"/>
          <w:sz w:val="21"/>
          <w:highlight w:val="none"/>
        </w:rPr>
        <w:t>（7）因解除合同给承包人造成的损失。</w:t>
      </w:r>
    </w:p>
    <w:p w14:paraId="4E8DD8BF">
      <w:pPr>
        <w:pStyle w:val="79"/>
        <w:rPr>
          <w:rFonts w:hint="eastAsia" w:cs="宋体"/>
          <w:color w:val="auto"/>
          <w:sz w:val="21"/>
          <w:highlight w:val="none"/>
        </w:rPr>
      </w:pPr>
      <w:r>
        <w:rPr>
          <w:rFonts w:hint="eastAsia" w:cs="宋体"/>
          <w:color w:val="auto"/>
          <w:sz w:val="21"/>
          <w:highlight w:val="none"/>
        </w:rPr>
        <w:t>合同当事人未能就解除合同后的结清达成一致的，按照第20条〔争议解决〕的约定处理。</w:t>
      </w:r>
    </w:p>
    <w:p w14:paraId="32C0EBAF">
      <w:pPr>
        <w:pStyle w:val="79"/>
        <w:rPr>
          <w:rFonts w:hint="eastAsia" w:cs="宋体"/>
          <w:color w:val="auto"/>
          <w:sz w:val="21"/>
          <w:highlight w:val="none"/>
        </w:rPr>
      </w:pPr>
      <w:r>
        <w:rPr>
          <w:rFonts w:hint="eastAsia" w:cs="宋体"/>
          <w:color w:val="auto"/>
          <w:sz w:val="21"/>
          <w:highlight w:val="none"/>
        </w:rPr>
        <w:t>承包人应妥善做好已完工程和与工程有关的已购材料、工程设备的保护和移交工作，并将施工设备和人员撤出施工现场，发包人应为承包人撤出提供必要条件。</w:t>
      </w:r>
    </w:p>
    <w:p w14:paraId="2E1E5950">
      <w:pPr>
        <w:pStyle w:val="321"/>
        <w:rPr>
          <w:rFonts w:hint="eastAsia" w:ascii="宋体" w:cs="宋体"/>
          <w:color w:val="auto"/>
          <w:highlight w:val="none"/>
        </w:rPr>
      </w:pPr>
      <w:bookmarkStart w:id="638" w:name="_Toc478389154"/>
      <w:bookmarkStart w:id="639" w:name="_Toc351203605"/>
      <w:bookmarkStart w:id="640" w:name="_Toc296346632"/>
      <w:bookmarkStart w:id="641" w:name="_Toc337558822"/>
      <w:bookmarkStart w:id="642" w:name="_Toc296503131"/>
      <w:r>
        <w:rPr>
          <w:rFonts w:hint="eastAsia" w:ascii="宋体" w:cs="宋体"/>
          <w:color w:val="auto"/>
          <w:highlight w:val="none"/>
        </w:rPr>
        <w:t>16.2 承包人违约</w:t>
      </w:r>
      <w:bookmarkEnd w:id="638"/>
      <w:bookmarkEnd w:id="639"/>
    </w:p>
    <w:bookmarkEnd w:id="640"/>
    <w:bookmarkEnd w:id="641"/>
    <w:bookmarkEnd w:id="642"/>
    <w:p w14:paraId="5D552981">
      <w:pPr>
        <w:pStyle w:val="79"/>
        <w:rPr>
          <w:rFonts w:hint="eastAsia" w:cs="宋体"/>
          <w:color w:val="auto"/>
          <w:sz w:val="21"/>
          <w:highlight w:val="none"/>
        </w:rPr>
      </w:pPr>
      <w:r>
        <w:rPr>
          <w:rFonts w:hint="eastAsia" w:cs="宋体"/>
          <w:color w:val="auto"/>
          <w:sz w:val="21"/>
          <w:highlight w:val="none"/>
        </w:rPr>
        <w:t>16.2.1 承包人违约的情形</w:t>
      </w:r>
    </w:p>
    <w:p w14:paraId="272612BB">
      <w:pPr>
        <w:pStyle w:val="79"/>
        <w:rPr>
          <w:rFonts w:hint="eastAsia" w:cs="宋体"/>
          <w:color w:val="auto"/>
          <w:sz w:val="21"/>
          <w:highlight w:val="none"/>
        </w:rPr>
      </w:pPr>
      <w:r>
        <w:rPr>
          <w:rFonts w:hint="eastAsia" w:cs="宋体"/>
          <w:color w:val="auto"/>
          <w:sz w:val="21"/>
          <w:highlight w:val="none"/>
        </w:rPr>
        <w:t>在合同履行过程中发生的下列情形，属于承包人违约：</w:t>
      </w:r>
    </w:p>
    <w:p w14:paraId="7AA953BE">
      <w:pPr>
        <w:pStyle w:val="79"/>
        <w:rPr>
          <w:rFonts w:hint="eastAsia" w:cs="宋体"/>
          <w:color w:val="auto"/>
          <w:sz w:val="21"/>
          <w:highlight w:val="none"/>
        </w:rPr>
      </w:pPr>
      <w:r>
        <w:rPr>
          <w:rFonts w:hint="eastAsia" w:cs="宋体"/>
          <w:color w:val="auto"/>
          <w:sz w:val="21"/>
          <w:highlight w:val="none"/>
        </w:rPr>
        <w:t>（1）承包人违反合同约定进行转包或违法分包的；</w:t>
      </w:r>
    </w:p>
    <w:p w14:paraId="4CFE889F">
      <w:pPr>
        <w:pStyle w:val="79"/>
        <w:rPr>
          <w:rFonts w:hint="eastAsia" w:cs="宋体"/>
          <w:color w:val="auto"/>
          <w:sz w:val="21"/>
          <w:highlight w:val="none"/>
        </w:rPr>
      </w:pPr>
      <w:r>
        <w:rPr>
          <w:rFonts w:hint="eastAsia" w:cs="宋体"/>
          <w:color w:val="auto"/>
          <w:sz w:val="21"/>
          <w:highlight w:val="none"/>
        </w:rPr>
        <w:t>（2）承包人违反合同约定采购和使用不合格的材料和工程设备的；</w:t>
      </w:r>
    </w:p>
    <w:p w14:paraId="5BCC2B7A">
      <w:pPr>
        <w:pStyle w:val="79"/>
        <w:rPr>
          <w:rFonts w:hint="eastAsia" w:cs="宋体"/>
          <w:color w:val="auto"/>
          <w:sz w:val="21"/>
          <w:highlight w:val="none"/>
        </w:rPr>
      </w:pPr>
      <w:r>
        <w:rPr>
          <w:rFonts w:hint="eastAsia" w:cs="宋体"/>
          <w:color w:val="auto"/>
          <w:sz w:val="21"/>
          <w:highlight w:val="none"/>
        </w:rPr>
        <w:t xml:space="preserve">（3）因承包人原因导致工程质量不符合合同要求的； </w:t>
      </w:r>
    </w:p>
    <w:p w14:paraId="42ACE0DB">
      <w:pPr>
        <w:pStyle w:val="79"/>
        <w:rPr>
          <w:rFonts w:hint="eastAsia" w:cs="宋体"/>
          <w:color w:val="auto"/>
          <w:sz w:val="21"/>
          <w:highlight w:val="none"/>
        </w:rPr>
      </w:pPr>
      <w:r>
        <w:rPr>
          <w:rFonts w:hint="eastAsia" w:cs="宋体"/>
          <w:color w:val="auto"/>
          <w:sz w:val="21"/>
          <w:highlight w:val="none"/>
        </w:rPr>
        <w:t>（4）承包人违反第8.9款〔材料与设备专用要求〕的约定，未经批准，私自将已按照合同约定进入施工现场的材料或设备撤离施工现场的；</w:t>
      </w:r>
    </w:p>
    <w:p w14:paraId="7D3AFCDC">
      <w:pPr>
        <w:pStyle w:val="79"/>
        <w:rPr>
          <w:rFonts w:hint="eastAsia" w:cs="宋体"/>
          <w:color w:val="auto"/>
          <w:sz w:val="21"/>
          <w:highlight w:val="none"/>
        </w:rPr>
      </w:pPr>
      <w:r>
        <w:rPr>
          <w:rFonts w:hint="eastAsia" w:cs="宋体"/>
          <w:color w:val="auto"/>
          <w:sz w:val="21"/>
          <w:highlight w:val="none"/>
        </w:rPr>
        <w:t>（5）承包人未能按施工进度计划及时完成合同约定的工作，造成工期延误的；</w:t>
      </w:r>
    </w:p>
    <w:p w14:paraId="5B0372D0">
      <w:pPr>
        <w:pStyle w:val="79"/>
        <w:rPr>
          <w:rFonts w:hint="eastAsia" w:cs="宋体"/>
          <w:color w:val="auto"/>
          <w:sz w:val="21"/>
          <w:highlight w:val="none"/>
        </w:rPr>
      </w:pPr>
      <w:r>
        <w:rPr>
          <w:rFonts w:hint="eastAsia" w:cs="宋体"/>
          <w:color w:val="auto"/>
          <w:sz w:val="21"/>
          <w:highlight w:val="none"/>
        </w:rPr>
        <w:t>（6）承包人在缺陷责任期及保修期内，未能在合理期限对工程缺陷进行修复，或拒绝按发包人要求进行修复的；</w:t>
      </w:r>
    </w:p>
    <w:p w14:paraId="2E588F2C">
      <w:pPr>
        <w:pStyle w:val="79"/>
        <w:rPr>
          <w:rFonts w:hint="eastAsia" w:cs="宋体"/>
          <w:color w:val="auto"/>
          <w:sz w:val="21"/>
          <w:highlight w:val="none"/>
        </w:rPr>
      </w:pPr>
      <w:r>
        <w:rPr>
          <w:rFonts w:hint="eastAsia" w:cs="宋体"/>
          <w:color w:val="auto"/>
          <w:sz w:val="21"/>
          <w:highlight w:val="none"/>
        </w:rPr>
        <w:t>（7）承包人明确表示或者以其行为表明不履行合同主要义务的；</w:t>
      </w:r>
    </w:p>
    <w:p w14:paraId="16795D42">
      <w:pPr>
        <w:pStyle w:val="79"/>
        <w:rPr>
          <w:rFonts w:hint="eastAsia" w:cs="宋体"/>
          <w:color w:val="auto"/>
          <w:sz w:val="21"/>
          <w:highlight w:val="none"/>
        </w:rPr>
      </w:pPr>
      <w:r>
        <w:rPr>
          <w:rFonts w:hint="eastAsia" w:cs="宋体"/>
          <w:color w:val="auto"/>
          <w:sz w:val="21"/>
          <w:highlight w:val="none"/>
        </w:rPr>
        <w:t>（8）承包人未能按照合同约定履行其他义务的。</w:t>
      </w:r>
    </w:p>
    <w:p w14:paraId="48FB7163">
      <w:pPr>
        <w:pStyle w:val="79"/>
        <w:rPr>
          <w:rFonts w:hint="eastAsia" w:cs="宋体"/>
          <w:color w:val="auto"/>
          <w:sz w:val="21"/>
          <w:highlight w:val="none"/>
        </w:rPr>
      </w:pPr>
      <w:r>
        <w:rPr>
          <w:rFonts w:hint="eastAsia" w:cs="宋体"/>
          <w:color w:val="auto"/>
          <w:sz w:val="21"/>
          <w:highlight w:val="none"/>
        </w:rPr>
        <w:t>承包人发生除本项第（7）目约定以外的其他违约情况时，监理人可向承包人发出整改通知，要求其在指定的期限内改正。</w:t>
      </w:r>
    </w:p>
    <w:p w14:paraId="7139B695">
      <w:pPr>
        <w:pStyle w:val="79"/>
        <w:rPr>
          <w:rFonts w:hint="eastAsia" w:cs="宋体"/>
          <w:color w:val="auto"/>
          <w:sz w:val="21"/>
          <w:highlight w:val="none"/>
        </w:rPr>
      </w:pPr>
      <w:r>
        <w:rPr>
          <w:rFonts w:hint="eastAsia" w:cs="宋体"/>
          <w:color w:val="auto"/>
          <w:sz w:val="21"/>
          <w:highlight w:val="none"/>
        </w:rPr>
        <w:t>16.2.2 承包人违约的责任</w:t>
      </w:r>
    </w:p>
    <w:p w14:paraId="4E1E673E">
      <w:pPr>
        <w:pStyle w:val="79"/>
        <w:rPr>
          <w:rFonts w:hint="eastAsia" w:cs="宋体"/>
          <w:color w:val="auto"/>
          <w:sz w:val="21"/>
          <w:highlight w:val="none"/>
        </w:rPr>
      </w:pPr>
      <w:r>
        <w:rPr>
          <w:rFonts w:hint="eastAsia" w:cs="宋体"/>
          <w:color w:val="auto"/>
          <w:sz w:val="21"/>
          <w:highlight w:val="none"/>
        </w:rPr>
        <w:t>承包人应承担因其违约行为而增加的费用和（或）延误的工期。此外，合同当事人可在专用合同条款中另行约定承包人违约责任的承担方式和计算方法。</w:t>
      </w:r>
    </w:p>
    <w:p w14:paraId="7F6B8BC3">
      <w:pPr>
        <w:pStyle w:val="79"/>
        <w:rPr>
          <w:rFonts w:hint="eastAsia" w:cs="宋体"/>
          <w:color w:val="auto"/>
          <w:sz w:val="21"/>
          <w:highlight w:val="none"/>
        </w:rPr>
      </w:pPr>
      <w:r>
        <w:rPr>
          <w:rFonts w:hint="eastAsia" w:cs="宋体"/>
          <w:color w:val="auto"/>
          <w:sz w:val="21"/>
          <w:highlight w:val="none"/>
        </w:rPr>
        <w:t>16.2.3 因承包人违约解除合同</w:t>
      </w:r>
    </w:p>
    <w:p w14:paraId="5BDDBAAA">
      <w:pPr>
        <w:pStyle w:val="79"/>
        <w:rPr>
          <w:rFonts w:hint="eastAsia" w:cs="宋体"/>
          <w:color w:val="auto"/>
          <w:sz w:val="21"/>
          <w:highlight w:val="none"/>
        </w:rPr>
      </w:pPr>
      <w:r>
        <w:rPr>
          <w:rFonts w:hint="eastAsia" w:cs="宋体"/>
          <w:color w:val="auto"/>
          <w:sz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44EEB4A">
      <w:pPr>
        <w:pStyle w:val="79"/>
        <w:rPr>
          <w:rFonts w:hint="eastAsia" w:cs="宋体"/>
          <w:color w:val="auto"/>
          <w:sz w:val="21"/>
          <w:highlight w:val="none"/>
        </w:rPr>
      </w:pPr>
      <w:r>
        <w:rPr>
          <w:rFonts w:hint="eastAsia" w:cs="宋体"/>
          <w:color w:val="auto"/>
          <w:sz w:val="21"/>
          <w:highlight w:val="none"/>
        </w:rPr>
        <w:t>16.2.4因承包人违约解除合同后的处理</w:t>
      </w:r>
    </w:p>
    <w:p w14:paraId="42A5666D">
      <w:pPr>
        <w:pStyle w:val="79"/>
        <w:rPr>
          <w:rFonts w:hint="eastAsia" w:cs="宋体"/>
          <w:color w:val="auto"/>
          <w:sz w:val="21"/>
          <w:highlight w:val="none"/>
        </w:rPr>
      </w:pPr>
      <w:r>
        <w:rPr>
          <w:rFonts w:hint="eastAsia" w:cs="宋体"/>
          <w:color w:val="auto"/>
          <w:sz w:val="21"/>
          <w:highlight w:val="none"/>
        </w:rPr>
        <w:t>因承包人原因导致合同解除的，则合同当事人应在合同解除后28天内完成估价、付款和清算，并按以下约定执行：</w:t>
      </w:r>
    </w:p>
    <w:p w14:paraId="5E5736B1">
      <w:pPr>
        <w:pStyle w:val="79"/>
        <w:rPr>
          <w:rFonts w:hint="eastAsia" w:cs="宋体"/>
          <w:color w:val="auto"/>
          <w:sz w:val="21"/>
          <w:highlight w:val="none"/>
        </w:rPr>
      </w:pPr>
      <w:r>
        <w:rPr>
          <w:rFonts w:hint="eastAsia" w:cs="宋体"/>
          <w:color w:val="auto"/>
          <w:sz w:val="21"/>
          <w:highlight w:val="none"/>
        </w:rPr>
        <w:t>（1）合同解除后，按第4.4款〔商定或确定〕商定或确定承包人实际完成工作对应的合同价款，以及承包人已提供的材料、工程设备、施工设备和临时工程等的价值；</w:t>
      </w:r>
    </w:p>
    <w:p w14:paraId="52DA0EFF">
      <w:pPr>
        <w:pStyle w:val="79"/>
        <w:rPr>
          <w:rFonts w:hint="eastAsia" w:cs="宋体"/>
          <w:color w:val="auto"/>
          <w:sz w:val="21"/>
          <w:highlight w:val="none"/>
        </w:rPr>
      </w:pPr>
      <w:r>
        <w:rPr>
          <w:rFonts w:hint="eastAsia" w:cs="宋体"/>
          <w:color w:val="auto"/>
          <w:sz w:val="21"/>
          <w:highlight w:val="none"/>
        </w:rPr>
        <w:t>（2）合同解除后，承包人应支付的违约金；</w:t>
      </w:r>
    </w:p>
    <w:p w14:paraId="127E3FA8">
      <w:pPr>
        <w:pStyle w:val="79"/>
        <w:rPr>
          <w:rFonts w:hint="eastAsia" w:cs="宋体"/>
          <w:color w:val="auto"/>
          <w:sz w:val="21"/>
          <w:highlight w:val="none"/>
        </w:rPr>
      </w:pPr>
      <w:r>
        <w:rPr>
          <w:rFonts w:hint="eastAsia" w:cs="宋体"/>
          <w:color w:val="auto"/>
          <w:sz w:val="21"/>
          <w:highlight w:val="none"/>
        </w:rPr>
        <w:t>（3）合同解除后，因解除合同给发包人造成的损失；</w:t>
      </w:r>
    </w:p>
    <w:p w14:paraId="105CBC8B">
      <w:pPr>
        <w:pStyle w:val="79"/>
        <w:rPr>
          <w:rFonts w:hint="eastAsia" w:cs="宋体"/>
          <w:color w:val="auto"/>
          <w:sz w:val="21"/>
          <w:highlight w:val="none"/>
        </w:rPr>
      </w:pPr>
      <w:r>
        <w:rPr>
          <w:rFonts w:hint="eastAsia" w:cs="宋体"/>
          <w:color w:val="auto"/>
          <w:sz w:val="21"/>
          <w:highlight w:val="none"/>
        </w:rPr>
        <w:t>（4）合同解除后，承包人应按照发包人要求和监理人的指示完成现场的清理和撤离；</w:t>
      </w:r>
    </w:p>
    <w:p w14:paraId="50B9CFED">
      <w:pPr>
        <w:pStyle w:val="79"/>
        <w:rPr>
          <w:rFonts w:hint="eastAsia" w:cs="宋体"/>
          <w:color w:val="auto"/>
          <w:sz w:val="21"/>
          <w:highlight w:val="none"/>
        </w:rPr>
      </w:pPr>
      <w:r>
        <w:rPr>
          <w:rFonts w:hint="eastAsia" w:cs="宋体"/>
          <w:color w:val="auto"/>
          <w:sz w:val="21"/>
          <w:highlight w:val="none"/>
        </w:rPr>
        <w:t>（5）发包人和承包人应在合同解除后进行清算，出具最终结清付款证书，结清全部款项。</w:t>
      </w:r>
    </w:p>
    <w:p w14:paraId="036A901E">
      <w:pPr>
        <w:pStyle w:val="79"/>
        <w:rPr>
          <w:rFonts w:hint="eastAsia" w:cs="宋体"/>
          <w:color w:val="auto"/>
          <w:sz w:val="21"/>
          <w:highlight w:val="none"/>
        </w:rPr>
      </w:pPr>
      <w:r>
        <w:rPr>
          <w:rFonts w:hint="eastAsia" w:cs="宋体"/>
          <w:color w:val="auto"/>
          <w:sz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2A277A49">
      <w:pPr>
        <w:pStyle w:val="79"/>
        <w:rPr>
          <w:rFonts w:hint="eastAsia" w:cs="宋体"/>
          <w:color w:val="auto"/>
          <w:sz w:val="21"/>
          <w:highlight w:val="none"/>
        </w:rPr>
      </w:pPr>
      <w:r>
        <w:rPr>
          <w:rFonts w:hint="eastAsia" w:cs="宋体"/>
          <w:color w:val="auto"/>
          <w:sz w:val="21"/>
          <w:highlight w:val="none"/>
        </w:rPr>
        <w:t>16.2.5采购合同权益转让</w:t>
      </w:r>
    </w:p>
    <w:p w14:paraId="478AFC84">
      <w:pPr>
        <w:pStyle w:val="79"/>
        <w:rPr>
          <w:rFonts w:hint="eastAsia" w:cs="宋体"/>
          <w:color w:val="auto"/>
          <w:sz w:val="21"/>
          <w:highlight w:val="none"/>
        </w:rPr>
      </w:pPr>
      <w:r>
        <w:rPr>
          <w:rFonts w:hint="eastAsia" w:cs="宋体"/>
          <w:color w:val="auto"/>
          <w:sz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A061E0F">
      <w:pPr>
        <w:pStyle w:val="321"/>
        <w:rPr>
          <w:rFonts w:hint="eastAsia" w:ascii="宋体" w:cs="宋体"/>
          <w:color w:val="auto"/>
          <w:highlight w:val="none"/>
        </w:rPr>
      </w:pPr>
      <w:bookmarkStart w:id="643" w:name="_Toc351203606"/>
      <w:bookmarkStart w:id="644" w:name="_Toc478389155"/>
      <w:r>
        <w:rPr>
          <w:rFonts w:hint="eastAsia" w:ascii="宋体" w:cs="宋体"/>
          <w:color w:val="auto"/>
          <w:highlight w:val="none"/>
        </w:rPr>
        <w:t>16.3 第三人造成的违约</w:t>
      </w:r>
      <w:bookmarkEnd w:id="643"/>
      <w:bookmarkEnd w:id="644"/>
    </w:p>
    <w:p w14:paraId="17BBF194">
      <w:pPr>
        <w:pStyle w:val="79"/>
        <w:rPr>
          <w:rFonts w:hint="eastAsia" w:cs="宋体"/>
          <w:color w:val="auto"/>
          <w:sz w:val="21"/>
          <w:highlight w:val="none"/>
        </w:rPr>
      </w:pPr>
      <w:r>
        <w:rPr>
          <w:rFonts w:hint="eastAsia" w:cs="宋体"/>
          <w:color w:val="auto"/>
          <w:sz w:val="21"/>
          <w:highlight w:val="none"/>
        </w:rPr>
        <w:t>在履行合同过程中，一方当事人因第三人的原因造成违约的，应当向对方当事人承担违约责任。一方当事人和第三人之间的纠纷，依照法律规定或者按照约定解决。</w:t>
      </w:r>
    </w:p>
    <w:p w14:paraId="202F8339">
      <w:pPr>
        <w:pStyle w:val="321"/>
        <w:rPr>
          <w:rFonts w:hint="eastAsia" w:ascii="宋体" w:cs="宋体"/>
          <w:color w:val="auto"/>
          <w:highlight w:val="none"/>
        </w:rPr>
      </w:pPr>
      <w:bookmarkStart w:id="645" w:name="_Toc337558823"/>
      <w:bookmarkStart w:id="646" w:name="_Toc478389156"/>
      <w:bookmarkStart w:id="647" w:name="_Toc351203607"/>
      <w:bookmarkStart w:id="648" w:name="_Toc296503116"/>
      <w:bookmarkStart w:id="649" w:name="_Toc296346617"/>
      <w:r>
        <w:rPr>
          <w:rFonts w:hint="eastAsia" w:ascii="宋体" w:cs="宋体"/>
          <w:color w:val="auto"/>
          <w:highlight w:val="none"/>
        </w:rPr>
        <w:t>17. 不可抗力</w:t>
      </w:r>
      <w:bookmarkEnd w:id="645"/>
      <w:bookmarkEnd w:id="646"/>
      <w:bookmarkEnd w:id="647"/>
      <w:bookmarkEnd w:id="648"/>
      <w:bookmarkEnd w:id="649"/>
    </w:p>
    <w:p w14:paraId="59C9EDFC">
      <w:pPr>
        <w:pStyle w:val="321"/>
        <w:rPr>
          <w:rFonts w:hint="eastAsia" w:ascii="宋体" w:cs="宋体"/>
          <w:color w:val="auto"/>
          <w:highlight w:val="none"/>
        </w:rPr>
      </w:pPr>
      <w:bookmarkStart w:id="650" w:name="_Toc478389157"/>
      <w:bookmarkStart w:id="651" w:name="_Toc351203608"/>
      <w:bookmarkStart w:id="652" w:name="_Toc296503117"/>
      <w:bookmarkStart w:id="653" w:name="_Toc337558824"/>
      <w:bookmarkStart w:id="654" w:name="_Toc296346618"/>
      <w:r>
        <w:rPr>
          <w:rFonts w:hint="eastAsia" w:ascii="宋体" w:cs="宋体"/>
          <w:color w:val="auto"/>
          <w:highlight w:val="none"/>
        </w:rPr>
        <w:t>17.1 不可抗力的确认</w:t>
      </w:r>
      <w:bookmarkEnd w:id="650"/>
      <w:bookmarkEnd w:id="651"/>
    </w:p>
    <w:bookmarkEnd w:id="652"/>
    <w:bookmarkEnd w:id="653"/>
    <w:bookmarkEnd w:id="654"/>
    <w:p w14:paraId="32BBB2F1">
      <w:pPr>
        <w:pStyle w:val="79"/>
        <w:rPr>
          <w:rFonts w:hint="eastAsia" w:cs="宋体"/>
          <w:color w:val="auto"/>
          <w:sz w:val="21"/>
          <w:highlight w:val="none"/>
        </w:rPr>
      </w:pPr>
      <w:r>
        <w:rPr>
          <w:rFonts w:hint="eastAsia" w:cs="宋体"/>
          <w:color w:val="auto"/>
          <w:sz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65CC8B95">
      <w:pPr>
        <w:pStyle w:val="79"/>
        <w:rPr>
          <w:rFonts w:hint="eastAsia" w:cs="宋体"/>
          <w:color w:val="auto"/>
          <w:sz w:val="21"/>
          <w:highlight w:val="none"/>
        </w:rPr>
      </w:pPr>
      <w:r>
        <w:rPr>
          <w:rFonts w:hint="eastAsia" w:cs="宋体"/>
          <w:color w:val="auto"/>
          <w:sz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7313D0A2">
      <w:pPr>
        <w:pStyle w:val="321"/>
        <w:rPr>
          <w:rFonts w:hint="eastAsia" w:ascii="宋体" w:cs="宋体"/>
          <w:color w:val="auto"/>
          <w:highlight w:val="none"/>
        </w:rPr>
      </w:pPr>
      <w:bookmarkStart w:id="655" w:name="_Toc478389158"/>
      <w:bookmarkStart w:id="656" w:name="_Toc351203609"/>
      <w:bookmarkStart w:id="657" w:name="_Toc296503118"/>
      <w:bookmarkStart w:id="658" w:name="_Toc337558825"/>
      <w:bookmarkStart w:id="659" w:name="_Toc296346619"/>
      <w:r>
        <w:rPr>
          <w:rFonts w:hint="eastAsia" w:ascii="宋体" w:cs="宋体"/>
          <w:color w:val="auto"/>
          <w:highlight w:val="none"/>
        </w:rPr>
        <w:t>17.2 不可抗力的通知</w:t>
      </w:r>
      <w:bookmarkEnd w:id="655"/>
      <w:bookmarkEnd w:id="656"/>
    </w:p>
    <w:bookmarkEnd w:id="657"/>
    <w:bookmarkEnd w:id="658"/>
    <w:bookmarkEnd w:id="659"/>
    <w:p w14:paraId="5A37BA35">
      <w:pPr>
        <w:pStyle w:val="79"/>
        <w:rPr>
          <w:rFonts w:hint="eastAsia" w:cs="宋体"/>
          <w:color w:val="auto"/>
          <w:sz w:val="21"/>
          <w:highlight w:val="none"/>
        </w:rPr>
      </w:pPr>
      <w:r>
        <w:rPr>
          <w:rFonts w:hint="eastAsia" w:cs="宋体"/>
          <w:color w:val="auto"/>
          <w:sz w:val="21"/>
          <w:highlight w:val="none"/>
        </w:rPr>
        <w:t>合同一方当事人遇到不可抗力事件，使其履行合同义务受到阻碍时，应立即通知合同另一方当事人和监理人，书面说明不可抗力和受阻碍的详细情况，并提供必要的证明。</w:t>
      </w:r>
    </w:p>
    <w:p w14:paraId="26EF57B3">
      <w:pPr>
        <w:pStyle w:val="79"/>
        <w:ind w:firstLine="315" w:firstLineChars="150"/>
        <w:rPr>
          <w:rFonts w:hint="eastAsia" w:cs="宋体"/>
          <w:color w:val="auto"/>
          <w:sz w:val="21"/>
          <w:highlight w:val="none"/>
        </w:rPr>
      </w:pPr>
      <w:r>
        <w:rPr>
          <w:rFonts w:hint="eastAsia" w:cs="宋体"/>
          <w:color w:val="auto"/>
          <w:sz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47043CB4">
      <w:pPr>
        <w:pStyle w:val="321"/>
        <w:rPr>
          <w:rFonts w:hint="eastAsia" w:ascii="宋体" w:cs="宋体"/>
          <w:color w:val="auto"/>
          <w:highlight w:val="none"/>
        </w:rPr>
      </w:pPr>
      <w:bookmarkStart w:id="660" w:name="_Toc478389159"/>
      <w:bookmarkStart w:id="661" w:name="_Toc351203610"/>
      <w:bookmarkStart w:id="662" w:name="_Toc296503119"/>
      <w:bookmarkStart w:id="663" w:name="_Toc296346620"/>
      <w:bookmarkStart w:id="664" w:name="_Toc337558826"/>
      <w:r>
        <w:rPr>
          <w:rFonts w:hint="eastAsia" w:ascii="宋体" w:cs="宋体"/>
          <w:color w:val="auto"/>
          <w:highlight w:val="none"/>
        </w:rPr>
        <w:t>17.3 不可抗力后果的承担</w:t>
      </w:r>
      <w:bookmarkEnd w:id="660"/>
      <w:bookmarkEnd w:id="661"/>
    </w:p>
    <w:bookmarkEnd w:id="662"/>
    <w:bookmarkEnd w:id="663"/>
    <w:bookmarkEnd w:id="664"/>
    <w:p w14:paraId="08999498">
      <w:pPr>
        <w:pStyle w:val="79"/>
        <w:rPr>
          <w:rFonts w:hint="eastAsia" w:cs="宋体"/>
          <w:color w:val="auto"/>
          <w:sz w:val="21"/>
          <w:highlight w:val="none"/>
        </w:rPr>
      </w:pPr>
      <w:r>
        <w:rPr>
          <w:rFonts w:hint="eastAsia" w:cs="宋体"/>
          <w:color w:val="auto"/>
          <w:sz w:val="21"/>
          <w:highlight w:val="none"/>
        </w:rPr>
        <w:t>17.3.1不可抗力引起的后果及造成的损失由合同当事人按照法律规定及合同约定各自承担。不可抗力发生前已完成的工程应当按照合同约定进行计量支付。</w:t>
      </w:r>
    </w:p>
    <w:p w14:paraId="06E63E79">
      <w:pPr>
        <w:pStyle w:val="79"/>
        <w:rPr>
          <w:rFonts w:hint="eastAsia" w:cs="宋体"/>
          <w:color w:val="auto"/>
          <w:sz w:val="21"/>
          <w:highlight w:val="none"/>
        </w:rPr>
      </w:pPr>
      <w:r>
        <w:rPr>
          <w:rFonts w:hint="eastAsia" w:cs="宋体"/>
          <w:color w:val="auto"/>
          <w:sz w:val="21"/>
          <w:highlight w:val="none"/>
        </w:rPr>
        <w:t>17.3.2不可抗力导致的人员伤亡、财产损失、费用增加和（或）工期延误等后果，由合同当事人按以下原则承担：</w:t>
      </w:r>
    </w:p>
    <w:p w14:paraId="49F764B9">
      <w:pPr>
        <w:pStyle w:val="79"/>
        <w:rPr>
          <w:rFonts w:hint="eastAsia" w:cs="宋体"/>
          <w:color w:val="auto"/>
          <w:sz w:val="21"/>
          <w:highlight w:val="none"/>
        </w:rPr>
      </w:pPr>
      <w:r>
        <w:rPr>
          <w:rFonts w:hint="eastAsia" w:cs="宋体"/>
          <w:color w:val="auto"/>
          <w:sz w:val="21"/>
          <w:highlight w:val="none"/>
        </w:rPr>
        <w:t>（1）永久工程、已运至施工现场的材料和工程设备的损坏，以及因工程损坏造成的第三人人员伤亡和财产损失由发包人承担；</w:t>
      </w:r>
    </w:p>
    <w:p w14:paraId="32DFF2F6">
      <w:pPr>
        <w:pStyle w:val="79"/>
        <w:rPr>
          <w:rFonts w:hint="eastAsia" w:cs="宋体"/>
          <w:color w:val="auto"/>
          <w:sz w:val="21"/>
          <w:highlight w:val="none"/>
        </w:rPr>
      </w:pPr>
      <w:r>
        <w:rPr>
          <w:rFonts w:hint="eastAsia" w:cs="宋体"/>
          <w:color w:val="auto"/>
          <w:sz w:val="21"/>
          <w:highlight w:val="none"/>
        </w:rPr>
        <w:t>（2）承包人施工设备的损坏由承包人承担；</w:t>
      </w:r>
    </w:p>
    <w:p w14:paraId="54789478">
      <w:pPr>
        <w:pStyle w:val="79"/>
        <w:rPr>
          <w:rFonts w:hint="eastAsia" w:cs="宋体"/>
          <w:color w:val="auto"/>
          <w:sz w:val="21"/>
          <w:highlight w:val="none"/>
        </w:rPr>
      </w:pPr>
      <w:r>
        <w:rPr>
          <w:rFonts w:hint="eastAsia" w:cs="宋体"/>
          <w:color w:val="auto"/>
          <w:sz w:val="21"/>
          <w:highlight w:val="none"/>
        </w:rPr>
        <w:t>（3）发包人和承包人承担各自人员伤亡和财产的损失；</w:t>
      </w:r>
    </w:p>
    <w:p w14:paraId="30E495EA">
      <w:pPr>
        <w:pStyle w:val="79"/>
        <w:rPr>
          <w:rFonts w:hint="eastAsia" w:cs="宋体"/>
          <w:color w:val="auto"/>
          <w:sz w:val="21"/>
          <w:highlight w:val="none"/>
        </w:rPr>
      </w:pPr>
      <w:r>
        <w:rPr>
          <w:rFonts w:hint="eastAsia" w:cs="宋体"/>
          <w:color w:val="auto"/>
          <w:sz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C57EF13">
      <w:pPr>
        <w:pStyle w:val="79"/>
        <w:rPr>
          <w:rFonts w:hint="eastAsia" w:cs="宋体"/>
          <w:color w:val="auto"/>
          <w:sz w:val="21"/>
          <w:highlight w:val="none"/>
        </w:rPr>
      </w:pPr>
      <w:r>
        <w:rPr>
          <w:rFonts w:hint="eastAsia" w:cs="宋体"/>
          <w:color w:val="auto"/>
          <w:sz w:val="21"/>
          <w:highlight w:val="none"/>
        </w:rPr>
        <w:t>（5）因不可抗力引起或将引起工期延误，发包人要求赶工的，由此增加的赶工费用由发包人承担；</w:t>
      </w:r>
    </w:p>
    <w:p w14:paraId="647B872A">
      <w:pPr>
        <w:pStyle w:val="79"/>
        <w:rPr>
          <w:rFonts w:hint="eastAsia" w:cs="宋体"/>
          <w:color w:val="auto"/>
          <w:sz w:val="21"/>
          <w:highlight w:val="none"/>
        </w:rPr>
      </w:pPr>
      <w:r>
        <w:rPr>
          <w:rFonts w:hint="eastAsia" w:cs="宋体"/>
          <w:color w:val="auto"/>
          <w:sz w:val="21"/>
          <w:highlight w:val="none"/>
        </w:rPr>
        <w:t>（6）承包人在停工期间按照发包人要求照管、清理和修复工程的费用由发包人承担。</w:t>
      </w:r>
    </w:p>
    <w:p w14:paraId="71FD393C">
      <w:pPr>
        <w:pStyle w:val="79"/>
        <w:rPr>
          <w:rFonts w:hint="eastAsia" w:cs="宋体"/>
          <w:color w:val="auto"/>
          <w:sz w:val="21"/>
          <w:highlight w:val="none"/>
        </w:rPr>
      </w:pPr>
      <w:r>
        <w:rPr>
          <w:rFonts w:hint="eastAsia" w:cs="宋体"/>
          <w:color w:val="auto"/>
          <w:sz w:val="21"/>
          <w:highlight w:val="none"/>
        </w:rPr>
        <w:t>不可抗力发生后，合同当事人均应采取措施尽量避免和减少损失的扩大，任何一方当事人没有采取有效措施导致损失扩大的，应对扩大的损失承担责任。</w:t>
      </w:r>
    </w:p>
    <w:p w14:paraId="1A89B0FB">
      <w:pPr>
        <w:pStyle w:val="79"/>
        <w:rPr>
          <w:rFonts w:hint="eastAsia" w:cs="宋体"/>
          <w:color w:val="auto"/>
          <w:sz w:val="21"/>
          <w:highlight w:val="none"/>
        </w:rPr>
      </w:pPr>
      <w:r>
        <w:rPr>
          <w:rFonts w:hint="eastAsia" w:cs="宋体"/>
          <w:color w:val="auto"/>
          <w:sz w:val="21"/>
          <w:highlight w:val="none"/>
        </w:rPr>
        <w:t>因合同一方迟延履行合同义务，在迟延履行期间遭遇不可抗力的，不免除其违约责任。</w:t>
      </w:r>
    </w:p>
    <w:p w14:paraId="2F573C2A">
      <w:pPr>
        <w:pStyle w:val="321"/>
        <w:rPr>
          <w:rFonts w:hint="eastAsia" w:ascii="宋体" w:cs="宋体"/>
          <w:color w:val="auto"/>
          <w:highlight w:val="none"/>
        </w:rPr>
      </w:pPr>
      <w:bookmarkStart w:id="665" w:name="_Toc478389160"/>
      <w:bookmarkStart w:id="666" w:name="_Toc351203611"/>
      <w:bookmarkStart w:id="667" w:name="_Toc337558827"/>
      <w:r>
        <w:rPr>
          <w:rFonts w:hint="eastAsia" w:ascii="宋体" w:cs="宋体"/>
          <w:color w:val="auto"/>
          <w:highlight w:val="none"/>
        </w:rPr>
        <w:t>17.4 因不可抗力解除合同</w:t>
      </w:r>
      <w:bookmarkEnd w:id="665"/>
      <w:bookmarkEnd w:id="666"/>
    </w:p>
    <w:bookmarkEnd w:id="667"/>
    <w:p w14:paraId="40ABECD4">
      <w:pPr>
        <w:pStyle w:val="79"/>
        <w:rPr>
          <w:rFonts w:hint="eastAsia" w:cs="宋体"/>
          <w:color w:val="auto"/>
          <w:sz w:val="21"/>
          <w:highlight w:val="none"/>
        </w:rPr>
      </w:pPr>
      <w:r>
        <w:rPr>
          <w:rFonts w:hint="eastAsia" w:cs="宋体"/>
          <w:color w:val="auto"/>
          <w:sz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1EA94521">
      <w:pPr>
        <w:pStyle w:val="79"/>
        <w:rPr>
          <w:rFonts w:hint="eastAsia" w:cs="宋体"/>
          <w:color w:val="auto"/>
          <w:sz w:val="21"/>
          <w:highlight w:val="none"/>
        </w:rPr>
      </w:pPr>
      <w:r>
        <w:rPr>
          <w:rFonts w:hint="eastAsia" w:cs="宋体"/>
          <w:color w:val="auto"/>
          <w:sz w:val="21"/>
          <w:highlight w:val="none"/>
        </w:rPr>
        <w:t>（1）合同解除前承包人已完成工作的价款；</w:t>
      </w:r>
    </w:p>
    <w:p w14:paraId="5ECDBABC">
      <w:pPr>
        <w:pStyle w:val="79"/>
        <w:rPr>
          <w:rFonts w:hint="eastAsia" w:cs="宋体"/>
          <w:color w:val="auto"/>
          <w:sz w:val="21"/>
          <w:highlight w:val="none"/>
        </w:rPr>
      </w:pPr>
      <w:r>
        <w:rPr>
          <w:rFonts w:hint="eastAsia" w:cs="宋体"/>
          <w:color w:val="auto"/>
          <w:sz w:val="21"/>
          <w:highlight w:val="none"/>
        </w:rPr>
        <w:t>（2）承包人为工程订购的并已交付给承包人，或承包人有责任接受交付的材料、工程设备和其他物品的价款；</w:t>
      </w:r>
    </w:p>
    <w:p w14:paraId="15819D89">
      <w:pPr>
        <w:pStyle w:val="79"/>
        <w:rPr>
          <w:rFonts w:hint="eastAsia" w:cs="宋体"/>
          <w:color w:val="auto"/>
          <w:sz w:val="21"/>
          <w:highlight w:val="none"/>
        </w:rPr>
      </w:pPr>
      <w:r>
        <w:rPr>
          <w:rFonts w:hint="eastAsia" w:cs="宋体"/>
          <w:color w:val="auto"/>
          <w:sz w:val="21"/>
          <w:highlight w:val="none"/>
        </w:rPr>
        <w:t>（3）发包人要求承包人退货或解除订货合同而产生的费用，或因不能退货或解除合同而产生的损失；</w:t>
      </w:r>
    </w:p>
    <w:p w14:paraId="28853F14">
      <w:pPr>
        <w:pStyle w:val="79"/>
        <w:rPr>
          <w:rFonts w:hint="eastAsia" w:cs="宋体"/>
          <w:color w:val="auto"/>
          <w:sz w:val="21"/>
          <w:highlight w:val="none"/>
        </w:rPr>
      </w:pPr>
      <w:r>
        <w:rPr>
          <w:rFonts w:hint="eastAsia" w:cs="宋体"/>
          <w:color w:val="auto"/>
          <w:sz w:val="21"/>
          <w:highlight w:val="none"/>
        </w:rPr>
        <w:t>（4）承包人撤离施工现场以及遣散承包人人员的费用；</w:t>
      </w:r>
    </w:p>
    <w:p w14:paraId="1AD19F7C">
      <w:pPr>
        <w:pStyle w:val="79"/>
        <w:rPr>
          <w:rFonts w:hint="eastAsia" w:cs="宋体"/>
          <w:color w:val="auto"/>
          <w:sz w:val="21"/>
          <w:highlight w:val="none"/>
        </w:rPr>
      </w:pPr>
      <w:r>
        <w:rPr>
          <w:rFonts w:hint="eastAsia" w:cs="宋体"/>
          <w:color w:val="auto"/>
          <w:sz w:val="21"/>
          <w:highlight w:val="none"/>
        </w:rPr>
        <w:t>（5）按照合同约定在合同解除前应支付给承包人的其他款项；</w:t>
      </w:r>
    </w:p>
    <w:p w14:paraId="76E01AE1">
      <w:pPr>
        <w:pStyle w:val="79"/>
        <w:rPr>
          <w:rFonts w:hint="eastAsia" w:cs="宋体"/>
          <w:color w:val="auto"/>
          <w:sz w:val="21"/>
          <w:highlight w:val="none"/>
        </w:rPr>
      </w:pPr>
      <w:r>
        <w:rPr>
          <w:rFonts w:hint="eastAsia" w:cs="宋体"/>
          <w:color w:val="auto"/>
          <w:sz w:val="21"/>
          <w:highlight w:val="none"/>
        </w:rPr>
        <w:t>（6）扣减承包人按照合同约定应向发包人支付的款项；</w:t>
      </w:r>
    </w:p>
    <w:p w14:paraId="0E742AD8">
      <w:pPr>
        <w:pStyle w:val="79"/>
        <w:rPr>
          <w:rFonts w:hint="eastAsia" w:cs="宋体"/>
          <w:color w:val="auto"/>
          <w:sz w:val="21"/>
          <w:highlight w:val="none"/>
        </w:rPr>
      </w:pPr>
      <w:r>
        <w:rPr>
          <w:rFonts w:hint="eastAsia" w:cs="宋体"/>
          <w:color w:val="auto"/>
          <w:sz w:val="21"/>
          <w:highlight w:val="none"/>
        </w:rPr>
        <w:t>（7）双方商定或确定的其他款项。</w:t>
      </w:r>
    </w:p>
    <w:p w14:paraId="199C52C0">
      <w:pPr>
        <w:pStyle w:val="79"/>
        <w:rPr>
          <w:rFonts w:hint="eastAsia" w:cs="宋体"/>
          <w:color w:val="auto"/>
          <w:sz w:val="21"/>
          <w:highlight w:val="none"/>
        </w:rPr>
      </w:pPr>
      <w:r>
        <w:rPr>
          <w:rFonts w:hint="eastAsia" w:cs="宋体"/>
          <w:color w:val="auto"/>
          <w:sz w:val="21"/>
          <w:highlight w:val="none"/>
        </w:rPr>
        <w:t>除专用合同条款另有约定外，合同解除后，发包人应在商定或确定上述款项后28天内完成上述款项的支付。</w:t>
      </w:r>
    </w:p>
    <w:p w14:paraId="1D1F3EA8">
      <w:pPr>
        <w:pStyle w:val="321"/>
        <w:rPr>
          <w:rFonts w:hint="eastAsia" w:ascii="宋体" w:cs="宋体"/>
          <w:color w:val="auto"/>
          <w:highlight w:val="none"/>
        </w:rPr>
      </w:pPr>
      <w:bookmarkStart w:id="668" w:name="_Toc351203612"/>
      <w:bookmarkStart w:id="669" w:name="_Toc478389161"/>
      <w:bookmarkStart w:id="670" w:name="_Toc337558828"/>
      <w:bookmarkStart w:id="671" w:name="_Toc296503120"/>
      <w:bookmarkStart w:id="672" w:name="_Toc296346621"/>
      <w:r>
        <w:rPr>
          <w:rFonts w:hint="eastAsia" w:ascii="宋体" w:cs="宋体"/>
          <w:color w:val="auto"/>
          <w:highlight w:val="none"/>
        </w:rPr>
        <w:t>18. 保险</w:t>
      </w:r>
      <w:bookmarkEnd w:id="668"/>
      <w:bookmarkEnd w:id="669"/>
    </w:p>
    <w:bookmarkEnd w:id="670"/>
    <w:bookmarkEnd w:id="671"/>
    <w:bookmarkEnd w:id="672"/>
    <w:p w14:paraId="52B381A1">
      <w:pPr>
        <w:pStyle w:val="321"/>
        <w:rPr>
          <w:rFonts w:hint="eastAsia" w:ascii="宋体" w:cs="宋体"/>
          <w:color w:val="auto"/>
          <w:highlight w:val="none"/>
        </w:rPr>
      </w:pPr>
      <w:bookmarkStart w:id="673" w:name="_Toc351203613"/>
      <w:bookmarkStart w:id="674" w:name="_Toc478389162"/>
      <w:bookmarkStart w:id="675" w:name="_Toc337558829"/>
      <w:bookmarkStart w:id="676" w:name="_Toc296346622"/>
      <w:bookmarkStart w:id="677" w:name="_Toc296503121"/>
      <w:r>
        <w:rPr>
          <w:rFonts w:hint="eastAsia" w:ascii="宋体" w:cs="宋体"/>
          <w:color w:val="auto"/>
          <w:highlight w:val="none"/>
        </w:rPr>
        <w:t>18.1 工程保险</w:t>
      </w:r>
      <w:bookmarkEnd w:id="673"/>
      <w:bookmarkEnd w:id="674"/>
    </w:p>
    <w:bookmarkEnd w:id="675"/>
    <w:bookmarkEnd w:id="676"/>
    <w:bookmarkEnd w:id="677"/>
    <w:p w14:paraId="4B80EC15">
      <w:pPr>
        <w:pStyle w:val="79"/>
        <w:rPr>
          <w:rFonts w:hint="eastAsia" w:cs="宋体"/>
          <w:color w:val="auto"/>
          <w:sz w:val="21"/>
          <w:highlight w:val="none"/>
        </w:rPr>
      </w:pPr>
      <w:r>
        <w:rPr>
          <w:rFonts w:hint="eastAsia" w:cs="宋体"/>
          <w:color w:val="auto"/>
          <w:sz w:val="21"/>
          <w:highlight w:val="none"/>
        </w:rPr>
        <w:t>除专用合同条款另有约定外，发包人应投保建筑工程一切险或安装工程一切险；发包人委托承包人投保的，因投保产生的保险费和其他相关费用由发包人承担。</w:t>
      </w:r>
    </w:p>
    <w:p w14:paraId="2BEDBF5E">
      <w:pPr>
        <w:pStyle w:val="321"/>
        <w:rPr>
          <w:rFonts w:hint="eastAsia" w:ascii="宋体" w:cs="宋体"/>
          <w:color w:val="auto"/>
          <w:highlight w:val="none"/>
        </w:rPr>
      </w:pPr>
      <w:bookmarkStart w:id="678" w:name="_Toc351203614"/>
      <w:bookmarkStart w:id="679" w:name="_Toc478389163"/>
      <w:bookmarkStart w:id="680" w:name="_Toc337558830"/>
      <w:bookmarkStart w:id="681" w:name="_Toc296503122"/>
      <w:bookmarkStart w:id="682" w:name="_Toc296346623"/>
      <w:r>
        <w:rPr>
          <w:rFonts w:hint="eastAsia" w:ascii="宋体" w:cs="宋体"/>
          <w:color w:val="auto"/>
          <w:highlight w:val="none"/>
        </w:rPr>
        <w:t>18.2 工伤保险</w:t>
      </w:r>
      <w:bookmarkEnd w:id="678"/>
      <w:bookmarkEnd w:id="679"/>
    </w:p>
    <w:bookmarkEnd w:id="680"/>
    <w:bookmarkEnd w:id="681"/>
    <w:bookmarkEnd w:id="682"/>
    <w:p w14:paraId="5AD3358A">
      <w:pPr>
        <w:pStyle w:val="79"/>
        <w:rPr>
          <w:rFonts w:hint="eastAsia" w:cs="宋体"/>
          <w:color w:val="auto"/>
          <w:sz w:val="21"/>
          <w:highlight w:val="none"/>
        </w:rPr>
      </w:pPr>
      <w:r>
        <w:rPr>
          <w:rFonts w:hint="eastAsia" w:cs="宋体"/>
          <w:color w:val="auto"/>
          <w:sz w:val="21"/>
          <w:highlight w:val="none"/>
        </w:rPr>
        <w:t>18.2.1发包人应依照法律规定参加工伤保险，并为在施工现场的全部员工办理工伤保险，缴纳工伤保险费，并要求监理人及由发包人为履行合同聘请的第三方依法参加工伤保险。</w:t>
      </w:r>
    </w:p>
    <w:p w14:paraId="73B9D867">
      <w:pPr>
        <w:pStyle w:val="79"/>
        <w:rPr>
          <w:rFonts w:hint="eastAsia" w:cs="宋体"/>
          <w:color w:val="auto"/>
          <w:sz w:val="21"/>
          <w:highlight w:val="none"/>
        </w:rPr>
      </w:pPr>
      <w:r>
        <w:rPr>
          <w:rFonts w:hint="eastAsia" w:cs="宋体"/>
          <w:color w:val="auto"/>
          <w:sz w:val="21"/>
          <w:highlight w:val="none"/>
        </w:rPr>
        <w:t>18.2.2承包人应依照法律规定参加工伤保险，并为其履行合同的全部员工办理工伤保险，缴纳工伤保险费，并要求分包人及由承包人为履行合同聘请的第三方依法参加工伤保险。</w:t>
      </w:r>
    </w:p>
    <w:p w14:paraId="3BAFEF7D">
      <w:pPr>
        <w:pStyle w:val="321"/>
        <w:rPr>
          <w:rFonts w:hint="eastAsia" w:ascii="宋体" w:cs="宋体"/>
          <w:color w:val="auto"/>
          <w:highlight w:val="none"/>
        </w:rPr>
      </w:pPr>
      <w:bookmarkStart w:id="683" w:name="_Toc351203615"/>
      <w:bookmarkStart w:id="684" w:name="_Toc478389164"/>
      <w:bookmarkStart w:id="685" w:name="_Toc337558831"/>
      <w:bookmarkStart w:id="686" w:name="_Toc296346626"/>
      <w:bookmarkStart w:id="687" w:name="_Toc296503125"/>
      <w:r>
        <w:rPr>
          <w:rFonts w:hint="eastAsia" w:ascii="宋体" w:cs="宋体"/>
          <w:color w:val="auto"/>
          <w:highlight w:val="none"/>
        </w:rPr>
        <w:t>18.3其他保险</w:t>
      </w:r>
      <w:bookmarkEnd w:id="683"/>
      <w:bookmarkEnd w:id="684"/>
    </w:p>
    <w:bookmarkEnd w:id="685"/>
    <w:bookmarkEnd w:id="686"/>
    <w:bookmarkEnd w:id="687"/>
    <w:p w14:paraId="678362DA">
      <w:pPr>
        <w:pStyle w:val="79"/>
        <w:rPr>
          <w:rFonts w:hint="eastAsia" w:cs="宋体"/>
          <w:color w:val="auto"/>
          <w:sz w:val="21"/>
          <w:highlight w:val="none"/>
        </w:rPr>
      </w:pPr>
      <w:r>
        <w:rPr>
          <w:rFonts w:hint="eastAsia" w:cs="宋体"/>
          <w:color w:val="auto"/>
          <w:sz w:val="21"/>
          <w:highlight w:val="none"/>
        </w:rPr>
        <w:t>发包人和承包人可以为其施工现场的全部人员办理意外伤害保险并支付保险费，包括其员工及为履行合同聘请的第三方的人员，具体事项由合同当事人在专用合同条款约定。</w:t>
      </w:r>
    </w:p>
    <w:p w14:paraId="36743A3C">
      <w:pPr>
        <w:pStyle w:val="79"/>
        <w:rPr>
          <w:rFonts w:hint="eastAsia" w:cs="宋体"/>
          <w:color w:val="auto"/>
          <w:sz w:val="21"/>
          <w:highlight w:val="none"/>
        </w:rPr>
      </w:pPr>
      <w:r>
        <w:rPr>
          <w:rFonts w:hint="eastAsia" w:cs="宋体"/>
          <w:color w:val="auto"/>
          <w:sz w:val="21"/>
          <w:highlight w:val="none"/>
        </w:rPr>
        <w:t>除专用合同条款另有约定外，承包人应为其施工设备等办理财产保险。</w:t>
      </w:r>
    </w:p>
    <w:p w14:paraId="23EADF00">
      <w:pPr>
        <w:pStyle w:val="321"/>
        <w:rPr>
          <w:rFonts w:hint="eastAsia" w:ascii="宋体" w:cs="宋体"/>
          <w:color w:val="auto"/>
          <w:highlight w:val="none"/>
        </w:rPr>
      </w:pPr>
      <w:bookmarkStart w:id="688" w:name="_Toc478389165"/>
      <w:bookmarkStart w:id="689" w:name="_Toc351203616"/>
      <w:r>
        <w:rPr>
          <w:rFonts w:hint="eastAsia" w:ascii="宋体" w:cs="宋体"/>
          <w:color w:val="auto"/>
          <w:highlight w:val="none"/>
        </w:rPr>
        <w:t>18.4持续保险</w:t>
      </w:r>
      <w:bookmarkEnd w:id="688"/>
      <w:bookmarkEnd w:id="689"/>
    </w:p>
    <w:p w14:paraId="0479B641">
      <w:pPr>
        <w:pStyle w:val="79"/>
        <w:rPr>
          <w:rFonts w:hint="eastAsia" w:cs="宋体"/>
          <w:color w:val="auto"/>
          <w:sz w:val="21"/>
          <w:highlight w:val="none"/>
        </w:rPr>
      </w:pPr>
      <w:r>
        <w:rPr>
          <w:rFonts w:hint="eastAsia" w:cs="宋体"/>
          <w:color w:val="auto"/>
          <w:sz w:val="21"/>
          <w:highlight w:val="none"/>
        </w:rPr>
        <w:t>合同当事人应与保险人保持联系，使保险人能够随时了解工程实施中的变动，并确保按保险合同条款要求持续保险。</w:t>
      </w:r>
    </w:p>
    <w:p w14:paraId="4C519861">
      <w:pPr>
        <w:pStyle w:val="321"/>
        <w:rPr>
          <w:rFonts w:hint="eastAsia" w:ascii="宋体" w:cs="宋体"/>
          <w:color w:val="auto"/>
          <w:highlight w:val="none"/>
        </w:rPr>
      </w:pPr>
      <w:bookmarkStart w:id="690" w:name="_Toc478389166"/>
      <w:bookmarkStart w:id="691" w:name="_Toc351203617"/>
      <w:bookmarkStart w:id="692" w:name="_Toc296346627"/>
      <w:bookmarkStart w:id="693" w:name="_Toc337558832"/>
      <w:bookmarkStart w:id="694" w:name="_Toc296503126"/>
      <w:r>
        <w:rPr>
          <w:rFonts w:hint="eastAsia" w:ascii="宋体" w:cs="宋体"/>
          <w:color w:val="auto"/>
          <w:highlight w:val="none"/>
        </w:rPr>
        <w:t>18.5 保险凭证</w:t>
      </w:r>
      <w:bookmarkEnd w:id="690"/>
      <w:bookmarkEnd w:id="691"/>
    </w:p>
    <w:bookmarkEnd w:id="692"/>
    <w:bookmarkEnd w:id="693"/>
    <w:bookmarkEnd w:id="694"/>
    <w:p w14:paraId="714FA6FD">
      <w:pPr>
        <w:pStyle w:val="79"/>
        <w:rPr>
          <w:rFonts w:hint="eastAsia" w:cs="宋体"/>
          <w:color w:val="auto"/>
          <w:sz w:val="21"/>
          <w:highlight w:val="none"/>
        </w:rPr>
      </w:pPr>
      <w:r>
        <w:rPr>
          <w:rFonts w:hint="eastAsia" w:cs="宋体"/>
          <w:color w:val="auto"/>
          <w:sz w:val="21"/>
          <w:highlight w:val="none"/>
        </w:rPr>
        <w:t>合同当事人应及时向另一方当事人提交其已投保的各项保险的凭证和保险单复印件。</w:t>
      </w:r>
    </w:p>
    <w:p w14:paraId="17C62B61">
      <w:pPr>
        <w:pStyle w:val="321"/>
        <w:rPr>
          <w:rFonts w:hint="eastAsia" w:ascii="宋体" w:cs="宋体"/>
          <w:color w:val="auto"/>
          <w:highlight w:val="none"/>
        </w:rPr>
      </w:pPr>
      <w:bookmarkStart w:id="695" w:name="_Toc478389167"/>
      <w:bookmarkStart w:id="696" w:name="_Toc351203618"/>
      <w:bookmarkStart w:id="697" w:name="_Toc337558833"/>
      <w:bookmarkStart w:id="698" w:name="_Toc296346628"/>
      <w:bookmarkStart w:id="699" w:name="_Toc296503127"/>
      <w:r>
        <w:rPr>
          <w:rFonts w:hint="eastAsia" w:ascii="宋体" w:cs="宋体"/>
          <w:color w:val="auto"/>
          <w:highlight w:val="none"/>
        </w:rPr>
        <w:t>18.6 未按约定投保的补救</w:t>
      </w:r>
      <w:bookmarkEnd w:id="695"/>
      <w:bookmarkEnd w:id="696"/>
    </w:p>
    <w:bookmarkEnd w:id="697"/>
    <w:bookmarkEnd w:id="698"/>
    <w:bookmarkEnd w:id="699"/>
    <w:p w14:paraId="287AD845">
      <w:pPr>
        <w:pStyle w:val="79"/>
        <w:rPr>
          <w:rFonts w:hint="eastAsia" w:cs="宋体"/>
          <w:color w:val="auto"/>
          <w:sz w:val="21"/>
          <w:highlight w:val="none"/>
        </w:rPr>
      </w:pPr>
      <w:r>
        <w:rPr>
          <w:rFonts w:hint="eastAsia" w:cs="宋体"/>
          <w:color w:val="auto"/>
          <w:sz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0BC7931B">
      <w:pPr>
        <w:pStyle w:val="79"/>
        <w:rPr>
          <w:rFonts w:hint="eastAsia" w:cs="宋体"/>
          <w:color w:val="auto"/>
          <w:sz w:val="21"/>
          <w:highlight w:val="none"/>
        </w:rPr>
      </w:pPr>
      <w:r>
        <w:rPr>
          <w:rFonts w:hint="eastAsia" w:cs="宋体"/>
          <w:color w:val="auto"/>
          <w:sz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02632397">
      <w:pPr>
        <w:pStyle w:val="321"/>
        <w:rPr>
          <w:rFonts w:hint="eastAsia" w:ascii="宋体" w:cs="宋体"/>
          <w:color w:val="auto"/>
          <w:highlight w:val="none"/>
        </w:rPr>
      </w:pPr>
      <w:bookmarkStart w:id="700" w:name="_Toc351203619"/>
      <w:bookmarkStart w:id="701" w:name="_Toc478389168"/>
      <w:bookmarkStart w:id="702" w:name="_Toc337558834"/>
      <w:r>
        <w:rPr>
          <w:rFonts w:hint="eastAsia" w:ascii="宋体" w:cs="宋体"/>
          <w:color w:val="auto"/>
          <w:highlight w:val="none"/>
        </w:rPr>
        <w:t>18.7 通知义务</w:t>
      </w:r>
      <w:bookmarkEnd w:id="700"/>
      <w:bookmarkEnd w:id="701"/>
    </w:p>
    <w:bookmarkEnd w:id="702"/>
    <w:p w14:paraId="305914D9">
      <w:pPr>
        <w:pStyle w:val="79"/>
        <w:rPr>
          <w:rFonts w:hint="eastAsia" w:cs="宋体"/>
          <w:color w:val="auto"/>
          <w:sz w:val="21"/>
          <w:highlight w:val="none"/>
        </w:rPr>
      </w:pPr>
      <w:r>
        <w:rPr>
          <w:rFonts w:hint="eastAsia" w:cs="宋体"/>
          <w:color w:val="auto"/>
          <w:sz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64819D20">
      <w:pPr>
        <w:pStyle w:val="79"/>
        <w:rPr>
          <w:rFonts w:hint="eastAsia" w:cs="宋体"/>
          <w:color w:val="auto"/>
          <w:sz w:val="21"/>
          <w:highlight w:val="none"/>
        </w:rPr>
      </w:pPr>
      <w:r>
        <w:rPr>
          <w:rFonts w:hint="eastAsia" w:cs="宋体"/>
          <w:color w:val="auto"/>
          <w:sz w:val="21"/>
          <w:highlight w:val="none"/>
        </w:rPr>
        <w:t>保险事故发生时，投保人应按照保险合同规定的条件和期限及时向保险人报告。发包人和承包人应当在知道保险事故发生后及时通知对方。</w:t>
      </w:r>
    </w:p>
    <w:p w14:paraId="5B75D2BA">
      <w:pPr>
        <w:pStyle w:val="321"/>
        <w:rPr>
          <w:rFonts w:hint="eastAsia" w:ascii="宋体" w:cs="宋体"/>
          <w:color w:val="auto"/>
          <w:highlight w:val="none"/>
        </w:rPr>
      </w:pPr>
      <w:bookmarkStart w:id="703" w:name="_Toc478389169"/>
      <w:bookmarkStart w:id="704" w:name="_Toc351203620"/>
      <w:bookmarkStart w:id="705" w:name="_Toc296346641"/>
      <w:bookmarkStart w:id="706" w:name="_Toc296503140"/>
      <w:bookmarkStart w:id="707" w:name="_Toc337558835"/>
      <w:r>
        <w:rPr>
          <w:rFonts w:hint="eastAsia" w:ascii="宋体" w:cs="宋体"/>
          <w:color w:val="auto"/>
          <w:highlight w:val="none"/>
        </w:rPr>
        <w:t>19. 索赔</w:t>
      </w:r>
      <w:bookmarkEnd w:id="703"/>
      <w:bookmarkEnd w:id="704"/>
    </w:p>
    <w:bookmarkEnd w:id="705"/>
    <w:bookmarkEnd w:id="706"/>
    <w:bookmarkEnd w:id="707"/>
    <w:p w14:paraId="52221E4F">
      <w:pPr>
        <w:pStyle w:val="321"/>
        <w:rPr>
          <w:rFonts w:hint="eastAsia" w:ascii="宋体" w:cs="宋体"/>
          <w:color w:val="auto"/>
          <w:highlight w:val="none"/>
        </w:rPr>
      </w:pPr>
      <w:bookmarkStart w:id="708" w:name="_Toc478389170"/>
      <w:bookmarkStart w:id="709" w:name="_Toc351203621"/>
      <w:bookmarkStart w:id="710" w:name="_Toc296503141"/>
      <w:bookmarkStart w:id="711" w:name="_Toc296346642"/>
      <w:bookmarkStart w:id="712" w:name="_Toc337558836"/>
      <w:r>
        <w:rPr>
          <w:rFonts w:hint="eastAsia" w:ascii="宋体" w:cs="宋体"/>
          <w:color w:val="auto"/>
          <w:highlight w:val="none"/>
        </w:rPr>
        <w:t>19.1承包人的索赔</w:t>
      </w:r>
      <w:bookmarkEnd w:id="708"/>
      <w:bookmarkEnd w:id="709"/>
    </w:p>
    <w:bookmarkEnd w:id="710"/>
    <w:bookmarkEnd w:id="711"/>
    <w:bookmarkEnd w:id="712"/>
    <w:p w14:paraId="01F19664">
      <w:pPr>
        <w:pStyle w:val="79"/>
        <w:rPr>
          <w:rFonts w:hint="eastAsia" w:cs="宋体"/>
          <w:color w:val="auto"/>
          <w:sz w:val="21"/>
          <w:highlight w:val="none"/>
        </w:rPr>
      </w:pPr>
      <w:r>
        <w:rPr>
          <w:rFonts w:hint="eastAsia" w:cs="宋体"/>
          <w:color w:val="auto"/>
          <w:sz w:val="21"/>
          <w:highlight w:val="none"/>
        </w:rPr>
        <w:t>根据合同约定，承包人认为有权得到追加付款和（或）延长工期的，应按以下程序向发包人提出索赔：</w:t>
      </w:r>
    </w:p>
    <w:p w14:paraId="2C233E11">
      <w:pPr>
        <w:pStyle w:val="79"/>
        <w:rPr>
          <w:rFonts w:hint="eastAsia" w:cs="宋体"/>
          <w:color w:val="auto"/>
          <w:sz w:val="21"/>
          <w:highlight w:val="none"/>
        </w:rPr>
      </w:pPr>
      <w:r>
        <w:rPr>
          <w:rFonts w:hint="eastAsia" w:cs="宋体"/>
          <w:color w:val="auto"/>
          <w:sz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F10CD72">
      <w:pPr>
        <w:pStyle w:val="79"/>
        <w:rPr>
          <w:rFonts w:hint="eastAsia" w:cs="宋体"/>
          <w:color w:val="auto"/>
          <w:sz w:val="21"/>
          <w:highlight w:val="none"/>
        </w:rPr>
      </w:pPr>
      <w:r>
        <w:rPr>
          <w:rFonts w:hint="eastAsia" w:cs="宋体"/>
          <w:color w:val="auto"/>
          <w:sz w:val="21"/>
          <w:highlight w:val="none"/>
        </w:rPr>
        <w:t>（2）承包人应在发出索赔意向通知书后28天内，向监理人正式递交索赔报告；索赔报告应详细说明索赔理由以及要求追加的付款金额和（或）延长的工期，并附必要的记录和证明材料；</w:t>
      </w:r>
    </w:p>
    <w:p w14:paraId="22A672E5">
      <w:pPr>
        <w:pStyle w:val="79"/>
        <w:rPr>
          <w:rFonts w:hint="eastAsia" w:cs="宋体"/>
          <w:color w:val="auto"/>
          <w:sz w:val="21"/>
          <w:highlight w:val="none"/>
        </w:rPr>
      </w:pPr>
      <w:r>
        <w:rPr>
          <w:rFonts w:hint="eastAsia" w:cs="宋体"/>
          <w:color w:val="auto"/>
          <w:sz w:val="21"/>
          <w:highlight w:val="none"/>
        </w:rPr>
        <w:t>（3）索赔事件具有持续影响的，承包人应按合理时间间隔继续递交延续索赔通知，说明持续影响的实际情况和记录，列出累计的追加付款金额和（或）工期延长天数；</w:t>
      </w:r>
    </w:p>
    <w:p w14:paraId="669284EB">
      <w:pPr>
        <w:pStyle w:val="79"/>
        <w:rPr>
          <w:rFonts w:hint="eastAsia" w:cs="宋体"/>
          <w:color w:val="auto"/>
          <w:sz w:val="21"/>
          <w:highlight w:val="none"/>
        </w:rPr>
      </w:pPr>
      <w:r>
        <w:rPr>
          <w:rFonts w:hint="eastAsia" w:cs="宋体"/>
          <w:color w:val="auto"/>
          <w:sz w:val="21"/>
          <w:highlight w:val="none"/>
        </w:rPr>
        <w:t>（4）在索赔事件影响结束后28天内，承包人应向监理人递交最终索赔报告，说明最终要求索赔的追加付款金额和（或）延长的工期，并附必要的记录和证明材料。</w:t>
      </w:r>
    </w:p>
    <w:p w14:paraId="1E022163">
      <w:pPr>
        <w:pStyle w:val="321"/>
        <w:rPr>
          <w:rFonts w:hint="eastAsia" w:ascii="宋体" w:cs="宋体"/>
          <w:color w:val="auto"/>
          <w:highlight w:val="none"/>
        </w:rPr>
      </w:pPr>
      <w:bookmarkStart w:id="713" w:name="_Toc478389171"/>
      <w:bookmarkStart w:id="714" w:name="_Toc351203622"/>
      <w:bookmarkStart w:id="715" w:name="_Toc296503142"/>
      <w:bookmarkStart w:id="716" w:name="_Toc296346643"/>
      <w:bookmarkStart w:id="717" w:name="_Toc337558837"/>
      <w:r>
        <w:rPr>
          <w:rFonts w:hint="eastAsia" w:ascii="宋体" w:cs="宋体"/>
          <w:color w:val="auto"/>
          <w:highlight w:val="none"/>
        </w:rPr>
        <w:t>19.2 对承包人索赔的处理</w:t>
      </w:r>
      <w:bookmarkEnd w:id="713"/>
      <w:bookmarkEnd w:id="714"/>
    </w:p>
    <w:bookmarkEnd w:id="715"/>
    <w:bookmarkEnd w:id="716"/>
    <w:bookmarkEnd w:id="717"/>
    <w:p w14:paraId="52C789A9">
      <w:pPr>
        <w:pStyle w:val="79"/>
        <w:rPr>
          <w:rFonts w:hint="eastAsia" w:cs="宋体"/>
          <w:color w:val="auto"/>
          <w:sz w:val="21"/>
          <w:highlight w:val="none"/>
        </w:rPr>
      </w:pPr>
      <w:r>
        <w:rPr>
          <w:rFonts w:hint="eastAsia" w:cs="宋体"/>
          <w:color w:val="auto"/>
          <w:sz w:val="21"/>
          <w:highlight w:val="none"/>
        </w:rPr>
        <w:t>对承包人索赔的处理如下：</w:t>
      </w:r>
    </w:p>
    <w:p w14:paraId="4BF90929">
      <w:pPr>
        <w:pStyle w:val="79"/>
        <w:rPr>
          <w:rFonts w:hint="eastAsia" w:cs="宋体"/>
          <w:color w:val="auto"/>
          <w:sz w:val="21"/>
          <w:highlight w:val="none"/>
        </w:rPr>
      </w:pPr>
      <w:r>
        <w:rPr>
          <w:rFonts w:hint="eastAsia" w:cs="宋体"/>
          <w:color w:val="auto"/>
          <w:sz w:val="21"/>
          <w:highlight w:val="none"/>
        </w:rPr>
        <w:t>（1）监理人应在收到索赔报告后14天内完成审查并报送发包人。监理人对索赔报告存在异议的，有权要求承包人提交全部原始记录副本；</w:t>
      </w:r>
    </w:p>
    <w:p w14:paraId="2BE151E6">
      <w:pPr>
        <w:pStyle w:val="79"/>
        <w:rPr>
          <w:rFonts w:hint="eastAsia" w:cs="宋体"/>
          <w:color w:val="auto"/>
          <w:sz w:val="21"/>
          <w:highlight w:val="none"/>
        </w:rPr>
      </w:pPr>
      <w:r>
        <w:rPr>
          <w:rFonts w:hint="eastAsia" w:cs="宋体"/>
          <w:color w:val="auto"/>
          <w:sz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7E0F9C86">
      <w:pPr>
        <w:pStyle w:val="79"/>
        <w:rPr>
          <w:rFonts w:hint="eastAsia" w:cs="宋体"/>
          <w:color w:val="auto"/>
          <w:sz w:val="21"/>
          <w:highlight w:val="none"/>
        </w:rPr>
      </w:pPr>
      <w:r>
        <w:rPr>
          <w:rFonts w:hint="eastAsia" w:cs="宋体"/>
          <w:color w:val="auto"/>
          <w:sz w:val="21"/>
          <w:highlight w:val="none"/>
        </w:rPr>
        <w:t>（3）承包人接受索赔处理结果的，索赔款项在当期进度款中进行支付；承包人不接受索赔处理结果的，按照第20条〔争议解决〕约定处理。</w:t>
      </w:r>
    </w:p>
    <w:p w14:paraId="37F4B4D2">
      <w:pPr>
        <w:pStyle w:val="321"/>
        <w:rPr>
          <w:rFonts w:hint="eastAsia" w:ascii="宋体" w:cs="宋体"/>
          <w:color w:val="auto"/>
          <w:highlight w:val="none"/>
        </w:rPr>
      </w:pPr>
      <w:bookmarkStart w:id="718" w:name="_Toc478389172"/>
      <w:bookmarkStart w:id="719" w:name="_Toc351203623"/>
      <w:bookmarkStart w:id="720" w:name="_Toc296346644"/>
      <w:bookmarkStart w:id="721" w:name="_Toc337558838"/>
      <w:bookmarkStart w:id="722" w:name="_Toc296503143"/>
      <w:r>
        <w:rPr>
          <w:rFonts w:hint="eastAsia" w:ascii="宋体" w:cs="宋体"/>
          <w:color w:val="auto"/>
          <w:highlight w:val="none"/>
        </w:rPr>
        <w:t>19.3发包人的索赔</w:t>
      </w:r>
      <w:bookmarkEnd w:id="718"/>
      <w:bookmarkEnd w:id="719"/>
    </w:p>
    <w:bookmarkEnd w:id="720"/>
    <w:bookmarkEnd w:id="721"/>
    <w:bookmarkEnd w:id="722"/>
    <w:p w14:paraId="41C9A4BF">
      <w:pPr>
        <w:pStyle w:val="79"/>
        <w:rPr>
          <w:rFonts w:hint="eastAsia" w:cs="宋体"/>
          <w:color w:val="auto"/>
          <w:sz w:val="21"/>
          <w:highlight w:val="none"/>
        </w:rPr>
      </w:pPr>
      <w:r>
        <w:rPr>
          <w:rFonts w:hint="eastAsia" w:cs="宋体"/>
          <w:color w:val="auto"/>
          <w:sz w:val="21"/>
          <w:highlight w:val="none"/>
        </w:rPr>
        <w:t>根据合同约定，发包人认为有权得到赔付金额和（或）延长缺陷责任期的，监理人应向承包人发出通知并附有详细的证明。</w:t>
      </w:r>
    </w:p>
    <w:p w14:paraId="6FC1FFA9">
      <w:pPr>
        <w:pStyle w:val="79"/>
        <w:rPr>
          <w:rFonts w:hint="eastAsia" w:cs="宋体"/>
          <w:color w:val="auto"/>
          <w:sz w:val="21"/>
          <w:highlight w:val="none"/>
        </w:rPr>
      </w:pPr>
      <w:r>
        <w:rPr>
          <w:rFonts w:hint="eastAsia" w:cs="宋体"/>
          <w:color w:val="auto"/>
          <w:sz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0079F328">
      <w:pPr>
        <w:pStyle w:val="321"/>
        <w:rPr>
          <w:rFonts w:hint="eastAsia" w:ascii="宋体" w:cs="宋体"/>
          <w:color w:val="auto"/>
          <w:highlight w:val="none"/>
        </w:rPr>
      </w:pPr>
      <w:bookmarkStart w:id="723" w:name="_Toc478389173"/>
      <w:bookmarkStart w:id="724" w:name="_Toc351203624"/>
      <w:bookmarkStart w:id="725" w:name="_Toc337558839"/>
      <w:bookmarkStart w:id="726" w:name="_Toc296346645"/>
      <w:bookmarkStart w:id="727" w:name="_Toc296503144"/>
      <w:r>
        <w:rPr>
          <w:rFonts w:hint="eastAsia" w:ascii="宋体" w:cs="宋体"/>
          <w:color w:val="auto"/>
          <w:highlight w:val="none"/>
        </w:rPr>
        <w:t>19.4 对发包人索赔的处理</w:t>
      </w:r>
      <w:bookmarkEnd w:id="723"/>
      <w:bookmarkEnd w:id="724"/>
    </w:p>
    <w:bookmarkEnd w:id="725"/>
    <w:bookmarkEnd w:id="726"/>
    <w:bookmarkEnd w:id="727"/>
    <w:p w14:paraId="6171E347">
      <w:pPr>
        <w:pStyle w:val="79"/>
        <w:rPr>
          <w:rFonts w:hint="eastAsia" w:cs="宋体"/>
          <w:color w:val="auto"/>
          <w:sz w:val="21"/>
          <w:highlight w:val="none"/>
        </w:rPr>
      </w:pPr>
      <w:r>
        <w:rPr>
          <w:rFonts w:hint="eastAsia" w:cs="宋体"/>
          <w:color w:val="auto"/>
          <w:sz w:val="21"/>
          <w:highlight w:val="none"/>
        </w:rPr>
        <w:t>对发包人索赔的处理如下：</w:t>
      </w:r>
    </w:p>
    <w:p w14:paraId="6928F8E7">
      <w:pPr>
        <w:pStyle w:val="79"/>
        <w:rPr>
          <w:rFonts w:hint="eastAsia" w:cs="宋体"/>
          <w:color w:val="auto"/>
          <w:sz w:val="21"/>
          <w:highlight w:val="none"/>
        </w:rPr>
      </w:pPr>
      <w:r>
        <w:rPr>
          <w:rFonts w:hint="eastAsia" w:cs="宋体"/>
          <w:color w:val="auto"/>
          <w:sz w:val="21"/>
          <w:highlight w:val="none"/>
        </w:rPr>
        <w:t>（1）承包人收到发包人提交的索赔报告后，应及时审查索赔报告的内容、查验发包人证明材料；</w:t>
      </w:r>
    </w:p>
    <w:p w14:paraId="63E1A09D">
      <w:pPr>
        <w:pStyle w:val="79"/>
        <w:rPr>
          <w:rFonts w:hint="eastAsia" w:cs="宋体"/>
          <w:color w:val="auto"/>
          <w:sz w:val="21"/>
          <w:highlight w:val="none"/>
        </w:rPr>
      </w:pPr>
      <w:r>
        <w:rPr>
          <w:rFonts w:hint="eastAsia" w:cs="宋体"/>
          <w:color w:val="auto"/>
          <w:sz w:val="21"/>
          <w:highlight w:val="none"/>
        </w:rPr>
        <w:t>（2）承包人应在收到索赔报告或有关索赔的进一步证明材料后28天内，将索赔处理结果答复发包人。如果承包人未在上述期限内作出答复的，则视为对发包人索赔要求的认可；</w:t>
      </w:r>
    </w:p>
    <w:p w14:paraId="61DB9A0C">
      <w:pPr>
        <w:pStyle w:val="79"/>
        <w:rPr>
          <w:rFonts w:hint="eastAsia" w:cs="宋体"/>
          <w:color w:val="auto"/>
          <w:sz w:val="21"/>
          <w:highlight w:val="none"/>
        </w:rPr>
      </w:pPr>
      <w:r>
        <w:rPr>
          <w:rFonts w:hint="eastAsia" w:cs="宋体"/>
          <w:color w:val="auto"/>
          <w:sz w:val="21"/>
          <w:highlight w:val="none"/>
        </w:rPr>
        <w:t>（3）承包人接受索赔处理结果的，发包人可从应支付给承包人的合同价款中扣除赔付的金额或延长缺陷责任期；发包人不接受索赔处理结果的，按第20条〔争议解决〕约定处理。</w:t>
      </w:r>
    </w:p>
    <w:p w14:paraId="40B1B798">
      <w:pPr>
        <w:pStyle w:val="321"/>
        <w:rPr>
          <w:rFonts w:hint="eastAsia" w:ascii="宋体" w:cs="宋体"/>
          <w:color w:val="auto"/>
          <w:highlight w:val="none"/>
        </w:rPr>
      </w:pPr>
      <w:bookmarkStart w:id="728" w:name="_Toc351203625"/>
      <w:bookmarkStart w:id="729" w:name="_Toc478389174"/>
      <w:r>
        <w:rPr>
          <w:rFonts w:hint="eastAsia" w:ascii="宋体" w:cs="宋体"/>
          <w:color w:val="auto"/>
          <w:highlight w:val="none"/>
        </w:rPr>
        <w:t>19.5 提出索赔的期限</w:t>
      </w:r>
      <w:bookmarkEnd w:id="728"/>
      <w:bookmarkEnd w:id="729"/>
    </w:p>
    <w:p w14:paraId="7CDD1802">
      <w:pPr>
        <w:pStyle w:val="79"/>
        <w:rPr>
          <w:rFonts w:hint="eastAsia" w:cs="宋体"/>
          <w:color w:val="auto"/>
          <w:sz w:val="21"/>
          <w:highlight w:val="none"/>
        </w:rPr>
      </w:pPr>
      <w:r>
        <w:rPr>
          <w:rFonts w:hint="eastAsia" w:cs="宋体"/>
          <w:color w:val="auto"/>
          <w:sz w:val="21"/>
          <w:highlight w:val="none"/>
        </w:rPr>
        <w:t>（1）承包人按第14.2款〔竣工结算审核〕约定接收竣工付款证书后，应被视为已无权再提出在工程接收证书颁发前所发生的任何索赔。</w:t>
      </w:r>
    </w:p>
    <w:p w14:paraId="48EF041B">
      <w:pPr>
        <w:pStyle w:val="79"/>
        <w:rPr>
          <w:rFonts w:hint="eastAsia" w:cs="宋体"/>
          <w:color w:val="auto"/>
          <w:sz w:val="21"/>
          <w:highlight w:val="none"/>
        </w:rPr>
      </w:pPr>
      <w:r>
        <w:rPr>
          <w:rFonts w:hint="eastAsia" w:cs="宋体"/>
          <w:color w:val="auto"/>
          <w:sz w:val="21"/>
          <w:highlight w:val="none"/>
        </w:rPr>
        <w:t>（2）承包人按第14.4款〔最终结清〕提交的最终结清申请单中，只限于提出工程接收证书颁发后发生的索赔。提出索赔的期限自接受最终结清证书时终止。</w:t>
      </w:r>
    </w:p>
    <w:p w14:paraId="147D518F">
      <w:pPr>
        <w:pStyle w:val="321"/>
        <w:spacing w:line="380" w:lineRule="exact"/>
        <w:rPr>
          <w:rFonts w:hint="eastAsia" w:ascii="宋体" w:cs="宋体"/>
          <w:color w:val="auto"/>
          <w:highlight w:val="none"/>
        </w:rPr>
      </w:pPr>
      <w:bookmarkStart w:id="730" w:name="_Toc478389175"/>
      <w:bookmarkStart w:id="731" w:name="_Toc351203626"/>
      <w:r>
        <w:rPr>
          <w:rFonts w:hint="eastAsia" w:ascii="宋体" w:cs="宋体"/>
          <w:color w:val="auto"/>
          <w:highlight w:val="none"/>
        </w:rPr>
        <w:t>20</w:t>
      </w:r>
      <w:bookmarkStart w:id="732" w:name="_Toc296503146"/>
      <w:bookmarkStart w:id="733" w:name="_Toc337558840"/>
      <w:bookmarkStart w:id="734" w:name="_Toc296346647"/>
      <w:r>
        <w:rPr>
          <w:rFonts w:hint="eastAsia" w:ascii="宋体" w:cs="宋体"/>
          <w:color w:val="auto"/>
          <w:highlight w:val="none"/>
        </w:rPr>
        <w:t>. 争议解决</w:t>
      </w:r>
      <w:bookmarkEnd w:id="730"/>
      <w:bookmarkEnd w:id="731"/>
    </w:p>
    <w:bookmarkEnd w:id="732"/>
    <w:bookmarkEnd w:id="733"/>
    <w:bookmarkEnd w:id="734"/>
    <w:p w14:paraId="26AE94F2">
      <w:pPr>
        <w:pStyle w:val="321"/>
        <w:spacing w:line="380" w:lineRule="exact"/>
        <w:rPr>
          <w:rFonts w:hint="eastAsia" w:ascii="宋体" w:cs="宋体"/>
          <w:color w:val="auto"/>
          <w:highlight w:val="none"/>
        </w:rPr>
      </w:pPr>
      <w:bookmarkStart w:id="735" w:name="_Toc478389176"/>
      <w:bookmarkStart w:id="736" w:name="_Toc351203627"/>
      <w:bookmarkStart w:id="737" w:name="_Toc296346648"/>
      <w:bookmarkStart w:id="738" w:name="_Toc337558841"/>
      <w:bookmarkStart w:id="739" w:name="_Toc296503147"/>
      <w:r>
        <w:rPr>
          <w:rFonts w:hint="eastAsia" w:ascii="宋体" w:cs="宋体"/>
          <w:color w:val="auto"/>
          <w:highlight w:val="none"/>
        </w:rPr>
        <w:t>20.1和解</w:t>
      </w:r>
      <w:bookmarkEnd w:id="735"/>
      <w:bookmarkEnd w:id="736"/>
    </w:p>
    <w:bookmarkEnd w:id="737"/>
    <w:bookmarkEnd w:id="738"/>
    <w:bookmarkEnd w:id="739"/>
    <w:p w14:paraId="1294D205">
      <w:pPr>
        <w:pStyle w:val="79"/>
        <w:spacing w:line="380" w:lineRule="exact"/>
        <w:rPr>
          <w:rFonts w:hint="eastAsia" w:cs="宋体"/>
          <w:color w:val="auto"/>
          <w:sz w:val="21"/>
          <w:highlight w:val="none"/>
        </w:rPr>
      </w:pPr>
      <w:r>
        <w:rPr>
          <w:rFonts w:hint="eastAsia" w:cs="宋体"/>
          <w:color w:val="auto"/>
          <w:sz w:val="21"/>
          <w:highlight w:val="none"/>
        </w:rPr>
        <w:t>合同当事人可以就争议自行和解，自行和解达成协议的经双方签字并盖章后作为合同补充文件，双方均应遵照执行。</w:t>
      </w:r>
    </w:p>
    <w:p w14:paraId="7249D5F1">
      <w:pPr>
        <w:pStyle w:val="321"/>
        <w:spacing w:line="380" w:lineRule="exact"/>
        <w:rPr>
          <w:rFonts w:hint="eastAsia" w:ascii="宋体" w:cs="宋体"/>
          <w:color w:val="auto"/>
          <w:highlight w:val="none"/>
        </w:rPr>
      </w:pPr>
      <w:bookmarkStart w:id="740" w:name="_Toc478389177"/>
      <w:bookmarkStart w:id="741" w:name="_Toc351203628"/>
      <w:r>
        <w:rPr>
          <w:rFonts w:hint="eastAsia" w:ascii="宋体" w:cs="宋体"/>
          <w:color w:val="auto"/>
          <w:highlight w:val="none"/>
        </w:rPr>
        <w:t>20</w:t>
      </w:r>
      <w:bookmarkStart w:id="742" w:name="_Toc296346649"/>
      <w:bookmarkStart w:id="743" w:name="_Toc296503148"/>
      <w:bookmarkStart w:id="744" w:name="_Toc337558842"/>
      <w:r>
        <w:rPr>
          <w:rFonts w:hint="eastAsia" w:ascii="宋体" w:cs="宋体"/>
          <w:color w:val="auto"/>
          <w:highlight w:val="none"/>
        </w:rPr>
        <w:t>.2调解</w:t>
      </w:r>
      <w:bookmarkEnd w:id="740"/>
      <w:bookmarkEnd w:id="741"/>
    </w:p>
    <w:bookmarkEnd w:id="742"/>
    <w:bookmarkEnd w:id="743"/>
    <w:bookmarkEnd w:id="744"/>
    <w:p w14:paraId="15A16D5F">
      <w:pPr>
        <w:pStyle w:val="79"/>
        <w:spacing w:line="380" w:lineRule="exact"/>
        <w:rPr>
          <w:rFonts w:hint="eastAsia" w:cs="宋体"/>
          <w:color w:val="auto"/>
          <w:sz w:val="21"/>
          <w:highlight w:val="none"/>
        </w:rPr>
      </w:pPr>
      <w:r>
        <w:rPr>
          <w:rFonts w:hint="eastAsia" w:cs="宋体"/>
          <w:color w:val="auto"/>
          <w:sz w:val="21"/>
          <w:highlight w:val="none"/>
        </w:rPr>
        <w:t>合同当事人可以就争议请求建设行政主管部门、行业协会或其他第三方进行调解，调解达成协议的，经双方签字并盖章后作为合同补充文件，双方均应遵照执行。</w:t>
      </w:r>
    </w:p>
    <w:p w14:paraId="6CEDA1DC">
      <w:pPr>
        <w:pStyle w:val="321"/>
        <w:spacing w:line="380" w:lineRule="exact"/>
        <w:rPr>
          <w:rFonts w:hint="eastAsia" w:ascii="宋体" w:cs="宋体"/>
          <w:color w:val="auto"/>
          <w:highlight w:val="none"/>
        </w:rPr>
      </w:pPr>
      <w:bookmarkStart w:id="745" w:name="_Toc351203629"/>
      <w:bookmarkStart w:id="746" w:name="_Toc478389178"/>
      <w:bookmarkStart w:id="747" w:name="_Toc296503149"/>
      <w:bookmarkStart w:id="748" w:name="_Toc337558843"/>
      <w:bookmarkStart w:id="749" w:name="_Toc296346650"/>
      <w:r>
        <w:rPr>
          <w:rFonts w:hint="eastAsia" w:ascii="宋体" w:cs="宋体"/>
          <w:color w:val="auto"/>
          <w:highlight w:val="none"/>
        </w:rPr>
        <w:t>20.3争议评审</w:t>
      </w:r>
      <w:bookmarkEnd w:id="745"/>
      <w:bookmarkEnd w:id="746"/>
    </w:p>
    <w:bookmarkEnd w:id="747"/>
    <w:bookmarkEnd w:id="748"/>
    <w:bookmarkEnd w:id="749"/>
    <w:p w14:paraId="736778A5">
      <w:pPr>
        <w:pStyle w:val="79"/>
        <w:spacing w:line="380" w:lineRule="exact"/>
        <w:rPr>
          <w:rFonts w:hint="eastAsia" w:cs="宋体"/>
          <w:color w:val="auto"/>
          <w:sz w:val="21"/>
          <w:highlight w:val="none"/>
        </w:rPr>
      </w:pPr>
      <w:r>
        <w:rPr>
          <w:rFonts w:hint="eastAsia" w:cs="宋体"/>
          <w:color w:val="auto"/>
          <w:sz w:val="21"/>
          <w:highlight w:val="none"/>
        </w:rPr>
        <w:t xml:space="preserve">合同当事人在专用合同条款中约定采取争议评审方式解决争议以及评审规则，并按下列约定执行： </w:t>
      </w:r>
    </w:p>
    <w:p w14:paraId="638C385E">
      <w:pPr>
        <w:pStyle w:val="79"/>
        <w:spacing w:line="380" w:lineRule="exact"/>
        <w:rPr>
          <w:rFonts w:hint="eastAsia" w:cs="宋体"/>
          <w:color w:val="auto"/>
          <w:sz w:val="21"/>
          <w:highlight w:val="none"/>
        </w:rPr>
      </w:pPr>
      <w:r>
        <w:rPr>
          <w:rFonts w:hint="eastAsia" w:cs="宋体"/>
          <w:color w:val="auto"/>
          <w:sz w:val="21"/>
          <w:highlight w:val="none"/>
        </w:rPr>
        <w:t>20.3.1 争议评审小组的确定</w:t>
      </w:r>
    </w:p>
    <w:p w14:paraId="155B53AE">
      <w:pPr>
        <w:pStyle w:val="79"/>
        <w:spacing w:line="380" w:lineRule="exact"/>
        <w:rPr>
          <w:rFonts w:hint="eastAsia" w:cs="宋体"/>
          <w:color w:val="auto"/>
          <w:sz w:val="21"/>
          <w:highlight w:val="none"/>
        </w:rPr>
      </w:pPr>
      <w:r>
        <w:rPr>
          <w:rFonts w:hint="eastAsia" w:cs="宋体"/>
          <w:color w:val="auto"/>
          <w:sz w:val="21"/>
          <w:highlight w:val="none"/>
        </w:rPr>
        <w:t>合同当事人可以共同选择一名或三名争议评审员，组成争议评审小组。除专用合同条款另有约定外，合同当事人应当自合同签订后28天内，或者争议发生后14天内，选定争议评审员。</w:t>
      </w:r>
    </w:p>
    <w:p w14:paraId="6BA5F268">
      <w:pPr>
        <w:pStyle w:val="79"/>
        <w:spacing w:line="380" w:lineRule="exact"/>
        <w:rPr>
          <w:rFonts w:hint="eastAsia" w:cs="宋体"/>
          <w:color w:val="auto"/>
          <w:sz w:val="21"/>
          <w:highlight w:val="none"/>
        </w:rPr>
      </w:pPr>
      <w:r>
        <w:rPr>
          <w:rFonts w:hint="eastAsia" w:cs="宋体"/>
          <w:color w:val="auto"/>
          <w:sz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58516276">
      <w:pPr>
        <w:pStyle w:val="79"/>
        <w:spacing w:line="380" w:lineRule="exact"/>
        <w:rPr>
          <w:rFonts w:hint="eastAsia" w:cs="宋体"/>
          <w:color w:val="auto"/>
          <w:sz w:val="21"/>
          <w:highlight w:val="none"/>
        </w:rPr>
      </w:pPr>
      <w:r>
        <w:rPr>
          <w:rFonts w:hint="eastAsia" w:cs="宋体"/>
          <w:color w:val="auto"/>
          <w:sz w:val="21"/>
          <w:highlight w:val="none"/>
        </w:rPr>
        <w:t>除专用合同条款另有约定外，评审员报酬由发包人和承包人各承担一半。</w:t>
      </w:r>
    </w:p>
    <w:p w14:paraId="453B2B3F">
      <w:pPr>
        <w:pStyle w:val="79"/>
        <w:spacing w:line="380" w:lineRule="exact"/>
        <w:rPr>
          <w:rFonts w:hint="eastAsia" w:cs="宋体"/>
          <w:color w:val="auto"/>
          <w:sz w:val="21"/>
          <w:highlight w:val="none"/>
        </w:rPr>
      </w:pPr>
      <w:r>
        <w:rPr>
          <w:rFonts w:hint="eastAsia" w:cs="宋体"/>
          <w:color w:val="auto"/>
          <w:sz w:val="21"/>
          <w:highlight w:val="none"/>
        </w:rPr>
        <w:t>20.3.2 争议评审小组的决定</w:t>
      </w:r>
    </w:p>
    <w:p w14:paraId="09F6FCB0">
      <w:pPr>
        <w:pStyle w:val="79"/>
        <w:spacing w:line="380" w:lineRule="exact"/>
        <w:rPr>
          <w:rFonts w:hint="eastAsia" w:cs="宋体"/>
          <w:color w:val="auto"/>
          <w:sz w:val="21"/>
          <w:highlight w:val="none"/>
        </w:rPr>
      </w:pPr>
      <w:r>
        <w:rPr>
          <w:rFonts w:hint="eastAsia" w:cs="宋体"/>
          <w:color w:val="auto"/>
          <w:sz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63489585">
      <w:pPr>
        <w:pStyle w:val="79"/>
        <w:spacing w:line="380" w:lineRule="exact"/>
        <w:rPr>
          <w:rFonts w:hint="eastAsia" w:cs="宋体"/>
          <w:color w:val="auto"/>
          <w:sz w:val="21"/>
          <w:highlight w:val="none"/>
        </w:rPr>
      </w:pPr>
      <w:r>
        <w:rPr>
          <w:rFonts w:hint="eastAsia" w:cs="宋体"/>
          <w:color w:val="auto"/>
          <w:sz w:val="21"/>
          <w:highlight w:val="none"/>
        </w:rPr>
        <w:t>20.3.3 争议评审小组决定的效力</w:t>
      </w:r>
    </w:p>
    <w:p w14:paraId="729D083F">
      <w:pPr>
        <w:pStyle w:val="79"/>
        <w:spacing w:line="380" w:lineRule="exact"/>
        <w:rPr>
          <w:rFonts w:hint="eastAsia" w:cs="宋体"/>
          <w:color w:val="auto"/>
          <w:sz w:val="21"/>
          <w:highlight w:val="none"/>
        </w:rPr>
      </w:pPr>
      <w:r>
        <w:rPr>
          <w:rFonts w:hint="eastAsia" w:cs="宋体"/>
          <w:color w:val="auto"/>
          <w:sz w:val="21"/>
          <w:highlight w:val="none"/>
        </w:rPr>
        <w:t>争议评审小组作出的书面决定经合同当事人签字确认后，对双方具有约束力，双方应遵照执行。</w:t>
      </w:r>
    </w:p>
    <w:p w14:paraId="0D525F89">
      <w:pPr>
        <w:pStyle w:val="79"/>
        <w:spacing w:line="380" w:lineRule="exact"/>
        <w:rPr>
          <w:rFonts w:hint="eastAsia" w:cs="宋体"/>
          <w:color w:val="auto"/>
          <w:sz w:val="21"/>
          <w:highlight w:val="none"/>
        </w:rPr>
      </w:pPr>
      <w:r>
        <w:rPr>
          <w:rFonts w:hint="eastAsia" w:cs="宋体"/>
          <w:color w:val="auto"/>
          <w:sz w:val="21"/>
          <w:highlight w:val="none"/>
        </w:rPr>
        <w:t>任何一方当事人不接受争议评审小组决定或不履行争议评审小组决定的，双方可选择采用其他争议解决方式。</w:t>
      </w:r>
    </w:p>
    <w:p w14:paraId="2C27CDFB">
      <w:pPr>
        <w:pStyle w:val="321"/>
        <w:spacing w:line="380" w:lineRule="exact"/>
        <w:rPr>
          <w:rFonts w:hint="eastAsia" w:ascii="宋体" w:cs="宋体"/>
          <w:color w:val="auto"/>
          <w:highlight w:val="none"/>
        </w:rPr>
      </w:pPr>
      <w:bookmarkStart w:id="750" w:name="_Toc351203630"/>
      <w:bookmarkStart w:id="751" w:name="_Toc478389179"/>
      <w:bookmarkStart w:id="752" w:name="_Toc296346651"/>
      <w:bookmarkStart w:id="753" w:name="_Toc296503150"/>
      <w:bookmarkStart w:id="754" w:name="_Toc337558844"/>
      <w:r>
        <w:rPr>
          <w:rFonts w:hint="eastAsia" w:ascii="宋体" w:cs="宋体"/>
          <w:color w:val="auto"/>
          <w:highlight w:val="none"/>
        </w:rPr>
        <w:t>20.4仲裁或诉讼</w:t>
      </w:r>
      <w:bookmarkEnd w:id="750"/>
      <w:bookmarkEnd w:id="751"/>
    </w:p>
    <w:bookmarkEnd w:id="752"/>
    <w:bookmarkEnd w:id="753"/>
    <w:bookmarkEnd w:id="754"/>
    <w:p w14:paraId="0E15ED67">
      <w:pPr>
        <w:pStyle w:val="79"/>
        <w:spacing w:line="380" w:lineRule="exact"/>
        <w:rPr>
          <w:rFonts w:hint="eastAsia" w:cs="宋体"/>
          <w:color w:val="auto"/>
          <w:sz w:val="21"/>
          <w:highlight w:val="none"/>
        </w:rPr>
      </w:pPr>
      <w:r>
        <w:rPr>
          <w:rFonts w:hint="eastAsia" w:cs="宋体"/>
          <w:color w:val="auto"/>
          <w:sz w:val="21"/>
          <w:highlight w:val="none"/>
        </w:rPr>
        <w:t>因合同及合同有关事项产生的争议，合同当事人可以在专用合同条款中约定以下一种方式解决争议：</w:t>
      </w:r>
    </w:p>
    <w:p w14:paraId="7A414C60">
      <w:pPr>
        <w:pStyle w:val="79"/>
        <w:spacing w:line="380" w:lineRule="exact"/>
        <w:rPr>
          <w:rFonts w:hint="eastAsia" w:cs="宋体"/>
          <w:color w:val="auto"/>
          <w:sz w:val="21"/>
          <w:highlight w:val="none"/>
        </w:rPr>
      </w:pPr>
      <w:r>
        <w:rPr>
          <w:rFonts w:hint="eastAsia" w:cs="宋体"/>
          <w:color w:val="auto"/>
          <w:sz w:val="21"/>
          <w:highlight w:val="none"/>
        </w:rPr>
        <w:t>（1）向约定的仲裁委员会申请仲裁；</w:t>
      </w:r>
    </w:p>
    <w:p w14:paraId="361BF56A">
      <w:pPr>
        <w:pStyle w:val="79"/>
        <w:spacing w:line="380" w:lineRule="exact"/>
        <w:rPr>
          <w:rFonts w:hint="eastAsia" w:cs="宋体"/>
          <w:color w:val="auto"/>
          <w:sz w:val="21"/>
          <w:highlight w:val="none"/>
        </w:rPr>
      </w:pPr>
      <w:r>
        <w:rPr>
          <w:rFonts w:hint="eastAsia" w:cs="宋体"/>
          <w:color w:val="auto"/>
          <w:sz w:val="21"/>
          <w:highlight w:val="none"/>
        </w:rPr>
        <w:t>（2）向有管辖权的人民法院起诉。</w:t>
      </w:r>
    </w:p>
    <w:p w14:paraId="69A2A4C5">
      <w:pPr>
        <w:pStyle w:val="321"/>
        <w:spacing w:line="320" w:lineRule="exact"/>
        <w:rPr>
          <w:rFonts w:hint="eastAsia" w:ascii="宋体" w:cs="宋体"/>
          <w:color w:val="auto"/>
          <w:highlight w:val="none"/>
        </w:rPr>
      </w:pPr>
      <w:bookmarkStart w:id="755" w:name="_Toc351203631"/>
      <w:bookmarkStart w:id="756" w:name="_Toc478389180"/>
      <w:bookmarkStart w:id="757" w:name="_Toc296346653"/>
      <w:bookmarkStart w:id="758" w:name="_Toc337558845"/>
      <w:bookmarkStart w:id="759" w:name="_Toc296503152"/>
      <w:r>
        <w:rPr>
          <w:rFonts w:hint="eastAsia" w:ascii="宋体" w:cs="宋体"/>
          <w:color w:val="auto"/>
          <w:highlight w:val="none"/>
        </w:rPr>
        <w:t>20.5争议解决条款效力</w:t>
      </w:r>
      <w:bookmarkEnd w:id="755"/>
      <w:bookmarkEnd w:id="756"/>
    </w:p>
    <w:bookmarkEnd w:id="757"/>
    <w:bookmarkEnd w:id="758"/>
    <w:bookmarkEnd w:id="759"/>
    <w:p w14:paraId="1F97FB6D">
      <w:pPr>
        <w:pStyle w:val="79"/>
        <w:spacing w:line="320" w:lineRule="exact"/>
        <w:rPr>
          <w:rFonts w:hint="eastAsia" w:cs="宋体"/>
          <w:color w:val="auto"/>
          <w:sz w:val="21"/>
          <w:highlight w:val="none"/>
        </w:rPr>
      </w:pPr>
      <w:r>
        <w:rPr>
          <w:rFonts w:hint="eastAsia" w:cs="宋体"/>
          <w:color w:val="auto"/>
          <w:sz w:val="21"/>
          <w:highlight w:val="none"/>
        </w:rPr>
        <w:t xml:space="preserve">合同有关争议解决的条款独立存在，合同的变更、解除、终止、无效或者被撤销均不影响其效力。 </w:t>
      </w:r>
      <w:bookmarkEnd w:id="116"/>
      <w:bookmarkEnd w:id="117"/>
      <w:bookmarkEnd w:id="118"/>
      <w:bookmarkStart w:id="760" w:name="_Toc478389181"/>
    </w:p>
    <w:p w14:paraId="2495409E">
      <w:pPr>
        <w:pStyle w:val="2"/>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第三部分 专用合同条款</w:t>
      </w:r>
    </w:p>
    <w:bookmarkEnd w:id="760"/>
    <w:p w14:paraId="0CDCB3D6">
      <w:pPr>
        <w:pStyle w:val="321"/>
        <w:rPr>
          <w:rFonts w:hint="eastAsia" w:ascii="宋体" w:cs="宋体"/>
          <w:color w:val="auto"/>
          <w:highlight w:val="none"/>
        </w:rPr>
      </w:pPr>
      <w:bookmarkStart w:id="761" w:name="_Toc417904268"/>
      <w:bookmarkStart w:id="762" w:name="_Toc351203633"/>
      <w:bookmarkStart w:id="763" w:name="_Toc478389182"/>
      <w:r>
        <w:rPr>
          <w:rFonts w:hint="eastAsia" w:ascii="宋体" w:cs="宋体"/>
          <w:color w:val="auto"/>
          <w:highlight w:val="none"/>
        </w:rPr>
        <w:t>1</w:t>
      </w:r>
      <w:bookmarkStart w:id="764" w:name="_Toc296944495"/>
      <w:bookmarkStart w:id="765" w:name="_Toc296347155"/>
      <w:bookmarkStart w:id="766" w:name="_Toc297120456"/>
      <w:bookmarkStart w:id="767" w:name="_Toc292559361"/>
      <w:bookmarkStart w:id="768" w:name="_Toc296891196"/>
      <w:bookmarkStart w:id="769" w:name="_Toc296503156"/>
      <w:bookmarkStart w:id="770" w:name="_Toc297048342"/>
      <w:bookmarkStart w:id="771" w:name="_Toc296890984"/>
      <w:bookmarkStart w:id="772" w:name="_Toc296346657"/>
      <w:bookmarkStart w:id="773" w:name="_Toc292559866"/>
      <w:r>
        <w:rPr>
          <w:rFonts w:hint="eastAsia" w:ascii="宋体" w:cs="宋体"/>
          <w:color w:val="auto"/>
          <w:highlight w:val="none"/>
        </w:rPr>
        <w:t>. 一般约定</w:t>
      </w:r>
      <w:bookmarkEnd w:id="761"/>
      <w:bookmarkEnd w:id="762"/>
      <w:bookmarkEnd w:id="763"/>
    </w:p>
    <w:bookmarkEnd w:id="764"/>
    <w:bookmarkEnd w:id="765"/>
    <w:bookmarkEnd w:id="766"/>
    <w:bookmarkEnd w:id="767"/>
    <w:bookmarkEnd w:id="768"/>
    <w:bookmarkEnd w:id="769"/>
    <w:bookmarkEnd w:id="770"/>
    <w:bookmarkEnd w:id="771"/>
    <w:bookmarkEnd w:id="772"/>
    <w:bookmarkEnd w:id="773"/>
    <w:p w14:paraId="09EBC255">
      <w:pPr>
        <w:pStyle w:val="321"/>
        <w:rPr>
          <w:rFonts w:hint="eastAsia" w:ascii="宋体" w:cs="宋体"/>
          <w:color w:val="auto"/>
          <w:highlight w:val="none"/>
        </w:rPr>
      </w:pPr>
      <w:bookmarkStart w:id="774" w:name="_Toc478389183"/>
      <w:bookmarkStart w:id="775" w:name="_Toc417904269"/>
      <w:r>
        <w:rPr>
          <w:rFonts w:hint="eastAsia" w:ascii="宋体" w:cs="宋体"/>
          <w:color w:val="auto"/>
          <w:highlight w:val="none"/>
        </w:rPr>
        <w:t>1.1 词语定义</w:t>
      </w:r>
      <w:bookmarkEnd w:id="774"/>
      <w:bookmarkEnd w:id="775"/>
    </w:p>
    <w:p w14:paraId="348AE316">
      <w:pPr>
        <w:pStyle w:val="79"/>
        <w:rPr>
          <w:rFonts w:hint="eastAsia" w:cs="宋体"/>
          <w:color w:val="auto"/>
          <w:sz w:val="21"/>
          <w:highlight w:val="none"/>
        </w:rPr>
      </w:pPr>
      <w:r>
        <w:rPr>
          <w:rFonts w:hint="eastAsia" w:cs="宋体"/>
          <w:color w:val="auto"/>
          <w:sz w:val="21"/>
          <w:highlight w:val="none"/>
        </w:rPr>
        <w:t>1.1.1合同</w:t>
      </w:r>
    </w:p>
    <w:p w14:paraId="4F36A346">
      <w:pPr>
        <w:pStyle w:val="79"/>
        <w:rPr>
          <w:rFonts w:hint="eastAsia" w:cs="宋体"/>
          <w:color w:val="auto"/>
          <w:sz w:val="21"/>
          <w:highlight w:val="none"/>
        </w:rPr>
      </w:pPr>
      <w:r>
        <w:rPr>
          <w:rFonts w:hint="eastAsia" w:cs="宋体"/>
          <w:color w:val="auto"/>
          <w:sz w:val="21"/>
          <w:highlight w:val="none"/>
        </w:rPr>
        <w:t>1.1.1.10其他合同文件包括：</w:t>
      </w:r>
      <w:r>
        <w:rPr>
          <w:rFonts w:hint="eastAsia" w:cs="宋体"/>
          <w:color w:val="auto"/>
          <w:sz w:val="21"/>
          <w:highlight w:val="none"/>
          <w:u w:val="single"/>
        </w:rPr>
        <w:t>（1）本合同协议书；（2）成交通知书；（3）竞标函及其附件；（4）本合同专用条款及补充条款；（5）本合同通用条款；（6）标准、规范及有关技术文件；（7）工程量清单；（8）图纸；（9）本工程招标控制价造价成果文件及其他合同文件。</w:t>
      </w:r>
    </w:p>
    <w:p w14:paraId="7E229DED">
      <w:pPr>
        <w:pStyle w:val="79"/>
        <w:rPr>
          <w:rFonts w:hint="eastAsia" w:cs="宋体"/>
          <w:color w:val="auto"/>
          <w:sz w:val="21"/>
          <w:highlight w:val="none"/>
        </w:rPr>
      </w:pPr>
      <w:r>
        <w:rPr>
          <w:rFonts w:hint="eastAsia" w:cs="宋体"/>
          <w:color w:val="auto"/>
          <w:sz w:val="21"/>
          <w:highlight w:val="none"/>
        </w:rPr>
        <w:t>1.1.2 合同当事人及其他相关方</w:t>
      </w:r>
    </w:p>
    <w:p w14:paraId="111183B6">
      <w:pPr>
        <w:pStyle w:val="79"/>
        <w:rPr>
          <w:rFonts w:hint="eastAsia" w:cs="宋体"/>
          <w:color w:val="auto"/>
          <w:sz w:val="21"/>
          <w:highlight w:val="none"/>
        </w:rPr>
      </w:pPr>
      <w:r>
        <w:rPr>
          <w:rFonts w:hint="eastAsia" w:cs="宋体"/>
          <w:color w:val="auto"/>
          <w:sz w:val="21"/>
          <w:highlight w:val="none"/>
        </w:rPr>
        <w:t>1.1.2.4监理人</w:t>
      </w:r>
      <w:r>
        <w:rPr>
          <w:rFonts w:hint="eastAsia" w:cs="宋体"/>
          <w:color w:val="auto"/>
          <w:sz w:val="21"/>
          <w:highlight w:val="none"/>
          <w:u w:val="single"/>
        </w:rPr>
        <w:t xml:space="preserve">     （签约时填写）       </w:t>
      </w:r>
      <w:r>
        <w:rPr>
          <w:rFonts w:hint="eastAsia" w:cs="宋体"/>
          <w:color w:val="auto"/>
          <w:sz w:val="21"/>
          <w:highlight w:val="none"/>
        </w:rPr>
        <w:t>：</w:t>
      </w:r>
    </w:p>
    <w:p w14:paraId="67F6A545">
      <w:pPr>
        <w:pStyle w:val="79"/>
        <w:rPr>
          <w:rFonts w:hint="eastAsia" w:cs="宋体"/>
          <w:color w:val="auto"/>
          <w:sz w:val="21"/>
          <w:highlight w:val="none"/>
        </w:rPr>
      </w:pPr>
      <w:r>
        <w:rPr>
          <w:rFonts w:hint="eastAsia" w:cs="宋体"/>
          <w:color w:val="auto"/>
          <w:sz w:val="21"/>
          <w:highlight w:val="none"/>
        </w:rPr>
        <w:t>1.1.2.5 设计人：</w:t>
      </w:r>
    </w:p>
    <w:p w14:paraId="7C2F4531">
      <w:pPr>
        <w:pStyle w:val="79"/>
        <w:rPr>
          <w:rFonts w:hint="eastAsia" w:cs="宋体"/>
          <w:color w:val="auto"/>
          <w:sz w:val="21"/>
          <w:highlight w:val="none"/>
        </w:rPr>
      </w:pPr>
      <w:r>
        <w:rPr>
          <w:rFonts w:hint="eastAsia" w:cs="宋体"/>
          <w:color w:val="auto"/>
          <w:sz w:val="21"/>
          <w:highlight w:val="none"/>
        </w:rPr>
        <w:t>名    称：</w:t>
      </w:r>
      <w:r>
        <w:rPr>
          <w:rFonts w:hint="eastAsia" w:cs="宋体"/>
          <w:color w:val="auto"/>
          <w:sz w:val="21"/>
          <w:highlight w:val="none"/>
          <w:u w:val="single"/>
        </w:rPr>
        <w:t xml:space="preserve">    （签约时填写）</w:t>
      </w:r>
      <w:r>
        <w:rPr>
          <w:rFonts w:cs="宋体"/>
          <w:color w:val="auto"/>
          <w:sz w:val="21"/>
          <w:highlight w:val="none"/>
          <w:u w:val="single"/>
        </w:rPr>
        <w:t xml:space="preserve">        </w:t>
      </w:r>
      <w:r>
        <w:rPr>
          <w:rFonts w:hint="eastAsia" w:cs="宋体"/>
          <w:color w:val="auto"/>
          <w:sz w:val="21"/>
          <w:highlight w:val="none"/>
          <w:u w:val="single"/>
        </w:rPr>
        <w:t xml:space="preserve">            </w:t>
      </w:r>
      <w:r>
        <w:rPr>
          <w:rFonts w:hint="eastAsia" w:cs="宋体"/>
          <w:color w:val="auto"/>
          <w:sz w:val="21"/>
          <w:highlight w:val="none"/>
        </w:rPr>
        <w:t>；</w:t>
      </w:r>
    </w:p>
    <w:p w14:paraId="3C7E760B">
      <w:pPr>
        <w:pStyle w:val="79"/>
        <w:rPr>
          <w:rFonts w:hint="eastAsia" w:cs="宋体"/>
          <w:color w:val="auto"/>
          <w:sz w:val="21"/>
          <w:highlight w:val="none"/>
        </w:rPr>
      </w:pPr>
      <w:r>
        <w:rPr>
          <w:rFonts w:hint="eastAsia" w:cs="宋体"/>
          <w:color w:val="auto"/>
          <w:sz w:val="21"/>
          <w:highlight w:val="none"/>
        </w:rPr>
        <w:t>资质类别和等级：</w:t>
      </w:r>
      <w:r>
        <w:rPr>
          <w:rFonts w:hint="eastAsia" w:cs="宋体"/>
          <w:color w:val="auto"/>
          <w:sz w:val="21"/>
          <w:highlight w:val="none"/>
          <w:u w:val="single"/>
        </w:rPr>
        <w:t xml:space="preserve">     （签约时填写）                         </w:t>
      </w:r>
      <w:r>
        <w:rPr>
          <w:rFonts w:hint="eastAsia" w:cs="宋体"/>
          <w:color w:val="auto"/>
          <w:sz w:val="21"/>
          <w:highlight w:val="none"/>
        </w:rPr>
        <w:t>；</w:t>
      </w:r>
    </w:p>
    <w:p w14:paraId="5A83469B">
      <w:pPr>
        <w:pStyle w:val="79"/>
        <w:rPr>
          <w:rFonts w:hint="eastAsia" w:cs="宋体"/>
          <w:color w:val="auto"/>
          <w:sz w:val="21"/>
          <w:highlight w:val="none"/>
        </w:rPr>
      </w:pPr>
      <w:r>
        <w:rPr>
          <w:rFonts w:hint="eastAsia" w:cs="宋体"/>
          <w:color w:val="auto"/>
          <w:sz w:val="21"/>
          <w:highlight w:val="none"/>
        </w:rPr>
        <w:t>联系电话：</w:t>
      </w:r>
      <w:r>
        <w:rPr>
          <w:rFonts w:hint="eastAsia" w:cs="宋体"/>
          <w:color w:val="auto"/>
          <w:sz w:val="21"/>
          <w:highlight w:val="none"/>
          <w:u w:val="single"/>
        </w:rPr>
        <w:t xml:space="preserve">           （签约时填写）                 </w:t>
      </w:r>
      <w:r>
        <w:rPr>
          <w:rFonts w:cs="宋体"/>
          <w:color w:val="auto"/>
          <w:sz w:val="21"/>
          <w:highlight w:val="none"/>
          <w:u w:val="single"/>
        </w:rPr>
        <w:t xml:space="preserve"> </w:t>
      </w:r>
      <w:r>
        <w:rPr>
          <w:rFonts w:hint="eastAsia" w:cs="宋体"/>
          <w:color w:val="auto"/>
          <w:sz w:val="21"/>
          <w:highlight w:val="none"/>
          <w:u w:val="single"/>
        </w:rPr>
        <w:t xml:space="preserve">       </w:t>
      </w:r>
      <w:r>
        <w:rPr>
          <w:rFonts w:hint="eastAsia" w:cs="宋体"/>
          <w:color w:val="auto"/>
          <w:sz w:val="21"/>
          <w:highlight w:val="none"/>
        </w:rPr>
        <w:t>；</w:t>
      </w:r>
    </w:p>
    <w:p w14:paraId="79389480">
      <w:pPr>
        <w:pStyle w:val="79"/>
        <w:rPr>
          <w:rFonts w:hint="eastAsia" w:cs="宋体"/>
          <w:color w:val="auto"/>
          <w:sz w:val="21"/>
          <w:highlight w:val="none"/>
        </w:rPr>
      </w:pPr>
      <w:r>
        <w:rPr>
          <w:rFonts w:hint="eastAsia" w:cs="宋体"/>
          <w:color w:val="auto"/>
          <w:sz w:val="21"/>
          <w:highlight w:val="none"/>
        </w:rPr>
        <w:t>电子信箱：</w:t>
      </w:r>
      <w:r>
        <w:rPr>
          <w:rFonts w:hint="eastAsia" w:cs="宋体"/>
          <w:color w:val="auto"/>
          <w:sz w:val="21"/>
          <w:highlight w:val="none"/>
          <w:u w:val="single"/>
        </w:rPr>
        <w:t xml:space="preserve">           （签约时填写）                        </w:t>
      </w:r>
      <w:r>
        <w:rPr>
          <w:rFonts w:hint="eastAsia" w:cs="宋体"/>
          <w:color w:val="auto"/>
          <w:sz w:val="21"/>
          <w:highlight w:val="none"/>
        </w:rPr>
        <w:t>；</w:t>
      </w:r>
    </w:p>
    <w:p w14:paraId="0AA5FDCC">
      <w:pPr>
        <w:pStyle w:val="79"/>
        <w:rPr>
          <w:rFonts w:hint="eastAsia" w:cs="宋体"/>
          <w:color w:val="auto"/>
          <w:sz w:val="21"/>
          <w:highlight w:val="none"/>
        </w:rPr>
      </w:pPr>
      <w:r>
        <w:rPr>
          <w:rFonts w:hint="eastAsia" w:cs="宋体"/>
          <w:color w:val="auto"/>
          <w:sz w:val="21"/>
          <w:highlight w:val="none"/>
        </w:rPr>
        <w:t>通信地址：</w:t>
      </w:r>
      <w:r>
        <w:rPr>
          <w:rFonts w:hint="eastAsia" w:cs="宋体"/>
          <w:color w:val="auto"/>
          <w:sz w:val="21"/>
          <w:highlight w:val="none"/>
          <w:u w:val="single"/>
        </w:rPr>
        <w:t xml:space="preserve">           （签约时填写）                         </w:t>
      </w:r>
      <w:r>
        <w:rPr>
          <w:rFonts w:hint="eastAsia" w:cs="宋体"/>
          <w:color w:val="auto"/>
          <w:sz w:val="21"/>
          <w:highlight w:val="none"/>
        </w:rPr>
        <w:t>。</w:t>
      </w:r>
    </w:p>
    <w:p w14:paraId="1D062200">
      <w:pPr>
        <w:pStyle w:val="79"/>
        <w:rPr>
          <w:rFonts w:hint="eastAsia" w:cs="宋体"/>
          <w:color w:val="auto"/>
          <w:sz w:val="21"/>
          <w:highlight w:val="none"/>
        </w:rPr>
      </w:pPr>
      <w:r>
        <w:rPr>
          <w:rFonts w:hint="eastAsia" w:cs="宋体"/>
          <w:color w:val="auto"/>
          <w:sz w:val="21"/>
          <w:highlight w:val="none"/>
        </w:rPr>
        <w:t>1.1.3 工程和设备</w:t>
      </w:r>
    </w:p>
    <w:p w14:paraId="0F5317E5">
      <w:pPr>
        <w:pStyle w:val="79"/>
        <w:rPr>
          <w:rFonts w:hint="eastAsia" w:cs="宋体"/>
          <w:color w:val="auto"/>
          <w:sz w:val="21"/>
          <w:highlight w:val="none"/>
        </w:rPr>
      </w:pPr>
      <w:r>
        <w:rPr>
          <w:rFonts w:hint="eastAsia" w:cs="宋体"/>
          <w:color w:val="auto"/>
          <w:sz w:val="21"/>
          <w:highlight w:val="none"/>
        </w:rPr>
        <w:t>1.1.3.7 作为施工现场组成部分的其他场所包括：</w:t>
      </w:r>
      <w:r>
        <w:rPr>
          <w:rFonts w:hint="eastAsia" w:cs="宋体"/>
          <w:color w:val="auto"/>
          <w:sz w:val="21"/>
          <w:highlight w:val="none"/>
          <w:u w:val="single"/>
        </w:rPr>
        <w:t xml:space="preserve">  临时设施和临时用地 </w:t>
      </w:r>
      <w:r>
        <w:rPr>
          <w:rFonts w:hint="eastAsia" w:cs="宋体"/>
          <w:color w:val="auto"/>
          <w:sz w:val="21"/>
          <w:highlight w:val="none"/>
        </w:rPr>
        <w:t>。</w:t>
      </w:r>
    </w:p>
    <w:p w14:paraId="01C86105">
      <w:pPr>
        <w:pStyle w:val="79"/>
        <w:rPr>
          <w:rFonts w:hint="eastAsia" w:cs="宋体"/>
          <w:color w:val="auto"/>
          <w:sz w:val="21"/>
          <w:highlight w:val="none"/>
        </w:rPr>
      </w:pPr>
      <w:r>
        <w:rPr>
          <w:rFonts w:hint="eastAsia" w:cs="宋体"/>
          <w:color w:val="auto"/>
          <w:sz w:val="21"/>
          <w:highlight w:val="none"/>
        </w:rPr>
        <w:t>1.1.3.9 永久占地包括：</w:t>
      </w:r>
      <w:r>
        <w:rPr>
          <w:rFonts w:hint="eastAsia" w:cs="宋体"/>
          <w:color w:val="auto"/>
          <w:sz w:val="21"/>
          <w:highlight w:val="none"/>
          <w:u w:val="single"/>
        </w:rPr>
        <w:t xml:space="preserve">      建、构筑物用地                </w:t>
      </w:r>
      <w:r>
        <w:rPr>
          <w:rFonts w:hint="eastAsia" w:cs="宋体"/>
          <w:color w:val="auto"/>
          <w:sz w:val="21"/>
          <w:highlight w:val="none"/>
        </w:rPr>
        <w:t>。</w:t>
      </w:r>
    </w:p>
    <w:p w14:paraId="7F3EB276">
      <w:pPr>
        <w:pStyle w:val="79"/>
        <w:rPr>
          <w:rFonts w:hint="eastAsia" w:cs="宋体"/>
          <w:color w:val="auto"/>
          <w:sz w:val="21"/>
          <w:highlight w:val="none"/>
        </w:rPr>
      </w:pPr>
      <w:r>
        <w:rPr>
          <w:rFonts w:hint="eastAsia" w:cs="宋体"/>
          <w:color w:val="auto"/>
          <w:sz w:val="21"/>
          <w:highlight w:val="none"/>
        </w:rPr>
        <w:t>1.1.3.10 临时占地包括：</w:t>
      </w:r>
      <w:r>
        <w:rPr>
          <w:rFonts w:hint="eastAsia" w:cs="宋体"/>
          <w:color w:val="auto"/>
          <w:sz w:val="21"/>
          <w:highlight w:val="none"/>
          <w:u w:val="single"/>
        </w:rPr>
        <w:t xml:space="preserve">      临时设施和临时用地                  </w:t>
      </w:r>
      <w:r>
        <w:rPr>
          <w:rFonts w:hint="eastAsia" w:cs="宋体"/>
          <w:color w:val="auto"/>
          <w:sz w:val="21"/>
          <w:highlight w:val="none"/>
        </w:rPr>
        <w:t>。</w:t>
      </w:r>
    </w:p>
    <w:p w14:paraId="23515B2C">
      <w:pPr>
        <w:pStyle w:val="321"/>
        <w:rPr>
          <w:rFonts w:hint="eastAsia" w:ascii="宋体" w:cs="宋体"/>
          <w:color w:val="auto"/>
          <w:highlight w:val="none"/>
        </w:rPr>
      </w:pPr>
      <w:bookmarkStart w:id="776" w:name="_Toc417904270"/>
      <w:bookmarkStart w:id="777" w:name="_Toc478389184"/>
      <w:r>
        <w:rPr>
          <w:rFonts w:hint="eastAsia" w:ascii="宋体" w:cs="宋体"/>
          <w:color w:val="auto"/>
          <w:highlight w:val="none"/>
        </w:rPr>
        <w:t>1.3法律</w:t>
      </w:r>
      <w:bookmarkEnd w:id="776"/>
      <w:bookmarkEnd w:id="777"/>
    </w:p>
    <w:p w14:paraId="03236C99">
      <w:pPr>
        <w:pStyle w:val="79"/>
        <w:rPr>
          <w:rFonts w:hint="eastAsia" w:cs="宋体"/>
          <w:color w:val="auto"/>
          <w:sz w:val="21"/>
          <w:highlight w:val="none"/>
        </w:rPr>
      </w:pPr>
      <w:r>
        <w:rPr>
          <w:rFonts w:hint="eastAsia" w:cs="宋体"/>
          <w:color w:val="auto"/>
          <w:sz w:val="21"/>
          <w:highlight w:val="none"/>
        </w:rPr>
        <w:t>适用于合同的其他规范性文件：</w:t>
      </w:r>
      <w:r>
        <w:rPr>
          <w:rFonts w:hint="eastAsia" w:cs="宋体"/>
          <w:color w:val="auto"/>
          <w:sz w:val="21"/>
          <w:highlight w:val="none"/>
          <w:u w:val="single"/>
        </w:rPr>
        <w:t xml:space="preserve">  建筑安装相关   </w:t>
      </w:r>
      <w:r>
        <w:rPr>
          <w:rFonts w:hint="eastAsia" w:cs="宋体"/>
          <w:color w:val="auto"/>
          <w:sz w:val="21"/>
          <w:highlight w:val="none"/>
        </w:rPr>
        <w:t>。</w:t>
      </w:r>
    </w:p>
    <w:p w14:paraId="0109D33F">
      <w:pPr>
        <w:pStyle w:val="321"/>
        <w:rPr>
          <w:rFonts w:hint="eastAsia" w:ascii="宋体" w:cs="宋体"/>
          <w:color w:val="auto"/>
          <w:highlight w:val="none"/>
        </w:rPr>
      </w:pPr>
      <w:bookmarkStart w:id="778" w:name="_Toc417904271"/>
      <w:bookmarkStart w:id="779" w:name="_Toc478389185"/>
      <w:r>
        <w:rPr>
          <w:rFonts w:hint="eastAsia" w:ascii="宋体" w:cs="宋体"/>
          <w:color w:val="auto"/>
          <w:highlight w:val="none"/>
        </w:rPr>
        <w:t>1.4 标准和规范</w:t>
      </w:r>
      <w:bookmarkEnd w:id="778"/>
      <w:bookmarkEnd w:id="779"/>
    </w:p>
    <w:p w14:paraId="70F9CB10">
      <w:pPr>
        <w:pStyle w:val="79"/>
        <w:rPr>
          <w:rFonts w:hint="eastAsia" w:cs="宋体"/>
          <w:color w:val="auto"/>
          <w:sz w:val="21"/>
          <w:highlight w:val="none"/>
        </w:rPr>
      </w:pPr>
      <w:r>
        <w:rPr>
          <w:rFonts w:hint="eastAsia" w:cs="宋体"/>
          <w:color w:val="auto"/>
          <w:sz w:val="21"/>
          <w:highlight w:val="none"/>
        </w:rPr>
        <w:t>1.4.1适用于工程的标准规范包括：</w:t>
      </w:r>
      <w:r>
        <w:rPr>
          <w:rFonts w:hint="eastAsia" w:cs="宋体"/>
          <w:color w:val="auto"/>
          <w:sz w:val="21"/>
          <w:highlight w:val="none"/>
          <w:u w:val="single"/>
        </w:rPr>
        <w:t xml:space="preserve">     国家和地方性、行业规范    </w:t>
      </w:r>
      <w:r>
        <w:rPr>
          <w:rFonts w:hint="eastAsia" w:cs="宋体"/>
          <w:color w:val="auto"/>
          <w:sz w:val="21"/>
          <w:highlight w:val="none"/>
        </w:rPr>
        <w:t>。</w:t>
      </w:r>
    </w:p>
    <w:p w14:paraId="39F017F9">
      <w:pPr>
        <w:pStyle w:val="79"/>
        <w:rPr>
          <w:rFonts w:hint="eastAsia" w:cs="宋体"/>
          <w:color w:val="auto"/>
          <w:sz w:val="21"/>
          <w:highlight w:val="none"/>
        </w:rPr>
      </w:pPr>
      <w:r>
        <w:rPr>
          <w:rFonts w:hint="eastAsia" w:cs="宋体"/>
          <w:color w:val="auto"/>
          <w:sz w:val="21"/>
          <w:highlight w:val="none"/>
        </w:rPr>
        <w:t>1.4.2 发包人提供国外标准、规范的名称：</w:t>
      </w:r>
      <w:r>
        <w:rPr>
          <w:rFonts w:hint="eastAsia" w:cs="宋体"/>
          <w:color w:val="auto"/>
          <w:sz w:val="21"/>
          <w:highlight w:val="none"/>
          <w:u w:val="single"/>
        </w:rPr>
        <w:t xml:space="preserve">  无  </w:t>
      </w:r>
      <w:r>
        <w:rPr>
          <w:rFonts w:hint="eastAsia" w:cs="宋体"/>
          <w:color w:val="auto"/>
          <w:sz w:val="21"/>
          <w:highlight w:val="none"/>
        </w:rPr>
        <w:t>；</w:t>
      </w:r>
    </w:p>
    <w:p w14:paraId="4AD47928">
      <w:pPr>
        <w:pStyle w:val="79"/>
        <w:rPr>
          <w:rFonts w:hint="eastAsia" w:cs="宋体"/>
          <w:color w:val="auto"/>
          <w:sz w:val="21"/>
          <w:highlight w:val="none"/>
        </w:rPr>
      </w:pPr>
      <w:r>
        <w:rPr>
          <w:rFonts w:hint="eastAsia" w:cs="宋体"/>
          <w:color w:val="auto"/>
          <w:sz w:val="21"/>
          <w:highlight w:val="none"/>
        </w:rPr>
        <w:t>发包人提供国外标准、规范的份数：</w:t>
      </w:r>
      <w:r>
        <w:rPr>
          <w:rFonts w:hint="eastAsia" w:cs="宋体"/>
          <w:color w:val="auto"/>
          <w:sz w:val="21"/>
          <w:highlight w:val="none"/>
          <w:u w:val="single"/>
        </w:rPr>
        <w:t xml:space="preserve">    无     </w:t>
      </w:r>
      <w:r>
        <w:rPr>
          <w:rFonts w:hint="eastAsia" w:cs="宋体"/>
          <w:color w:val="auto"/>
          <w:sz w:val="21"/>
          <w:highlight w:val="none"/>
        </w:rPr>
        <w:t>；</w:t>
      </w:r>
    </w:p>
    <w:p w14:paraId="5438DB3B">
      <w:pPr>
        <w:pStyle w:val="79"/>
        <w:rPr>
          <w:rFonts w:hint="eastAsia" w:cs="宋体"/>
          <w:color w:val="auto"/>
          <w:sz w:val="21"/>
          <w:highlight w:val="none"/>
        </w:rPr>
      </w:pPr>
      <w:r>
        <w:rPr>
          <w:rFonts w:hint="eastAsia" w:cs="宋体"/>
          <w:color w:val="auto"/>
          <w:sz w:val="21"/>
          <w:highlight w:val="none"/>
        </w:rPr>
        <w:t>发包人提供国外标准、规范的名称：</w:t>
      </w:r>
      <w:r>
        <w:rPr>
          <w:rFonts w:hint="eastAsia" w:cs="宋体"/>
          <w:color w:val="auto"/>
          <w:sz w:val="21"/>
          <w:highlight w:val="none"/>
          <w:u w:val="single"/>
        </w:rPr>
        <w:t xml:space="preserve">      无               </w:t>
      </w:r>
      <w:r>
        <w:rPr>
          <w:rFonts w:hint="eastAsia" w:cs="宋体"/>
          <w:color w:val="auto"/>
          <w:sz w:val="21"/>
          <w:highlight w:val="none"/>
        </w:rPr>
        <w:t>。</w:t>
      </w:r>
    </w:p>
    <w:p w14:paraId="243F4F43">
      <w:pPr>
        <w:pStyle w:val="79"/>
        <w:rPr>
          <w:rFonts w:hint="eastAsia" w:cs="宋体"/>
          <w:color w:val="auto"/>
          <w:sz w:val="21"/>
          <w:highlight w:val="none"/>
        </w:rPr>
      </w:pPr>
      <w:r>
        <w:rPr>
          <w:rFonts w:hint="eastAsia" w:cs="宋体"/>
          <w:color w:val="auto"/>
          <w:sz w:val="21"/>
          <w:highlight w:val="none"/>
        </w:rPr>
        <w:t>1.4.3发包人对工程的技术标准和功能要求的特殊要求：</w:t>
      </w:r>
      <w:r>
        <w:rPr>
          <w:rFonts w:hint="eastAsia" w:cs="宋体"/>
          <w:color w:val="auto"/>
          <w:sz w:val="21"/>
          <w:highlight w:val="none"/>
          <w:u w:val="single"/>
        </w:rPr>
        <w:t xml:space="preserve">无    </w:t>
      </w:r>
      <w:r>
        <w:rPr>
          <w:rFonts w:hint="eastAsia" w:cs="宋体"/>
          <w:color w:val="auto"/>
          <w:sz w:val="21"/>
          <w:highlight w:val="none"/>
        </w:rPr>
        <w:t>。</w:t>
      </w:r>
    </w:p>
    <w:p w14:paraId="2BD0753D">
      <w:pPr>
        <w:pStyle w:val="321"/>
        <w:rPr>
          <w:rFonts w:hint="eastAsia" w:ascii="宋体" w:cs="宋体"/>
          <w:color w:val="auto"/>
          <w:highlight w:val="none"/>
        </w:rPr>
      </w:pPr>
      <w:bookmarkStart w:id="780" w:name="_Toc417904272"/>
      <w:bookmarkStart w:id="781" w:name="_Toc478389186"/>
      <w:r>
        <w:rPr>
          <w:rFonts w:hint="eastAsia" w:ascii="宋体" w:cs="宋体"/>
          <w:color w:val="auto"/>
          <w:highlight w:val="none"/>
        </w:rPr>
        <w:t>1.5 合同文件的优先顺序</w:t>
      </w:r>
      <w:bookmarkEnd w:id="780"/>
      <w:bookmarkEnd w:id="781"/>
    </w:p>
    <w:p w14:paraId="772E6BF7">
      <w:pPr>
        <w:spacing w:line="4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合同文件组成及优先顺序为：</w:t>
      </w:r>
      <w:r>
        <w:rPr>
          <w:rFonts w:hint="eastAsia" w:ascii="宋体" w:hAnsi="宋体" w:cs="宋体"/>
          <w:color w:val="auto"/>
          <w:szCs w:val="21"/>
          <w:highlight w:val="none"/>
          <w:u w:val="single"/>
        </w:rPr>
        <w:t>（1）本合同协议书；（2）成交通知书；（3）竞标函及其附件；（4）本合同专用条款及补充条款；（5）本合同通用条款；（6）标准、规范及有关技术文件；（7）工程量清单；（8）图纸（含图纸修改通知单及图纸设计变更文件）；（9）本工程其他合同文件。</w:t>
      </w:r>
    </w:p>
    <w:p w14:paraId="4AF0D58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图纸与技术标准和要求之间有矛盾或者不一致的，以其中要求较严格的标准为准。</w:t>
      </w:r>
    </w:p>
    <w:p w14:paraId="143C33A6">
      <w:pPr>
        <w:pStyle w:val="79"/>
        <w:ind w:firstLine="0" w:firstLineChars="0"/>
        <w:rPr>
          <w:rFonts w:hint="eastAsia" w:cs="宋体"/>
          <w:color w:val="auto"/>
          <w:sz w:val="21"/>
          <w:highlight w:val="none"/>
        </w:rPr>
      </w:pPr>
      <w:r>
        <w:rPr>
          <w:rFonts w:hint="eastAsia" w:cs="宋体"/>
          <w:color w:val="auto"/>
          <w:sz w:val="21"/>
          <w:highlight w:val="none"/>
        </w:rPr>
        <w:t>合同双方在合同履行过程中签订的补充协议亦构成合同文件的组成部分，其解释顺序视其内容与其他合同文件的相互关系而定。</w:t>
      </w:r>
    </w:p>
    <w:p w14:paraId="64962318">
      <w:pPr>
        <w:pStyle w:val="321"/>
        <w:rPr>
          <w:rFonts w:hint="eastAsia" w:ascii="宋体" w:cs="宋体"/>
          <w:color w:val="auto"/>
          <w:highlight w:val="none"/>
        </w:rPr>
      </w:pPr>
      <w:bookmarkStart w:id="782" w:name="_Toc417904273"/>
      <w:bookmarkStart w:id="783" w:name="_Toc478389187"/>
      <w:r>
        <w:rPr>
          <w:rFonts w:hint="eastAsia" w:ascii="宋体" w:cs="宋体"/>
          <w:color w:val="auto"/>
          <w:highlight w:val="none"/>
        </w:rPr>
        <w:t>1.6 图纸和承包人文件</w:t>
      </w:r>
      <w:bookmarkEnd w:id="782"/>
      <w:bookmarkEnd w:id="783"/>
      <w:r>
        <w:rPr>
          <w:rFonts w:hint="eastAsia" w:ascii="宋体" w:cs="宋体"/>
          <w:color w:val="auto"/>
          <w:highlight w:val="none"/>
        </w:rPr>
        <w:tab/>
      </w:r>
    </w:p>
    <w:p w14:paraId="6ECD4DF8">
      <w:pPr>
        <w:pStyle w:val="79"/>
        <w:rPr>
          <w:rFonts w:hint="eastAsia" w:cs="宋体"/>
          <w:color w:val="auto"/>
          <w:sz w:val="21"/>
          <w:highlight w:val="none"/>
        </w:rPr>
      </w:pPr>
      <w:r>
        <w:rPr>
          <w:rFonts w:hint="eastAsia" w:cs="宋体"/>
          <w:color w:val="auto"/>
          <w:sz w:val="21"/>
          <w:highlight w:val="none"/>
        </w:rPr>
        <w:t>1.6.1 图纸的提供</w:t>
      </w:r>
    </w:p>
    <w:p w14:paraId="553525C5">
      <w:pPr>
        <w:pStyle w:val="79"/>
        <w:rPr>
          <w:rFonts w:hint="eastAsia" w:cs="宋体"/>
          <w:color w:val="auto"/>
          <w:sz w:val="21"/>
          <w:highlight w:val="none"/>
          <w:u w:val="single"/>
        </w:rPr>
      </w:pPr>
      <w:r>
        <w:rPr>
          <w:rFonts w:hint="eastAsia" w:cs="宋体"/>
          <w:color w:val="auto"/>
          <w:sz w:val="21"/>
          <w:highlight w:val="none"/>
        </w:rPr>
        <w:t>发包人向承包人提供图纸的期限：</w:t>
      </w:r>
      <w:r>
        <w:rPr>
          <w:rFonts w:hint="eastAsia" w:cs="宋体"/>
          <w:color w:val="auto"/>
          <w:sz w:val="21"/>
          <w:highlight w:val="none"/>
          <w:u w:val="single"/>
        </w:rPr>
        <w:t>合同生效后7天内；</w:t>
      </w:r>
    </w:p>
    <w:p w14:paraId="72F6C803">
      <w:pPr>
        <w:pStyle w:val="79"/>
        <w:rPr>
          <w:rFonts w:hint="eastAsia" w:cs="宋体"/>
          <w:color w:val="auto"/>
          <w:sz w:val="21"/>
          <w:highlight w:val="none"/>
        </w:rPr>
      </w:pPr>
      <w:r>
        <w:rPr>
          <w:rFonts w:hint="eastAsia" w:cs="宋体"/>
          <w:color w:val="auto"/>
          <w:sz w:val="21"/>
          <w:highlight w:val="none"/>
        </w:rPr>
        <w:t>发包人向承包人提供图纸的数量：</w:t>
      </w:r>
      <w:r>
        <w:rPr>
          <w:rFonts w:hint="eastAsia" w:cs="宋体"/>
          <w:color w:val="auto"/>
          <w:sz w:val="21"/>
          <w:highlight w:val="none"/>
          <w:u w:val="single"/>
        </w:rPr>
        <w:t>图纸和其他技术资料壹份（标准图集由承包人自备）</w:t>
      </w:r>
      <w:r>
        <w:rPr>
          <w:rFonts w:hint="eastAsia" w:cs="宋体"/>
          <w:color w:val="auto"/>
          <w:sz w:val="21"/>
          <w:highlight w:val="none"/>
        </w:rPr>
        <w:t>；</w:t>
      </w:r>
    </w:p>
    <w:p w14:paraId="006405F1">
      <w:pPr>
        <w:pStyle w:val="79"/>
        <w:rPr>
          <w:rFonts w:hint="eastAsia" w:cs="宋体"/>
          <w:color w:val="auto"/>
          <w:sz w:val="21"/>
          <w:highlight w:val="none"/>
        </w:rPr>
      </w:pPr>
      <w:r>
        <w:rPr>
          <w:rFonts w:hint="eastAsia" w:cs="宋体"/>
          <w:color w:val="auto"/>
          <w:sz w:val="21"/>
          <w:highlight w:val="none"/>
        </w:rPr>
        <w:t>发包人向承包人提供图纸的内容：</w:t>
      </w:r>
      <w:r>
        <w:rPr>
          <w:rFonts w:hint="eastAsia" w:cs="宋体"/>
          <w:color w:val="auto"/>
          <w:sz w:val="21"/>
          <w:highlight w:val="none"/>
          <w:u w:val="single"/>
        </w:rPr>
        <w:t xml:space="preserve">   与本项目相关             </w:t>
      </w:r>
      <w:r>
        <w:rPr>
          <w:rFonts w:hint="eastAsia" w:cs="宋体"/>
          <w:color w:val="auto"/>
          <w:sz w:val="21"/>
          <w:highlight w:val="none"/>
        </w:rPr>
        <w:t>。</w:t>
      </w:r>
    </w:p>
    <w:p w14:paraId="1844A2EE">
      <w:pPr>
        <w:pStyle w:val="79"/>
        <w:rPr>
          <w:rFonts w:hint="eastAsia" w:cs="宋体"/>
          <w:color w:val="auto"/>
          <w:sz w:val="21"/>
          <w:highlight w:val="none"/>
        </w:rPr>
      </w:pPr>
      <w:r>
        <w:rPr>
          <w:rFonts w:hint="eastAsia" w:cs="宋体"/>
          <w:color w:val="auto"/>
          <w:sz w:val="21"/>
          <w:highlight w:val="none"/>
        </w:rPr>
        <w:t>1.6.4 承包人文件</w:t>
      </w:r>
    </w:p>
    <w:p w14:paraId="1C2B36AB">
      <w:pPr>
        <w:pStyle w:val="79"/>
        <w:rPr>
          <w:rFonts w:hint="eastAsia" w:cs="宋体"/>
          <w:color w:val="auto"/>
          <w:sz w:val="21"/>
          <w:highlight w:val="none"/>
        </w:rPr>
      </w:pPr>
      <w:r>
        <w:rPr>
          <w:rFonts w:hint="eastAsia" w:cs="宋体"/>
          <w:color w:val="auto"/>
          <w:sz w:val="21"/>
          <w:highlight w:val="none"/>
        </w:rPr>
        <w:t>需要由承包人提供的文件，包括：</w:t>
      </w:r>
      <w:r>
        <w:rPr>
          <w:rFonts w:hint="eastAsia" w:cs="宋体"/>
          <w:color w:val="auto"/>
          <w:sz w:val="21"/>
          <w:highlight w:val="none"/>
          <w:u w:val="single"/>
        </w:rPr>
        <w:t>除专用合同条款约定的由承包人提供的设计文件外，本项约定的其他应由承包人提供的文件，包括必要的加工图和大样图，均不是合同计量与支付的依据文件。由承包人提供的文件范围：施工图以外的大样图、加工图、标准图等</w:t>
      </w:r>
      <w:r>
        <w:rPr>
          <w:rFonts w:hint="eastAsia" w:cs="宋体"/>
          <w:color w:val="auto"/>
          <w:sz w:val="21"/>
          <w:highlight w:val="none"/>
        </w:rPr>
        <w:t>；</w:t>
      </w:r>
    </w:p>
    <w:p w14:paraId="40DCF46D">
      <w:pPr>
        <w:pStyle w:val="79"/>
        <w:rPr>
          <w:rFonts w:hint="eastAsia" w:cs="宋体"/>
          <w:color w:val="auto"/>
          <w:sz w:val="21"/>
          <w:highlight w:val="none"/>
        </w:rPr>
      </w:pPr>
      <w:r>
        <w:rPr>
          <w:rFonts w:hint="eastAsia" w:cs="宋体"/>
          <w:color w:val="auto"/>
          <w:sz w:val="21"/>
          <w:highlight w:val="none"/>
        </w:rPr>
        <w:t>承包人提供的文件的期限为：</w:t>
      </w:r>
      <w:r>
        <w:rPr>
          <w:rFonts w:hint="eastAsia" w:cs="宋体"/>
          <w:color w:val="auto"/>
          <w:sz w:val="21"/>
          <w:highlight w:val="none"/>
          <w:u w:val="single"/>
        </w:rPr>
        <w:t xml:space="preserve">  构件开始施工前7天内  </w:t>
      </w:r>
      <w:r>
        <w:rPr>
          <w:rFonts w:hint="eastAsia" w:cs="宋体"/>
          <w:color w:val="auto"/>
          <w:sz w:val="21"/>
          <w:highlight w:val="none"/>
        </w:rPr>
        <w:t>；</w:t>
      </w:r>
    </w:p>
    <w:p w14:paraId="7799CF63">
      <w:pPr>
        <w:pStyle w:val="79"/>
        <w:rPr>
          <w:rFonts w:hint="eastAsia" w:cs="宋体"/>
          <w:color w:val="auto"/>
          <w:sz w:val="21"/>
          <w:highlight w:val="none"/>
        </w:rPr>
      </w:pPr>
      <w:r>
        <w:rPr>
          <w:rFonts w:hint="eastAsia" w:cs="宋体"/>
          <w:color w:val="auto"/>
          <w:sz w:val="21"/>
          <w:highlight w:val="none"/>
        </w:rPr>
        <w:t>承包人提供的文件的数量为：</w:t>
      </w:r>
      <w:r>
        <w:rPr>
          <w:rFonts w:hint="eastAsia" w:cs="宋体"/>
          <w:color w:val="auto"/>
          <w:sz w:val="21"/>
          <w:highlight w:val="none"/>
          <w:u w:val="single"/>
        </w:rPr>
        <w:t xml:space="preserve">      5份                </w:t>
      </w:r>
      <w:r>
        <w:rPr>
          <w:rFonts w:hint="eastAsia" w:cs="宋体"/>
          <w:color w:val="auto"/>
          <w:sz w:val="21"/>
          <w:highlight w:val="none"/>
        </w:rPr>
        <w:t>；</w:t>
      </w:r>
    </w:p>
    <w:p w14:paraId="62B60857">
      <w:pPr>
        <w:pStyle w:val="79"/>
        <w:rPr>
          <w:rFonts w:hint="eastAsia" w:cs="宋体"/>
          <w:color w:val="auto"/>
          <w:sz w:val="21"/>
          <w:highlight w:val="none"/>
        </w:rPr>
      </w:pPr>
      <w:r>
        <w:rPr>
          <w:rFonts w:hint="eastAsia" w:cs="宋体"/>
          <w:color w:val="auto"/>
          <w:sz w:val="21"/>
          <w:highlight w:val="none"/>
        </w:rPr>
        <w:t>承包人提供的文件的形式为：</w:t>
      </w:r>
      <w:r>
        <w:rPr>
          <w:rFonts w:hint="eastAsia" w:cs="宋体"/>
          <w:color w:val="auto"/>
          <w:sz w:val="21"/>
          <w:highlight w:val="none"/>
          <w:u w:val="single"/>
        </w:rPr>
        <w:t xml:space="preserve">      书面                 </w:t>
      </w:r>
      <w:r>
        <w:rPr>
          <w:rFonts w:hint="eastAsia" w:cs="宋体"/>
          <w:color w:val="auto"/>
          <w:sz w:val="21"/>
          <w:highlight w:val="none"/>
        </w:rPr>
        <w:t>；</w:t>
      </w:r>
    </w:p>
    <w:p w14:paraId="7C6AE9B6">
      <w:pPr>
        <w:pStyle w:val="79"/>
        <w:rPr>
          <w:rFonts w:hint="eastAsia" w:cs="宋体"/>
          <w:color w:val="auto"/>
          <w:sz w:val="21"/>
          <w:highlight w:val="none"/>
        </w:rPr>
      </w:pPr>
      <w:r>
        <w:rPr>
          <w:rFonts w:hint="eastAsia" w:cs="宋体"/>
          <w:color w:val="auto"/>
          <w:sz w:val="21"/>
          <w:highlight w:val="none"/>
        </w:rPr>
        <w:t>发包人审批承包人文件的期限：</w:t>
      </w:r>
      <w:r>
        <w:rPr>
          <w:rFonts w:hint="eastAsia" w:cs="宋体"/>
          <w:color w:val="auto"/>
          <w:sz w:val="21"/>
          <w:highlight w:val="none"/>
          <w:u w:val="single"/>
        </w:rPr>
        <w:t xml:space="preserve">     15天内                </w:t>
      </w:r>
      <w:r>
        <w:rPr>
          <w:rFonts w:hint="eastAsia" w:cs="宋体"/>
          <w:color w:val="auto"/>
          <w:sz w:val="21"/>
          <w:highlight w:val="none"/>
        </w:rPr>
        <w:t>。</w:t>
      </w:r>
    </w:p>
    <w:p w14:paraId="2C94F1D7">
      <w:pPr>
        <w:pStyle w:val="79"/>
        <w:rPr>
          <w:rFonts w:hint="eastAsia" w:cs="宋体"/>
          <w:color w:val="auto"/>
          <w:sz w:val="21"/>
          <w:highlight w:val="none"/>
        </w:rPr>
      </w:pPr>
      <w:r>
        <w:rPr>
          <w:rFonts w:hint="eastAsia" w:cs="宋体"/>
          <w:color w:val="auto"/>
          <w:sz w:val="21"/>
          <w:highlight w:val="none"/>
        </w:rPr>
        <w:t>1.6.5 现场图纸准备</w:t>
      </w:r>
    </w:p>
    <w:p w14:paraId="690E8F5B">
      <w:pPr>
        <w:pStyle w:val="79"/>
        <w:rPr>
          <w:rFonts w:hint="eastAsia" w:cs="宋体"/>
          <w:color w:val="auto"/>
          <w:sz w:val="21"/>
          <w:highlight w:val="none"/>
        </w:rPr>
      </w:pPr>
      <w:r>
        <w:rPr>
          <w:rFonts w:hint="eastAsia" w:cs="宋体"/>
          <w:color w:val="auto"/>
          <w:sz w:val="21"/>
          <w:highlight w:val="none"/>
        </w:rPr>
        <w:t>关于现场图纸准备的约定：</w:t>
      </w:r>
      <w:r>
        <w:rPr>
          <w:rFonts w:hint="eastAsia" w:cs="宋体"/>
          <w:color w:val="auto"/>
          <w:sz w:val="21"/>
          <w:highlight w:val="none"/>
          <w:u w:val="single"/>
        </w:rPr>
        <w:t xml:space="preserve"> 承包人应在施工现场另外保存一套完整的图纸和承包人文件，供发包人、监理人及有关人员进行工程检查时使用   </w:t>
      </w:r>
      <w:r>
        <w:rPr>
          <w:rFonts w:hint="eastAsia" w:cs="宋体"/>
          <w:color w:val="auto"/>
          <w:sz w:val="21"/>
          <w:highlight w:val="none"/>
        </w:rPr>
        <w:t>。</w:t>
      </w:r>
    </w:p>
    <w:p w14:paraId="6E9E967C">
      <w:pPr>
        <w:pStyle w:val="321"/>
        <w:rPr>
          <w:rFonts w:hint="eastAsia" w:ascii="宋体" w:cs="宋体"/>
          <w:color w:val="auto"/>
          <w:highlight w:val="none"/>
        </w:rPr>
      </w:pPr>
      <w:bookmarkStart w:id="784" w:name="_Toc478389188"/>
      <w:bookmarkStart w:id="785" w:name="_Toc417904274"/>
      <w:r>
        <w:rPr>
          <w:rFonts w:hint="eastAsia" w:ascii="宋体" w:cs="宋体"/>
          <w:color w:val="auto"/>
          <w:highlight w:val="none"/>
        </w:rPr>
        <w:t>1.7 联络</w:t>
      </w:r>
      <w:bookmarkEnd w:id="784"/>
      <w:bookmarkEnd w:id="785"/>
    </w:p>
    <w:p w14:paraId="54FFF99F">
      <w:pPr>
        <w:pStyle w:val="79"/>
        <w:rPr>
          <w:rFonts w:hint="eastAsia" w:cs="宋体"/>
          <w:color w:val="auto"/>
          <w:sz w:val="21"/>
          <w:highlight w:val="none"/>
        </w:rPr>
      </w:pPr>
      <w:r>
        <w:rPr>
          <w:rFonts w:hint="eastAsia" w:cs="宋体"/>
          <w:color w:val="auto"/>
          <w:sz w:val="21"/>
          <w:highlight w:val="none"/>
        </w:rPr>
        <w:t>1.7.1发包人和承包人应当在</w:t>
      </w:r>
      <w:r>
        <w:rPr>
          <w:rFonts w:hint="eastAsia" w:cs="宋体"/>
          <w:color w:val="auto"/>
          <w:sz w:val="21"/>
          <w:highlight w:val="none"/>
          <w:u w:val="single"/>
        </w:rPr>
        <w:t xml:space="preserve"> 进场施工前 7  </w:t>
      </w:r>
      <w:r>
        <w:rPr>
          <w:rFonts w:hint="eastAsia" w:cs="宋体"/>
          <w:color w:val="auto"/>
          <w:sz w:val="21"/>
          <w:highlight w:val="none"/>
        </w:rPr>
        <w:t>天内将与合同有关的通知、批准、证明、证书、指示、指令、要求、请求、同意、意见、确定和决定等书面函件送达对方当事人。</w:t>
      </w:r>
    </w:p>
    <w:p w14:paraId="7B183C39">
      <w:pPr>
        <w:pStyle w:val="79"/>
        <w:rPr>
          <w:rFonts w:hint="eastAsia" w:cs="宋体"/>
          <w:color w:val="auto"/>
          <w:sz w:val="21"/>
          <w:highlight w:val="none"/>
        </w:rPr>
      </w:pPr>
      <w:r>
        <w:rPr>
          <w:rFonts w:hint="eastAsia" w:cs="宋体"/>
          <w:color w:val="auto"/>
          <w:sz w:val="21"/>
          <w:highlight w:val="none"/>
        </w:rPr>
        <w:t>1.7.2 发包人接收文件的地点：</w:t>
      </w:r>
      <w:r>
        <w:rPr>
          <w:rFonts w:hint="eastAsia" w:cs="宋体"/>
          <w:color w:val="auto"/>
          <w:sz w:val="21"/>
          <w:highlight w:val="none"/>
          <w:u w:val="single"/>
        </w:rPr>
        <w:t xml:space="preserve">  桂林市</w:t>
      </w:r>
      <w:r>
        <w:rPr>
          <w:rFonts w:hint="eastAsia" w:cs="宋体"/>
          <w:color w:val="auto"/>
          <w:sz w:val="21"/>
          <w:highlight w:val="none"/>
          <w:u w:val="single"/>
          <w:lang w:eastAsia="zh-CN"/>
        </w:rPr>
        <w:t>永福县</w:t>
      </w:r>
      <w:r>
        <w:rPr>
          <w:rFonts w:hint="eastAsia" w:cs="宋体"/>
          <w:color w:val="auto"/>
          <w:sz w:val="21"/>
          <w:highlight w:val="none"/>
          <w:u w:val="single"/>
        </w:rPr>
        <w:t xml:space="preserve">内  </w:t>
      </w:r>
      <w:r>
        <w:rPr>
          <w:rFonts w:hint="eastAsia" w:cs="宋体"/>
          <w:color w:val="auto"/>
          <w:sz w:val="21"/>
          <w:highlight w:val="none"/>
        </w:rPr>
        <w:t>；</w:t>
      </w:r>
    </w:p>
    <w:p w14:paraId="6BCB5363">
      <w:pPr>
        <w:pStyle w:val="79"/>
        <w:rPr>
          <w:rFonts w:hint="eastAsia" w:cs="宋体"/>
          <w:color w:val="auto"/>
          <w:sz w:val="21"/>
          <w:highlight w:val="none"/>
        </w:rPr>
      </w:pPr>
      <w:r>
        <w:rPr>
          <w:rFonts w:hint="eastAsia" w:cs="宋体"/>
          <w:color w:val="auto"/>
          <w:sz w:val="21"/>
          <w:highlight w:val="none"/>
        </w:rPr>
        <w:t>发包人指定的接收人为：</w:t>
      </w:r>
      <w:r>
        <w:rPr>
          <w:rFonts w:hint="eastAsia" w:cs="宋体"/>
          <w:color w:val="auto"/>
          <w:sz w:val="21"/>
          <w:highlight w:val="none"/>
          <w:u w:val="single"/>
        </w:rPr>
        <w:t xml:space="preserve">   双方按实际情况现场约定        </w:t>
      </w:r>
      <w:r>
        <w:rPr>
          <w:rFonts w:hint="eastAsia" w:cs="宋体"/>
          <w:color w:val="auto"/>
          <w:sz w:val="21"/>
          <w:highlight w:val="none"/>
        </w:rPr>
        <w:t>。</w:t>
      </w:r>
    </w:p>
    <w:p w14:paraId="724AE064">
      <w:pPr>
        <w:pStyle w:val="79"/>
        <w:rPr>
          <w:rFonts w:hint="eastAsia" w:cs="宋体"/>
          <w:color w:val="auto"/>
          <w:sz w:val="21"/>
          <w:highlight w:val="none"/>
        </w:rPr>
      </w:pPr>
      <w:r>
        <w:rPr>
          <w:rFonts w:hint="eastAsia" w:cs="宋体"/>
          <w:color w:val="auto"/>
          <w:sz w:val="21"/>
          <w:highlight w:val="none"/>
        </w:rPr>
        <w:t>承包人接收文件的地点：</w:t>
      </w:r>
      <w:r>
        <w:rPr>
          <w:rFonts w:hint="eastAsia" w:cs="宋体"/>
          <w:color w:val="auto"/>
          <w:sz w:val="21"/>
          <w:highlight w:val="none"/>
          <w:u w:val="single"/>
        </w:rPr>
        <w:t xml:space="preserve">     发包人资料室               </w:t>
      </w:r>
      <w:r>
        <w:rPr>
          <w:rFonts w:hint="eastAsia" w:cs="宋体"/>
          <w:color w:val="auto"/>
          <w:sz w:val="21"/>
          <w:highlight w:val="none"/>
        </w:rPr>
        <w:t>；</w:t>
      </w:r>
    </w:p>
    <w:p w14:paraId="3D8F5E08">
      <w:pPr>
        <w:pStyle w:val="79"/>
        <w:rPr>
          <w:rFonts w:hint="eastAsia" w:cs="宋体"/>
          <w:color w:val="auto"/>
          <w:sz w:val="21"/>
          <w:highlight w:val="none"/>
        </w:rPr>
      </w:pPr>
      <w:r>
        <w:rPr>
          <w:rFonts w:hint="eastAsia" w:cs="宋体"/>
          <w:color w:val="auto"/>
          <w:sz w:val="21"/>
          <w:highlight w:val="none"/>
        </w:rPr>
        <w:t>承包人指定的接收人为：</w:t>
      </w:r>
      <w:r>
        <w:rPr>
          <w:rFonts w:hint="eastAsia" w:cs="宋体"/>
          <w:color w:val="auto"/>
          <w:sz w:val="21"/>
          <w:highlight w:val="none"/>
          <w:u w:val="single"/>
        </w:rPr>
        <w:t xml:space="preserve">     （签约时填写）                      </w:t>
      </w:r>
      <w:r>
        <w:rPr>
          <w:rFonts w:hint="eastAsia" w:cs="宋体"/>
          <w:color w:val="auto"/>
          <w:sz w:val="21"/>
          <w:highlight w:val="none"/>
        </w:rPr>
        <w:t>。</w:t>
      </w:r>
    </w:p>
    <w:p w14:paraId="40171C91">
      <w:pPr>
        <w:pStyle w:val="321"/>
        <w:rPr>
          <w:rFonts w:hint="eastAsia" w:ascii="宋体" w:cs="宋体"/>
          <w:color w:val="auto"/>
          <w:highlight w:val="none"/>
        </w:rPr>
      </w:pPr>
      <w:bookmarkStart w:id="786" w:name="_Toc478389189"/>
      <w:bookmarkStart w:id="787" w:name="_Toc417904275"/>
      <w:r>
        <w:rPr>
          <w:rFonts w:hint="eastAsia" w:ascii="宋体" w:cs="宋体"/>
          <w:color w:val="auto"/>
          <w:highlight w:val="none"/>
        </w:rPr>
        <w:t>1.10 交通运输</w:t>
      </w:r>
      <w:bookmarkEnd w:id="786"/>
      <w:bookmarkEnd w:id="787"/>
    </w:p>
    <w:p w14:paraId="51AFC157">
      <w:pPr>
        <w:pStyle w:val="79"/>
        <w:rPr>
          <w:rFonts w:hint="eastAsia" w:cs="宋体"/>
          <w:color w:val="auto"/>
          <w:sz w:val="21"/>
          <w:highlight w:val="none"/>
        </w:rPr>
      </w:pPr>
      <w:r>
        <w:rPr>
          <w:rFonts w:hint="eastAsia" w:cs="宋体"/>
          <w:color w:val="auto"/>
          <w:sz w:val="21"/>
          <w:highlight w:val="none"/>
        </w:rPr>
        <w:t>1</w:t>
      </w:r>
      <w:bookmarkStart w:id="788" w:name="_Toc303539100"/>
      <w:bookmarkStart w:id="789" w:name="_Toc318581155"/>
      <w:bookmarkStart w:id="790" w:name="_Toc300934943"/>
      <w:bookmarkStart w:id="791" w:name="_Toc304295521"/>
      <w:bookmarkStart w:id="792" w:name="_Toc312677986"/>
      <w:r>
        <w:rPr>
          <w:rFonts w:hint="eastAsia" w:cs="宋体"/>
          <w:color w:val="auto"/>
          <w:sz w:val="21"/>
          <w:highlight w:val="none"/>
        </w:rPr>
        <w:t>.10.1 出入现场的权利</w:t>
      </w:r>
    </w:p>
    <w:p w14:paraId="5E98F833">
      <w:pPr>
        <w:pStyle w:val="79"/>
        <w:ind w:firstLine="0" w:firstLineChars="0"/>
        <w:rPr>
          <w:rFonts w:hint="eastAsia" w:cs="宋体"/>
          <w:color w:val="auto"/>
          <w:sz w:val="21"/>
          <w:highlight w:val="none"/>
        </w:rPr>
      </w:pPr>
      <w:r>
        <w:rPr>
          <w:rFonts w:hint="eastAsia" w:cs="宋体"/>
          <w:color w:val="auto"/>
          <w:sz w:val="21"/>
          <w:highlight w:val="none"/>
        </w:rPr>
        <w:t>关于出入现场的权利的约定：</w:t>
      </w:r>
      <w:r>
        <w:rPr>
          <w:rFonts w:hint="eastAsia" w:cs="宋体"/>
          <w:color w:val="auto"/>
          <w:sz w:val="21"/>
          <w:highlight w:val="none"/>
          <w:u w:val="single"/>
        </w:rPr>
        <w:t xml:space="preserve">   （签约时填写）   </w:t>
      </w:r>
      <w:r>
        <w:rPr>
          <w:rFonts w:hint="eastAsia" w:cs="宋体"/>
          <w:color w:val="auto"/>
          <w:sz w:val="21"/>
          <w:highlight w:val="none"/>
        </w:rPr>
        <w:t>。</w:t>
      </w:r>
    </w:p>
    <w:bookmarkEnd w:id="788"/>
    <w:bookmarkEnd w:id="789"/>
    <w:bookmarkEnd w:id="790"/>
    <w:bookmarkEnd w:id="791"/>
    <w:bookmarkEnd w:id="792"/>
    <w:p w14:paraId="2D76B550">
      <w:pPr>
        <w:pStyle w:val="79"/>
        <w:rPr>
          <w:rFonts w:hint="eastAsia" w:cs="宋体"/>
          <w:color w:val="auto"/>
          <w:sz w:val="21"/>
          <w:highlight w:val="none"/>
        </w:rPr>
      </w:pPr>
      <w:r>
        <w:rPr>
          <w:rFonts w:hint="eastAsia" w:cs="宋体"/>
          <w:color w:val="auto"/>
          <w:sz w:val="21"/>
          <w:highlight w:val="none"/>
        </w:rPr>
        <w:t>1</w:t>
      </w:r>
      <w:bookmarkStart w:id="793" w:name="_Toc303539101"/>
      <w:bookmarkStart w:id="794" w:name="_Toc304295522"/>
      <w:bookmarkStart w:id="795" w:name="_Toc300934944"/>
      <w:bookmarkStart w:id="796" w:name="_Toc318581156"/>
      <w:bookmarkStart w:id="797" w:name="_Toc312677987"/>
      <w:r>
        <w:rPr>
          <w:rFonts w:hint="eastAsia" w:cs="宋体"/>
          <w:color w:val="auto"/>
          <w:sz w:val="21"/>
          <w:highlight w:val="none"/>
        </w:rPr>
        <w:t>.10.3 场内交通</w:t>
      </w:r>
    </w:p>
    <w:p w14:paraId="3E169069">
      <w:pPr>
        <w:pStyle w:val="79"/>
        <w:ind w:firstLine="0" w:firstLineChars="0"/>
        <w:rPr>
          <w:rFonts w:hint="eastAsia" w:cs="宋体"/>
          <w:color w:val="auto"/>
          <w:sz w:val="21"/>
          <w:highlight w:val="none"/>
        </w:rPr>
      </w:pPr>
      <w:r>
        <w:rPr>
          <w:rFonts w:hint="eastAsia" w:cs="宋体"/>
          <w:color w:val="auto"/>
          <w:sz w:val="21"/>
          <w:highlight w:val="none"/>
        </w:rPr>
        <w:t>关于场外交通和场内交通的边界的约定：</w:t>
      </w:r>
      <w:r>
        <w:rPr>
          <w:rFonts w:hint="eastAsia" w:cs="宋体"/>
          <w:color w:val="auto"/>
          <w:sz w:val="21"/>
          <w:highlight w:val="none"/>
          <w:u w:val="single"/>
        </w:rPr>
        <w:t xml:space="preserve">   规划用边线     </w:t>
      </w:r>
      <w:r>
        <w:rPr>
          <w:rFonts w:hint="eastAsia" w:cs="宋体"/>
          <w:color w:val="auto"/>
          <w:sz w:val="21"/>
          <w:highlight w:val="none"/>
        </w:rPr>
        <w:t>。</w:t>
      </w:r>
    </w:p>
    <w:p w14:paraId="02AED787">
      <w:pPr>
        <w:pStyle w:val="79"/>
        <w:ind w:firstLine="0" w:firstLineChars="0"/>
        <w:rPr>
          <w:rFonts w:hint="eastAsia" w:cs="宋体"/>
          <w:color w:val="auto"/>
          <w:sz w:val="21"/>
          <w:highlight w:val="none"/>
        </w:rPr>
      </w:pPr>
      <w:r>
        <w:rPr>
          <w:rFonts w:hint="eastAsia" w:cs="宋体"/>
          <w:color w:val="auto"/>
          <w:sz w:val="21"/>
          <w:highlight w:val="none"/>
        </w:rPr>
        <w:t>关于发包人向承包人免费提供满足工程施工需要的场内道路和交通设施的约定：</w:t>
      </w:r>
      <w:r>
        <w:rPr>
          <w:rFonts w:hint="eastAsia" w:cs="宋体"/>
          <w:color w:val="auto"/>
          <w:sz w:val="21"/>
          <w:highlight w:val="none"/>
          <w:u w:val="single"/>
        </w:rPr>
        <w:t>货运通道及相关设施  。</w:t>
      </w:r>
      <w:bookmarkEnd w:id="793"/>
      <w:bookmarkEnd w:id="794"/>
      <w:bookmarkEnd w:id="795"/>
      <w:bookmarkEnd w:id="796"/>
      <w:bookmarkEnd w:id="797"/>
      <w:bookmarkStart w:id="798" w:name="_Toc318581157"/>
    </w:p>
    <w:p w14:paraId="088EFF2F">
      <w:pPr>
        <w:pStyle w:val="79"/>
        <w:rPr>
          <w:rFonts w:hint="eastAsia" w:cs="宋体"/>
          <w:color w:val="auto"/>
          <w:sz w:val="21"/>
          <w:highlight w:val="none"/>
        </w:rPr>
      </w:pPr>
      <w:r>
        <w:rPr>
          <w:rFonts w:hint="eastAsia" w:cs="宋体"/>
          <w:color w:val="auto"/>
          <w:sz w:val="21"/>
          <w:highlight w:val="none"/>
        </w:rPr>
        <w:t>1.10.4超大件和超重件的运输</w:t>
      </w:r>
    </w:p>
    <w:p w14:paraId="70E056D6">
      <w:pPr>
        <w:pStyle w:val="79"/>
        <w:rPr>
          <w:rFonts w:hint="eastAsia" w:cs="宋体"/>
          <w:color w:val="auto"/>
          <w:sz w:val="21"/>
          <w:highlight w:val="none"/>
        </w:rPr>
      </w:pPr>
      <w:r>
        <w:rPr>
          <w:rFonts w:hint="eastAsia" w:cs="宋体"/>
          <w:color w:val="auto"/>
          <w:sz w:val="21"/>
          <w:highlight w:val="none"/>
        </w:rPr>
        <w:t>运输超大件或超重件所需的道路和桥梁临时加固改造费用和其他有关费用由</w:t>
      </w:r>
      <w:r>
        <w:rPr>
          <w:rFonts w:hint="eastAsia" w:cs="宋体"/>
          <w:color w:val="auto"/>
          <w:sz w:val="21"/>
          <w:highlight w:val="none"/>
          <w:u w:val="single"/>
        </w:rPr>
        <w:t>承包人</w:t>
      </w:r>
      <w:r>
        <w:rPr>
          <w:rFonts w:hint="eastAsia" w:cs="宋体"/>
          <w:color w:val="auto"/>
          <w:sz w:val="21"/>
          <w:highlight w:val="none"/>
        </w:rPr>
        <w:t>承担。</w:t>
      </w:r>
    </w:p>
    <w:bookmarkEnd w:id="798"/>
    <w:p w14:paraId="69703961">
      <w:pPr>
        <w:pStyle w:val="321"/>
        <w:rPr>
          <w:rFonts w:hint="eastAsia" w:ascii="宋体" w:cs="宋体"/>
          <w:color w:val="auto"/>
          <w:highlight w:val="none"/>
        </w:rPr>
      </w:pPr>
      <w:bookmarkStart w:id="799" w:name="_Toc417904276"/>
      <w:bookmarkStart w:id="800" w:name="_Toc478389190"/>
      <w:r>
        <w:rPr>
          <w:rFonts w:hint="eastAsia" w:ascii="宋体" w:cs="宋体"/>
          <w:color w:val="auto"/>
          <w:highlight w:val="none"/>
        </w:rPr>
        <w:t>1.11 知识产权</w:t>
      </w:r>
      <w:bookmarkEnd w:id="799"/>
      <w:bookmarkEnd w:id="800"/>
    </w:p>
    <w:p w14:paraId="115633A7">
      <w:pPr>
        <w:pStyle w:val="79"/>
        <w:rPr>
          <w:rFonts w:hint="eastAsia" w:cs="宋体"/>
          <w:color w:val="auto"/>
          <w:sz w:val="21"/>
          <w:highlight w:val="none"/>
        </w:rPr>
      </w:pPr>
      <w:r>
        <w:rPr>
          <w:rFonts w:hint="eastAsia" w:cs="宋体"/>
          <w:color w:val="auto"/>
          <w:sz w:val="21"/>
          <w:highlight w:val="none"/>
        </w:rPr>
        <w:t>1.11.1关于发包人提供给承包人的图纸、发包人为实施工程自行编制或委托编制的技术规范以及反映发包人关于合同要求或其他类似性质的文件的著作权的归属：</w:t>
      </w:r>
      <w:r>
        <w:rPr>
          <w:rFonts w:hint="eastAsia" w:cs="宋体"/>
          <w:color w:val="auto"/>
          <w:sz w:val="21"/>
          <w:highlight w:val="none"/>
          <w:u w:val="single"/>
        </w:rPr>
        <w:t xml:space="preserve">    发包人   </w:t>
      </w:r>
      <w:r>
        <w:rPr>
          <w:rFonts w:hint="eastAsia" w:cs="宋体"/>
          <w:color w:val="auto"/>
          <w:sz w:val="21"/>
          <w:highlight w:val="none"/>
        </w:rPr>
        <w:t>。</w:t>
      </w:r>
    </w:p>
    <w:p w14:paraId="33085959">
      <w:pPr>
        <w:pStyle w:val="79"/>
        <w:rPr>
          <w:rFonts w:hint="eastAsia" w:cs="宋体"/>
          <w:color w:val="auto"/>
          <w:sz w:val="21"/>
          <w:highlight w:val="none"/>
        </w:rPr>
      </w:pPr>
      <w:r>
        <w:rPr>
          <w:rFonts w:hint="eastAsia" w:cs="宋体"/>
          <w:color w:val="auto"/>
          <w:sz w:val="21"/>
          <w:highlight w:val="none"/>
        </w:rPr>
        <w:t>关于发包人提供的上述文件的使用限制的要求：</w:t>
      </w:r>
      <w:r>
        <w:rPr>
          <w:rFonts w:hint="eastAsia" w:cs="宋体"/>
          <w:color w:val="auto"/>
          <w:sz w:val="21"/>
          <w:highlight w:val="none"/>
          <w:u w:val="single"/>
        </w:rPr>
        <w:t xml:space="preserve"> 未经发包人书面同意， 承包人不得为了合同以外的目的而复制、使用上述文件或将之提供给任何第三方  </w:t>
      </w:r>
      <w:r>
        <w:rPr>
          <w:rFonts w:hint="eastAsia" w:cs="宋体"/>
          <w:color w:val="auto"/>
          <w:sz w:val="21"/>
          <w:highlight w:val="none"/>
        </w:rPr>
        <w:t>。</w:t>
      </w:r>
    </w:p>
    <w:p w14:paraId="62587057">
      <w:pPr>
        <w:pStyle w:val="79"/>
        <w:rPr>
          <w:rFonts w:hint="eastAsia" w:cs="宋体"/>
          <w:color w:val="auto"/>
          <w:sz w:val="21"/>
          <w:highlight w:val="none"/>
        </w:rPr>
      </w:pPr>
      <w:r>
        <w:rPr>
          <w:rFonts w:hint="eastAsia" w:cs="宋体"/>
          <w:color w:val="auto"/>
          <w:sz w:val="21"/>
          <w:highlight w:val="none"/>
        </w:rPr>
        <w:t>1.11.2 关于承包人为实施工程所编制文件的著作权的归属：</w:t>
      </w:r>
      <w:r>
        <w:rPr>
          <w:rFonts w:hint="eastAsia" w:cs="宋体"/>
          <w:color w:val="auto"/>
          <w:sz w:val="21"/>
          <w:highlight w:val="none"/>
          <w:u w:val="single"/>
        </w:rPr>
        <w:t xml:space="preserve">      发包人     </w:t>
      </w:r>
      <w:r>
        <w:rPr>
          <w:rFonts w:hint="eastAsia" w:cs="宋体"/>
          <w:color w:val="auto"/>
          <w:sz w:val="21"/>
          <w:highlight w:val="none"/>
        </w:rPr>
        <w:t>。</w:t>
      </w:r>
    </w:p>
    <w:p w14:paraId="75DA9E9B">
      <w:pPr>
        <w:pStyle w:val="79"/>
        <w:rPr>
          <w:rFonts w:hint="eastAsia" w:cs="宋体"/>
          <w:color w:val="auto"/>
          <w:sz w:val="21"/>
          <w:highlight w:val="none"/>
        </w:rPr>
      </w:pPr>
      <w:r>
        <w:rPr>
          <w:rFonts w:hint="eastAsia" w:cs="宋体"/>
          <w:color w:val="auto"/>
          <w:sz w:val="21"/>
          <w:highlight w:val="none"/>
        </w:rPr>
        <w:t>关于承包人提供的上述文件的使用限制的要求：</w:t>
      </w:r>
      <w:r>
        <w:rPr>
          <w:rFonts w:hint="eastAsia" w:cs="宋体"/>
          <w:color w:val="auto"/>
          <w:sz w:val="21"/>
          <w:highlight w:val="none"/>
          <w:u w:val="single"/>
        </w:rPr>
        <w:t xml:space="preserve">    未经发包人书面同意， 承包人不得为了合同以外的目的而复制、使用上述文件或将之提供给任何第三方    </w:t>
      </w:r>
      <w:r>
        <w:rPr>
          <w:rFonts w:hint="eastAsia" w:cs="宋体"/>
          <w:color w:val="auto"/>
          <w:sz w:val="21"/>
          <w:highlight w:val="none"/>
        </w:rPr>
        <w:t>。</w:t>
      </w:r>
    </w:p>
    <w:p w14:paraId="5F039AD1">
      <w:pPr>
        <w:pStyle w:val="79"/>
        <w:rPr>
          <w:rFonts w:hint="eastAsia" w:cs="宋体"/>
          <w:color w:val="auto"/>
          <w:sz w:val="21"/>
          <w:highlight w:val="none"/>
        </w:rPr>
      </w:pPr>
      <w:r>
        <w:rPr>
          <w:rFonts w:hint="eastAsia" w:cs="宋体"/>
          <w:color w:val="auto"/>
          <w:sz w:val="21"/>
          <w:highlight w:val="none"/>
        </w:rPr>
        <w:t>1.11.4承包人在施工过程中所采用的专利、专有技术、技术秘密的使用费的承担方式：</w:t>
      </w:r>
      <w:r>
        <w:rPr>
          <w:rFonts w:hint="eastAsia" w:cs="宋体"/>
          <w:color w:val="auto"/>
          <w:sz w:val="21"/>
          <w:highlight w:val="none"/>
          <w:u w:val="single"/>
        </w:rPr>
        <w:t xml:space="preserve">承包人承担  </w:t>
      </w:r>
      <w:r>
        <w:rPr>
          <w:rFonts w:hint="eastAsia" w:cs="宋体"/>
          <w:color w:val="auto"/>
          <w:sz w:val="21"/>
          <w:highlight w:val="none"/>
        </w:rPr>
        <w:t>。</w:t>
      </w:r>
    </w:p>
    <w:p w14:paraId="28571D2B">
      <w:pPr>
        <w:pStyle w:val="79"/>
        <w:rPr>
          <w:rFonts w:hint="eastAsia" w:cs="宋体"/>
          <w:color w:val="auto"/>
          <w:sz w:val="21"/>
          <w:highlight w:val="none"/>
        </w:rPr>
      </w:pPr>
      <w:r>
        <w:rPr>
          <w:rFonts w:hint="eastAsia" w:cs="宋体"/>
          <w:color w:val="auto"/>
          <w:sz w:val="21"/>
          <w:highlight w:val="none"/>
        </w:rPr>
        <w:t>1.13工程量清单错误的修正</w:t>
      </w:r>
    </w:p>
    <w:p w14:paraId="3106BAE9">
      <w:pPr>
        <w:pStyle w:val="79"/>
        <w:rPr>
          <w:rFonts w:hint="eastAsia" w:cs="宋体"/>
          <w:color w:val="auto"/>
          <w:sz w:val="21"/>
          <w:highlight w:val="none"/>
        </w:rPr>
      </w:pPr>
      <w:r>
        <w:rPr>
          <w:rFonts w:hint="eastAsia" w:cs="宋体"/>
          <w:color w:val="auto"/>
          <w:sz w:val="21"/>
          <w:highlight w:val="none"/>
        </w:rPr>
        <w:t>出现工程量清单错误时，是否调整合同价格：</w:t>
      </w:r>
      <w:r>
        <w:rPr>
          <w:rFonts w:hint="eastAsia" w:cs="宋体"/>
          <w:color w:val="auto"/>
          <w:sz w:val="21"/>
          <w:highlight w:val="none"/>
          <w:u w:val="single"/>
        </w:rPr>
        <w:t xml:space="preserve"> 调整</w:t>
      </w:r>
      <w:r>
        <w:rPr>
          <w:rFonts w:hint="eastAsia" w:cs="宋体"/>
          <w:color w:val="auto"/>
          <w:sz w:val="21"/>
          <w:highlight w:val="none"/>
        </w:rPr>
        <w:t>。</w:t>
      </w:r>
    </w:p>
    <w:p w14:paraId="6A3D50A3">
      <w:pPr>
        <w:pStyle w:val="79"/>
        <w:rPr>
          <w:rFonts w:hint="eastAsia" w:cs="宋体"/>
          <w:color w:val="auto"/>
          <w:sz w:val="21"/>
          <w:highlight w:val="none"/>
        </w:rPr>
      </w:pPr>
      <w:r>
        <w:rPr>
          <w:rFonts w:hint="eastAsia" w:cs="宋体"/>
          <w:color w:val="auto"/>
          <w:sz w:val="21"/>
          <w:highlight w:val="none"/>
        </w:rPr>
        <w:t>允许调整合同价格的工程量偏差范围：</w:t>
      </w:r>
      <w:r>
        <w:rPr>
          <w:rFonts w:hint="eastAsia" w:cs="宋体"/>
          <w:color w:val="auto"/>
          <w:sz w:val="21"/>
          <w:highlight w:val="none"/>
          <w:u w:val="single"/>
        </w:rPr>
        <w:t xml:space="preserve">  15%   </w:t>
      </w:r>
      <w:r>
        <w:rPr>
          <w:rFonts w:hint="eastAsia" w:cs="宋体"/>
          <w:color w:val="auto"/>
          <w:sz w:val="21"/>
          <w:highlight w:val="none"/>
        </w:rPr>
        <w:t>。</w:t>
      </w:r>
    </w:p>
    <w:p w14:paraId="4D4B6ECE">
      <w:pPr>
        <w:pStyle w:val="321"/>
        <w:rPr>
          <w:rFonts w:hint="eastAsia" w:ascii="宋体" w:cs="宋体"/>
          <w:color w:val="auto"/>
          <w:highlight w:val="none"/>
        </w:rPr>
      </w:pPr>
      <w:bookmarkStart w:id="801" w:name="_Toc417904277"/>
      <w:bookmarkStart w:id="802" w:name="_Toc478389191"/>
      <w:bookmarkStart w:id="803" w:name="_Toc351203634"/>
      <w:r>
        <w:rPr>
          <w:rFonts w:hint="eastAsia" w:ascii="宋体" w:cs="宋体"/>
          <w:color w:val="auto"/>
          <w:highlight w:val="none"/>
        </w:rPr>
        <w:t>2</w:t>
      </w:r>
      <w:bookmarkStart w:id="804" w:name="_Toc296944496"/>
      <w:bookmarkStart w:id="805" w:name="_Toc292559867"/>
      <w:bookmarkStart w:id="806" w:name="_Toc296346658"/>
      <w:bookmarkStart w:id="807" w:name="_Toc292559362"/>
      <w:bookmarkStart w:id="808" w:name="_Toc296503157"/>
      <w:bookmarkStart w:id="809" w:name="_Toc297120457"/>
      <w:bookmarkStart w:id="810" w:name="_Toc296891197"/>
      <w:bookmarkStart w:id="811" w:name="_Toc297048343"/>
      <w:bookmarkStart w:id="812" w:name="_Toc296890985"/>
      <w:bookmarkStart w:id="813" w:name="_Toc296347156"/>
      <w:r>
        <w:rPr>
          <w:rFonts w:hint="eastAsia" w:ascii="宋体" w:cs="宋体"/>
          <w:color w:val="auto"/>
          <w:highlight w:val="none"/>
        </w:rPr>
        <w:t>. 发包人</w:t>
      </w:r>
      <w:bookmarkEnd w:id="801"/>
      <w:bookmarkEnd w:id="802"/>
      <w:bookmarkEnd w:id="803"/>
    </w:p>
    <w:bookmarkEnd w:id="804"/>
    <w:bookmarkEnd w:id="805"/>
    <w:bookmarkEnd w:id="806"/>
    <w:bookmarkEnd w:id="807"/>
    <w:bookmarkEnd w:id="808"/>
    <w:bookmarkEnd w:id="809"/>
    <w:bookmarkEnd w:id="810"/>
    <w:bookmarkEnd w:id="811"/>
    <w:bookmarkEnd w:id="812"/>
    <w:bookmarkEnd w:id="813"/>
    <w:p w14:paraId="61E6BCC2">
      <w:pPr>
        <w:pStyle w:val="321"/>
        <w:rPr>
          <w:rFonts w:hint="eastAsia" w:ascii="宋体" w:cs="宋体"/>
          <w:color w:val="auto"/>
          <w:highlight w:val="none"/>
        </w:rPr>
      </w:pPr>
      <w:bookmarkStart w:id="814" w:name="_Toc478389192"/>
      <w:bookmarkStart w:id="815" w:name="_Toc417904278"/>
      <w:r>
        <w:rPr>
          <w:rFonts w:hint="eastAsia" w:ascii="宋体" w:cs="宋体"/>
          <w:color w:val="auto"/>
          <w:highlight w:val="none"/>
        </w:rPr>
        <w:t>2.2 发包人代表</w:t>
      </w:r>
      <w:bookmarkEnd w:id="814"/>
      <w:bookmarkEnd w:id="815"/>
    </w:p>
    <w:p w14:paraId="6BE45C34">
      <w:pPr>
        <w:pStyle w:val="79"/>
        <w:rPr>
          <w:rFonts w:hint="eastAsia" w:cs="宋体"/>
          <w:color w:val="auto"/>
          <w:sz w:val="21"/>
          <w:highlight w:val="none"/>
        </w:rPr>
      </w:pPr>
      <w:r>
        <w:rPr>
          <w:rFonts w:hint="eastAsia" w:cs="宋体"/>
          <w:color w:val="auto"/>
          <w:sz w:val="21"/>
          <w:highlight w:val="none"/>
        </w:rPr>
        <w:t>发包人代表：</w:t>
      </w:r>
    </w:p>
    <w:p w14:paraId="32B22F27">
      <w:pPr>
        <w:pStyle w:val="79"/>
        <w:rPr>
          <w:rFonts w:hint="eastAsia" w:cs="宋体"/>
          <w:color w:val="auto"/>
          <w:sz w:val="21"/>
          <w:highlight w:val="none"/>
        </w:rPr>
      </w:pPr>
      <w:r>
        <w:rPr>
          <w:rFonts w:hint="eastAsia" w:cs="宋体"/>
          <w:color w:val="auto"/>
          <w:sz w:val="21"/>
          <w:highlight w:val="none"/>
        </w:rPr>
        <w:t>姓    名：</w:t>
      </w:r>
      <w:r>
        <w:rPr>
          <w:rFonts w:hint="eastAsia" w:cs="宋体"/>
          <w:color w:val="auto"/>
          <w:sz w:val="21"/>
          <w:highlight w:val="none"/>
          <w:u w:val="single"/>
        </w:rPr>
        <w:t xml:space="preserve">    （签约时填写）       </w:t>
      </w:r>
      <w:r>
        <w:rPr>
          <w:rFonts w:hint="eastAsia" w:cs="宋体"/>
          <w:color w:val="auto"/>
          <w:sz w:val="21"/>
          <w:highlight w:val="none"/>
        </w:rPr>
        <w:t>；</w:t>
      </w:r>
    </w:p>
    <w:p w14:paraId="78C7B32C">
      <w:pPr>
        <w:pStyle w:val="79"/>
        <w:rPr>
          <w:rFonts w:hint="eastAsia" w:cs="宋体"/>
          <w:color w:val="auto"/>
          <w:sz w:val="21"/>
          <w:highlight w:val="none"/>
        </w:rPr>
      </w:pPr>
      <w:r>
        <w:rPr>
          <w:rFonts w:hint="eastAsia" w:cs="宋体"/>
          <w:color w:val="auto"/>
          <w:sz w:val="21"/>
          <w:highlight w:val="none"/>
        </w:rPr>
        <w:t>身份证号：</w:t>
      </w:r>
      <w:r>
        <w:rPr>
          <w:rFonts w:hint="eastAsia" w:cs="宋体"/>
          <w:color w:val="auto"/>
          <w:sz w:val="21"/>
          <w:highlight w:val="none"/>
          <w:u w:val="single"/>
        </w:rPr>
        <w:t xml:space="preserve">       （签约时填写）          </w:t>
      </w:r>
      <w:r>
        <w:rPr>
          <w:rFonts w:hint="eastAsia" w:cs="宋体"/>
          <w:color w:val="auto"/>
          <w:sz w:val="21"/>
          <w:highlight w:val="none"/>
        </w:rPr>
        <w:t>；</w:t>
      </w:r>
    </w:p>
    <w:p w14:paraId="20318E2E">
      <w:pPr>
        <w:pStyle w:val="79"/>
        <w:rPr>
          <w:rFonts w:hint="eastAsia" w:cs="宋体"/>
          <w:color w:val="auto"/>
          <w:sz w:val="21"/>
          <w:highlight w:val="none"/>
        </w:rPr>
      </w:pPr>
      <w:r>
        <w:rPr>
          <w:rFonts w:hint="eastAsia" w:cs="宋体"/>
          <w:color w:val="auto"/>
          <w:sz w:val="21"/>
          <w:highlight w:val="none"/>
        </w:rPr>
        <w:t>职    务：</w:t>
      </w:r>
      <w:r>
        <w:rPr>
          <w:rFonts w:hint="eastAsia" w:cs="宋体"/>
          <w:color w:val="auto"/>
          <w:sz w:val="21"/>
          <w:highlight w:val="none"/>
          <w:u w:val="single"/>
        </w:rPr>
        <w:t xml:space="preserve">       （签约时填写）             </w:t>
      </w:r>
      <w:r>
        <w:rPr>
          <w:rFonts w:hint="eastAsia" w:cs="宋体"/>
          <w:color w:val="auto"/>
          <w:sz w:val="21"/>
          <w:highlight w:val="none"/>
        </w:rPr>
        <w:t>；</w:t>
      </w:r>
    </w:p>
    <w:p w14:paraId="28284378">
      <w:pPr>
        <w:pStyle w:val="79"/>
        <w:rPr>
          <w:rFonts w:hint="eastAsia" w:cs="宋体"/>
          <w:color w:val="auto"/>
          <w:sz w:val="21"/>
          <w:highlight w:val="none"/>
        </w:rPr>
      </w:pPr>
      <w:r>
        <w:rPr>
          <w:rFonts w:hint="eastAsia" w:cs="宋体"/>
          <w:color w:val="auto"/>
          <w:sz w:val="21"/>
          <w:highlight w:val="none"/>
        </w:rPr>
        <w:t>联系电话：</w:t>
      </w:r>
      <w:r>
        <w:rPr>
          <w:rFonts w:hint="eastAsia" w:cs="宋体"/>
          <w:color w:val="auto"/>
          <w:sz w:val="21"/>
          <w:highlight w:val="none"/>
          <w:u w:val="single"/>
        </w:rPr>
        <w:t xml:space="preserve">     （签约时填写）         </w:t>
      </w:r>
      <w:r>
        <w:rPr>
          <w:rFonts w:hint="eastAsia" w:cs="宋体"/>
          <w:color w:val="auto"/>
          <w:sz w:val="21"/>
          <w:highlight w:val="none"/>
        </w:rPr>
        <w:t>；</w:t>
      </w:r>
    </w:p>
    <w:p w14:paraId="2BB11462">
      <w:pPr>
        <w:pStyle w:val="79"/>
        <w:rPr>
          <w:rFonts w:hint="eastAsia" w:cs="宋体"/>
          <w:color w:val="auto"/>
          <w:sz w:val="21"/>
          <w:highlight w:val="none"/>
        </w:rPr>
      </w:pPr>
      <w:r>
        <w:rPr>
          <w:rFonts w:hint="eastAsia" w:cs="宋体"/>
          <w:color w:val="auto"/>
          <w:sz w:val="21"/>
          <w:highlight w:val="none"/>
        </w:rPr>
        <w:t>电子信箱：</w:t>
      </w:r>
      <w:r>
        <w:rPr>
          <w:rFonts w:hint="eastAsia" w:cs="宋体"/>
          <w:color w:val="auto"/>
          <w:sz w:val="21"/>
          <w:highlight w:val="none"/>
          <w:u w:val="single"/>
        </w:rPr>
        <w:t xml:space="preserve">       （签约时填写）            </w:t>
      </w:r>
      <w:r>
        <w:rPr>
          <w:rFonts w:hint="eastAsia" w:cs="宋体"/>
          <w:color w:val="auto"/>
          <w:sz w:val="21"/>
          <w:highlight w:val="none"/>
        </w:rPr>
        <w:t>；</w:t>
      </w:r>
    </w:p>
    <w:p w14:paraId="4367B983">
      <w:pPr>
        <w:pStyle w:val="79"/>
        <w:rPr>
          <w:rFonts w:hint="eastAsia" w:cs="宋体"/>
          <w:color w:val="auto"/>
          <w:sz w:val="21"/>
          <w:highlight w:val="none"/>
        </w:rPr>
      </w:pPr>
      <w:r>
        <w:rPr>
          <w:rFonts w:hint="eastAsia" w:cs="宋体"/>
          <w:color w:val="auto"/>
          <w:sz w:val="21"/>
          <w:highlight w:val="none"/>
        </w:rPr>
        <w:t>通信地址：</w:t>
      </w:r>
      <w:r>
        <w:rPr>
          <w:rFonts w:hint="eastAsia" w:cs="宋体"/>
          <w:color w:val="auto"/>
          <w:sz w:val="21"/>
          <w:highlight w:val="none"/>
          <w:u w:val="single"/>
        </w:rPr>
        <w:t xml:space="preserve">       （签约时填写）               </w:t>
      </w:r>
      <w:r>
        <w:rPr>
          <w:rFonts w:hint="eastAsia" w:cs="宋体"/>
          <w:color w:val="auto"/>
          <w:sz w:val="21"/>
          <w:highlight w:val="none"/>
        </w:rPr>
        <w:t>。</w:t>
      </w:r>
    </w:p>
    <w:p w14:paraId="7D449C1F">
      <w:pPr>
        <w:pStyle w:val="79"/>
        <w:rPr>
          <w:rFonts w:hint="eastAsia" w:cs="宋体"/>
          <w:color w:val="auto"/>
          <w:sz w:val="21"/>
          <w:highlight w:val="none"/>
          <w:u w:val="single"/>
        </w:rPr>
      </w:pPr>
      <w:r>
        <w:rPr>
          <w:rFonts w:hint="eastAsia" w:cs="宋体"/>
          <w:color w:val="auto"/>
          <w:sz w:val="21"/>
          <w:highlight w:val="none"/>
        </w:rPr>
        <w:t>发包人对发包人代表的授权范围如下：</w:t>
      </w:r>
      <w:r>
        <w:rPr>
          <w:rFonts w:hint="eastAsia" w:cs="宋体"/>
          <w:color w:val="auto"/>
          <w:sz w:val="21"/>
          <w:highlight w:val="none"/>
          <w:u w:val="single"/>
        </w:rPr>
        <w:t xml:space="preserve">  对工程进度、质量进行监督、办理中间交工工程验收手续，负责现场签证，解决由发包人授权处理的事宜   </w:t>
      </w:r>
      <w:r>
        <w:rPr>
          <w:rFonts w:hint="eastAsia" w:cs="宋体"/>
          <w:color w:val="auto"/>
          <w:sz w:val="21"/>
          <w:highlight w:val="none"/>
        </w:rPr>
        <w:t>。</w:t>
      </w:r>
    </w:p>
    <w:p w14:paraId="4C2640AE">
      <w:pPr>
        <w:pStyle w:val="321"/>
        <w:rPr>
          <w:rFonts w:hint="eastAsia" w:ascii="宋体" w:cs="宋体"/>
          <w:color w:val="auto"/>
          <w:highlight w:val="none"/>
        </w:rPr>
      </w:pPr>
      <w:bookmarkStart w:id="816" w:name="_Toc417904279"/>
      <w:bookmarkStart w:id="817" w:name="_Toc478389193"/>
      <w:r>
        <w:rPr>
          <w:rFonts w:hint="eastAsia" w:ascii="宋体" w:cs="宋体"/>
          <w:color w:val="auto"/>
          <w:highlight w:val="none"/>
        </w:rPr>
        <w:t>2.4 施工现场、施工条件和基础资料的提供</w:t>
      </w:r>
      <w:bookmarkEnd w:id="816"/>
      <w:bookmarkEnd w:id="817"/>
    </w:p>
    <w:p w14:paraId="728C30F2">
      <w:pPr>
        <w:pStyle w:val="79"/>
        <w:rPr>
          <w:rFonts w:hint="eastAsia" w:cs="宋体"/>
          <w:color w:val="auto"/>
          <w:sz w:val="21"/>
          <w:highlight w:val="none"/>
        </w:rPr>
      </w:pPr>
      <w:r>
        <w:rPr>
          <w:rFonts w:hint="eastAsia" w:cs="宋体"/>
          <w:color w:val="auto"/>
          <w:sz w:val="21"/>
          <w:highlight w:val="none"/>
        </w:rPr>
        <w:t>2.4.1 提供施工现场</w:t>
      </w:r>
    </w:p>
    <w:p w14:paraId="073E96AC">
      <w:pPr>
        <w:pStyle w:val="79"/>
        <w:ind w:firstLine="0" w:firstLineChars="0"/>
        <w:rPr>
          <w:rFonts w:hint="eastAsia" w:cs="宋体"/>
          <w:color w:val="auto"/>
          <w:sz w:val="21"/>
          <w:highlight w:val="none"/>
        </w:rPr>
      </w:pPr>
      <w:r>
        <w:rPr>
          <w:rFonts w:hint="eastAsia" w:cs="宋体"/>
          <w:color w:val="auto"/>
          <w:sz w:val="21"/>
          <w:highlight w:val="none"/>
        </w:rPr>
        <w:t>关于发包人移交施工现场的期限要求：</w:t>
      </w:r>
      <w:r>
        <w:rPr>
          <w:rFonts w:hint="eastAsia" w:cs="宋体"/>
          <w:color w:val="auto"/>
          <w:sz w:val="21"/>
          <w:highlight w:val="none"/>
          <w:u w:val="single"/>
        </w:rPr>
        <w:t xml:space="preserve">  以发包人发出的开工令为准　</w:t>
      </w:r>
      <w:r>
        <w:rPr>
          <w:rFonts w:hint="eastAsia" w:cs="宋体"/>
          <w:color w:val="auto"/>
          <w:sz w:val="21"/>
          <w:highlight w:val="none"/>
        </w:rPr>
        <w:t>。</w:t>
      </w:r>
    </w:p>
    <w:p w14:paraId="0727078D">
      <w:pPr>
        <w:pStyle w:val="79"/>
        <w:rPr>
          <w:rFonts w:hint="eastAsia" w:cs="宋体"/>
          <w:color w:val="auto"/>
          <w:sz w:val="21"/>
          <w:highlight w:val="none"/>
        </w:rPr>
      </w:pPr>
      <w:r>
        <w:rPr>
          <w:rFonts w:hint="eastAsia" w:cs="宋体"/>
          <w:color w:val="auto"/>
          <w:sz w:val="21"/>
          <w:highlight w:val="none"/>
        </w:rPr>
        <w:t>2.4.2 提供施工条件</w:t>
      </w:r>
    </w:p>
    <w:p w14:paraId="7F594F23">
      <w:pPr>
        <w:pStyle w:val="79"/>
        <w:rPr>
          <w:rFonts w:hint="eastAsia" w:cs="宋体"/>
          <w:color w:val="auto"/>
          <w:sz w:val="21"/>
          <w:highlight w:val="none"/>
          <w:u w:val="single"/>
        </w:rPr>
      </w:pPr>
      <w:r>
        <w:rPr>
          <w:rFonts w:hint="eastAsia" w:cs="宋体"/>
          <w:color w:val="auto"/>
          <w:sz w:val="21"/>
          <w:highlight w:val="none"/>
        </w:rPr>
        <w:t>关于发包人应负责提供施工所需要的条件，包括：</w:t>
      </w:r>
      <w:r>
        <w:rPr>
          <w:rFonts w:hint="eastAsia" w:cs="宋体"/>
          <w:color w:val="auto"/>
          <w:sz w:val="21"/>
          <w:highlight w:val="none"/>
          <w:u w:val="single"/>
          <w:lang w:val="zh-CN"/>
        </w:rPr>
        <w:t>发包人按承包人的施工现场总平面布置图的要</w:t>
      </w:r>
      <w:r>
        <w:rPr>
          <w:rFonts w:hint="eastAsia" w:cs="宋体"/>
          <w:color w:val="auto"/>
          <w:sz w:val="21"/>
          <w:highlight w:val="none"/>
        </w:rPr>
        <w:t>求于开工7日前达到三通一平的施工要求，</w:t>
      </w:r>
      <w:r>
        <w:rPr>
          <w:rFonts w:hint="eastAsia" w:cs="宋体"/>
          <w:color w:val="auto"/>
          <w:sz w:val="21"/>
          <w:highlight w:val="none"/>
          <w:u w:val="single"/>
          <w:lang w:val="zh-CN"/>
        </w:rPr>
        <w:t>将水、电接至距拟建建筑物外墙（或构筑物外边线）200米范围内。电讯线路的接通由承包人自费解决；</w:t>
      </w:r>
      <w:r>
        <w:rPr>
          <w:rFonts w:hint="eastAsia" w:cs="宋体"/>
          <w:color w:val="auto"/>
          <w:sz w:val="21"/>
          <w:highlight w:val="none"/>
          <w:u w:val="single"/>
        </w:rPr>
        <w:t>电气管线</w:t>
      </w:r>
      <w:r>
        <w:rPr>
          <w:rFonts w:hint="eastAsia" w:cs="宋体"/>
          <w:color w:val="auto"/>
          <w:sz w:val="21"/>
          <w:highlight w:val="none"/>
          <w:u w:val="single"/>
          <w:lang w:val="zh-CN"/>
        </w:rPr>
        <w:t>的接通由承包人自费解决；承包人施工期间的生活用水、电、电讯、</w:t>
      </w:r>
      <w:r>
        <w:rPr>
          <w:rFonts w:hint="eastAsia" w:cs="宋体"/>
          <w:color w:val="auto"/>
          <w:sz w:val="21"/>
          <w:highlight w:val="none"/>
          <w:u w:val="single"/>
        </w:rPr>
        <w:t>电气</w:t>
      </w:r>
      <w:r>
        <w:rPr>
          <w:rFonts w:hint="eastAsia" w:cs="宋体"/>
          <w:color w:val="auto"/>
          <w:sz w:val="21"/>
          <w:highlight w:val="none"/>
          <w:u w:val="single"/>
          <w:lang w:val="zh-CN"/>
        </w:rPr>
        <w:t>费用由承包人支付；承包人负责在发包人指定的部位安装计量表，水电费按表计量度数</w:t>
      </w:r>
      <w:r>
        <w:rPr>
          <w:rFonts w:hint="eastAsia" w:cs="宋体"/>
          <w:color w:val="auto"/>
          <w:sz w:val="21"/>
          <w:highlight w:val="none"/>
        </w:rPr>
        <w:t>。</w:t>
      </w:r>
    </w:p>
    <w:p w14:paraId="203DE448">
      <w:pPr>
        <w:pStyle w:val="321"/>
        <w:rPr>
          <w:rFonts w:hint="eastAsia" w:ascii="宋体" w:cs="宋体"/>
          <w:color w:val="auto"/>
          <w:highlight w:val="none"/>
        </w:rPr>
      </w:pPr>
      <w:bookmarkStart w:id="818" w:name="_Toc417904280"/>
      <w:bookmarkStart w:id="819" w:name="_Toc478389194"/>
      <w:r>
        <w:rPr>
          <w:rFonts w:hint="eastAsia" w:ascii="宋体" w:cs="宋体"/>
          <w:color w:val="auto"/>
          <w:highlight w:val="none"/>
        </w:rPr>
        <w:t>2.5 资金来源证明及支付担保</w:t>
      </w:r>
      <w:bookmarkEnd w:id="818"/>
      <w:bookmarkEnd w:id="819"/>
    </w:p>
    <w:p w14:paraId="016B6DA9">
      <w:pPr>
        <w:pStyle w:val="79"/>
        <w:rPr>
          <w:rFonts w:hint="eastAsia" w:cs="宋体"/>
          <w:color w:val="auto"/>
          <w:sz w:val="21"/>
          <w:highlight w:val="none"/>
          <w:u w:val="single"/>
        </w:rPr>
      </w:pPr>
      <w:r>
        <w:rPr>
          <w:rFonts w:hint="eastAsia" w:cs="宋体"/>
          <w:color w:val="auto"/>
          <w:sz w:val="21"/>
          <w:highlight w:val="none"/>
        </w:rPr>
        <w:t>发包人提供资金来源证明的期限要求：</w:t>
      </w:r>
      <w:r>
        <w:rPr>
          <w:rFonts w:hint="eastAsia" w:cs="宋体"/>
          <w:color w:val="auto"/>
          <w:sz w:val="21"/>
          <w:highlight w:val="none"/>
          <w:u w:val="single"/>
        </w:rPr>
        <w:t>本合同生效之日起至发包人实际支付竣工付款之日止。</w:t>
      </w:r>
    </w:p>
    <w:p w14:paraId="115A9529">
      <w:pPr>
        <w:pStyle w:val="79"/>
        <w:rPr>
          <w:rFonts w:hint="eastAsia" w:cs="宋体"/>
          <w:color w:val="auto"/>
          <w:sz w:val="21"/>
          <w:highlight w:val="none"/>
        </w:rPr>
      </w:pPr>
      <w:r>
        <w:rPr>
          <w:rFonts w:hint="eastAsia" w:cs="宋体"/>
          <w:color w:val="auto"/>
          <w:sz w:val="21"/>
          <w:highlight w:val="none"/>
        </w:rPr>
        <w:t>发包人是否提供支付担保：</w:t>
      </w:r>
      <w:r>
        <w:rPr>
          <w:rFonts w:hint="eastAsia" w:cs="宋体"/>
          <w:color w:val="auto"/>
          <w:sz w:val="21"/>
          <w:highlight w:val="none"/>
          <w:u w:val="single"/>
        </w:rPr>
        <w:t>不提供。</w:t>
      </w:r>
    </w:p>
    <w:p w14:paraId="5B18F22D">
      <w:pPr>
        <w:pStyle w:val="79"/>
        <w:rPr>
          <w:rFonts w:hint="eastAsia" w:cs="宋体"/>
          <w:color w:val="auto"/>
          <w:sz w:val="21"/>
          <w:highlight w:val="none"/>
          <w:u w:val="single"/>
        </w:rPr>
      </w:pPr>
      <w:r>
        <w:rPr>
          <w:rFonts w:hint="eastAsia" w:cs="宋体"/>
          <w:color w:val="auto"/>
          <w:sz w:val="21"/>
          <w:highlight w:val="none"/>
        </w:rPr>
        <w:t>发包人提供支付担保的形式：</w:t>
      </w:r>
      <w:r>
        <w:rPr>
          <w:rFonts w:hint="eastAsia" w:cs="宋体"/>
          <w:color w:val="auto"/>
          <w:sz w:val="21"/>
          <w:highlight w:val="none"/>
          <w:u w:val="single"/>
        </w:rPr>
        <w:t xml:space="preserve">   无       </w:t>
      </w:r>
      <w:r>
        <w:rPr>
          <w:rFonts w:hint="eastAsia" w:cs="宋体"/>
          <w:color w:val="auto"/>
          <w:sz w:val="21"/>
          <w:highlight w:val="none"/>
        </w:rPr>
        <w:t>。</w:t>
      </w:r>
    </w:p>
    <w:p w14:paraId="670F9B19">
      <w:pPr>
        <w:pStyle w:val="321"/>
        <w:rPr>
          <w:rFonts w:hint="eastAsia" w:ascii="宋体" w:cs="宋体"/>
          <w:color w:val="auto"/>
          <w:highlight w:val="none"/>
        </w:rPr>
      </w:pPr>
      <w:bookmarkStart w:id="820" w:name="_Toc417904281"/>
      <w:bookmarkStart w:id="821" w:name="_Toc478389195"/>
      <w:bookmarkStart w:id="822" w:name="_Toc351203635"/>
      <w:r>
        <w:rPr>
          <w:rFonts w:hint="eastAsia" w:ascii="宋体" w:cs="宋体"/>
          <w:color w:val="auto"/>
          <w:highlight w:val="none"/>
        </w:rPr>
        <w:t>3</w:t>
      </w:r>
      <w:bookmarkStart w:id="823" w:name="_Toc297120458"/>
      <w:bookmarkStart w:id="824" w:name="_Toc297048344"/>
      <w:bookmarkStart w:id="825" w:name="_Toc296503158"/>
      <w:bookmarkStart w:id="826" w:name="_Toc296891198"/>
      <w:bookmarkStart w:id="827" w:name="_Toc292559363"/>
      <w:bookmarkStart w:id="828" w:name="_Toc292559868"/>
      <w:bookmarkStart w:id="829" w:name="_Toc296347157"/>
      <w:bookmarkStart w:id="830" w:name="_Toc296944497"/>
      <w:bookmarkStart w:id="831" w:name="_Toc296346659"/>
      <w:bookmarkStart w:id="832" w:name="_Toc296890986"/>
      <w:r>
        <w:rPr>
          <w:rFonts w:hint="eastAsia" w:ascii="宋体" w:cs="宋体"/>
          <w:color w:val="auto"/>
          <w:highlight w:val="none"/>
        </w:rPr>
        <w:t>. 承包人</w:t>
      </w:r>
      <w:bookmarkEnd w:id="820"/>
      <w:bookmarkEnd w:id="821"/>
      <w:bookmarkEnd w:id="822"/>
    </w:p>
    <w:bookmarkEnd w:id="823"/>
    <w:bookmarkEnd w:id="824"/>
    <w:bookmarkEnd w:id="825"/>
    <w:bookmarkEnd w:id="826"/>
    <w:bookmarkEnd w:id="827"/>
    <w:bookmarkEnd w:id="828"/>
    <w:bookmarkEnd w:id="829"/>
    <w:bookmarkEnd w:id="830"/>
    <w:bookmarkEnd w:id="831"/>
    <w:bookmarkEnd w:id="832"/>
    <w:p w14:paraId="5CBE0212">
      <w:pPr>
        <w:pStyle w:val="321"/>
        <w:rPr>
          <w:rFonts w:hint="eastAsia" w:ascii="宋体" w:cs="宋体"/>
          <w:color w:val="auto"/>
          <w:highlight w:val="none"/>
        </w:rPr>
      </w:pPr>
      <w:bookmarkStart w:id="833" w:name="_Toc478389196"/>
      <w:bookmarkStart w:id="834" w:name="_Toc417904282"/>
      <w:r>
        <w:rPr>
          <w:rFonts w:hint="eastAsia" w:ascii="宋体" w:cs="宋体"/>
          <w:color w:val="auto"/>
          <w:highlight w:val="none"/>
        </w:rPr>
        <w:t>3.1 承包人的一般义务</w:t>
      </w:r>
      <w:bookmarkEnd w:id="833"/>
      <w:bookmarkEnd w:id="834"/>
    </w:p>
    <w:p w14:paraId="00624D47">
      <w:pPr>
        <w:pStyle w:val="79"/>
        <w:ind w:firstLine="0" w:firstLineChars="0"/>
        <w:rPr>
          <w:rFonts w:hint="eastAsia" w:cs="宋体"/>
          <w:color w:val="auto"/>
          <w:sz w:val="21"/>
          <w:highlight w:val="none"/>
        </w:rPr>
      </w:pPr>
      <w:r>
        <w:rPr>
          <w:rFonts w:hint="eastAsia" w:cs="宋体"/>
          <w:color w:val="auto"/>
          <w:sz w:val="21"/>
          <w:highlight w:val="none"/>
        </w:rPr>
        <w:t>（9）承包人提交的竣工资料的内容：</w:t>
      </w:r>
      <w:r>
        <w:rPr>
          <w:rFonts w:hint="eastAsia" w:cs="宋体"/>
          <w:color w:val="auto"/>
          <w:sz w:val="21"/>
          <w:highlight w:val="none"/>
          <w:u w:val="single"/>
        </w:rPr>
        <w:t>按相关规定</w:t>
      </w:r>
      <w:r>
        <w:rPr>
          <w:rFonts w:hint="eastAsia" w:cs="宋体"/>
          <w:color w:val="auto"/>
          <w:sz w:val="21"/>
          <w:highlight w:val="none"/>
        </w:rPr>
        <w:t>。</w:t>
      </w:r>
    </w:p>
    <w:p w14:paraId="563B3D03">
      <w:pPr>
        <w:pStyle w:val="79"/>
        <w:rPr>
          <w:rFonts w:hint="eastAsia" w:cs="宋体"/>
          <w:color w:val="auto"/>
          <w:sz w:val="21"/>
          <w:highlight w:val="none"/>
        </w:rPr>
      </w:pPr>
      <w:r>
        <w:rPr>
          <w:rFonts w:hint="eastAsia" w:cs="宋体"/>
          <w:color w:val="auto"/>
          <w:sz w:val="21"/>
          <w:highlight w:val="none"/>
        </w:rPr>
        <w:t>承包人需要提交的竣工资料套数：</w:t>
      </w:r>
      <w:r>
        <w:rPr>
          <w:rFonts w:hint="eastAsia" w:cs="宋体"/>
          <w:color w:val="auto"/>
          <w:sz w:val="21"/>
          <w:highlight w:val="none"/>
          <w:u w:val="single"/>
        </w:rPr>
        <w:t xml:space="preserve">      8份           </w:t>
      </w:r>
      <w:r>
        <w:rPr>
          <w:rFonts w:hint="eastAsia" w:cs="宋体"/>
          <w:color w:val="auto"/>
          <w:sz w:val="21"/>
          <w:highlight w:val="none"/>
        </w:rPr>
        <w:t>。</w:t>
      </w:r>
    </w:p>
    <w:p w14:paraId="39A079FA">
      <w:pPr>
        <w:pStyle w:val="79"/>
        <w:rPr>
          <w:rFonts w:hint="eastAsia" w:cs="宋体"/>
          <w:color w:val="auto"/>
          <w:sz w:val="21"/>
          <w:highlight w:val="none"/>
        </w:rPr>
      </w:pPr>
      <w:r>
        <w:rPr>
          <w:rFonts w:hint="eastAsia" w:cs="宋体"/>
          <w:color w:val="auto"/>
          <w:sz w:val="21"/>
          <w:highlight w:val="none"/>
        </w:rPr>
        <w:t>承包人提交的竣工资料的费用承担：</w:t>
      </w:r>
      <w:r>
        <w:rPr>
          <w:rFonts w:hint="eastAsia" w:cs="宋体"/>
          <w:color w:val="auto"/>
          <w:sz w:val="21"/>
          <w:highlight w:val="none"/>
          <w:u w:val="single"/>
        </w:rPr>
        <w:t xml:space="preserve">     由承包人自行承担         </w:t>
      </w:r>
      <w:r>
        <w:rPr>
          <w:rFonts w:hint="eastAsia" w:cs="宋体"/>
          <w:color w:val="auto"/>
          <w:sz w:val="21"/>
          <w:highlight w:val="none"/>
        </w:rPr>
        <w:t>。</w:t>
      </w:r>
    </w:p>
    <w:p w14:paraId="5C744489">
      <w:pPr>
        <w:pStyle w:val="79"/>
        <w:rPr>
          <w:rFonts w:hint="eastAsia" w:cs="宋体"/>
          <w:color w:val="auto"/>
          <w:sz w:val="21"/>
          <w:highlight w:val="none"/>
        </w:rPr>
      </w:pPr>
      <w:r>
        <w:rPr>
          <w:rFonts w:hint="eastAsia" w:cs="宋体"/>
          <w:color w:val="auto"/>
          <w:sz w:val="21"/>
          <w:highlight w:val="none"/>
        </w:rPr>
        <w:t>承包人提交的竣工资料移交时间：</w:t>
      </w:r>
      <w:r>
        <w:rPr>
          <w:rFonts w:hint="eastAsia" w:cs="宋体"/>
          <w:color w:val="auto"/>
          <w:sz w:val="21"/>
          <w:highlight w:val="none"/>
          <w:u w:val="single"/>
        </w:rPr>
        <w:t xml:space="preserve">    竣工验收15天内       </w:t>
      </w:r>
      <w:r>
        <w:rPr>
          <w:rFonts w:hint="eastAsia" w:cs="宋体"/>
          <w:color w:val="auto"/>
          <w:sz w:val="21"/>
          <w:highlight w:val="none"/>
        </w:rPr>
        <w:t>。</w:t>
      </w:r>
    </w:p>
    <w:p w14:paraId="73761801">
      <w:pPr>
        <w:pStyle w:val="79"/>
        <w:rPr>
          <w:rFonts w:hint="eastAsia" w:cs="宋体"/>
          <w:color w:val="auto"/>
          <w:sz w:val="21"/>
          <w:highlight w:val="none"/>
        </w:rPr>
      </w:pPr>
      <w:r>
        <w:rPr>
          <w:rFonts w:hint="eastAsia" w:cs="宋体"/>
          <w:color w:val="auto"/>
          <w:sz w:val="21"/>
          <w:highlight w:val="none"/>
        </w:rPr>
        <w:t>承包人提交的竣工资料形式要求：</w:t>
      </w:r>
      <w:r>
        <w:rPr>
          <w:rFonts w:hint="eastAsia" w:cs="宋体"/>
          <w:color w:val="auto"/>
          <w:sz w:val="21"/>
          <w:highlight w:val="none"/>
          <w:u w:val="single"/>
        </w:rPr>
        <w:t xml:space="preserve">     纸质和电子文档       </w:t>
      </w:r>
      <w:r>
        <w:rPr>
          <w:rFonts w:hint="eastAsia" w:cs="宋体"/>
          <w:color w:val="auto"/>
          <w:sz w:val="21"/>
          <w:highlight w:val="none"/>
        </w:rPr>
        <w:t>。</w:t>
      </w:r>
    </w:p>
    <w:p w14:paraId="1483CF35">
      <w:pPr>
        <w:pStyle w:val="79"/>
        <w:rPr>
          <w:rFonts w:hint="eastAsia"/>
          <w:color w:val="auto"/>
          <w:highlight w:val="none"/>
        </w:rPr>
      </w:pPr>
      <w:r>
        <w:rPr>
          <w:rFonts w:hint="eastAsia" w:cs="宋体"/>
          <w:color w:val="auto"/>
          <w:sz w:val="21"/>
          <w:highlight w:val="none"/>
        </w:rPr>
        <w:t>（10）承包人应履行的其他义务：</w:t>
      </w:r>
      <w:r>
        <w:rPr>
          <w:rFonts w:hint="eastAsia" w:cs="宋体"/>
          <w:color w:val="auto"/>
          <w:sz w:val="21"/>
          <w:highlight w:val="none"/>
          <w:u w:val="single"/>
        </w:rPr>
        <w:t>①承包人应当主动配合发包人协调与施工现场周边农村及村民的关系，确保项目施工顺利进行；</w:t>
      </w:r>
      <w:r>
        <w:rPr>
          <w:rFonts w:hint="eastAsia"/>
          <w:color w:val="auto"/>
          <w:highlight w:val="none"/>
          <w:u w:val="single"/>
        </w:rPr>
        <w:t>②承包人应按时支付农民工工资，发包人支付到合同价款的80％时，承包人应全部支付完农民工工资，之后如有农民工到发包方单位及上级部门反映索要工资现象视为违约，每发生一次扣最终结算价的1％，发包方可从应向承包方支付的款项中扣除；③本工程必须是承包人独立完成，不得转包。如一经发现转包，发包人有权终止合同，依法另行选择承包人，原承包人无条件退出现场；④发包人另行发包的</w:t>
      </w:r>
      <w:r>
        <w:rPr>
          <w:rFonts w:hint="eastAsia"/>
          <w:color w:val="auto"/>
          <w:highlight w:val="none"/>
          <w:u w:val="single"/>
          <w:lang w:eastAsia="zh-CN"/>
        </w:rPr>
        <w:t>采购</w:t>
      </w:r>
      <w:r>
        <w:rPr>
          <w:rFonts w:hint="eastAsia"/>
          <w:color w:val="auto"/>
          <w:highlight w:val="none"/>
          <w:u w:val="single"/>
        </w:rPr>
        <w:t>范围以外的工程，承包人必须无条件配合；⑤承包人在承包工程施工期间所发生的一切责任事故，全部由承包人承担经济责任和法律责任。⑥承包人应负责协调解决来自当地居民对工程施工的人为干扰，并承担相关费用。⑦承包人应始终采取各种合理的预防措施，防止承包人员或其内部发生任何非法的、骚动的或无序的行为，以保持安定，保护现场及第三人的财产和人身安全。⑧为发包人依法发包的专业工程承包商提供总承包管理与协调服务，并为专业工程承包商提供一切施工方便。为发包人和监理人在施工现场提供必要的办公室和办公桌椅等设备。⑨按相关部门有关规定配合发包人其他工程的施工等。</w:t>
      </w:r>
    </w:p>
    <w:p w14:paraId="1FB0ED03">
      <w:pPr>
        <w:pStyle w:val="321"/>
        <w:rPr>
          <w:rFonts w:hint="eastAsia" w:ascii="宋体" w:cs="宋体"/>
          <w:color w:val="auto"/>
          <w:highlight w:val="none"/>
        </w:rPr>
      </w:pPr>
      <w:bookmarkStart w:id="835" w:name="_Toc478389197"/>
      <w:bookmarkStart w:id="836" w:name="_Toc417904283"/>
      <w:r>
        <w:rPr>
          <w:rFonts w:hint="eastAsia" w:ascii="宋体" w:cs="宋体"/>
          <w:color w:val="auto"/>
          <w:highlight w:val="none"/>
        </w:rPr>
        <w:t>3.2 项目经理</w:t>
      </w:r>
      <w:bookmarkEnd w:id="835"/>
      <w:bookmarkEnd w:id="836"/>
    </w:p>
    <w:p w14:paraId="61814DE0">
      <w:pPr>
        <w:pStyle w:val="79"/>
        <w:ind w:left="420" w:leftChars="200" w:firstLine="0" w:firstLineChars="0"/>
        <w:rPr>
          <w:rFonts w:hint="eastAsia" w:cs="宋体"/>
          <w:color w:val="auto"/>
          <w:sz w:val="21"/>
          <w:highlight w:val="none"/>
        </w:rPr>
      </w:pPr>
      <w:r>
        <w:rPr>
          <w:rFonts w:hint="eastAsia" w:cs="宋体"/>
          <w:color w:val="auto"/>
          <w:sz w:val="21"/>
          <w:highlight w:val="none"/>
        </w:rPr>
        <w:t>3.2.1项目经理：（注：若发包人发现承包人投入本项目的项目经理已在其他在建项目中担任项目经理，发包人有权要求承包人更换，且更换的项目经理必须满足本项目的要求并同时经过发包人同意，否则按违约处理。）</w:t>
      </w:r>
    </w:p>
    <w:p w14:paraId="389576A6">
      <w:pPr>
        <w:pStyle w:val="79"/>
        <w:rPr>
          <w:rFonts w:hint="eastAsia" w:cs="宋体"/>
          <w:color w:val="auto"/>
          <w:sz w:val="21"/>
          <w:highlight w:val="none"/>
        </w:rPr>
      </w:pPr>
      <w:r>
        <w:rPr>
          <w:rFonts w:hint="eastAsia" w:cs="宋体"/>
          <w:color w:val="auto"/>
          <w:sz w:val="21"/>
          <w:highlight w:val="none"/>
        </w:rPr>
        <w:t>姓    名：</w:t>
      </w:r>
      <w:r>
        <w:rPr>
          <w:rFonts w:hint="eastAsia" w:cs="宋体"/>
          <w:color w:val="auto"/>
          <w:sz w:val="21"/>
          <w:highlight w:val="none"/>
          <w:u w:val="single"/>
        </w:rPr>
        <w:t xml:space="preserve">     （签约时填写）         </w:t>
      </w:r>
      <w:r>
        <w:rPr>
          <w:rFonts w:hint="eastAsia" w:cs="宋体"/>
          <w:color w:val="auto"/>
          <w:sz w:val="21"/>
          <w:highlight w:val="none"/>
        </w:rPr>
        <w:t>；</w:t>
      </w:r>
    </w:p>
    <w:p w14:paraId="58F583D6">
      <w:pPr>
        <w:pStyle w:val="79"/>
        <w:rPr>
          <w:rFonts w:hint="eastAsia" w:cs="宋体"/>
          <w:color w:val="auto"/>
          <w:sz w:val="21"/>
          <w:highlight w:val="none"/>
        </w:rPr>
      </w:pPr>
      <w:r>
        <w:rPr>
          <w:rFonts w:hint="eastAsia" w:cs="宋体"/>
          <w:color w:val="auto"/>
          <w:sz w:val="21"/>
          <w:highlight w:val="none"/>
        </w:rPr>
        <w:t>身份证号：</w:t>
      </w:r>
      <w:r>
        <w:rPr>
          <w:rFonts w:hint="eastAsia" w:cs="宋体"/>
          <w:color w:val="auto"/>
          <w:sz w:val="21"/>
          <w:highlight w:val="none"/>
          <w:u w:val="single"/>
        </w:rPr>
        <w:t xml:space="preserve">    （签约时填写）        </w:t>
      </w:r>
      <w:r>
        <w:rPr>
          <w:rFonts w:hint="eastAsia" w:cs="宋体"/>
          <w:color w:val="auto"/>
          <w:sz w:val="21"/>
          <w:highlight w:val="none"/>
        </w:rPr>
        <w:t>；</w:t>
      </w:r>
    </w:p>
    <w:p w14:paraId="5DCF9829">
      <w:pPr>
        <w:pStyle w:val="79"/>
        <w:rPr>
          <w:rFonts w:hint="eastAsia" w:cs="宋体"/>
          <w:color w:val="auto"/>
          <w:sz w:val="21"/>
          <w:highlight w:val="none"/>
        </w:rPr>
      </w:pPr>
      <w:r>
        <w:rPr>
          <w:rFonts w:hint="eastAsia" w:cs="宋体"/>
          <w:color w:val="auto"/>
          <w:sz w:val="21"/>
          <w:highlight w:val="none"/>
        </w:rPr>
        <w:t>建造师执业资格等级：</w:t>
      </w:r>
      <w:r>
        <w:rPr>
          <w:rFonts w:hint="eastAsia" w:cs="宋体"/>
          <w:color w:val="auto"/>
          <w:sz w:val="21"/>
          <w:highlight w:val="none"/>
          <w:u w:val="single"/>
        </w:rPr>
        <w:t xml:space="preserve">  （签约时填写）    </w:t>
      </w:r>
      <w:r>
        <w:rPr>
          <w:rFonts w:hint="eastAsia" w:cs="宋体"/>
          <w:color w:val="auto"/>
          <w:sz w:val="21"/>
          <w:highlight w:val="none"/>
        </w:rPr>
        <w:t>；</w:t>
      </w:r>
    </w:p>
    <w:p w14:paraId="000D3A8F">
      <w:pPr>
        <w:pStyle w:val="79"/>
        <w:rPr>
          <w:rFonts w:hint="eastAsia" w:cs="宋体"/>
          <w:color w:val="auto"/>
          <w:sz w:val="21"/>
          <w:highlight w:val="none"/>
        </w:rPr>
      </w:pPr>
      <w:r>
        <w:rPr>
          <w:rFonts w:hint="eastAsia" w:cs="宋体"/>
          <w:color w:val="auto"/>
          <w:sz w:val="21"/>
          <w:highlight w:val="none"/>
        </w:rPr>
        <w:t>建造师注册证书号：</w:t>
      </w:r>
      <w:r>
        <w:rPr>
          <w:rFonts w:hint="eastAsia" w:cs="宋体"/>
          <w:color w:val="auto"/>
          <w:sz w:val="21"/>
          <w:highlight w:val="none"/>
          <w:u w:val="single"/>
        </w:rPr>
        <w:t xml:space="preserve">  （签约时填写）              </w:t>
      </w:r>
      <w:r>
        <w:rPr>
          <w:rFonts w:hint="eastAsia" w:cs="宋体"/>
          <w:color w:val="auto"/>
          <w:sz w:val="21"/>
          <w:highlight w:val="none"/>
        </w:rPr>
        <w:t>；</w:t>
      </w:r>
    </w:p>
    <w:p w14:paraId="168C3560">
      <w:pPr>
        <w:pStyle w:val="79"/>
        <w:rPr>
          <w:rFonts w:hint="eastAsia" w:cs="宋体"/>
          <w:color w:val="auto"/>
          <w:sz w:val="21"/>
          <w:highlight w:val="none"/>
        </w:rPr>
      </w:pPr>
      <w:r>
        <w:rPr>
          <w:rFonts w:hint="eastAsia" w:cs="宋体"/>
          <w:color w:val="auto"/>
          <w:sz w:val="21"/>
          <w:highlight w:val="none"/>
        </w:rPr>
        <w:t>建造师执业印章号：</w:t>
      </w:r>
      <w:r>
        <w:rPr>
          <w:rFonts w:hint="eastAsia" w:cs="宋体"/>
          <w:color w:val="auto"/>
          <w:sz w:val="21"/>
          <w:highlight w:val="none"/>
          <w:u w:val="single"/>
        </w:rPr>
        <w:t xml:space="preserve">      （签约时填写）         </w:t>
      </w:r>
      <w:r>
        <w:rPr>
          <w:rFonts w:hint="eastAsia" w:cs="宋体"/>
          <w:color w:val="auto"/>
          <w:sz w:val="21"/>
          <w:highlight w:val="none"/>
        </w:rPr>
        <w:t>；</w:t>
      </w:r>
    </w:p>
    <w:p w14:paraId="1BE86AE9">
      <w:pPr>
        <w:pStyle w:val="79"/>
        <w:rPr>
          <w:rFonts w:hint="eastAsia" w:cs="宋体"/>
          <w:color w:val="auto"/>
          <w:sz w:val="21"/>
          <w:highlight w:val="none"/>
        </w:rPr>
      </w:pPr>
      <w:r>
        <w:rPr>
          <w:rFonts w:hint="eastAsia" w:cs="宋体"/>
          <w:color w:val="auto"/>
          <w:sz w:val="21"/>
          <w:highlight w:val="none"/>
        </w:rPr>
        <w:t>安全生产考核合格证书号：</w:t>
      </w:r>
      <w:r>
        <w:rPr>
          <w:rFonts w:hint="eastAsia" w:cs="宋体"/>
          <w:color w:val="auto"/>
          <w:sz w:val="21"/>
          <w:highlight w:val="none"/>
          <w:u w:val="single"/>
        </w:rPr>
        <w:t xml:space="preserve">   （签约时填写）        </w:t>
      </w:r>
      <w:r>
        <w:rPr>
          <w:rFonts w:hint="eastAsia" w:cs="宋体"/>
          <w:color w:val="auto"/>
          <w:sz w:val="21"/>
          <w:highlight w:val="none"/>
        </w:rPr>
        <w:t>；</w:t>
      </w:r>
    </w:p>
    <w:p w14:paraId="3E5A3545">
      <w:pPr>
        <w:pStyle w:val="79"/>
        <w:rPr>
          <w:rFonts w:hint="eastAsia" w:cs="宋体"/>
          <w:color w:val="auto"/>
          <w:sz w:val="21"/>
          <w:highlight w:val="none"/>
        </w:rPr>
      </w:pPr>
      <w:r>
        <w:rPr>
          <w:rFonts w:hint="eastAsia" w:cs="宋体"/>
          <w:color w:val="auto"/>
          <w:sz w:val="21"/>
          <w:highlight w:val="none"/>
        </w:rPr>
        <w:t>联系电话：</w:t>
      </w:r>
      <w:r>
        <w:rPr>
          <w:rFonts w:hint="eastAsia" w:cs="宋体"/>
          <w:color w:val="auto"/>
          <w:sz w:val="21"/>
          <w:highlight w:val="none"/>
          <w:u w:val="single"/>
        </w:rPr>
        <w:t xml:space="preserve">      （签约时填写）             </w:t>
      </w:r>
      <w:r>
        <w:rPr>
          <w:rFonts w:hint="eastAsia" w:cs="宋体"/>
          <w:color w:val="auto"/>
          <w:sz w:val="21"/>
          <w:highlight w:val="none"/>
        </w:rPr>
        <w:t>；</w:t>
      </w:r>
    </w:p>
    <w:p w14:paraId="25BA6A6A">
      <w:pPr>
        <w:pStyle w:val="79"/>
        <w:rPr>
          <w:rFonts w:hint="eastAsia" w:cs="宋体"/>
          <w:color w:val="auto"/>
          <w:sz w:val="21"/>
          <w:highlight w:val="none"/>
        </w:rPr>
      </w:pPr>
      <w:r>
        <w:rPr>
          <w:rFonts w:hint="eastAsia" w:cs="宋体"/>
          <w:color w:val="auto"/>
          <w:sz w:val="21"/>
          <w:highlight w:val="none"/>
        </w:rPr>
        <w:t>电子信箱：</w:t>
      </w:r>
      <w:r>
        <w:rPr>
          <w:rFonts w:hint="eastAsia" w:cs="宋体"/>
          <w:color w:val="auto"/>
          <w:sz w:val="21"/>
          <w:highlight w:val="none"/>
          <w:u w:val="single"/>
        </w:rPr>
        <w:t xml:space="preserve">      （签约时填写）              </w:t>
      </w:r>
      <w:r>
        <w:rPr>
          <w:rFonts w:hint="eastAsia" w:cs="宋体"/>
          <w:color w:val="auto"/>
          <w:sz w:val="21"/>
          <w:highlight w:val="none"/>
        </w:rPr>
        <w:t>；</w:t>
      </w:r>
    </w:p>
    <w:p w14:paraId="7B912FE2">
      <w:pPr>
        <w:pStyle w:val="79"/>
        <w:rPr>
          <w:rFonts w:hint="eastAsia" w:cs="宋体"/>
          <w:color w:val="auto"/>
          <w:sz w:val="21"/>
          <w:highlight w:val="none"/>
        </w:rPr>
      </w:pPr>
      <w:r>
        <w:rPr>
          <w:rFonts w:hint="eastAsia" w:cs="宋体"/>
          <w:color w:val="auto"/>
          <w:sz w:val="21"/>
          <w:highlight w:val="none"/>
        </w:rPr>
        <w:t>通信地址：</w:t>
      </w:r>
      <w:r>
        <w:rPr>
          <w:rFonts w:hint="eastAsia" w:cs="宋体"/>
          <w:color w:val="auto"/>
          <w:sz w:val="21"/>
          <w:highlight w:val="none"/>
          <w:u w:val="single"/>
        </w:rPr>
        <w:t xml:space="preserve">     （签约时填写）            </w:t>
      </w:r>
      <w:r>
        <w:rPr>
          <w:rFonts w:hint="eastAsia" w:cs="宋体"/>
          <w:color w:val="auto"/>
          <w:sz w:val="21"/>
          <w:highlight w:val="none"/>
        </w:rPr>
        <w:t>；</w:t>
      </w:r>
    </w:p>
    <w:p w14:paraId="0BE6E6F8">
      <w:pPr>
        <w:pStyle w:val="79"/>
        <w:rPr>
          <w:rFonts w:hint="eastAsia" w:cs="宋体"/>
          <w:color w:val="auto"/>
          <w:sz w:val="21"/>
          <w:highlight w:val="none"/>
        </w:rPr>
      </w:pPr>
      <w:r>
        <w:rPr>
          <w:rFonts w:hint="eastAsia" w:cs="宋体"/>
          <w:color w:val="auto"/>
          <w:sz w:val="21"/>
          <w:highlight w:val="none"/>
        </w:rPr>
        <w:t>承包人对项目经理的授权范围如下：</w:t>
      </w:r>
      <w:r>
        <w:rPr>
          <w:rFonts w:hint="eastAsia" w:cs="宋体"/>
          <w:color w:val="auto"/>
          <w:sz w:val="21"/>
          <w:highlight w:val="none"/>
          <w:u w:val="single"/>
        </w:rPr>
        <w:t xml:space="preserve">   （签约时填写）　</w:t>
      </w:r>
      <w:r>
        <w:rPr>
          <w:rFonts w:hint="eastAsia" w:cs="宋体"/>
          <w:color w:val="auto"/>
          <w:sz w:val="21"/>
          <w:highlight w:val="none"/>
        </w:rPr>
        <w:t>。</w:t>
      </w:r>
    </w:p>
    <w:p w14:paraId="343760EE">
      <w:pPr>
        <w:pStyle w:val="79"/>
        <w:rPr>
          <w:rFonts w:hint="eastAsia" w:cs="宋体"/>
          <w:color w:val="auto"/>
          <w:sz w:val="21"/>
          <w:highlight w:val="none"/>
          <w:u w:val="single"/>
        </w:rPr>
      </w:pPr>
      <w:r>
        <w:rPr>
          <w:rFonts w:hint="eastAsia" w:cs="宋体"/>
          <w:color w:val="auto"/>
          <w:sz w:val="21"/>
          <w:highlight w:val="none"/>
        </w:rPr>
        <w:t>关于项目经理每月在施工现场的时间要求：</w:t>
      </w:r>
      <w:r>
        <w:rPr>
          <w:rFonts w:hint="eastAsia" w:cs="宋体"/>
          <w:color w:val="auto"/>
          <w:sz w:val="21"/>
          <w:highlight w:val="none"/>
          <w:u w:val="single"/>
        </w:rPr>
        <w:t xml:space="preserve">  22天　　</w:t>
      </w:r>
    </w:p>
    <w:p w14:paraId="4B8E6413">
      <w:pPr>
        <w:pStyle w:val="79"/>
        <w:jc w:val="left"/>
        <w:rPr>
          <w:rFonts w:hint="eastAsia" w:cs="宋体"/>
          <w:color w:val="auto"/>
          <w:sz w:val="21"/>
          <w:highlight w:val="none"/>
          <w:u w:val="single"/>
        </w:rPr>
      </w:pPr>
      <w:r>
        <w:rPr>
          <w:rFonts w:hint="eastAsia" w:cs="宋体"/>
          <w:color w:val="auto"/>
          <w:sz w:val="21"/>
          <w:highlight w:val="none"/>
        </w:rPr>
        <w:t>项目经理未经批准，擅自离开施工现场的违约责任：</w:t>
      </w:r>
      <w:r>
        <w:rPr>
          <w:rFonts w:hint="eastAsia" w:cs="宋体"/>
          <w:color w:val="auto"/>
          <w:sz w:val="21"/>
          <w:highlight w:val="none"/>
          <w:u w:val="single"/>
        </w:rPr>
        <w:t>项目经理每月在岗带班时间不得少于当月施工时间的80%。未经发包人同意或正当理由，项目经理每月在岗带班时间少于当月施工时间80%的，少在岗带班一天，发包人有权处违约金1000元/日（人民币），累计超过3次（含3次），业主有权解除承包合同，所完成工程量不予以支付工程款，依法另行选择承包人，原承包人三日内无条件退出现场，但原承包人仍应当对已做工程的质量承担责任。</w:t>
      </w:r>
    </w:p>
    <w:p w14:paraId="30A21009">
      <w:pPr>
        <w:pStyle w:val="79"/>
        <w:rPr>
          <w:rFonts w:hint="eastAsia" w:cs="宋体"/>
          <w:color w:val="auto"/>
          <w:sz w:val="21"/>
          <w:highlight w:val="none"/>
        </w:rPr>
      </w:pPr>
      <w:r>
        <w:rPr>
          <w:rFonts w:hint="eastAsia" w:cs="宋体"/>
          <w:color w:val="auto"/>
          <w:sz w:val="21"/>
          <w:highlight w:val="none"/>
        </w:rPr>
        <w:t>承包人未提交劳动合同，以及没有为项目经理缴纳社会保险证明的违约责任：</w:t>
      </w:r>
      <w:r>
        <w:rPr>
          <w:rFonts w:hint="eastAsia" w:cs="宋体"/>
          <w:color w:val="auto"/>
          <w:sz w:val="21"/>
          <w:highlight w:val="none"/>
          <w:u w:val="single"/>
        </w:rPr>
        <w:t xml:space="preserve">若经发包人检查发现承包人违约则扣款2万元，若承包人不按要求及时整改，发包人有权解除合同   </w:t>
      </w:r>
      <w:r>
        <w:rPr>
          <w:rFonts w:hint="eastAsia" w:cs="宋体"/>
          <w:color w:val="auto"/>
          <w:sz w:val="21"/>
          <w:highlight w:val="none"/>
        </w:rPr>
        <w:t>。</w:t>
      </w:r>
    </w:p>
    <w:p w14:paraId="544DE8A8">
      <w:pPr>
        <w:pStyle w:val="79"/>
        <w:rPr>
          <w:rFonts w:hint="eastAsia" w:cs="宋体"/>
          <w:color w:val="auto"/>
          <w:sz w:val="21"/>
          <w:highlight w:val="none"/>
        </w:rPr>
      </w:pPr>
      <w:r>
        <w:rPr>
          <w:rFonts w:hint="eastAsia" w:cs="宋体"/>
          <w:color w:val="auto"/>
          <w:sz w:val="21"/>
          <w:highlight w:val="none"/>
        </w:rPr>
        <w:t>3.2.3承包人擅自更换项目经理的违约责任：</w:t>
      </w:r>
      <w:r>
        <w:rPr>
          <w:rFonts w:hint="eastAsia" w:cs="宋体"/>
          <w:color w:val="auto"/>
          <w:sz w:val="21"/>
          <w:highlight w:val="none"/>
          <w:u w:val="single"/>
        </w:rPr>
        <w:t>承包人项目经理必须与承包人竞标时所承诺的人员一致，并在约定开工日期前到任。在监理人向承包人颁发竣工证明材料名称前，项目经理不得同时兼任其他任何项目的项目经理。未经发包人书面同意，承包人擅自更换项目经理的视为违约，违约金处20000.00元/人•次（人民币）</w:t>
      </w:r>
      <w:r>
        <w:rPr>
          <w:rFonts w:hint="eastAsia" w:cs="宋体"/>
          <w:color w:val="auto"/>
          <w:sz w:val="21"/>
          <w:highlight w:val="none"/>
        </w:rPr>
        <w:t>。</w:t>
      </w:r>
    </w:p>
    <w:p w14:paraId="4BE3687F">
      <w:pPr>
        <w:pStyle w:val="79"/>
        <w:jc w:val="left"/>
        <w:rPr>
          <w:rFonts w:hint="eastAsia" w:cs="宋体"/>
          <w:color w:val="auto"/>
          <w:sz w:val="21"/>
          <w:highlight w:val="none"/>
          <w:u w:val="single"/>
        </w:rPr>
      </w:pPr>
      <w:r>
        <w:rPr>
          <w:rFonts w:hint="eastAsia" w:cs="宋体"/>
          <w:color w:val="auto"/>
          <w:sz w:val="21"/>
          <w:highlight w:val="none"/>
        </w:rPr>
        <w:t>3.2.4承包人无正当理由拒绝更换项目经理的违约责任：</w:t>
      </w:r>
      <w:r>
        <w:rPr>
          <w:rFonts w:hint="eastAsia" w:cs="宋体"/>
          <w:color w:val="auto"/>
          <w:sz w:val="21"/>
          <w:highlight w:val="none"/>
          <w:u w:val="single"/>
        </w:rPr>
        <w:t>因承包人项目经理不称职，发包人要求调换而未及时调换的，视为承包人违约，必须向发包人交纳处罚5000.00元/人•次（人民币），累计超过3次（含3次）发包人有权解除承包合同，所完成工程量不予以支付工程款，依法另行选择承包人，原承包人三日内无条件退出现场，但原承包人仍应当对已做工程的质量承担责任。</w:t>
      </w:r>
    </w:p>
    <w:p w14:paraId="6E2CA674">
      <w:pPr>
        <w:pStyle w:val="321"/>
        <w:rPr>
          <w:rFonts w:hint="eastAsia" w:ascii="宋体" w:cs="宋体"/>
          <w:color w:val="auto"/>
          <w:highlight w:val="none"/>
        </w:rPr>
      </w:pPr>
      <w:bookmarkStart w:id="837" w:name="_Toc389065275"/>
      <w:bookmarkStart w:id="838" w:name="_Toc478389198"/>
      <w:bookmarkStart w:id="839" w:name="_Toc373478356"/>
      <w:bookmarkStart w:id="840" w:name="_Toc373227709"/>
      <w:bookmarkStart w:id="841" w:name="_Toc417904284"/>
      <w:bookmarkStart w:id="842" w:name="_Toc395382511"/>
      <w:r>
        <w:rPr>
          <w:rFonts w:hint="eastAsia" w:ascii="宋体" w:cs="宋体"/>
          <w:color w:val="auto"/>
          <w:highlight w:val="none"/>
        </w:rPr>
        <w:t>3.3 承包人人员</w:t>
      </w:r>
      <w:bookmarkEnd w:id="837"/>
      <w:bookmarkEnd w:id="838"/>
      <w:bookmarkEnd w:id="839"/>
      <w:bookmarkEnd w:id="840"/>
      <w:bookmarkEnd w:id="841"/>
      <w:bookmarkEnd w:id="842"/>
    </w:p>
    <w:p w14:paraId="41FA9392">
      <w:pPr>
        <w:pStyle w:val="79"/>
        <w:rPr>
          <w:rFonts w:hint="eastAsia" w:cs="宋体"/>
          <w:color w:val="auto"/>
          <w:sz w:val="21"/>
          <w:highlight w:val="none"/>
          <w:u w:val="single"/>
        </w:rPr>
      </w:pPr>
      <w:r>
        <w:rPr>
          <w:rFonts w:hint="eastAsia" w:cs="宋体"/>
          <w:color w:val="auto"/>
          <w:sz w:val="21"/>
          <w:highlight w:val="none"/>
        </w:rPr>
        <w:t>3.3.1</w:t>
      </w:r>
      <w:r>
        <w:rPr>
          <w:rFonts w:hint="eastAsia" w:cs="宋体"/>
          <w:color w:val="auto"/>
          <w:sz w:val="21"/>
          <w:highlight w:val="none"/>
          <w:u w:val="single"/>
        </w:rPr>
        <w:t>承包人提交项目管理机构及施工现场管理人员安排报告（格式见合同附件3）的期限：合同签订后3天内。</w:t>
      </w:r>
    </w:p>
    <w:p w14:paraId="44FC2360">
      <w:pPr>
        <w:pStyle w:val="79"/>
        <w:rPr>
          <w:rFonts w:hint="eastAsia" w:cs="宋体"/>
          <w:color w:val="auto"/>
          <w:sz w:val="21"/>
          <w:highlight w:val="none"/>
          <w:u w:val="single"/>
        </w:rPr>
      </w:pPr>
      <w:r>
        <w:rPr>
          <w:rFonts w:hint="eastAsia" w:cs="宋体"/>
          <w:color w:val="auto"/>
          <w:sz w:val="21"/>
          <w:highlight w:val="none"/>
        </w:rPr>
        <w:t>3.3.3承包人无正当理由拒绝撤换主要施工管理人员的违约责任：</w:t>
      </w:r>
      <w:r>
        <w:rPr>
          <w:rFonts w:hint="eastAsia" w:cs="宋体"/>
          <w:color w:val="auto"/>
          <w:sz w:val="21"/>
          <w:highlight w:val="none"/>
          <w:u w:val="single"/>
        </w:rPr>
        <w:t>因承包人主要施工管理人员不称职，发包人要求调换而无正当理由拒绝撤换或未及时调换的，视为承包人违约，必须向发包人交纳处罚金，处罚标准：技术负责人5000元/人•次（人民币）；专业工程师2000元/人•次（人民币），累计超过3次（含3次）发包人有权解除承包合同，所完成工程量不予以支付工程款，依法另行选择承包人，原承包人三日内无条件退出现场，但原承包人仍应当对已做工程的质量承担责任。</w:t>
      </w:r>
    </w:p>
    <w:p w14:paraId="17E603D4">
      <w:pPr>
        <w:pStyle w:val="79"/>
        <w:rPr>
          <w:rFonts w:hint="eastAsia" w:cs="宋体"/>
          <w:color w:val="auto"/>
          <w:sz w:val="21"/>
          <w:highlight w:val="none"/>
          <w:u w:val="single"/>
        </w:rPr>
      </w:pPr>
      <w:r>
        <w:rPr>
          <w:rFonts w:hint="eastAsia" w:cs="宋体"/>
          <w:color w:val="auto"/>
          <w:sz w:val="21"/>
          <w:highlight w:val="none"/>
        </w:rPr>
        <w:t>3.3.4 承包人主要施工管理人员离开施工现场的批准要求：</w:t>
      </w:r>
      <w:r>
        <w:rPr>
          <w:rFonts w:hint="eastAsia" w:cs="宋体"/>
          <w:color w:val="auto"/>
          <w:sz w:val="21"/>
          <w:highlight w:val="none"/>
          <w:u w:val="single"/>
        </w:rPr>
        <w:t xml:space="preserve">  向发包人书面申请  </w:t>
      </w:r>
      <w:r>
        <w:rPr>
          <w:rFonts w:hint="eastAsia" w:cs="宋体"/>
          <w:color w:val="auto"/>
          <w:sz w:val="21"/>
          <w:highlight w:val="none"/>
        </w:rPr>
        <w:t>。</w:t>
      </w:r>
    </w:p>
    <w:p w14:paraId="6E2D8958">
      <w:pPr>
        <w:pStyle w:val="79"/>
        <w:rPr>
          <w:rFonts w:hint="eastAsia" w:cs="宋体"/>
          <w:color w:val="auto"/>
          <w:sz w:val="21"/>
          <w:highlight w:val="none"/>
          <w:u w:val="single"/>
        </w:rPr>
      </w:pPr>
      <w:r>
        <w:rPr>
          <w:rFonts w:hint="eastAsia" w:cs="宋体"/>
          <w:color w:val="auto"/>
          <w:sz w:val="21"/>
          <w:highlight w:val="none"/>
        </w:rPr>
        <w:t>3.3.5承包人擅自更换主要施工管理人员的违约责任：</w:t>
      </w:r>
      <w:r>
        <w:rPr>
          <w:rFonts w:hint="eastAsia" w:cs="宋体"/>
          <w:color w:val="auto"/>
          <w:sz w:val="21"/>
          <w:highlight w:val="none"/>
          <w:u w:val="single"/>
        </w:rPr>
        <w:t>项目技术负责人、专职安全员及其承诺的其它在场管理人员未经发包人书面同意不准擅自更换，擅自更换项目技术负责人处5000元/人•次（人民币）违约金；擅自更换专职安全员处2000元/人•次（人民币）违约金；擅自更换其它在场管理人员处1000元/人•次（人民币）违约金，累计超过3次（含3次）发包人有权解除承包合同，所完成工程量不予以支付工程款，依法另行选择承包人，原承包人三日内无条件退出现场，但原承包人仍应当对已做工程的质量承担责任。</w:t>
      </w:r>
    </w:p>
    <w:p w14:paraId="63FAF10C">
      <w:pPr>
        <w:pStyle w:val="79"/>
        <w:spacing w:line="440" w:lineRule="exact"/>
        <w:ind w:firstLine="424" w:firstLineChars="202"/>
        <w:jc w:val="left"/>
        <w:rPr>
          <w:rFonts w:hint="eastAsia" w:cs="宋体"/>
          <w:color w:val="auto"/>
          <w:sz w:val="21"/>
          <w:highlight w:val="none"/>
          <w:u w:val="single"/>
        </w:rPr>
      </w:pPr>
      <w:r>
        <w:rPr>
          <w:rFonts w:hint="eastAsia" w:cs="宋体"/>
          <w:color w:val="auto"/>
          <w:sz w:val="21"/>
          <w:highlight w:val="none"/>
        </w:rPr>
        <w:t>承包人主要施工管理人员擅自离开施工现场的违约责任：</w:t>
      </w:r>
      <w:r>
        <w:rPr>
          <w:rFonts w:hint="eastAsia" w:cs="宋体"/>
          <w:color w:val="auto"/>
          <w:sz w:val="21"/>
          <w:highlight w:val="none"/>
          <w:u w:val="single"/>
        </w:rPr>
        <w:t xml:space="preserve">未经发包人同意，项目技术负责人擅自离岗的，视为承包人违约，发包人有权处违约金2000元/人•次（人民币）；未经发包人同意，专职安全员擅自离岗的，视为承包人违约，发包人有权处违约金1000元/人•次（人民币）；其它在场管理人员擅自离岗的，视为承包人违约，发包人有权处违约金5000元/人•次（人民币），累计超过3次（含3次）发包人有权解除承包合同，所完成工程量不予以支付工程款，依法另行选择承包人，原承包人三日内无条件退出现场，但原承包人仍应当对已做工程的质量承担责任。 </w:t>
      </w:r>
    </w:p>
    <w:p w14:paraId="2CFE51C5">
      <w:pPr>
        <w:pStyle w:val="321"/>
        <w:spacing w:line="440" w:lineRule="exact"/>
        <w:rPr>
          <w:rFonts w:hint="eastAsia" w:ascii="宋体" w:cs="宋体"/>
          <w:color w:val="auto"/>
          <w:highlight w:val="none"/>
        </w:rPr>
      </w:pPr>
      <w:bookmarkStart w:id="843" w:name="_Toc417904285"/>
      <w:bookmarkStart w:id="844" w:name="_Toc478389199"/>
      <w:r>
        <w:rPr>
          <w:rFonts w:hint="eastAsia" w:ascii="宋体" w:cs="宋体"/>
          <w:color w:val="auto"/>
          <w:highlight w:val="none"/>
        </w:rPr>
        <w:t>3</w:t>
      </w:r>
      <w:bookmarkStart w:id="845" w:name="_Toc296891199"/>
      <w:bookmarkStart w:id="846" w:name="_Toc292559869"/>
      <w:bookmarkStart w:id="847" w:name="_Toc312677988"/>
      <w:bookmarkStart w:id="848" w:name="_Toc296347158"/>
      <w:bookmarkStart w:id="849" w:name="_Toc296503159"/>
      <w:bookmarkStart w:id="850" w:name="_Toc292559364"/>
      <w:bookmarkStart w:id="851" w:name="_Toc296346660"/>
      <w:bookmarkStart w:id="852" w:name="_Toc303539102"/>
      <w:bookmarkStart w:id="853" w:name="_Toc297123492"/>
      <w:bookmarkStart w:id="854" w:name="_Toc296944498"/>
      <w:bookmarkStart w:id="855" w:name="_Toc297216151"/>
      <w:bookmarkStart w:id="856" w:name="_Toc297120459"/>
      <w:bookmarkStart w:id="857" w:name="_Toc296890987"/>
      <w:bookmarkStart w:id="858" w:name="_Toc300934945"/>
      <w:bookmarkStart w:id="859" w:name="_Toc297048345"/>
      <w:bookmarkStart w:id="860" w:name="_Toc304295523"/>
      <w:r>
        <w:rPr>
          <w:rFonts w:hint="eastAsia" w:ascii="宋体" w:cs="宋体"/>
          <w:color w:val="auto"/>
          <w:highlight w:val="none"/>
        </w:rPr>
        <w:t>.5 分包</w:t>
      </w:r>
      <w:bookmarkEnd w:id="843"/>
      <w:bookmarkEnd w:id="844"/>
    </w:p>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14:paraId="3393C86F">
      <w:pPr>
        <w:pStyle w:val="79"/>
        <w:spacing w:line="440" w:lineRule="exact"/>
        <w:rPr>
          <w:rFonts w:hint="eastAsia" w:cs="宋体"/>
          <w:color w:val="auto"/>
          <w:sz w:val="21"/>
          <w:highlight w:val="none"/>
        </w:rPr>
      </w:pPr>
      <w:r>
        <w:rPr>
          <w:rFonts w:hint="eastAsia" w:cs="宋体"/>
          <w:color w:val="auto"/>
          <w:sz w:val="21"/>
          <w:highlight w:val="none"/>
        </w:rPr>
        <w:t>3</w:t>
      </w:r>
      <w:bookmarkStart w:id="861" w:name="_Toc296890988"/>
      <w:bookmarkStart w:id="862" w:name="_Toc300934946"/>
      <w:bookmarkStart w:id="863" w:name="_Toc297123493"/>
      <w:bookmarkStart w:id="864" w:name="_Toc296891200"/>
      <w:bookmarkStart w:id="865" w:name="_Toc296346661"/>
      <w:bookmarkStart w:id="866" w:name="_Toc297216152"/>
      <w:bookmarkStart w:id="867" w:name="_Toc297120460"/>
      <w:bookmarkStart w:id="868" w:name="_Toc296944499"/>
      <w:bookmarkStart w:id="869" w:name="_Toc297048346"/>
      <w:bookmarkStart w:id="870" w:name="_Toc296503160"/>
      <w:bookmarkStart w:id="871" w:name="_Toc296347159"/>
      <w:bookmarkStart w:id="872" w:name="_Toc303539103"/>
      <w:bookmarkStart w:id="873" w:name="_Toc292559870"/>
      <w:bookmarkStart w:id="874" w:name="_Toc292559365"/>
      <w:bookmarkStart w:id="875" w:name="_Toc304295524"/>
      <w:bookmarkStart w:id="876" w:name="_Toc318581158"/>
      <w:bookmarkStart w:id="877" w:name="_Toc312677989"/>
      <w:r>
        <w:rPr>
          <w:rFonts w:hint="eastAsia" w:cs="宋体"/>
          <w:color w:val="auto"/>
          <w:sz w:val="21"/>
          <w:highlight w:val="none"/>
        </w:rPr>
        <w:t>.5.1 分包的一般约定</w:t>
      </w:r>
    </w:p>
    <w:p w14:paraId="477D2A4F">
      <w:pPr>
        <w:pStyle w:val="79"/>
        <w:spacing w:line="440" w:lineRule="exact"/>
        <w:rPr>
          <w:rFonts w:hint="eastAsia" w:cs="宋体"/>
          <w:color w:val="auto"/>
          <w:sz w:val="21"/>
          <w:highlight w:val="none"/>
        </w:rPr>
      </w:pPr>
      <w:r>
        <w:rPr>
          <w:rFonts w:hint="eastAsia" w:cs="宋体"/>
          <w:color w:val="auto"/>
          <w:sz w:val="21"/>
          <w:highlight w:val="none"/>
        </w:rPr>
        <w:t>禁止分包的工程包括：</w:t>
      </w:r>
      <w:r>
        <w:rPr>
          <w:rFonts w:hint="eastAsia" w:cs="宋体"/>
          <w:color w:val="auto"/>
          <w:sz w:val="21"/>
          <w:highlight w:val="none"/>
          <w:u w:val="single"/>
        </w:rPr>
        <w:t xml:space="preserve">  按国家规定及</w:t>
      </w:r>
      <w:r>
        <w:rPr>
          <w:rFonts w:hint="eastAsia" w:cs="宋体"/>
          <w:color w:val="auto"/>
          <w:sz w:val="21"/>
          <w:highlight w:val="none"/>
          <w:u w:val="single"/>
          <w:lang w:eastAsia="zh-CN"/>
        </w:rPr>
        <w:t>采购</w:t>
      </w:r>
      <w:r>
        <w:rPr>
          <w:rFonts w:hint="eastAsia" w:cs="宋体"/>
          <w:color w:val="auto"/>
          <w:sz w:val="21"/>
          <w:highlight w:val="none"/>
          <w:u w:val="single"/>
        </w:rPr>
        <w:t xml:space="preserve">要求   </w:t>
      </w:r>
      <w:r>
        <w:rPr>
          <w:rFonts w:hint="eastAsia" w:cs="宋体"/>
          <w:color w:val="auto"/>
          <w:sz w:val="21"/>
          <w:highlight w:val="none"/>
        </w:rPr>
        <w:t>。</w:t>
      </w:r>
    </w:p>
    <w:p w14:paraId="27CCE654">
      <w:pPr>
        <w:pStyle w:val="79"/>
        <w:spacing w:line="440" w:lineRule="exact"/>
        <w:rPr>
          <w:rFonts w:hint="eastAsia" w:cs="宋体"/>
          <w:color w:val="auto"/>
          <w:sz w:val="21"/>
          <w:highlight w:val="none"/>
          <w:u w:val="single"/>
        </w:rPr>
      </w:pPr>
      <w:r>
        <w:rPr>
          <w:rFonts w:hint="eastAsia" w:cs="宋体"/>
          <w:color w:val="auto"/>
          <w:sz w:val="21"/>
          <w:highlight w:val="none"/>
        </w:rPr>
        <w:t>主体结构、关键性工作的范围：</w:t>
      </w:r>
      <w:r>
        <w:rPr>
          <w:rFonts w:hint="eastAsia" w:cs="宋体"/>
          <w:color w:val="auto"/>
          <w:sz w:val="21"/>
          <w:highlight w:val="none"/>
          <w:u w:val="single"/>
        </w:rPr>
        <w:t xml:space="preserve">  不允许分包　</w:t>
      </w:r>
      <w:r>
        <w:rPr>
          <w:rFonts w:hint="eastAsia" w:cs="宋体"/>
          <w:color w:val="auto"/>
          <w:sz w:val="21"/>
          <w:highlight w:val="none"/>
        </w:rPr>
        <w:t>。</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Start w:id="878" w:name="_Toc296891201"/>
      <w:bookmarkStart w:id="879" w:name="_Toc297123494"/>
      <w:bookmarkStart w:id="880" w:name="_Toc296944500"/>
      <w:bookmarkStart w:id="881" w:name="_Toc297048347"/>
      <w:bookmarkStart w:id="882" w:name="_Toc297216153"/>
      <w:bookmarkStart w:id="883" w:name="_Toc296346662"/>
      <w:bookmarkStart w:id="884" w:name="_Toc304295525"/>
      <w:bookmarkStart w:id="885" w:name="_Toc300934947"/>
      <w:bookmarkStart w:id="886" w:name="_Toc296503161"/>
      <w:bookmarkStart w:id="887" w:name="_Toc296890989"/>
      <w:bookmarkStart w:id="888" w:name="_Toc297120461"/>
      <w:bookmarkStart w:id="889" w:name="_Toc303539104"/>
      <w:bookmarkStart w:id="890" w:name="_Toc296347160"/>
    </w:p>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14:paraId="7AACDEE2">
      <w:pPr>
        <w:pStyle w:val="321"/>
        <w:spacing w:line="440" w:lineRule="exact"/>
        <w:rPr>
          <w:rFonts w:hint="eastAsia" w:ascii="宋体" w:cs="宋体"/>
          <w:color w:val="auto"/>
          <w:highlight w:val="none"/>
        </w:rPr>
      </w:pPr>
      <w:bookmarkStart w:id="891" w:name="_Toc417904286"/>
      <w:bookmarkStart w:id="892" w:name="_Toc478389200"/>
      <w:r>
        <w:rPr>
          <w:rFonts w:hint="eastAsia" w:ascii="宋体" w:cs="宋体"/>
          <w:color w:val="auto"/>
          <w:highlight w:val="none"/>
        </w:rPr>
        <w:t>3.6 工程照管与成品、半成品保护</w:t>
      </w:r>
      <w:bookmarkEnd w:id="891"/>
      <w:bookmarkEnd w:id="892"/>
    </w:p>
    <w:p w14:paraId="54EF710C">
      <w:pPr>
        <w:pStyle w:val="79"/>
        <w:spacing w:line="440" w:lineRule="exact"/>
        <w:rPr>
          <w:rFonts w:hint="eastAsia" w:cs="宋体"/>
          <w:color w:val="auto"/>
          <w:sz w:val="21"/>
          <w:highlight w:val="none"/>
          <w:u w:val="single"/>
        </w:rPr>
      </w:pPr>
      <w:r>
        <w:rPr>
          <w:rFonts w:hint="eastAsia" w:cs="宋体"/>
          <w:color w:val="auto"/>
          <w:sz w:val="21"/>
          <w:highlight w:val="none"/>
        </w:rPr>
        <w:t>承包人负责照管工程及工程相关的材料、工程设备的时间：</w:t>
      </w:r>
      <w:r>
        <w:rPr>
          <w:rFonts w:hint="eastAsia" w:cs="宋体"/>
          <w:color w:val="auto"/>
          <w:sz w:val="21"/>
          <w:highlight w:val="none"/>
          <w:u w:val="single"/>
        </w:rPr>
        <w:t>发包人移交施工现场至验收交付发包人使用前　 。</w:t>
      </w:r>
    </w:p>
    <w:p w14:paraId="00D0B766">
      <w:pPr>
        <w:pStyle w:val="321"/>
        <w:spacing w:line="440" w:lineRule="exact"/>
        <w:rPr>
          <w:rFonts w:hint="eastAsia" w:ascii="宋体" w:cs="宋体"/>
          <w:color w:val="auto"/>
          <w:highlight w:val="none"/>
        </w:rPr>
      </w:pPr>
      <w:bookmarkStart w:id="893" w:name="_Toc417904287"/>
      <w:bookmarkStart w:id="894" w:name="_Toc478389201"/>
      <w:r>
        <w:rPr>
          <w:rFonts w:hint="eastAsia" w:ascii="宋体" w:cs="宋体"/>
          <w:color w:val="auto"/>
          <w:highlight w:val="none"/>
        </w:rPr>
        <w:t>3.7 履约保证金</w:t>
      </w:r>
      <w:bookmarkEnd w:id="893"/>
      <w:bookmarkEnd w:id="894"/>
    </w:p>
    <w:p w14:paraId="2D2C23B9">
      <w:pPr>
        <w:pStyle w:val="321"/>
        <w:spacing w:line="440" w:lineRule="exact"/>
        <w:rPr>
          <w:rFonts w:hint="eastAsia" w:cs="宋体"/>
          <w:color w:val="auto"/>
          <w:sz w:val="21"/>
          <w:highlight w:val="none"/>
          <w:lang w:eastAsia="zh-CN"/>
        </w:rPr>
      </w:pPr>
      <w:bookmarkStart w:id="895" w:name="_Toc351203636"/>
      <w:bookmarkStart w:id="896" w:name="_Toc417904288"/>
      <w:bookmarkStart w:id="897" w:name="_Toc478389202"/>
      <w:r>
        <w:rPr>
          <w:rFonts w:hint="eastAsia" w:cs="宋体"/>
          <w:b w:val="0"/>
          <w:bCs w:val="0"/>
          <w:color w:val="auto"/>
          <w:sz w:val="21"/>
          <w:highlight w:val="none"/>
          <w:lang w:eastAsia="zh-CN"/>
        </w:rPr>
        <w:t>本项目不收取履约保证金。</w:t>
      </w:r>
    </w:p>
    <w:p w14:paraId="556F190B">
      <w:pPr>
        <w:pStyle w:val="321"/>
        <w:spacing w:line="440" w:lineRule="exact"/>
        <w:rPr>
          <w:rFonts w:hint="eastAsia" w:ascii="宋体" w:cs="宋体"/>
          <w:color w:val="auto"/>
          <w:highlight w:val="none"/>
        </w:rPr>
      </w:pPr>
      <w:r>
        <w:rPr>
          <w:rFonts w:hint="eastAsia" w:ascii="宋体" w:cs="宋体"/>
          <w:color w:val="auto"/>
          <w:highlight w:val="none"/>
        </w:rPr>
        <w:t>4</w:t>
      </w:r>
      <w:bookmarkStart w:id="898" w:name="_Toc297048348"/>
      <w:bookmarkStart w:id="899" w:name="_Toc292559871"/>
      <w:bookmarkStart w:id="900" w:name="_Toc296347161"/>
      <w:bookmarkStart w:id="901" w:name="_Toc267251413"/>
      <w:bookmarkStart w:id="902" w:name="_Toc296890990"/>
      <w:bookmarkStart w:id="903" w:name="_Toc297120462"/>
      <w:bookmarkStart w:id="904" w:name="_Toc292559366"/>
      <w:bookmarkStart w:id="905" w:name="_Toc296891202"/>
      <w:bookmarkStart w:id="906" w:name="_Toc296503162"/>
      <w:bookmarkStart w:id="907" w:name="_Toc296346663"/>
      <w:bookmarkStart w:id="908" w:name="_Toc296944501"/>
      <w:r>
        <w:rPr>
          <w:rFonts w:hint="eastAsia" w:ascii="宋体" w:cs="宋体"/>
          <w:color w:val="auto"/>
          <w:highlight w:val="none"/>
        </w:rPr>
        <w:t>. 监</w:t>
      </w:r>
      <w:bookmarkEnd w:id="898"/>
      <w:bookmarkEnd w:id="899"/>
      <w:bookmarkEnd w:id="900"/>
      <w:bookmarkEnd w:id="901"/>
      <w:bookmarkEnd w:id="902"/>
      <w:bookmarkEnd w:id="903"/>
      <w:bookmarkEnd w:id="904"/>
      <w:bookmarkEnd w:id="905"/>
      <w:bookmarkEnd w:id="906"/>
      <w:bookmarkEnd w:id="907"/>
      <w:bookmarkEnd w:id="908"/>
      <w:r>
        <w:rPr>
          <w:rFonts w:hint="eastAsia" w:ascii="宋体" w:cs="宋体"/>
          <w:color w:val="auto"/>
          <w:highlight w:val="none"/>
        </w:rPr>
        <w:t>理人</w:t>
      </w:r>
      <w:bookmarkEnd w:id="895"/>
      <w:bookmarkEnd w:id="896"/>
      <w:bookmarkEnd w:id="897"/>
    </w:p>
    <w:p w14:paraId="22209523">
      <w:pPr>
        <w:pStyle w:val="321"/>
        <w:spacing w:line="440" w:lineRule="exact"/>
        <w:rPr>
          <w:rFonts w:hint="eastAsia" w:ascii="宋体" w:cs="宋体"/>
          <w:color w:val="auto"/>
          <w:highlight w:val="none"/>
        </w:rPr>
      </w:pPr>
      <w:bookmarkStart w:id="909" w:name="_Toc417904289"/>
      <w:bookmarkStart w:id="910" w:name="_Toc478389203"/>
      <w:r>
        <w:rPr>
          <w:rFonts w:hint="eastAsia" w:ascii="宋体" w:cs="宋体"/>
          <w:color w:val="auto"/>
          <w:highlight w:val="none"/>
        </w:rPr>
        <w:t>4.1监理人的一般规定</w:t>
      </w:r>
      <w:bookmarkEnd w:id="909"/>
      <w:bookmarkEnd w:id="910"/>
    </w:p>
    <w:p w14:paraId="570626E5">
      <w:pPr>
        <w:pStyle w:val="79"/>
        <w:spacing w:line="440" w:lineRule="exact"/>
        <w:rPr>
          <w:rFonts w:hint="eastAsia" w:cs="宋体"/>
          <w:color w:val="auto"/>
          <w:sz w:val="21"/>
          <w:highlight w:val="none"/>
        </w:rPr>
      </w:pPr>
      <w:r>
        <w:rPr>
          <w:rFonts w:hint="eastAsia" w:cs="宋体"/>
          <w:color w:val="auto"/>
          <w:sz w:val="21"/>
          <w:highlight w:val="none"/>
        </w:rPr>
        <w:t>关于监理人的监理内容：</w:t>
      </w:r>
      <w:r>
        <w:rPr>
          <w:rFonts w:hint="eastAsia" w:cs="宋体"/>
          <w:color w:val="auto"/>
          <w:sz w:val="21"/>
          <w:highlight w:val="none"/>
          <w:u w:val="single"/>
        </w:rPr>
        <w:t xml:space="preserve">  （签约时填写）</w:t>
      </w:r>
      <w:r>
        <w:rPr>
          <w:rFonts w:hint="eastAsia" w:cs="宋体"/>
          <w:color w:val="auto"/>
          <w:sz w:val="21"/>
          <w:highlight w:val="none"/>
        </w:rPr>
        <w:t>。</w:t>
      </w:r>
    </w:p>
    <w:p w14:paraId="220F0E76">
      <w:pPr>
        <w:pStyle w:val="79"/>
        <w:spacing w:line="440" w:lineRule="exact"/>
        <w:rPr>
          <w:rFonts w:hint="eastAsia" w:cs="宋体"/>
          <w:color w:val="auto"/>
          <w:sz w:val="21"/>
          <w:highlight w:val="none"/>
        </w:rPr>
      </w:pPr>
      <w:r>
        <w:rPr>
          <w:rFonts w:hint="eastAsia" w:cs="宋体"/>
          <w:color w:val="auto"/>
          <w:sz w:val="21"/>
          <w:highlight w:val="none"/>
        </w:rPr>
        <w:t>关于监理人的监理权限：</w:t>
      </w:r>
      <w:r>
        <w:rPr>
          <w:rFonts w:hint="eastAsia" w:cs="宋体"/>
          <w:color w:val="auto"/>
          <w:sz w:val="21"/>
          <w:highlight w:val="none"/>
          <w:u w:val="single"/>
        </w:rPr>
        <w:t xml:space="preserve">  （签约时填写）   </w:t>
      </w:r>
      <w:r>
        <w:rPr>
          <w:rFonts w:hint="eastAsia" w:cs="宋体"/>
          <w:color w:val="auto"/>
          <w:sz w:val="21"/>
          <w:highlight w:val="none"/>
        </w:rPr>
        <w:t xml:space="preserve">。 </w:t>
      </w:r>
    </w:p>
    <w:p w14:paraId="36AA9497">
      <w:pPr>
        <w:pStyle w:val="79"/>
        <w:spacing w:line="440" w:lineRule="exact"/>
        <w:ind w:firstLine="0" w:firstLineChars="0"/>
        <w:rPr>
          <w:rFonts w:hint="eastAsia" w:cs="宋体"/>
          <w:color w:val="auto"/>
          <w:sz w:val="21"/>
          <w:highlight w:val="none"/>
        </w:rPr>
      </w:pPr>
      <w:r>
        <w:rPr>
          <w:rFonts w:hint="eastAsia" w:cs="宋体"/>
          <w:color w:val="auto"/>
          <w:sz w:val="21"/>
          <w:highlight w:val="none"/>
        </w:rPr>
        <w:t>关于监理人在施工现场的办公场所、生活场所的提供和费用承担的约定：</w:t>
      </w:r>
      <w:r>
        <w:rPr>
          <w:rFonts w:hint="eastAsia" w:cs="宋体"/>
          <w:color w:val="auto"/>
          <w:sz w:val="21"/>
          <w:highlight w:val="none"/>
          <w:u w:val="single"/>
        </w:rPr>
        <w:t>发包人与</w:t>
      </w:r>
      <w:r>
        <w:rPr>
          <w:rFonts w:hint="eastAsia" w:cs="宋体"/>
          <w:color w:val="auto"/>
          <w:sz w:val="21"/>
          <w:highlight w:val="none"/>
        </w:rPr>
        <w:t>监理人约定。</w:t>
      </w:r>
    </w:p>
    <w:p w14:paraId="491348E2">
      <w:pPr>
        <w:pStyle w:val="321"/>
        <w:spacing w:line="440" w:lineRule="exact"/>
        <w:rPr>
          <w:rFonts w:hint="eastAsia" w:ascii="宋体" w:cs="宋体"/>
          <w:color w:val="auto"/>
          <w:highlight w:val="none"/>
        </w:rPr>
      </w:pPr>
      <w:bookmarkStart w:id="911" w:name="_Toc478389204"/>
      <w:bookmarkStart w:id="912" w:name="_Toc417904290"/>
      <w:r>
        <w:rPr>
          <w:rFonts w:hint="eastAsia" w:ascii="宋体" w:cs="宋体"/>
          <w:color w:val="auto"/>
          <w:highlight w:val="none"/>
        </w:rPr>
        <w:t>4.2 监理人员</w:t>
      </w:r>
      <w:bookmarkEnd w:id="911"/>
      <w:bookmarkEnd w:id="912"/>
    </w:p>
    <w:p w14:paraId="03DFF2C0">
      <w:pPr>
        <w:pStyle w:val="79"/>
        <w:spacing w:line="440" w:lineRule="exact"/>
        <w:rPr>
          <w:rFonts w:hint="eastAsia" w:cs="宋体"/>
          <w:color w:val="auto"/>
          <w:sz w:val="21"/>
          <w:highlight w:val="none"/>
        </w:rPr>
      </w:pPr>
      <w:r>
        <w:rPr>
          <w:rFonts w:hint="eastAsia" w:cs="宋体"/>
          <w:color w:val="auto"/>
          <w:sz w:val="21"/>
          <w:highlight w:val="none"/>
        </w:rPr>
        <w:t>总监理工程师：</w:t>
      </w:r>
    </w:p>
    <w:p w14:paraId="417071C3">
      <w:pPr>
        <w:pStyle w:val="79"/>
        <w:spacing w:line="440" w:lineRule="exact"/>
        <w:rPr>
          <w:rFonts w:hint="eastAsia" w:cs="宋体"/>
          <w:color w:val="auto"/>
          <w:sz w:val="21"/>
          <w:highlight w:val="none"/>
        </w:rPr>
      </w:pPr>
      <w:r>
        <w:rPr>
          <w:rFonts w:hint="eastAsia" w:cs="宋体"/>
          <w:color w:val="auto"/>
          <w:sz w:val="21"/>
          <w:highlight w:val="none"/>
        </w:rPr>
        <w:t>姓    名：</w:t>
      </w:r>
      <w:r>
        <w:rPr>
          <w:rFonts w:hint="eastAsia" w:cs="宋体"/>
          <w:color w:val="auto"/>
          <w:sz w:val="21"/>
          <w:highlight w:val="none"/>
          <w:u w:val="single"/>
        </w:rPr>
        <w:t xml:space="preserve">   （签约时填写）       </w:t>
      </w:r>
      <w:r>
        <w:rPr>
          <w:rFonts w:hint="eastAsia" w:cs="宋体"/>
          <w:color w:val="auto"/>
          <w:sz w:val="21"/>
          <w:highlight w:val="none"/>
        </w:rPr>
        <w:t>；</w:t>
      </w:r>
    </w:p>
    <w:p w14:paraId="11C920A8">
      <w:pPr>
        <w:pStyle w:val="79"/>
        <w:spacing w:line="440" w:lineRule="exact"/>
        <w:rPr>
          <w:rFonts w:hint="eastAsia" w:cs="宋体"/>
          <w:color w:val="auto"/>
          <w:sz w:val="21"/>
          <w:highlight w:val="none"/>
        </w:rPr>
      </w:pPr>
      <w:r>
        <w:rPr>
          <w:rFonts w:hint="eastAsia" w:cs="宋体"/>
          <w:color w:val="auto"/>
          <w:sz w:val="21"/>
          <w:highlight w:val="none"/>
        </w:rPr>
        <w:t>职    务：</w:t>
      </w:r>
      <w:r>
        <w:rPr>
          <w:rFonts w:hint="eastAsia" w:cs="宋体"/>
          <w:color w:val="auto"/>
          <w:sz w:val="21"/>
          <w:highlight w:val="none"/>
          <w:u w:val="single"/>
        </w:rPr>
        <w:t>（签约时填写）</w:t>
      </w:r>
      <w:r>
        <w:rPr>
          <w:rFonts w:hint="eastAsia" w:cs="宋体"/>
          <w:color w:val="auto"/>
          <w:sz w:val="21"/>
          <w:highlight w:val="none"/>
        </w:rPr>
        <w:t>；</w:t>
      </w:r>
    </w:p>
    <w:p w14:paraId="6BF68633">
      <w:pPr>
        <w:pStyle w:val="79"/>
        <w:spacing w:line="440" w:lineRule="exact"/>
        <w:rPr>
          <w:rFonts w:hint="eastAsia" w:cs="宋体"/>
          <w:color w:val="auto"/>
          <w:sz w:val="21"/>
          <w:highlight w:val="none"/>
        </w:rPr>
      </w:pPr>
      <w:r>
        <w:rPr>
          <w:rFonts w:hint="eastAsia" w:cs="宋体"/>
          <w:color w:val="auto"/>
          <w:sz w:val="21"/>
          <w:highlight w:val="none"/>
        </w:rPr>
        <w:t>监理工程师执业资格证书号：</w:t>
      </w:r>
      <w:r>
        <w:rPr>
          <w:rFonts w:hint="eastAsia" w:cs="宋体"/>
          <w:color w:val="auto"/>
          <w:sz w:val="21"/>
          <w:highlight w:val="none"/>
          <w:u w:val="single"/>
        </w:rPr>
        <w:t>（签约时填写）</w:t>
      </w:r>
      <w:r>
        <w:rPr>
          <w:rFonts w:hint="eastAsia" w:cs="宋体"/>
          <w:color w:val="auto"/>
          <w:sz w:val="21"/>
          <w:highlight w:val="none"/>
        </w:rPr>
        <w:t>；</w:t>
      </w:r>
    </w:p>
    <w:p w14:paraId="6B874311">
      <w:pPr>
        <w:pStyle w:val="79"/>
        <w:spacing w:line="440" w:lineRule="exact"/>
        <w:rPr>
          <w:rFonts w:hint="eastAsia" w:cs="宋体"/>
          <w:color w:val="auto"/>
          <w:sz w:val="21"/>
          <w:highlight w:val="none"/>
        </w:rPr>
      </w:pPr>
      <w:r>
        <w:rPr>
          <w:rFonts w:hint="eastAsia" w:cs="宋体"/>
          <w:color w:val="auto"/>
          <w:sz w:val="21"/>
          <w:highlight w:val="none"/>
        </w:rPr>
        <w:t>联系电话：</w:t>
      </w:r>
      <w:r>
        <w:rPr>
          <w:rFonts w:hint="eastAsia" w:cs="宋体"/>
          <w:color w:val="auto"/>
          <w:sz w:val="21"/>
          <w:highlight w:val="none"/>
          <w:u w:val="single"/>
        </w:rPr>
        <w:t>（签约时填写）</w:t>
      </w:r>
      <w:r>
        <w:rPr>
          <w:rFonts w:hint="eastAsia" w:cs="宋体"/>
          <w:color w:val="auto"/>
          <w:sz w:val="21"/>
          <w:highlight w:val="none"/>
        </w:rPr>
        <w:t>；</w:t>
      </w:r>
    </w:p>
    <w:p w14:paraId="3F24DCC9">
      <w:pPr>
        <w:pStyle w:val="79"/>
        <w:spacing w:line="440" w:lineRule="exact"/>
        <w:rPr>
          <w:rFonts w:hint="eastAsia" w:cs="宋体"/>
          <w:color w:val="auto"/>
          <w:sz w:val="21"/>
          <w:highlight w:val="none"/>
        </w:rPr>
      </w:pPr>
      <w:r>
        <w:rPr>
          <w:rFonts w:hint="eastAsia" w:cs="宋体"/>
          <w:color w:val="auto"/>
          <w:sz w:val="21"/>
          <w:highlight w:val="none"/>
        </w:rPr>
        <w:t>电子信箱：</w:t>
      </w:r>
      <w:r>
        <w:rPr>
          <w:rFonts w:hint="eastAsia" w:cs="宋体"/>
          <w:color w:val="auto"/>
          <w:sz w:val="21"/>
          <w:highlight w:val="none"/>
          <w:u w:val="single"/>
        </w:rPr>
        <w:t>（签约时填写）</w:t>
      </w:r>
      <w:r>
        <w:rPr>
          <w:rFonts w:hint="eastAsia" w:cs="宋体"/>
          <w:color w:val="auto"/>
          <w:sz w:val="21"/>
          <w:highlight w:val="none"/>
        </w:rPr>
        <w:t>；</w:t>
      </w:r>
    </w:p>
    <w:p w14:paraId="0436DD5F">
      <w:pPr>
        <w:pStyle w:val="79"/>
        <w:spacing w:line="440" w:lineRule="exact"/>
        <w:rPr>
          <w:rFonts w:hint="eastAsia" w:cs="宋体"/>
          <w:color w:val="auto"/>
          <w:sz w:val="21"/>
          <w:highlight w:val="none"/>
        </w:rPr>
      </w:pPr>
      <w:r>
        <w:rPr>
          <w:rFonts w:hint="eastAsia" w:cs="宋体"/>
          <w:color w:val="auto"/>
          <w:sz w:val="21"/>
          <w:highlight w:val="none"/>
        </w:rPr>
        <w:t>通信地址：</w:t>
      </w:r>
      <w:r>
        <w:rPr>
          <w:rFonts w:hint="eastAsia" w:cs="宋体"/>
          <w:color w:val="auto"/>
          <w:sz w:val="21"/>
          <w:highlight w:val="none"/>
          <w:u w:val="single"/>
        </w:rPr>
        <w:t>（签约时填写）</w:t>
      </w:r>
      <w:r>
        <w:rPr>
          <w:rFonts w:hint="eastAsia" w:cs="宋体"/>
          <w:color w:val="auto"/>
          <w:sz w:val="21"/>
          <w:highlight w:val="none"/>
        </w:rPr>
        <w:t>；</w:t>
      </w:r>
    </w:p>
    <w:p w14:paraId="47D72A87">
      <w:pPr>
        <w:pStyle w:val="79"/>
        <w:spacing w:line="440" w:lineRule="exact"/>
        <w:rPr>
          <w:rFonts w:hint="eastAsia" w:cs="宋体"/>
          <w:color w:val="auto"/>
          <w:sz w:val="21"/>
          <w:highlight w:val="none"/>
        </w:rPr>
      </w:pPr>
      <w:r>
        <w:rPr>
          <w:rFonts w:hint="eastAsia" w:cs="宋体"/>
          <w:color w:val="auto"/>
          <w:sz w:val="21"/>
          <w:highlight w:val="none"/>
        </w:rPr>
        <w:t>关于监理人的其他约定：</w:t>
      </w:r>
      <w:r>
        <w:rPr>
          <w:rFonts w:hint="eastAsia" w:cs="宋体"/>
          <w:color w:val="auto"/>
          <w:sz w:val="21"/>
          <w:highlight w:val="none"/>
          <w:u w:val="single"/>
        </w:rPr>
        <w:t>（签约时填写）</w:t>
      </w:r>
      <w:r>
        <w:rPr>
          <w:rFonts w:hint="eastAsia" w:cs="宋体"/>
          <w:color w:val="auto"/>
          <w:sz w:val="21"/>
          <w:highlight w:val="none"/>
        </w:rPr>
        <w:t>。</w:t>
      </w:r>
    </w:p>
    <w:p w14:paraId="24874C8B">
      <w:pPr>
        <w:pStyle w:val="321"/>
        <w:spacing w:line="400" w:lineRule="exact"/>
        <w:rPr>
          <w:rFonts w:hint="eastAsia" w:ascii="宋体" w:cs="宋体"/>
          <w:color w:val="auto"/>
          <w:highlight w:val="none"/>
        </w:rPr>
      </w:pPr>
      <w:bookmarkStart w:id="913" w:name="_Toc417904291"/>
      <w:bookmarkStart w:id="914" w:name="_Toc478389205"/>
      <w:r>
        <w:rPr>
          <w:rFonts w:hint="eastAsia" w:ascii="宋体" w:cs="宋体"/>
          <w:color w:val="auto"/>
          <w:highlight w:val="none"/>
        </w:rPr>
        <w:t>4.4 商定或确定</w:t>
      </w:r>
      <w:bookmarkEnd w:id="913"/>
      <w:bookmarkEnd w:id="914"/>
    </w:p>
    <w:p w14:paraId="75903F9E">
      <w:pPr>
        <w:pStyle w:val="79"/>
        <w:spacing w:line="400" w:lineRule="exact"/>
        <w:rPr>
          <w:rFonts w:hint="eastAsia" w:cs="宋体"/>
          <w:color w:val="auto"/>
          <w:sz w:val="21"/>
          <w:highlight w:val="none"/>
        </w:rPr>
      </w:pPr>
      <w:bookmarkStart w:id="915" w:name="_Toc267251418"/>
      <w:r>
        <w:rPr>
          <w:rFonts w:hint="eastAsia" w:cs="宋体"/>
          <w:color w:val="auto"/>
          <w:sz w:val="21"/>
          <w:highlight w:val="none"/>
        </w:rPr>
        <w:t>在发包人和承包人不能通过协商达成一致意见时，发包人授权监理人对以下事项进行确定：</w:t>
      </w:r>
    </w:p>
    <w:p w14:paraId="39E58969">
      <w:pPr>
        <w:pStyle w:val="79"/>
        <w:spacing w:line="400" w:lineRule="exact"/>
        <w:rPr>
          <w:rFonts w:hint="eastAsia" w:cs="宋体"/>
          <w:color w:val="auto"/>
          <w:sz w:val="21"/>
          <w:highlight w:val="none"/>
        </w:rPr>
      </w:pPr>
      <w:r>
        <w:rPr>
          <w:rFonts w:hint="eastAsia" w:cs="宋体"/>
          <w:color w:val="auto"/>
          <w:sz w:val="21"/>
          <w:highlight w:val="none"/>
        </w:rPr>
        <w:t>（1）</w:t>
      </w:r>
      <w:r>
        <w:rPr>
          <w:rFonts w:hint="eastAsia" w:cs="宋体"/>
          <w:color w:val="auto"/>
          <w:sz w:val="21"/>
          <w:highlight w:val="none"/>
          <w:u w:val="single"/>
        </w:rPr>
        <w:t xml:space="preserve">      （签约时填写）        </w:t>
      </w:r>
      <w:r>
        <w:rPr>
          <w:rFonts w:hint="eastAsia" w:cs="宋体"/>
          <w:color w:val="auto"/>
          <w:sz w:val="21"/>
          <w:highlight w:val="none"/>
        </w:rPr>
        <w:t>；</w:t>
      </w:r>
    </w:p>
    <w:p w14:paraId="35D5421C">
      <w:pPr>
        <w:pStyle w:val="79"/>
        <w:spacing w:line="400" w:lineRule="exact"/>
        <w:rPr>
          <w:rFonts w:hint="eastAsia" w:cs="宋体"/>
          <w:color w:val="auto"/>
          <w:sz w:val="21"/>
          <w:highlight w:val="none"/>
        </w:rPr>
      </w:pPr>
      <w:r>
        <w:rPr>
          <w:rFonts w:hint="eastAsia" w:cs="宋体"/>
          <w:color w:val="auto"/>
          <w:sz w:val="21"/>
          <w:highlight w:val="none"/>
        </w:rPr>
        <w:t>（2）</w:t>
      </w:r>
      <w:r>
        <w:rPr>
          <w:rFonts w:hint="eastAsia" w:cs="宋体"/>
          <w:color w:val="auto"/>
          <w:sz w:val="21"/>
          <w:highlight w:val="none"/>
          <w:u w:val="single"/>
        </w:rPr>
        <w:t xml:space="preserve">     （签约时填写）          </w:t>
      </w:r>
      <w:r>
        <w:rPr>
          <w:rFonts w:hint="eastAsia" w:cs="宋体"/>
          <w:color w:val="auto"/>
          <w:sz w:val="21"/>
          <w:highlight w:val="none"/>
        </w:rPr>
        <w:t>；</w:t>
      </w:r>
    </w:p>
    <w:p w14:paraId="5155F227">
      <w:pPr>
        <w:pStyle w:val="79"/>
        <w:spacing w:line="400" w:lineRule="exact"/>
        <w:rPr>
          <w:rFonts w:hint="eastAsia" w:cs="宋体"/>
          <w:color w:val="auto"/>
          <w:sz w:val="21"/>
          <w:highlight w:val="none"/>
        </w:rPr>
      </w:pPr>
      <w:r>
        <w:rPr>
          <w:rFonts w:hint="eastAsia" w:cs="宋体"/>
          <w:color w:val="auto"/>
          <w:sz w:val="21"/>
          <w:highlight w:val="none"/>
        </w:rPr>
        <w:t>（3）</w:t>
      </w:r>
      <w:r>
        <w:rPr>
          <w:rFonts w:hint="eastAsia" w:cs="宋体"/>
          <w:color w:val="auto"/>
          <w:sz w:val="21"/>
          <w:highlight w:val="none"/>
          <w:u w:val="single"/>
        </w:rPr>
        <w:t xml:space="preserve">      （签约时填写）     </w:t>
      </w:r>
      <w:r>
        <w:rPr>
          <w:rFonts w:hint="eastAsia" w:cs="宋体"/>
          <w:color w:val="auto"/>
          <w:sz w:val="21"/>
          <w:highlight w:val="none"/>
        </w:rPr>
        <w:t>。</w:t>
      </w:r>
    </w:p>
    <w:p w14:paraId="6937B508">
      <w:pPr>
        <w:pStyle w:val="321"/>
        <w:spacing w:line="400" w:lineRule="exact"/>
        <w:rPr>
          <w:rFonts w:hint="eastAsia" w:ascii="宋体" w:cs="宋体"/>
          <w:color w:val="auto"/>
          <w:highlight w:val="none"/>
        </w:rPr>
      </w:pPr>
      <w:bookmarkStart w:id="916" w:name="_Toc351203637"/>
      <w:bookmarkStart w:id="917" w:name="_Toc478389206"/>
      <w:bookmarkStart w:id="918" w:name="_Toc417904292"/>
      <w:r>
        <w:rPr>
          <w:rFonts w:hint="eastAsia" w:ascii="宋体" w:cs="宋体"/>
          <w:color w:val="auto"/>
          <w:highlight w:val="none"/>
        </w:rPr>
        <w:t>5</w:t>
      </w:r>
      <w:bookmarkEnd w:id="915"/>
      <w:bookmarkStart w:id="919" w:name="_Toc296503163"/>
      <w:bookmarkStart w:id="920" w:name="_Toc296346664"/>
      <w:bookmarkStart w:id="921" w:name="_Toc296347162"/>
      <w:bookmarkStart w:id="922" w:name="_Toc296891203"/>
      <w:bookmarkStart w:id="923" w:name="_Toc292559367"/>
      <w:bookmarkStart w:id="924" w:name="_Toc297048349"/>
      <w:bookmarkStart w:id="925" w:name="_Toc296890991"/>
      <w:bookmarkStart w:id="926" w:name="_Toc292559872"/>
      <w:bookmarkStart w:id="927" w:name="_Toc296944502"/>
      <w:bookmarkStart w:id="928" w:name="_Toc297120463"/>
      <w:r>
        <w:rPr>
          <w:rFonts w:hint="eastAsia" w:ascii="宋体" w:cs="宋体"/>
          <w:color w:val="auto"/>
          <w:highlight w:val="none"/>
        </w:rPr>
        <w:t>. 工程质量</w:t>
      </w:r>
      <w:bookmarkEnd w:id="916"/>
      <w:bookmarkEnd w:id="917"/>
      <w:bookmarkEnd w:id="918"/>
    </w:p>
    <w:p w14:paraId="1928DF35">
      <w:pPr>
        <w:pStyle w:val="321"/>
        <w:spacing w:line="400" w:lineRule="exact"/>
        <w:rPr>
          <w:rFonts w:hint="eastAsia" w:ascii="宋体" w:cs="宋体"/>
          <w:color w:val="auto"/>
          <w:highlight w:val="none"/>
        </w:rPr>
      </w:pPr>
      <w:bookmarkStart w:id="929" w:name="_Toc417904293"/>
      <w:bookmarkStart w:id="930" w:name="_Toc478389207"/>
      <w:r>
        <w:rPr>
          <w:rFonts w:hint="eastAsia" w:ascii="宋体" w:cs="宋体"/>
          <w:color w:val="auto"/>
          <w:highlight w:val="none"/>
        </w:rPr>
        <w:t>5.1 质量要求</w:t>
      </w:r>
      <w:bookmarkEnd w:id="929"/>
      <w:bookmarkEnd w:id="930"/>
    </w:p>
    <w:p w14:paraId="5007ABED">
      <w:pPr>
        <w:pStyle w:val="79"/>
        <w:spacing w:line="400" w:lineRule="exact"/>
        <w:rPr>
          <w:rFonts w:hint="eastAsia" w:cs="宋体"/>
          <w:color w:val="auto"/>
          <w:sz w:val="21"/>
          <w:highlight w:val="none"/>
        </w:rPr>
      </w:pPr>
      <w:r>
        <w:rPr>
          <w:rFonts w:hint="eastAsia" w:cs="宋体"/>
          <w:color w:val="auto"/>
          <w:sz w:val="21"/>
          <w:highlight w:val="none"/>
        </w:rPr>
        <w:t>5</w:t>
      </w:r>
      <w:bookmarkStart w:id="931" w:name="_Toc297216155"/>
      <w:bookmarkStart w:id="932" w:name="_Toc304295527"/>
      <w:bookmarkStart w:id="933" w:name="_Toc312677997"/>
      <w:bookmarkStart w:id="934" w:name="_Toc318581164"/>
      <w:bookmarkStart w:id="935" w:name="_Toc300934949"/>
      <w:bookmarkStart w:id="936" w:name="_Toc303539106"/>
      <w:bookmarkStart w:id="937" w:name="_Toc297123496"/>
      <w:r>
        <w:rPr>
          <w:rFonts w:hint="eastAsia" w:cs="宋体"/>
          <w:color w:val="auto"/>
          <w:sz w:val="21"/>
          <w:highlight w:val="none"/>
        </w:rPr>
        <w:t>.1.1 特殊质量标准和要求：</w:t>
      </w:r>
      <w:r>
        <w:rPr>
          <w:rFonts w:hint="eastAsia" w:cs="宋体"/>
          <w:color w:val="auto"/>
          <w:sz w:val="21"/>
          <w:highlight w:val="none"/>
          <w:u w:val="single"/>
        </w:rPr>
        <w:t xml:space="preserve">   无  </w:t>
      </w:r>
      <w:r>
        <w:rPr>
          <w:rFonts w:hint="eastAsia" w:cs="宋体"/>
          <w:color w:val="auto"/>
          <w:sz w:val="21"/>
          <w:highlight w:val="none"/>
        </w:rPr>
        <w:t>。</w:t>
      </w:r>
    </w:p>
    <w:p w14:paraId="515B7B5D">
      <w:pPr>
        <w:pStyle w:val="79"/>
        <w:spacing w:line="400" w:lineRule="exact"/>
        <w:rPr>
          <w:rFonts w:hint="eastAsia" w:cs="宋体"/>
          <w:color w:val="auto"/>
          <w:sz w:val="21"/>
          <w:highlight w:val="none"/>
        </w:rPr>
      </w:pPr>
      <w:r>
        <w:rPr>
          <w:rFonts w:hint="eastAsia" w:cs="宋体"/>
          <w:color w:val="auto"/>
          <w:sz w:val="21"/>
          <w:highlight w:val="none"/>
        </w:rPr>
        <w:t>关于工程奖项的约定：</w:t>
      </w:r>
      <w:r>
        <w:rPr>
          <w:rFonts w:hint="eastAsia" w:cs="宋体"/>
          <w:color w:val="auto"/>
          <w:sz w:val="21"/>
          <w:highlight w:val="none"/>
          <w:u w:val="single"/>
        </w:rPr>
        <w:t xml:space="preserve">   无   </w:t>
      </w:r>
      <w:r>
        <w:rPr>
          <w:rFonts w:hint="eastAsia" w:cs="宋体"/>
          <w:color w:val="auto"/>
          <w:sz w:val="21"/>
          <w:highlight w:val="none"/>
        </w:rPr>
        <w:t>。</w:t>
      </w:r>
    </w:p>
    <w:p w14:paraId="3D987793">
      <w:pPr>
        <w:pStyle w:val="321"/>
        <w:spacing w:line="400" w:lineRule="exact"/>
        <w:rPr>
          <w:rFonts w:hint="eastAsia" w:ascii="宋体" w:cs="宋体"/>
          <w:color w:val="auto"/>
          <w:highlight w:val="none"/>
        </w:rPr>
      </w:pPr>
      <w:bookmarkStart w:id="938" w:name="_Toc478389208"/>
      <w:bookmarkStart w:id="939" w:name="_Toc417904294"/>
      <w:r>
        <w:rPr>
          <w:rFonts w:hint="eastAsia" w:ascii="宋体" w:cs="宋体"/>
          <w:color w:val="auto"/>
          <w:highlight w:val="none"/>
        </w:rPr>
        <w:t>5.3 隐蔽工程检查</w:t>
      </w:r>
      <w:bookmarkEnd w:id="938"/>
      <w:bookmarkEnd w:id="939"/>
    </w:p>
    <w:p w14:paraId="1D30259C">
      <w:pPr>
        <w:pStyle w:val="79"/>
        <w:spacing w:line="400" w:lineRule="exact"/>
        <w:rPr>
          <w:rFonts w:hint="eastAsia" w:cs="宋体"/>
          <w:color w:val="auto"/>
          <w:sz w:val="21"/>
          <w:highlight w:val="none"/>
        </w:rPr>
      </w:pPr>
      <w:r>
        <w:rPr>
          <w:rFonts w:hint="eastAsia" w:cs="宋体"/>
          <w:color w:val="auto"/>
          <w:sz w:val="21"/>
          <w:highlight w:val="none"/>
        </w:rPr>
        <w:t>5.3.2承包人提前通知发包人隐蔽工程检查的期限的约定：</w:t>
      </w:r>
      <w:r>
        <w:rPr>
          <w:rFonts w:hint="eastAsia" w:cs="宋体"/>
          <w:color w:val="auto"/>
          <w:sz w:val="21"/>
          <w:highlight w:val="none"/>
          <w:u w:val="single"/>
        </w:rPr>
        <w:t>　提前</w:t>
      </w:r>
      <w:r>
        <w:rPr>
          <w:rFonts w:hint="eastAsia" w:cs="宋体"/>
          <w:color w:val="auto"/>
          <w:sz w:val="21"/>
          <w:highlight w:val="none"/>
          <w:u w:val="single"/>
          <w:lang w:val="en-US" w:eastAsia="zh-CN"/>
        </w:rPr>
        <w:t>48小时</w:t>
      </w:r>
      <w:r>
        <w:rPr>
          <w:rFonts w:hint="eastAsia" w:cs="宋体"/>
          <w:color w:val="auto"/>
          <w:sz w:val="21"/>
          <w:highlight w:val="none"/>
          <w:u w:val="single"/>
        </w:rPr>
        <w:t xml:space="preserve">   </w:t>
      </w:r>
      <w:r>
        <w:rPr>
          <w:rFonts w:hint="eastAsia" w:cs="宋体"/>
          <w:color w:val="auto"/>
          <w:sz w:val="21"/>
          <w:highlight w:val="none"/>
        </w:rPr>
        <w:t>。</w:t>
      </w:r>
    </w:p>
    <w:p w14:paraId="5B1F9807">
      <w:pPr>
        <w:pStyle w:val="79"/>
        <w:spacing w:line="400" w:lineRule="exact"/>
        <w:rPr>
          <w:rFonts w:hint="eastAsia" w:cs="宋体"/>
          <w:color w:val="auto"/>
          <w:sz w:val="21"/>
          <w:highlight w:val="none"/>
        </w:rPr>
      </w:pPr>
      <w:r>
        <w:rPr>
          <w:rFonts w:hint="eastAsia" w:cs="宋体"/>
          <w:color w:val="auto"/>
          <w:sz w:val="21"/>
          <w:highlight w:val="none"/>
        </w:rPr>
        <w:t>发包人不能按时进行检查时，应提前</w:t>
      </w:r>
      <w:r>
        <w:rPr>
          <w:rFonts w:hint="eastAsia" w:cs="宋体"/>
          <w:color w:val="auto"/>
          <w:sz w:val="21"/>
          <w:highlight w:val="none"/>
          <w:u w:val="single"/>
        </w:rPr>
        <w:t xml:space="preserve">  24  </w:t>
      </w:r>
      <w:r>
        <w:rPr>
          <w:rFonts w:hint="eastAsia" w:cs="宋体"/>
          <w:color w:val="auto"/>
          <w:sz w:val="21"/>
          <w:highlight w:val="none"/>
        </w:rPr>
        <w:t>小时提交书面延期要求。</w:t>
      </w:r>
    </w:p>
    <w:p w14:paraId="661833E2">
      <w:pPr>
        <w:pStyle w:val="79"/>
        <w:spacing w:line="400" w:lineRule="exact"/>
        <w:rPr>
          <w:rFonts w:hint="eastAsia" w:cs="宋体"/>
          <w:color w:val="auto"/>
          <w:sz w:val="21"/>
          <w:highlight w:val="none"/>
        </w:rPr>
      </w:pPr>
      <w:r>
        <w:rPr>
          <w:rFonts w:hint="eastAsia" w:cs="宋体"/>
          <w:color w:val="auto"/>
          <w:sz w:val="21"/>
          <w:highlight w:val="none"/>
        </w:rPr>
        <w:t>关于延期最长不得超过：</w:t>
      </w:r>
      <w:r>
        <w:rPr>
          <w:rFonts w:hint="eastAsia" w:cs="宋体"/>
          <w:color w:val="auto"/>
          <w:sz w:val="21"/>
          <w:highlight w:val="none"/>
          <w:u w:val="single"/>
        </w:rPr>
        <w:t xml:space="preserve">  48  </w:t>
      </w:r>
      <w:r>
        <w:rPr>
          <w:rFonts w:hint="eastAsia" w:cs="宋体"/>
          <w:color w:val="auto"/>
          <w:sz w:val="21"/>
          <w:highlight w:val="none"/>
        </w:rPr>
        <w:t>小时。</w:t>
      </w:r>
    </w:p>
    <w:p w14:paraId="498B6228">
      <w:pPr>
        <w:pStyle w:val="79"/>
        <w:spacing w:line="400" w:lineRule="exact"/>
        <w:rPr>
          <w:rFonts w:hint="eastAsia" w:cs="宋体"/>
          <w:color w:val="auto"/>
          <w:sz w:val="21"/>
          <w:highlight w:val="none"/>
        </w:rPr>
      </w:pPr>
    </w:p>
    <w:p w14:paraId="03417872">
      <w:pPr>
        <w:pStyle w:val="321"/>
        <w:spacing w:line="400" w:lineRule="exact"/>
        <w:rPr>
          <w:rFonts w:hint="eastAsia" w:ascii="宋体" w:cs="宋体"/>
          <w:color w:val="auto"/>
          <w:highlight w:val="none"/>
        </w:rPr>
      </w:pPr>
      <w:bookmarkStart w:id="940" w:name="_Toc417904295"/>
      <w:bookmarkStart w:id="941" w:name="_Toc351203638"/>
      <w:bookmarkStart w:id="942" w:name="_Toc478389209"/>
      <w:r>
        <w:rPr>
          <w:rFonts w:hint="eastAsia" w:ascii="宋体" w:cs="宋体"/>
          <w:color w:val="auto"/>
          <w:highlight w:val="none"/>
        </w:rPr>
        <w:t>6. 安全文明施工与环境保护</w:t>
      </w:r>
      <w:bookmarkEnd w:id="940"/>
      <w:bookmarkEnd w:id="941"/>
      <w:bookmarkEnd w:id="942"/>
    </w:p>
    <w:p w14:paraId="01B64DB6">
      <w:pPr>
        <w:pStyle w:val="321"/>
        <w:spacing w:line="400" w:lineRule="exact"/>
        <w:rPr>
          <w:rFonts w:hint="eastAsia" w:ascii="宋体" w:cs="宋体"/>
          <w:color w:val="auto"/>
          <w:highlight w:val="none"/>
        </w:rPr>
      </w:pPr>
      <w:bookmarkStart w:id="943" w:name="_Toc478389210"/>
      <w:bookmarkStart w:id="944" w:name="_Toc417904296"/>
      <w:r>
        <w:rPr>
          <w:rFonts w:hint="eastAsia" w:ascii="宋体" w:cs="宋体"/>
          <w:color w:val="auto"/>
          <w:highlight w:val="none"/>
        </w:rPr>
        <w:t>6.1安全文明施工</w:t>
      </w:r>
      <w:bookmarkEnd w:id="943"/>
      <w:bookmarkEnd w:id="944"/>
    </w:p>
    <w:p w14:paraId="49CFFD9C">
      <w:pPr>
        <w:pStyle w:val="79"/>
        <w:spacing w:line="400" w:lineRule="exact"/>
        <w:rPr>
          <w:rFonts w:hint="eastAsia" w:cs="宋体"/>
          <w:color w:val="auto"/>
          <w:sz w:val="21"/>
          <w:highlight w:val="none"/>
        </w:rPr>
      </w:pPr>
      <w:r>
        <w:rPr>
          <w:rFonts w:hint="eastAsia" w:cs="宋体"/>
          <w:color w:val="auto"/>
          <w:sz w:val="21"/>
          <w:highlight w:val="none"/>
        </w:rPr>
        <w:t>6.1.1 项目安全生产的达标目标及相应事项的约定：</w:t>
      </w:r>
      <w:r>
        <w:rPr>
          <w:rFonts w:hint="eastAsia" w:cs="宋体"/>
          <w:color w:val="auto"/>
          <w:sz w:val="21"/>
          <w:highlight w:val="none"/>
          <w:u w:val="single"/>
        </w:rPr>
        <w:t xml:space="preserve">  按国家规定  </w:t>
      </w:r>
      <w:r>
        <w:rPr>
          <w:rFonts w:hint="eastAsia" w:cs="宋体"/>
          <w:color w:val="auto"/>
          <w:sz w:val="21"/>
          <w:highlight w:val="none"/>
        </w:rPr>
        <w:t>。</w:t>
      </w:r>
    </w:p>
    <w:p w14:paraId="4B4126E1">
      <w:pPr>
        <w:pStyle w:val="79"/>
        <w:spacing w:line="400" w:lineRule="exact"/>
        <w:rPr>
          <w:rFonts w:hint="eastAsia" w:cs="宋体"/>
          <w:color w:val="auto"/>
          <w:sz w:val="21"/>
          <w:highlight w:val="none"/>
        </w:rPr>
      </w:pPr>
      <w:r>
        <w:rPr>
          <w:rFonts w:hint="eastAsia" w:cs="宋体"/>
          <w:color w:val="auto"/>
          <w:sz w:val="21"/>
          <w:highlight w:val="none"/>
        </w:rPr>
        <w:t>6.1.4关于治安保卫的特别约定：</w:t>
      </w:r>
      <w:r>
        <w:rPr>
          <w:rFonts w:hint="eastAsia" w:cs="宋体"/>
          <w:color w:val="auto"/>
          <w:sz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1D7D5670">
      <w:pPr>
        <w:pStyle w:val="79"/>
        <w:spacing w:line="400" w:lineRule="exact"/>
        <w:rPr>
          <w:rFonts w:hint="eastAsia" w:cs="宋体"/>
          <w:color w:val="auto"/>
          <w:sz w:val="21"/>
          <w:highlight w:val="none"/>
        </w:rPr>
      </w:pPr>
      <w:r>
        <w:rPr>
          <w:rFonts w:hint="eastAsia" w:cs="宋体"/>
          <w:color w:val="auto"/>
          <w:sz w:val="21"/>
          <w:highlight w:val="none"/>
        </w:rPr>
        <w:t>关于编制施工场地治安管理计划的约定：</w:t>
      </w:r>
      <w:r>
        <w:rPr>
          <w:rFonts w:hint="eastAsia" w:cs="宋体"/>
          <w:color w:val="auto"/>
          <w:sz w:val="21"/>
          <w:highlight w:val="none"/>
          <w:u w:val="single"/>
        </w:rPr>
        <w:t xml:space="preserve">   合同签订后7天内      </w:t>
      </w:r>
      <w:r>
        <w:rPr>
          <w:rFonts w:hint="eastAsia" w:cs="宋体"/>
          <w:color w:val="auto"/>
          <w:sz w:val="21"/>
          <w:highlight w:val="none"/>
        </w:rPr>
        <w:t>。</w:t>
      </w:r>
    </w:p>
    <w:p w14:paraId="6C69D236">
      <w:pPr>
        <w:pStyle w:val="79"/>
        <w:spacing w:line="400" w:lineRule="exact"/>
        <w:rPr>
          <w:rFonts w:hint="eastAsia" w:cs="宋体"/>
          <w:color w:val="auto"/>
          <w:sz w:val="21"/>
          <w:highlight w:val="none"/>
        </w:rPr>
      </w:pPr>
      <w:r>
        <w:rPr>
          <w:rFonts w:hint="eastAsia" w:cs="宋体"/>
          <w:color w:val="auto"/>
          <w:sz w:val="21"/>
          <w:highlight w:val="none"/>
        </w:rPr>
        <w:t>6.1.5 文明施工</w:t>
      </w:r>
    </w:p>
    <w:p w14:paraId="32B2656B">
      <w:pPr>
        <w:pStyle w:val="79"/>
        <w:spacing w:line="400" w:lineRule="exact"/>
        <w:rPr>
          <w:rFonts w:hint="eastAsia" w:cs="宋体"/>
          <w:color w:val="auto"/>
          <w:sz w:val="21"/>
          <w:highlight w:val="none"/>
        </w:rPr>
      </w:pPr>
      <w:r>
        <w:rPr>
          <w:rFonts w:hint="eastAsia" w:cs="宋体"/>
          <w:color w:val="auto"/>
          <w:sz w:val="21"/>
          <w:highlight w:val="none"/>
        </w:rPr>
        <w:t>合同当事人对文明施工的要求：</w:t>
      </w:r>
      <w:r>
        <w:rPr>
          <w:rFonts w:hint="eastAsia" w:cs="宋体"/>
          <w:color w:val="auto"/>
          <w:sz w:val="21"/>
          <w:highlight w:val="none"/>
          <w:u w:val="single"/>
        </w:rPr>
        <w:t xml:space="preserve"> 按国家及地方安全文明施工的有关规定及</w:t>
      </w:r>
      <w:r>
        <w:rPr>
          <w:rFonts w:hint="eastAsia" w:cs="宋体"/>
          <w:color w:val="auto"/>
          <w:sz w:val="21"/>
          <w:highlight w:val="none"/>
          <w:u w:val="single"/>
          <w:lang w:eastAsia="zh-CN"/>
        </w:rPr>
        <w:t>发包人</w:t>
      </w:r>
      <w:r>
        <w:rPr>
          <w:rFonts w:hint="eastAsia" w:cs="宋体"/>
          <w:color w:val="auto"/>
          <w:sz w:val="21"/>
          <w:highlight w:val="none"/>
          <w:u w:val="single"/>
        </w:rPr>
        <w:t>单位相关管理要求执行</w:t>
      </w:r>
      <w:r>
        <w:rPr>
          <w:rFonts w:hint="eastAsia" w:cs="宋体"/>
          <w:color w:val="auto"/>
          <w:sz w:val="21"/>
          <w:highlight w:val="none"/>
        </w:rPr>
        <w:t>。</w:t>
      </w:r>
    </w:p>
    <w:p w14:paraId="00E980D5">
      <w:pPr>
        <w:pStyle w:val="79"/>
        <w:spacing w:line="400" w:lineRule="exact"/>
        <w:rPr>
          <w:rFonts w:hint="eastAsia" w:cs="宋体"/>
          <w:color w:val="auto"/>
          <w:sz w:val="21"/>
          <w:highlight w:val="none"/>
          <w:u w:val="single"/>
        </w:rPr>
      </w:pPr>
      <w:r>
        <w:rPr>
          <w:rFonts w:hint="eastAsia" w:cs="宋体"/>
          <w:color w:val="auto"/>
          <w:sz w:val="21"/>
          <w:highlight w:val="none"/>
        </w:rPr>
        <w:t>6.1.6关于安全文明施工费支付比例和支付期限的约定：</w:t>
      </w:r>
      <w:r>
        <w:rPr>
          <w:rFonts w:hint="eastAsia" w:cs="宋体"/>
          <w:color w:val="auto"/>
          <w:sz w:val="21"/>
          <w:highlight w:val="none"/>
          <w:u w:val="single"/>
        </w:rPr>
        <w:t>使用要求：专款专用。具体按桂建质（2015）16号文《广西壮族自治区建设工程安全文明施工费使用管理细则》执行。</w:t>
      </w:r>
    </w:p>
    <w:p w14:paraId="19001F62">
      <w:pPr>
        <w:pStyle w:val="321"/>
        <w:spacing w:line="400" w:lineRule="exact"/>
        <w:rPr>
          <w:rFonts w:hint="eastAsia" w:ascii="宋体" w:cs="宋体"/>
          <w:color w:val="auto"/>
          <w:highlight w:val="none"/>
        </w:rPr>
      </w:pPr>
      <w:bookmarkStart w:id="945" w:name="_Toc478389211"/>
      <w:bookmarkStart w:id="946" w:name="_Toc389065287"/>
      <w:bookmarkStart w:id="947" w:name="_Toc373227721"/>
      <w:bookmarkStart w:id="948" w:name="_Toc395382523"/>
      <w:bookmarkStart w:id="949" w:name="_Toc373478368"/>
      <w:r>
        <w:rPr>
          <w:rFonts w:hint="eastAsia" w:ascii="宋体" w:cs="宋体"/>
          <w:color w:val="auto"/>
          <w:highlight w:val="none"/>
        </w:rPr>
        <w:t>6.3环境保护</w:t>
      </w:r>
      <w:bookmarkEnd w:id="945"/>
      <w:bookmarkEnd w:id="946"/>
      <w:bookmarkEnd w:id="947"/>
      <w:bookmarkEnd w:id="948"/>
      <w:bookmarkEnd w:id="949"/>
    </w:p>
    <w:p w14:paraId="34C0A854">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因施工需要，经发包人批准，由承包人办理有关施工场地交通、环卫和施工噪音管理等手续，费用由承包人负责。</w:t>
      </w:r>
    </w:p>
    <w:p w14:paraId="5E06668F">
      <w:pPr>
        <w:pStyle w:val="79"/>
        <w:spacing w:line="400" w:lineRule="exact"/>
        <w:rPr>
          <w:rFonts w:hint="eastAsia" w:cs="宋体"/>
          <w:color w:val="auto"/>
          <w:sz w:val="21"/>
          <w:highlight w:val="none"/>
          <w:u w:val="single"/>
        </w:rPr>
      </w:pPr>
      <w:r>
        <w:rPr>
          <w:rFonts w:hint="eastAsia" w:cs="宋体"/>
          <w:color w:val="auto"/>
          <w:sz w:val="21"/>
          <w:highlight w:val="none"/>
          <w:u w:val="single"/>
        </w:rPr>
        <w:t>经过城市道路的施工车辆，必须按交警、城管、运输等部门相关规定执行。由于施工车辆造成的道路、环境等污染，其责任和费用均由承包人承担。</w:t>
      </w:r>
    </w:p>
    <w:bookmarkEnd w:id="931"/>
    <w:bookmarkEnd w:id="932"/>
    <w:bookmarkEnd w:id="933"/>
    <w:bookmarkEnd w:id="934"/>
    <w:bookmarkEnd w:id="935"/>
    <w:bookmarkEnd w:id="936"/>
    <w:bookmarkEnd w:id="937"/>
    <w:p w14:paraId="36995B72">
      <w:pPr>
        <w:pStyle w:val="321"/>
        <w:spacing w:line="400" w:lineRule="exact"/>
        <w:rPr>
          <w:rFonts w:hint="eastAsia" w:ascii="宋体" w:cs="宋体"/>
          <w:color w:val="auto"/>
          <w:highlight w:val="none"/>
        </w:rPr>
      </w:pPr>
      <w:bookmarkStart w:id="950" w:name="_Toc478389212"/>
      <w:bookmarkStart w:id="951" w:name="_Toc351203639"/>
      <w:bookmarkStart w:id="952" w:name="_Toc417904297"/>
      <w:r>
        <w:rPr>
          <w:rFonts w:hint="eastAsia" w:ascii="宋体" w:cs="宋体"/>
          <w:color w:val="auto"/>
          <w:highlight w:val="none"/>
        </w:rPr>
        <w:t>7. 工期和进度</w:t>
      </w:r>
      <w:bookmarkEnd w:id="950"/>
      <w:bookmarkEnd w:id="951"/>
      <w:bookmarkEnd w:id="952"/>
    </w:p>
    <w:p w14:paraId="3455FE54">
      <w:pPr>
        <w:pStyle w:val="321"/>
        <w:spacing w:line="400" w:lineRule="exact"/>
        <w:rPr>
          <w:rFonts w:hint="eastAsia" w:ascii="宋体" w:cs="宋体"/>
          <w:color w:val="auto"/>
          <w:highlight w:val="none"/>
        </w:rPr>
      </w:pPr>
      <w:bookmarkStart w:id="953" w:name="_Toc478389213"/>
      <w:bookmarkStart w:id="954" w:name="_Toc417904298"/>
      <w:r>
        <w:rPr>
          <w:rFonts w:hint="eastAsia" w:ascii="宋体" w:cs="宋体"/>
          <w:color w:val="auto"/>
          <w:highlight w:val="none"/>
        </w:rPr>
        <w:t>7.1 施工组织设计</w:t>
      </w:r>
      <w:bookmarkEnd w:id="953"/>
      <w:bookmarkEnd w:id="954"/>
    </w:p>
    <w:p w14:paraId="620AB527">
      <w:pPr>
        <w:pStyle w:val="79"/>
        <w:spacing w:line="400" w:lineRule="exact"/>
        <w:rPr>
          <w:rFonts w:hint="eastAsia" w:cs="宋体"/>
          <w:color w:val="auto"/>
          <w:sz w:val="21"/>
          <w:highlight w:val="none"/>
        </w:rPr>
      </w:pPr>
      <w:r>
        <w:rPr>
          <w:rFonts w:hint="eastAsia" w:cs="宋体"/>
          <w:color w:val="auto"/>
          <w:sz w:val="21"/>
          <w:highlight w:val="none"/>
        </w:rPr>
        <w:t>7.1.1 合同当事人约定的施工组织设计应包括的其他内容：（1）管理人员名单，含职称、职务并附相关人员岗位证书等复印件；（2）施工进度计划包括总进度计划、分阶段和分项进度计划、设备材料人员进场计划；施工方案说明包括分部、分项工程或工程部位的名称及施工顺序和方法 ；（3） 国家及地方有关规定应当提交的内容。</w:t>
      </w:r>
    </w:p>
    <w:p w14:paraId="4FD494CD">
      <w:pPr>
        <w:pStyle w:val="79"/>
        <w:spacing w:line="400" w:lineRule="exact"/>
        <w:rPr>
          <w:rFonts w:hint="eastAsia" w:cs="宋体"/>
          <w:color w:val="auto"/>
          <w:sz w:val="21"/>
          <w:highlight w:val="none"/>
        </w:rPr>
      </w:pPr>
      <w:r>
        <w:rPr>
          <w:rFonts w:hint="eastAsia" w:cs="宋体"/>
          <w:color w:val="auto"/>
          <w:sz w:val="21"/>
          <w:highlight w:val="none"/>
        </w:rPr>
        <w:t>7.1.2 施工组织设计的提交和修改</w:t>
      </w:r>
    </w:p>
    <w:p w14:paraId="295D4B13">
      <w:pPr>
        <w:pStyle w:val="79"/>
        <w:spacing w:line="400" w:lineRule="exact"/>
        <w:rPr>
          <w:rFonts w:hint="eastAsia" w:cs="宋体"/>
          <w:color w:val="auto"/>
          <w:sz w:val="21"/>
          <w:highlight w:val="none"/>
        </w:rPr>
      </w:pPr>
      <w:r>
        <w:rPr>
          <w:rFonts w:hint="eastAsia" w:cs="宋体"/>
          <w:color w:val="auto"/>
          <w:sz w:val="21"/>
          <w:highlight w:val="none"/>
        </w:rPr>
        <w:t>承包人提交详细施工组织设计的期限的约定：</w:t>
      </w:r>
      <w:r>
        <w:rPr>
          <w:rFonts w:hint="eastAsia" w:cs="宋体"/>
          <w:color w:val="auto"/>
          <w:sz w:val="21"/>
          <w:highlight w:val="none"/>
          <w:u w:val="single"/>
        </w:rPr>
        <w:t xml:space="preserve">    合同签订后7天内     </w:t>
      </w:r>
      <w:r>
        <w:rPr>
          <w:rFonts w:hint="eastAsia" w:cs="宋体"/>
          <w:color w:val="auto"/>
          <w:sz w:val="21"/>
          <w:highlight w:val="none"/>
        </w:rPr>
        <w:t>。</w:t>
      </w:r>
    </w:p>
    <w:p w14:paraId="7B15E021">
      <w:pPr>
        <w:pStyle w:val="79"/>
        <w:spacing w:line="400" w:lineRule="exact"/>
        <w:rPr>
          <w:rFonts w:hint="eastAsia" w:cs="宋体"/>
          <w:color w:val="auto"/>
          <w:sz w:val="21"/>
          <w:highlight w:val="none"/>
        </w:rPr>
      </w:pPr>
      <w:r>
        <w:rPr>
          <w:rFonts w:hint="eastAsia" w:cs="宋体"/>
          <w:color w:val="auto"/>
          <w:sz w:val="21"/>
          <w:highlight w:val="none"/>
        </w:rPr>
        <w:t>发包人和监理人在收到详细的施工组织设计后确认或提出修改意见的期限：</w:t>
      </w:r>
      <w:r>
        <w:rPr>
          <w:rFonts w:hint="eastAsia" w:cs="宋体"/>
          <w:color w:val="auto"/>
          <w:sz w:val="21"/>
          <w:highlight w:val="none"/>
          <w:u w:val="single"/>
        </w:rPr>
        <w:t xml:space="preserve">  7天内 </w:t>
      </w:r>
      <w:r>
        <w:rPr>
          <w:rFonts w:hint="eastAsia" w:cs="宋体"/>
          <w:color w:val="auto"/>
          <w:sz w:val="21"/>
          <w:highlight w:val="none"/>
        </w:rPr>
        <w:t>。</w:t>
      </w:r>
    </w:p>
    <w:p w14:paraId="11445617">
      <w:pPr>
        <w:pStyle w:val="321"/>
        <w:spacing w:line="400" w:lineRule="exact"/>
        <w:rPr>
          <w:rFonts w:hint="eastAsia" w:ascii="宋体" w:cs="宋体"/>
          <w:color w:val="auto"/>
          <w:highlight w:val="none"/>
        </w:rPr>
      </w:pPr>
      <w:bookmarkStart w:id="955" w:name="_Toc478389214"/>
      <w:bookmarkStart w:id="956" w:name="_Toc417904299"/>
      <w:r>
        <w:rPr>
          <w:rFonts w:hint="eastAsia" w:ascii="宋体" w:cs="宋体"/>
          <w:color w:val="auto"/>
          <w:highlight w:val="none"/>
        </w:rPr>
        <w:t>7</w:t>
      </w:r>
      <w:bookmarkStart w:id="957" w:name="_Toc312678005"/>
      <w:bookmarkStart w:id="958" w:name="_Toc300934966"/>
      <w:bookmarkStart w:id="959" w:name="_Toc297216173"/>
      <w:bookmarkStart w:id="960" w:name="_Toc312677479"/>
      <w:bookmarkStart w:id="961" w:name="_Toc303539123"/>
      <w:bookmarkStart w:id="962" w:name="_Toc297123514"/>
      <w:bookmarkStart w:id="963" w:name="_Toc304295541"/>
      <w:r>
        <w:rPr>
          <w:rFonts w:hint="eastAsia" w:ascii="宋体" w:cs="宋体"/>
          <w:color w:val="auto"/>
          <w:highlight w:val="none"/>
        </w:rPr>
        <w:t>.2 施工进度计划</w:t>
      </w:r>
      <w:bookmarkEnd w:id="955"/>
      <w:bookmarkEnd w:id="956"/>
    </w:p>
    <w:p w14:paraId="05A76CD4">
      <w:pPr>
        <w:pStyle w:val="79"/>
        <w:spacing w:line="400" w:lineRule="exact"/>
        <w:rPr>
          <w:rFonts w:hint="eastAsia" w:cs="宋体"/>
          <w:color w:val="auto"/>
          <w:sz w:val="21"/>
          <w:highlight w:val="none"/>
        </w:rPr>
      </w:pPr>
      <w:r>
        <w:rPr>
          <w:rFonts w:hint="eastAsia" w:cs="宋体"/>
          <w:color w:val="auto"/>
          <w:sz w:val="21"/>
          <w:highlight w:val="none"/>
        </w:rPr>
        <w:t>7.2.2 施工进度计划的修订</w:t>
      </w:r>
    </w:p>
    <w:p w14:paraId="0306A489">
      <w:pPr>
        <w:pStyle w:val="79"/>
        <w:spacing w:line="410" w:lineRule="exact"/>
        <w:rPr>
          <w:rFonts w:hint="eastAsia" w:cs="宋体"/>
          <w:color w:val="auto"/>
          <w:sz w:val="21"/>
          <w:highlight w:val="none"/>
        </w:rPr>
      </w:pPr>
      <w:r>
        <w:rPr>
          <w:rFonts w:hint="eastAsia" w:cs="宋体"/>
          <w:color w:val="auto"/>
          <w:sz w:val="21"/>
          <w:highlight w:val="none"/>
        </w:rPr>
        <w:t>发包人和监理人在收到修订的施工进度计划后确认或提出修改意见的期限：</w:t>
      </w:r>
      <w:r>
        <w:rPr>
          <w:rFonts w:hint="eastAsia" w:cs="宋体"/>
          <w:color w:val="auto"/>
          <w:sz w:val="21"/>
          <w:highlight w:val="none"/>
          <w:u w:val="single"/>
        </w:rPr>
        <w:t>收到修订合同进度计划后7天</w:t>
      </w:r>
      <w:r>
        <w:rPr>
          <w:rFonts w:hint="eastAsia" w:cs="宋体"/>
          <w:color w:val="auto"/>
          <w:sz w:val="21"/>
          <w:highlight w:val="none"/>
        </w:rPr>
        <w:t>。</w:t>
      </w:r>
    </w:p>
    <w:p w14:paraId="30E2D2FE">
      <w:pPr>
        <w:pStyle w:val="321"/>
        <w:spacing w:line="410" w:lineRule="exact"/>
        <w:rPr>
          <w:rFonts w:hint="eastAsia" w:ascii="宋体" w:cs="宋体"/>
          <w:color w:val="auto"/>
          <w:highlight w:val="none"/>
        </w:rPr>
      </w:pPr>
      <w:bookmarkStart w:id="964" w:name="_Toc478389215"/>
      <w:bookmarkStart w:id="965" w:name="_Toc417904300"/>
      <w:r>
        <w:rPr>
          <w:rFonts w:hint="eastAsia" w:ascii="宋体" w:cs="宋体"/>
          <w:color w:val="auto"/>
          <w:highlight w:val="none"/>
        </w:rPr>
        <w:t>7.3 开工</w:t>
      </w:r>
      <w:bookmarkEnd w:id="964"/>
      <w:bookmarkEnd w:id="965"/>
    </w:p>
    <w:p w14:paraId="08C52F19">
      <w:pPr>
        <w:pStyle w:val="79"/>
        <w:spacing w:line="410" w:lineRule="exact"/>
        <w:rPr>
          <w:rFonts w:hint="eastAsia" w:cs="宋体"/>
          <w:color w:val="auto"/>
          <w:sz w:val="21"/>
          <w:highlight w:val="none"/>
        </w:rPr>
      </w:pPr>
      <w:r>
        <w:rPr>
          <w:rFonts w:hint="eastAsia" w:cs="宋体"/>
          <w:color w:val="auto"/>
          <w:sz w:val="21"/>
          <w:highlight w:val="none"/>
        </w:rPr>
        <w:t>7.3.1 开工准备</w:t>
      </w:r>
    </w:p>
    <w:p w14:paraId="0FAC8DE1">
      <w:pPr>
        <w:pStyle w:val="79"/>
        <w:spacing w:line="410" w:lineRule="exact"/>
        <w:rPr>
          <w:rFonts w:hint="eastAsia" w:cs="宋体"/>
          <w:color w:val="auto"/>
          <w:sz w:val="21"/>
          <w:highlight w:val="none"/>
          <w:u w:val="single"/>
        </w:rPr>
      </w:pPr>
      <w:r>
        <w:rPr>
          <w:rFonts w:hint="eastAsia" w:cs="宋体"/>
          <w:color w:val="auto"/>
          <w:sz w:val="21"/>
          <w:highlight w:val="none"/>
        </w:rPr>
        <w:t>关于承包人提交工程开工报审表的期限：</w:t>
      </w:r>
      <w:r>
        <w:rPr>
          <w:rFonts w:hint="eastAsia" w:cs="宋体"/>
          <w:color w:val="auto"/>
          <w:sz w:val="21"/>
          <w:highlight w:val="none"/>
          <w:u w:val="single"/>
        </w:rPr>
        <w:t xml:space="preserve">  合同签订后7天  </w:t>
      </w:r>
      <w:r>
        <w:rPr>
          <w:rFonts w:hint="eastAsia" w:cs="宋体"/>
          <w:color w:val="auto"/>
          <w:sz w:val="21"/>
          <w:highlight w:val="none"/>
        </w:rPr>
        <w:t>。</w:t>
      </w:r>
    </w:p>
    <w:p w14:paraId="69CBA243">
      <w:pPr>
        <w:pStyle w:val="79"/>
        <w:spacing w:line="410" w:lineRule="exact"/>
        <w:rPr>
          <w:rFonts w:hint="eastAsia" w:cs="宋体"/>
          <w:color w:val="auto"/>
          <w:sz w:val="21"/>
          <w:highlight w:val="none"/>
        </w:rPr>
      </w:pPr>
      <w:r>
        <w:rPr>
          <w:rFonts w:hint="eastAsia" w:cs="宋体"/>
          <w:color w:val="auto"/>
          <w:sz w:val="21"/>
          <w:highlight w:val="none"/>
        </w:rPr>
        <w:t>关于发包人应完成的其他开工准备工作及期限：</w:t>
      </w:r>
      <w:r>
        <w:rPr>
          <w:rFonts w:hint="eastAsia" w:cs="宋体"/>
          <w:color w:val="auto"/>
          <w:sz w:val="21"/>
          <w:highlight w:val="none"/>
          <w:u w:val="single"/>
        </w:rPr>
        <w:t xml:space="preserve">  合同签订后7天   </w:t>
      </w:r>
      <w:r>
        <w:rPr>
          <w:rFonts w:hint="eastAsia" w:cs="宋体"/>
          <w:color w:val="auto"/>
          <w:sz w:val="21"/>
          <w:highlight w:val="none"/>
        </w:rPr>
        <w:t>。</w:t>
      </w:r>
    </w:p>
    <w:p w14:paraId="441CE704">
      <w:pPr>
        <w:pStyle w:val="79"/>
        <w:spacing w:line="410" w:lineRule="exact"/>
        <w:rPr>
          <w:rFonts w:hint="eastAsia" w:cs="宋体"/>
          <w:color w:val="auto"/>
          <w:sz w:val="21"/>
          <w:highlight w:val="none"/>
        </w:rPr>
      </w:pPr>
      <w:r>
        <w:rPr>
          <w:rFonts w:hint="eastAsia" w:cs="宋体"/>
          <w:color w:val="auto"/>
          <w:sz w:val="21"/>
          <w:highlight w:val="none"/>
        </w:rPr>
        <w:t>关于承包人应完成的其他开工准备工作及期限：</w:t>
      </w:r>
      <w:r>
        <w:rPr>
          <w:rFonts w:hint="eastAsia" w:cs="宋体"/>
          <w:color w:val="auto"/>
          <w:sz w:val="21"/>
          <w:highlight w:val="none"/>
          <w:u w:val="single"/>
        </w:rPr>
        <w:t xml:space="preserve">   合同签订后7天   </w:t>
      </w:r>
      <w:r>
        <w:rPr>
          <w:rFonts w:hint="eastAsia" w:cs="宋体"/>
          <w:color w:val="auto"/>
          <w:sz w:val="21"/>
          <w:highlight w:val="none"/>
        </w:rPr>
        <w:t>。</w:t>
      </w:r>
    </w:p>
    <w:p w14:paraId="23D755E7">
      <w:pPr>
        <w:pStyle w:val="79"/>
        <w:spacing w:line="410" w:lineRule="exact"/>
        <w:rPr>
          <w:rFonts w:hint="eastAsia" w:cs="宋体"/>
          <w:color w:val="auto"/>
          <w:sz w:val="21"/>
          <w:highlight w:val="none"/>
        </w:rPr>
      </w:pPr>
      <w:r>
        <w:rPr>
          <w:rFonts w:hint="eastAsia" w:cs="宋体"/>
          <w:color w:val="auto"/>
          <w:sz w:val="21"/>
          <w:highlight w:val="none"/>
        </w:rPr>
        <w:t>7.3.2开工通知</w:t>
      </w:r>
    </w:p>
    <w:p w14:paraId="17074368">
      <w:pPr>
        <w:pStyle w:val="79"/>
        <w:spacing w:line="410" w:lineRule="exact"/>
        <w:rPr>
          <w:rFonts w:hint="eastAsia" w:cs="宋体"/>
          <w:color w:val="auto"/>
          <w:sz w:val="21"/>
          <w:highlight w:val="none"/>
        </w:rPr>
      </w:pPr>
      <w:r>
        <w:rPr>
          <w:rFonts w:hint="eastAsia" w:cs="宋体"/>
          <w:color w:val="auto"/>
          <w:sz w:val="21"/>
          <w:highlight w:val="none"/>
        </w:rPr>
        <w:t>因发包人原因造成监理人未能在计划开工日期之日起</w:t>
      </w:r>
      <w:r>
        <w:rPr>
          <w:rFonts w:hint="eastAsia" w:cs="宋体"/>
          <w:color w:val="auto"/>
          <w:sz w:val="21"/>
          <w:highlight w:val="none"/>
          <w:u w:val="single"/>
          <w:lang w:val="en-US" w:eastAsia="zh-CN"/>
        </w:rPr>
        <w:t>90</w:t>
      </w:r>
      <w:r>
        <w:rPr>
          <w:rFonts w:hint="eastAsia" w:cs="宋体"/>
          <w:color w:val="auto"/>
          <w:sz w:val="21"/>
          <w:highlight w:val="none"/>
        </w:rPr>
        <w:t>天内发出开工通知的，承包人有权提出价格调整要求，或者解除合同。</w:t>
      </w:r>
    </w:p>
    <w:bookmarkEnd w:id="957"/>
    <w:bookmarkEnd w:id="958"/>
    <w:bookmarkEnd w:id="959"/>
    <w:bookmarkEnd w:id="960"/>
    <w:bookmarkEnd w:id="961"/>
    <w:bookmarkEnd w:id="962"/>
    <w:bookmarkEnd w:id="963"/>
    <w:p w14:paraId="0CB1A102">
      <w:pPr>
        <w:pStyle w:val="321"/>
        <w:spacing w:line="410" w:lineRule="exact"/>
        <w:rPr>
          <w:rFonts w:hint="eastAsia" w:ascii="宋体" w:cs="宋体"/>
          <w:color w:val="auto"/>
          <w:highlight w:val="none"/>
        </w:rPr>
      </w:pPr>
      <w:bookmarkStart w:id="966" w:name="_Toc417904301"/>
      <w:bookmarkStart w:id="967" w:name="_Toc478389216"/>
      <w:r>
        <w:rPr>
          <w:rFonts w:hint="eastAsia" w:ascii="宋体" w:cs="宋体"/>
          <w:color w:val="auto"/>
          <w:highlight w:val="none"/>
        </w:rPr>
        <w:t>7.4 测量放线</w:t>
      </w:r>
      <w:bookmarkEnd w:id="966"/>
      <w:bookmarkEnd w:id="967"/>
    </w:p>
    <w:p w14:paraId="157A945C">
      <w:pPr>
        <w:pStyle w:val="79"/>
        <w:spacing w:line="410" w:lineRule="exact"/>
        <w:rPr>
          <w:rFonts w:hint="eastAsia" w:cs="宋体"/>
          <w:color w:val="auto"/>
          <w:sz w:val="21"/>
          <w:highlight w:val="none"/>
          <w:u w:val="single"/>
        </w:rPr>
      </w:pPr>
      <w:r>
        <w:rPr>
          <w:rFonts w:hint="eastAsia" w:cs="宋体"/>
          <w:color w:val="auto"/>
          <w:sz w:val="21"/>
          <w:highlight w:val="none"/>
        </w:rPr>
        <w:t>7.4.1发包人通过监理人向承包人提供测量基准点、基准线和水准点及其书面资料的期限：</w:t>
      </w:r>
      <w:r>
        <w:rPr>
          <w:rFonts w:hint="eastAsia" w:cs="宋体"/>
          <w:color w:val="auto"/>
          <w:sz w:val="21"/>
          <w:highlight w:val="none"/>
          <w:u w:val="single"/>
        </w:rPr>
        <w:t>合同签订后14天</w:t>
      </w:r>
      <w:r>
        <w:rPr>
          <w:rFonts w:hint="eastAsia" w:cs="宋体"/>
          <w:color w:val="auto"/>
          <w:sz w:val="21"/>
          <w:highlight w:val="none"/>
        </w:rPr>
        <w:t>。</w:t>
      </w:r>
    </w:p>
    <w:p w14:paraId="1A9A3D9A">
      <w:pPr>
        <w:pStyle w:val="321"/>
        <w:spacing w:line="410" w:lineRule="exact"/>
        <w:rPr>
          <w:rFonts w:hint="eastAsia" w:ascii="宋体" w:cs="宋体"/>
          <w:color w:val="auto"/>
          <w:highlight w:val="none"/>
        </w:rPr>
      </w:pPr>
      <w:bookmarkStart w:id="968" w:name="_Toc478389217"/>
      <w:bookmarkStart w:id="969" w:name="_Toc417904302"/>
      <w:r>
        <w:rPr>
          <w:rFonts w:hint="eastAsia" w:ascii="宋体" w:cs="宋体"/>
          <w:color w:val="auto"/>
          <w:highlight w:val="none"/>
        </w:rPr>
        <w:t>7</w:t>
      </w:r>
      <w:bookmarkStart w:id="970" w:name="_Toc312678010"/>
      <w:bookmarkStart w:id="971" w:name="_Toc300934968"/>
      <w:bookmarkStart w:id="972" w:name="_Toc304295546"/>
      <w:bookmarkStart w:id="973" w:name="_Toc312677484"/>
      <w:bookmarkStart w:id="974" w:name="_Toc297216175"/>
      <w:bookmarkStart w:id="975" w:name="_Toc297123516"/>
      <w:bookmarkStart w:id="976" w:name="_Toc303539125"/>
      <w:r>
        <w:rPr>
          <w:rFonts w:hint="eastAsia" w:ascii="宋体" w:cs="宋体"/>
          <w:color w:val="auto"/>
          <w:highlight w:val="none"/>
        </w:rPr>
        <w:t>.5 工期延误</w:t>
      </w:r>
      <w:bookmarkEnd w:id="968"/>
      <w:bookmarkEnd w:id="969"/>
    </w:p>
    <w:bookmarkEnd w:id="970"/>
    <w:bookmarkEnd w:id="971"/>
    <w:bookmarkEnd w:id="972"/>
    <w:bookmarkEnd w:id="973"/>
    <w:bookmarkEnd w:id="974"/>
    <w:bookmarkEnd w:id="975"/>
    <w:bookmarkEnd w:id="976"/>
    <w:p w14:paraId="2A3A0EEB">
      <w:pPr>
        <w:pStyle w:val="79"/>
        <w:spacing w:line="410" w:lineRule="exact"/>
        <w:outlineLvl w:val="0"/>
        <w:rPr>
          <w:rFonts w:hint="eastAsia" w:cs="宋体"/>
          <w:color w:val="auto"/>
          <w:sz w:val="21"/>
          <w:highlight w:val="none"/>
        </w:rPr>
      </w:pPr>
      <w:bookmarkStart w:id="977" w:name="_Toc478389218"/>
      <w:bookmarkStart w:id="978" w:name="_Toc417904303"/>
      <w:r>
        <w:rPr>
          <w:rFonts w:hint="eastAsia" w:cs="宋体"/>
          <w:color w:val="auto"/>
          <w:sz w:val="21"/>
          <w:highlight w:val="none"/>
        </w:rPr>
        <w:t>7.5.1 因发包人原因导致工期延误</w:t>
      </w:r>
      <w:bookmarkEnd w:id="977"/>
      <w:bookmarkEnd w:id="978"/>
    </w:p>
    <w:p w14:paraId="105B1C46">
      <w:pPr>
        <w:pStyle w:val="79"/>
        <w:spacing w:line="410" w:lineRule="exact"/>
        <w:rPr>
          <w:rFonts w:hint="eastAsia" w:cs="宋体"/>
          <w:color w:val="auto"/>
          <w:sz w:val="21"/>
          <w:highlight w:val="none"/>
        </w:rPr>
      </w:pPr>
      <w:r>
        <w:rPr>
          <w:rFonts w:hint="eastAsia" w:cs="宋体"/>
          <w:color w:val="auto"/>
          <w:sz w:val="21"/>
          <w:highlight w:val="none"/>
        </w:rPr>
        <w:t>（7）因发包人原因导致工期延误的其他情形：</w:t>
      </w:r>
      <w:r>
        <w:rPr>
          <w:rFonts w:hint="eastAsia" w:cs="宋体"/>
          <w:color w:val="auto"/>
          <w:sz w:val="21"/>
          <w:highlight w:val="none"/>
          <w:u w:val="single"/>
        </w:rPr>
        <w:t xml:space="preserve">  无   </w:t>
      </w:r>
      <w:r>
        <w:rPr>
          <w:rFonts w:hint="eastAsia" w:cs="宋体"/>
          <w:color w:val="auto"/>
          <w:sz w:val="21"/>
          <w:highlight w:val="none"/>
        </w:rPr>
        <w:t>。</w:t>
      </w:r>
    </w:p>
    <w:p w14:paraId="1258672C">
      <w:pPr>
        <w:pStyle w:val="79"/>
        <w:spacing w:line="410" w:lineRule="exact"/>
        <w:rPr>
          <w:rFonts w:hint="eastAsia" w:cs="宋体"/>
          <w:color w:val="auto"/>
          <w:sz w:val="21"/>
          <w:highlight w:val="none"/>
        </w:rPr>
      </w:pPr>
      <w:r>
        <w:rPr>
          <w:rFonts w:hint="eastAsia" w:cs="宋体"/>
          <w:color w:val="auto"/>
          <w:sz w:val="21"/>
          <w:highlight w:val="none"/>
        </w:rPr>
        <w:t>7</w:t>
      </w:r>
      <w:bookmarkStart w:id="979" w:name="_Toc312677486"/>
      <w:bookmarkStart w:id="980" w:name="_Toc318581169"/>
      <w:bookmarkStart w:id="981" w:name="_Toc312678012"/>
      <w:bookmarkStart w:id="982" w:name="_Toc304295548"/>
      <w:bookmarkStart w:id="983" w:name="_Toc303539127"/>
      <w:bookmarkStart w:id="984" w:name="_Toc297216177"/>
      <w:bookmarkStart w:id="985" w:name="_Toc300934970"/>
      <w:bookmarkStart w:id="986" w:name="_Toc297123518"/>
      <w:r>
        <w:rPr>
          <w:rFonts w:hint="eastAsia" w:cs="宋体"/>
          <w:color w:val="auto"/>
          <w:sz w:val="21"/>
          <w:highlight w:val="none"/>
        </w:rPr>
        <w:t>.5.2 因承包人原因导致工期延误：</w:t>
      </w:r>
      <w:bookmarkEnd w:id="979"/>
      <w:bookmarkEnd w:id="980"/>
      <w:bookmarkEnd w:id="981"/>
      <w:bookmarkStart w:id="987" w:name="_Toc312677487"/>
      <w:bookmarkStart w:id="988" w:name="_Toc312678013"/>
      <w:bookmarkStart w:id="989" w:name="_Toc318581170"/>
      <w:r>
        <w:rPr>
          <w:rFonts w:hint="eastAsia" w:cs="宋体"/>
          <w:color w:val="auto"/>
          <w:sz w:val="21"/>
          <w:highlight w:val="none"/>
          <w:u w:val="single"/>
        </w:rPr>
        <w:t>除</w:t>
      </w:r>
      <w:r>
        <w:rPr>
          <w:rFonts w:hint="eastAsia" w:cs="宋体"/>
          <w:color w:val="auto"/>
          <w:sz w:val="21"/>
          <w:highlight w:val="none"/>
          <w:u w:val="single"/>
          <w:lang w:eastAsia="zh-CN"/>
        </w:rPr>
        <w:t>发包人</w:t>
      </w:r>
      <w:r>
        <w:rPr>
          <w:rFonts w:hint="eastAsia" w:cs="宋体"/>
          <w:color w:val="auto"/>
          <w:sz w:val="21"/>
          <w:highlight w:val="none"/>
          <w:u w:val="single"/>
        </w:rPr>
        <w:t>原因及不可抗力原因外，</w:t>
      </w:r>
      <w:r>
        <w:rPr>
          <w:rFonts w:hint="eastAsia" w:cs="宋体"/>
          <w:color w:val="auto"/>
          <w:sz w:val="21"/>
          <w:highlight w:val="none"/>
          <w:u w:val="single"/>
          <w:lang w:eastAsia="zh-CN"/>
        </w:rPr>
        <w:t>承包人</w:t>
      </w:r>
      <w:r>
        <w:rPr>
          <w:rFonts w:hint="eastAsia" w:cs="宋体"/>
          <w:color w:val="auto"/>
          <w:sz w:val="21"/>
          <w:highlight w:val="none"/>
          <w:u w:val="single"/>
        </w:rPr>
        <w:t>不得停工或延长工期。每停工1天或工期每延长1天的，</w:t>
      </w:r>
      <w:r>
        <w:rPr>
          <w:rFonts w:hint="eastAsia" w:cs="宋体"/>
          <w:color w:val="auto"/>
          <w:sz w:val="21"/>
          <w:highlight w:val="none"/>
          <w:u w:val="single"/>
          <w:lang w:eastAsia="zh-CN"/>
        </w:rPr>
        <w:t>承包人</w:t>
      </w:r>
      <w:r>
        <w:rPr>
          <w:rFonts w:hint="eastAsia" w:cs="宋体"/>
          <w:color w:val="auto"/>
          <w:sz w:val="21"/>
          <w:highlight w:val="none"/>
          <w:u w:val="single"/>
        </w:rPr>
        <w:t>须向</w:t>
      </w:r>
      <w:r>
        <w:rPr>
          <w:rFonts w:hint="eastAsia" w:cs="宋体"/>
          <w:color w:val="auto"/>
          <w:sz w:val="21"/>
          <w:highlight w:val="none"/>
          <w:u w:val="single"/>
          <w:lang w:eastAsia="zh-CN"/>
        </w:rPr>
        <w:t>发包人</w:t>
      </w:r>
      <w:r>
        <w:rPr>
          <w:rFonts w:hint="eastAsia" w:cs="宋体"/>
          <w:color w:val="auto"/>
          <w:sz w:val="21"/>
          <w:highlight w:val="none"/>
          <w:u w:val="single"/>
        </w:rPr>
        <w:t>支付合同金额的</w:t>
      </w:r>
      <w:r>
        <w:rPr>
          <w:rFonts w:hint="eastAsia" w:cs="宋体"/>
          <w:color w:val="auto"/>
          <w:sz w:val="21"/>
          <w:highlight w:val="none"/>
          <w:u w:val="single"/>
          <w:lang w:val="en-US" w:eastAsia="zh-CN"/>
        </w:rPr>
        <w:t>0.5</w:t>
      </w:r>
      <w:r>
        <w:rPr>
          <w:rFonts w:hint="eastAsia" w:cs="宋体"/>
          <w:color w:val="auto"/>
          <w:sz w:val="21"/>
          <w:highlight w:val="none"/>
          <w:u w:val="single"/>
        </w:rPr>
        <w:t>%的违约金，最多不超过合同金额的</w:t>
      </w:r>
      <w:r>
        <w:rPr>
          <w:rFonts w:hint="eastAsia" w:cs="宋体"/>
          <w:color w:val="auto"/>
          <w:sz w:val="21"/>
          <w:highlight w:val="none"/>
          <w:u w:val="single"/>
          <w:lang w:val="en-US" w:eastAsia="zh-CN"/>
        </w:rPr>
        <w:t>5</w:t>
      </w:r>
      <w:r>
        <w:rPr>
          <w:rFonts w:hint="eastAsia" w:cs="宋体"/>
          <w:color w:val="auto"/>
          <w:sz w:val="21"/>
          <w:highlight w:val="none"/>
          <w:u w:val="single"/>
        </w:rPr>
        <w:t>%。施工工期延长累计</w:t>
      </w:r>
      <w:r>
        <w:rPr>
          <w:rFonts w:hint="eastAsia" w:cs="宋体"/>
          <w:color w:val="auto"/>
          <w:sz w:val="21"/>
          <w:highlight w:val="none"/>
          <w:u w:val="single"/>
          <w:lang w:eastAsia="zh-CN"/>
        </w:rPr>
        <w:t>＞</w:t>
      </w:r>
      <w:r>
        <w:rPr>
          <w:rFonts w:hint="eastAsia" w:cs="宋体"/>
          <w:color w:val="auto"/>
          <w:sz w:val="21"/>
          <w:highlight w:val="none"/>
          <w:u w:val="single"/>
          <w:lang w:val="en-US" w:eastAsia="zh-CN"/>
        </w:rPr>
        <w:t>10</w:t>
      </w:r>
      <w:r>
        <w:rPr>
          <w:rFonts w:hint="eastAsia" w:cs="宋体"/>
          <w:color w:val="auto"/>
          <w:sz w:val="21"/>
          <w:highlight w:val="none"/>
          <w:u w:val="single"/>
        </w:rPr>
        <w:t>天的，视为恶意拖延工期，</w:t>
      </w:r>
      <w:r>
        <w:rPr>
          <w:rFonts w:hint="eastAsia" w:cs="宋体"/>
          <w:color w:val="auto"/>
          <w:sz w:val="21"/>
          <w:highlight w:val="none"/>
          <w:u w:val="single"/>
          <w:lang w:eastAsia="zh-CN"/>
        </w:rPr>
        <w:t>发包人</w:t>
      </w:r>
      <w:r>
        <w:rPr>
          <w:rFonts w:hint="eastAsia" w:cs="宋体"/>
          <w:color w:val="auto"/>
          <w:sz w:val="21"/>
          <w:highlight w:val="none"/>
          <w:u w:val="single"/>
        </w:rPr>
        <w:t>有权终止合同，所造成的一切损失由</w:t>
      </w:r>
      <w:r>
        <w:rPr>
          <w:rFonts w:hint="eastAsia" w:cs="宋体"/>
          <w:color w:val="auto"/>
          <w:sz w:val="21"/>
          <w:highlight w:val="none"/>
          <w:u w:val="single"/>
          <w:lang w:eastAsia="zh-CN"/>
        </w:rPr>
        <w:t>承包人</w:t>
      </w:r>
      <w:r>
        <w:rPr>
          <w:rFonts w:hint="eastAsia" w:cs="宋体"/>
          <w:color w:val="auto"/>
          <w:sz w:val="21"/>
          <w:highlight w:val="none"/>
          <w:u w:val="single"/>
        </w:rPr>
        <w:t>承担。</w:t>
      </w:r>
    </w:p>
    <w:p w14:paraId="647AD03C">
      <w:pPr>
        <w:pStyle w:val="79"/>
        <w:spacing w:line="410" w:lineRule="exact"/>
        <w:rPr>
          <w:rFonts w:hint="eastAsia" w:cs="宋体"/>
          <w:color w:val="auto"/>
          <w:sz w:val="21"/>
          <w:highlight w:val="none"/>
        </w:rPr>
      </w:pPr>
      <w:r>
        <w:rPr>
          <w:rFonts w:hint="eastAsia" w:cs="宋体"/>
          <w:color w:val="auto"/>
          <w:sz w:val="21"/>
          <w:highlight w:val="none"/>
        </w:rPr>
        <w:t>因承包人原因造成工期延误，逾期竣工违约金的上限：</w:t>
      </w:r>
      <w:r>
        <w:rPr>
          <w:rFonts w:hint="eastAsia"/>
          <w:color w:val="auto"/>
          <w:highlight w:val="none"/>
          <w:u w:val="single"/>
        </w:rPr>
        <w:t>合同金额的</w:t>
      </w:r>
      <w:r>
        <w:rPr>
          <w:rFonts w:hint="eastAsia"/>
          <w:color w:val="auto"/>
          <w:highlight w:val="none"/>
          <w:u w:val="single"/>
          <w:lang w:val="en-US" w:eastAsia="zh-CN"/>
        </w:rPr>
        <w:t>5</w:t>
      </w:r>
      <w:r>
        <w:rPr>
          <w:rFonts w:hint="eastAsia"/>
          <w:color w:val="auto"/>
          <w:highlight w:val="none"/>
          <w:u w:val="single"/>
        </w:rPr>
        <w:t>%</w:t>
      </w:r>
      <w:r>
        <w:rPr>
          <w:rFonts w:hint="eastAsia" w:cs="宋体"/>
          <w:color w:val="auto"/>
          <w:sz w:val="21"/>
          <w:highlight w:val="none"/>
        </w:rPr>
        <w:t>。</w:t>
      </w:r>
      <w:bookmarkEnd w:id="982"/>
      <w:bookmarkEnd w:id="983"/>
      <w:bookmarkEnd w:id="984"/>
      <w:bookmarkEnd w:id="985"/>
      <w:bookmarkEnd w:id="986"/>
      <w:bookmarkEnd w:id="987"/>
      <w:bookmarkEnd w:id="988"/>
    </w:p>
    <w:bookmarkEnd w:id="989"/>
    <w:p w14:paraId="5693720D">
      <w:pPr>
        <w:pStyle w:val="321"/>
        <w:spacing w:line="410" w:lineRule="exact"/>
        <w:rPr>
          <w:rFonts w:hint="eastAsia" w:ascii="宋体" w:cs="宋体"/>
          <w:color w:val="auto"/>
          <w:highlight w:val="none"/>
        </w:rPr>
      </w:pPr>
      <w:bookmarkStart w:id="990" w:name="_Toc417904304"/>
      <w:bookmarkStart w:id="991" w:name="_Toc478389219"/>
      <w:r>
        <w:rPr>
          <w:rFonts w:hint="eastAsia" w:ascii="宋体" w:cs="宋体"/>
          <w:color w:val="auto"/>
          <w:highlight w:val="none"/>
        </w:rPr>
        <w:t>7</w:t>
      </w:r>
      <w:bookmarkStart w:id="992" w:name="_Toc312678015"/>
      <w:bookmarkStart w:id="993" w:name="_Toc297216178"/>
      <w:bookmarkStart w:id="994" w:name="_Toc300934971"/>
      <w:bookmarkStart w:id="995" w:name="_Toc297123519"/>
      <w:bookmarkStart w:id="996" w:name="_Toc304295549"/>
      <w:bookmarkStart w:id="997" w:name="_Toc303539128"/>
      <w:r>
        <w:rPr>
          <w:rFonts w:hint="eastAsia" w:ascii="宋体" w:cs="宋体"/>
          <w:color w:val="auto"/>
          <w:highlight w:val="none"/>
        </w:rPr>
        <w:t>.6 不</w:t>
      </w:r>
      <w:bookmarkEnd w:id="992"/>
      <w:bookmarkEnd w:id="993"/>
      <w:bookmarkEnd w:id="994"/>
      <w:bookmarkEnd w:id="995"/>
      <w:bookmarkEnd w:id="996"/>
      <w:bookmarkEnd w:id="997"/>
      <w:r>
        <w:rPr>
          <w:rFonts w:hint="eastAsia" w:ascii="宋体" w:cs="宋体"/>
          <w:color w:val="auto"/>
          <w:highlight w:val="none"/>
        </w:rPr>
        <w:t>利物质条件</w:t>
      </w:r>
      <w:bookmarkEnd w:id="990"/>
      <w:bookmarkEnd w:id="991"/>
    </w:p>
    <w:p w14:paraId="718B37E8">
      <w:pPr>
        <w:pStyle w:val="79"/>
        <w:spacing w:line="410" w:lineRule="exact"/>
        <w:rPr>
          <w:rFonts w:hint="eastAsia" w:cs="宋体"/>
          <w:color w:val="auto"/>
          <w:sz w:val="21"/>
          <w:highlight w:val="none"/>
        </w:rPr>
      </w:pPr>
      <w:bookmarkStart w:id="998" w:name="_Toc297216179"/>
      <w:bookmarkStart w:id="999" w:name="_Toc304295550"/>
      <w:bookmarkStart w:id="1000" w:name="_Toc297123520"/>
      <w:bookmarkStart w:id="1001" w:name="_Toc318581172"/>
      <w:bookmarkStart w:id="1002" w:name="_Toc303539129"/>
      <w:bookmarkStart w:id="1003" w:name="_Toc300934972"/>
      <w:bookmarkStart w:id="1004" w:name="_Toc312678016"/>
      <w:r>
        <w:rPr>
          <w:rFonts w:hint="eastAsia" w:cs="宋体"/>
          <w:color w:val="auto"/>
          <w:sz w:val="21"/>
          <w:highlight w:val="none"/>
        </w:rPr>
        <w:t>不利物质条件的其他情形和有关约定：</w:t>
      </w:r>
      <w:r>
        <w:rPr>
          <w:rFonts w:hint="eastAsia" w:cs="宋体"/>
          <w:color w:val="auto"/>
          <w:sz w:val="21"/>
          <w:highlight w:val="none"/>
          <w:u w:val="single"/>
        </w:rPr>
        <w:t>一周内非承包人原因，停水、停电、停气造成停工连续超过8小时；重大设计变更和工程量增加；发包人手续不全致使施工不能正常进行；发包人未能按约定时间支付工程款致使施工不能正常进行的；非承包人原因的及发包人有关的停工通知，以上不利物质条件延误工期的相应延长工期，因发包人原因给承包人造成损失的由发包人相应赔偿承包人，属环境等原因的，双方协商处理。</w:t>
      </w:r>
    </w:p>
    <w:bookmarkEnd w:id="998"/>
    <w:bookmarkEnd w:id="999"/>
    <w:bookmarkEnd w:id="1000"/>
    <w:bookmarkEnd w:id="1001"/>
    <w:bookmarkEnd w:id="1002"/>
    <w:bookmarkEnd w:id="1003"/>
    <w:bookmarkEnd w:id="1004"/>
    <w:p w14:paraId="04ECC1A9">
      <w:pPr>
        <w:pStyle w:val="321"/>
        <w:spacing w:line="410" w:lineRule="exact"/>
        <w:rPr>
          <w:rFonts w:hint="eastAsia" w:ascii="宋体" w:cs="宋体"/>
          <w:color w:val="auto"/>
          <w:highlight w:val="none"/>
        </w:rPr>
      </w:pPr>
      <w:bookmarkStart w:id="1005" w:name="_Toc417904305"/>
      <w:bookmarkStart w:id="1006" w:name="_Toc478389220"/>
      <w:r>
        <w:rPr>
          <w:rFonts w:hint="eastAsia" w:ascii="宋体" w:cs="宋体"/>
          <w:color w:val="auto"/>
          <w:highlight w:val="none"/>
        </w:rPr>
        <w:t>7</w:t>
      </w:r>
      <w:bookmarkStart w:id="1007" w:name="_Toc304295551"/>
      <w:bookmarkStart w:id="1008" w:name="_Toc300934973"/>
      <w:bookmarkStart w:id="1009" w:name="_Toc312678017"/>
      <w:bookmarkStart w:id="1010" w:name="_Toc297216180"/>
      <w:bookmarkStart w:id="1011" w:name="_Toc297123521"/>
      <w:bookmarkStart w:id="1012" w:name="_Toc303539130"/>
      <w:r>
        <w:rPr>
          <w:rFonts w:hint="eastAsia" w:ascii="宋体" w:cs="宋体"/>
          <w:color w:val="auto"/>
          <w:highlight w:val="none"/>
        </w:rPr>
        <w:t>.7异常恶劣的气候条件</w:t>
      </w:r>
      <w:bookmarkEnd w:id="1005"/>
      <w:bookmarkEnd w:id="1006"/>
    </w:p>
    <w:bookmarkEnd w:id="1007"/>
    <w:bookmarkEnd w:id="1008"/>
    <w:bookmarkEnd w:id="1009"/>
    <w:bookmarkEnd w:id="1010"/>
    <w:bookmarkEnd w:id="1011"/>
    <w:bookmarkEnd w:id="1012"/>
    <w:p w14:paraId="09CE25F9">
      <w:pPr>
        <w:pStyle w:val="79"/>
        <w:spacing w:line="430" w:lineRule="exact"/>
        <w:rPr>
          <w:rFonts w:hint="eastAsia" w:cs="宋体"/>
          <w:color w:val="auto"/>
          <w:sz w:val="21"/>
          <w:highlight w:val="none"/>
          <w:u w:val="single"/>
          <w:lang w:val="zh-CN"/>
        </w:rPr>
      </w:pPr>
      <w:r>
        <w:rPr>
          <w:rFonts w:hint="eastAsia" w:cs="宋体"/>
          <w:color w:val="auto"/>
          <w:sz w:val="21"/>
          <w:highlight w:val="none"/>
        </w:rPr>
        <w:t>发包人和承包人同意以下情形视为异常恶劣的气候条件：</w:t>
      </w:r>
      <w:r>
        <w:rPr>
          <w:rFonts w:hint="eastAsia" w:cs="宋体"/>
          <w:color w:val="auto"/>
          <w:sz w:val="21"/>
          <w:highlight w:val="none"/>
          <w:u w:val="single"/>
          <w:lang w:val="zh-CN"/>
        </w:rPr>
        <w:t>（1）10级及以上持续1天的大风；（2）暴雨级以上持续1天的大雨天；（3）50年及以上未发生过，持续2天的高温天气；（4）50年及以上未发生过，持续2天的低温天气  。</w:t>
      </w:r>
    </w:p>
    <w:p w14:paraId="44937010">
      <w:pPr>
        <w:pStyle w:val="321"/>
        <w:spacing w:line="430" w:lineRule="exact"/>
        <w:rPr>
          <w:rFonts w:hint="eastAsia" w:ascii="宋体" w:cs="宋体"/>
          <w:color w:val="auto"/>
          <w:highlight w:val="none"/>
        </w:rPr>
      </w:pPr>
      <w:bookmarkStart w:id="1013" w:name="_Toc417904306"/>
      <w:bookmarkStart w:id="1014" w:name="_Toc478389221"/>
      <w:r>
        <w:rPr>
          <w:rFonts w:hint="eastAsia" w:ascii="宋体" w:cs="宋体"/>
          <w:color w:val="auto"/>
          <w:highlight w:val="none"/>
        </w:rPr>
        <w:t>7.9 提前竣工的奖励</w:t>
      </w:r>
      <w:bookmarkEnd w:id="1013"/>
      <w:bookmarkEnd w:id="1014"/>
    </w:p>
    <w:p w14:paraId="673EEEE6">
      <w:pPr>
        <w:pStyle w:val="79"/>
        <w:spacing w:line="430" w:lineRule="exact"/>
        <w:rPr>
          <w:rFonts w:hint="eastAsia" w:cs="宋体"/>
          <w:color w:val="auto"/>
          <w:sz w:val="21"/>
          <w:highlight w:val="none"/>
        </w:rPr>
      </w:pPr>
      <w:r>
        <w:rPr>
          <w:rFonts w:hint="eastAsia" w:cs="宋体"/>
          <w:color w:val="auto"/>
          <w:sz w:val="21"/>
          <w:highlight w:val="none"/>
        </w:rPr>
        <w:t>7.9.2提前竣工的奖励：</w:t>
      </w:r>
      <w:r>
        <w:rPr>
          <w:rFonts w:hint="eastAsia" w:cs="宋体"/>
          <w:color w:val="auto"/>
          <w:sz w:val="21"/>
          <w:highlight w:val="none"/>
          <w:u w:val="single"/>
        </w:rPr>
        <w:t xml:space="preserve">     无      </w:t>
      </w:r>
      <w:r>
        <w:rPr>
          <w:rFonts w:hint="eastAsia" w:cs="宋体"/>
          <w:color w:val="auto"/>
          <w:sz w:val="21"/>
          <w:highlight w:val="none"/>
        </w:rPr>
        <w:t>。</w:t>
      </w:r>
    </w:p>
    <w:p w14:paraId="745FECA1">
      <w:pPr>
        <w:pStyle w:val="321"/>
        <w:spacing w:line="430" w:lineRule="exact"/>
        <w:rPr>
          <w:rFonts w:hint="eastAsia" w:ascii="宋体" w:cs="宋体"/>
          <w:color w:val="auto"/>
          <w:highlight w:val="none"/>
        </w:rPr>
      </w:pPr>
      <w:bookmarkStart w:id="1015" w:name="_Toc478389222"/>
      <w:bookmarkStart w:id="1016" w:name="_Toc417904307"/>
      <w:bookmarkStart w:id="1017" w:name="_Toc351203640"/>
      <w:r>
        <w:rPr>
          <w:rFonts w:hint="eastAsia" w:ascii="宋体" w:cs="宋体"/>
          <w:color w:val="auto"/>
          <w:highlight w:val="none"/>
        </w:rPr>
        <w:t>8. 材料与设备</w:t>
      </w:r>
      <w:bookmarkEnd w:id="1015"/>
      <w:bookmarkEnd w:id="1016"/>
      <w:bookmarkEnd w:id="1017"/>
    </w:p>
    <w:bookmarkEnd w:id="919"/>
    <w:bookmarkEnd w:id="920"/>
    <w:bookmarkEnd w:id="921"/>
    <w:bookmarkEnd w:id="922"/>
    <w:bookmarkEnd w:id="923"/>
    <w:bookmarkEnd w:id="924"/>
    <w:bookmarkEnd w:id="925"/>
    <w:bookmarkEnd w:id="926"/>
    <w:bookmarkEnd w:id="927"/>
    <w:bookmarkEnd w:id="928"/>
    <w:p w14:paraId="1F05DF17">
      <w:pPr>
        <w:pStyle w:val="321"/>
        <w:spacing w:line="430" w:lineRule="exact"/>
        <w:rPr>
          <w:rFonts w:hint="eastAsia" w:ascii="宋体" w:cs="宋体"/>
          <w:color w:val="auto"/>
          <w:highlight w:val="none"/>
        </w:rPr>
      </w:pPr>
      <w:bookmarkStart w:id="1018" w:name="_Toc417904308"/>
      <w:bookmarkStart w:id="1019" w:name="_Toc478389223"/>
      <w:r>
        <w:rPr>
          <w:rFonts w:hint="eastAsia" w:ascii="宋体" w:cs="宋体"/>
          <w:color w:val="auto"/>
          <w:highlight w:val="none"/>
        </w:rPr>
        <w:t>8</w:t>
      </w:r>
      <w:bookmarkStart w:id="1020" w:name="_Toc296944506"/>
      <w:bookmarkStart w:id="1021" w:name="_Toc297216186"/>
      <w:bookmarkStart w:id="1022" w:name="_Toc296346668"/>
      <w:bookmarkStart w:id="1023" w:name="_Toc296890995"/>
      <w:bookmarkStart w:id="1024" w:name="_Toc292559877"/>
      <w:bookmarkStart w:id="1025" w:name="_Toc300934979"/>
      <w:bookmarkStart w:id="1026" w:name="_Toc303539136"/>
      <w:bookmarkStart w:id="1027" w:name="_Toc312677493"/>
      <w:bookmarkStart w:id="1028" w:name="_Toc296347166"/>
      <w:bookmarkStart w:id="1029" w:name="_Toc297123527"/>
      <w:bookmarkStart w:id="1030" w:name="_Toc280868654"/>
      <w:bookmarkStart w:id="1031" w:name="_Toc304295556"/>
      <w:bookmarkStart w:id="1032" w:name="_Toc312678019"/>
      <w:bookmarkStart w:id="1033" w:name="_Toc297048353"/>
      <w:bookmarkStart w:id="1034" w:name="_Toc297120467"/>
      <w:bookmarkStart w:id="1035" w:name="_Toc296503167"/>
      <w:bookmarkStart w:id="1036" w:name="_Toc292559372"/>
      <w:bookmarkStart w:id="1037" w:name="_Toc296891207"/>
      <w:bookmarkStart w:id="1038" w:name="_Toc280868656"/>
      <w:bookmarkStart w:id="1039" w:name="_Toc267251424"/>
      <w:bookmarkStart w:id="1040" w:name="_Toc280868655"/>
      <w:r>
        <w:rPr>
          <w:rFonts w:hint="eastAsia" w:ascii="宋体" w:cs="宋体"/>
          <w:color w:val="auto"/>
          <w:highlight w:val="none"/>
        </w:rPr>
        <w:t>.4材料与工程设备的保管与使用</w:t>
      </w:r>
      <w:bookmarkEnd w:id="1018"/>
      <w:bookmarkEnd w:id="1019"/>
    </w:p>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14:paraId="3F4C3FE9">
      <w:pPr>
        <w:pStyle w:val="79"/>
        <w:spacing w:line="430" w:lineRule="exact"/>
        <w:rPr>
          <w:rFonts w:hint="eastAsia" w:cs="宋体"/>
          <w:color w:val="auto"/>
          <w:sz w:val="21"/>
          <w:highlight w:val="none"/>
        </w:rPr>
      </w:pPr>
      <w:r>
        <w:rPr>
          <w:rFonts w:hint="eastAsia" w:cs="宋体"/>
          <w:color w:val="auto"/>
          <w:sz w:val="21"/>
          <w:highlight w:val="none"/>
        </w:rPr>
        <w:t>8</w:t>
      </w:r>
      <w:bookmarkStart w:id="1041" w:name="_Toc292559373"/>
      <w:bookmarkStart w:id="1042" w:name="_Toc292559878"/>
      <w:bookmarkStart w:id="1043" w:name="_Toc296346669"/>
      <w:bookmarkStart w:id="1044" w:name="_Toc312678020"/>
      <w:bookmarkStart w:id="1045" w:name="_Toc296503168"/>
      <w:bookmarkStart w:id="1046" w:name="_Toc297120468"/>
      <w:bookmarkStart w:id="1047" w:name="_Toc296347167"/>
      <w:bookmarkStart w:id="1048" w:name="_Toc318581173"/>
      <w:bookmarkStart w:id="1049" w:name="_Toc296891208"/>
      <w:bookmarkStart w:id="1050" w:name="_Toc297123528"/>
      <w:bookmarkStart w:id="1051" w:name="_Toc297048354"/>
      <w:bookmarkStart w:id="1052" w:name="_Toc312677494"/>
      <w:bookmarkStart w:id="1053" w:name="_Toc297216187"/>
      <w:bookmarkStart w:id="1054" w:name="_Toc303539137"/>
      <w:bookmarkStart w:id="1055" w:name="_Toc304295557"/>
      <w:bookmarkStart w:id="1056" w:name="_Toc296890996"/>
      <w:bookmarkStart w:id="1057" w:name="_Toc300934980"/>
      <w:bookmarkStart w:id="1058" w:name="_Toc296944507"/>
      <w:r>
        <w:rPr>
          <w:rFonts w:hint="eastAsia" w:cs="宋体"/>
          <w:color w:val="auto"/>
          <w:sz w:val="21"/>
          <w:highlight w:val="none"/>
        </w:rPr>
        <w:t>.4.1发包人供应的材料设备的保管费用的承担：</w:t>
      </w:r>
      <w:r>
        <w:rPr>
          <w:rFonts w:hint="eastAsia" w:cs="宋体"/>
          <w:color w:val="auto"/>
          <w:sz w:val="21"/>
          <w:highlight w:val="none"/>
          <w:u w:val="single"/>
        </w:rPr>
        <w:t xml:space="preserve">承包人承担 </w:t>
      </w:r>
      <w:r>
        <w:rPr>
          <w:rFonts w:hint="eastAsia" w:cs="宋体"/>
          <w:color w:val="auto"/>
          <w:sz w:val="21"/>
          <w:highlight w:val="none"/>
        </w:rPr>
        <w:t>。</w:t>
      </w:r>
      <w:bookmarkEnd w:id="1041"/>
      <w:bookmarkEnd w:id="1042"/>
    </w:p>
    <w:p w14:paraId="6B3C9D37">
      <w:pPr>
        <w:spacing w:line="40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8.5.3设备的其他</w:t>
      </w:r>
      <w:r>
        <w:rPr>
          <w:rFonts w:hint="eastAsia" w:cs="宋体"/>
          <w:color w:val="auto"/>
          <w:highlight w:val="none"/>
        </w:rPr>
        <w:t>要求：</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w:t>
      </w:r>
    </w:p>
    <w:p w14:paraId="0F684371">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p>
    <w:p w14:paraId="2DEFEE4A">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p>
    <w:p w14:paraId="465C94D2">
      <w:pPr>
        <w:pStyle w:val="321"/>
        <w:spacing w:line="430" w:lineRule="exact"/>
        <w:rPr>
          <w:rFonts w:hint="eastAsia" w:ascii="宋体" w:cs="宋体"/>
          <w:color w:val="auto"/>
          <w:highlight w:val="none"/>
        </w:rPr>
      </w:pPr>
      <w:bookmarkStart w:id="1059" w:name="_Toc373227734"/>
      <w:bookmarkStart w:id="1060" w:name="_Toc478389224"/>
      <w:bookmarkStart w:id="1061" w:name="_Toc389065300"/>
      <w:bookmarkStart w:id="1062" w:name="_Toc373478381"/>
      <w:bookmarkStart w:id="1063" w:name="_Toc395382536"/>
      <w:r>
        <w:rPr>
          <w:rFonts w:hint="eastAsia" w:ascii="宋体" w:cs="宋体"/>
          <w:color w:val="auto"/>
          <w:highlight w:val="none"/>
        </w:rPr>
        <w:t>8.6 样品</w:t>
      </w:r>
      <w:bookmarkEnd w:id="1059"/>
      <w:bookmarkEnd w:id="1060"/>
      <w:bookmarkEnd w:id="1061"/>
      <w:bookmarkEnd w:id="1062"/>
      <w:bookmarkEnd w:id="1063"/>
    </w:p>
    <w:p w14:paraId="68C62590">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8.6.1 样品的报送与封存</w:t>
      </w:r>
    </w:p>
    <w:p w14:paraId="149BE706">
      <w:pPr>
        <w:pStyle w:val="79"/>
        <w:spacing w:line="430" w:lineRule="exact"/>
        <w:rPr>
          <w:rFonts w:hint="eastAsia" w:cs="宋体"/>
          <w:color w:val="auto"/>
          <w:sz w:val="21"/>
          <w:highlight w:val="none"/>
        </w:rPr>
      </w:pPr>
      <w:r>
        <w:rPr>
          <w:rFonts w:hint="eastAsia" w:cs="宋体"/>
          <w:color w:val="auto"/>
          <w:sz w:val="21"/>
          <w:highlight w:val="none"/>
        </w:rPr>
        <w:t>需要承包人报送样品的材料或工程设备，样品的种类、名称、规格、数量要求：</w:t>
      </w:r>
      <w:r>
        <w:rPr>
          <w:rFonts w:hint="eastAsia" w:cs="宋体"/>
          <w:color w:val="auto"/>
          <w:sz w:val="21"/>
          <w:highlight w:val="none"/>
          <w:u w:val="single"/>
        </w:rPr>
        <w:t>主要材料涉及品种、款式、颜色等方面内容的，承包人应提交准备合格的材料样品送发包人选定。</w:t>
      </w:r>
    </w:p>
    <w:p w14:paraId="3BFA7F43">
      <w:pPr>
        <w:pStyle w:val="321"/>
        <w:spacing w:line="430" w:lineRule="exact"/>
        <w:rPr>
          <w:rFonts w:hint="eastAsia" w:ascii="宋体" w:cs="宋体"/>
          <w:color w:val="auto"/>
          <w:highlight w:val="none"/>
        </w:rPr>
      </w:pPr>
      <w:bookmarkStart w:id="1064" w:name="_Toc478389225"/>
      <w:bookmarkStart w:id="1065" w:name="_Toc417904310"/>
      <w:r>
        <w:rPr>
          <w:rFonts w:hint="eastAsia" w:ascii="宋体" w:cs="宋体"/>
          <w:color w:val="auto"/>
          <w:highlight w:val="none"/>
        </w:rPr>
        <w:t>8.8 施工设备和临时设施</w:t>
      </w:r>
      <w:bookmarkEnd w:id="1064"/>
      <w:bookmarkEnd w:id="1065"/>
    </w:p>
    <w:p w14:paraId="13F0FC04">
      <w:pPr>
        <w:pStyle w:val="79"/>
        <w:spacing w:line="430" w:lineRule="exact"/>
        <w:rPr>
          <w:rFonts w:hint="eastAsia" w:cs="宋体"/>
          <w:color w:val="auto"/>
          <w:sz w:val="21"/>
          <w:highlight w:val="none"/>
        </w:rPr>
      </w:pPr>
      <w:r>
        <w:rPr>
          <w:rFonts w:hint="eastAsia" w:cs="宋体"/>
          <w:color w:val="auto"/>
          <w:sz w:val="21"/>
          <w:highlight w:val="none"/>
        </w:rPr>
        <w:t>8.8.1 承包人提供的施工设备和临时设施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1F00F4A8">
      <w:pPr>
        <w:pStyle w:val="79"/>
        <w:spacing w:line="430" w:lineRule="exact"/>
        <w:rPr>
          <w:rFonts w:hint="eastAsia" w:cs="宋体"/>
          <w:color w:val="auto"/>
          <w:sz w:val="21"/>
          <w:highlight w:val="none"/>
        </w:rPr>
      </w:pPr>
      <w:r>
        <w:rPr>
          <w:rFonts w:hint="eastAsia" w:cs="宋体"/>
          <w:color w:val="auto"/>
          <w:sz w:val="21"/>
          <w:highlight w:val="none"/>
        </w:rPr>
        <w:t xml:space="preserve">关于修建临时设施费用承担的约定： </w:t>
      </w:r>
    </w:p>
    <w:p w14:paraId="02B68449">
      <w:pPr>
        <w:pStyle w:val="79"/>
        <w:spacing w:line="430" w:lineRule="exact"/>
        <w:rPr>
          <w:rFonts w:hint="eastAsia" w:cs="宋体"/>
          <w:color w:val="auto"/>
          <w:sz w:val="21"/>
          <w:highlight w:val="none"/>
          <w:u w:val="single"/>
        </w:rPr>
      </w:pPr>
      <w:r>
        <w:rPr>
          <w:rFonts w:hint="eastAsia" w:cs="宋体"/>
          <w:color w:val="auto"/>
          <w:sz w:val="21"/>
          <w:highlight w:val="none"/>
          <w:u w:val="single"/>
        </w:rPr>
        <w:t>①承包人的临时用地（含项目部驻地等）租用费（含拆迁补偿）、临时用地的环保、恢复、临时用地的青苗补偿及地面附着物拆除等费用均由承包人负责，以上费用在竞标报价中综合考虑。</w:t>
      </w:r>
    </w:p>
    <w:p w14:paraId="2EFDA14A">
      <w:pPr>
        <w:pStyle w:val="79"/>
        <w:spacing w:line="430" w:lineRule="exact"/>
        <w:rPr>
          <w:rFonts w:hint="eastAsia" w:cs="宋体"/>
          <w:color w:val="auto"/>
          <w:sz w:val="21"/>
          <w:highlight w:val="none"/>
          <w:u w:val="single"/>
        </w:rPr>
      </w:pPr>
      <w:r>
        <w:rPr>
          <w:rFonts w:hint="eastAsia" w:cs="宋体"/>
          <w:color w:val="auto"/>
          <w:sz w:val="21"/>
          <w:highlight w:val="none"/>
          <w:u w:val="single"/>
        </w:rPr>
        <w:t>②承包人负责合同实施期间其合同段内临时交通道路（含场内外连接公共交通道路）和交通设施的修建、维修、养护和交通管理工作，并承担一切费用。</w:t>
      </w:r>
    </w:p>
    <w:p w14:paraId="53215346">
      <w:pPr>
        <w:pStyle w:val="79"/>
        <w:spacing w:line="430" w:lineRule="exact"/>
        <w:rPr>
          <w:rFonts w:hint="eastAsia" w:cs="宋体"/>
          <w:color w:val="auto"/>
          <w:sz w:val="21"/>
          <w:highlight w:val="none"/>
        </w:rPr>
      </w:pPr>
      <w:r>
        <w:rPr>
          <w:rFonts w:hint="eastAsia" w:cs="宋体"/>
          <w:color w:val="auto"/>
          <w:sz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0848889">
      <w:pPr>
        <w:autoSpaceDE w:val="0"/>
        <w:autoSpaceDN w:val="0"/>
        <w:adjustRightInd w:val="0"/>
        <w:spacing w:line="43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8.8.2 发包人提供的施工设备和临时设施</w:t>
      </w:r>
    </w:p>
    <w:p w14:paraId="3776BD05">
      <w:pPr>
        <w:autoSpaceDE w:val="0"/>
        <w:autoSpaceDN w:val="0"/>
        <w:adjustRightInd w:val="0"/>
        <w:spacing w:line="43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14:paraId="613E4D12">
      <w:pPr>
        <w:autoSpaceDE w:val="0"/>
        <w:autoSpaceDN w:val="0"/>
        <w:adjustRightInd w:val="0"/>
        <w:spacing w:line="43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14:paraId="2E1F86BA">
      <w:pPr>
        <w:pStyle w:val="321"/>
        <w:spacing w:line="430" w:lineRule="exact"/>
        <w:rPr>
          <w:rFonts w:hint="eastAsia" w:ascii="宋体" w:cs="宋体"/>
          <w:color w:val="auto"/>
          <w:highlight w:val="none"/>
        </w:rPr>
      </w:pPr>
      <w:bookmarkStart w:id="1066" w:name="_Toc351203641"/>
      <w:bookmarkStart w:id="1067" w:name="_Toc478389226"/>
      <w:bookmarkStart w:id="1068" w:name="_Toc417904311"/>
      <w:r>
        <w:rPr>
          <w:rFonts w:hint="eastAsia" w:ascii="宋体" w:cs="宋体"/>
          <w:color w:val="auto"/>
          <w:highlight w:val="none"/>
        </w:rPr>
        <w:t>9</w:t>
      </w:r>
      <w:bookmarkEnd w:id="1038"/>
      <w:bookmarkEnd w:id="1039"/>
      <w:bookmarkEnd w:id="1040"/>
      <w:bookmarkStart w:id="1069" w:name="_Toc304295559"/>
      <w:bookmarkStart w:id="1070" w:name="_Toc312677495"/>
      <w:bookmarkStart w:id="1071" w:name="_Toc297216192"/>
      <w:bookmarkStart w:id="1072" w:name="_Toc297123533"/>
      <w:bookmarkStart w:id="1073" w:name="_Toc303539139"/>
      <w:bookmarkStart w:id="1074" w:name="_Toc300934982"/>
      <w:bookmarkStart w:id="1075" w:name="_Toc312678021"/>
      <w:bookmarkStart w:id="1076" w:name="_Toc296347172"/>
      <w:bookmarkStart w:id="1077" w:name="_Toc292559883"/>
      <w:bookmarkStart w:id="1078" w:name="_Toc296503173"/>
      <w:bookmarkStart w:id="1079" w:name="_Toc296944512"/>
      <w:bookmarkStart w:id="1080" w:name="_Toc292559378"/>
      <w:bookmarkStart w:id="1081" w:name="_Toc296891213"/>
      <w:bookmarkStart w:id="1082" w:name="_Toc297048359"/>
      <w:bookmarkStart w:id="1083" w:name="_Toc296891001"/>
      <w:bookmarkStart w:id="1084" w:name="_Toc267251427"/>
      <w:bookmarkStart w:id="1085" w:name="_Toc296346674"/>
      <w:bookmarkStart w:id="1086" w:name="_Toc267251428"/>
      <w:bookmarkStart w:id="1087" w:name="_Toc297120473"/>
      <w:r>
        <w:rPr>
          <w:rFonts w:hint="eastAsia" w:ascii="宋体" w:cs="宋体"/>
          <w:color w:val="auto"/>
          <w:highlight w:val="none"/>
        </w:rPr>
        <w:t>. 试验与检验</w:t>
      </w:r>
      <w:bookmarkEnd w:id="1066"/>
      <w:bookmarkEnd w:id="1067"/>
      <w:bookmarkEnd w:id="1068"/>
    </w:p>
    <w:bookmarkEnd w:id="1069"/>
    <w:bookmarkEnd w:id="1070"/>
    <w:bookmarkEnd w:id="1071"/>
    <w:bookmarkEnd w:id="1072"/>
    <w:bookmarkEnd w:id="1073"/>
    <w:bookmarkEnd w:id="1074"/>
    <w:bookmarkEnd w:id="1075"/>
    <w:p w14:paraId="0A806996">
      <w:pPr>
        <w:pStyle w:val="321"/>
        <w:rPr>
          <w:rFonts w:hint="eastAsia" w:ascii="宋体" w:cs="宋体"/>
          <w:color w:val="auto"/>
          <w:highlight w:val="none"/>
        </w:rPr>
      </w:pPr>
      <w:bookmarkStart w:id="1088" w:name="_Toc478389227"/>
      <w:bookmarkStart w:id="1089" w:name="_Toc417904312"/>
      <w:r>
        <w:rPr>
          <w:rFonts w:hint="eastAsia" w:ascii="宋体" w:cs="宋体"/>
          <w:color w:val="auto"/>
          <w:highlight w:val="none"/>
        </w:rPr>
        <w:t>9</w:t>
      </w:r>
      <w:bookmarkStart w:id="1090" w:name="_Toc297123534"/>
      <w:bookmarkStart w:id="1091" w:name="_Toc303539140"/>
      <w:bookmarkStart w:id="1092" w:name="_Toc312677496"/>
      <w:bookmarkStart w:id="1093" w:name="_Toc304295560"/>
      <w:bookmarkStart w:id="1094" w:name="_Toc300934983"/>
      <w:bookmarkStart w:id="1095" w:name="_Toc312678022"/>
      <w:bookmarkStart w:id="1096" w:name="_Toc297216193"/>
      <w:r>
        <w:rPr>
          <w:rFonts w:hint="eastAsia" w:ascii="宋体" w:cs="宋体"/>
          <w:color w:val="auto"/>
          <w:highlight w:val="none"/>
        </w:rPr>
        <w:t>.1试验设备与试验人员</w:t>
      </w:r>
      <w:bookmarkEnd w:id="1088"/>
      <w:bookmarkEnd w:id="1089"/>
    </w:p>
    <w:bookmarkEnd w:id="1090"/>
    <w:bookmarkEnd w:id="1091"/>
    <w:bookmarkEnd w:id="1092"/>
    <w:bookmarkEnd w:id="1093"/>
    <w:bookmarkEnd w:id="1094"/>
    <w:bookmarkEnd w:id="1095"/>
    <w:bookmarkEnd w:id="1096"/>
    <w:p w14:paraId="7B5F5510">
      <w:pPr>
        <w:pStyle w:val="79"/>
        <w:rPr>
          <w:rFonts w:hint="eastAsia" w:cs="宋体"/>
          <w:color w:val="auto"/>
          <w:sz w:val="21"/>
          <w:highlight w:val="none"/>
        </w:rPr>
      </w:pPr>
      <w:r>
        <w:rPr>
          <w:rFonts w:hint="eastAsia" w:cs="宋体"/>
          <w:color w:val="auto"/>
          <w:sz w:val="21"/>
          <w:highlight w:val="none"/>
        </w:rPr>
        <w:t>9</w:t>
      </w:r>
      <w:bookmarkStart w:id="1097" w:name="_Toc312677497"/>
      <w:bookmarkStart w:id="1098" w:name="_Toc297123535"/>
      <w:bookmarkStart w:id="1099" w:name="_Toc312678023"/>
      <w:bookmarkStart w:id="1100" w:name="_Toc297216194"/>
      <w:bookmarkStart w:id="1101" w:name="_Toc304295561"/>
      <w:bookmarkStart w:id="1102" w:name="_Toc300934984"/>
      <w:bookmarkStart w:id="1103" w:name="_Toc303539141"/>
      <w:bookmarkStart w:id="1104" w:name="_Toc318581174"/>
      <w:r>
        <w:rPr>
          <w:rFonts w:hint="eastAsia" w:cs="宋体"/>
          <w:color w:val="auto"/>
          <w:sz w:val="21"/>
          <w:highlight w:val="none"/>
        </w:rPr>
        <w:t>.1.2 试验设备</w:t>
      </w:r>
    </w:p>
    <w:p w14:paraId="134F4226">
      <w:pPr>
        <w:pStyle w:val="79"/>
        <w:rPr>
          <w:rFonts w:hint="eastAsia" w:cs="宋体"/>
          <w:color w:val="auto"/>
          <w:sz w:val="21"/>
          <w:highlight w:val="none"/>
        </w:rPr>
      </w:pPr>
      <w:r>
        <w:rPr>
          <w:rFonts w:hint="eastAsia" w:cs="宋体"/>
          <w:color w:val="auto"/>
          <w:sz w:val="21"/>
          <w:highlight w:val="none"/>
        </w:rPr>
        <w:t>施工现场需要配置的试验场所：</w:t>
      </w:r>
      <w:bookmarkEnd w:id="1097"/>
      <w:bookmarkEnd w:id="1098"/>
      <w:bookmarkEnd w:id="1099"/>
      <w:bookmarkEnd w:id="1100"/>
      <w:bookmarkEnd w:id="1101"/>
      <w:bookmarkEnd w:id="1102"/>
      <w:bookmarkEnd w:id="1103"/>
      <w:bookmarkStart w:id="1105" w:name="_Toc312678024"/>
      <w:bookmarkStart w:id="1106" w:name="_Toc297216195"/>
      <w:bookmarkStart w:id="1107" w:name="_Toc303539142"/>
      <w:bookmarkStart w:id="1108" w:name="_Toc304295562"/>
      <w:bookmarkStart w:id="1109" w:name="_Toc300934985"/>
      <w:bookmarkStart w:id="1110" w:name="_Toc297123536"/>
      <w:bookmarkStart w:id="1111" w:name="_Toc312677498"/>
      <w:r>
        <w:rPr>
          <w:rFonts w:hint="eastAsia" w:cs="宋体"/>
          <w:color w:val="auto"/>
          <w:sz w:val="21"/>
          <w:highlight w:val="none"/>
          <w:u w:val="single"/>
        </w:rPr>
        <w:t xml:space="preserve">   按实际需要和国家规定 </w:t>
      </w:r>
      <w:r>
        <w:rPr>
          <w:rFonts w:hint="eastAsia" w:cs="宋体"/>
          <w:color w:val="auto"/>
          <w:sz w:val="21"/>
          <w:highlight w:val="none"/>
        </w:rPr>
        <w:t xml:space="preserve">。 </w:t>
      </w:r>
    </w:p>
    <w:p w14:paraId="62A95EAE">
      <w:pPr>
        <w:pStyle w:val="79"/>
        <w:rPr>
          <w:rFonts w:hint="eastAsia" w:cs="宋体"/>
          <w:color w:val="auto"/>
          <w:sz w:val="21"/>
          <w:highlight w:val="none"/>
        </w:rPr>
      </w:pPr>
      <w:r>
        <w:rPr>
          <w:rFonts w:hint="eastAsia" w:cs="宋体"/>
          <w:color w:val="auto"/>
          <w:sz w:val="21"/>
          <w:highlight w:val="none"/>
        </w:rPr>
        <w:t>施工现场需要配备的试验设备：</w:t>
      </w:r>
      <w:r>
        <w:rPr>
          <w:rFonts w:hint="eastAsia" w:cs="宋体"/>
          <w:color w:val="auto"/>
          <w:sz w:val="21"/>
          <w:highlight w:val="none"/>
          <w:u w:val="single"/>
        </w:rPr>
        <w:t xml:space="preserve">    按实际需要和国家规定   </w:t>
      </w:r>
      <w:r>
        <w:rPr>
          <w:rFonts w:hint="eastAsia" w:cs="宋体"/>
          <w:color w:val="auto"/>
          <w:sz w:val="21"/>
          <w:highlight w:val="none"/>
        </w:rPr>
        <w:t>。</w:t>
      </w:r>
    </w:p>
    <w:p w14:paraId="16A21FDE">
      <w:pPr>
        <w:pStyle w:val="79"/>
        <w:rPr>
          <w:rFonts w:hint="eastAsia" w:cs="宋体"/>
          <w:color w:val="auto"/>
          <w:sz w:val="21"/>
          <w:highlight w:val="none"/>
        </w:rPr>
      </w:pPr>
      <w:r>
        <w:rPr>
          <w:rFonts w:hint="eastAsia" w:cs="宋体"/>
          <w:color w:val="auto"/>
          <w:sz w:val="21"/>
          <w:highlight w:val="none"/>
        </w:rPr>
        <w:t>施工现场需要具备的其他试验条件：</w:t>
      </w:r>
      <w:r>
        <w:rPr>
          <w:rFonts w:hint="eastAsia" w:cs="宋体"/>
          <w:color w:val="auto"/>
          <w:sz w:val="21"/>
          <w:highlight w:val="none"/>
          <w:u w:val="single"/>
        </w:rPr>
        <w:t xml:space="preserve">   按实际需要和国家规定  </w:t>
      </w:r>
      <w:r>
        <w:rPr>
          <w:rFonts w:hint="eastAsia" w:cs="宋体"/>
          <w:color w:val="auto"/>
          <w:sz w:val="21"/>
          <w:highlight w:val="none"/>
        </w:rPr>
        <w:t>。</w:t>
      </w:r>
    </w:p>
    <w:p w14:paraId="64AD3547">
      <w:pPr>
        <w:pStyle w:val="321"/>
        <w:rPr>
          <w:rFonts w:hint="eastAsia" w:ascii="宋体" w:cs="宋体"/>
          <w:color w:val="auto"/>
          <w:highlight w:val="none"/>
        </w:rPr>
      </w:pPr>
      <w:bookmarkStart w:id="1112" w:name="_Toc478389228"/>
      <w:bookmarkStart w:id="1113" w:name="_Toc417904313"/>
      <w:r>
        <w:rPr>
          <w:rFonts w:hint="eastAsia" w:ascii="宋体" w:cs="宋体"/>
          <w:color w:val="auto"/>
          <w:highlight w:val="none"/>
        </w:rPr>
        <w:t>9.4 现场工艺试验</w:t>
      </w:r>
      <w:bookmarkEnd w:id="1112"/>
      <w:bookmarkEnd w:id="1113"/>
    </w:p>
    <w:p w14:paraId="63E1D662">
      <w:pPr>
        <w:pStyle w:val="79"/>
        <w:rPr>
          <w:rFonts w:hint="eastAsia" w:cs="宋体"/>
          <w:color w:val="auto"/>
          <w:sz w:val="21"/>
          <w:highlight w:val="none"/>
        </w:rPr>
      </w:pPr>
      <w:r>
        <w:rPr>
          <w:rFonts w:hint="eastAsia" w:cs="宋体"/>
          <w:color w:val="auto"/>
          <w:sz w:val="21"/>
          <w:highlight w:val="none"/>
        </w:rPr>
        <w:t>现场工艺试验的有关约定：</w:t>
      </w:r>
      <w:r>
        <w:rPr>
          <w:rFonts w:hint="eastAsia" w:cs="宋体"/>
          <w:color w:val="auto"/>
          <w:sz w:val="21"/>
          <w:highlight w:val="none"/>
          <w:u w:val="single"/>
        </w:rPr>
        <w:t xml:space="preserve">    按实际需要和国家规定  </w:t>
      </w:r>
      <w:r>
        <w:rPr>
          <w:rFonts w:hint="eastAsia" w:cs="宋体"/>
          <w:color w:val="auto"/>
          <w:sz w:val="21"/>
          <w:highlight w:val="none"/>
        </w:rPr>
        <w:t>。</w:t>
      </w:r>
    </w:p>
    <w:bookmarkEnd w:id="1104"/>
    <w:bookmarkEnd w:id="1105"/>
    <w:bookmarkEnd w:id="1106"/>
    <w:bookmarkEnd w:id="1107"/>
    <w:bookmarkEnd w:id="1108"/>
    <w:bookmarkEnd w:id="1109"/>
    <w:bookmarkEnd w:id="1110"/>
    <w:bookmarkEnd w:id="1111"/>
    <w:p w14:paraId="69EA5586">
      <w:pPr>
        <w:pStyle w:val="321"/>
        <w:rPr>
          <w:rFonts w:hint="eastAsia" w:ascii="宋体" w:cs="宋体"/>
          <w:color w:val="auto"/>
          <w:highlight w:val="none"/>
        </w:rPr>
      </w:pPr>
      <w:bookmarkStart w:id="1114" w:name="_Toc351203642"/>
      <w:bookmarkStart w:id="1115" w:name="_Toc478389230"/>
      <w:bookmarkStart w:id="1116" w:name="_Toc417904315"/>
      <w:r>
        <w:rPr>
          <w:rFonts w:hint="eastAsia" w:ascii="宋体" w:cs="宋体"/>
          <w:color w:val="auto"/>
          <w:highlight w:val="none"/>
        </w:rPr>
        <w:t>1</w:t>
      </w:r>
      <w:bookmarkEnd w:id="1076"/>
      <w:bookmarkEnd w:id="1077"/>
      <w:bookmarkEnd w:id="1078"/>
      <w:bookmarkEnd w:id="1079"/>
      <w:bookmarkEnd w:id="1080"/>
      <w:bookmarkEnd w:id="1081"/>
      <w:bookmarkEnd w:id="1082"/>
      <w:bookmarkEnd w:id="1083"/>
      <w:bookmarkEnd w:id="1084"/>
      <w:bookmarkEnd w:id="1085"/>
      <w:bookmarkEnd w:id="1086"/>
      <w:bookmarkEnd w:id="1087"/>
      <w:bookmarkStart w:id="1117" w:name="_Toc297123540"/>
      <w:bookmarkStart w:id="1118" w:name="_Toc296503193"/>
      <w:bookmarkStart w:id="1119" w:name="_Toc304295566"/>
      <w:bookmarkStart w:id="1120" w:name="_Toc297120493"/>
      <w:bookmarkStart w:id="1121" w:name="_Toc292559903"/>
      <w:bookmarkStart w:id="1122" w:name="_Toc296891233"/>
      <w:bookmarkStart w:id="1123" w:name="_Toc297216199"/>
      <w:bookmarkStart w:id="1124" w:name="_Toc303539146"/>
      <w:bookmarkStart w:id="1125" w:name="_Toc296891021"/>
      <w:bookmarkStart w:id="1126" w:name="_Toc296347192"/>
      <w:bookmarkStart w:id="1127" w:name="_Toc296346694"/>
      <w:bookmarkStart w:id="1128" w:name="_Toc292559398"/>
      <w:bookmarkStart w:id="1129" w:name="_Toc296944532"/>
      <w:bookmarkStart w:id="1130" w:name="_Toc300934989"/>
      <w:bookmarkStart w:id="1131" w:name="_Toc297048379"/>
      <w:bookmarkStart w:id="1132" w:name="_Toc312678025"/>
      <w:bookmarkStart w:id="1133" w:name="_Toc312677499"/>
      <w:bookmarkStart w:id="1134" w:name="_Toc267251441"/>
      <w:bookmarkStart w:id="1135" w:name="_Toc267251437"/>
      <w:bookmarkStart w:id="1136" w:name="_Toc267251439"/>
      <w:bookmarkStart w:id="1137" w:name="_Toc267251435"/>
      <w:bookmarkStart w:id="1138" w:name="_Toc267251440"/>
      <w:bookmarkStart w:id="1139" w:name="_Toc267251433"/>
      <w:bookmarkStart w:id="1140" w:name="_Toc267251442"/>
      <w:r>
        <w:rPr>
          <w:rFonts w:hint="eastAsia" w:ascii="宋体" w:cs="宋体"/>
          <w:color w:val="auto"/>
          <w:highlight w:val="none"/>
        </w:rPr>
        <w:t>0. 变更</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bookmarkEnd w:id="1132"/>
    <w:bookmarkEnd w:id="1133"/>
    <w:p w14:paraId="5DDFF368">
      <w:pPr>
        <w:pStyle w:val="321"/>
        <w:rPr>
          <w:rFonts w:hint="eastAsia" w:ascii="宋体" w:cs="宋体"/>
          <w:color w:val="auto"/>
          <w:highlight w:val="none"/>
        </w:rPr>
      </w:pPr>
      <w:bookmarkStart w:id="1141" w:name="_Toc417904316"/>
      <w:bookmarkStart w:id="1142" w:name="_Toc478389231"/>
      <w:r>
        <w:rPr>
          <w:rFonts w:hint="eastAsia" w:ascii="宋体" w:cs="宋体"/>
          <w:color w:val="auto"/>
          <w:highlight w:val="none"/>
        </w:rPr>
        <w:t>1</w:t>
      </w:r>
      <w:bookmarkStart w:id="1143" w:name="_Toc296346695"/>
      <w:bookmarkStart w:id="1144" w:name="_Toc297120494"/>
      <w:bookmarkStart w:id="1145" w:name="_Toc297123541"/>
      <w:bookmarkStart w:id="1146" w:name="_Toc292559399"/>
      <w:bookmarkStart w:id="1147" w:name="_Toc297048380"/>
      <w:bookmarkStart w:id="1148" w:name="_Toc292559904"/>
      <w:bookmarkStart w:id="1149" w:name="_Toc296891022"/>
      <w:bookmarkStart w:id="1150" w:name="_Toc296891234"/>
      <w:bookmarkStart w:id="1151" w:name="_Toc296503194"/>
      <w:bookmarkStart w:id="1152" w:name="_Toc312678026"/>
      <w:bookmarkStart w:id="1153" w:name="_Toc303539147"/>
      <w:bookmarkStart w:id="1154" w:name="_Toc297216200"/>
      <w:bookmarkStart w:id="1155" w:name="_Toc300934990"/>
      <w:bookmarkStart w:id="1156" w:name="_Toc296347193"/>
      <w:bookmarkStart w:id="1157" w:name="_Toc312677500"/>
      <w:bookmarkStart w:id="1158" w:name="_Toc296944533"/>
      <w:bookmarkStart w:id="1159" w:name="_Toc304295567"/>
      <w:r>
        <w:rPr>
          <w:rFonts w:hint="eastAsia" w:ascii="宋体" w:cs="宋体"/>
          <w:color w:val="auto"/>
          <w:highlight w:val="none"/>
        </w:rPr>
        <w:t>0.1变更的范围</w:t>
      </w:r>
      <w:bookmarkEnd w:id="1141"/>
      <w:bookmarkEnd w:id="1142"/>
    </w:p>
    <w:p w14:paraId="7389D50A">
      <w:pPr>
        <w:pStyle w:val="79"/>
        <w:rPr>
          <w:rFonts w:hint="eastAsia" w:cs="宋体"/>
          <w:color w:val="auto"/>
          <w:sz w:val="21"/>
          <w:highlight w:val="none"/>
        </w:rPr>
      </w:pPr>
      <w:r>
        <w:rPr>
          <w:rFonts w:hint="eastAsia" w:cs="宋体"/>
          <w:color w:val="auto"/>
          <w:sz w:val="21"/>
          <w:highlight w:val="none"/>
        </w:rPr>
        <w:t>关于变更的范围的约定：</w:t>
      </w:r>
      <w:r>
        <w:rPr>
          <w:rFonts w:hint="eastAsia" w:cs="宋体"/>
          <w:color w:val="auto"/>
          <w:sz w:val="21"/>
          <w:highlight w:val="none"/>
          <w:u w:val="single"/>
        </w:rPr>
        <w:t>因设计变更或者现场签证导致变更后的预算超过分项预算或者总预算的5%以上的，须经发包人审核后实施。发包人可以取消部分工作内容施工。</w:t>
      </w:r>
    </w:p>
    <w:p w14:paraId="09BECEEE">
      <w:pPr>
        <w:pStyle w:val="321"/>
        <w:rPr>
          <w:rFonts w:hint="eastAsia" w:ascii="宋体" w:cs="宋体"/>
          <w:color w:val="auto"/>
          <w:highlight w:val="none"/>
        </w:rPr>
      </w:pPr>
      <w:bookmarkStart w:id="1160" w:name="_Toc389065307"/>
      <w:bookmarkStart w:id="1161" w:name="_Toc478389232"/>
      <w:bookmarkStart w:id="1162" w:name="_Toc373478388"/>
      <w:bookmarkStart w:id="1163" w:name="_Toc373227741"/>
      <w:bookmarkStart w:id="1164" w:name="_Toc417904317"/>
      <w:bookmarkStart w:id="1165" w:name="_Toc395382544"/>
      <w:r>
        <w:rPr>
          <w:rFonts w:hint="eastAsia" w:ascii="宋体" w:cs="宋体"/>
          <w:color w:val="auto"/>
          <w:highlight w:val="none"/>
        </w:rPr>
        <w:t>10.3 变更程序</w:t>
      </w:r>
      <w:bookmarkEnd w:id="1160"/>
      <w:bookmarkEnd w:id="1161"/>
      <w:bookmarkEnd w:id="1162"/>
      <w:bookmarkEnd w:id="1163"/>
      <w:bookmarkEnd w:id="1164"/>
      <w:bookmarkEnd w:id="1165"/>
    </w:p>
    <w:p w14:paraId="78154252">
      <w:pPr>
        <w:pStyle w:val="79"/>
        <w:rPr>
          <w:rFonts w:hint="eastAsia" w:cs="宋体"/>
          <w:bCs/>
          <w:color w:val="auto"/>
          <w:sz w:val="21"/>
          <w:highlight w:val="none"/>
        </w:rPr>
      </w:pPr>
      <w:r>
        <w:rPr>
          <w:rFonts w:hint="eastAsia" w:cs="宋体"/>
          <w:bCs/>
          <w:color w:val="auto"/>
          <w:sz w:val="21"/>
          <w:highlight w:val="none"/>
        </w:rPr>
        <w:t>10.3.2 非国有投资项目：</w:t>
      </w:r>
      <w:r>
        <w:rPr>
          <w:rFonts w:hint="eastAsia" w:cs="宋体"/>
          <w:color w:val="auto"/>
          <w:sz w:val="21"/>
          <w:highlight w:val="none"/>
          <w:u w:val="single"/>
        </w:rPr>
        <w:t>无</w:t>
      </w:r>
      <w:r>
        <w:rPr>
          <w:rFonts w:hint="eastAsia" w:cs="宋体"/>
          <w:bCs/>
          <w:color w:val="auto"/>
          <w:sz w:val="21"/>
          <w:highlight w:val="none"/>
        </w:rPr>
        <w:t>。</w:t>
      </w:r>
    </w:p>
    <w:p w14:paraId="629E3707">
      <w:pPr>
        <w:pStyle w:val="321"/>
        <w:rPr>
          <w:rFonts w:hint="eastAsia" w:ascii="宋体" w:cs="宋体"/>
          <w:color w:val="auto"/>
          <w:highlight w:val="none"/>
        </w:rPr>
      </w:pPr>
      <w:bookmarkStart w:id="1166" w:name="_Toc417904318"/>
      <w:bookmarkStart w:id="1167" w:name="_Toc478389233"/>
      <w:r>
        <w:rPr>
          <w:rFonts w:hint="eastAsia" w:ascii="宋体" w:cs="宋体"/>
          <w:color w:val="auto"/>
          <w:highlight w:val="none"/>
        </w:rPr>
        <w:t>10.4 变更估价</w:t>
      </w:r>
      <w:bookmarkEnd w:id="1166"/>
      <w:bookmarkEnd w:id="1167"/>
    </w:p>
    <w:p w14:paraId="6AB1EF77">
      <w:pPr>
        <w:pStyle w:val="79"/>
        <w:rPr>
          <w:rFonts w:hint="eastAsia" w:eastAsia="宋体" w:cs="宋体"/>
          <w:color w:val="auto"/>
          <w:sz w:val="21"/>
          <w:szCs w:val="21"/>
          <w:highlight w:val="none"/>
          <w:u w:val="single"/>
          <w:lang w:eastAsia="zh-CN"/>
        </w:rPr>
      </w:pPr>
      <w:r>
        <w:rPr>
          <w:rFonts w:hint="eastAsia" w:cs="宋体"/>
          <w:color w:val="auto"/>
          <w:sz w:val="21"/>
          <w:highlight w:val="none"/>
        </w:rPr>
        <w:t>10.4.1变更估价原则：</w:t>
      </w:r>
      <w:r>
        <w:rPr>
          <w:rFonts w:hint="eastAsia" w:cs="宋体"/>
          <w:color w:val="auto"/>
          <w:sz w:val="21"/>
          <w:szCs w:val="21"/>
          <w:highlight w:val="none"/>
          <w:u w:val="single"/>
        </w:rPr>
        <w:t>工程变更合同价款按下列方法进行：因设计变更、相关签证及招标工程量清单错项、漏项引起工程项目、工程量任何变化的，变更合同价款按下列方法进行：①合同中已有适用于变更工程的项，按合同中已有的综合单价确定；②合同中有类似变更工程的项（指工程量清单项目中除主要材料不同外，人工、机械及其他材料均相同的项）， 综合单价按已有类似的综合单价加材料价差来确定；③合同中没有适用或类似于变更工程的项，其综合单价套用广西现行消耗量定额，费率按预算价的费率构成计取，材料价按施工期《桂林建设工程造价信息》</w:t>
      </w:r>
      <w:r>
        <w:rPr>
          <w:rFonts w:hint="eastAsia" w:cs="宋体"/>
          <w:color w:val="auto"/>
          <w:sz w:val="21"/>
          <w:szCs w:val="21"/>
          <w:highlight w:val="none"/>
          <w:u w:val="single"/>
          <w:lang w:eastAsia="zh-CN"/>
        </w:rPr>
        <w:t>（永福县）</w:t>
      </w:r>
      <w:r>
        <w:rPr>
          <w:rFonts w:hint="eastAsia" w:cs="宋体"/>
          <w:color w:val="auto"/>
          <w:sz w:val="21"/>
          <w:szCs w:val="21"/>
          <w:highlight w:val="none"/>
          <w:u w:val="single"/>
        </w:rPr>
        <w:t>公布价格的算</w:t>
      </w:r>
      <w:r>
        <w:rPr>
          <w:rFonts w:hint="eastAsia" w:cs="宋体"/>
          <w:color w:val="auto"/>
          <w:sz w:val="21"/>
          <w:szCs w:val="21"/>
          <w:highlight w:val="none"/>
          <w:u w:val="single"/>
          <w:lang w:eastAsia="zh-CN"/>
        </w:rPr>
        <w:t>术</w:t>
      </w:r>
      <w:r>
        <w:rPr>
          <w:rFonts w:hint="eastAsia" w:cs="宋体"/>
          <w:color w:val="auto"/>
          <w:sz w:val="21"/>
          <w:szCs w:val="21"/>
          <w:highlight w:val="none"/>
          <w:u w:val="single"/>
        </w:rPr>
        <w:t>平均值计取，装修、水电材料以及材料价格缺项的根据市场询价签证确定其材料价格，最后总价乘以系数（1-优惠率  %）；④不适用上述条款的</w:t>
      </w:r>
      <w:r>
        <w:rPr>
          <w:rFonts w:hint="eastAsia" w:cs="宋体"/>
          <w:color w:val="auto"/>
          <w:sz w:val="21"/>
          <w:szCs w:val="21"/>
          <w:highlight w:val="none"/>
          <w:u w:val="single"/>
          <w:lang w:eastAsia="zh-CN"/>
        </w:rPr>
        <w:t>事</w:t>
      </w:r>
      <w:r>
        <w:rPr>
          <w:rFonts w:hint="eastAsia" w:cs="宋体"/>
          <w:color w:val="auto"/>
          <w:sz w:val="21"/>
          <w:szCs w:val="21"/>
          <w:highlight w:val="none"/>
          <w:u w:val="single"/>
        </w:rPr>
        <w:t>项，则由发包人和承包人协商签证确定；⑤因不可抗力产生的费用由发包人及承包人双方协商分担</w:t>
      </w:r>
      <w:r>
        <w:rPr>
          <w:rFonts w:hint="eastAsia" w:cs="宋体"/>
          <w:color w:val="auto"/>
          <w:sz w:val="21"/>
          <w:szCs w:val="21"/>
          <w:highlight w:val="none"/>
          <w:u w:val="single"/>
          <w:lang w:eastAsia="zh-CN"/>
        </w:rPr>
        <w:t>；</w:t>
      </w:r>
      <w:r>
        <w:rPr>
          <w:rFonts w:hint="eastAsia" w:cs="宋体"/>
          <w:color w:val="auto"/>
          <w:sz w:val="21"/>
          <w:szCs w:val="21"/>
          <w:highlight w:val="none"/>
          <w:u w:val="single"/>
        </w:rPr>
        <w:t>⑤国家和自治区政策性调整有关费用标准的，按文件规定执行之日起进行调整</w:t>
      </w:r>
      <w:r>
        <w:rPr>
          <w:rFonts w:hint="eastAsia" w:cs="宋体"/>
          <w:color w:val="auto"/>
          <w:sz w:val="21"/>
          <w:szCs w:val="21"/>
          <w:highlight w:val="none"/>
          <w:u w:val="single"/>
          <w:lang w:eastAsia="zh-CN"/>
        </w:rPr>
        <w:t>；</w:t>
      </w:r>
      <w:r>
        <w:rPr>
          <w:rFonts w:hint="eastAsia" w:cs="宋体"/>
          <w:color w:val="auto"/>
          <w:sz w:val="21"/>
          <w:szCs w:val="21"/>
          <w:highlight w:val="none"/>
          <w:u w:val="single"/>
        </w:rPr>
        <w:t>⑥工程结算价格无论是合同内部分还是签证、变更增加部分，均需按照承诺下浮优惠率  %总价下浮。</w:t>
      </w:r>
      <w:r>
        <w:rPr>
          <w:rFonts w:hint="eastAsia" w:cs="宋体"/>
          <w:color w:val="auto"/>
          <w:sz w:val="21"/>
          <w:szCs w:val="21"/>
          <w:highlight w:val="none"/>
          <w:u w:val="single"/>
          <w:lang w:eastAsia="zh-CN"/>
        </w:rPr>
        <w:t>【</w:t>
      </w:r>
      <w:r>
        <w:rPr>
          <w:rFonts w:hint="eastAsia" w:cs="宋体"/>
          <w:color w:val="auto"/>
          <w:sz w:val="21"/>
          <w:szCs w:val="21"/>
          <w:highlight w:val="none"/>
          <w:u w:val="single"/>
        </w:rPr>
        <w:t>优惠率=（1-成交金额/采购预算金额）×100％</w:t>
      </w:r>
      <w:r>
        <w:rPr>
          <w:rFonts w:hint="eastAsia" w:cs="宋体"/>
          <w:color w:val="auto"/>
          <w:sz w:val="21"/>
          <w:szCs w:val="21"/>
          <w:highlight w:val="none"/>
          <w:u w:val="single"/>
          <w:lang w:eastAsia="zh-CN"/>
        </w:rPr>
        <w:t>】</w:t>
      </w:r>
    </w:p>
    <w:p w14:paraId="473CA5F6">
      <w:pPr>
        <w:pStyle w:val="79"/>
        <w:ind w:firstLine="400"/>
        <w:rPr>
          <w:rFonts w:hint="eastAsia" w:cs="宋体"/>
          <w:color w:val="auto"/>
          <w:sz w:val="21"/>
          <w:szCs w:val="21"/>
          <w:highlight w:val="none"/>
          <w:u w:val="single"/>
        </w:rPr>
      </w:pPr>
      <w:r>
        <w:rPr>
          <w:rFonts w:hint="eastAsia" w:cs="宋体"/>
          <w:color w:val="auto"/>
          <w:sz w:val="21"/>
          <w:szCs w:val="21"/>
          <w:highlight w:val="none"/>
          <w:u w:val="single"/>
        </w:rPr>
        <w:t>工程变更导致实际完成的变更工程量与已标价清单或预算书中列明的该项目工程量有偏差时，其综合单价的确定按专用条款“</w:t>
      </w:r>
      <w:r>
        <w:rPr>
          <w:rFonts w:cs="宋体"/>
          <w:color w:val="auto"/>
          <w:sz w:val="21"/>
          <w:szCs w:val="21"/>
          <w:highlight w:val="none"/>
          <w:u w:val="single"/>
        </w:rPr>
        <w:t>1.13</w:t>
      </w:r>
      <w:r>
        <w:rPr>
          <w:rFonts w:hint="eastAsia" w:cs="宋体"/>
          <w:color w:val="auto"/>
          <w:sz w:val="21"/>
          <w:szCs w:val="21"/>
          <w:highlight w:val="none"/>
          <w:u w:val="single"/>
        </w:rPr>
        <w:t>工程量清单错误的修正”执行。</w:t>
      </w:r>
    </w:p>
    <w:p w14:paraId="7CB7A043">
      <w:pPr>
        <w:pStyle w:val="321"/>
        <w:spacing w:line="400" w:lineRule="exact"/>
        <w:rPr>
          <w:rFonts w:hint="eastAsia" w:ascii="宋体" w:cs="宋体"/>
          <w:color w:val="auto"/>
          <w:highlight w:val="none"/>
        </w:rPr>
      </w:pPr>
      <w:bookmarkStart w:id="1168" w:name="_Toc417904319"/>
      <w:bookmarkStart w:id="1169" w:name="_Toc478389234"/>
      <w:r>
        <w:rPr>
          <w:rFonts w:hint="eastAsia" w:ascii="宋体" w:cs="宋体"/>
          <w:color w:val="auto"/>
          <w:highlight w:val="none"/>
        </w:rPr>
        <w:t>1</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Start w:id="1170" w:name="_Toc296891025"/>
      <w:bookmarkStart w:id="1171" w:name="_Toc296891237"/>
      <w:bookmarkStart w:id="1172" w:name="_Toc296944536"/>
      <w:bookmarkStart w:id="1173" w:name="_Toc303539150"/>
      <w:bookmarkStart w:id="1174" w:name="_Toc300934993"/>
      <w:bookmarkStart w:id="1175" w:name="_Toc297120497"/>
      <w:bookmarkStart w:id="1176" w:name="_Toc292559402"/>
      <w:bookmarkStart w:id="1177" w:name="_Toc296346698"/>
      <w:bookmarkStart w:id="1178" w:name="_Toc297123544"/>
      <w:bookmarkStart w:id="1179" w:name="_Toc296503197"/>
      <w:bookmarkStart w:id="1180" w:name="_Toc292559907"/>
      <w:bookmarkStart w:id="1181" w:name="_Toc297048383"/>
      <w:bookmarkStart w:id="1182" w:name="_Toc296347196"/>
      <w:bookmarkStart w:id="1183" w:name="_Toc297216203"/>
      <w:bookmarkStart w:id="1184" w:name="_Toc312678029"/>
      <w:bookmarkStart w:id="1185" w:name="_Toc304295570"/>
      <w:bookmarkStart w:id="1186" w:name="_Toc312677503"/>
      <w:r>
        <w:rPr>
          <w:rFonts w:hint="eastAsia" w:ascii="宋体" w:cs="宋体"/>
          <w:color w:val="auto"/>
          <w:highlight w:val="none"/>
        </w:rPr>
        <w:t>0.5承</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Start w:id="1187" w:name="_Toc297120503"/>
      <w:bookmarkStart w:id="1188" w:name="_Toc292559913"/>
      <w:bookmarkStart w:id="1189" w:name="_Toc296346704"/>
      <w:bookmarkStart w:id="1190" w:name="_Toc303539151"/>
      <w:bookmarkStart w:id="1191" w:name="_Toc296944542"/>
      <w:bookmarkStart w:id="1192" w:name="_Toc296891031"/>
      <w:bookmarkStart w:id="1193" w:name="_Toc296347202"/>
      <w:bookmarkStart w:id="1194" w:name="_Toc297048389"/>
      <w:bookmarkStart w:id="1195" w:name="_Toc292559408"/>
      <w:bookmarkStart w:id="1196" w:name="_Toc296503203"/>
      <w:bookmarkStart w:id="1197" w:name="_Toc297216204"/>
      <w:bookmarkStart w:id="1198" w:name="_Toc300934994"/>
      <w:bookmarkStart w:id="1199" w:name="_Toc297123545"/>
      <w:bookmarkStart w:id="1200" w:name="_Toc296891243"/>
      <w:r>
        <w:rPr>
          <w:rFonts w:hint="eastAsia" w:ascii="宋体" w:cs="宋体"/>
          <w:color w:val="auto"/>
          <w:highlight w:val="none"/>
        </w:rPr>
        <w:t>包人的合理化建议</w:t>
      </w:r>
      <w:bookmarkEnd w:id="1168"/>
      <w:bookmarkEnd w:id="1169"/>
    </w:p>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14:paraId="2B8C18A3">
      <w:pPr>
        <w:pStyle w:val="79"/>
        <w:spacing w:line="400" w:lineRule="exact"/>
        <w:rPr>
          <w:rFonts w:hint="eastAsia" w:cs="宋体"/>
          <w:color w:val="auto"/>
          <w:sz w:val="21"/>
          <w:highlight w:val="none"/>
        </w:rPr>
      </w:pPr>
      <w:r>
        <w:rPr>
          <w:rFonts w:hint="eastAsia" w:cs="宋体"/>
          <w:color w:val="auto"/>
          <w:sz w:val="21"/>
          <w:highlight w:val="none"/>
        </w:rPr>
        <w:t>监理人审查承包人合理化建议的期限：</w:t>
      </w:r>
      <w:r>
        <w:rPr>
          <w:rFonts w:hint="eastAsia" w:cs="宋体"/>
          <w:color w:val="auto"/>
          <w:sz w:val="21"/>
          <w:highlight w:val="none"/>
          <w:u w:val="single"/>
        </w:rPr>
        <w:t xml:space="preserve">    7天内      </w:t>
      </w:r>
      <w:r>
        <w:rPr>
          <w:rFonts w:hint="eastAsia" w:cs="宋体"/>
          <w:color w:val="auto"/>
          <w:sz w:val="21"/>
          <w:highlight w:val="none"/>
        </w:rPr>
        <w:t>。</w:t>
      </w:r>
    </w:p>
    <w:p w14:paraId="3899E714">
      <w:pPr>
        <w:pStyle w:val="79"/>
        <w:spacing w:line="400" w:lineRule="exact"/>
        <w:rPr>
          <w:rFonts w:hint="eastAsia" w:cs="宋体"/>
          <w:color w:val="auto"/>
          <w:sz w:val="21"/>
          <w:highlight w:val="none"/>
        </w:rPr>
      </w:pPr>
      <w:r>
        <w:rPr>
          <w:rFonts w:hint="eastAsia" w:cs="宋体"/>
          <w:color w:val="auto"/>
          <w:sz w:val="21"/>
          <w:highlight w:val="none"/>
        </w:rPr>
        <w:t>发包人审批承包人合理化建议的期限：</w:t>
      </w:r>
      <w:r>
        <w:rPr>
          <w:rFonts w:hint="eastAsia" w:cs="宋体"/>
          <w:color w:val="auto"/>
          <w:sz w:val="21"/>
          <w:highlight w:val="none"/>
          <w:u w:val="single"/>
        </w:rPr>
        <w:t xml:space="preserve">     7天内      </w:t>
      </w:r>
      <w:r>
        <w:rPr>
          <w:rFonts w:hint="eastAsia" w:cs="宋体"/>
          <w:color w:val="auto"/>
          <w:sz w:val="21"/>
          <w:highlight w:val="none"/>
        </w:rPr>
        <w:t>。</w:t>
      </w:r>
    </w:p>
    <w:p w14:paraId="0342B725">
      <w:pPr>
        <w:pStyle w:val="79"/>
        <w:spacing w:line="400" w:lineRule="exact"/>
        <w:rPr>
          <w:rFonts w:hint="eastAsia" w:cs="宋体"/>
          <w:color w:val="auto"/>
          <w:sz w:val="21"/>
          <w:highlight w:val="none"/>
          <w:u w:val="single"/>
        </w:rPr>
      </w:pPr>
      <w:r>
        <w:rPr>
          <w:rFonts w:hint="eastAsia" w:cs="宋体"/>
          <w:color w:val="auto"/>
          <w:sz w:val="21"/>
          <w:highlight w:val="none"/>
        </w:rPr>
        <w:t>承</w:t>
      </w:r>
      <w:bookmarkStart w:id="1201" w:name="_Toc297120504"/>
      <w:bookmarkStart w:id="1202" w:name="_Toc296944543"/>
      <w:bookmarkStart w:id="1203" w:name="_Toc297216205"/>
      <w:bookmarkStart w:id="1204" w:name="_Toc312678030"/>
      <w:bookmarkStart w:id="1205" w:name="_Toc303539152"/>
      <w:bookmarkStart w:id="1206" w:name="_Toc312677504"/>
      <w:bookmarkStart w:id="1207" w:name="_Toc296346705"/>
      <w:bookmarkStart w:id="1208" w:name="_Toc297123546"/>
      <w:bookmarkStart w:id="1209" w:name="_Toc318581175"/>
      <w:bookmarkStart w:id="1210" w:name="_Toc296891244"/>
      <w:bookmarkStart w:id="1211" w:name="_Toc296347203"/>
      <w:bookmarkStart w:id="1212" w:name="_Toc296503204"/>
      <w:bookmarkStart w:id="1213" w:name="_Toc292559914"/>
      <w:bookmarkStart w:id="1214" w:name="_Toc300934995"/>
      <w:bookmarkStart w:id="1215" w:name="_Toc292559409"/>
      <w:bookmarkStart w:id="1216" w:name="_Toc296891032"/>
      <w:bookmarkStart w:id="1217" w:name="_Toc304295571"/>
      <w:bookmarkStart w:id="1218" w:name="_Toc297048390"/>
      <w:r>
        <w:rPr>
          <w:rFonts w:hint="eastAsia" w:cs="宋体"/>
          <w:color w:val="auto"/>
          <w:sz w:val="21"/>
          <w:highlight w:val="none"/>
        </w:rPr>
        <w:t>包人提出的合理化建议降低了合同价格或者提高了工程经济效益的奖励的方法和金额为：</w:t>
      </w:r>
      <w:r>
        <w:rPr>
          <w:rFonts w:hint="eastAsia" w:cs="宋体"/>
          <w:color w:val="auto"/>
          <w:sz w:val="21"/>
          <w:highlight w:val="none"/>
          <w:u w:val="single"/>
        </w:rPr>
        <w:t xml:space="preserve">  无 </w:t>
      </w:r>
      <w:r>
        <w:rPr>
          <w:rFonts w:hint="eastAsia" w:cs="宋体"/>
          <w:color w:val="auto"/>
          <w:sz w:val="21"/>
          <w:highlight w:val="none"/>
        </w:rPr>
        <w:t>。</w:t>
      </w:r>
    </w:p>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 w14:paraId="3178C7DB">
      <w:pPr>
        <w:pStyle w:val="321"/>
        <w:spacing w:line="400" w:lineRule="exact"/>
        <w:rPr>
          <w:rFonts w:hint="eastAsia" w:ascii="宋体" w:cs="宋体"/>
          <w:color w:val="auto"/>
          <w:highlight w:val="none"/>
        </w:rPr>
      </w:pPr>
      <w:bookmarkStart w:id="1219" w:name="_Toc478389235"/>
      <w:bookmarkStart w:id="1220" w:name="_Toc417904320"/>
      <w:r>
        <w:rPr>
          <w:rFonts w:hint="eastAsia" w:ascii="宋体" w:cs="宋体"/>
          <w:color w:val="auto"/>
          <w:highlight w:val="none"/>
        </w:rPr>
        <w:t>1</w:t>
      </w:r>
      <w:bookmarkStart w:id="1221" w:name="_Toc292559404"/>
      <w:bookmarkStart w:id="1222" w:name="_Toc296891027"/>
      <w:bookmarkStart w:id="1223" w:name="_Toc300934997"/>
      <w:bookmarkStart w:id="1224" w:name="_Toc297120499"/>
      <w:bookmarkStart w:id="1225" w:name="_Toc297123548"/>
      <w:bookmarkStart w:id="1226" w:name="_Toc303539154"/>
      <w:bookmarkStart w:id="1227" w:name="_Toc296944538"/>
      <w:bookmarkStart w:id="1228" w:name="_Toc292559909"/>
      <w:bookmarkStart w:id="1229" w:name="_Toc297216207"/>
      <w:bookmarkStart w:id="1230" w:name="_Toc312678033"/>
      <w:bookmarkStart w:id="1231" w:name="_Toc304295574"/>
      <w:bookmarkStart w:id="1232" w:name="_Toc312677507"/>
      <w:bookmarkStart w:id="1233" w:name="_Toc297048385"/>
      <w:bookmarkStart w:id="1234" w:name="_Toc296503199"/>
      <w:bookmarkStart w:id="1235" w:name="_Toc296347198"/>
      <w:bookmarkStart w:id="1236" w:name="_Toc296346700"/>
      <w:bookmarkStart w:id="1237" w:name="_Toc296891239"/>
      <w:r>
        <w:rPr>
          <w:rFonts w:hint="eastAsia" w:ascii="宋体" w:cs="宋体"/>
          <w:color w:val="auto"/>
          <w:highlight w:val="none"/>
        </w:rPr>
        <w:t>0.7 暂估价</w:t>
      </w:r>
      <w:bookmarkEnd w:id="1219"/>
      <w:bookmarkEnd w:id="1220"/>
    </w:p>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14:paraId="0197E5FF">
      <w:pPr>
        <w:pStyle w:val="79"/>
        <w:spacing w:line="400" w:lineRule="exact"/>
        <w:rPr>
          <w:rFonts w:hint="eastAsia" w:cs="宋体"/>
          <w:color w:val="auto"/>
          <w:sz w:val="21"/>
          <w:highlight w:val="none"/>
        </w:rPr>
      </w:pPr>
      <w:r>
        <w:rPr>
          <w:rFonts w:hint="eastAsia" w:cs="宋体"/>
          <w:color w:val="auto"/>
          <w:sz w:val="21"/>
          <w:highlight w:val="none"/>
        </w:rPr>
        <w:t>暂估价材料和工程设备的明细详见附件：《暂估价一览表》。</w:t>
      </w:r>
    </w:p>
    <w:p w14:paraId="3B5F0C0D">
      <w:pPr>
        <w:pStyle w:val="79"/>
        <w:spacing w:line="400" w:lineRule="exact"/>
        <w:outlineLvl w:val="0"/>
        <w:rPr>
          <w:rFonts w:hint="eastAsia" w:cs="宋体"/>
          <w:color w:val="auto"/>
          <w:sz w:val="21"/>
          <w:highlight w:val="none"/>
        </w:rPr>
      </w:pPr>
      <w:bookmarkStart w:id="1238" w:name="_Toc478389236"/>
      <w:bookmarkStart w:id="1239" w:name="_Toc406522266"/>
      <w:bookmarkStart w:id="1240" w:name="_Toc417904321"/>
      <w:bookmarkStart w:id="1241" w:name="_Toc406419390"/>
      <w:r>
        <w:rPr>
          <w:rFonts w:hint="eastAsia" w:cs="宋体"/>
          <w:color w:val="auto"/>
          <w:sz w:val="21"/>
          <w:highlight w:val="none"/>
        </w:rPr>
        <w:t>1</w:t>
      </w:r>
      <w:bookmarkStart w:id="1242" w:name="_Toc318581177"/>
      <w:bookmarkStart w:id="1243" w:name="_Toc312677509"/>
      <w:bookmarkStart w:id="1244" w:name="_Toc312678035"/>
      <w:r>
        <w:rPr>
          <w:rFonts w:hint="eastAsia" w:cs="宋体"/>
          <w:color w:val="auto"/>
          <w:sz w:val="21"/>
          <w:highlight w:val="none"/>
        </w:rPr>
        <w:t>0.7.1 依法必须招标的暂估价项目</w:t>
      </w:r>
      <w:bookmarkEnd w:id="1238"/>
      <w:bookmarkEnd w:id="1239"/>
      <w:bookmarkEnd w:id="1240"/>
      <w:bookmarkEnd w:id="1241"/>
    </w:p>
    <w:bookmarkEnd w:id="1242"/>
    <w:bookmarkEnd w:id="1243"/>
    <w:bookmarkEnd w:id="1244"/>
    <w:p w14:paraId="485E3334">
      <w:pPr>
        <w:pStyle w:val="79"/>
        <w:spacing w:line="400" w:lineRule="exact"/>
        <w:rPr>
          <w:rFonts w:hint="eastAsia" w:cs="宋体"/>
          <w:color w:val="auto"/>
          <w:sz w:val="21"/>
          <w:highlight w:val="none"/>
        </w:rPr>
      </w:pPr>
      <w:r>
        <w:rPr>
          <w:rFonts w:hint="eastAsia" w:cs="宋体"/>
          <w:color w:val="auto"/>
          <w:sz w:val="21"/>
          <w:highlight w:val="none"/>
        </w:rPr>
        <w:t>对于依法必须招标的暂估价项目的确认和批准采取第</w:t>
      </w:r>
      <w:r>
        <w:rPr>
          <w:rFonts w:hint="eastAsia" w:cs="宋体"/>
          <w:color w:val="auto"/>
          <w:sz w:val="21"/>
          <w:highlight w:val="none"/>
          <w:u w:val="single"/>
        </w:rPr>
        <w:t xml:space="preserve"> </w:t>
      </w:r>
      <w:r>
        <w:rPr>
          <w:rFonts w:hint="eastAsia" w:cs="宋体"/>
          <w:color w:val="auto"/>
          <w:sz w:val="21"/>
          <w:highlight w:val="none"/>
          <w:u w:val="single"/>
          <w:lang w:val="en-US" w:eastAsia="zh-CN"/>
        </w:rPr>
        <w:t>/</w:t>
      </w:r>
      <w:r>
        <w:rPr>
          <w:rFonts w:hint="eastAsia" w:cs="宋体"/>
          <w:color w:val="auto"/>
          <w:sz w:val="21"/>
          <w:highlight w:val="none"/>
          <w:u w:val="single"/>
        </w:rPr>
        <w:t xml:space="preserve">  </w:t>
      </w:r>
      <w:r>
        <w:rPr>
          <w:rFonts w:hint="eastAsia" w:cs="宋体"/>
          <w:color w:val="auto"/>
          <w:sz w:val="21"/>
          <w:highlight w:val="none"/>
        </w:rPr>
        <w:t>种方式确定。</w:t>
      </w:r>
    </w:p>
    <w:p w14:paraId="60DF2715">
      <w:pPr>
        <w:pStyle w:val="79"/>
        <w:spacing w:line="400" w:lineRule="exact"/>
        <w:rPr>
          <w:rFonts w:hint="eastAsia" w:cs="宋体"/>
          <w:color w:val="auto"/>
          <w:sz w:val="21"/>
          <w:highlight w:val="none"/>
        </w:rPr>
      </w:pPr>
      <w:r>
        <w:rPr>
          <w:rFonts w:hint="eastAsia" w:cs="宋体"/>
          <w:color w:val="auto"/>
          <w:sz w:val="21"/>
          <w:highlight w:val="none"/>
        </w:rPr>
        <w:t>10.7.2 不属于依法必须招标的暂估价项目</w:t>
      </w:r>
    </w:p>
    <w:p w14:paraId="6BEB3E9F">
      <w:pPr>
        <w:pStyle w:val="79"/>
        <w:spacing w:line="400" w:lineRule="exact"/>
        <w:rPr>
          <w:rFonts w:hint="eastAsia" w:cs="宋体"/>
          <w:color w:val="auto"/>
          <w:sz w:val="21"/>
          <w:highlight w:val="none"/>
        </w:rPr>
      </w:pPr>
      <w:r>
        <w:rPr>
          <w:rFonts w:hint="eastAsia" w:cs="宋体"/>
          <w:color w:val="auto"/>
          <w:sz w:val="21"/>
          <w:highlight w:val="none"/>
        </w:rPr>
        <w:t>对于不属于依法必须招标的暂估价项目的确认和批准采取第</w:t>
      </w:r>
      <w:r>
        <w:rPr>
          <w:rFonts w:hint="eastAsia" w:cs="宋体"/>
          <w:color w:val="auto"/>
          <w:sz w:val="21"/>
          <w:highlight w:val="none"/>
          <w:u w:val="single"/>
        </w:rPr>
        <w:t xml:space="preserve"> </w:t>
      </w:r>
      <w:r>
        <w:rPr>
          <w:rFonts w:cs="宋体"/>
          <w:color w:val="auto"/>
          <w:sz w:val="21"/>
          <w:highlight w:val="none"/>
          <w:u w:val="single"/>
        </w:rPr>
        <w:t xml:space="preserve"> </w:t>
      </w:r>
      <w:r>
        <w:rPr>
          <w:rFonts w:hint="eastAsia" w:cs="宋体"/>
          <w:color w:val="auto"/>
          <w:sz w:val="21"/>
          <w:highlight w:val="none"/>
          <w:u w:val="single"/>
        </w:rPr>
        <w:t xml:space="preserve">3  </w:t>
      </w:r>
      <w:r>
        <w:rPr>
          <w:rFonts w:hint="eastAsia" w:cs="宋体"/>
          <w:color w:val="auto"/>
          <w:sz w:val="21"/>
          <w:highlight w:val="none"/>
        </w:rPr>
        <w:t xml:space="preserve"> 种方式确定。</w:t>
      </w:r>
    </w:p>
    <w:p w14:paraId="3ACE4C7A">
      <w:pPr>
        <w:pStyle w:val="79"/>
        <w:spacing w:line="400" w:lineRule="exact"/>
        <w:rPr>
          <w:rFonts w:hint="eastAsia" w:cs="宋体"/>
          <w:color w:val="auto"/>
          <w:sz w:val="21"/>
          <w:highlight w:val="none"/>
        </w:rPr>
      </w:pPr>
      <w:r>
        <w:rPr>
          <w:rFonts w:hint="eastAsia" w:cs="宋体"/>
          <w:color w:val="auto"/>
          <w:sz w:val="21"/>
          <w:highlight w:val="none"/>
        </w:rPr>
        <w:t>第3种方式：承包人直接实施的暂估价项目</w:t>
      </w:r>
    </w:p>
    <w:p w14:paraId="1758C1C2">
      <w:pPr>
        <w:pStyle w:val="79"/>
        <w:spacing w:line="400" w:lineRule="exact"/>
        <w:rPr>
          <w:rFonts w:hint="eastAsia" w:cs="宋体"/>
          <w:color w:val="auto"/>
          <w:sz w:val="21"/>
          <w:highlight w:val="none"/>
        </w:rPr>
      </w:pPr>
      <w:r>
        <w:rPr>
          <w:rFonts w:hint="eastAsia" w:cs="宋体"/>
          <w:color w:val="auto"/>
          <w:sz w:val="21"/>
          <w:highlight w:val="none"/>
        </w:rPr>
        <w:t>承包人直接实施的暂估价项目的约定：</w:t>
      </w:r>
      <w:r>
        <w:rPr>
          <w:rFonts w:hint="eastAsia" w:cs="宋体"/>
          <w:color w:val="auto"/>
          <w:sz w:val="21"/>
          <w:highlight w:val="none"/>
          <w:u w:val="single"/>
        </w:rPr>
        <w:t xml:space="preserve">按市场价格由发包人、承包人、发包人代表、发包人委托的造价咨询机构、现场监管代表及监理协商确定材料价  </w:t>
      </w:r>
      <w:r>
        <w:rPr>
          <w:rFonts w:hint="eastAsia" w:cs="宋体"/>
          <w:color w:val="auto"/>
          <w:sz w:val="21"/>
          <w:highlight w:val="none"/>
        </w:rPr>
        <w:t>。</w:t>
      </w:r>
    </w:p>
    <w:p w14:paraId="430DF65C">
      <w:pPr>
        <w:pStyle w:val="321"/>
        <w:spacing w:line="400" w:lineRule="exact"/>
        <w:rPr>
          <w:rFonts w:hint="eastAsia" w:ascii="宋体"/>
          <w:color w:val="auto"/>
          <w:highlight w:val="none"/>
        </w:rPr>
      </w:pPr>
      <w:bookmarkStart w:id="1245" w:name="_Toc417904322"/>
      <w:bookmarkStart w:id="1246" w:name="_Toc478389237"/>
      <w:r>
        <w:rPr>
          <w:rFonts w:hint="eastAsia" w:ascii="宋体" w:cs="宋体"/>
          <w:color w:val="auto"/>
          <w:highlight w:val="none"/>
        </w:rPr>
        <w:t>10.8 暂列金额</w:t>
      </w:r>
      <w:bookmarkEnd w:id="1245"/>
      <w:bookmarkEnd w:id="1246"/>
      <w:r>
        <w:rPr>
          <w:rFonts w:hint="eastAsia" w:ascii="宋体" w:cs="宋体"/>
          <w:color w:val="auto"/>
          <w:highlight w:val="none"/>
        </w:rPr>
        <w:t>（本工程无暂列金）</w:t>
      </w:r>
    </w:p>
    <w:p w14:paraId="09B0FAD2">
      <w:pPr>
        <w:pStyle w:val="321"/>
        <w:spacing w:line="400" w:lineRule="exact"/>
        <w:rPr>
          <w:rFonts w:hint="eastAsia" w:ascii="宋体" w:cs="宋体"/>
          <w:color w:val="auto"/>
          <w:highlight w:val="none"/>
        </w:rPr>
      </w:pPr>
      <w:bookmarkStart w:id="1247" w:name="_Toc478389238"/>
      <w:bookmarkStart w:id="1248" w:name="_Toc351203643"/>
      <w:bookmarkStart w:id="1249" w:name="_Toc417904323"/>
      <w:r>
        <w:rPr>
          <w:rFonts w:hint="eastAsia" w:ascii="宋体" w:cs="宋体"/>
          <w:color w:val="auto"/>
          <w:highlight w:val="none"/>
        </w:rPr>
        <w:t>11.</w:t>
      </w:r>
      <w:r>
        <w:rPr>
          <w:rFonts w:hint="eastAsia" w:ascii="宋体" w:cs="宋体"/>
          <w:color w:val="auto"/>
          <w:highlight w:val="none"/>
          <w:lang w:val="en-US" w:eastAsia="zh-CN"/>
        </w:rPr>
        <w:t>1</w:t>
      </w:r>
      <w:r>
        <w:rPr>
          <w:rFonts w:hint="eastAsia" w:ascii="宋体" w:cs="宋体"/>
          <w:color w:val="auto"/>
          <w:highlight w:val="none"/>
        </w:rPr>
        <w:t xml:space="preserve"> 价格调整</w:t>
      </w:r>
      <w:bookmarkEnd w:id="1247"/>
      <w:bookmarkEnd w:id="1248"/>
      <w:bookmarkEnd w:id="1249"/>
    </w:p>
    <w:p w14:paraId="65930422">
      <w:pPr>
        <w:pStyle w:val="79"/>
        <w:spacing w:line="400" w:lineRule="exact"/>
        <w:rPr>
          <w:rFonts w:hint="eastAsia" w:cs="宋体"/>
          <w:color w:val="auto"/>
          <w:sz w:val="21"/>
          <w:highlight w:val="none"/>
        </w:rPr>
      </w:pPr>
      <w:r>
        <w:rPr>
          <w:rFonts w:hint="eastAsia" w:cs="宋体"/>
          <w:color w:val="auto"/>
          <w:sz w:val="21"/>
          <w:highlight w:val="none"/>
        </w:rPr>
        <w:t>市场价格波动是否调整合同价格的约定：</w:t>
      </w:r>
      <w:r>
        <w:rPr>
          <w:rFonts w:hint="eastAsia"/>
          <w:color w:val="auto"/>
          <w:highlight w:val="none"/>
          <w:u w:val="single"/>
        </w:rPr>
        <w:t>非施工单位原因造成的主要材料价差在5%以内（含 5%）的，由施工单位承担；超过5%部分的价差，由建设单位承担</w:t>
      </w:r>
      <w:r>
        <w:rPr>
          <w:rFonts w:hint="eastAsia" w:cs="宋体"/>
          <w:color w:val="auto"/>
          <w:sz w:val="21"/>
          <w:highlight w:val="none"/>
        </w:rPr>
        <w:t>。</w:t>
      </w:r>
    </w:p>
    <w:p w14:paraId="6234A878">
      <w:pPr>
        <w:spacing w:line="400" w:lineRule="exact"/>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p>
    <w:p w14:paraId="192FF1AB">
      <w:pPr>
        <w:spacing w:line="420" w:lineRule="exact"/>
        <w:rPr>
          <w:rFonts w:hint="eastAsia" w:cs="宋体" w:asciiTheme="minorEastAsia" w:hAnsiTheme="minorEastAsia" w:eastAsiaTheme="minorEastAsia"/>
          <w:color w:val="auto"/>
          <w:highlight w:val="none"/>
          <w:u w:val="single"/>
        </w:rPr>
      </w:pPr>
      <w:r>
        <w:rPr>
          <w:rFonts w:hint="eastAsia" w:ascii="宋体" w:hAnsi="宋体" w:cs="宋体"/>
          <w:color w:val="auto"/>
          <w:szCs w:val="21"/>
          <w:highlight w:val="none"/>
        </w:rPr>
        <w:t xml:space="preserve">    因分部分项工程量清单错漏项、工程变更、设计变更、相关签证引起工程项目、工程量任何变化的，变更合同价款按下列方法进行：</w:t>
      </w:r>
      <w:r>
        <w:rPr>
          <w:rFonts w:hint="eastAsia" w:ascii="宋体" w:hAnsi="宋体" w:cs="宋体"/>
          <w:color w:val="auto"/>
          <w:szCs w:val="21"/>
          <w:highlight w:val="none"/>
          <w:u w:val="single"/>
        </w:rPr>
        <w:t xml:space="preserve"> 1.合同中已有相同子目的，按合同该子目价格进行计算；2.合同中只有类似子目的，参照该类似子目价格进行计算；3.合同中没有适用或类似子目的价格计算方法：有定额的套定额：《建设工程工程量清单计价规范》（GB50500-2013）、《建设工程工程量清单计价规范》（GB50500-2013）广西壮族自治区实施细则、</w:t>
      </w:r>
      <w:r>
        <w:rPr>
          <w:rFonts w:hint="eastAsia" w:cs="宋体" w:asciiTheme="minorEastAsia" w:hAnsiTheme="minorEastAsia" w:eastAsiaTheme="minorEastAsia"/>
          <w:color w:val="auto"/>
          <w:highlight w:val="none"/>
          <w:u w:val="single"/>
        </w:rPr>
        <w:t>2013年《广西壮族自治区建筑工程消耗量定额》</w:t>
      </w:r>
      <w:r>
        <w:rPr>
          <w:rFonts w:hint="eastAsia" w:cs="宋体" w:asciiTheme="minorEastAsia" w:hAnsiTheme="minorEastAsia" w:eastAsiaTheme="minorEastAsia"/>
          <w:color w:val="auto"/>
          <w:highlight w:val="none"/>
          <w:u w:val="single"/>
          <w:lang w:eastAsia="zh-CN"/>
        </w:rPr>
        <w:t>、</w:t>
      </w:r>
      <w:r>
        <w:rPr>
          <w:rFonts w:hint="eastAsia" w:cs="宋体" w:asciiTheme="minorEastAsia" w:hAnsiTheme="minorEastAsia" w:eastAsiaTheme="minorEastAsia"/>
          <w:color w:val="auto"/>
          <w:highlight w:val="none"/>
          <w:u w:val="single"/>
        </w:rPr>
        <w:t>2015《广西壮族自治区安装工程消耗量定额》</w:t>
      </w:r>
      <w:r>
        <w:rPr>
          <w:rFonts w:hint="eastAsia" w:cs="宋体" w:asciiTheme="minorEastAsia" w:hAnsiTheme="minorEastAsia" w:eastAsiaTheme="minorEastAsia"/>
          <w:color w:val="auto"/>
          <w:highlight w:val="none"/>
          <w:u w:val="single"/>
          <w:lang w:eastAsia="zh-CN"/>
        </w:rPr>
        <w:t>、</w:t>
      </w:r>
      <w:r>
        <w:rPr>
          <w:rFonts w:hint="eastAsia" w:cs="宋体" w:asciiTheme="minorEastAsia" w:hAnsiTheme="minorEastAsia" w:eastAsiaTheme="minorEastAsia"/>
          <w:color w:val="auto"/>
          <w:highlight w:val="none"/>
          <w:u w:val="single"/>
        </w:rPr>
        <w:t>2011年《广西壮族自治区拆除工程消耗量定额》</w:t>
      </w:r>
      <w:r>
        <w:rPr>
          <w:rFonts w:hint="eastAsia" w:cs="宋体" w:asciiTheme="minorEastAsia" w:hAnsiTheme="minorEastAsia" w:eastAsiaTheme="minorEastAsia"/>
          <w:color w:val="auto"/>
          <w:highlight w:val="none"/>
          <w:u w:val="single"/>
          <w:lang w:eastAsia="zh-CN"/>
        </w:rPr>
        <w:t>、</w:t>
      </w:r>
      <w:r>
        <w:rPr>
          <w:rFonts w:hint="eastAsia" w:cs="宋体" w:asciiTheme="minorEastAsia" w:hAnsiTheme="minorEastAsia" w:eastAsiaTheme="minorEastAsia"/>
          <w:color w:val="auto"/>
          <w:highlight w:val="none"/>
          <w:u w:val="single"/>
        </w:rPr>
        <w:t>2022年《广西壮族自治区市政工程消耗量定额》及配套费用定额</w:t>
      </w:r>
      <w:r>
        <w:rPr>
          <w:rFonts w:hint="eastAsia" w:cs="宋体" w:asciiTheme="minorEastAsia" w:hAnsiTheme="minorEastAsia" w:eastAsiaTheme="minorEastAsia"/>
          <w:color w:val="auto"/>
          <w:highlight w:val="none"/>
          <w:u w:val="single"/>
          <w:lang w:eastAsia="zh-CN"/>
        </w:rPr>
        <w:t>、</w:t>
      </w:r>
      <w:r>
        <w:rPr>
          <w:rFonts w:hint="eastAsia" w:cs="宋体" w:asciiTheme="minorEastAsia" w:hAnsiTheme="minorEastAsia" w:eastAsiaTheme="minorEastAsia"/>
          <w:color w:val="auto"/>
          <w:highlight w:val="none"/>
          <w:u w:val="single"/>
        </w:rPr>
        <w:t>自治区住房城乡建设厅《关于调整建设工程定额人工费及有关费率的通知》</w:t>
      </w:r>
      <w:r>
        <w:rPr>
          <w:rFonts w:hint="eastAsia" w:cs="宋体" w:asciiTheme="minorEastAsia" w:hAnsiTheme="minorEastAsia" w:eastAsiaTheme="minorEastAsia"/>
          <w:color w:val="auto"/>
          <w:highlight w:val="none"/>
          <w:u w:val="single"/>
          <w:lang w:eastAsia="zh-CN"/>
        </w:rPr>
        <w:t>（</w:t>
      </w:r>
      <w:r>
        <w:rPr>
          <w:rFonts w:hint="eastAsia" w:cs="宋体" w:asciiTheme="minorEastAsia" w:hAnsiTheme="minorEastAsia" w:eastAsiaTheme="minorEastAsia"/>
          <w:color w:val="auto"/>
          <w:highlight w:val="none"/>
          <w:u w:val="single"/>
        </w:rPr>
        <w:t>桂建标[2023]7号)</w:t>
      </w:r>
      <w:r>
        <w:rPr>
          <w:rFonts w:hint="eastAsia" w:cs="宋体" w:asciiTheme="minorEastAsia" w:hAnsiTheme="minorEastAsia" w:eastAsiaTheme="minorEastAsia"/>
          <w:color w:val="auto"/>
          <w:highlight w:val="none"/>
          <w:u w:val="single"/>
          <w:lang w:eastAsia="zh-CN"/>
        </w:rPr>
        <w:t>、</w:t>
      </w:r>
      <w:r>
        <w:rPr>
          <w:rFonts w:hint="eastAsia" w:cs="宋体" w:asciiTheme="minorEastAsia" w:hAnsiTheme="minorEastAsia" w:eastAsiaTheme="minorEastAsia"/>
          <w:color w:val="auto"/>
          <w:highlight w:val="none"/>
          <w:u w:val="single"/>
        </w:rPr>
        <w:t>自治区住房城乡建设厅关于颁布2016年《广西壮族自治区建设工程费用定额》的通知（桂建标[2016]16号）</w:t>
      </w:r>
      <w:r>
        <w:rPr>
          <w:rFonts w:hint="eastAsia" w:cs="宋体" w:asciiTheme="minorEastAsia" w:hAnsiTheme="minorEastAsia" w:eastAsiaTheme="minorEastAsia"/>
          <w:color w:val="auto"/>
          <w:highlight w:val="none"/>
          <w:u w:val="single"/>
          <w:lang w:eastAsia="zh-CN"/>
        </w:rPr>
        <w:t>、</w:t>
      </w:r>
      <w:r>
        <w:rPr>
          <w:rFonts w:hint="eastAsia" w:cs="宋体" w:asciiTheme="minorEastAsia" w:hAnsiTheme="minorEastAsia" w:eastAsiaTheme="minorEastAsia"/>
          <w:color w:val="auto"/>
          <w:highlight w:val="none"/>
          <w:u w:val="single"/>
        </w:rPr>
        <w:t>《自治区住房城乡建设厅关于建筑业实施营业税改征增值税后广西壮族自治区建设工程计价依据调整的通知》</w:t>
      </w:r>
      <w:r>
        <w:rPr>
          <w:rFonts w:hint="eastAsia" w:cs="宋体" w:asciiTheme="minorEastAsia" w:hAnsiTheme="minorEastAsia" w:eastAsiaTheme="minorEastAsia"/>
          <w:color w:val="auto"/>
          <w:highlight w:val="none"/>
          <w:u w:val="single"/>
          <w:lang w:eastAsia="zh-CN"/>
        </w:rPr>
        <w:t>（</w:t>
      </w:r>
      <w:r>
        <w:rPr>
          <w:rFonts w:hint="eastAsia" w:cs="宋体" w:asciiTheme="minorEastAsia" w:hAnsiTheme="minorEastAsia" w:eastAsiaTheme="minorEastAsia"/>
          <w:color w:val="auto"/>
          <w:highlight w:val="none"/>
          <w:u w:val="single"/>
        </w:rPr>
        <w:t>桂建标〔2016〕17号)</w:t>
      </w:r>
      <w:r>
        <w:rPr>
          <w:rFonts w:hint="eastAsia" w:cs="宋体" w:asciiTheme="minorEastAsia" w:hAnsiTheme="minorEastAsia" w:eastAsiaTheme="minorEastAsia"/>
          <w:color w:val="auto"/>
          <w:highlight w:val="none"/>
          <w:u w:val="single"/>
          <w:lang w:eastAsia="zh-CN"/>
        </w:rPr>
        <w:t>、</w:t>
      </w:r>
      <w:r>
        <w:rPr>
          <w:rFonts w:hint="eastAsia" w:cs="宋体" w:asciiTheme="minorEastAsia" w:hAnsiTheme="minorEastAsia" w:eastAsiaTheme="minorEastAsia"/>
          <w:color w:val="auto"/>
          <w:highlight w:val="none"/>
          <w:u w:val="single"/>
        </w:rPr>
        <w:t>《自治区住房城乡建设厅关于调整建设工程计价增值税税率的通知》（桂建标[2019]12号）</w:t>
      </w:r>
      <w:r>
        <w:rPr>
          <w:rFonts w:hint="eastAsia" w:cs="宋体" w:asciiTheme="minorEastAsia" w:hAnsiTheme="minorEastAsia" w:eastAsiaTheme="minorEastAsia"/>
          <w:color w:val="auto"/>
          <w:highlight w:val="none"/>
          <w:u w:val="single"/>
          <w:lang w:eastAsia="zh-CN"/>
        </w:rPr>
        <w:t>、</w:t>
      </w:r>
      <w:r>
        <w:rPr>
          <w:rFonts w:hint="eastAsia" w:cs="宋体" w:asciiTheme="minorEastAsia" w:hAnsiTheme="minorEastAsia" w:eastAsiaTheme="minorEastAsia"/>
          <w:color w:val="auto"/>
          <w:highlight w:val="none"/>
          <w:u w:val="single"/>
        </w:rPr>
        <w:t>按施工期间《桂林市建设工程造价信息》（永福县）材料信息价的加权平均价计算，信息价没有的按通用条款规定确定。</w:t>
      </w:r>
    </w:p>
    <w:p w14:paraId="5F56DA14">
      <w:pPr>
        <w:pStyle w:val="321"/>
        <w:rPr>
          <w:rFonts w:hint="eastAsia" w:ascii="宋体" w:cs="宋体"/>
          <w:b w:val="0"/>
          <w:bCs w:val="0"/>
          <w:color w:val="auto"/>
          <w:highlight w:val="none"/>
        </w:rPr>
      </w:pPr>
      <w:bookmarkStart w:id="1250" w:name="_Toc296346706"/>
      <w:bookmarkStart w:id="1251" w:name="_Toc296503205"/>
      <w:bookmarkStart w:id="1252" w:name="_Toc296347204"/>
      <w:bookmarkStart w:id="1253" w:name="_Toc296944544"/>
      <w:bookmarkStart w:id="1254" w:name="_Toc296891245"/>
      <w:bookmarkStart w:id="1255" w:name="_Toc296891033"/>
      <w:bookmarkStart w:id="1256" w:name="_Toc292559410"/>
      <w:bookmarkStart w:id="1257" w:name="_Toc292559915"/>
      <w:bookmarkStart w:id="1258" w:name="_Toc297120505"/>
      <w:bookmarkStart w:id="1259" w:name="_Toc297048391"/>
      <w:bookmarkStart w:id="1260" w:name="_Toc417904325"/>
      <w:bookmarkStart w:id="1261" w:name="_Toc351203644"/>
      <w:bookmarkStart w:id="1262" w:name="_Toc478389239"/>
      <w:r>
        <w:rPr>
          <w:rFonts w:hint="eastAsia" w:ascii="宋体" w:cs="宋体"/>
          <w:color w:val="auto"/>
          <w:highlight w:val="none"/>
        </w:rPr>
        <w:t xml:space="preserve">12. </w:t>
      </w:r>
      <w:bookmarkEnd w:id="1250"/>
      <w:bookmarkEnd w:id="1251"/>
      <w:bookmarkEnd w:id="1252"/>
      <w:bookmarkEnd w:id="1253"/>
      <w:bookmarkEnd w:id="1254"/>
      <w:bookmarkEnd w:id="1255"/>
      <w:bookmarkEnd w:id="1256"/>
      <w:bookmarkEnd w:id="1257"/>
      <w:bookmarkEnd w:id="1258"/>
      <w:bookmarkEnd w:id="1259"/>
      <w:r>
        <w:rPr>
          <w:rFonts w:hint="eastAsia" w:ascii="宋体" w:cs="宋体"/>
          <w:color w:val="auto"/>
          <w:highlight w:val="none"/>
        </w:rPr>
        <w:t>合同价格、计量与支付</w:t>
      </w:r>
      <w:bookmarkEnd w:id="1260"/>
      <w:bookmarkEnd w:id="1261"/>
      <w:bookmarkEnd w:id="1262"/>
    </w:p>
    <w:bookmarkEnd w:id="1134"/>
    <w:bookmarkEnd w:id="1135"/>
    <w:bookmarkEnd w:id="1136"/>
    <w:bookmarkEnd w:id="1137"/>
    <w:bookmarkEnd w:id="1138"/>
    <w:bookmarkEnd w:id="1139"/>
    <w:p w14:paraId="21F90A82">
      <w:pPr>
        <w:pStyle w:val="321"/>
        <w:rPr>
          <w:rFonts w:hint="eastAsia" w:ascii="宋体" w:cs="宋体"/>
          <w:color w:val="auto"/>
          <w:highlight w:val="none"/>
        </w:rPr>
      </w:pPr>
      <w:bookmarkStart w:id="1263" w:name="_Toc292559916"/>
      <w:bookmarkStart w:id="1264" w:name="_Toc267251461"/>
      <w:bookmarkStart w:id="1265" w:name="_Toc292559411"/>
      <w:bookmarkStart w:id="1266" w:name="_Toc296891034"/>
      <w:bookmarkStart w:id="1267" w:name="_Toc296944545"/>
      <w:bookmarkStart w:id="1268" w:name="_Toc297120506"/>
      <w:bookmarkStart w:id="1269" w:name="_Toc296503206"/>
      <w:bookmarkStart w:id="1270" w:name="_Toc297048392"/>
      <w:bookmarkStart w:id="1271" w:name="_Toc296346707"/>
      <w:bookmarkStart w:id="1272" w:name="_Toc296891246"/>
      <w:bookmarkStart w:id="1273" w:name="_Toc296347205"/>
      <w:bookmarkStart w:id="1274" w:name="_Toc417904326"/>
      <w:bookmarkStart w:id="1275" w:name="_Toc395382552"/>
      <w:bookmarkStart w:id="1276" w:name="_Toc478389240"/>
      <w:bookmarkStart w:id="1277" w:name="_Toc389065314"/>
      <w:bookmarkStart w:id="1278" w:name="_Toc373478396"/>
      <w:bookmarkStart w:id="1279" w:name="_Toc373227749"/>
      <w:bookmarkStart w:id="1280" w:name="_Toc406421001"/>
      <w:bookmarkStart w:id="1281" w:name="_Toc304295580"/>
      <w:bookmarkStart w:id="1282" w:name="_Toc300935003"/>
      <w:bookmarkStart w:id="1283" w:name="_Toc303539160"/>
      <w:bookmarkStart w:id="1284" w:name="_Toc312678041"/>
      <w:bookmarkStart w:id="1285" w:name="_Toc297216212"/>
      <w:bookmarkStart w:id="1286" w:name="_Toc297123553"/>
      <w:bookmarkStart w:id="1287" w:name="_Toc304295581"/>
      <w:bookmarkStart w:id="1288" w:name="_Toc303539161"/>
      <w:bookmarkStart w:id="1289" w:name="_Toc297123554"/>
      <w:bookmarkStart w:id="1290" w:name="_Toc300935004"/>
      <w:bookmarkStart w:id="1291" w:name="_Toc312678042"/>
      <w:bookmarkStart w:id="1292" w:name="_Toc297216213"/>
      <w:bookmarkStart w:id="1293" w:name="_Toc296891247"/>
      <w:bookmarkStart w:id="1294" w:name="_Toc296347206"/>
      <w:bookmarkStart w:id="1295" w:name="_Toc292559412"/>
      <w:bookmarkStart w:id="1296" w:name="_Toc296891035"/>
      <w:bookmarkStart w:id="1297" w:name="_Toc296503207"/>
      <w:bookmarkStart w:id="1298" w:name="_Toc296346708"/>
      <w:bookmarkStart w:id="1299" w:name="_Toc297120507"/>
      <w:bookmarkStart w:id="1300" w:name="_Toc297048393"/>
      <w:bookmarkStart w:id="1301" w:name="_Toc296944546"/>
      <w:bookmarkStart w:id="1302" w:name="_Toc292559917"/>
      <w:r>
        <w:rPr>
          <w:rFonts w:hint="eastAsia" w:ascii="宋体" w:cs="宋体"/>
          <w:color w:val="auto"/>
          <w:highlight w:val="none"/>
        </w:rPr>
        <w:t>12.1 合</w:t>
      </w:r>
      <w:bookmarkEnd w:id="1263"/>
      <w:bookmarkEnd w:id="1264"/>
      <w:bookmarkEnd w:id="1265"/>
      <w:r>
        <w:rPr>
          <w:rFonts w:hint="eastAsia" w:ascii="宋体" w:cs="宋体"/>
          <w:color w:val="auto"/>
          <w:highlight w:val="none"/>
        </w:rPr>
        <w:t>同价</w:t>
      </w:r>
      <w:bookmarkEnd w:id="1266"/>
      <w:bookmarkEnd w:id="1267"/>
      <w:bookmarkEnd w:id="1268"/>
      <w:bookmarkEnd w:id="1269"/>
      <w:bookmarkEnd w:id="1270"/>
      <w:bookmarkEnd w:id="1271"/>
      <w:bookmarkEnd w:id="1272"/>
      <w:bookmarkEnd w:id="1273"/>
      <w:r>
        <w:rPr>
          <w:rFonts w:hint="eastAsia" w:ascii="宋体" w:cs="宋体"/>
          <w:color w:val="auto"/>
          <w:highlight w:val="none"/>
        </w:rPr>
        <w:t>格形式</w:t>
      </w:r>
      <w:bookmarkEnd w:id="1274"/>
      <w:bookmarkEnd w:id="1275"/>
      <w:bookmarkEnd w:id="1276"/>
      <w:bookmarkEnd w:id="1277"/>
      <w:bookmarkEnd w:id="1278"/>
      <w:bookmarkEnd w:id="1279"/>
      <w:bookmarkEnd w:id="1280"/>
    </w:p>
    <w:bookmarkEnd w:id="1281"/>
    <w:bookmarkEnd w:id="1282"/>
    <w:bookmarkEnd w:id="1283"/>
    <w:bookmarkEnd w:id="1284"/>
    <w:bookmarkEnd w:id="1285"/>
    <w:bookmarkEnd w:id="1286"/>
    <w:p w14:paraId="6A14DD83">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（1）单价合同。</w:t>
      </w:r>
    </w:p>
    <w:p w14:paraId="3D82E4F3">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本合同价款采用固定综合单价方式确定。</w:t>
      </w:r>
    </w:p>
    <w:p w14:paraId="61960981">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hAnsi="宋体" w:cs="宋体"/>
          <w:color w:val="auto"/>
          <w:highlight w:val="none"/>
          <w:u w:val="single"/>
        </w:rPr>
        <w:t>除工程变更、项目特征不符、工程量清单缺项、工程量偏差、政策性调整、市场价格波动</w:t>
      </w:r>
      <w:r>
        <w:rPr>
          <w:rFonts w:hint="eastAsia" w:ascii="宋体" w:hAnsi="宋体" w:cs="宋体"/>
          <w:color w:val="auto"/>
          <w:szCs w:val="21"/>
          <w:highlight w:val="none"/>
          <w:u w:val="single"/>
        </w:rPr>
        <w:t>。</w:t>
      </w:r>
    </w:p>
    <w:p w14:paraId="53F781CA">
      <w:pPr>
        <w:keepNext w:val="0"/>
        <w:keepLines w:val="0"/>
        <w:pageBreakBefore w:val="0"/>
        <w:widowControl w:val="0"/>
        <w:kinsoku/>
        <w:wordWrap/>
        <w:overflowPunct/>
        <w:topLinePunct w:val="0"/>
        <w:autoSpaceDE/>
        <w:autoSpaceDN/>
        <w:bidi w:val="0"/>
        <w:adjustRightInd w:val="0"/>
        <w:snapToGrid w:val="0"/>
        <w:spacing w:line="380" w:lineRule="exact"/>
        <w:ind w:firstLine="441" w:firstLineChars="210"/>
        <w:textAlignment w:val="auto"/>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　</w:t>
      </w:r>
    </w:p>
    <w:p w14:paraId="20B7260B">
      <w:pPr>
        <w:keepNext w:val="0"/>
        <w:keepLines w:val="0"/>
        <w:pageBreakBefore w:val="0"/>
        <w:widowControl w:val="0"/>
        <w:kinsoku/>
        <w:wordWrap/>
        <w:overflowPunct/>
        <w:topLinePunct w:val="0"/>
        <w:autoSpaceDE/>
        <w:autoSpaceDN/>
        <w:bidi w:val="0"/>
        <w:spacing w:line="380" w:lineRule="exact"/>
        <w:ind w:firstLine="420" w:firstLineChars="200"/>
        <w:jc w:val="left"/>
        <w:textAlignment w:val="auto"/>
        <w:rPr>
          <w:rFonts w:hint="eastAsia"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14:paraId="67FA2C98">
      <w:pPr>
        <w:keepNext w:val="0"/>
        <w:keepLines w:val="0"/>
        <w:pageBreakBefore w:val="0"/>
        <w:widowControl w:val="0"/>
        <w:kinsoku/>
        <w:wordWrap/>
        <w:overflowPunct/>
        <w:topLinePunct w:val="0"/>
        <w:autoSpaceDE/>
        <w:autoSpaceDN/>
        <w:bidi w:val="0"/>
        <w:spacing w:line="380" w:lineRule="exact"/>
        <w:ind w:firstLine="420" w:firstLineChars="200"/>
        <w:jc w:val="left"/>
        <w:textAlignment w:val="auto"/>
        <w:rPr>
          <w:rFonts w:hint="eastAsia"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14:paraId="21C87471">
      <w:pPr>
        <w:keepNext w:val="0"/>
        <w:keepLines w:val="0"/>
        <w:pageBreakBefore w:val="0"/>
        <w:widowControl w:val="0"/>
        <w:kinsoku/>
        <w:wordWrap/>
        <w:overflowPunct/>
        <w:topLinePunct w:val="0"/>
        <w:autoSpaceDE/>
        <w:autoSpaceDN/>
        <w:bidi w:val="0"/>
        <w:spacing w:line="380" w:lineRule="exact"/>
        <w:ind w:firstLine="420" w:firstLineChars="200"/>
        <w:jc w:val="left"/>
        <w:textAlignment w:val="auto"/>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按国家、自治区住房城乡建设厅或工程所在地</w:t>
      </w:r>
      <w:r>
        <w:rPr>
          <w:rFonts w:hint="eastAsia" w:ascii="仿宋_GB2312" w:hAnsi="宋体"/>
          <w:color w:val="auto"/>
          <w:szCs w:val="21"/>
          <w:highlight w:val="none"/>
        </w:rPr>
        <w:t>市级</w:t>
      </w:r>
      <w:r>
        <w:rPr>
          <w:rFonts w:hint="eastAsia" w:ascii="仿宋_GB2312" w:hAnsi="宋体"/>
          <w:color w:val="auto"/>
          <w:highlight w:val="none"/>
        </w:rPr>
        <w:t>住房城乡建设主管部门颁布的文件执行</w:t>
      </w:r>
      <w:r>
        <w:rPr>
          <w:rFonts w:hint="eastAsia" w:hAnsi="宋体" w:cs="宋体"/>
          <w:color w:val="auto"/>
          <w:highlight w:val="none"/>
        </w:rPr>
        <w:t>。</w:t>
      </w:r>
    </w:p>
    <w:p w14:paraId="0F3ABB3C">
      <w:pPr>
        <w:keepNext w:val="0"/>
        <w:keepLines w:val="0"/>
        <w:pageBreakBefore w:val="0"/>
        <w:widowControl w:val="0"/>
        <w:kinsoku/>
        <w:wordWrap/>
        <w:overflowPunct/>
        <w:topLinePunct w:val="0"/>
        <w:autoSpaceDE/>
        <w:autoSpaceDN/>
        <w:bidi w:val="0"/>
        <w:adjustRightInd w:val="0"/>
        <w:snapToGrid w:val="0"/>
        <w:spacing w:line="380" w:lineRule="exact"/>
        <w:ind w:firstLine="441" w:firstLineChars="210"/>
        <w:textAlignment w:val="auto"/>
        <w:rPr>
          <w:rFonts w:hint="eastAsia" w:ascii="宋体" w:hAnsi="宋体" w:cs="宋体"/>
          <w:color w:val="auto"/>
          <w:szCs w:val="21"/>
          <w:highlight w:val="none"/>
        </w:rPr>
      </w:pPr>
      <w:r>
        <w:rPr>
          <w:rFonts w:hint="eastAsia" w:hAnsi="宋体" w:cs="宋体"/>
          <w:color w:val="auto"/>
          <w:highlight w:val="none"/>
        </w:rPr>
        <w:t>④市场波动引起的调整：按</w:t>
      </w:r>
      <w:r>
        <w:rPr>
          <w:rFonts w:hAnsi="宋体" w:cs="宋体"/>
          <w:color w:val="auto"/>
          <w:highlight w:val="none"/>
        </w:rPr>
        <w:t>11.1</w:t>
      </w:r>
      <w:r>
        <w:rPr>
          <w:rFonts w:hint="eastAsia" w:hAnsi="宋体" w:cs="宋体"/>
          <w:color w:val="auto"/>
          <w:highlight w:val="none"/>
        </w:rPr>
        <w:t>的约定调整。</w:t>
      </w:r>
    </w:p>
    <w:p w14:paraId="4B855A06">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⑤</w:t>
      </w:r>
      <w:r>
        <w:rPr>
          <w:rFonts w:hint="eastAsia" w:ascii="宋体" w:hAnsi="宋体" w:cs="宋体"/>
          <w:color w:val="auto"/>
          <w:szCs w:val="21"/>
          <w:highlight w:val="none"/>
        </w:rPr>
        <w:t>其</w:t>
      </w:r>
      <w:r>
        <w:rPr>
          <w:rFonts w:hint="eastAsia" w:ascii="宋体" w:hAnsi="宋体" w:cs="宋体"/>
          <w:color w:val="auto"/>
          <w:szCs w:val="21"/>
          <w:highlight w:val="none"/>
          <w:lang w:eastAsia="zh-CN"/>
        </w:rPr>
        <w:t>他</w:t>
      </w:r>
      <w:r>
        <w:rPr>
          <w:rFonts w:hint="eastAsia" w:ascii="宋体" w:hAnsi="宋体" w:cs="宋体"/>
          <w:color w:val="auto"/>
          <w:szCs w:val="21"/>
          <w:highlight w:val="none"/>
        </w:rPr>
        <w:t>：</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14:paraId="55DB650E">
      <w:pPr>
        <w:pStyle w:val="321"/>
        <w:rPr>
          <w:rFonts w:hint="eastAsia" w:ascii="宋体" w:cs="宋体"/>
          <w:color w:val="auto"/>
          <w:highlight w:val="none"/>
        </w:rPr>
      </w:pPr>
      <w:bookmarkStart w:id="1303" w:name="_Toc478389241"/>
      <w:bookmarkStart w:id="1304" w:name="_Toc417904327"/>
      <w:r>
        <w:rPr>
          <w:rFonts w:hint="eastAsia" w:ascii="宋体" w:cs="宋体"/>
          <w:color w:val="auto"/>
          <w:highlight w:val="none"/>
        </w:rPr>
        <w:t>12.2 预付款</w:t>
      </w:r>
      <w:bookmarkEnd w:id="1303"/>
      <w:bookmarkEnd w:id="1304"/>
    </w:p>
    <w:bookmarkEnd w:id="1287"/>
    <w:bookmarkEnd w:id="1288"/>
    <w:bookmarkEnd w:id="1289"/>
    <w:bookmarkEnd w:id="1290"/>
    <w:bookmarkEnd w:id="1291"/>
    <w:bookmarkEnd w:id="1292"/>
    <w:p w14:paraId="5CC0B1DC">
      <w:pPr>
        <w:pStyle w:val="79"/>
        <w:rPr>
          <w:rFonts w:hint="eastAsia" w:cs="宋体"/>
          <w:color w:val="auto"/>
          <w:sz w:val="21"/>
          <w:highlight w:val="none"/>
        </w:rPr>
      </w:pPr>
      <w:r>
        <w:rPr>
          <w:rFonts w:hint="eastAsia" w:cs="宋体"/>
          <w:color w:val="auto"/>
          <w:sz w:val="21"/>
          <w:highlight w:val="none"/>
        </w:rPr>
        <w:t>12.2.1 预付款的支付</w:t>
      </w:r>
    </w:p>
    <w:p w14:paraId="677434B6">
      <w:pPr>
        <w:pStyle w:val="79"/>
        <w:rPr>
          <w:rFonts w:hint="eastAsia" w:cs="宋体"/>
          <w:color w:val="auto"/>
          <w:sz w:val="21"/>
          <w:highlight w:val="none"/>
        </w:rPr>
      </w:pPr>
      <w:r>
        <w:rPr>
          <w:rFonts w:hint="eastAsia" w:cs="宋体"/>
          <w:color w:val="auto"/>
          <w:sz w:val="21"/>
          <w:highlight w:val="none"/>
        </w:rPr>
        <w:t>预付款支付比例或金额：</w:t>
      </w:r>
      <w:r>
        <w:rPr>
          <w:rFonts w:hint="eastAsia" w:cs="宋体"/>
          <w:color w:val="auto"/>
          <w:sz w:val="21"/>
          <w:highlight w:val="none"/>
          <w:u w:val="single"/>
          <w:lang w:eastAsia="zh-CN"/>
        </w:rPr>
        <w:t>合同金额的</w:t>
      </w:r>
      <w:r>
        <w:rPr>
          <w:rFonts w:hint="eastAsia" w:cs="宋体"/>
          <w:color w:val="auto"/>
          <w:sz w:val="21"/>
          <w:highlight w:val="none"/>
          <w:u w:val="single"/>
          <w:lang w:val="en-US" w:eastAsia="zh-CN"/>
        </w:rPr>
        <w:t>30%</w:t>
      </w:r>
      <w:r>
        <w:rPr>
          <w:rFonts w:hint="eastAsia" w:cs="宋体"/>
          <w:color w:val="auto"/>
          <w:sz w:val="21"/>
          <w:highlight w:val="none"/>
          <w:u w:val="single"/>
        </w:rPr>
        <w:t xml:space="preserve"> </w:t>
      </w:r>
      <w:r>
        <w:rPr>
          <w:rFonts w:hint="eastAsia" w:cs="宋体"/>
          <w:color w:val="auto"/>
          <w:sz w:val="21"/>
          <w:highlight w:val="none"/>
        </w:rPr>
        <w:t>。</w:t>
      </w:r>
    </w:p>
    <w:p w14:paraId="70172A9E">
      <w:pPr>
        <w:pStyle w:val="79"/>
        <w:rPr>
          <w:rFonts w:hint="eastAsia" w:cs="宋体"/>
          <w:color w:val="auto"/>
          <w:sz w:val="21"/>
          <w:highlight w:val="none"/>
        </w:rPr>
      </w:pPr>
      <w:r>
        <w:rPr>
          <w:rFonts w:hint="eastAsia" w:cs="宋体"/>
          <w:color w:val="auto"/>
          <w:sz w:val="21"/>
          <w:highlight w:val="none"/>
        </w:rPr>
        <w:t>预付款支付期限：</w:t>
      </w:r>
      <w:r>
        <w:rPr>
          <w:rFonts w:hint="eastAsia" w:cs="宋体"/>
          <w:color w:val="auto"/>
          <w:sz w:val="21"/>
          <w:highlight w:val="none"/>
          <w:u w:val="single"/>
          <w:lang w:eastAsia="zh-CN"/>
        </w:rPr>
        <w:t>签订合同后发包人收到发票后10个工作日内办理相应支付手续</w:t>
      </w:r>
      <w:r>
        <w:rPr>
          <w:rFonts w:hint="eastAsia" w:cs="宋体"/>
          <w:color w:val="auto"/>
          <w:sz w:val="21"/>
          <w:highlight w:val="none"/>
          <w:lang w:eastAsia="zh-CN"/>
        </w:rPr>
        <w:t>。</w:t>
      </w:r>
    </w:p>
    <w:p w14:paraId="43CADCF2">
      <w:pPr>
        <w:pStyle w:val="79"/>
        <w:rPr>
          <w:rFonts w:hint="eastAsia" w:cs="宋体"/>
          <w:color w:val="auto"/>
          <w:sz w:val="21"/>
          <w:highlight w:val="none"/>
          <w:u w:val="single"/>
          <w:lang w:eastAsia="zh-CN"/>
        </w:rPr>
      </w:pPr>
      <w:r>
        <w:rPr>
          <w:rFonts w:hint="eastAsia" w:cs="宋体"/>
          <w:color w:val="auto"/>
          <w:sz w:val="21"/>
          <w:highlight w:val="none"/>
        </w:rPr>
        <w:t>预付款扣回的方式：</w:t>
      </w:r>
      <w:r>
        <w:rPr>
          <w:rFonts w:hint="eastAsia" w:cs="宋体"/>
          <w:color w:val="auto"/>
          <w:sz w:val="21"/>
          <w:highlight w:val="none"/>
          <w:u w:val="single"/>
          <w:lang w:eastAsia="zh-CN"/>
        </w:rPr>
        <w:t>从工程竣工后的支付款项一次性扣回。</w:t>
      </w:r>
    </w:p>
    <w:p w14:paraId="588AF8F8">
      <w:pPr>
        <w:pStyle w:val="79"/>
        <w:outlineLvl w:val="0"/>
        <w:rPr>
          <w:rFonts w:hint="eastAsia" w:cs="宋体"/>
          <w:color w:val="auto"/>
          <w:sz w:val="21"/>
          <w:highlight w:val="none"/>
        </w:rPr>
      </w:pPr>
      <w:bookmarkStart w:id="1305" w:name="_Toc406419397"/>
      <w:bookmarkStart w:id="1306" w:name="_Toc478389242"/>
      <w:bookmarkStart w:id="1307" w:name="_Toc417904328"/>
      <w:bookmarkStart w:id="1308" w:name="_Toc406522273"/>
      <w:r>
        <w:rPr>
          <w:rFonts w:hint="eastAsia" w:cs="宋体"/>
          <w:color w:val="auto"/>
          <w:sz w:val="21"/>
          <w:highlight w:val="none"/>
        </w:rPr>
        <w:t>12.2.2 预付款担保</w:t>
      </w:r>
      <w:bookmarkEnd w:id="1305"/>
      <w:bookmarkEnd w:id="1306"/>
      <w:bookmarkEnd w:id="1307"/>
      <w:bookmarkEnd w:id="1308"/>
    </w:p>
    <w:p w14:paraId="667E1FC1">
      <w:pPr>
        <w:pStyle w:val="79"/>
        <w:rPr>
          <w:rFonts w:hint="eastAsia" w:cs="宋体"/>
          <w:color w:val="auto"/>
          <w:sz w:val="21"/>
          <w:highlight w:val="none"/>
          <w:u w:val="single"/>
        </w:rPr>
      </w:pPr>
      <w:r>
        <w:rPr>
          <w:rFonts w:hint="eastAsia" w:cs="宋体"/>
          <w:color w:val="auto"/>
          <w:sz w:val="21"/>
          <w:highlight w:val="none"/>
        </w:rPr>
        <w:t>承包人提交预付款担保的期限：</w:t>
      </w:r>
      <w:r>
        <w:rPr>
          <w:rFonts w:hint="eastAsia" w:cs="宋体"/>
          <w:color w:val="auto"/>
          <w:sz w:val="21"/>
          <w:highlight w:val="none"/>
          <w:u w:val="single"/>
        </w:rPr>
        <w:t>/。</w:t>
      </w:r>
    </w:p>
    <w:p w14:paraId="0F950AE7">
      <w:pPr>
        <w:pStyle w:val="79"/>
        <w:rPr>
          <w:rFonts w:hint="eastAsia" w:cs="宋体"/>
          <w:color w:val="auto"/>
          <w:sz w:val="21"/>
          <w:highlight w:val="none"/>
        </w:rPr>
      </w:pPr>
      <w:r>
        <w:rPr>
          <w:rFonts w:hint="eastAsia" w:cs="宋体"/>
          <w:color w:val="auto"/>
          <w:sz w:val="21"/>
          <w:highlight w:val="none"/>
        </w:rPr>
        <w:t>预付款担保的形式为：</w:t>
      </w:r>
      <w:r>
        <w:rPr>
          <w:rFonts w:hint="eastAsia"/>
          <w:color w:val="auto"/>
          <w:highlight w:val="none"/>
          <w:u w:val="single"/>
        </w:rPr>
        <w:t>/</w:t>
      </w:r>
      <w:r>
        <w:rPr>
          <w:rFonts w:hint="eastAsia" w:cs="宋体"/>
          <w:color w:val="auto"/>
          <w:highlight w:val="none"/>
          <w:u w:val="single"/>
        </w:rPr>
        <w:t>。</w:t>
      </w:r>
    </w:p>
    <w:bookmarkEnd w:id="1293"/>
    <w:bookmarkEnd w:id="1294"/>
    <w:bookmarkEnd w:id="1295"/>
    <w:bookmarkEnd w:id="1296"/>
    <w:bookmarkEnd w:id="1297"/>
    <w:bookmarkEnd w:id="1298"/>
    <w:bookmarkEnd w:id="1299"/>
    <w:bookmarkEnd w:id="1300"/>
    <w:bookmarkEnd w:id="1301"/>
    <w:bookmarkEnd w:id="1302"/>
    <w:p w14:paraId="63D006F3">
      <w:pPr>
        <w:pStyle w:val="321"/>
        <w:rPr>
          <w:rFonts w:hint="eastAsia" w:ascii="宋体" w:cs="宋体"/>
          <w:color w:val="auto"/>
          <w:highlight w:val="none"/>
        </w:rPr>
      </w:pPr>
      <w:bookmarkStart w:id="1309" w:name="_Toc478389243"/>
      <w:bookmarkStart w:id="1310" w:name="_Toc417904329"/>
      <w:r>
        <w:rPr>
          <w:rFonts w:hint="eastAsia" w:ascii="宋体" w:cs="宋体"/>
          <w:color w:val="auto"/>
          <w:highlight w:val="none"/>
        </w:rPr>
        <w:t>12.3 计量</w:t>
      </w:r>
      <w:bookmarkEnd w:id="1309"/>
      <w:bookmarkEnd w:id="1310"/>
    </w:p>
    <w:p w14:paraId="3EA7799C">
      <w:pPr>
        <w:pStyle w:val="237"/>
        <w:spacing w:line="390" w:lineRule="exact"/>
        <w:ind w:firstLine="422" w:firstLineChars="200"/>
        <w:rPr>
          <w:rFonts w:hint="eastAsia" w:ascii="宋体" w:hAnsi="宋体" w:cs="宋体"/>
          <w:b/>
          <w:bCs/>
          <w:color w:val="auto"/>
          <w:szCs w:val="21"/>
          <w:highlight w:val="none"/>
          <w:u w:val="single"/>
        </w:rPr>
      </w:pPr>
      <w:bookmarkStart w:id="1311" w:name="_Toc406419399"/>
      <w:r>
        <w:rPr>
          <w:rFonts w:hint="eastAsia" w:ascii="宋体" w:hAnsi="宋体" w:cs="宋体"/>
          <w:b/>
          <w:bCs/>
          <w:color w:val="auto"/>
          <w:szCs w:val="21"/>
          <w:highlight w:val="none"/>
          <w:u w:val="single"/>
        </w:rPr>
        <w:t>12.3.1 计量原则</w:t>
      </w:r>
    </w:p>
    <w:p w14:paraId="39F12DA3">
      <w:pPr>
        <w:pStyle w:val="237"/>
        <w:spacing w:line="390" w:lineRule="exact"/>
        <w:ind w:firstLine="420" w:firstLineChars="200"/>
        <w:rPr>
          <w:rFonts w:hint="eastAsia" w:cs="宋体" w:asciiTheme="minorEastAsia" w:hAnsiTheme="minorEastAsia" w:eastAsiaTheme="minorEastAsia"/>
          <w:b/>
          <w:bCs/>
          <w:color w:val="auto"/>
          <w:szCs w:val="21"/>
          <w:highlight w:val="none"/>
          <w:u w:val="single"/>
        </w:rPr>
      </w:pPr>
      <w:r>
        <w:rPr>
          <w:rFonts w:hint="eastAsia" w:cs="宋体" w:asciiTheme="minorEastAsia" w:hAnsiTheme="minorEastAsia" w:eastAsiaTheme="minorEastAsia"/>
          <w:bCs/>
          <w:color w:val="auto"/>
          <w:szCs w:val="21"/>
          <w:highlight w:val="none"/>
          <w:u w:val="single"/>
        </w:rPr>
        <w:t>工程量计算规则：</w:t>
      </w:r>
      <w:r>
        <w:rPr>
          <w:rFonts w:hint="eastAsia" w:cs="宋体" w:asciiTheme="minorEastAsia" w:hAnsiTheme="minorEastAsia" w:eastAsiaTheme="minorEastAsia"/>
          <w:color w:val="auto"/>
          <w:highlight w:val="none"/>
          <w:u w:val="single"/>
        </w:rPr>
        <w:t>工程的计量均以《建设工程工程量清单计价规范》（GB50500－2013）及广西壮族自治区实施细则、《建设工程工程量清单计算规范》（GB50854~50862－2013）及广西实施细则、本工程补充项目清单为准。</w:t>
      </w:r>
    </w:p>
    <w:p w14:paraId="7470A97E">
      <w:pPr>
        <w:pStyle w:val="237"/>
        <w:spacing w:line="390" w:lineRule="exact"/>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本工程最终结算价以审计审定为准。</w:t>
      </w:r>
    </w:p>
    <w:p w14:paraId="21233A77">
      <w:pPr>
        <w:pStyle w:val="79"/>
        <w:outlineLvl w:val="0"/>
        <w:rPr>
          <w:rFonts w:hint="eastAsia" w:cs="宋体"/>
          <w:color w:val="auto"/>
          <w:sz w:val="21"/>
          <w:highlight w:val="none"/>
        </w:rPr>
      </w:pPr>
      <w:bookmarkStart w:id="1312" w:name="_Toc406522275"/>
      <w:bookmarkStart w:id="1313" w:name="_Toc478389244"/>
      <w:bookmarkStart w:id="1314" w:name="_Toc417904330"/>
      <w:r>
        <w:rPr>
          <w:rFonts w:hint="eastAsia" w:cs="宋体"/>
          <w:color w:val="auto"/>
          <w:sz w:val="21"/>
          <w:highlight w:val="none"/>
        </w:rPr>
        <w:t>12.3.2 计量周期</w:t>
      </w:r>
      <w:bookmarkEnd w:id="1311"/>
      <w:bookmarkEnd w:id="1312"/>
      <w:bookmarkEnd w:id="1313"/>
      <w:bookmarkEnd w:id="1314"/>
    </w:p>
    <w:p w14:paraId="5F86AC17">
      <w:pPr>
        <w:pStyle w:val="79"/>
        <w:rPr>
          <w:rFonts w:hint="eastAsia" w:cs="宋体"/>
          <w:color w:val="auto"/>
          <w:sz w:val="21"/>
          <w:highlight w:val="none"/>
        </w:rPr>
      </w:pPr>
      <w:r>
        <w:rPr>
          <w:rFonts w:hint="eastAsia" w:cs="宋体"/>
          <w:color w:val="auto"/>
          <w:sz w:val="21"/>
          <w:highlight w:val="none"/>
        </w:rPr>
        <w:t>关于计量周期的约定：</w:t>
      </w:r>
      <w:r>
        <w:rPr>
          <w:rFonts w:hint="eastAsia" w:cs="宋体"/>
          <w:color w:val="auto"/>
          <w:sz w:val="21"/>
          <w:highlight w:val="none"/>
          <w:u w:val="single"/>
        </w:rPr>
        <w:t>本合同的计量周期为月，每月25日为当月计量截止日期（不含当日）和下月计量起始日期（含当日）。</w:t>
      </w:r>
    </w:p>
    <w:p w14:paraId="4C84C56C">
      <w:pPr>
        <w:pStyle w:val="79"/>
        <w:rPr>
          <w:rFonts w:hint="eastAsia" w:cs="宋体"/>
          <w:color w:val="auto"/>
          <w:sz w:val="21"/>
          <w:highlight w:val="none"/>
        </w:rPr>
      </w:pPr>
      <w:r>
        <w:rPr>
          <w:rFonts w:hint="eastAsia" w:cs="宋体"/>
          <w:color w:val="auto"/>
          <w:sz w:val="21"/>
          <w:highlight w:val="none"/>
        </w:rPr>
        <w:t>12.3.3 单价合同的计量</w:t>
      </w:r>
    </w:p>
    <w:p w14:paraId="1C969CA0">
      <w:pPr>
        <w:pStyle w:val="79"/>
        <w:rPr>
          <w:rFonts w:hint="eastAsia" w:cs="宋体"/>
          <w:color w:val="auto"/>
          <w:sz w:val="21"/>
          <w:highlight w:val="none"/>
        </w:rPr>
      </w:pPr>
      <w:r>
        <w:rPr>
          <w:rFonts w:hint="eastAsia" w:cs="宋体"/>
          <w:color w:val="auto"/>
          <w:sz w:val="21"/>
          <w:highlight w:val="none"/>
        </w:rPr>
        <w:t>关于单价合同计量的约定：</w:t>
      </w:r>
      <w:r>
        <w:rPr>
          <w:rFonts w:hint="eastAsia" w:cs="宋体"/>
          <w:color w:val="auto"/>
          <w:sz w:val="21"/>
          <w:highlight w:val="none"/>
          <w:u w:val="single"/>
        </w:rPr>
        <w:t xml:space="preserve">      按实际完成量           </w:t>
      </w:r>
      <w:r>
        <w:rPr>
          <w:rFonts w:hint="eastAsia" w:cs="宋体"/>
          <w:color w:val="auto"/>
          <w:sz w:val="21"/>
          <w:highlight w:val="none"/>
        </w:rPr>
        <w:t>。</w:t>
      </w:r>
    </w:p>
    <w:p w14:paraId="5903582D">
      <w:pPr>
        <w:pStyle w:val="79"/>
        <w:outlineLvl w:val="0"/>
        <w:rPr>
          <w:rFonts w:hint="eastAsia" w:cs="宋体"/>
          <w:color w:val="auto"/>
          <w:sz w:val="21"/>
          <w:highlight w:val="none"/>
        </w:rPr>
      </w:pPr>
      <w:bookmarkStart w:id="1315" w:name="_Toc478389245"/>
      <w:bookmarkStart w:id="1316" w:name="_Toc406522276"/>
      <w:bookmarkStart w:id="1317" w:name="_Toc406419400"/>
      <w:bookmarkStart w:id="1318" w:name="_Toc417904331"/>
      <w:r>
        <w:rPr>
          <w:rFonts w:hint="eastAsia" w:cs="宋体"/>
          <w:color w:val="auto"/>
          <w:sz w:val="21"/>
          <w:highlight w:val="none"/>
        </w:rPr>
        <w:t>12.3.4 总价合同的计量</w:t>
      </w:r>
      <w:bookmarkEnd w:id="1315"/>
      <w:bookmarkEnd w:id="1316"/>
      <w:bookmarkEnd w:id="1317"/>
      <w:bookmarkEnd w:id="1318"/>
    </w:p>
    <w:p w14:paraId="705A9D12">
      <w:pPr>
        <w:pStyle w:val="79"/>
        <w:rPr>
          <w:rFonts w:hint="eastAsia" w:cs="宋体"/>
          <w:color w:val="auto"/>
          <w:sz w:val="21"/>
          <w:highlight w:val="none"/>
        </w:rPr>
      </w:pPr>
      <w:r>
        <w:rPr>
          <w:rFonts w:hint="eastAsia" w:cs="宋体"/>
          <w:color w:val="auto"/>
          <w:sz w:val="21"/>
          <w:highlight w:val="none"/>
        </w:rPr>
        <w:t>关于总价合同计量的约定：</w:t>
      </w:r>
      <w:r>
        <w:rPr>
          <w:rFonts w:hint="eastAsia" w:cs="宋体"/>
          <w:color w:val="auto"/>
          <w:sz w:val="21"/>
          <w:highlight w:val="none"/>
          <w:u w:val="single"/>
        </w:rPr>
        <w:t xml:space="preserve">     无               </w:t>
      </w:r>
      <w:r>
        <w:rPr>
          <w:rFonts w:hint="eastAsia" w:cs="宋体"/>
          <w:color w:val="auto"/>
          <w:sz w:val="21"/>
          <w:highlight w:val="none"/>
        </w:rPr>
        <w:t>。</w:t>
      </w:r>
    </w:p>
    <w:p w14:paraId="5F48BCDD">
      <w:pPr>
        <w:pStyle w:val="79"/>
        <w:rPr>
          <w:rFonts w:hint="eastAsia" w:cs="宋体"/>
          <w:color w:val="auto"/>
          <w:sz w:val="21"/>
          <w:highlight w:val="none"/>
        </w:rPr>
      </w:pPr>
      <w:r>
        <w:rPr>
          <w:rFonts w:hint="eastAsia" w:cs="宋体"/>
          <w:color w:val="auto"/>
          <w:sz w:val="21"/>
          <w:highlight w:val="none"/>
        </w:rPr>
        <w:t>12.3.5总价合同采用支付分解表计量支付的，是否适用第12.3.4项〔总价合同的计量〕约定进行计量：</w:t>
      </w:r>
      <w:r>
        <w:rPr>
          <w:rFonts w:hint="eastAsia" w:cs="宋体"/>
          <w:color w:val="auto"/>
          <w:sz w:val="21"/>
          <w:highlight w:val="none"/>
          <w:u w:val="single"/>
        </w:rPr>
        <w:t xml:space="preserve">       无      </w:t>
      </w:r>
      <w:r>
        <w:rPr>
          <w:rFonts w:hint="eastAsia" w:cs="宋体"/>
          <w:color w:val="auto"/>
          <w:sz w:val="21"/>
          <w:highlight w:val="none"/>
        </w:rPr>
        <w:t>。</w:t>
      </w:r>
    </w:p>
    <w:p w14:paraId="048257E9">
      <w:pPr>
        <w:pStyle w:val="79"/>
        <w:outlineLvl w:val="0"/>
        <w:rPr>
          <w:rFonts w:hint="eastAsia" w:cs="宋体"/>
          <w:color w:val="auto"/>
          <w:sz w:val="21"/>
          <w:highlight w:val="none"/>
        </w:rPr>
      </w:pPr>
      <w:bookmarkStart w:id="1319" w:name="_Toc417904332"/>
      <w:bookmarkStart w:id="1320" w:name="_Toc406522277"/>
      <w:bookmarkStart w:id="1321" w:name="_Toc406419401"/>
      <w:bookmarkStart w:id="1322" w:name="_Toc478389246"/>
      <w:r>
        <w:rPr>
          <w:rFonts w:hint="eastAsia" w:cs="宋体"/>
          <w:color w:val="auto"/>
          <w:sz w:val="21"/>
          <w:highlight w:val="none"/>
        </w:rPr>
        <w:t>12.3.6 其他价格形式合同的计量</w:t>
      </w:r>
      <w:bookmarkEnd w:id="1319"/>
      <w:bookmarkEnd w:id="1320"/>
      <w:bookmarkEnd w:id="1321"/>
      <w:bookmarkEnd w:id="1322"/>
    </w:p>
    <w:p w14:paraId="17732F28">
      <w:pPr>
        <w:pStyle w:val="79"/>
        <w:rPr>
          <w:rFonts w:hint="eastAsia" w:cs="宋体"/>
          <w:color w:val="auto"/>
          <w:sz w:val="21"/>
          <w:highlight w:val="none"/>
        </w:rPr>
      </w:pPr>
      <w:r>
        <w:rPr>
          <w:rFonts w:hint="eastAsia" w:cs="宋体"/>
          <w:color w:val="auto"/>
          <w:sz w:val="21"/>
          <w:highlight w:val="none"/>
        </w:rPr>
        <w:t>其他价格形式的计量方式和程序：</w:t>
      </w:r>
      <w:r>
        <w:rPr>
          <w:rFonts w:hint="eastAsia" w:cs="宋体"/>
          <w:color w:val="auto"/>
          <w:sz w:val="21"/>
          <w:highlight w:val="none"/>
          <w:u w:val="single"/>
        </w:rPr>
        <w:t xml:space="preserve">    无       </w:t>
      </w:r>
      <w:r>
        <w:rPr>
          <w:rFonts w:hint="eastAsia" w:cs="宋体"/>
          <w:color w:val="auto"/>
          <w:sz w:val="21"/>
          <w:highlight w:val="none"/>
        </w:rPr>
        <w:t>。</w:t>
      </w:r>
    </w:p>
    <w:p w14:paraId="38E4DD22">
      <w:pPr>
        <w:pStyle w:val="321"/>
        <w:rPr>
          <w:rFonts w:hint="eastAsia" w:ascii="宋体" w:cs="宋体"/>
          <w:color w:val="auto"/>
          <w:highlight w:val="none"/>
        </w:rPr>
      </w:pPr>
      <w:bookmarkStart w:id="1323" w:name="_Toc417904333"/>
      <w:bookmarkStart w:id="1324" w:name="_Toc478389247"/>
      <w:r>
        <w:rPr>
          <w:rFonts w:hint="eastAsia" w:ascii="宋体" w:cs="宋体"/>
          <w:color w:val="auto"/>
          <w:highlight w:val="none"/>
        </w:rPr>
        <w:t>12.4 工程进度款支付</w:t>
      </w:r>
      <w:bookmarkEnd w:id="1323"/>
      <w:bookmarkEnd w:id="1324"/>
    </w:p>
    <w:p w14:paraId="3F0445C1">
      <w:pPr>
        <w:pStyle w:val="79"/>
        <w:rPr>
          <w:rFonts w:hint="eastAsia" w:cs="宋体"/>
          <w:color w:val="auto"/>
          <w:sz w:val="21"/>
          <w:highlight w:val="none"/>
        </w:rPr>
      </w:pPr>
      <w:bookmarkStart w:id="1325" w:name="_Toc296346712"/>
      <w:bookmarkStart w:id="1326" w:name="_Toc296891039"/>
      <w:bookmarkStart w:id="1327" w:name="_Toc297120511"/>
      <w:bookmarkStart w:id="1328" w:name="_Toc297048397"/>
      <w:bookmarkStart w:id="1329" w:name="_Toc297123556"/>
      <w:bookmarkStart w:id="1330" w:name="_Toc296347210"/>
      <w:bookmarkStart w:id="1331" w:name="_Toc303539163"/>
      <w:bookmarkStart w:id="1332" w:name="_Toc297216215"/>
      <w:bookmarkStart w:id="1333" w:name="_Toc292559416"/>
      <w:bookmarkStart w:id="1334" w:name="_Toc296944550"/>
      <w:bookmarkStart w:id="1335" w:name="_Toc292559921"/>
      <w:bookmarkStart w:id="1336" w:name="_Toc300935006"/>
      <w:bookmarkStart w:id="1337" w:name="_Toc296891251"/>
      <w:bookmarkStart w:id="1338" w:name="_Toc296503211"/>
      <w:r>
        <w:rPr>
          <w:rFonts w:hint="eastAsia" w:cs="宋体"/>
          <w:color w:val="auto"/>
          <w:sz w:val="21"/>
          <w:highlight w:val="none"/>
        </w:rPr>
        <w:t>12.4.1 付款周期</w:t>
      </w:r>
    </w:p>
    <w:p w14:paraId="21F4E63D">
      <w:pPr>
        <w:pStyle w:val="79"/>
        <w:ind w:firstLine="402"/>
        <w:rPr>
          <w:rFonts w:hint="eastAsia" w:cs="宋体"/>
          <w:color w:val="auto"/>
          <w:sz w:val="21"/>
          <w:highlight w:val="none"/>
          <w:lang w:eastAsia="zh-CN"/>
        </w:rPr>
      </w:pPr>
      <w:bookmarkStart w:id="1339" w:name="_Toc406522279"/>
      <w:bookmarkStart w:id="1340" w:name="_Toc406419403"/>
      <w:bookmarkStart w:id="1341" w:name="_Toc417904334"/>
      <w:bookmarkStart w:id="1342" w:name="_Toc478389248"/>
      <w:r>
        <w:rPr>
          <w:rFonts w:hint="eastAsia" w:cs="宋体"/>
          <w:color w:val="auto"/>
          <w:sz w:val="21"/>
          <w:highlight w:val="none"/>
          <w:lang w:eastAsia="zh-CN"/>
        </w:rPr>
        <w:t>工程竣工后支付至合同金额的</w:t>
      </w:r>
      <w:r>
        <w:rPr>
          <w:rFonts w:hint="eastAsia" w:cs="宋体"/>
          <w:color w:val="auto"/>
          <w:sz w:val="21"/>
          <w:highlight w:val="none"/>
          <w:lang w:val="en-US" w:eastAsia="zh-CN"/>
        </w:rPr>
        <w:t>80%，</w:t>
      </w:r>
      <w:r>
        <w:rPr>
          <w:rFonts w:hint="eastAsia" w:cs="宋体"/>
          <w:color w:val="auto"/>
          <w:sz w:val="21"/>
          <w:highlight w:val="none"/>
          <w:lang w:eastAsia="zh-CN"/>
        </w:rPr>
        <w:t>经发包人或发包人委托的监理单位验收合格后支付至工程价款结算总额的</w:t>
      </w:r>
      <w:r>
        <w:rPr>
          <w:rFonts w:hint="eastAsia" w:cs="宋体"/>
          <w:color w:val="auto"/>
          <w:sz w:val="21"/>
          <w:highlight w:val="none"/>
          <w:lang w:val="en-US" w:eastAsia="zh-CN"/>
        </w:rPr>
        <w:t>97%</w:t>
      </w:r>
      <w:r>
        <w:rPr>
          <w:rFonts w:hint="eastAsia" w:cs="宋体"/>
          <w:color w:val="auto"/>
          <w:sz w:val="21"/>
          <w:highlight w:val="none"/>
          <w:lang w:eastAsia="zh-CN"/>
        </w:rPr>
        <w:t>，发包人按工程价款结算总额的</w:t>
      </w:r>
      <w:r>
        <w:rPr>
          <w:rFonts w:hint="eastAsia" w:cs="宋体"/>
          <w:color w:val="auto"/>
          <w:sz w:val="21"/>
          <w:highlight w:val="none"/>
          <w:lang w:val="en-US" w:eastAsia="zh-CN"/>
        </w:rPr>
        <w:t>3</w:t>
      </w:r>
      <w:r>
        <w:rPr>
          <w:rFonts w:hint="eastAsia" w:cs="宋体"/>
          <w:color w:val="auto"/>
          <w:sz w:val="21"/>
          <w:highlight w:val="none"/>
          <w:lang w:eastAsia="zh-CN"/>
        </w:rPr>
        <w:t>%预留工程质量保证金，待缺陷责任期满后返还。发包人在支付每笔款项前，承包人须按发包人要求开具相应发票，发包人收到发票后10个工作日内办理相应支付手续（所有款项均无息支付）。</w:t>
      </w:r>
    </w:p>
    <w:p w14:paraId="4B3185EE">
      <w:pPr>
        <w:pStyle w:val="79"/>
        <w:tabs>
          <w:tab w:val="left" w:pos="6424"/>
        </w:tabs>
        <w:outlineLvl w:val="0"/>
        <w:rPr>
          <w:rFonts w:hint="eastAsia" w:cs="宋体"/>
          <w:color w:val="auto"/>
          <w:sz w:val="21"/>
          <w:highlight w:val="none"/>
        </w:rPr>
      </w:pPr>
      <w:r>
        <w:rPr>
          <w:rFonts w:hint="eastAsia" w:cs="宋体"/>
          <w:color w:val="auto"/>
          <w:sz w:val="21"/>
          <w:highlight w:val="none"/>
        </w:rPr>
        <w:t>12.4.2 进度付款申请单的编制</w:t>
      </w:r>
      <w:bookmarkEnd w:id="1339"/>
      <w:bookmarkEnd w:id="1340"/>
      <w:bookmarkEnd w:id="1341"/>
      <w:bookmarkEnd w:id="1342"/>
      <w:r>
        <w:rPr>
          <w:rFonts w:cs="宋体"/>
          <w:color w:val="auto"/>
          <w:sz w:val="21"/>
          <w:highlight w:val="none"/>
        </w:rPr>
        <w:tab/>
      </w:r>
    </w:p>
    <w:p w14:paraId="45EBD826">
      <w:pPr>
        <w:pStyle w:val="79"/>
        <w:spacing w:line="480" w:lineRule="exact"/>
        <w:rPr>
          <w:rFonts w:hint="eastAsia" w:cs="宋体"/>
          <w:color w:val="auto"/>
          <w:sz w:val="21"/>
          <w:highlight w:val="none"/>
          <w:u w:val="single"/>
        </w:rPr>
      </w:pPr>
      <w:r>
        <w:rPr>
          <w:rFonts w:hint="eastAsia" w:cs="宋体"/>
          <w:color w:val="auto"/>
          <w:sz w:val="21"/>
          <w:highlight w:val="none"/>
        </w:rPr>
        <w:t>关于进度付款申请单编制的约定：</w:t>
      </w:r>
      <w:r>
        <w:rPr>
          <w:rFonts w:hint="eastAsia" w:cs="宋体"/>
          <w:color w:val="auto"/>
          <w:sz w:val="21"/>
          <w:highlight w:val="none"/>
          <w:u w:val="single"/>
        </w:rPr>
        <w:t>承包人应在每个计量周期到期后的7天内向发包人提交已完工程进度款支付申请一式四份，详细说明此周期自己认为有权得到的款额，包括分包人已完工程的价款。</w:t>
      </w:r>
    </w:p>
    <w:p w14:paraId="03CFF7BC">
      <w:pPr>
        <w:spacing w:line="48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工程完工，具备验收条件后，</w:t>
      </w:r>
      <w:r>
        <w:rPr>
          <w:rFonts w:hint="eastAsia" w:ascii="宋体" w:hAnsi="宋体" w:cs="宋体"/>
          <w:color w:val="auto"/>
          <w:kern w:val="0"/>
          <w:szCs w:val="21"/>
          <w:highlight w:val="none"/>
        </w:rPr>
        <w:t>经发包人或发包人委托的中介机构审定后方可办理工程结算或竣工决算。</w:t>
      </w:r>
    </w:p>
    <w:p w14:paraId="5C5F972D">
      <w:pPr>
        <w:pStyle w:val="79"/>
        <w:spacing w:line="480" w:lineRule="exact"/>
        <w:rPr>
          <w:rFonts w:hint="eastAsia" w:cs="宋体"/>
          <w:color w:val="auto"/>
          <w:sz w:val="21"/>
          <w:highlight w:val="none"/>
        </w:rPr>
      </w:pPr>
      <w:r>
        <w:rPr>
          <w:rFonts w:hint="eastAsia" w:cs="宋体"/>
          <w:color w:val="auto"/>
          <w:sz w:val="21"/>
          <w:highlight w:val="none"/>
        </w:rPr>
        <w:t>1</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r>
        <w:rPr>
          <w:rFonts w:hint="eastAsia" w:cs="宋体"/>
          <w:color w:val="auto"/>
          <w:sz w:val="21"/>
          <w:highlight w:val="none"/>
        </w:rPr>
        <w:t>2.4.3 进度付款申请单的提交</w:t>
      </w:r>
    </w:p>
    <w:p w14:paraId="5A3775CF">
      <w:pPr>
        <w:pStyle w:val="79"/>
        <w:spacing w:line="480" w:lineRule="exact"/>
        <w:rPr>
          <w:rFonts w:hint="eastAsia" w:cs="宋体"/>
          <w:color w:val="auto"/>
          <w:sz w:val="21"/>
          <w:highlight w:val="none"/>
        </w:rPr>
      </w:pPr>
      <w:r>
        <w:rPr>
          <w:rFonts w:hint="eastAsia" w:cs="宋体"/>
          <w:color w:val="auto"/>
          <w:sz w:val="21"/>
          <w:highlight w:val="none"/>
        </w:rPr>
        <w:t>（1）单价合同进度付款申请单提交的约定：</w:t>
      </w:r>
      <w:r>
        <w:rPr>
          <w:rFonts w:hint="eastAsia" w:cs="宋体"/>
          <w:color w:val="auto"/>
          <w:sz w:val="21"/>
          <w:highlight w:val="none"/>
          <w:u w:val="single"/>
        </w:rPr>
        <w:t xml:space="preserve">    按支付方式的进度　　 </w:t>
      </w:r>
      <w:r>
        <w:rPr>
          <w:rFonts w:hint="eastAsia" w:cs="宋体"/>
          <w:color w:val="auto"/>
          <w:sz w:val="21"/>
          <w:highlight w:val="none"/>
        </w:rPr>
        <w:t>。</w:t>
      </w:r>
    </w:p>
    <w:p w14:paraId="1CAF6596">
      <w:pPr>
        <w:pStyle w:val="79"/>
        <w:spacing w:line="480" w:lineRule="exact"/>
        <w:rPr>
          <w:rFonts w:hint="eastAsia" w:cs="宋体"/>
          <w:color w:val="auto"/>
          <w:sz w:val="21"/>
          <w:highlight w:val="none"/>
        </w:rPr>
      </w:pPr>
      <w:r>
        <w:rPr>
          <w:rFonts w:hint="eastAsia" w:cs="宋体"/>
          <w:color w:val="auto"/>
          <w:sz w:val="21"/>
          <w:highlight w:val="none"/>
        </w:rPr>
        <w:t>（2）总价合同进度付款申请单提交的约定：</w:t>
      </w:r>
      <w:r>
        <w:rPr>
          <w:rFonts w:hint="eastAsia" w:cs="宋体"/>
          <w:color w:val="auto"/>
          <w:sz w:val="21"/>
          <w:highlight w:val="none"/>
          <w:u w:val="single"/>
        </w:rPr>
        <w:t xml:space="preserve">   无　　  </w:t>
      </w:r>
      <w:r>
        <w:rPr>
          <w:rFonts w:hint="eastAsia" w:cs="宋体"/>
          <w:color w:val="auto"/>
          <w:sz w:val="21"/>
          <w:highlight w:val="none"/>
        </w:rPr>
        <w:t>。</w:t>
      </w:r>
    </w:p>
    <w:p w14:paraId="0FD8E7BD">
      <w:pPr>
        <w:pStyle w:val="79"/>
        <w:spacing w:line="480" w:lineRule="exact"/>
        <w:rPr>
          <w:rFonts w:hint="eastAsia" w:cs="宋体"/>
          <w:color w:val="auto"/>
          <w:sz w:val="21"/>
          <w:highlight w:val="none"/>
        </w:rPr>
      </w:pPr>
      <w:r>
        <w:rPr>
          <w:rFonts w:hint="eastAsia" w:cs="宋体"/>
          <w:color w:val="auto"/>
          <w:sz w:val="21"/>
          <w:highlight w:val="none"/>
        </w:rPr>
        <w:t>（3）其他价格形式合同进度付款申请单提交的约定：</w:t>
      </w:r>
      <w:r>
        <w:rPr>
          <w:rFonts w:hint="eastAsia" w:cs="宋体"/>
          <w:color w:val="auto"/>
          <w:sz w:val="21"/>
          <w:highlight w:val="none"/>
          <w:u w:val="single"/>
        </w:rPr>
        <w:t xml:space="preserve">   无    　  </w:t>
      </w:r>
      <w:r>
        <w:rPr>
          <w:rFonts w:hint="eastAsia" w:cs="宋体"/>
          <w:color w:val="auto"/>
          <w:sz w:val="21"/>
          <w:highlight w:val="none"/>
        </w:rPr>
        <w:t>。</w:t>
      </w:r>
    </w:p>
    <w:p w14:paraId="0F3EF2A3">
      <w:pPr>
        <w:pStyle w:val="79"/>
        <w:spacing w:line="480" w:lineRule="exact"/>
        <w:outlineLvl w:val="0"/>
        <w:rPr>
          <w:rFonts w:hint="eastAsia" w:cs="宋体"/>
          <w:color w:val="auto"/>
          <w:sz w:val="21"/>
          <w:highlight w:val="none"/>
        </w:rPr>
      </w:pPr>
      <w:bookmarkStart w:id="1343" w:name="_Toc417904335"/>
      <w:bookmarkStart w:id="1344" w:name="_Toc406522280"/>
      <w:bookmarkStart w:id="1345" w:name="_Toc406419404"/>
      <w:bookmarkStart w:id="1346" w:name="_Toc478389249"/>
      <w:r>
        <w:rPr>
          <w:rFonts w:hint="eastAsia" w:cs="宋体"/>
          <w:color w:val="auto"/>
          <w:sz w:val="21"/>
          <w:highlight w:val="none"/>
        </w:rPr>
        <w:t>12.4.4 进度款审核和支付</w:t>
      </w:r>
      <w:bookmarkEnd w:id="1343"/>
      <w:bookmarkEnd w:id="1344"/>
      <w:bookmarkEnd w:id="1345"/>
      <w:bookmarkEnd w:id="1346"/>
    </w:p>
    <w:p w14:paraId="7CEF1ACC">
      <w:pPr>
        <w:pStyle w:val="79"/>
        <w:spacing w:line="480" w:lineRule="exact"/>
        <w:rPr>
          <w:rFonts w:hint="eastAsia" w:cs="宋体"/>
          <w:color w:val="auto"/>
          <w:sz w:val="21"/>
          <w:highlight w:val="none"/>
          <w:u w:val="single"/>
        </w:rPr>
      </w:pPr>
      <w:r>
        <w:rPr>
          <w:rFonts w:hint="eastAsia" w:cs="宋体"/>
          <w:color w:val="auto"/>
          <w:sz w:val="21"/>
          <w:highlight w:val="none"/>
        </w:rPr>
        <w:t>（1）监理人审查并报送发包人的期限：</w:t>
      </w:r>
      <w:r>
        <w:rPr>
          <w:rFonts w:hint="eastAsia" w:cs="宋体"/>
          <w:color w:val="auto"/>
          <w:sz w:val="21"/>
          <w:highlight w:val="none"/>
          <w:u w:val="single"/>
        </w:rPr>
        <w:t xml:space="preserve">  3天内　</w:t>
      </w:r>
      <w:r>
        <w:rPr>
          <w:rFonts w:hint="eastAsia" w:cs="宋体"/>
          <w:color w:val="auto"/>
          <w:sz w:val="21"/>
          <w:highlight w:val="none"/>
        </w:rPr>
        <w:t>。</w:t>
      </w:r>
    </w:p>
    <w:p w14:paraId="7BE3FE2A">
      <w:pPr>
        <w:pStyle w:val="79"/>
        <w:spacing w:line="480" w:lineRule="exact"/>
        <w:rPr>
          <w:rFonts w:hint="eastAsia" w:cs="宋体"/>
          <w:color w:val="auto"/>
          <w:sz w:val="21"/>
          <w:highlight w:val="none"/>
        </w:rPr>
      </w:pPr>
      <w:r>
        <w:rPr>
          <w:rFonts w:hint="eastAsia" w:cs="宋体"/>
          <w:color w:val="auto"/>
          <w:sz w:val="21"/>
          <w:highlight w:val="none"/>
        </w:rPr>
        <w:t>发包人完成审批并签发进度款支付证书的期限：</w:t>
      </w:r>
      <w:r>
        <w:rPr>
          <w:rFonts w:hint="eastAsia" w:cs="宋体"/>
          <w:color w:val="auto"/>
          <w:sz w:val="21"/>
          <w:highlight w:val="none"/>
          <w:u w:val="single"/>
        </w:rPr>
        <w:t xml:space="preserve">     7天内        </w:t>
      </w:r>
      <w:r>
        <w:rPr>
          <w:rFonts w:hint="eastAsia" w:cs="宋体"/>
          <w:color w:val="auto"/>
          <w:sz w:val="21"/>
          <w:highlight w:val="none"/>
        </w:rPr>
        <w:t>。</w:t>
      </w:r>
    </w:p>
    <w:p w14:paraId="749A8D69">
      <w:pPr>
        <w:pStyle w:val="79"/>
        <w:spacing w:line="480" w:lineRule="exact"/>
        <w:rPr>
          <w:rFonts w:hint="eastAsia" w:cs="宋体"/>
          <w:color w:val="auto"/>
          <w:sz w:val="21"/>
          <w:highlight w:val="none"/>
        </w:rPr>
      </w:pPr>
      <w:r>
        <w:rPr>
          <w:rFonts w:hint="eastAsia" w:cs="宋体"/>
          <w:color w:val="auto"/>
          <w:sz w:val="21"/>
          <w:highlight w:val="none"/>
        </w:rPr>
        <w:t>（2）发包人支付进度款的期限：</w:t>
      </w:r>
      <w:r>
        <w:rPr>
          <w:rFonts w:hint="eastAsia" w:cs="宋体"/>
          <w:color w:val="auto"/>
          <w:sz w:val="21"/>
          <w:highlight w:val="none"/>
          <w:u w:val="single"/>
        </w:rPr>
        <w:t xml:space="preserve">   承包人提出书面申请后30个工作日内    　　　</w:t>
      </w:r>
      <w:r>
        <w:rPr>
          <w:rFonts w:hint="eastAsia" w:cs="宋体"/>
          <w:color w:val="auto"/>
          <w:sz w:val="21"/>
          <w:highlight w:val="none"/>
        </w:rPr>
        <w:t>。</w:t>
      </w:r>
    </w:p>
    <w:p w14:paraId="682FF498">
      <w:pPr>
        <w:pStyle w:val="79"/>
        <w:spacing w:line="480" w:lineRule="exact"/>
        <w:rPr>
          <w:rFonts w:hint="eastAsia" w:cs="宋体"/>
          <w:color w:val="auto"/>
          <w:sz w:val="21"/>
          <w:highlight w:val="none"/>
        </w:rPr>
      </w:pPr>
      <w:r>
        <w:rPr>
          <w:rFonts w:hint="eastAsia" w:cs="宋体"/>
          <w:color w:val="auto"/>
          <w:sz w:val="21"/>
          <w:highlight w:val="none"/>
        </w:rPr>
        <w:t>发包人逾期支付进度款的违约金的计算方式：</w:t>
      </w:r>
      <w:r>
        <w:rPr>
          <w:rFonts w:hint="eastAsia" w:cs="宋体"/>
          <w:color w:val="auto"/>
          <w:sz w:val="21"/>
          <w:highlight w:val="none"/>
          <w:u w:val="single"/>
        </w:rPr>
        <w:t xml:space="preserve">      无     </w:t>
      </w:r>
      <w:r>
        <w:rPr>
          <w:rFonts w:hint="eastAsia" w:cs="宋体"/>
          <w:color w:val="auto"/>
          <w:sz w:val="21"/>
          <w:highlight w:val="none"/>
        </w:rPr>
        <w:t>。</w:t>
      </w:r>
    </w:p>
    <w:p w14:paraId="12C76A60">
      <w:pPr>
        <w:pStyle w:val="79"/>
        <w:spacing w:line="480" w:lineRule="exact"/>
        <w:rPr>
          <w:rFonts w:hint="eastAsia" w:cs="宋体"/>
          <w:color w:val="auto"/>
          <w:sz w:val="21"/>
          <w:highlight w:val="none"/>
        </w:rPr>
      </w:pPr>
      <w:r>
        <w:rPr>
          <w:rFonts w:hint="eastAsia" w:cs="宋体"/>
          <w:color w:val="auto"/>
          <w:sz w:val="21"/>
          <w:highlight w:val="none"/>
        </w:rPr>
        <w:t>（</w:t>
      </w:r>
      <w:r>
        <w:rPr>
          <w:rFonts w:cs="宋体"/>
          <w:color w:val="auto"/>
          <w:sz w:val="21"/>
          <w:highlight w:val="none"/>
        </w:rPr>
        <w:t>3</w:t>
      </w:r>
      <w:r>
        <w:rPr>
          <w:rFonts w:hint="eastAsia" w:cs="宋体"/>
          <w:color w:val="auto"/>
          <w:sz w:val="21"/>
          <w:highlight w:val="none"/>
        </w:rPr>
        <w:t>）</w:t>
      </w:r>
      <w:r>
        <w:rPr>
          <w:rFonts w:cs="宋体"/>
          <w:color w:val="auto"/>
          <w:sz w:val="21"/>
          <w:highlight w:val="none"/>
        </w:rPr>
        <w:t xml:space="preserve"> </w:t>
      </w:r>
      <w:r>
        <w:rPr>
          <w:rFonts w:hint="eastAsia" w:cs="宋体"/>
          <w:color w:val="auto"/>
          <w:sz w:val="21"/>
          <w:highlight w:val="none"/>
        </w:rPr>
        <w:t>农民工工资支付</w:t>
      </w:r>
    </w:p>
    <w:p w14:paraId="0748A1B8">
      <w:pPr>
        <w:pStyle w:val="79"/>
        <w:spacing w:line="480" w:lineRule="exact"/>
        <w:rPr>
          <w:rFonts w:hint="eastAsia" w:cs="宋体"/>
          <w:color w:val="auto"/>
          <w:sz w:val="21"/>
          <w:highlight w:val="none"/>
        </w:rPr>
      </w:pPr>
      <w:r>
        <w:rPr>
          <w:rFonts w:cs="宋体"/>
          <w:color w:val="auto"/>
          <w:sz w:val="21"/>
          <w:highlight w:val="none"/>
        </w:rPr>
        <w:t>1</w:t>
      </w:r>
      <w:r>
        <w:rPr>
          <w:rFonts w:hint="eastAsia" w:cs="宋体"/>
          <w:color w:val="auto"/>
          <w:sz w:val="21"/>
          <w:highlight w:val="none"/>
        </w:rPr>
        <w:t>）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0870D635">
      <w:pPr>
        <w:pStyle w:val="79"/>
        <w:spacing w:line="480" w:lineRule="exact"/>
        <w:rPr>
          <w:rFonts w:hint="eastAsia" w:cs="宋体"/>
          <w:color w:val="auto"/>
          <w:sz w:val="21"/>
          <w:highlight w:val="none"/>
        </w:rPr>
      </w:pPr>
      <w:r>
        <w:rPr>
          <w:rFonts w:cs="宋体"/>
          <w:color w:val="auto"/>
          <w:sz w:val="21"/>
          <w:highlight w:val="none"/>
        </w:rPr>
        <w:t>2</w:t>
      </w:r>
      <w:r>
        <w:rPr>
          <w:rFonts w:hint="eastAsia" w:cs="宋体"/>
          <w:color w:val="auto"/>
          <w:sz w:val="21"/>
          <w:highlight w:val="none"/>
        </w:rPr>
        <w:t>）人工费应与工程进度款分</w:t>
      </w:r>
      <w:r>
        <w:rPr>
          <w:rFonts w:hint="eastAsia" w:cs="宋体"/>
          <w:color w:val="auto"/>
          <w:sz w:val="21"/>
          <w:highlight w:val="none"/>
          <w:lang w:eastAsia="zh-CN"/>
        </w:rPr>
        <w:t>账</w:t>
      </w:r>
      <w:r>
        <w:rPr>
          <w:rFonts w:hint="eastAsia" w:cs="宋体"/>
          <w:color w:val="auto"/>
          <w:sz w:val="21"/>
          <w:highlight w:val="none"/>
        </w:rPr>
        <w:t>管理。必须按时足额支付，人工费拨付周期不得超过</w:t>
      </w:r>
      <w:r>
        <w:rPr>
          <w:rFonts w:cs="宋体"/>
          <w:color w:val="auto"/>
          <w:sz w:val="21"/>
          <w:highlight w:val="none"/>
        </w:rPr>
        <w:t>1</w:t>
      </w:r>
      <w:r>
        <w:rPr>
          <w:rFonts w:hint="eastAsia" w:cs="宋体"/>
          <w:color w:val="auto"/>
          <w:sz w:val="21"/>
          <w:highlight w:val="none"/>
        </w:rPr>
        <w:t>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w:t>
      </w:r>
      <w:r>
        <w:rPr>
          <w:rFonts w:hint="eastAsia" w:cs="宋体"/>
          <w:color w:val="auto"/>
          <w:sz w:val="21"/>
          <w:highlight w:val="none"/>
          <w:lang w:eastAsia="zh-CN"/>
        </w:rPr>
        <w:t>账</w:t>
      </w:r>
      <w:r>
        <w:rPr>
          <w:rFonts w:hint="eastAsia" w:cs="宋体"/>
          <w:color w:val="auto"/>
          <w:sz w:val="21"/>
          <w:highlight w:val="none"/>
        </w:rPr>
        <w:t>出来的人工费转入承包人农民工工资支付专用账户，转入农民工工资支付专用账户环节必须有银行流水凭证。</w:t>
      </w:r>
    </w:p>
    <w:p w14:paraId="6BD651DE">
      <w:pPr>
        <w:pStyle w:val="79"/>
        <w:spacing w:line="480" w:lineRule="exact"/>
        <w:rPr>
          <w:rFonts w:hint="eastAsia" w:cs="宋体"/>
          <w:color w:val="auto"/>
          <w:sz w:val="21"/>
          <w:highlight w:val="none"/>
        </w:rPr>
      </w:pPr>
      <w:r>
        <w:rPr>
          <w:rFonts w:cs="宋体"/>
          <w:color w:val="auto"/>
          <w:sz w:val="21"/>
          <w:highlight w:val="none"/>
        </w:rPr>
        <w:t>3</w:t>
      </w:r>
      <w:r>
        <w:rPr>
          <w:rFonts w:hint="eastAsia" w:cs="宋体"/>
          <w:color w:val="auto"/>
          <w:sz w:val="21"/>
          <w:highlight w:val="none"/>
        </w:rPr>
        <w:t>）发包人依据工程进度，审核承包人申报的工程进度款，按照与承包人约定的人工费支付比例20</w:t>
      </w:r>
      <w:r>
        <w:rPr>
          <w:rFonts w:cs="宋体"/>
          <w:color w:val="auto"/>
          <w:sz w:val="21"/>
          <w:highlight w:val="none"/>
        </w:rPr>
        <w:t>%</w:t>
      </w:r>
      <w:r>
        <w:rPr>
          <w:rFonts w:hint="eastAsia" w:cs="宋体"/>
          <w:color w:val="auto"/>
          <w:sz w:val="21"/>
          <w:highlight w:val="none"/>
        </w:rPr>
        <w:t>（房建项目不少于</w:t>
      </w:r>
      <w:r>
        <w:rPr>
          <w:rFonts w:cs="宋体"/>
          <w:color w:val="auto"/>
          <w:sz w:val="21"/>
          <w:highlight w:val="none"/>
        </w:rPr>
        <w:t>20%</w:t>
      </w:r>
      <w:r>
        <w:rPr>
          <w:rFonts w:hint="eastAsia" w:cs="宋体"/>
          <w:color w:val="auto"/>
          <w:sz w:val="21"/>
          <w:highlight w:val="none"/>
        </w:rPr>
        <w:t>，市政项目不少于</w:t>
      </w:r>
      <w:r>
        <w:rPr>
          <w:rFonts w:cs="宋体"/>
          <w:color w:val="auto"/>
          <w:sz w:val="21"/>
          <w:highlight w:val="none"/>
        </w:rPr>
        <w:t>15%</w:t>
      </w:r>
      <w:r>
        <w:rPr>
          <w:rFonts w:hint="eastAsia" w:cs="宋体"/>
          <w:color w:val="auto"/>
          <w:sz w:val="21"/>
          <w:highlight w:val="none"/>
        </w:rPr>
        <w:t>），将人工费及时足额拨付至承包人的农民工工资专用账户，其余工程进度款项由发包人支付到承包人的单位基本</w:t>
      </w:r>
      <w:r>
        <w:rPr>
          <w:rFonts w:hint="eastAsia" w:cs="宋体"/>
          <w:color w:val="auto"/>
          <w:sz w:val="21"/>
          <w:highlight w:val="none"/>
          <w:lang w:eastAsia="zh-CN"/>
        </w:rPr>
        <w:t>账</w:t>
      </w:r>
      <w:r>
        <w:rPr>
          <w:rFonts w:hint="eastAsia" w:cs="宋体"/>
          <w:color w:val="auto"/>
          <w:sz w:val="21"/>
          <w:highlight w:val="none"/>
        </w:rPr>
        <w:t>户。</w:t>
      </w:r>
    </w:p>
    <w:p w14:paraId="180FAEB5">
      <w:pPr>
        <w:pStyle w:val="79"/>
        <w:spacing w:line="480" w:lineRule="exact"/>
        <w:rPr>
          <w:rFonts w:hint="eastAsia" w:cs="宋体"/>
          <w:color w:val="auto"/>
          <w:sz w:val="21"/>
          <w:highlight w:val="none"/>
        </w:rPr>
      </w:pPr>
      <w:r>
        <w:rPr>
          <w:rFonts w:cs="宋体"/>
          <w:color w:val="auto"/>
          <w:sz w:val="21"/>
          <w:highlight w:val="none"/>
        </w:rPr>
        <w:t>4</w:t>
      </w:r>
      <w:r>
        <w:rPr>
          <w:rFonts w:hint="eastAsia" w:cs="宋体"/>
          <w:color w:val="auto"/>
          <w:sz w:val="21"/>
          <w:highlight w:val="none"/>
        </w:rPr>
        <w:t>）工程建设领域总包单位对农民工工资支付负总责，推行分包单位农民工工资委托总包单位代发制度（以下简称总包代发制度）。工程建设项目</w:t>
      </w:r>
      <w:r>
        <w:rPr>
          <w:rFonts w:hint="eastAsia" w:cs="宋体"/>
          <w:color w:val="auto"/>
          <w:sz w:val="21"/>
          <w:highlight w:val="none"/>
          <w:lang w:eastAsia="zh-CN"/>
        </w:rPr>
        <w:t>实</w:t>
      </w:r>
      <w:r>
        <w:rPr>
          <w:rFonts w:hint="eastAsia" w:cs="宋体"/>
          <w:color w:val="auto"/>
          <w:sz w:val="21"/>
          <w:highlight w:val="none"/>
        </w:rPr>
        <w:t>行总包代发制度的，总包单位与分包单位签订委托工资支付协议。</w:t>
      </w:r>
      <w:r>
        <w:rPr>
          <w:rFonts w:cs="宋体"/>
          <w:color w:val="auto"/>
          <w:sz w:val="21"/>
          <w:highlight w:val="none"/>
        </w:rPr>
        <w:t xml:space="preserve"> </w:t>
      </w:r>
    </w:p>
    <w:p w14:paraId="2CAE0F60">
      <w:pPr>
        <w:pStyle w:val="79"/>
        <w:spacing w:line="480" w:lineRule="exact"/>
        <w:rPr>
          <w:rFonts w:hint="eastAsia" w:cs="宋体"/>
          <w:color w:val="auto"/>
          <w:sz w:val="21"/>
          <w:highlight w:val="none"/>
        </w:rPr>
      </w:pPr>
      <w:r>
        <w:rPr>
          <w:rFonts w:cs="宋体"/>
          <w:color w:val="auto"/>
          <w:sz w:val="21"/>
          <w:highlight w:val="none"/>
        </w:rPr>
        <w:t>5</w:t>
      </w:r>
      <w:r>
        <w:rPr>
          <w:rFonts w:hint="eastAsia" w:cs="宋体"/>
          <w:color w:val="auto"/>
          <w:sz w:val="21"/>
          <w:highlight w:val="none"/>
        </w:rPr>
        <w:t>）凡未向付款单位提供农民工工资专用账户的，或者请款单位在申请工程进度款时未将人工费单列的，付款单位有权拒绝支付工程进度款。</w:t>
      </w:r>
    </w:p>
    <w:p w14:paraId="2C90A381">
      <w:pPr>
        <w:pStyle w:val="79"/>
        <w:spacing w:line="480" w:lineRule="exact"/>
        <w:rPr>
          <w:rFonts w:hint="eastAsia" w:cs="宋体"/>
          <w:color w:val="auto"/>
          <w:sz w:val="21"/>
          <w:highlight w:val="none"/>
        </w:rPr>
      </w:pPr>
      <w:r>
        <w:rPr>
          <w:rFonts w:cs="宋体"/>
          <w:color w:val="auto"/>
          <w:sz w:val="21"/>
          <w:highlight w:val="none"/>
        </w:rPr>
        <w:t>6</w:t>
      </w:r>
      <w:r>
        <w:rPr>
          <w:rFonts w:hint="eastAsia" w:cs="宋体"/>
          <w:color w:val="auto"/>
          <w:sz w:val="21"/>
          <w:highlight w:val="none"/>
        </w:rPr>
        <w:t>）人工费使用要求：专款专用，除发放农民工工资外，不得用于其他用途。</w:t>
      </w:r>
    </w:p>
    <w:p w14:paraId="43DD463C">
      <w:pPr>
        <w:pStyle w:val="79"/>
        <w:spacing w:line="480" w:lineRule="exact"/>
        <w:rPr>
          <w:rFonts w:hint="eastAsia" w:cs="宋体"/>
          <w:color w:val="auto"/>
          <w:sz w:val="21"/>
          <w:highlight w:val="none"/>
        </w:rPr>
      </w:pPr>
      <w:r>
        <w:rPr>
          <w:rFonts w:cs="宋体"/>
          <w:color w:val="auto"/>
          <w:sz w:val="21"/>
          <w:highlight w:val="none"/>
        </w:rPr>
        <w:t>7</w:t>
      </w:r>
      <w:r>
        <w:rPr>
          <w:rFonts w:hint="eastAsia" w:cs="宋体"/>
          <w:color w:val="auto"/>
          <w:sz w:val="21"/>
          <w:highlight w:val="none"/>
        </w:rPr>
        <w:t>）承包人将人工费支付情况定期报告发包人和监理单位，并提供相应的材料接受建设行政主管部门和劳动保障行政主管部门对此事项监管。</w:t>
      </w:r>
    </w:p>
    <w:p w14:paraId="1ADC3262">
      <w:pPr>
        <w:pStyle w:val="79"/>
        <w:spacing w:line="480" w:lineRule="exact"/>
        <w:rPr>
          <w:rFonts w:hint="eastAsia" w:cs="宋体"/>
          <w:color w:val="auto"/>
          <w:highlight w:val="none"/>
        </w:rPr>
      </w:pPr>
      <w:r>
        <w:rPr>
          <w:rFonts w:cs="宋体"/>
          <w:color w:val="auto"/>
          <w:sz w:val="21"/>
          <w:highlight w:val="none"/>
        </w:rPr>
        <w:t>8</w:t>
      </w:r>
      <w:r>
        <w:rPr>
          <w:rFonts w:hint="eastAsia" w:cs="宋体"/>
          <w:color w:val="auto"/>
          <w:sz w:val="21"/>
          <w:highlight w:val="none"/>
        </w:rPr>
        <w:t>）人工费支付专用账户：××××公司农民工工资支付专用账户。账号</w:t>
      </w:r>
      <w:r>
        <w:rPr>
          <w:rFonts w:hint="eastAsia" w:cs="宋体"/>
          <w:color w:val="auto"/>
          <w:highlight w:val="none"/>
        </w:rPr>
        <w:t>：</w:t>
      </w:r>
      <w:r>
        <w:rPr>
          <w:rFonts w:cs="宋体"/>
          <w:color w:val="auto"/>
          <w:highlight w:val="none"/>
          <w:u w:val="single"/>
        </w:rPr>
        <w:t xml:space="preserve">  </w:t>
      </w:r>
      <w:r>
        <w:rPr>
          <w:rFonts w:hint="eastAsia" w:cs="宋体"/>
          <w:color w:val="auto"/>
          <w:highlight w:val="none"/>
          <w:u w:val="single"/>
        </w:rPr>
        <w:t></w:t>
      </w:r>
      <w:r>
        <w:rPr>
          <w:rFonts w:cs="宋体"/>
          <w:color w:val="auto"/>
          <w:highlight w:val="none"/>
          <w:u w:val="single"/>
        </w:rPr>
        <w:t xml:space="preserve">         </w:t>
      </w:r>
      <w:r>
        <w:rPr>
          <w:rFonts w:hint="eastAsia" w:cs="宋体"/>
          <w:color w:val="auto"/>
          <w:highlight w:val="none"/>
        </w:rPr>
        <w:t>。</w:t>
      </w:r>
    </w:p>
    <w:p w14:paraId="0C859120">
      <w:pPr>
        <w:pStyle w:val="79"/>
        <w:spacing w:line="480" w:lineRule="exact"/>
        <w:rPr>
          <w:rFonts w:hint="eastAsia" w:cs="宋体"/>
          <w:color w:val="auto"/>
          <w:sz w:val="21"/>
          <w:highlight w:val="none"/>
        </w:rPr>
      </w:pPr>
      <w:r>
        <w:rPr>
          <w:rFonts w:hint="eastAsia" w:cs="宋体"/>
          <w:color w:val="auto"/>
          <w:sz w:val="21"/>
          <w:highlight w:val="none"/>
        </w:rPr>
        <w:t>12.4.6 支付分解表的编制</w:t>
      </w:r>
    </w:p>
    <w:p w14:paraId="7B1D42F3">
      <w:pPr>
        <w:pStyle w:val="79"/>
        <w:spacing w:line="480" w:lineRule="exact"/>
        <w:rPr>
          <w:rFonts w:hint="eastAsia" w:cs="宋体"/>
          <w:color w:val="auto"/>
          <w:sz w:val="21"/>
          <w:highlight w:val="none"/>
        </w:rPr>
      </w:pPr>
      <w:r>
        <w:rPr>
          <w:rFonts w:hint="eastAsia" w:cs="宋体"/>
          <w:color w:val="auto"/>
          <w:sz w:val="21"/>
          <w:highlight w:val="none"/>
        </w:rPr>
        <w:t>2、总价合同支付分解表的编制与审批：</w:t>
      </w:r>
      <w:r>
        <w:rPr>
          <w:rFonts w:hint="eastAsia" w:cs="宋体"/>
          <w:color w:val="auto"/>
          <w:sz w:val="21"/>
          <w:highlight w:val="none"/>
          <w:u w:val="single"/>
        </w:rPr>
        <w:t xml:space="preserve">    无   </w:t>
      </w:r>
      <w:r>
        <w:rPr>
          <w:rFonts w:hint="eastAsia" w:cs="宋体"/>
          <w:color w:val="auto"/>
          <w:sz w:val="21"/>
          <w:highlight w:val="none"/>
        </w:rPr>
        <w:t>。</w:t>
      </w:r>
    </w:p>
    <w:p w14:paraId="2C9E6BAD">
      <w:pPr>
        <w:pStyle w:val="79"/>
        <w:spacing w:line="480" w:lineRule="exact"/>
        <w:rPr>
          <w:rFonts w:hint="eastAsia" w:cs="宋体"/>
          <w:color w:val="auto"/>
          <w:sz w:val="21"/>
          <w:highlight w:val="none"/>
        </w:rPr>
      </w:pPr>
      <w:r>
        <w:rPr>
          <w:rFonts w:hint="eastAsia" w:cs="宋体"/>
          <w:color w:val="auto"/>
          <w:sz w:val="21"/>
          <w:highlight w:val="none"/>
        </w:rPr>
        <w:t>3、单价合同的总价项目支付分解表的编制与审批：</w:t>
      </w:r>
      <w:r>
        <w:rPr>
          <w:rFonts w:hint="eastAsia" w:cs="宋体"/>
          <w:color w:val="auto"/>
          <w:sz w:val="21"/>
          <w:highlight w:val="none"/>
          <w:u w:val="single"/>
        </w:rPr>
        <w:t xml:space="preserve">    按支付方式      </w:t>
      </w:r>
      <w:r>
        <w:rPr>
          <w:rFonts w:hint="eastAsia" w:cs="宋体"/>
          <w:color w:val="auto"/>
          <w:sz w:val="21"/>
          <w:highlight w:val="none"/>
        </w:rPr>
        <w:t>。</w:t>
      </w:r>
    </w:p>
    <w:bookmarkEnd w:id="1140"/>
    <w:p w14:paraId="54958804">
      <w:pPr>
        <w:pStyle w:val="321"/>
        <w:spacing w:line="480" w:lineRule="exact"/>
        <w:rPr>
          <w:rFonts w:hint="eastAsia" w:ascii="宋体" w:cs="宋体"/>
          <w:color w:val="auto"/>
          <w:highlight w:val="none"/>
        </w:rPr>
      </w:pPr>
      <w:bookmarkStart w:id="1347" w:name="_Toc351203645"/>
      <w:bookmarkStart w:id="1348" w:name="_Toc478389250"/>
      <w:bookmarkStart w:id="1349" w:name="_Toc417904336"/>
      <w:bookmarkStart w:id="1350" w:name="_Toc297120519"/>
      <w:bookmarkStart w:id="1351" w:name="_Toc296891047"/>
      <w:bookmarkStart w:id="1352" w:name="_Toc312678053"/>
      <w:bookmarkStart w:id="1353" w:name="_Toc297123564"/>
      <w:bookmarkStart w:id="1354" w:name="_Toc296347218"/>
      <w:bookmarkStart w:id="1355" w:name="_Toc296944558"/>
      <w:bookmarkStart w:id="1356" w:name="_Toc296346720"/>
      <w:bookmarkStart w:id="1357" w:name="_Toc300935015"/>
      <w:bookmarkStart w:id="1358" w:name="_Toc297216223"/>
      <w:bookmarkStart w:id="1359" w:name="_Toc304295593"/>
      <w:bookmarkStart w:id="1360" w:name="_Toc292559929"/>
      <w:bookmarkStart w:id="1361" w:name="_Toc292559424"/>
      <w:bookmarkStart w:id="1362" w:name="_Toc303539172"/>
      <w:bookmarkStart w:id="1363" w:name="_Toc297048405"/>
      <w:bookmarkStart w:id="1364" w:name="_Toc296503219"/>
      <w:bookmarkStart w:id="1365" w:name="_Toc296891259"/>
      <w:r>
        <w:rPr>
          <w:rFonts w:hint="eastAsia" w:ascii="宋体" w:cs="宋体"/>
          <w:color w:val="auto"/>
          <w:highlight w:val="none"/>
        </w:rPr>
        <w:t>13. 验收</w:t>
      </w:r>
      <w:bookmarkEnd w:id="1347"/>
      <w:bookmarkEnd w:id="1348"/>
      <w:bookmarkEnd w:id="1349"/>
    </w:p>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p w14:paraId="078FD5D3">
      <w:pPr>
        <w:pStyle w:val="321"/>
        <w:spacing w:line="480" w:lineRule="exact"/>
        <w:rPr>
          <w:rFonts w:hint="eastAsia" w:ascii="宋体" w:cs="宋体"/>
          <w:color w:val="auto"/>
          <w:highlight w:val="none"/>
        </w:rPr>
      </w:pPr>
      <w:bookmarkStart w:id="1366" w:name="_Toc417904337"/>
      <w:bookmarkStart w:id="1367" w:name="_Toc478389251"/>
      <w:r>
        <w:rPr>
          <w:rFonts w:hint="eastAsia" w:ascii="宋体" w:cs="宋体"/>
          <w:color w:val="auto"/>
          <w:highlight w:val="none"/>
        </w:rPr>
        <w:t>13.1 分部分项工程验收</w:t>
      </w:r>
      <w:bookmarkEnd w:id="1366"/>
      <w:bookmarkEnd w:id="1367"/>
    </w:p>
    <w:p w14:paraId="340AC75C">
      <w:pPr>
        <w:pStyle w:val="79"/>
        <w:spacing w:line="480" w:lineRule="exact"/>
        <w:rPr>
          <w:rFonts w:hint="eastAsia" w:cs="宋体"/>
          <w:color w:val="auto"/>
          <w:sz w:val="21"/>
          <w:highlight w:val="none"/>
        </w:rPr>
      </w:pPr>
      <w:r>
        <w:rPr>
          <w:rFonts w:hint="eastAsia" w:cs="宋体"/>
          <w:color w:val="auto"/>
          <w:sz w:val="21"/>
          <w:highlight w:val="none"/>
        </w:rPr>
        <w:t>13.1.2监理人不能按时进行验收时，应提前</w:t>
      </w:r>
      <w:r>
        <w:rPr>
          <w:rFonts w:hint="eastAsia" w:cs="宋体"/>
          <w:color w:val="auto"/>
          <w:sz w:val="21"/>
          <w:highlight w:val="none"/>
          <w:u w:val="single"/>
        </w:rPr>
        <w:t xml:space="preserve">  24   </w:t>
      </w:r>
      <w:r>
        <w:rPr>
          <w:rFonts w:hint="eastAsia" w:cs="宋体"/>
          <w:color w:val="auto"/>
          <w:sz w:val="21"/>
          <w:highlight w:val="none"/>
        </w:rPr>
        <w:t>小时提交书面延期要求。</w:t>
      </w:r>
    </w:p>
    <w:p w14:paraId="1C8EE7BF">
      <w:pPr>
        <w:pStyle w:val="79"/>
        <w:spacing w:line="480" w:lineRule="exact"/>
        <w:rPr>
          <w:rFonts w:hint="eastAsia" w:cs="宋体"/>
          <w:b/>
          <w:color w:val="auto"/>
          <w:sz w:val="21"/>
          <w:highlight w:val="none"/>
        </w:rPr>
      </w:pPr>
      <w:r>
        <w:rPr>
          <w:rFonts w:hint="eastAsia" w:cs="宋体"/>
          <w:color w:val="auto"/>
          <w:sz w:val="21"/>
          <w:highlight w:val="none"/>
        </w:rPr>
        <w:t>关于延期最长不得超过：</w:t>
      </w:r>
      <w:r>
        <w:rPr>
          <w:rFonts w:hint="eastAsia" w:cs="宋体"/>
          <w:color w:val="auto"/>
          <w:sz w:val="21"/>
          <w:highlight w:val="none"/>
          <w:u w:val="single"/>
        </w:rPr>
        <w:t xml:space="preserve">    48    </w:t>
      </w:r>
      <w:r>
        <w:rPr>
          <w:rFonts w:hint="eastAsia" w:cs="宋体"/>
          <w:color w:val="auto"/>
          <w:sz w:val="21"/>
          <w:highlight w:val="none"/>
        </w:rPr>
        <w:t>小时。</w:t>
      </w:r>
    </w:p>
    <w:p w14:paraId="315D3D44">
      <w:pPr>
        <w:pStyle w:val="321"/>
        <w:spacing w:line="480" w:lineRule="exact"/>
        <w:rPr>
          <w:rFonts w:hint="eastAsia" w:ascii="宋体" w:cs="宋体"/>
          <w:color w:val="auto"/>
          <w:highlight w:val="none"/>
        </w:rPr>
      </w:pPr>
      <w:bookmarkStart w:id="1368" w:name="_Toc417904338"/>
      <w:bookmarkStart w:id="1369" w:name="_Toc478389252"/>
      <w:bookmarkStart w:id="1370" w:name="_Toc292559933"/>
      <w:bookmarkStart w:id="1371" w:name="_Toc304295596"/>
      <w:bookmarkStart w:id="1372" w:name="_Toc300935016"/>
      <w:bookmarkStart w:id="1373" w:name="_Toc292559428"/>
      <w:bookmarkStart w:id="1374" w:name="_Toc312678056"/>
      <w:bookmarkStart w:id="1375" w:name="_Toc296347222"/>
      <w:bookmarkStart w:id="1376" w:name="_Toc296891263"/>
      <w:bookmarkStart w:id="1377" w:name="_Toc303539173"/>
      <w:bookmarkStart w:id="1378" w:name="_Toc297216224"/>
      <w:bookmarkStart w:id="1379" w:name="_Toc296346724"/>
      <w:bookmarkStart w:id="1380" w:name="_Toc296503223"/>
      <w:bookmarkStart w:id="1381" w:name="_Toc297123565"/>
      <w:bookmarkStart w:id="1382" w:name="_Toc297048409"/>
      <w:bookmarkStart w:id="1383" w:name="_Toc296891051"/>
      <w:bookmarkStart w:id="1384" w:name="_Toc296944562"/>
      <w:bookmarkStart w:id="1385" w:name="_Toc297120523"/>
      <w:bookmarkStart w:id="1386" w:name="_Toc267251470"/>
      <w:bookmarkStart w:id="1387" w:name="_Toc267251471"/>
      <w:bookmarkStart w:id="1388" w:name="_Toc267251475"/>
      <w:bookmarkStart w:id="1389" w:name="_Toc267251474"/>
      <w:bookmarkStart w:id="1390" w:name="_Toc267251472"/>
      <w:bookmarkStart w:id="1391" w:name="_Toc267251476"/>
      <w:bookmarkStart w:id="1392" w:name="_Toc267251473"/>
      <w:r>
        <w:rPr>
          <w:rFonts w:hint="eastAsia" w:ascii="宋体" w:cs="宋体"/>
          <w:color w:val="auto"/>
          <w:highlight w:val="none"/>
        </w:rPr>
        <w:t>13.2 竣工验收</w:t>
      </w:r>
      <w:bookmarkEnd w:id="1368"/>
      <w:bookmarkEnd w:id="1369"/>
    </w:p>
    <w:p w14:paraId="610419FD">
      <w:pPr>
        <w:pStyle w:val="79"/>
        <w:spacing w:line="480" w:lineRule="exact"/>
        <w:rPr>
          <w:rFonts w:hint="eastAsia" w:cs="宋体"/>
          <w:color w:val="auto"/>
          <w:sz w:val="21"/>
          <w:highlight w:val="none"/>
        </w:rPr>
      </w:pPr>
      <w:r>
        <w:rPr>
          <w:rFonts w:hint="eastAsia" w:cs="宋体"/>
          <w:color w:val="auto"/>
          <w:sz w:val="21"/>
          <w:highlight w:val="none"/>
        </w:rPr>
        <w:t>13.2.1竣工验收条件</w:t>
      </w:r>
    </w:p>
    <w:p w14:paraId="7565F944">
      <w:pPr>
        <w:pStyle w:val="79"/>
        <w:spacing w:line="480" w:lineRule="exact"/>
        <w:rPr>
          <w:rFonts w:hint="eastAsia" w:cs="宋体"/>
          <w:color w:val="auto"/>
          <w:sz w:val="21"/>
          <w:highlight w:val="none"/>
        </w:rPr>
      </w:pPr>
      <w:r>
        <w:rPr>
          <w:rFonts w:hint="eastAsia" w:cs="宋体"/>
          <w:color w:val="auto"/>
          <w:sz w:val="21"/>
          <w:highlight w:val="none"/>
        </w:rPr>
        <w:t>（3）承包人负责整理和提交的竣工验收资料应当符合工程所在地建设行政主管部门和（或）城市建设档案管理机构有关施工资料的要求，具体内容包括：</w:t>
      </w:r>
      <w:r>
        <w:rPr>
          <w:rFonts w:hint="eastAsia" w:cs="宋体"/>
          <w:color w:val="auto"/>
          <w:sz w:val="21"/>
          <w:highlight w:val="none"/>
          <w:u w:val="single"/>
        </w:rPr>
        <w:t>①工程具备竣工验收条件，承包人按工程竣工验收有关规定，向发包人提交符合城建档案馆归档要求内容装订成册的完整竣工资料及竣工验收报告、工程竣工图；②承包人所提交的竣工资料必须符合《建设工程文件归档整理规范》要求</w:t>
      </w:r>
      <w:r>
        <w:rPr>
          <w:rFonts w:hint="eastAsia" w:cs="宋体"/>
          <w:color w:val="auto"/>
          <w:sz w:val="21"/>
          <w:highlight w:val="none"/>
        </w:rPr>
        <w:t>。</w:t>
      </w:r>
    </w:p>
    <w:p w14:paraId="6418974B">
      <w:pPr>
        <w:pStyle w:val="79"/>
        <w:spacing w:line="480" w:lineRule="exact"/>
        <w:rPr>
          <w:rFonts w:hint="eastAsia" w:cs="宋体"/>
          <w:color w:val="auto"/>
          <w:sz w:val="21"/>
          <w:highlight w:val="none"/>
        </w:rPr>
      </w:pPr>
      <w:r>
        <w:rPr>
          <w:rFonts w:hint="eastAsia" w:cs="宋体"/>
          <w:color w:val="auto"/>
          <w:sz w:val="21"/>
          <w:highlight w:val="none"/>
        </w:rPr>
        <w:t>竣工验收资料的份数：</w:t>
      </w:r>
      <w:r>
        <w:rPr>
          <w:rFonts w:hint="eastAsia" w:cs="宋体"/>
          <w:color w:val="auto"/>
          <w:sz w:val="21"/>
          <w:highlight w:val="none"/>
          <w:u w:val="single"/>
        </w:rPr>
        <w:t xml:space="preserve">   4份     </w:t>
      </w:r>
      <w:r>
        <w:rPr>
          <w:rFonts w:hint="eastAsia" w:cs="宋体"/>
          <w:color w:val="auto"/>
          <w:sz w:val="21"/>
          <w:highlight w:val="none"/>
        </w:rPr>
        <w:t>。</w:t>
      </w:r>
    </w:p>
    <w:p w14:paraId="1E71002D">
      <w:pPr>
        <w:pStyle w:val="79"/>
        <w:spacing w:line="480" w:lineRule="exact"/>
        <w:rPr>
          <w:rFonts w:hint="eastAsia" w:cs="宋体"/>
          <w:color w:val="auto"/>
          <w:sz w:val="21"/>
          <w:highlight w:val="none"/>
        </w:rPr>
      </w:pPr>
      <w:r>
        <w:rPr>
          <w:rFonts w:hint="eastAsia" w:cs="宋体"/>
          <w:bCs/>
          <w:color w:val="auto"/>
          <w:sz w:val="21"/>
          <w:highlight w:val="none"/>
        </w:rPr>
        <w:t>承包人提供竣工图的约定：</w:t>
      </w:r>
      <w:r>
        <w:rPr>
          <w:rFonts w:hint="eastAsia" w:cs="宋体"/>
          <w:bCs/>
          <w:color w:val="auto"/>
          <w:sz w:val="21"/>
          <w:highlight w:val="none"/>
          <w:u w:val="single"/>
        </w:rPr>
        <w:t>承包人按实际工程施工提供竣工图。</w:t>
      </w:r>
    </w:p>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p w14:paraId="70206F59">
      <w:pPr>
        <w:pStyle w:val="79"/>
        <w:spacing w:line="480" w:lineRule="exact"/>
        <w:rPr>
          <w:rFonts w:hint="eastAsia" w:cs="宋体"/>
          <w:color w:val="auto"/>
          <w:sz w:val="21"/>
          <w:highlight w:val="none"/>
        </w:rPr>
      </w:pPr>
      <w:bookmarkStart w:id="1393" w:name="_Toc280868704"/>
      <w:bookmarkStart w:id="1394" w:name="_Toc280868705"/>
      <w:bookmarkStart w:id="1395" w:name="_Toc280868706"/>
      <w:bookmarkStart w:id="1396" w:name="_Toc280868707"/>
      <w:bookmarkStart w:id="1397" w:name="_Toc280868708"/>
      <w:bookmarkStart w:id="1398" w:name="_Toc280868709"/>
      <w:r>
        <w:rPr>
          <w:rFonts w:hint="eastAsia" w:cs="宋体"/>
          <w:color w:val="auto"/>
          <w:sz w:val="21"/>
          <w:highlight w:val="none"/>
        </w:rPr>
        <w:t>13.2.2竣工验收程序</w:t>
      </w:r>
    </w:p>
    <w:bookmarkEnd w:id="1393"/>
    <w:p w14:paraId="275CA198">
      <w:pPr>
        <w:pStyle w:val="79"/>
        <w:spacing w:line="480" w:lineRule="exact"/>
        <w:rPr>
          <w:rFonts w:hint="eastAsia" w:cs="宋体"/>
          <w:color w:val="auto"/>
          <w:sz w:val="21"/>
          <w:highlight w:val="none"/>
        </w:rPr>
      </w:pPr>
      <w:r>
        <w:rPr>
          <w:rFonts w:hint="eastAsia" w:cs="宋体"/>
          <w:color w:val="auto"/>
          <w:sz w:val="21"/>
          <w:highlight w:val="none"/>
        </w:rPr>
        <w:t>关于竣工验收程序的约定：</w:t>
      </w:r>
      <w:r>
        <w:rPr>
          <w:rFonts w:hint="eastAsia" w:cs="宋体"/>
          <w:color w:val="auto"/>
          <w:sz w:val="21"/>
          <w:highlight w:val="none"/>
          <w:u w:val="single"/>
        </w:rPr>
        <w:t xml:space="preserve">  </w:t>
      </w:r>
      <w:r>
        <w:rPr>
          <w:rFonts w:hint="eastAsia"/>
          <w:color w:val="auto"/>
          <w:highlight w:val="none"/>
          <w:u w:val="single"/>
        </w:rPr>
        <w:t>按国家及地方规定和规范要求</w:t>
      </w:r>
      <w:r>
        <w:rPr>
          <w:rFonts w:hint="eastAsia" w:cs="宋体"/>
          <w:color w:val="auto"/>
          <w:sz w:val="21"/>
          <w:highlight w:val="none"/>
        </w:rPr>
        <w:t>。</w:t>
      </w:r>
    </w:p>
    <w:p w14:paraId="27B00C3A">
      <w:pPr>
        <w:pStyle w:val="79"/>
        <w:spacing w:line="480" w:lineRule="exact"/>
        <w:rPr>
          <w:rFonts w:hint="eastAsia" w:cs="宋体"/>
          <w:color w:val="auto"/>
          <w:sz w:val="21"/>
          <w:highlight w:val="none"/>
        </w:rPr>
      </w:pPr>
      <w:r>
        <w:rPr>
          <w:rFonts w:hint="eastAsia" w:cs="宋体"/>
          <w:color w:val="auto"/>
          <w:sz w:val="21"/>
          <w:highlight w:val="none"/>
        </w:rPr>
        <w:t>发包人不按照本项约定组织竣工验收、颁发工程接收证书的违约金的计算方法：</w:t>
      </w:r>
      <w:r>
        <w:rPr>
          <w:rFonts w:hint="eastAsia" w:cs="宋体"/>
          <w:color w:val="auto"/>
          <w:sz w:val="21"/>
          <w:highlight w:val="none"/>
          <w:u w:val="single"/>
        </w:rPr>
        <w:t xml:space="preserve"> 无</w:t>
      </w:r>
      <w:r>
        <w:rPr>
          <w:rFonts w:hint="eastAsia" w:cs="宋体"/>
          <w:color w:val="auto"/>
          <w:sz w:val="21"/>
          <w:highlight w:val="none"/>
        </w:rPr>
        <w:t>。</w:t>
      </w:r>
    </w:p>
    <w:bookmarkEnd w:id="1394"/>
    <w:p w14:paraId="27D1D5E7">
      <w:pPr>
        <w:pStyle w:val="79"/>
        <w:spacing w:line="480" w:lineRule="exact"/>
        <w:rPr>
          <w:rFonts w:hint="eastAsia" w:cs="宋体"/>
          <w:color w:val="auto"/>
          <w:sz w:val="21"/>
          <w:highlight w:val="none"/>
        </w:rPr>
      </w:pPr>
      <w:r>
        <w:rPr>
          <w:rFonts w:hint="eastAsia" w:cs="宋体"/>
          <w:color w:val="auto"/>
          <w:sz w:val="21"/>
          <w:highlight w:val="none"/>
        </w:rPr>
        <w:t>13.2.5移交、接收全部与部分工程</w:t>
      </w:r>
    </w:p>
    <w:bookmarkEnd w:id="1395"/>
    <w:p w14:paraId="3807C7AD">
      <w:pPr>
        <w:pStyle w:val="79"/>
        <w:spacing w:line="480" w:lineRule="exact"/>
        <w:rPr>
          <w:rFonts w:hint="eastAsia" w:cs="宋体"/>
          <w:color w:val="auto"/>
          <w:sz w:val="21"/>
          <w:highlight w:val="none"/>
        </w:rPr>
      </w:pPr>
      <w:r>
        <w:rPr>
          <w:rFonts w:hint="eastAsia" w:cs="宋体"/>
          <w:color w:val="auto"/>
          <w:sz w:val="21"/>
          <w:highlight w:val="none"/>
        </w:rPr>
        <w:t>承包人向发包人移交工程的期限：</w:t>
      </w:r>
      <w:r>
        <w:rPr>
          <w:rFonts w:hint="eastAsia" w:cs="宋体"/>
          <w:color w:val="auto"/>
          <w:sz w:val="21"/>
          <w:highlight w:val="none"/>
          <w:u w:val="single"/>
        </w:rPr>
        <w:t xml:space="preserve">  竣工验收后7天内   </w:t>
      </w:r>
      <w:r>
        <w:rPr>
          <w:rFonts w:hint="eastAsia" w:cs="宋体"/>
          <w:color w:val="auto"/>
          <w:sz w:val="21"/>
          <w:highlight w:val="none"/>
        </w:rPr>
        <w:t>。</w:t>
      </w:r>
    </w:p>
    <w:p w14:paraId="1D83F9A3">
      <w:pPr>
        <w:pStyle w:val="79"/>
        <w:spacing w:line="480" w:lineRule="exact"/>
        <w:rPr>
          <w:rFonts w:hint="eastAsia" w:cs="宋体"/>
          <w:color w:val="auto"/>
          <w:sz w:val="21"/>
          <w:highlight w:val="none"/>
          <w:u w:val="single"/>
        </w:rPr>
      </w:pPr>
      <w:r>
        <w:rPr>
          <w:rFonts w:hint="eastAsia" w:cs="宋体"/>
          <w:color w:val="auto"/>
          <w:sz w:val="21"/>
          <w:highlight w:val="none"/>
        </w:rPr>
        <w:t>发包人未按本合同约定接收全部或部分工程的，违约金的计算方法为：</w:t>
      </w:r>
      <w:r>
        <w:rPr>
          <w:rFonts w:hint="eastAsia" w:cs="宋体"/>
          <w:color w:val="auto"/>
          <w:sz w:val="21"/>
          <w:highlight w:val="none"/>
          <w:u w:val="single"/>
        </w:rPr>
        <w:t xml:space="preserve"> 按延期工程造价万分之二，最高限额为延期工程造价2%　 </w:t>
      </w:r>
      <w:r>
        <w:rPr>
          <w:rFonts w:hint="eastAsia" w:cs="宋体"/>
          <w:color w:val="auto"/>
          <w:sz w:val="21"/>
          <w:highlight w:val="none"/>
        </w:rPr>
        <w:t>。</w:t>
      </w:r>
    </w:p>
    <w:bookmarkEnd w:id="1396"/>
    <w:p w14:paraId="6B0CA81F">
      <w:pPr>
        <w:pStyle w:val="79"/>
        <w:spacing w:line="480" w:lineRule="exact"/>
        <w:rPr>
          <w:rFonts w:hint="eastAsia" w:ascii="宋体" w:hAnsi="宋体" w:eastAsia="宋体" w:cs="宋体"/>
          <w:color w:val="auto"/>
          <w:sz w:val="21"/>
          <w:highlight w:val="none"/>
          <w:u w:val="single"/>
        </w:rPr>
      </w:pPr>
      <w:r>
        <w:rPr>
          <w:rFonts w:hint="eastAsia" w:cs="宋体"/>
          <w:color w:val="auto"/>
          <w:sz w:val="21"/>
          <w:highlight w:val="none"/>
        </w:rPr>
        <w:t>承包人未按时移交工程的，违约金的计算方法为：</w:t>
      </w:r>
      <w:r>
        <w:rPr>
          <w:rFonts w:hint="eastAsia" w:ascii="宋体" w:hAnsi="宋体" w:eastAsia="宋体" w:cs="宋体"/>
          <w:color w:val="auto"/>
          <w:sz w:val="21"/>
          <w:highlight w:val="none"/>
          <w:u w:val="single"/>
        </w:rPr>
        <w:t>每延长1天的，</w:t>
      </w:r>
      <w:r>
        <w:rPr>
          <w:rFonts w:hint="eastAsia" w:ascii="宋体" w:hAnsi="宋体" w:eastAsia="宋体" w:cs="宋体"/>
          <w:color w:val="auto"/>
          <w:sz w:val="21"/>
          <w:highlight w:val="none"/>
          <w:u w:val="single"/>
          <w:lang w:eastAsia="zh-CN"/>
        </w:rPr>
        <w:t>承包人</w:t>
      </w:r>
      <w:r>
        <w:rPr>
          <w:rFonts w:hint="eastAsia" w:ascii="宋体" w:hAnsi="宋体" w:eastAsia="宋体" w:cs="宋体"/>
          <w:color w:val="auto"/>
          <w:sz w:val="21"/>
          <w:highlight w:val="none"/>
          <w:u w:val="single"/>
        </w:rPr>
        <w:t>须向</w:t>
      </w:r>
      <w:r>
        <w:rPr>
          <w:rFonts w:hint="eastAsia" w:ascii="宋体" w:hAnsi="宋体" w:eastAsia="宋体" w:cs="宋体"/>
          <w:color w:val="auto"/>
          <w:sz w:val="21"/>
          <w:highlight w:val="none"/>
          <w:u w:val="single"/>
          <w:lang w:eastAsia="zh-CN"/>
        </w:rPr>
        <w:t>发包人</w:t>
      </w:r>
      <w:r>
        <w:rPr>
          <w:rFonts w:hint="eastAsia" w:ascii="宋体" w:hAnsi="宋体" w:eastAsia="宋体" w:cs="宋体"/>
          <w:color w:val="auto"/>
          <w:sz w:val="21"/>
          <w:highlight w:val="none"/>
          <w:u w:val="single"/>
        </w:rPr>
        <w:t>支付合同金额的</w:t>
      </w:r>
      <w:r>
        <w:rPr>
          <w:rFonts w:hint="eastAsia" w:ascii="宋体" w:hAnsi="宋体" w:eastAsia="宋体" w:cs="宋体"/>
          <w:color w:val="auto"/>
          <w:sz w:val="21"/>
          <w:highlight w:val="none"/>
          <w:u w:val="single"/>
          <w:lang w:val="en-US" w:eastAsia="zh-CN"/>
        </w:rPr>
        <w:t>0.5</w:t>
      </w:r>
      <w:r>
        <w:rPr>
          <w:rFonts w:hint="eastAsia" w:ascii="宋体" w:hAnsi="宋体" w:eastAsia="宋体" w:cs="宋体"/>
          <w:color w:val="auto"/>
          <w:sz w:val="21"/>
          <w:highlight w:val="none"/>
          <w:u w:val="single"/>
        </w:rPr>
        <w:t>%的违约金，最多不超过合同金额的</w:t>
      </w:r>
      <w:r>
        <w:rPr>
          <w:rFonts w:hint="eastAsia" w:ascii="宋体" w:hAnsi="宋体" w:eastAsia="宋体" w:cs="宋体"/>
          <w:color w:val="auto"/>
          <w:sz w:val="21"/>
          <w:highlight w:val="none"/>
          <w:u w:val="single"/>
          <w:lang w:val="en-US" w:eastAsia="zh-CN"/>
        </w:rPr>
        <w:t>5</w:t>
      </w:r>
      <w:r>
        <w:rPr>
          <w:rFonts w:hint="eastAsia" w:ascii="宋体" w:hAnsi="宋体" w:eastAsia="宋体" w:cs="宋体"/>
          <w:color w:val="auto"/>
          <w:sz w:val="21"/>
          <w:highlight w:val="none"/>
          <w:u w:val="single"/>
        </w:rPr>
        <w:t>%。移交工程延长累计</w:t>
      </w:r>
      <w:r>
        <w:rPr>
          <w:rFonts w:hint="eastAsia" w:ascii="宋体" w:hAnsi="宋体" w:eastAsia="宋体" w:cs="宋体"/>
          <w:color w:val="auto"/>
          <w:sz w:val="21"/>
          <w:highlight w:val="none"/>
          <w:u w:val="single"/>
          <w:lang w:eastAsia="zh-CN"/>
        </w:rPr>
        <w:t>＞</w:t>
      </w:r>
      <w:r>
        <w:rPr>
          <w:rFonts w:hint="eastAsia" w:ascii="宋体" w:hAnsi="宋体" w:eastAsia="宋体" w:cs="宋体"/>
          <w:color w:val="auto"/>
          <w:sz w:val="21"/>
          <w:highlight w:val="none"/>
          <w:u w:val="single"/>
          <w:lang w:val="en-US" w:eastAsia="zh-CN"/>
        </w:rPr>
        <w:t>10</w:t>
      </w:r>
      <w:r>
        <w:rPr>
          <w:rFonts w:hint="eastAsia" w:ascii="宋体" w:hAnsi="宋体" w:eastAsia="宋体" w:cs="宋体"/>
          <w:color w:val="auto"/>
          <w:sz w:val="21"/>
          <w:highlight w:val="none"/>
          <w:u w:val="single"/>
        </w:rPr>
        <w:t>天的，视为恶意拖延工期，</w:t>
      </w:r>
      <w:r>
        <w:rPr>
          <w:rFonts w:hint="eastAsia" w:ascii="宋体" w:hAnsi="宋体" w:eastAsia="宋体" w:cs="宋体"/>
          <w:color w:val="auto"/>
          <w:sz w:val="21"/>
          <w:highlight w:val="none"/>
          <w:u w:val="single"/>
          <w:lang w:eastAsia="zh-CN"/>
        </w:rPr>
        <w:t>发包人</w:t>
      </w:r>
      <w:r>
        <w:rPr>
          <w:rFonts w:hint="eastAsia" w:ascii="宋体" w:hAnsi="宋体" w:eastAsia="宋体" w:cs="宋体"/>
          <w:color w:val="auto"/>
          <w:sz w:val="21"/>
          <w:highlight w:val="none"/>
          <w:u w:val="single"/>
        </w:rPr>
        <w:t>有权终止合同，所造成的一切损失由</w:t>
      </w:r>
      <w:r>
        <w:rPr>
          <w:rFonts w:hint="eastAsia" w:ascii="宋体" w:hAnsi="宋体" w:eastAsia="宋体" w:cs="宋体"/>
          <w:color w:val="auto"/>
          <w:sz w:val="21"/>
          <w:highlight w:val="none"/>
          <w:u w:val="single"/>
          <w:lang w:eastAsia="zh-CN"/>
        </w:rPr>
        <w:t>承包人</w:t>
      </w:r>
      <w:r>
        <w:rPr>
          <w:rFonts w:hint="eastAsia" w:ascii="宋体" w:hAnsi="宋体" w:eastAsia="宋体" w:cs="宋体"/>
          <w:color w:val="auto"/>
          <w:sz w:val="21"/>
          <w:highlight w:val="none"/>
          <w:u w:val="single"/>
        </w:rPr>
        <w:t>承担   。</w:t>
      </w:r>
    </w:p>
    <w:bookmarkEnd w:id="1397"/>
    <w:p w14:paraId="5F9A9928">
      <w:pPr>
        <w:pStyle w:val="321"/>
        <w:spacing w:line="480" w:lineRule="exact"/>
        <w:rPr>
          <w:rFonts w:hint="eastAsia" w:ascii="宋体" w:cs="宋体"/>
          <w:color w:val="auto"/>
          <w:highlight w:val="none"/>
        </w:rPr>
      </w:pPr>
      <w:bookmarkStart w:id="1399" w:name="_Toc417904342"/>
      <w:bookmarkStart w:id="1400" w:name="_Toc478389253"/>
      <w:r>
        <w:rPr>
          <w:rFonts w:hint="eastAsia" w:ascii="宋体" w:cs="宋体"/>
          <w:color w:val="auto"/>
          <w:highlight w:val="none"/>
        </w:rPr>
        <w:t>13.6 竣工退场</w:t>
      </w:r>
      <w:bookmarkEnd w:id="1399"/>
      <w:bookmarkEnd w:id="1400"/>
    </w:p>
    <w:p w14:paraId="48F282F3">
      <w:pPr>
        <w:pStyle w:val="79"/>
        <w:spacing w:line="480" w:lineRule="exact"/>
        <w:rPr>
          <w:rFonts w:hint="eastAsia" w:cs="宋体"/>
          <w:color w:val="auto"/>
          <w:sz w:val="21"/>
          <w:highlight w:val="none"/>
        </w:rPr>
      </w:pPr>
      <w:r>
        <w:rPr>
          <w:rFonts w:hint="eastAsia" w:cs="宋体"/>
          <w:color w:val="auto"/>
          <w:sz w:val="21"/>
          <w:highlight w:val="none"/>
        </w:rPr>
        <w:t>13.6.1 竣工退场</w:t>
      </w:r>
    </w:p>
    <w:p w14:paraId="1A9681F1">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rPr>
        <w:t>承包人按照通用合同条款</w:t>
      </w:r>
      <w:r>
        <w:rPr>
          <w:rFonts w:hint="eastAsia" w:ascii="宋体" w:hAnsi="宋体" w:cs="宋体"/>
          <w:color w:val="auto"/>
          <w:szCs w:val="21"/>
          <w:highlight w:val="none"/>
          <w:lang w:eastAsia="zh-CN"/>
        </w:rPr>
        <w:t>规</w:t>
      </w:r>
      <w:r>
        <w:rPr>
          <w:rFonts w:hint="eastAsia" w:ascii="宋体" w:hAnsi="宋体" w:cs="宋体"/>
          <w:color w:val="auto"/>
          <w:szCs w:val="21"/>
          <w:highlight w:val="none"/>
        </w:rPr>
        <w:t>定撤离施工场地（现场）时，监理人和承包人应当办理永久工程和施工场地移交手续，移交手续以书面方式出具，并分别经过发包人、监理人和承包人的签认。</w:t>
      </w:r>
    </w:p>
    <w:p w14:paraId="1B03AFFA">
      <w:pPr>
        <w:pStyle w:val="79"/>
        <w:spacing w:line="480" w:lineRule="exact"/>
        <w:rPr>
          <w:rFonts w:hint="eastAsia" w:cs="宋体"/>
          <w:color w:val="auto"/>
          <w:sz w:val="21"/>
          <w:highlight w:val="none"/>
        </w:rPr>
      </w:pPr>
      <w:r>
        <w:rPr>
          <w:rFonts w:hint="eastAsia" w:cs="宋体"/>
          <w:color w:val="auto"/>
          <w:sz w:val="21"/>
          <w:highlight w:val="none"/>
        </w:rPr>
        <w:t>缺陷责任期满时，承包人可以继续在施工场地保留的人员和施工设备以及最终撤离的期限：</w:t>
      </w:r>
      <w:r>
        <w:rPr>
          <w:rFonts w:hint="eastAsia" w:cs="宋体"/>
          <w:color w:val="auto"/>
          <w:sz w:val="21"/>
          <w:highlight w:val="none"/>
          <w:u w:val="single"/>
        </w:rPr>
        <w:t xml:space="preserve">同通用条款 </w:t>
      </w:r>
      <w:r>
        <w:rPr>
          <w:rFonts w:hint="eastAsia" w:cs="宋体"/>
          <w:color w:val="auto"/>
          <w:sz w:val="21"/>
          <w:highlight w:val="none"/>
        </w:rPr>
        <w:t>。</w:t>
      </w:r>
    </w:p>
    <w:p w14:paraId="7782D0D9">
      <w:pPr>
        <w:pStyle w:val="321"/>
        <w:spacing w:line="480" w:lineRule="exact"/>
        <w:rPr>
          <w:rFonts w:hint="eastAsia" w:ascii="宋体" w:cs="宋体"/>
          <w:color w:val="auto"/>
          <w:highlight w:val="none"/>
        </w:rPr>
      </w:pPr>
      <w:bookmarkStart w:id="1401" w:name="_Toc478389254"/>
      <w:bookmarkStart w:id="1402" w:name="_Toc417904343"/>
      <w:bookmarkStart w:id="1403" w:name="_Toc351203646"/>
      <w:r>
        <w:rPr>
          <w:rFonts w:hint="eastAsia" w:ascii="宋体" w:cs="宋体"/>
          <w:color w:val="auto"/>
          <w:highlight w:val="none"/>
        </w:rPr>
        <w:t>14. 竣工结算</w:t>
      </w:r>
      <w:bookmarkEnd w:id="1401"/>
      <w:bookmarkEnd w:id="1402"/>
      <w:bookmarkEnd w:id="1403"/>
    </w:p>
    <w:p w14:paraId="70931C86">
      <w:pPr>
        <w:pStyle w:val="321"/>
        <w:spacing w:line="480" w:lineRule="exact"/>
        <w:rPr>
          <w:rFonts w:hint="eastAsia" w:ascii="宋体" w:cs="宋体"/>
          <w:color w:val="auto"/>
          <w:highlight w:val="none"/>
        </w:rPr>
      </w:pPr>
      <w:bookmarkStart w:id="1404" w:name="_Toc478389255"/>
      <w:bookmarkStart w:id="1405" w:name="_Toc417904344"/>
      <w:r>
        <w:rPr>
          <w:rFonts w:hint="eastAsia" w:ascii="宋体" w:cs="宋体"/>
          <w:color w:val="auto"/>
          <w:highlight w:val="none"/>
        </w:rPr>
        <w:t>14.1 竣工结算申请</w:t>
      </w:r>
      <w:bookmarkEnd w:id="1404"/>
      <w:bookmarkEnd w:id="1405"/>
    </w:p>
    <w:p w14:paraId="56BA3F15">
      <w:pPr>
        <w:pStyle w:val="79"/>
        <w:spacing w:line="480" w:lineRule="exact"/>
        <w:rPr>
          <w:rFonts w:hint="eastAsia" w:cs="宋体"/>
          <w:color w:val="auto"/>
          <w:sz w:val="21"/>
          <w:highlight w:val="none"/>
        </w:rPr>
      </w:pPr>
      <w:r>
        <w:rPr>
          <w:rFonts w:hint="eastAsia" w:cs="宋体"/>
          <w:color w:val="auto"/>
          <w:sz w:val="21"/>
          <w:highlight w:val="none"/>
        </w:rPr>
        <w:t>承包人提交竣工结算申请单的期限：</w:t>
      </w:r>
      <w:r>
        <w:rPr>
          <w:rFonts w:hint="eastAsia" w:cs="宋体"/>
          <w:color w:val="auto"/>
          <w:sz w:val="21"/>
          <w:highlight w:val="none"/>
          <w:u w:val="single"/>
        </w:rPr>
        <w:t xml:space="preserve">  28天内 </w:t>
      </w:r>
      <w:r>
        <w:rPr>
          <w:rFonts w:hint="eastAsia" w:cs="宋体"/>
          <w:color w:val="auto"/>
          <w:sz w:val="21"/>
          <w:highlight w:val="none"/>
        </w:rPr>
        <w:t>。</w:t>
      </w:r>
    </w:p>
    <w:p w14:paraId="4212F2F4">
      <w:pPr>
        <w:pStyle w:val="79"/>
        <w:spacing w:line="480" w:lineRule="exact"/>
        <w:rPr>
          <w:rFonts w:hint="eastAsia" w:cs="宋体"/>
          <w:color w:val="auto"/>
          <w:sz w:val="21"/>
          <w:highlight w:val="none"/>
        </w:rPr>
      </w:pPr>
      <w:r>
        <w:rPr>
          <w:rFonts w:hint="eastAsia" w:cs="宋体"/>
          <w:color w:val="auto"/>
          <w:sz w:val="21"/>
          <w:highlight w:val="none"/>
        </w:rPr>
        <w:t>竣工结算申请单应包括的内容：</w:t>
      </w:r>
      <w:r>
        <w:rPr>
          <w:rFonts w:hint="eastAsia" w:cs="宋体"/>
          <w:color w:val="auto"/>
          <w:sz w:val="21"/>
          <w:highlight w:val="none"/>
          <w:u w:val="single"/>
        </w:rPr>
        <w:t xml:space="preserve">    已竣工完成的工程量  </w:t>
      </w:r>
      <w:r>
        <w:rPr>
          <w:rFonts w:hint="eastAsia" w:cs="宋体"/>
          <w:color w:val="auto"/>
          <w:sz w:val="21"/>
          <w:highlight w:val="none"/>
        </w:rPr>
        <w:t>。</w:t>
      </w:r>
    </w:p>
    <w:p w14:paraId="6BFF4AD0">
      <w:pPr>
        <w:pStyle w:val="321"/>
        <w:rPr>
          <w:rFonts w:hint="eastAsia" w:ascii="宋体" w:cs="宋体"/>
          <w:color w:val="auto"/>
          <w:highlight w:val="none"/>
        </w:rPr>
      </w:pPr>
      <w:bookmarkStart w:id="1406" w:name="_Toc478389256"/>
      <w:bookmarkStart w:id="1407" w:name="_Toc417904345"/>
      <w:r>
        <w:rPr>
          <w:rFonts w:hint="eastAsia" w:ascii="宋体" w:cs="宋体"/>
          <w:color w:val="auto"/>
          <w:highlight w:val="none"/>
        </w:rPr>
        <w:t>14.2 竣工结算审核</w:t>
      </w:r>
      <w:bookmarkEnd w:id="1406"/>
      <w:bookmarkEnd w:id="1407"/>
    </w:p>
    <w:p w14:paraId="3BE5F50A">
      <w:pPr>
        <w:pStyle w:val="237"/>
        <w:spacing w:line="39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（1）本工程最终竣工结算需报审计部门审定，承包人所编制的工程竣工资料经发包人审核后，送到审计部门之日起，承包人所遗漏的与工程造价有关的资料不再作为结算审核依据，按自动放弃处理。</w:t>
      </w:r>
    </w:p>
    <w:p w14:paraId="7FF654A0">
      <w:pPr>
        <w:pStyle w:val="237"/>
        <w:spacing w:line="39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（2）如承包人报送的工程结算总价过高，造成该结算审减率超过6%以上的，则超出6%以上部分的审核费由承包人承担，费用由发包人从承包人工程结算款中扣除。审减率=（送审造价-审定造价）/送审造价*100%。</w:t>
      </w:r>
    </w:p>
    <w:p w14:paraId="28196FB8">
      <w:pPr>
        <w:pStyle w:val="237"/>
        <w:spacing w:line="39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（3）发包人竣工结算报告审查时间</w:t>
      </w:r>
    </w:p>
    <w:tbl>
      <w:tblPr>
        <w:tblStyle w:val="46"/>
        <w:tblW w:w="0" w:type="auto"/>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2835"/>
        <w:gridCol w:w="5245"/>
      </w:tblGrid>
      <w:tr w14:paraId="66F9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72DFA767">
            <w:pPr>
              <w:pStyle w:val="237"/>
              <w:spacing w:line="390" w:lineRule="exact"/>
              <w:ind w:right="-105" w:rightChars="-50"/>
              <w:rPr>
                <w:rFonts w:hint="eastAsia" w:ascii="宋体" w:hAnsi="宋体" w:cs="宋体"/>
                <w:bCs/>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tcPr>
          <w:p w14:paraId="09261827">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工程竣工结算报告金额</w:t>
            </w:r>
          </w:p>
        </w:tc>
        <w:tc>
          <w:tcPr>
            <w:tcW w:w="5245" w:type="dxa"/>
            <w:tcBorders>
              <w:top w:val="single" w:color="auto" w:sz="4" w:space="0"/>
              <w:left w:val="single" w:color="auto" w:sz="4" w:space="0"/>
              <w:bottom w:val="single" w:color="auto" w:sz="4" w:space="0"/>
              <w:right w:val="single" w:color="auto" w:sz="4" w:space="0"/>
            </w:tcBorders>
          </w:tcPr>
          <w:p w14:paraId="15793BDB">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发包人审查时间</w:t>
            </w:r>
          </w:p>
        </w:tc>
      </w:tr>
      <w:tr w14:paraId="41E7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1D7B75CC">
            <w:pPr>
              <w:pStyle w:val="237"/>
              <w:spacing w:line="390" w:lineRule="exact"/>
              <w:ind w:right="-105" w:rightChars="-50"/>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2835" w:type="dxa"/>
            <w:tcBorders>
              <w:top w:val="single" w:color="auto" w:sz="4" w:space="0"/>
              <w:left w:val="single" w:color="auto" w:sz="4" w:space="0"/>
              <w:bottom w:val="single" w:color="auto" w:sz="4" w:space="0"/>
              <w:right w:val="single" w:color="auto" w:sz="4" w:space="0"/>
            </w:tcBorders>
          </w:tcPr>
          <w:p w14:paraId="2462E0BD">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500万元以下</w:t>
            </w:r>
          </w:p>
        </w:tc>
        <w:tc>
          <w:tcPr>
            <w:tcW w:w="5245" w:type="dxa"/>
            <w:tcBorders>
              <w:top w:val="single" w:color="auto" w:sz="4" w:space="0"/>
              <w:left w:val="single" w:color="auto" w:sz="4" w:space="0"/>
              <w:bottom w:val="single" w:color="auto" w:sz="4" w:space="0"/>
              <w:right w:val="single" w:color="auto" w:sz="4" w:space="0"/>
            </w:tcBorders>
          </w:tcPr>
          <w:p w14:paraId="00546D09">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从接到竣工结算报告和完整的竣工结算资料之日起20天</w:t>
            </w:r>
          </w:p>
        </w:tc>
      </w:tr>
      <w:tr w14:paraId="2ED9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6BEBA34B">
            <w:pPr>
              <w:pStyle w:val="237"/>
              <w:spacing w:line="390" w:lineRule="exact"/>
              <w:ind w:right="-105" w:rightChars="-50"/>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2835" w:type="dxa"/>
            <w:tcBorders>
              <w:top w:val="single" w:color="auto" w:sz="4" w:space="0"/>
              <w:left w:val="single" w:color="auto" w:sz="4" w:space="0"/>
              <w:bottom w:val="single" w:color="auto" w:sz="4" w:space="0"/>
              <w:right w:val="single" w:color="auto" w:sz="4" w:space="0"/>
            </w:tcBorders>
          </w:tcPr>
          <w:p w14:paraId="49E47353">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500万元-2000万元</w:t>
            </w:r>
          </w:p>
        </w:tc>
        <w:tc>
          <w:tcPr>
            <w:tcW w:w="5245" w:type="dxa"/>
            <w:tcBorders>
              <w:top w:val="single" w:color="auto" w:sz="4" w:space="0"/>
              <w:left w:val="single" w:color="auto" w:sz="4" w:space="0"/>
              <w:bottom w:val="single" w:color="auto" w:sz="4" w:space="0"/>
              <w:right w:val="single" w:color="auto" w:sz="4" w:space="0"/>
            </w:tcBorders>
          </w:tcPr>
          <w:p w14:paraId="5C291363">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从接到竣工结算报告和完整的竣工结算资料之日起30天</w:t>
            </w:r>
          </w:p>
        </w:tc>
      </w:tr>
      <w:tr w14:paraId="6F47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6FEDA6CD">
            <w:pPr>
              <w:pStyle w:val="237"/>
              <w:spacing w:line="390" w:lineRule="exact"/>
              <w:ind w:right="-105" w:rightChars="-5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2835" w:type="dxa"/>
            <w:tcBorders>
              <w:top w:val="single" w:color="auto" w:sz="4" w:space="0"/>
              <w:left w:val="single" w:color="auto" w:sz="4" w:space="0"/>
              <w:bottom w:val="single" w:color="auto" w:sz="4" w:space="0"/>
              <w:right w:val="single" w:color="auto" w:sz="4" w:space="0"/>
            </w:tcBorders>
          </w:tcPr>
          <w:p w14:paraId="0B25070E">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2000万元-5000万元</w:t>
            </w:r>
          </w:p>
        </w:tc>
        <w:tc>
          <w:tcPr>
            <w:tcW w:w="5245" w:type="dxa"/>
            <w:tcBorders>
              <w:top w:val="single" w:color="auto" w:sz="4" w:space="0"/>
              <w:left w:val="single" w:color="auto" w:sz="4" w:space="0"/>
              <w:bottom w:val="single" w:color="auto" w:sz="4" w:space="0"/>
              <w:right w:val="single" w:color="auto" w:sz="4" w:space="0"/>
            </w:tcBorders>
          </w:tcPr>
          <w:p w14:paraId="268C4BE0">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从接到竣工结算报告和完整的竣工结算资料之日起45天</w:t>
            </w:r>
          </w:p>
        </w:tc>
      </w:tr>
      <w:tr w14:paraId="016C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283215FF">
            <w:pPr>
              <w:pStyle w:val="237"/>
              <w:spacing w:line="390" w:lineRule="exact"/>
              <w:ind w:right="-105" w:rightChars="-5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2835" w:type="dxa"/>
            <w:tcBorders>
              <w:top w:val="single" w:color="auto" w:sz="4" w:space="0"/>
              <w:left w:val="single" w:color="auto" w:sz="4" w:space="0"/>
              <w:bottom w:val="single" w:color="auto" w:sz="4" w:space="0"/>
              <w:right w:val="single" w:color="auto" w:sz="4" w:space="0"/>
            </w:tcBorders>
          </w:tcPr>
          <w:p w14:paraId="248291DC">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5000万元以上</w:t>
            </w:r>
          </w:p>
        </w:tc>
        <w:tc>
          <w:tcPr>
            <w:tcW w:w="5245" w:type="dxa"/>
            <w:tcBorders>
              <w:top w:val="single" w:color="auto" w:sz="4" w:space="0"/>
              <w:left w:val="single" w:color="auto" w:sz="4" w:space="0"/>
              <w:bottom w:val="single" w:color="auto" w:sz="4" w:space="0"/>
              <w:right w:val="single" w:color="auto" w:sz="4" w:space="0"/>
            </w:tcBorders>
          </w:tcPr>
          <w:p w14:paraId="40225D91">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从接到竣工结算报告和完整的竣工结算资料之日起60天</w:t>
            </w:r>
          </w:p>
        </w:tc>
      </w:tr>
    </w:tbl>
    <w:p w14:paraId="3723CD6B">
      <w:pPr>
        <w:pStyle w:val="79"/>
        <w:rPr>
          <w:rFonts w:hint="eastAsia" w:cs="宋体"/>
          <w:bCs/>
          <w:color w:val="auto"/>
          <w:sz w:val="21"/>
          <w:highlight w:val="none"/>
        </w:rPr>
      </w:pPr>
      <w:r>
        <w:rPr>
          <w:rFonts w:hint="eastAsia" w:cs="宋体"/>
          <w:bCs/>
          <w:color w:val="auto"/>
          <w:sz w:val="21"/>
          <w:highlight w:val="none"/>
        </w:rPr>
        <w:t>因承包人提供的结算资料不完整而需要补充或承包人不按时对账耽误时间时，审查时间应相应顺延；</w:t>
      </w:r>
    </w:p>
    <w:p w14:paraId="738C4395">
      <w:pPr>
        <w:pStyle w:val="79"/>
        <w:rPr>
          <w:rFonts w:hint="eastAsia" w:cs="宋体"/>
          <w:color w:val="auto"/>
          <w:sz w:val="21"/>
          <w:highlight w:val="none"/>
        </w:rPr>
      </w:pPr>
      <w:r>
        <w:rPr>
          <w:rFonts w:hint="eastAsia" w:cs="宋体"/>
          <w:color w:val="auto"/>
          <w:sz w:val="21"/>
          <w:highlight w:val="none"/>
        </w:rPr>
        <w:t>发包人审批竣工付款申请单的期限：</w:t>
      </w:r>
      <w:r>
        <w:rPr>
          <w:rFonts w:hint="eastAsia" w:cs="宋体"/>
          <w:color w:val="auto"/>
          <w:sz w:val="21"/>
          <w:highlight w:val="none"/>
          <w:u w:val="single"/>
        </w:rPr>
        <w:t xml:space="preserve">      承包人提出书面申请14天内   </w:t>
      </w:r>
      <w:r>
        <w:rPr>
          <w:rFonts w:hint="eastAsia" w:cs="宋体"/>
          <w:color w:val="auto"/>
          <w:sz w:val="21"/>
          <w:highlight w:val="none"/>
        </w:rPr>
        <w:t>。</w:t>
      </w:r>
    </w:p>
    <w:p w14:paraId="67099BE5">
      <w:pPr>
        <w:pStyle w:val="79"/>
        <w:rPr>
          <w:rFonts w:hint="eastAsia" w:cs="宋体"/>
          <w:color w:val="auto"/>
          <w:sz w:val="21"/>
          <w:highlight w:val="none"/>
        </w:rPr>
      </w:pPr>
      <w:r>
        <w:rPr>
          <w:rFonts w:hint="eastAsia" w:cs="宋体"/>
          <w:color w:val="auto"/>
          <w:sz w:val="21"/>
          <w:highlight w:val="none"/>
        </w:rPr>
        <w:t>发包人完成竣工付款的期限：</w:t>
      </w:r>
      <w:r>
        <w:rPr>
          <w:rFonts w:hint="eastAsia" w:cs="宋体"/>
          <w:color w:val="auto"/>
          <w:sz w:val="21"/>
          <w:highlight w:val="none"/>
          <w:u w:val="single"/>
        </w:rPr>
        <w:t xml:space="preserve">          承包人提出书面申请14天内　    </w:t>
      </w:r>
      <w:r>
        <w:rPr>
          <w:rFonts w:hint="eastAsia" w:cs="宋体"/>
          <w:color w:val="auto"/>
          <w:sz w:val="21"/>
          <w:highlight w:val="none"/>
        </w:rPr>
        <w:t>。</w:t>
      </w:r>
    </w:p>
    <w:p w14:paraId="76AE8844">
      <w:pPr>
        <w:pStyle w:val="79"/>
        <w:rPr>
          <w:rFonts w:hint="eastAsia" w:cs="宋体"/>
          <w:color w:val="auto"/>
          <w:sz w:val="21"/>
          <w:highlight w:val="none"/>
        </w:rPr>
      </w:pPr>
      <w:r>
        <w:rPr>
          <w:rFonts w:hint="eastAsia" w:cs="宋体"/>
          <w:color w:val="auto"/>
          <w:sz w:val="21"/>
          <w:highlight w:val="none"/>
        </w:rPr>
        <w:t>关于竣工付款证书异议部分复核的方式和程序：</w:t>
      </w:r>
      <w:r>
        <w:rPr>
          <w:rFonts w:hint="eastAsia" w:cs="宋体"/>
          <w:color w:val="auto"/>
          <w:sz w:val="21"/>
          <w:highlight w:val="none"/>
          <w:u w:val="single"/>
          <w:lang w:val="en-US" w:eastAsia="zh-CN"/>
        </w:rPr>
        <w:t>/</w:t>
      </w:r>
      <w:r>
        <w:rPr>
          <w:rFonts w:hint="eastAsia" w:cs="宋体"/>
          <w:color w:val="auto"/>
          <w:sz w:val="21"/>
          <w:highlight w:val="none"/>
          <w:lang w:val="en-US" w:eastAsia="zh-CN"/>
        </w:rPr>
        <w:t xml:space="preserve"> </w:t>
      </w:r>
      <w:r>
        <w:rPr>
          <w:rFonts w:hint="eastAsia" w:cs="宋体"/>
          <w:color w:val="auto"/>
          <w:sz w:val="21"/>
          <w:highlight w:val="none"/>
        </w:rPr>
        <w:t>。</w:t>
      </w:r>
    </w:p>
    <w:p w14:paraId="20AE7E02">
      <w:pPr>
        <w:pStyle w:val="321"/>
        <w:rPr>
          <w:rFonts w:hint="eastAsia" w:ascii="宋体" w:cs="宋体"/>
          <w:color w:val="auto"/>
          <w:highlight w:val="none"/>
        </w:rPr>
      </w:pPr>
      <w:bookmarkStart w:id="1408" w:name="_Toc417904346"/>
      <w:bookmarkStart w:id="1409" w:name="_Toc478389257"/>
      <w:r>
        <w:rPr>
          <w:rFonts w:hint="eastAsia" w:ascii="宋体" w:cs="宋体"/>
          <w:color w:val="auto"/>
          <w:highlight w:val="none"/>
        </w:rPr>
        <w:t>14.4 最终结清</w:t>
      </w:r>
      <w:bookmarkEnd w:id="1408"/>
      <w:bookmarkEnd w:id="1409"/>
    </w:p>
    <w:p w14:paraId="6124DC61">
      <w:pPr>
        <w:pStyle w:val="79"/>
        <w:rPr>
          <w:rFonts w:hint="eastAsia" w:cs="宋体"/>
          <w:color w:val="auto"/>
          <w:sz w:val="21"/>
          <w:highlight w:val="none"/>
        </w:rPr>
      </w:pPr>
      <w:r>
        <w:rPr>
          <w:rFonts w:hint="eastAsia" w:cs="宋体"/>
          <w:color w:val="auto"/>
          <w:sz w:val="21"/>
          <w:highlight w:val="none"/>
        </w:rPr>
        <w:t>14.4.1 最终结清申请单</w:t>
      </w:r>
    </w:p>
    <w:p w14:paraId="5E276448">
      <w:pPr>
        <w:pStyle w:val="79"/>
        <w:rPr>
          <w:rFonts w:hint="eastAsia" w:cs="宋体"/>
          <w:color w:val="auto"/>
          <w:sz w:val="21"/>
          <w:highlight w:val="none"/>
        </w:rPr>
      </w:pPr>
      <w:r>
        <w:rPr>
          <w:rFonts w:hint="eastAsia" w:cs="宋体"/>
          <w:color w:val="auto"/>
          <w:sz w:val="21"/>
          <w:highlight w:val="none"/>
        </w:rPr>
        <w:t>承包人提交最终结清申请单的份数：</w:t>
      </w:r>
      <w:r>
        <w:rPr>
          <w:rFonts w:hint="eastAsia" w:cs="宋体"/>
          <w:color w:val="auto"/>
          <w:sz w:val="21"/>
          <w:highlight w:val="none"/>
          <w:u w:val="single"/>
        </w:rPr>
        <w:t xml:space="preserve">  四份   </w:t>
      </w:r>
      <w:r>
        <w:rPr>
          <w:rFonts w:hint="eastAsia" w:cs="宋体"/>
          <w:color w:val="auto"/>
          <w:sz w:val="21"/>
          <w:highlight w:val="none"/>
        </w:rPr>
        <w:t>。</w:t>
      </w:r>
    </w:p>
    <w:p w14:paraId="283EFF57">
      <w:pPr>
        <w:pStyle w:val="79"/>
        <w:rPr>
          <w:rFonts w:hint="eastAsia" w:cs="宋体"/>
          <w:color w:val="auto"/>
          <w:sz w:val="21"/>
          <w:highlight w:val="none"/>
        </w:rPr>
      </w:pPr>
      <w:r>
        <w:rPr>
          <w:rFonts w:hint="eastAsia" w:cs="宋体"/>
          <w:color w:val="auto"/>
          <w:sz w:val="21"/>
          <w:highlight w:val="none"/>
        </w:rPr>
        <w:t>承包人提交最终结算申请单的期限：</w:t>
      </w:r>
      <w:r>
        <w:rPr>
          <w:rFonts w:hint="eastAsia" w:cs="宋体"/>
          <w:color w:val="auto"/>
          <w:sz w:val="21"/>
          <w:highlight w:val="none"/>
          <w:u w:val="single"/>
        </w:rPr>
        <w:t xml:space="preserve">   从接到竣工结算报告14天内    。 </w:t>
      </w:r>
    </w:p>
    <w:p w14:paraId="13D676A3">
      <w:pPr>
        <w:pStyle w:val="79"/>
        <w:rPr>
          <w:rFonts w:hint="eastAsia" w:cs="宋体"/>
          <w:color w:val="auto"/>
          <w:sz w:val="21"/>
          <w:highlight w:val="none"/>
        </w:rPr>
      </w:pPr>
      <w:r>
        <w:rPr>
          <w:rFonts w:hint="eastAsia" w:cs="宋体"/>
          <w:color w:val="auto"/>
          <w:sz w:val="21"/>
          <w:highlight w:val="none"/>
        </w:rPr>
        <w:t>14.4.2 最终结清证书和支付</w:t>
      </w:r>
    </w:p>
    <w:p w14:paraId="25921060">
      <w:pPr>
        <w:pStyle w:val="79"/>
        <w:rPr>
          <w:rFonts w:hint="eastAsia" w:cs="宋体"/>
          <w:color w:val="auto"/>
          <w:sz w:val="21"/>
          <w:highlight w:val="none"/>
        </w:rPr>
      </w:pPr>
      <w:r>
        <w:rPr>
          <w:rFonts w:hint="eastAsia" w:cs="宋体"/>
          <w:color w:val="auto"/>
          <w:sz w:val="21"/>
          <w:highlight w:val="none"/>
        </w:rPr>
        <w:t>（1）发包人完成最终结清申请单的审批并颁发最终结清证书的期限：</w:t>
      </w:r>
      <w:r>
        <w:rPr>
          <w:rFonts w:hint="eastAsia" w:cs="宋体"/>
          <w:color w:val="auto"/>
          <w:sz w:val="21"/>
          <w:highlight w:val="none"/>
          <w:u w:val="single"/>
        </w:rPr>
        <w:t xml:space="preserve">承包人提出书面申请14天内  </w:t>
      </w:r>
      <w:r>
        <w:rPr>
          <w:rFonts w:hint="eastAsia" w:cs="宋体"/>
          <w:color w:val="auto"/>
          <w:sz w:val="21"/>
          <w:highlight w:val="none"/>
        </w:rPr>
        <w:t>。</w:t>
      </w:r>
    </w:p>
    <w:p w14:paraId="6F8AFF73">
      <w:pPr>
        <w:pStyle w:val="79"/>
        <w:rPr>
          <w:rFonts w:hint="eastAsia" w:cs="宋体"/>
          <w:color w:val="auto"/>
          <w:sz w:val="21"/>
          <w:highlight w:val="none"/>
        </w:rPr>
      </w:pPr>
      <w:r>
        <w:rPr>
          <w:rFonts w:hint="eastAsia" w:cs="宋体"/>
          <w:color w:val="auto"/>
          <w:sz w:val="21"/>
          <w:highlight w:val="none"/>
        </w:rPr>
        <w:t>（2）发包人完成支付的期限：</w:t>
      </w:r>
      <w:r>
        <w:rPr>
          <w:rFonts w:hint="eastAsia" w:cs="宋体"/>
          <w:color w:val="auto"/>
          <w:sz w:val="21"/>
          <w:highlight w:val="none"/>
          <w:u w:val="single"/>
        </w:rPr>
        <w:t xml:space="preserve">  承包人提出书面申请14天内    </w:t>
      </w:r>
      <w:r>
        <w:rPr>
          <w:rFonts w:hint="eastAsia" w:cs="宋体"/>
          <w:color w:val="auto"/>
          <w:sz w:val="21"/>
          <w:highlight w:val="none"/>
        </w:rPr>
        <w:t>。</w:t>
      </w:r>
    </w:p>
    <w:bookmarkEnd w:id="1386"/>
    <w:bookmarkEnd w:id="1387"/>
    <w:bookmarkEnd w:id="1388"/>
    <w:bookmarkEnd w:id="1389"/>
    <w:bookmarkEnd w:id="1390"/>
    <w:bookmarkEnd w:id="1391"/>
    <w:bookmarkEnd w:id="1392"/>
    <w:bookmarkEnd w:id="1398"/>
    <w:p w14:paraId="4276D10B">
      <w:pPr>
        <w:pStyle w:val="321"/>
        <w:rPr>
          <w:rFonts w:hint="eastAsia" w:ascii="宋体" w:cs="宋体"/>
          <w:color w:val="auto"/>
          <w:highlight w:val="none"/>
        </w:rPr>
      </w:pPr>
      <w:bookmarkStart w:id="1410" w:name="_Toc417904347"/>
      <w:bookmarkStart w:id="1411" w:name="_Toc351203647"/>
      <w:bookmarkStart w:id="1412" w:name="_Toc478389258"/>
      <w:bookmarkStart w:id="1413" w:name="_Toc267251483"/>
      <w:bookmarkStart w:id="1414" w:name="_Toc267251484"/>
      <w:bookmarkStart w:id="1415" w:name="_Toc267251482"/>
      <w:bookmarkStart w:id="1416" w:name="_Toc267251485"/>
      <w:bookmarkStart w:id="1417" w:name="_Toc267251490"/>
      <w:bookmarkStart w:id="1418" w:name="_Toc267251488"/>
      <w:bookmarkStart w:id="1419" w:name="_Toc267251486"/>
      <w:bookmarkStart w:id="1420" w:name="_Toc267251489"/>
      <w:bookmarkStart w:id="1421" w:name="_Toc267251503"/>
      <w:bookmarkStart w:id="1422" w:name="_Toc267251502"/>
      <w:bookmarkStart w:id="1423" w:name="_Toc267251496"/>
      <w:bookmarkStart w:id="1424" w:name="_Toc267251495"/>
      <w:bookmarkStart w:id="1425" w:name="_Toc267251501"/>
      <w:bookmarkStart w:id="1426" w:name="_Toc267251498"/>
      <w:bookmarkStart w:id="1427" w:name="_Toc267251499"/>
      <w:bookmarkStart w:id="1428" w:name="_Toc267251491"/>
      <w:bookmarkStart w:id="1429" w:name="_Toc267251493"/>
      <w:bookmarkStart w:id="1430" w:name="_Toc267251494"/>
      <w:bookmarkStart w:id="1431" w:name="_Toc267251492"/>
      <w:bookmarkStart w:id="1432" w:name="_Toc267251497"/>
      <w:bookmarkStart w:id="1433" w:name="_Toc267251504"/>
      <w:bookmarkStart w:id="1434" w:name="_Toc267251506"/>
      <w:bookmarkStart w:id="1435" w:name="_Toc267251507"/>
      <w:bookmarkStart w:id="1436" w:name="_Toc267251508"/>
      <w:bookmarkStart w:id="1437" w:name="_Toc267251514"/>
      <w:bookmarkStart w:id="1438" w:name="_Toc267251513"/>
      <w:bookmarkStart w:id="1439" w:name="_Toc267251515"/>
      <w:bookmarkStart w:id="1440" w:name="_Toc267251511"/>
      <w:bookmarkStart w:id="1441" w:name="_Toc267251510"/>
      <w:bookmarkStart w:id="1442" w:name="_Toc267251509"/>
      <w:r>
        <w:rPr>
          <w:rFonts w:hint="eastAsia" w:ascii="宋体" w:cs="宋体"/>
          <w:color w:val="auto"/>
          <w:highlight w:val="none"/>
        </w:rPr>
        <w:t>15. 缺陷责任期与保修</w:t>
      </w:r>
      <w:bookmarkEnd w:id="1410"/>
      <w:bookmarkEnd w:id="1411"/>
      <w:bookmarkEnd w:id="1412"/>
    </w:p>
    <w:p w14:paraId="633E6CFC">
      <w:pPr>
        <w:pStyle w:val="321"/>
        <w:rPr>
          <w:rFonts w:hint="eastAsia" w:ascii="宋体" w:cs="宋体"/>
          <w:color w:val="auto"/>
          <w:highlight w:val="none"/>
        </w:rPr>
      </w:pPr>
      <w:bookmarkStart w:id="1443" w:name="_Toc417904348"/>
      <w:bookmarkStart w:id="1444" w:name="_Toc478389259"/>
      <w:r>
        <w:rPr>
          <w:rFonts w:hint="eastAsia" w:ascii="宋体" w:cs="宋体"/>
          <w:color w:val="auto"/>
          <w:highlight w:val="none"/>
        </w:rPr>
        <w:t>15.2缺陷责任期</w:t>
      </w:r>
      <w:bookmarkEnd w:id="1413"/>
      <w:bookmarkEnd w:id="1443"/>
      <w:bookmarkEnd w:id="1444"/>
    </w:p>
    <w:p w14:paraId="6CE7DF27">
      <w:pPr>
        <w:pStyle w:val="79"/>
        <w:rPr>
          <w:rFonts w:hint="eastAsia" w:cs="宋体"/>
          <w:color w:val="auto"/>
          <w:sz w:val="21"/>
          <w:highlight w:val="none"/>
        </w:rPr>
      </w:pPr>
      <w:r>
        <w:rPr>
          <w:rFonts w:hint="eastAsia" w:cs="宋体"/>
          <w:color w:val="auto"/>
          <w:sz w:val="21"/>
          <w:highlight w:val="none"/>
        </w:rPr>
        <w:t>缺陷责任期的具体期限：</w:t>
      </w:r>
      <w:r>
        <w:rPr>
          <w:rFonts w:hint="eastAsia" w:cs="宋体"/>
          <w:color w:val="auto"/>
          <w:sz w:val="21"/>
          <w:highlight w:val="none"/>
          <w:u w:val="single"/>
        </w:rPr>
        <w:t>2年</w:t>
      </w:r>
    </w:p>
    <w:p w14:paraId="1668D2AE">
      <w:pPr>
        <w:pStyle w:val="321"/>
        <w:rPr>
          <w:rFonts w:hint="eastAsia" w:ascii="宋体" w:cs="宋体"/>
          <w:color w:val="auto"/>
          <w:highlight w:val="none"/>
        </w:rPr>
      </w:pPr>
      <w:bookmarkStart w:id="1445" w:name="_Toc417904349"/>
      <w:bookmarkStart w:id="1446" w:name="_Toc478389260"/>
      <w:r>
        <w:rPr>
          <w:rFonts w:hint="eastAsia" w:ascii="宋体" w:cs="宋体"/>
          <w:color w:val="auto"/>
          <w:highlight w:val="none"/>
        </w:rPr>
        <w:t>15.3 质量保证金</w:t>
      </w:r>
      <w:bookmarkEnd w:id="1445"/>
      <w:bookmarkEnd w:id="1446"/>
    </w:p>
    <w:p w14:paraId="4E672C42">
      <w:pPr>
        <w:pStyle w:val="79"/>
        <w:rPr>
          <w:rFonts w:hint="eastAsia" w:cs="宋体"/>
          <w:color w:val="auto"/>
          <w:sz w:val="21"/>
          <w:highlight w:val="none"/>
        </w:rPr>
      </w:pPr>
      <w:r>
        <w:rPr>
          <w:rFonts w:hint="eastAsia" w:cs="宋体"/>
          <w:color w:val="auto"/>
          <w:sz w:val="21"/>
          <w:highlight w:val="none"/>
        </w:rPr>
        <w:t>关于是否扣留质量保证金的约定：</w:t>
      </w:r>
      <w:r>
        <w:rPr>
          <w:rFonts w:hint="eastAsia" w:cs="宋体"/>
          <w:color w:val="auto"/>
          <w:sz w:val="21"/>
          <w:highlight w:val="none"/>
          <w:u w:val="single"/>
        </w:rPr>
        <w:t xml:space="preserve">  是     </w:t>
      </w:r>
      <w:r>
        <w:rPr>
          <w:rFonts w:hint="eastAsia" w:cs="宋体"/>
          <w:color w:val="auto"/>
          <w:sz w:val="21"/>
          <w:highlight w:val="none"/>
        </w:rPr>
        <w:t>。</w:t>
      </w:r>
    </w:p>
    <w:p w14:paraId="6719D204">
      <w:pPr>
        <w:pStyle w:val="79"/>
        <w:rPr>
          <w:rFonts w:hint="eastAsia" w:cs="宋体"/>
          <w:color w:val="auto"/>
          <w:sz w:val="21"/>
          <w:highlight w:val="none"/>
        </w:rPr>
      </w:pPr>
      <w:r>
        <w:rPr>
          <w:rFonts w:hint="eastAsia" w:cs="宋体"/>
          <w:color w:val="auto"/>
          <w:sz w:val="21"/>
          <w:highlight w:val="none"/>
        </w:rPr>
        <w:t>15.3.1 承包人提供质量保证金的方式</w:t>
      </w:r>
    </w:p>
    <w:p w14:paraId="649ACED3">
      <w:pPr>
        <w:pStyle w:val="79"/>
        <w:rPr>
          <w:rFonts w:hint="eastAsia" w:cs="宋体"/>
          <w:color w:val="auto"/>
          <w:sz w:val="21"/>
          <w:highlight w:val="none"/>
        </w:rPr>
      </w:pPr>
      <w:r>
        <w:rPr>
          <w:rFonts w:hint="eastAsia" w:cs="宋体"/>
          <w:color w:val="auto"/>
          <w:sz w:val="21"/>
          <w:highlight w:val="none"/>
        </w:rPr>
        <w:t>质量保证金采用以下第</w:t>
      </w:r>
      <w:r>
        <w:rPr>
          <w:rFonts w:hint="eastAsia" w:cs="宋体"/>
          <w:color w:val="auto"/>
          <w:sz w:val="21"/>
          <w:highlight w:val="none"/>
          <w:u w:val="single"/>
          <w:lang w:val="en-US" w:eastAsia="zh-CN"/>
        </w:rPr>
        <w:t>2</w:t>
      </w:r>
      <w:r>
        <w:rPr>
          <w:rFonts w:hint="eastAsia" w:cs="宋体"/>
          <w:color w:val="auto"/>
          <w:sz w:val="21"/>
          <w:highlight w:val="none"/>
        </w:rPr>
        <w:t>种方式：</w:t>
      </w:r>
    </w:p>
    <w:p w14:paraId="21FD59A8">
      <w:pPr>
        <w:pStyle w:val="79"/>
        <w:spacing w:line="400" w:lineRule="exact"/>
        <w:rPr>
          <w:rFonts w:hint="eastAsia" w:cs="宋体"/>
          <w:color w:val="auto"/>
          <w:sz w:val="21"/>
          <w:highlight w:val="none"/>
        </w:rPr>
      </w:pPr>
      <w:r>
        <w:rPr>
          <w:rFonts w:hint="eastAsia" w:cs="宋体"/>
          <w:color w:val="auto"/>
          <w:sz w:val="21"/>
          <w:highlight w:val="none"/>
        </w:rPr>
        <w:t xml:space="preserve">（1）质量保证金保函； </w:t>
      </w:r>
    </w:p>
    <w:p w14:paraId="0F65562E">
      <w:pPr>
        <w:pStyle w:val="79"/>
        <w:spacing w:line="400" w:lineRule="exact"/>
        <w:rPr>
          <w:rFonts w:hint="eastAsia" w:cs="宋体"/>
          <w:color w:val="auto"/>
          <w:sz w:val="21"/>
          <w:highlight w:val="none"/>
        </w:rPr>
      </w:pPr>
      <w:r>
        <w:rPr>
          <w:rFonts w:hint="eastAsia" w:cs="宋体"/>
          <w:color w:val="auto"/>
          <w:sz w:val="21"/>
          <w:highlight w:val="none"/>
        </w:rPr>
        <w:t>（2）</w:t>
      </w:r>
      <w:r>
        <w:rPr>
          <w:rFonts w:hint="eastAsia" w:hAnsi="宋体" w:cs="宋体"/>
          <w:color w:val="auto"/>
          <w:highlight w:val="none"/>
        </w:rPr>
        <w:t>发包人按工程价款结算总额的</w:t>
      </w:r>
      <w:r>
        <w:rPr>
          <w:rFonts w:hint="eastAsia"/>
          <w:color w:val="auto"/>
          <w:highlight w:val="none"/>
          <w:u w:val="single"/>
          <w:lang w:val="en-US" w:eastAsia="zh-CN"/>
        </w:rPr>
        <w:t>3</w:t>
      </w:r>
      <w:r>
        <w:rPr>
          <w:color w:val="auto"/>
          <w:highlight w:val="none"/>
        </w:rPr>
        <w:t>%</w:t>
      </w:r>
      <w:r>
        <w:rPr>
          <w:rFonts w:hint="eastAsia" w:hAnsi="宋体" w:cs="宋体"/>
          <w:color w:val="auto"/>
          <w:highlight w:val="none"/>
        </w:rPr>
        <w:t>预留工程质量保证金，待缺陷责任期满后返还，是否付息及利息计算方式为：</w:t>
      </w:r>
      <w:r>
        <w:rPr>
          <w:rFonts w:hint="eastAsia" w:hAnsi="宋体" w:cs="宋体"/>
          <w:color w:val="auto"/>
          <w:highlight w:val="none"/>
          <w:u w:val="single"/>
        </w:rPr>
        <w:t xml:space="preserve">   </w:t>
      </w:r>
      <w:r>
        <w:rPr>
          <w:rFonts w:hint="eastAsia" w:cs="宋体"/>
          <w:color w:val="auto"/>
          <w:highlight w:val="none"/>
          <w:u w:val="single"/>
          <w:lang w:eastAsia="zh-CN"/>
        </w:rPr>
        <w:t>否</w:t>
      </w:r>
      <w:r>
        <w:rPr>
          <w:rFonts w:hint="eastAsia" w:hAnsi="宋体" w:cs="宋体"/>
          <w:color w:val="auto"/>
          <w:highlight w:val="none"/>
          <w:u w:val="single"/>
        </w:rPr>
        <w:t xml:space="preserve">     </w:t>
      </w:r>
      <w:r>
        <w:rPr>
          <w:rFonts w:hint="eastAsia" w:hAnsi="宋体" w:cs="宋体"/>
          <w:color w:val="auto"/>
          <w:kern w:val="0"/>
          <w:highlight w:val="none"/>
        </w:rPr>
        <w:t>；</w:t>
      </w:r>
    </w:p>
    <w:p w14:paraId="3DA7D583">
      <w:pPr>
        <w:pStyle w:val="79"/>
        <w:spacing w:line="400" w:lineRule="exact"/>
        <w:rPr>
          <w:rFonts w:hint="eastAsia" w:cs="宋体"/>
          <w:color w:val="auto"/>
          <w:sz w:val="21"/>
          <w:highlight w:val="none"/>
        </w:rPr>
      </w:pPr>
      <w:r>
        <w:rPr>
          <w:rFonts w:hint="eastAsia" w:cs="宋体"/>
          <w:color w:val="auto"/>
          <w:sz w:val="21"/>
          <w:highlight w:val="none"/>
        </w:rPr>
        <w:t>（3）双方约定的其他方式。</w:t>
      </w:r>
    </w:p>
    <w:p w14:paraId="6AB6E245">
      <w:pPr>
        <w:pStyle w:val="79"/>
        <w:spacing w:line="400" w:lineRule="exact"/>
        <w:rPr>
          <w:rFonts w:hint="eastAsia" w:cs="宋体"/>
          <w:color w:val="auto"/>
          <w:sz w:val="21"/>
          <w:highlight w:val="none"/>
        </w:rPr>
      </w:pPr>
      <w:r>
        <w:rPr>
          <w:rFonts w:hint="eastAsia" w:cs="宋体"/>
          <w:color w:val="auto"/>
          <w:sz w:val="21"/>
          <w:highlight w:val="none"/>
        </w:rPr>
        <w:t xml:space="preserve">15.3.2 质量保证金的扣留 </w:t>
      </w:r>
    </w:p>
    <w:p w14:paraId="05136F8D">
      <w:pPr>
        <w:pStyle w:val="79"/>
        <w:spacing w:line="400" w:lineRule="exact"/>
        <w:rPr>
          <w:rFonts w:hint="eastAsia" w:cs="宋体"/>
          <w:color w:val="auto"/>
          <w:sz w:val="21"/>
          <w:highlight w:val="none"/>
        </w:rPr>
      </w:pPr>
      <w:r>
        <w:rPr>
          <w:rFonts w:hint="eastAsia" w:cs="宋体"/>
          <w:color w:val="auto"/>
          <w:sz w:val="21"/>
          <w:highlight w:val="none"/>
        </w:rPr>
        <w:t>质量保证金的扣留采取以下第</w:t>
      </w:r>
      <w:r>
        <w:rPr>
          <w:rFonts w:hint="eastAsia" w:cs="宋体"/>
          <w:color w:val="auto"/>
          <w:sz w:val="21"/>
          <w:highlight w:val="none"/>
          <w:u w:val="single"/>
        </w:rPr>
        <w:t xml:space="preserve"> 2</w:t>
      </w:r>
      <w:r>
        <w:rPr>
          <w:rFonts w:hint="eastAsia" w:cs="宋体"/>
          <w:color w:val="auto"/>
          <w:sz w:val="21"/>
          <w:highlight w:val="none"/>
        </w:rPr>
        <w:t>种方式：</w:t>
      </w:r>
    </w:p>
    <w:p w14:paraId="55AB18B6">
      <w:pPr>
        <w:pStyle w:val="79"/>
        <w:spacing w:line="400" w:lineRule="exact"/>
        <w:rPr>
          <w:rFonts w:hint="eastAsia" w:cs="宋体"/>
          <w:color w:val="auto"/>
          <w:sz w:val="21"/>
          <w:highlight w:val="none"/>
        </w:rPr>
      </w:pPr>
      <w:r>
        <w:rPr>
          <w:rFonts w:hint="eastAsia" w:cs="宋体"/>
          <w:color w:val="auto"/>
          <w:sz w:val="21"/>
          <w:highlight w:val="none"/>
        </w:rPr>
        <w:t>（1）在支付工程进度款时逐次扣留，在此情形下，质量保证金的计算基数不包括预付款的支付、扣回以及价格调整的金额；</w:t>
      </w:r>
    </w:p>
    <w:p w14:paraId="1FDFE991">
      <w:pPr>
        <w:pStyle w:val="79"/>
        <w:spacing w:line="400" w:lineRule="exact"/>
        <w:rPr>
          <w:rFonts w:hint="eastAsia" w:cs="宋体"/>
          <w:color w:val="auto"/>
          <w:sz w:val="21"/>
          <w:highlight w:val="none"/>
        </w:rPr>
      </w:pPr>
      <w:r>
        <w:rPr>
          <w:rFonts w:hint="eastAsia" w:cs="宋体"/>
          <w:color w:val="auto"/>
          <w:sz w:val="21"/>
          <w:highlight w:val="none"/>
        </w:rPr>
        <w:t>（2）工程竣工结算时一次性扣留质量保证金；</w:t>
      </w:r>
    </w:p>
    <w:p w14:paraId="6C102548">
      <w:pPr>
        <w:pStyle w:val="79"/>
        <w:spacing w:line="400" w:lineRule="exact"/>
        <w:rPr>
          <w:rFonts w:hint="eastAsia" w:cs="宋体"/>
          <w:color w:val="auto"/>
          <w:sz w:val="21"/>
          <w:highlight w:val="none"/>
        </w:rPr>
      </w:pPr>
      <w:r>
        <w:rPr>
          <w:rFonts w:hint="eastAsia" w:cs="宋体"/>
          <w:color w:val="auto"/>
          <w:sz w:val="21"/>
          <w:highlight w:val="none"/>
        </w:rPr>
        <w:t>（3）其他扣留方式：</w:t>
      </w:r>
      <w:r>
        <w:rPr>
          <w:rFonts w:hint="eastAsia" w:cs="宋体"/>
          <w:color w:val="auto"/>
          <w:sz w:val="21"/>
          <w:highlight w:val="none"/>
          <w:u w:val="single"/>
        </w:rPr>
        <w:t xml:space="preserve">   无         </w:t>
      </w:r>
      <w:r>
        <w:rPr>
          <w:rFonts w:hint="eastAsia" w:cs="宋体"/>
          <w:color w:val="auto"/>
          <w:sz w:val="21"/>
          <w:highlight w:val="none"/>
        </w:rPr>
        <w:t>。</w:t>
      </w:r>
    </w:p>
    <w:p w14:paraId="4273318B">
      <w:pPr>
        <w:pStyle w:val="79"/>
        <w:spacing w:line="400" w:lineRule="exact"/>
        <w:rPr>
          <w:rFonts w:hint="eastAsia" w:cs="宋体"/>
          <w:color w:val="auto"/>
          <w:sz w:val="21"/>
          <w:highlight w:val="none"/>
          <w:u w:val="single"/>
        </w:rPr>
      </w:pPr>
      <w:r>
        <w:rPr>
          <w:rFonts w:hint="eastAsia" w:cs="宋体"/>
          <w:color w:val="auto"/>
          <w:sz w:val="21"/>
          <w:highlight w:val="none"/>
        </w:rPr>
        <w:t>关于质量保证金的补充约定：</w:t>
      </w:r>
      <w:r>
        <w:rPr>
          <w:rFonts w:hint="eastAsia" w:cs="宋体"/>
          <w:color w:val="auto"/>
          <w:sz w:val="21"/>
          <w:highlight w:val="none"/>
          <w:u w:val="single"/>
        </w:rPr>
        <w:t>质量保证金分一次返还承包人</w:t>
      </w:r>
      <w:r>
        <w:rPr>
          <w:rFonts w:hint="eastAsia" w:cs="宋体"/>
          <w:color w:val="auto"/>
          <w:sz w:val="21"/>
          <w:highlight w:val="none"/>
          <w:u w:val="single"/>
          <w:lang w:eastAsia="zh-CN"/>
        </w:rPr>
        <w:t>：</w:t>
      </w:r>
      <w:r>
        <w:rPr>
          <w:rFonts w:hint="eastAsia" w:cs="宋体"/>
          <w:color w:val="auto"/>
          <w:sz w:val="21"/>
          <w:highlight w:val="none"/>
          <w:u w:val="single"/>
        </w:rPr>
        <w:t>发包人在缺限责任期满（2年）满两年后承包人提出申请14天内将保修金返回给承包人（无息）。质量保证金的返还，并不能免除承包人按照合同约定应承担的质量保修责任和应履行的质量保修义务。</w:t>
      </w:r>
    </w:p>
    <w:bookmarkEnd w:id="1414"/>
    <w:bookmarkEnd w:id="1415"/>
    <w:p w14:paraId="58407B09">
      <w:pPr>
        <w:pStyle w:val="321"/>
        <w:spacing w:line="400" w:lineRule="exact"/>
        <w:rPr>
          <w:rFonts w:hint="eastAsia" w:ascii="宋体" w:cs="宋体"/>
          <w:color w:val="auto"/>
          <w:highlight w:val="none"/>
        </w:rPr>
      </w:pPr>
      <w:bookmarkStart w:id="1447" w:name="_Toc478389261"/>
      <w:bookmarkStart w:id="1448" w:name="_Toc417904350"/>
      <w:r>
        <w:rPr>
          <w:rFonts w:hint="eastAsia" w:ascii="宋体" w:cs="宋体"/>
          <w:color w:val="auto"/>
          <w:highlight w:val="none"/>
        </w:rPr>
        <w:t>15.4保修</w:t>
      </w:r>
      <w:bookmarkEnd w:id="1447"/>
      <w:bookmarkEnd w:id="1448"/>
    </w:p>
    <w:bookmarkEnd w:id="1416"/>
    <w:p w14:paraId="3CBCE46F">
      <w:pPr>
        <w:pStyle w:val="79"/>
        <w:spacing w:line="400" w:lineRule="exact"/>
        <w:rPr>
          <w:rFonts w:hint="eastAsia" w:cs="宋体"/>
          <w:color w:val="auto"/>
          <w:sz w:val="21"/>
          <w:highlight w:val="none"/>
        </w:rPr>
      </w:pPr>
      <w:r>
        <w:rPr>
          <w:rFonts w:hint="eastAsia" w:cs="宋体"/>
          <w:color w:val="auto"/>
          <w:sz w:val="21"/>
          <w:highlight w:val="none"/>
        </w:rPr>
        <w:t>15.4.1 保修责任</w:t>
      </w:r>
    </w:p>
    <w:p w14:paraId="359439D6">
      <w:pPr>
        <w:pStyle w:val="79"/>
        <w:spacing w:line="400" w:lineRule="exact"/>
        <w:rPr>
          <w:rFonts w:hint="eastAsia" w:cs="宋体"/>
          <w:color w:val="auto"/>
          <w:sz w:val="21"/>
          <w:highlight w:val="none"/>
          <w:u w:val="single"/>
        </w:rPr>
      </w:pPr>
      <w:r>
        <w:rPr>
          <w:rFonts w:hint="eastAsia" w:cs="宋体"/>
          <w:color w:val="auto"/>
          <w:sz w:val="21"/>
          <w:highlight w:val="none"/>
        </w:rPr>
        <w:t>工程保修期为：</w:t>
      </w:r>
      <w:r>
        <w:rPr>
          <w:rFonts w:hint="eastAsia" w:cs="宋体"/>
          <w:color w:val="auto"/>
          <w:sz w:val="21"/>
          <w:highlight w:val="none"/>
          <w:u w:val="single"/>
        </w:rPr>
        <w:t>根据《建设工程质量管理条例》及有关规定，约定本工程的保修期详见《工程质量保修书》。</w:t>
      </w:r>
    </w:p>
    <w:p w14:paraId="127B9379">
      <w:pPr>
        <w:pStyle w:val="79"/>
        <w:spacing w:line="400" w:lineRule="exact"/>
        <w:rPr>
          <w:rFonts w:hint="eastAsia" w:cs="宋体"/>
          <w:color w:val="auto"/>
          <w:sz w:val="21"/>
          <w:highlight w:val="none"/>
        </w:rPr>
      </w:pPr>
      <w:r>
        <w:rPr>
          <w:rFonts w:hint="eastAsia" w:cs="宋体"/>
          <w:color w:val="auto"/>
          <w:sz w:val="21"/>
          <w:highlight w:val="none"/>
        </w:rPr>
        <w:t>15.4.3 修复通知</w:t>
      </w:r>
    </w:p>
    <w:p w14:paraId="29D53C6F">
      <w:pPr>
        <w:pStyle w:val="79"/>
        <w:spacing w:line="400" w:lineRule="exact"/>
        <w:rPr>
          <w:rFonts w:hint="eastAsia" w:cs="宋体"/>
          <w:color w:val="auto"/>
          <w:sz w:val="21"/>
          <w:highlight w:val="none"/>
        </w:rPr>
      </w:pPr>
      <w:r>
        <w:rPr>
          <w:rFonts w:hint="eastAsia" w:cs="宋体"/>
          <w:color w:val="auto"/>
          <w:sz w:val="21"/>
          <w:highlight w:val="none"/>
        </w:rPr>
        <w:t>承包人收到保修通知并到达工程现场的合理时间：</w:t>
      </w:r>
      <w:r>
        <w:rPr>
          <w:rFonts w:hint="eastAsia" w:cs="宋体"/>
          <w:color w:val="auto"/>
          <w:sz w:val="21"/>
          <w:highlight w:val="none"/>
          <w:u w:val="single"/>
        </w:rPr>
        <w:t>1、属于保修范围、内容的项目，在保修期内，发包人在使用过程中，发现已接收的工程存在缺陷或损坏的，承包人应当在接到保修通知之</w:t>
      </w:r>
      <w:r>
        <w:rPr>
          <w:rFonts w:hint="eastAsia" w:cs="宋体"/>
          <w:color w:val="auto"/>
          <w:sz w:val="21"/>
          <w:highlight w:val="none"/>
          <w:u w:val="single"/>
          <w:lang w:eastAsia="zh-CN"/>
        </w:rPr>
        <w:t>时</w:t>
      </w:r>
      <w:r>
        <w:rPr>
          <w:rFonts w:hint="eastAsia" w:cs="宋体"/>
          <w:color w:val="auto"/>
          <w:sz w:val="21"/>
          <w:highlight w:val="none"/>
          <w:u w:val="single"/>
        </w:rPr>
        <w:t>起</w:t>
      </w:r>
      <w:r>
        <w:rPr>
          <w:rFonts w:hint="eastAsia" w:cs="宋体"/>
          <w:color w:val="auto"/>
          <w:sz w:val="21"/>
          <w:highlight w:val="none"/>
          <w:u w:val="single"/>
          <w:lang w:val="en-US" w:eastAsia="zh-CN"/>
        </w:rPr>
        <w:t>24小时</w:t>
      </w:r>
      <w:r>
        <w:rPr>
          <w:rFonts w:hint="eastAsia" w:cs="宋体"/>
          <w:color w:val="auto"/>
          <w:sz w:val="21"/>
          <w:highlight w:val="none"/>
          <w:u w:val="single"/>
        </w:rPr>
        <w:t>内到达工程现场并修复缺陷或损坏</w:t>
      </w:r>
      <w:r>
        <w:rPr>
          <w:rFonts w:hint="eastAsia" w:cs="宋体"/>
          <w:color w:val="auto"/>
          <w:sz w:val="21"/>
          <w:highlight w:val="none"/>
          <w:u w:val="single"/>
          <w:lang w:eastAsia="zh-CN"/>
        </w:rPr>
        <w:t>的工程（如承包人在响应文件中承诺时间＜</w:t>
      </w:r>
      <w:r>
        <w:rPr>
          <w:rFonts w:hint="eastAsia" w:cs="宋体"/>
          <w:color w:val="auto"/>
          <w:sz w:val="21"/>
          <w:highlight w:val="none"/>
          <w:u w:val="single"/>
          <w:lang w:val="en-US" w:eastAsia="zh-CN"/>
        </w:rPr>
        <w:t>24小时的，以响应文件承诺的时间为准</w:t>
      </w:r>
      <w:r>
        <w:rPr>
          <w:rFonts w:hint="eastAsia" w:cs="宋体"/>
          <w:color w:val="auto"/>
          <w:sz w:val="21"/>
          <w:highlight w:val="none"/>
          <w:u w:val="single"/>
          <w:lang w:eastAsia="zh-CN"/>
        </w:rPr>
        <w:t>）</w:t>
      </w:r>
      <w:r>
        <w:rPr>
          <w:rFonts w:hint="eastAsia" w:cs="宋体"/>
          <w:color w:val="auto"/>
          <w:sz w:val="21"/>
          <w:highlight w:val="none"/>
          <w:u w:val="single"/>
        </w:rPr>
        <w:t>。承包人不在约定期限内派人保修的，发包人可以委托他人修理。2、发生紧急抢修事故的，承包人在接到事故通知后，应当立即到达事故现场抢修。3、对于涉及结构安全的质量问题，应当按照《建设工程质量管理条例》的规定，立即向当地建设行政主管部门报告，采取安全防范措施；由原设计单位或者具有相应资质等级的设计单位提出保修方案，承包人实施保修。4、质量保修完成后，由发包人组织验收。5、保修费用由造成质量缺陷的责任方承担。</w:t>
      </w:r>
    </w:p>
    <w:bookmarkEnd w:id="1417"/>
    <w:bookmarkEnd w:id="1418"/>
    <w:bookmarkEnd w:id="1419"/>
    <w:bookmarkEnd w:id="1420"/>
    <w:p w14:paraId="747C3FFE">
      <w:pPr>
        <w:pStyle w:val="321"/>
        <w:spacing w:line="400" w:lineRule="exact"/>
        <w:rPr>
          <w:rFonts w:hint="eastAsia" w:ascii="宋体" w:cs="宋体"/>
          <w:color w:val="auto"/>
          <w:highlight w:val="none"/>
        </w:rPr>
      </w:pPr>
      <w:bookmarkStart w:id="1449" w:name="_Toc478389262"/>
      <w:bookmarkStart w:id="1450" w:name="_Toc417904351"/>
      <w:bookmarkStart w:id="1451" w:name="_Toc351203648"/>
      <w:bookmarkStart w:id="1452" w:name="_Toc280868717"/>
      <w:bookmarkStart w:id="1453" w:name="_Toc280868718"/>
      <w:r>
        <w:rPr>
          <w:rFonts w:hint="eastAsia" w:ascii="宋体" w:cs="宋体"/>
          <w:color w:val="auto"/>
          <w:highlight w:val="none"/>
        </w:rPr>
        <w:t>16. 违约</w:t>
      </w:r>
      <w:bookmarkEnd w:id="1449"/>
      <w:bookmarkEnd w:id="1450"/>
      <w:bookmarkEnd w:id="1451"/>
    </w:p>
    <w:p w14:paraId="5DAFF306">
      <w:pPr>
        <w:pStyle w:val="321"/>
        <w:spacing w:line="400" w:lineRule="exact"/>
        <w:rPr>
          <w:rFonts w:hint="eastAsia" w:ascii="宋体" w:cs="宋体"/>
          <w:color w:val="auto"/>
          <w:highlight w:val="none"/>
        </w:rPr>
      </w:pPr>
      <w:bookmarkStart w:id="1454" w:name="_Toc417904352"/>
      <w:bookmarkStart w:id="1455" w:name="_Toc478389263"/>
      <w:r>
        <w:rPr>
          <w:rFonts w:hint="eastAsia" w:ascii="宋体" w:cs="宋体"/>
          <w:color w:val="auto"/>
          <w:highlight w:val="none"/>
        </w:rPr>
        <w:t>16.1 发包人违约</w:t>
      </w:r>
      <w:bookmarkEnd w:id="1454"/>
      <w:bookmarkEnd w:id="1455"/>
    </w:p>
    <w:p w14:paraId="420B21D8">
      <w:pPr>
        <w:pStyle w:val="79"/>
        <w:spacing w:line="400" w:lineRule="exact"/>
        <w:rPr>
          <w:rFonts w:hint="eastAsia" w:cs="宋体"/>
          <w:color w:val="auto"/>
          <w:sz w:val="21"/>
          <w:highlight w:val="none"/>
        </w:rPr>
      </w:pPr>
      <w:r>
        <w:rPr>
          <w:rFonts w:hint="eastAsia" w:cs="宋体"/>
          <w:color w:val="auto"/>
          <w:sz w:val="21"/>
          <w:highlight w:val="none"/>
        </w:rPr>
        <w:t>16.1.1发包人违约的情形</w:t>
      </w:r>
    </w:p>
    <w:p w14:paraId="401E2E31">
      <w:pPr>
        <w:pStyle w:val="79"/>
        <w:spacing w:line="360" w:lineRule="exact"/>
        <w:rPr>
          <w:rFonts w:hint="eastAsia" w:cs="宋体"/>
          <w:color w:val="auto"/>
          <w:sz w:val="21"/>
          <w:highlight w:val="none"/>
        </w:rPr>
      </w:pPr>
      <w:r>
        <w:rPr>
          <w:rFonts w:hint="eastAsia" w:cs="宋体"/>
          <w:color w:val="auto"/>
          <w:sz w:val="21"/>
          <w:highlight w:val="none"/>
        </w:rPr>
        <w:t>发包人违约的其他情形：</w:t>
      </w:r>
      <w:r>
        <w:rPr>
          <w:rFonts w:hint="eastAsia" w:cs="宋体"/>
          <w:color w:val="auto"/>
          <w:sz w:val="21"/>
          <w:highlight w:val="none"/>
          <w:u w:val="single"/>
        </w:rPr>
        <w:t>无</w:t>
      </w:r>
      <w:r>
        <w:rPr>
          <w:rFonts w:hint="eastAsia" w:cs="宋体"/>
          <w:color w:val="auto"/>
          <w:sz w:val="21"/>
          <w:highlight w:val="none"/>
        </w:rPr>
        <w:t>。</w:t>
      </w:r>
    </w:p>
    <w:p w14:paraId="60DED5A8">
      <w:pPr>
        <w:pStyle w:val="79"/>
        <w:spacing w:line="360" w:lineRule="exact"/>
        <w:outlineLvl w:val="0"/>
        <w:rPr>
          <w:rFonts w:hint="eastAsia" w:cs="宋体"/>
          <w:color w:val="auto"/>
          <w:sz w:val="21"/>
          <w:highlight w:val="none"/>
        </w:rPr>
      </w:pPr>
      <w:bookmarkStart w:id="1456" w:name="_Toc406522298"/>
      <w:bookmarkStart w:id="1457" w:name="_Toc406419422"/>
      <w:bookmarkStart w:id="1458" w:name="_Toc417904353"/>
      <w:bookmarkStart w:id="1459" w:name="_Toc478389264"/>
      <w:r>
        <w:rPr>
          <w:rFonts w:hint="eastAsia" w:cs="宋体"/>
          <w:color w:val="auto"/>
          <w:sz w:val="21"/>
          <w:highlight w:val="none"/>
        </w:rPr>
        <w:t>16.1.2 发包人违约的责任</w:t>
      </w:r>
      <w:bookmarkEnd w:id="1456"/>
      <w:bookmarkEnd w:id="1457"/>
      <w:bookmarkEnd w:id="1458"/>
      <w:bookmarkEnd w:id="1459"/>
    </w:p>
    <w:p w14:paraId="5FB76F49">
      <w:pPr>
        <w:pStyle w:val="79"/>
        <w:spacing w:line="360" w:lineRule="exact"/>
        <w:rPr>
          <w:rFonts w:hint="eastAsia" w:cs="宋体"/>
          <w:color w:val="auto"/>
          <w:sz w:val="21"/>
          <w:highlight w:val="none"/>
        </w:rPr>
      </w:pPr>
      <w:r>
        <w:rPr>
          <w:rFonts w:hint="eastAsia" w:cs="宋体"/>
          <w:color w:val="auto"/>
          <w:sz w:val="21"/>
          <w:highlight w:val="none"/>
        </w:rPr>
        <w:t>发包人违约责任的承担方式和计算方法：</w:t>
      </w:r>
    </w:p>
    <w:p w14:paraId="1B353AE2">
      <w:pPr>
        <w:pStyle w:val="79"/>
        <w:spacing w:line="360" w:lineRule="exact"/>
        <w:rPr>
          <w:rFonts w:hint="eastAsia" w:cs="宋体"/>
          <w:color w:val="auto"/>
          <w:sz w:val="21"/>
          <w:highlight w:val="none"/>
          <w:u w:val="single"/>
        </w:rPr>
      </w:pPr>
      <w:r>
        <w:rPr>
          <w:rFonts w:hint="eastAsia" w:cs="宋体"/>
          <w:color w:val="auto"/>
          <w:sz w:val="21"/>
          <w:highlight w:val="none"/>
        </w:rPr>
        <w:t>（1）因发包人原因未能在计划开工日期前7天内下达开工通知的违约责任：</w:t>
      </w:r>
      <w:r>
        <w:rPr>
          <w:rFonts w:hint="eastAsia" w:cs="宋体"/>
          <w:color w:val="auto"/>
          <w:sz w:val="21"/>
          <w:highlight w:val="none"/>
          <w:u w:val="single"/>
        </w:rPr>
        <w:t>无</w:t>
      </w:r>
      <w:r>
        <w:rPr>
          <w:rFonts w:hint="eastAsia" w:cs="宋体"/>
          <w:color w:val="auto"/>
          <w:sz w:val="21"/>
          <w:highlight w:val="none"/>
        </w:rPr>
        <w:t>。</w:t>
      </w:r>
    </w:p>
    <w:p w14:paraId="6420B123">
      <w:pPr>
        <w:pStyle w:val="79"/>
        <w:spacing w:line="360" w:lineRule="exact"/>
        <w:rPr>
          <w:rFonts w:hint="eastAsia" w:cs="宋体"/>
          <w:color w:val="auto"/>
          <w:sz w:val="21"/>
          <w:highlight w:val="none"/>
        </w:rPr>
      </w:pPr>
      <w:r>
        <w:rPr>
          <w:rFonts w:hint="eastAsia" w:cs="宋体"/>
          <w:color w:val="auto"/>
          <w:sz w:val="21"/>
          <w:highlight w:val="none"/>
        </w:rPr>
        <w:t>（2）因发包人原因未能按合同约定支付合同价款的违约责任：</w:t>
      </w:r>
      <w:r>
        <w:rPr>
          <w:rFonts w:hint="eastAsia" w:cs="宋体"/>
          <w:color w:val="auto"/>
          <w:sz w:val="21"/>
          <w:highlight w:val="none"/>
          <w:u w:val="single"/>
        </w:rPr>
        <w:t>无</w:t>
      </w:r>
      <w:r>
        <w:rPr>
          <w:rFonts w:hint="eastAsia" w:cs="宋体"/>
          <w:color w:val="auto"/>
          <w:sz w:val="21"/>
          <w:highlight w:val="none"/>
        </w:rPr>
        <w:t>。</w:t>
      </w:r>
    </w:p>
    <w:p w14:paraId="55387F07">
      <w:pPr>
        <w:pStyle w:val="79"/>
        <w:spacing w:line="360" w:lineRule="exact"/>
        <w:rPr>
          <w:rFonts w:hint="eastAsia" w:cs="宋体"/>
          <w:color w:val="auto"/>
          <w:sz w:val="21"/>
          <w:highlight w:val="none"/>
        </w:rPr>
      </w:pPr>
      <w:r>
        <w:rPr>
          <w:rFonts w:hint="eastAsia" w:cs="宋体"/>
          <w:color w:val="auto"/>
          <w:sz w:val="21"/>
          <w:highlight w:val="none"/>
        </w:rPr>
        <w:t>（3）发包人违反第10.1款〔变更的范围〕第（2）项约定，自行实施被取消的工作或转由他人实施的违约责任：</w:t>
      </w:r>
      <w:r>
        <w:rPr>
          <w:rFonts w:hint="eastAsia" w:cs="宋体"/>
          <w:color w:val="auto"/>
          <w:sz w:val="21"/>
          <w:highlight w:val="none"/>
          <w:u w:val="single"/>
        </w:rPr>
        <w:t>无</w:t>
      </w:r>
      <w:r>
        <w:rPr>
          <w:rFonts w:hint="eastAsia" w:cs="宋体"/>
          <w:color w:val="auto"/>
          <w:sz w:val="21"/>
          <w:highlight w:val="none"/>
        </w:rPr>
        <w:t>。</w:t>
      </w:r>
    </w:p>
    <w:p w14:paraId="736E1E49">
      <w:pPr>
        <w:pStyle w:val="79"/>
        <w:spacing w:line="360" w:lineRule="exact"/>
        <w:rPr>
          <w:rFonts w:hint="eastAsia" w:cs="宋体"/>
          <w:color w:val="auto"/>
          <w:sz w:val="21"/>
          <w:highlight w:val="none"/>
        </w:rPr>
      </w:pPr>
      <w:r>
        <w:rPr>
          <w:rFonts w:hint="eastAsia" w:cs="宋体"/>
          <w:color w:val="auto"/>
          <w:sz w:val="21"/>
          <w:highlight w:val="none"/>
        </w:rPr>
        <w:t>（4）发包人提供的材料、工程设备的规格、数量或质量不符合合同约定，或因发包人原因导致交货日期延误或交货地点变更等情况的违约责任：</w:t>
      </w:r>
      <w:r>
        <w:rPr>
          <w:rFonts w:hint="eastAsia" w:cs="宋体"/>
          <w:color w:val="auto"/>
          <w:sz w:val="21"/>
          <w:highlight w:val="none"/>
          <w:u w:val="single"/>
        </w:rPr>
        <w:t>无</w:t>
      </w:r>
      <w:r>
        <w:rPr>
          <w:rFonts w:hint="eastAsia" w:cs="宋体"/>
          <w:color w:val="auto"/>
          <w:sz w:val="21"/>
          <w:highlight w:val="none"/>
        </w:rPr>
        <w:t>。</w:t>
      </w:r>
    </w:p>
    <w:p w14:paraId="628CC231">
      <w:pPr>
        <w:pStyle w:val="79"/>
        <w:spacing w:line="360" w:lineRule="exact"/>
        <w:rPr>
          <w:rFonts w:hint="eastAsia" w:cs="宋体"/>
          <w:color w:val="auto"/>
          <w:sz w:val="21"/>
          <w:highlight w:val="none"/>
        </w:rPr>
      </w:pPr>
      <w:r>
        <w:rPr>
          <w:rFonts w:hint="eastAsia" w:cs="宋体"/>
          <w:color w:val="auto"/>
          <w:sz w:val="21"/>
          <w:highlight w:val="none"/>
        </w:rPr>
        <w:t>（5）因发包人违反合同约定造成暂停施工的违约责任：</w:t>
      </w:r>
      <w:r>
        <w:rPr>
          <w:rFonts w:hint="eastAsia" w:cs="宋体"/>
          <w:color w:val="auto"/>
          <w:sz w:val="21"/>
          <w:highlight w:val="none"/>
          <w:u w:val="single"/>
        </w:rPr>
        <w:t>无</w:t>
      </w:r>
      <w:r>
        <w:rPr>
          <w:rFonts w:hint="eastAsia" w:cs="宋体"/>
          <w:color w:val="auto"/>
          <w:sz w:val="21"/>
          <w:highlight w:val="none"/>
        </w:rPr>
        <w:t>。</w:t>
      </w:r>
    </w:p>
    <w:p w14:paraId="4D02AC63">
      <w:pPr>
        <w:pStyle w:val="79"/>
        <w:spacing w:line="360" w:lineRule="exact"/>
        <w:rPr>
          <w:rFonts w:hint="eastAsia" w:cs="宋体"/>
          <w:color w:val="auto"/>
          <w:sz w:val="21"/>
          <w:highlight w:val="none"/>
        </w:rPr>
      </w:pPr>
      <w:r>
        <w:rPr>
          <w:rFonts w:hint="eastAsia" w:cs="宋体"/>
          <w:color w:val="auto"/>
          <w:sz w:val="21"/>
          <w:highlight w:val="none"/>
        </w:rPr>
        <w:t>（6）发包人无正当理由没有在约定期限内发出复工指示，导致承包人无法复工的违约责任：</w:t>
      </w:r>
      <w:r>
        <w:rPr>
          <w:rFonts w:hint="eastAsia" w:cs="宋体"/>
          <w:color w:val="auto"/>
          <w:sz w:val="21"/>
          <w:highlight w:val="none"/>
          <w:u w:val="single"/>
        </w:rPr>
        <w:t>无</w:t>
      </w:r>
      <w:r>
        <w:rPr>
          <w:rFonts w:hint="eastAsia" w:cs="宋体"/>
          <w:color w:val="auto"/>
          <w:sz w:val="21"/>
          <w:highlight w:val="none"/>
        </w:rPr>
        <w:t>。</w:t>
      </w:r>
    </w:p>
    <w:p w14:paraId="7A9C42F4">
      <w:pPr>
        <w:pStyle w:val="79"/>
        <w:spacing w:line="360" w:lineRule="exact"/>
        <w:rPr>
          <w:rFonts w:hint="eastAsia" w:cs="宋体"/>
          <w:color w:val="auto"/>
          <w:sz w:val="21"/>
          <w:highlight w:val="none"/>
        </w:rPr>
      </w:pPr>
      <w:r>
        <w:rPr>
          <w:rFonts w:hint="eastAsia" w:cs="宋体"/>
          <w:color w:val="auto"/>
          <w:sz w:val="21"/>
          <w:highlight w:val="none"/>
        </w:rPr>
        <w:t>（7）其他：</w:t>
      </w:r>
      <w:r>
        <w:rPr>
          <w:rFonts w:hint="eastAsia" w:cs="宋体"/>
          <w:color w:val="auto"/>
          <w:sz w:val="21"/>
          <w:highlight w:val="none"/>
          <w:u w:val="single"/>
        </w:rPr>
        <w:t>无</w:t>
      </w:r>
      <w:r>
        <w:rPr>
          <w:rFonts w:hint="eastAsia" w:cs="宋体"/>
          <w:color w:val="auto"/>
          <w:sz w:val="21"/>
          <w:highlight w:val="none"/>
        </w:rPr>
        <w:t>。</w:t>
      </w:r>
    </w:p>
    <w:p w14:paraId="57C1878C">
      <w:pPr>
        <w:pStyle w:val="79"/>
        <w:spacing w:line="360" w:lineRule="exact"/>
        <w:rPr>
          <w:rFonts w:hint="eastAsia" w:cs="宋体"/>
          <w:color w:val="auto"/>
          <w:sz w:val="21"/>
          <w:highlight w:val="none"/>
        </w:rPr>
      </w:pPr>
      <w:r>
        <w:rPr>
          <w:rFonts w:hint="eastAsia" w:cs="宋体"/>
          <w:color w:val="auto"/>
          <w:sz w:val="21"/>
          <w:highlight w:val="none"/>
        </w:rPr>
        <w:t>16.1.3 因发包人违约解除合同</w:t>
      </w:r>
    </w:p>
    <w:p w14:paraId="3679D7E8">
      <w:pPr>
        <w:pStyle w:val="79"/>
        <w:spacing w:line="360" w:lineRule="exact"/>
        <w:rPr>
          <w:rFonts w:hint="eastAsia" w:cs="宋体"/>
          <w:color w:val="auto"/>
          <w:sz w:val="21"/>
          <w:highlight w:val="none"/>
        </w:rPr>
      </w:pPr>
      <w:r>
        <w:rPr>
          <w:rFonts w:hint="eastAsia" w:cs="宋体"/>
          <w:color w:val="auto"/>
          <w:sz w:val="21"/>
          <w:highlight w:val="none"/>
        </w:rPr>
        <w:t>承包人按16.1.1项〔发包人违约的情形〕约定暂停施工满180天后发包人仍不纠正其违约行为并致使合同目的不能实现的，承包人有权解除合同。</w:t>
      </w:r>
    </w:p>
    <w:p w14:paraId="7B5CB525">
      <w:pPr>
        <w:pStyle w:val="321"/>
        <w:spacing w:line="400" w:lineRule="exact"/>
        <w:rPr>
          <w:rFonts w:hint="eastAsia" w:ascii="宋体" w:cs="宋体"/>
          <w:color w:val="auto"/>
          <w:highlight w:val="none"/>
        </w:rPr>
      </w:pPr>
      <w:bookmarkStart w:id="1460" w:name="_Toc417904354"/>
      <w:bookmarkStart w:id="1461" w:name="_Toc478389265"/>
      <w:r>
        <w:rPr>
          <w:rFonts w:hint="eastAsia" w:ascii="宋体" w:cs="宋体"/>
          <w:color w:val="auto"/>
          <w:highlight w:val="none"/>
        </w:rPr>
        <w:t>16.2 承包人违约</w:t>
      </w:r>
      <w:bookmarkEnd w:id="1460"/>
      <w:bookmarkEnd w:id="1461"/>
    </w:p>
    <w:p w14:paraId="2E9E52CA">
      <w:pPr>
        <w:pStyle w:val="79"/>
        <w:spacing w:line="400" w:lineRule="exact"/>
        <w:rPr>
          <w:rFonts w:hint="eastAsia" w:cs="宋体"/>
          <w:color w:val="auto"/>
          <w:sz w:val="21"/>
          <w:highlight w:val="none"/>
        </w:rPr>
      </w:pPr>
      <w:r>
        <w:rPr>
          <w:rFonts w:hint="eastAsia" w:cs="宋体"/>
          <w:color w:val="auto"/>
          <w:sz w:val="21"/>
          <w:highlight w:val="none"/>
        </w:rPr>
        <w:t>16.2.1 承包人违约的情形</w:t>
      </w:r>
    </w:p>
    <w:p w14:paraId="0ADADD16">
      <w:pPr>
        <w:spacing w:line="400" w:lineRule="exact"/>
        <w:ind w:firstLine="420" w:firstLineChars="200"/>
        <w:jc w:val="left"/>
        <w:rPr>
          <w:rFonts w:hint="eastAsia" w:ascii="宋体" w:hAnsi="宋体" w:cs="宋体"/>
          <w:color w:val="auto"/>
          <w:szCs w:val="21"/>
          <w:highlight w:val="none"/>
          <w:u w:val="single"/>
        </w:rPr>
      </w:pPr>
      <w:r>
        <w:rPr>
          <w:rFonts w:hint="eastAsia" w:cs="宋体"/>
          <w:color w:val="auto"/>
          <w:highlight w:val="none"/>
        </w:rPr>
        <w:t>承包人违约的其他情形：</w:t>
      </w:r>
      <w:r>
        <w:rPr>
          <w:rFonts w:hint="eastAsia" w:cs="宋体"/>
          <w:color w:val="auto"/>
          <w:highlight w:val="none"/>
          <w:u w:val="single"/>
        </w:rPr>
        <w:t>若承包人因施工工期延长导致合同终止的，承包人未在合同终止之日起10个工作日内进行清场，并将工程施工现场恢复至原未施工的状态</w:t>
      </w:r>
      <w:r>
        <w:rPr>
          <w:rFonts w:hint="eastAsia" w:cs="宋体"/>
          <w:color w:val="auto"/>
          <w:highlight w:val="none"/>
          <w:u w:val="single"/>
          <w:lang w:eastAsia="zh-CN"/>
        </w:rPr>
        <w:t>的</w:t>
      </w:r>
      <w:r>
        <w:rPr>
          <w:rFonts w:hint="eastAsia" w:ascii="宋体" w:hAnsi="宋体" w:cs="宋体"/>
          <w:color w:val="auto"/>
          <w:szCs w:val="21"/>
          <w:highlight w:val="none"/>
          <w:u w:val="single"/>
        </w:rPr>
        <w:t xml:space="preserve">。 </w:t>
      </w:r>
    </w:p>
    <w:p w14:paraId="09605655">
      <w:pPr>
        <w:pStyle w:val="79"/>
        <w:spacing w:line="400" w:lineRule="exact"/>
        <w:rPr>
          <w:rFonts w:hint="eastAsia" w:cs="宋体"/>
          <w:color w:val="auto"/>
          <w:sz w:val="21"/>
          <w:highlight w:val="none"/>
        </w:rPr>
      </w:pPr>
      <w:r>
        <w:rPr>
          <w:rFonts w:hint="eastAsia" w:cs="宋体"/>
          <w:color w:val="auto"/>
          <w:sz w:val="21"/>
          <w:highlight w:val="none"/>
        </w:rPr>
        <w:t>16.2.2承包人违约的责任</w:t>
      </w:r>
    </w:p>
    <w:p w14:paraId="4FDCBD57">
      <w:pPr>
        <w:pStyle w:val="79"/>
        <w:spacing w:line="400" w:lineRule="exact"/>
        <w:rPr>
          <w:rFonts w:hint="eastAsia" w:cs="宋体"/>
          <w:color w:val="auto"/>
          <w:sz w:val="21"/>
          <w:highlight w:val="none"/>
        </w:rPr>
      </w:pPr>
      <w:r>
        <w:rPr>
          <w:rFonts w:hint="eastAsia" w:cs="宋体"/>
          <w:color w:val="auto"/>
          <w:sz w:val="21"/>
          <w:highlight w:val="none"/>
        </w:rPr>
        <w:t>承包人违约责任的承担方式和计算方法：</w:t>
      </w:r>
    </w:p>
    <w:p w14:paraId="625890DD">
      <w:pPr>
        <w:pStyle w:val="79"/>
        <w:spacing w:line="400" w:lineRule="exact"/>
        <w:rPr>
          <w:rFonts w:hint="eastAsia" w:cs="宋体"/>
          <w:color w:val="auto"/>
          <w:sz w:val="21"/>
          <w:highlight w:val="none"/>
          <w:u w:val="single"/>
        </w:rPr>
      </w:pPr>
      <w:r>
        <w:rPr>
          <w:rFonts w:hint="eastAsia" w:cs="宋体"/>
          <w:color w:val="auto"/>
          <w:sz w:val="21"/>
          <w:highlight w:val="none"/>
          <w:u w:val="single"/>
        </w:rPr>
        <w:t>（1）承包人未按本合同通用条款</w:t>
      </w:r>
      <w:r>
        <w:rPr>
          <w:rFonts w:hint="eastAsia" w:cs="宋体"/>
          <w:color w:val="auto"/>
          <w:sz w:val="21"/>
          <w:highlight w:val="none"/>
          <w:u w:val="single"/>
          <w:lang w:eastAsia="zh-CN"/>
        </w:rPr>
        <w:t>及专用条款</w:t>
      </w:r>
      <w:r>
        <w:rPr>
          <w:rFonts w:hint="eastAsia" w:cs="宋体"/>
          <w:color w:val="auto"/>
          <w:sz w:val="21"/>
          <w:highlight w:val="none"/>
          <w:u w:val="single"/>
        </w:rPr>
        <w:t>完成</w:t>
      </w:r>
      <w:r>
        <w:rPr>
          <w:rFonts w:hint="eastAsia" w:cs="宋体"/>
          <w:color w:val="auto"/>
          <w:sz w:val="21"/>
          <w:highlight w:val="none"/>
          <w:u w:val="single"/>
          <w:lang w:eastAsia="zh-CN"/>
        </w:rPr>
        <w:t>施工</w:t>
      </w:r>
      <w:r>
        <w:rPr>
          <w:rFonts w:hint="eastAsia" w:cs="宋体"/>
          <w:color w:val="auto"/>
          <w:sz w:val="21"/>
          <w:highlight w:val="none"/>
          <w:u w:val="single"/>
        </w:rPr>
        <w:t>，承包人无条件返工处理，修复至工程质量要求并承担相关费用，并在发包人规定的时间内完成返工，否则发包人有权扣罚该分项工程</w:t>
      </w:r>
      <w:r>
        <w:rPr>
          <w:rFonts w:hint="eastAsia" w:cs="宋体"/>
          <w:color w:val="auto"/>
          <w:sz w:val="21"/>
          <w:highlight w:val="none"/>
          <w:u w:val="single"/>
          <w:lang w:val="en-US" w:eastAsia="zh-CN"/>
        </w:rPr>
        <w:t>5</w:t>
      </w:r>
      <w:r>
        <w:rPr>
          <w:rFonts w:hint="eastAsia" w:cs="宋体"/>
          <w:color w:val="auto"/>
          <w:sz w:val="21"/>
          <w:highlight w:val="none"/>
          <w:u w:val="single"/>
        </w:rPr>
        <w:t>%的工程款作为处罚。</w:t>
      </w:r>
    </w:p>
    <w:p w14:paraId="7ABA5B74">
      <w:pPr>
        <w:pStyle w:val="79"/>
        <w:spacing w:line="400" w:lineRule="exact"/>
        <w:rPr>
          <w:rFonts w:hint="eastAsia" w:cs="宋体"/>
          <w:color w:val="auto"/>
          <w:sz w:val="21"/>
          <w:highlight w:val="none"/>
          <w:u w:val="single"/>
        </w:rPr>
      </w:pPr>
      <w:r>
        <w:rPr>
          <w:rFonts w:hint="eastAsia" w:cs="宋体"/>
          <w:color w:val="auto"/>
          <w:sz w:val="21"/>
          <w:highlight w:val="none"/>
          <w:u w:val="single"/>
        </w:rPr>
        <w:t>（2）承包人有本合同通用条款第16.2.1（6）条情形的，或经监理人检验认为修复质量不合格而承包人拒绝再进行修补的，承包人须向发包人支付合同金额5%</w:t>
      </w:r>
    </w:p>
    <w:p w14:paraId="5A5363EE">
      <w:pPr>
        <w:pStyle w:val="79"/>
        <w:spacing w:line="400" w:lineRule="exact"/>
        <w:rPr>
          <w:rFonts w:hint="eastAsia" w:cs="宋体"/>
          <w:color w:val="auto"/>
          <w:sz w:val="21"/>
          <w:highlight w:val="none"/>
          <w:u w:val="single"/>
        </w:rPr>
      </w:pPr>
      <w:r>
        <w:rPr>
          <w:rFonts w:hint="eastAsia" w:cs="宋体"/>
          <w:color w:val="auto"/>
          <w:sz w:val="21"/>
          <w:highlight w:val="none"/>
          <w:u w:val="single"/>
        </w:rPr>
        <w:t>（3）承包人有本专用合同条款3.2、3.3条违约责任的，发包人有权扣除承包人的违约金。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14:paraId="4C2D85CA">
      <w:pPr>
        <w:pStyle w:val="79"/>
        <w:spacing w:line="400" w:lineRule="exact"/>
        <w:rPr>
          <w:rFonts w:hint="eastAsia" w:cs="宋体"/>
          <w:color w:val="auto"/>
          <w:sz w:val="21"/>
          <w:highlight w:val="none"/>
          <w:u w:val="single"/>
        </w:rPr>
      </w:pPr>
      <w:r>
        <w:rPr>
          <w:rFonts w:hint="eastAsia" w:cs="宋体"/>
          <w:color w:val="auto"/>
          <w:sz w:val="21"/>
          <w:highlight w:val="none"/>
          <w:u w:val="single"/>
        </w:rPr>
        <w:t>因承包人责任导致工程质量达不到约定的质量标准的，承包人应无条件返工，并承担此造成的发包人损失。</w:t>
      </w:r>
    </w:p>
    <w:p w14:paraId="0972788B">
      <w:pPr>
        <w:pStyle w:val="79"/>
        <w:spacing w:line="400" w:lineRule="exact"/>
        <w:rPr>
          <w:rFonts w:hint="eastAsia" w:cs="宋体"/>
          <w:color w:val="auto"/>
          <w:sz w:val="21"/>
          <w:highlight w:val="none"/>
          <w:u w:val="single"/>
        </w:rPr>
      </w:pPr>
      <w:r>
        <w:rPr>
          <w:rFonts w:hint="eastAsia" w:cs="宋体"/>
          <w:color w:val="auto"/>
          <w:sz w:val="21"/>
          <w:highlight w:val="none"/>
          <w:u w:val="single"/>
        </w:rPr>
        <w:t>（4）承包人出现第16.2.1 条“承包人违约的其他情形”的，发包人有权终止合同，承包人须退回发包人已支付的所有工程款项，并向发包人支付合同金额</w:t>
      </w:r>
      <w:r>
        <w:rPr>
          <w:rFonts w:hint="eastAsia" w:cs="宋体"/>
          <w:color w:val="auto"/>
          <w:sz w:val="21"/>
          <w:highlight w:val="none"/>
          <w:u w:val="single"/>
          <w:lang w:val="en-US" w:eastAsia="zh-CN"/>
        </w:rPr>
        <w:t>5</w:t>
      </w:r>
      <w:r>
        <w:rPr>
          <w:rFonts w:hint="eastAsia" w:cs="宋体"/>
          <w:color w:val="auto"/>
          <w:sz w:val="21"/>
          <w:highlight w:val="none"/>
          <w:u w:val="single"/>
        </w:rPr>
        <w:t>%违约金。</w:t>
      </w:r>
    </w:p>
    <w:p w14:paraId="07871E07">
      <w:pPr>
        <w:pStyle w:val="79"/>
        <w:spacing w:line="400" w:lineRule="exact"/>
        <w:rPr>
          <w:rFonts w:hint="eastAsia" w:cs="宋体"/>
          <w:color w:val="auto"/>
          <w:sz w:val="21"/>
          <w:highlight w:val="none"/>
        </w:rPr>
      </w:pPr>
      <w:r>
        <w:rPr>
          <w:rFonts w:hint="eastAsia" w:cs="宋体"/>
          <w:color w:val="auto"/>
          <w:sz w:val="21"/>
          <w:highlight w:val="none"/>
        </w:rPr>
        <w:t>16.2.3 因承包人违约解除合同</w:t>
      </w:r>
    </w:p>
    <w:p w14:paraId="6597A87D">
      <w:pPr>
        <w:pStyle w:val="79"/>
        <w:spacing w:line="400" w:lineRule="exact"/>
        <w:rPr>
          <w:rFonts w:hint="eastAsia" w:cs="宋体"/>
          <w:color w:val="auto"/>
          <w:sz w:val="21"/>
          <w:highlight w:val="none"/>
        </w:rPr>
      </w:pPr>
      <w:r>
        <w:rPr>
          <w:rFonts w:hint="eastAsia" w:cs="宋体"/>
          <w:color w:val="auto"/>
          <w:sz w:val="21"/>
          <w:highlight w:val="none"/>
        </w:rPr>
        <w:t>关于承包人违约解除合同的特别约定：承包人有违反以下情况之一的，发包人有权解除合同。</w:t>
      </w:r>
    </w:p>
    <w:p w14:paraId="0627BB39">
      <w:pPr>
        <w:pStyle w:val="79"/>
        <w:spacing w:line="400" w:lineRule="exact"/>
        <w:rPr>
          <w:rFonts w:hint="eastAsia" w:cs="宋体"/>
          <w:color w:val="auto"/>
          <w:sz w:val="21"/>
          <w:highlight w:val="none"/>
        </w:rPr>
      </w:pPr>
      <w:r>
        <w:rPr>
          <w:rFonts w:hint="eastAsia" w:cs="宋体"/>
          <w:color w:val="auto"/>
          <w:sz w:val="21"/>
          <w:highlight w:val="none"/>
        </w:rPr>
        <w:t>（1）承包人无正当理由不按开工通知的要求及时进场组织施工和不按签订协议书时商定的进度计划有效地开展施工准备，造成工期延误的；</w:t>
      </w:r>
    </w:p>
    <w:p w14:paraId="3D463E31">
      <w:pPr>
        <w:pStyle w:val="79"/>
        <w:spacing w:line="400" w:lineRule="exact"/>
        <w:rPr>
          <w:rFonts w:hint="eastAsia" w:cs="宋体"/>
          <w:color w:val="auto"/>
          <w:sz w:val="21"/>
          <w:highlight w:val="none"/>
        </w:rPr>
      </w:pPr>
      <w:r>
        <w:rPr>
          <w:rFonts w:hint="eastAsia" w:cs="宋体"/>
          <w:color w:val="auto"/>
          <w:sz w:val="21"/>
          <w:highlight w:val="none"/>
        </w:rPr>
        <w:t>（2）承包人违反本合同通用条款第3.5条规定私自将合同或合同的任何部分或任何权利转让给其他人，或私自将工程或工程的一部分分包出去的；</w:t>
      </w:r>
    </w:p>
    <w:p w14:paraId="4ACCB864">
      <w:pPr>
        <w:pStyle w:val="79"/>
        <w:spacing w:line="400" w:lineRule="exact"/>
        <w:rPr>
          <w:rFonts w:hint="eastAsia" w:cs="宋体"/>
          <w:color w:val="auto"/>
          <w:sz w:val="21"/>
          <w:highlight w:val="none"/>
        </w:rPr>
      </w:pPr>
      <w:r>
        <w:rPr>
          <w:rFonts w:hint="eastAsia" w:cs="宋体"/>
          <w:color w:val="auto"/>
          <w:sz w:val="21"/>
          <w:highlight w:val="none"/>
        </w:rPr>
        <w:t>（3）未经监理人批准，承包人私自将已按投标文件承诺进入工地的工程设备、施工设备、临时工程或材料撤离工地的；</w:t>
      </w:r>
    </w:p>
    <w:p w14:paraId="2ACA9EF5">
      <w:pPr>
        <w:pStyle w:val="79"/>
        <w:spacing w:line="400" w:lineRule="exact"/>
        <w:rPr>
          <w:rFonts w:hint="eastAsia" w:cs="宋体"/>
          <w:color w:val="auto"/>
          <w:sz w:val="21"/>
          <w:highlight w:val="none"/>
        </w:rPr>
      </w:pPr>
      <w:r>
        <w:rPr>
          <w:rFonts w:hint="eastAsia" w:cs="宋体"/>
          <w:color w:val="auto"/>
          <w:sz w:val="21"/>
          <w:highlight w:val="none"/>
        </w:rPr>
        <w:t>（4）由于承包人原因拒绝按合同进度计划及时完成合同规定的工程，而又未采取有效措施赶上进度，造成工期延误的；</w:t>
      </w:r>
    </w:p>
    <w:p w14:paraId="3A40F38C">
      <w:pPr>
        <w:pStyle w:val="79"/>
        <w:spacing w:line="400" w:lineRule="exact"/>
        <w:rPr>
          <w:rFonts w:hint="eastAsia" w:cs="宋体"/>
          <w:color w:val="auto"/>
          <w:sz w:val="21"/>
          <w:highlight w:val="none"/>
        </w:rPr>
      </w:pPr>
      <w:r>
        <w:rPr>
          <w:rFonts w:hint="eastAsia" w:cs="宋体"/>
          <w:color w:val="auto"/>
          <w:sz w:val="21"/>
          <w:highlight w:val="none"/>
        </w:rPr>
        <w:t>（5）承包人否认合同有效或拒绝履行合同规定的承包人义务，或由于法律、财务等原因导致承包人无法继续履行或实质上已停止履行合同的义务的；</w:t>
      </w:r>
    </w:p>
    <w:p w14:paraId="68CC13D4">
      <w:pPr>
        <w:pStyle w:val="79"/>
        <w:spacing w:line="400" w:lineRule="exact"/>
        <w:rPr>
          <w:rFonts w:hint="eastAsia" w:cs="宋体"/>
          <w:color w:val="auto"/>
          <w:sz w:val="21"/>
          <w:highlight w:val="none"/>
        </w:rPr>
      </w:pPr>
      <w:r>
        <w:rPr>
          <w:rFonts w:hint="eastAsia" w:cs="宋体"/>
          <w:color w:val="auto"/>
          <w:sz w:val="21"/>
          <w:highlight w:val="none"/>
        </w:rPr>
        <w:t>（6）合同签订之日起十五日内，承包人无法按合同规定及投标文件的承诺进场经监理工程师认可的全部人员和机械的。</w:t>
      </w:r>
    </w:p>
    <w:p w14:paraId="7821A146">
      <w:pPr>
        <w:pStyle w:val="79"/>
        <w:spacing w:line="400" w:lineRule="exact"/>
        <w:rPr>
          <w:rFonts w:hint="eastAsia" w:cs="宋体"/>
          <w:color w:val="auto"/>
          <w:sz w:val="21"/>
          <w:highlight w:val="none"/>
        </w:rPr>
      </w:pPr>
      <w:r>
        <w:rPr>
          <w:rFonts w:hint="eastAsia" w:cs="宋体"/>
          <w:color w:val="auto"/>
          <w:sz w:val="21"/>
          <w:highlight w:val="none"/>
        </w:rPr>
        <w:t>发包人继续使用承包人在施工现场的材料、设备、临时工程、承包人文件和由承包人或以其名义编制的其他文件的费用承担方式：</w:t>
      </w:r>
      <w:r>
        <w:rPr>
          <w:rFonts w:hint="eastAsia" w:cs="宋体"/>
          <w:color w:val="auto"/>
          <w:sz w:val="21"/>
          <w:highlight w:val="none"/>
          <w:u w:val="single"/>
        </w:rPr>
        <w:t>协商决定</w:t>
      </w:r>
      <w:r>
        <w:rPr>
          <w:rFonts w:hint="eastAsia" w:cs="宋体"/>
          <w:color w:val="auto"/>
          <w:sz w:val="21"/>
          <w:highlight w:val="none"/>
        </w:rPr>
        <w:t>。　</w:t>
      </w:r>
    </w:p>
    <w:p w14:paraId="3D3504E6">
      <w:pPr>
        <w:pStyle w:val="321"/>
        <w:spacing w:line="400" w:lineRule="exact"/>
        <w:rPr>
          <w:rFonts w:hint="eastAsia" w:ascii="宋体" w:cs="宋体"/>
          <w:color w:val="auto"/>
          <w:highlight w:val="none"/>
        </w:rPr>
      </w:pPr>
      <w:bookmarkStart w:id="1462" w:name="_Toc478389266"/>
      <w:bookmarkStart w:id="1463" w:name="_Toc351203649"/>
      <w:bookmarkStart w:id="1464" w:name="_Toc417904355"/>
      <w:r>
        <w:rPr>
          <w:rFonts w:hint="eastAsia" w:ascii="宋体" w:cs="宋体"/>
          <w:color w:val="auto"/>
          <w:highlight w:val="none"/>
        </w:rPr>
        <w:t>17. 不可抗力</w:t>
      </w:r>
      <w:bookmarkEnd w:id="1452"/>
      <w:bookmarkEnd w:id="1462"/>
      <w:bookmarkEnd w:id="1463"/>
      <w:bookmarkEnd w:id="1464"/>
    </w:p>
    <w:p w14:paraId="3609B8CF">
      <w:pPr>
        <w:pStyle w:val="321"/>
        <w:spacing w:line="400" w:lineRule="exact"/>
        <w:rPr>
          <w:rFonts w:hint="eastAsia" w:ascii="宋体" w:cs="宋体"/>
          <w:color w:val="auto"/>
          <w:highlight w:val="none"/>
        </w:rPr>
      </w:pPr>
      <w:bookmarkStart w:id="1465" w:name="_Toc417904356"/>
      <w:bookmarkStart w:id="1466" w:name="_Toc478389267"/>
      <w:r>
        <w:rPr>
          <w:rFonts w:hint="eastAsia" w:ascii="宋体" w:cs="宋体"/>
          <w:color w:val="auto"/>
          <w:highlight w:val="none"/>
        </w:rPr>
        <w:t>17.1 不可抗力的确认</w:t>
      </w:r>
      <w:bookmarkEnd w:id="1465"/>
      <w:bookmarkEnd w:id="1466"/>
    </w:p>
    <w:p w14:paraId="2E039B17">
      <w:pPr>
        <w:pStyle w:val="79"/>
        <w:spacing w:line="400" w:lineRule="exact"/>
        <w:rPr>
          <w:rFonts w:hint="eastAsia" w:cs="宋体"/>
          <w:color w:val="auto"/>
          <w:sz w:val="21"/>
          <w:highlight w:val="none"/>
          <w:u w:val="single"/>
        </w:rPr>
      </w:pPr>
      <w:r>
        <w:rPr>
          <w:rFonts w:hint="eastAsia" w:cs="宋体"/>
          <w:color w:val="auto"/>
          <w:sz w:val="21"/>
          <w:highlight w:val="none"/>
        </w:rPr>
        <w:t xml:space="preserve">除通用合同条款约定的不可抗力事件之外，视为不可抗力的其他情形： </w:t>
      </w:r>
      <w:r>
        <w:rPr>
          <w:rFonts w:hint="eastAsia" w:cs="宋体"/>
          <w:color w:val="auto"/>
          <w:sz w:val="21"/>
          <w:highlight w:val="none"/>
          <w:u w:val="single"/>
        </w:rPr>
        <w:t>无</w:t>
      </w:r>
      <w:r>
        <w:rPr>
          <w:rFonts w:hint="eastAsia" w:cs="宋体"/>
          <w:color w:val="auto"/>
          <w:sz w:val="21"/>
          <w:highlight w:val="none"/>
        </w:rPr>
        <w:t>。</w:t>
      </w:r>
    </w:p>
    <w:p w14:paraId="5B619C8B">
      <w:pPr>
        <w:pStyle w:val="79"/>
        <w:spacing w:line="400" w:lineRule="exact"/>
        <w:rPr>
          <w:rFonts w:hint="eastAsia" w:cs="宋体"/>
          <w:color w:val="auto"/>
          <w:sz w:val="21"/>
          <w:highlight w:val="none"/>
        </w:rPr>
      </w:pPr>
      <w:r>
        <w:rPr>
          <w:rFonts w:hint="eastAsia" w:cs="宋体"/>
          <w:color w:val="auto"/>
          <w:sz w:val="21"/>
          <w:highlight w:val="none"/>
        </w:rPr>
        <w:t>17.4 因不可抗力解除合同</w:t>
      </w:r>
    </w:p>
    <w:p w14:paraId="4ABF5C82">
      <w:pPr>
        <w:pStyle w:val="79"/>
        <w:spacing w:line="400" w:lineRule="exact"/>
        <w:rPr>
          <w:rFonts w:hint="eastAsia" w:cs="宋体"/>
          <w:color w:val="auto"/>
          <w:sz w:val="21"/>
          <w:highlight w:val="none"/>
        </w:rPr>
      </w:pPr>
      <w:r>
        <w:rPr>
          <w:rFonts w:hint="eastAsia" w:cs="宋体"/>
          <w:color w:val="auto"/>
          <w:sz w:val="21"/>
          <w:highlight w:val="none"/>
        </w:rPr>
        <w:t>合同解除后，发包人应在商定或确定发包人应支付款项后</w:t>
      </w:r>
      <w:r>
        <w:rPr>
          <w:rFonts w:hint="eastAsia" w:cs="宋体"/>
          <w:color w:val="auto"/>
          <w:sz w:val="21"/>
          <w:highlight w:val="none"/>
          <w:u w:val="single"/>
        </w:rPr>
        <w:t xml:space="preserve">承包人提出书面申请14  </w:t>
      </w:r>
      <w:r>
        <w:rPr>
          <w:rFonts w:hint="eastAsia" w:cs="宋体"/>
          <w:color w:val="auto"/>
          <w:sz w:val="21"/>
          <w:highlight w:val="none"/>
        </w:rPr>
        <w:t>天内完成款项的支付。</w:t>
      </w:r>
    </w:p>
    <w:p w14:paraId="2A4CC32A">
      <w:pPr>
        <w:pStyle w:val="321"/>
        <w:spacing w:line="400" w:lineRule="exact"/>
        <w:rPr>
          <w:rFonts w:hint="eastAsia" w:ascii="宋体" w:cs="宋体"/>
          <w:color w:val="auto"/>
          <w:highlight w:val="none"/>
        </w:rPr>
      </w:pPr>
      <w:bookmarkStart w:id="1467" w:name="_Toc417904357"/>
      <w:bookmarkStart w:id="1468" w:name="_Toc478389268"/>
      <w:bookmarkStart w:id="1469" w:name="_Toc351203650"/>
      <w:r>
        <w:rPr>
          <w:rFonts w:hint="eastAsia" w:ascii="宋体" w:cs="宋体"/>
          <w:color w:val="auto"/>
          <w:highlight w:val="none"/>
        </w:rPr>
        <w:t>18. 保险</w:t>
      </w:r>
      <w:bookmarkEnd w:id="1467"/>
      <w:bookmarkEnd w:id="1468"/>
      <w:bookmarkEnd w:id="1469"/>
    </w:p>
    <w:bookmarkEnd w:id="1453"/>
    <w:p w14:paraId="5DE7F73A">
      <w:pPr>
        <w:pStyle w:val="321"/>
        <w:spacing w:line="400" w:lineRule="exact"/>
        <w:rPr>
          <w:rFonts w:hint="eastAsia" w:ascii="宋体" w:cs="宋体"/>
          <w:color w:val="auto"/>
          <w:highlight w:val="none"/>
        </w:rPr>
      </w:pPr>
      <w:bookmarkStart w:id="1470" w:name="_Toc478389269"/>
      <w:bookmarkStart w:id="1471" w:name="_Toc417904358"/>
      <w:r>
        <w:rPr>
          <w:rFonts w:hint="eastAsia" w:ascii="宋体" w:cs="宋体"/>
          <w:color w:val="auto"/>
          <w:highlight w:val="none"/>
        </w:rPr>
        <w:t>18.1 工程保险</w:t>
      </w:r>
      <w:bookmarkEnd w:id="1470"/>
      <w:bookmarkEnd w:id="1471"/>
    </w:p>
    <w:p w14:paraId="27044529">
      <w:pPr>
        <w:pStyle w:val="79"/>
        <w:spacing w:line="400" w:lineRule="exact"/>
        <w:rPr>
          <w:rFonts w:hint="eastAsia" w:cs="宋体"/>
          <w:color w:val="auto"/>
          <w:sz w:val="21"/>
          <w:highlight w:val="none"/>
        </w:rPr>
      </w:pPr>
      <w:bookmarkStart w:id="1472" w:name="_Toc478389270"/>
      <w:bookmarkStart w:id="1473" w:name="_Toc417904359"/>
      <w:r>
        <w:rPr>
          <w:rFonts w:hint="eastAsia" w:cs="宋体"/>
          <w:color w:val="auto"/>
          <w:sz w:val="21"/>
          <w:highlight w:val="none"/>
        </w:rPr>
        <w:t>关于工程保险的特别约定：</w:t>
      </w:r>
      <w:r>
        <w:rPr>
          <w:rFonts w:hint="eastAsia" w:cs="宋体"/>
          <w:color w:val="auto"/>
          <w:sz w:val="21"/>
          <w:highlight w:val="none"/>
          <w:u w:val="single"/>
        </w:rPr>
        <w:t xml:space="preserve">承包人应投保建筑工程一切险并承担与之相关的所有费用 </w:t>
      </w:r>
      <w:r>
        <w:rPr>
          <w:rFonts w:hint="eastAsia" w:cs="宋体"/>
          <w:color w:val="auto"/>
          <w:sz w:val="21"/>
          <w:highlight w:val="none"/>
        </w:rPr>
        <w:t>。</w:t>
      </w:r>
    </w:p>
    <w:p w14:paraId="69DE0E9B">
      <w:pPr>
        <w:pStyle w:val="321"/>
        <w:spacing w:line="400" w:lineRule="exact"/>
        <w:rPr>
          <w:rFonts w:hint="eastAsia" w:ascii="宋体" w:cs="宋体"/>
          <w:color w:val="auto"/>
          <w:highlight w:val="none"/>
        </w:rPr>
      </w:pPr>
      <w:r>
        <w:rPr>
          <w:rFonts w:hint="eastAsia" w:ascii="宋体" w:cs="宋体"/>
          <w:color w:val="auto"/>
          <w:highlight w:val="none"/>
        </w:rPr>
        <w:t>18.3 其他保险</w:t>
      </w:r>
    </w:p>
    <w:p w14:paraId="06E352EA">
      <w:pPr>
        <w:pStyle w:val="79"/>
        <w:spacing w:line="400" w:lineRule="exact"/>
        <w:rPr>
          <w:rFonts w:hint="eastAsia" w:cs="宋体"/>
          <w:color w:val="auto"/>
          <w:sz w:val="21"/>
          <w:highlight w:val="none"/>
        </w:rPr>
      </w:pPr>
      <w:r>
        <w:rPr>
          <w:rFonts w:hint="eastAsia" w:cs="宋体"/>
          <w:color w:val="auto"/>
          <w:sz w:val="21"/>
          <w:highlight w:val="none"/>
        </w:rPr>
        <w:t>关于其他保险的约定：</w:t>
      </w:r>
      <w:r>
        <w:rPr>
          <w:rFonts w:hint="eastAsia" w:cs="宋体"/>
          <w:color w:val="auto"/>
          <w:sz w:val="21"/>
          <w:highlight w:val="none"/>
          <w:u w:val="single"/>
        </w:rPr>
        <w:t xml:space="preserve">  承包人按桂林市相关文件规定缴纳建筑意外伤害保险费，安全生产责任保险费按分部分项工程费及措施项目费（含单价及总价措施项目费）为计算基数乘以 0.2%计入暂估价，工程结算时，由发包人及承包人双方根据工程实际情况确认的安全生产责任保险费计入工程造价 </w:t>
      </w:r>
      <w:r>
        <w:rPr>
          <w:rFonts w:hint="eastAsia" w:cs="宋体"/>
          <w:color w:val="auto"/>
          <w:sz w:val="21"/>
          <w:highlight w:val="none"/>
        </w:rPr>
        <w:t>。</w:t>
      </w:r>
    </w:p>
    <w:p w14:paraId="59F07F1F">
      <w:pPr>
        <w:pStyle w:val="79"/>
        <w:spacing w:line="400" w:lineRule="exact"/>
        <w:rPr>
          <w:rFonts w:hint="eastAsia" w:cs="宋体"/>
          <w:color w:val="auto"/>
          <w:sz w:val="21"/>
          <w:highlight w:val="none"/>
        </w:rPr>
      </w:pPr>
      <w:r>
        <w:rPr>
          <w:rFonts w:hint="eastAsia" w:cs="宋体"/>
          <w:color w:val="auto"/>
          <w:sz w:val="21"/>
          <w:highlight w:val="none"/>
        </w:rPr>
        <w:t>承包人是否应为其施工设备等办理财产保险：</w:t>
      </w:r>
      <w:r>
        <w:rPr>
          <w:rFonts w:hint="eastAsia" w:cs="宋体"/>
          <w:color w:val="auto"/>
          <w:sz w:val="21"/>
          <w:highlight w:val="none"/>
          <w:u w:val="single"/>
        </w:rPr>
        <w:t xml:space="preserve">   同通用条款   </w:t>
      </w:r>
      <w:r>
        <w:rPr>
          <w:rFonts w:hint="eastAsia" w:cs="宋体"/>
          <w:color w:val="auto"/>
          <w:sz w:val="21"/>
          <w:highlight w:val="none"/>
        </w:rPr>
        <w:t>。</w:t>
      </w:r>
    </w:p>
    <w:bookmarkEnd w:id="1472"/>
    <w:bookmarkEnd w:id="1473"/>
    <w:p w14:paraId="7A49B73A">
      <w:pPr>
        <w:pStyle w:val="321"/>
        <w:spacing w:line="400" w:lineRule="exact"/>
        <w:rPr>
          <w:rFonts w:hint="eastAsia" w:ascii="宋体" w:cs="宋体"/>
          <w:color w:val="auto"/>
          <w:highlight w:val="none"/>
        </w:rPr>
      </w:pPr>
      <w:bookmarkStart w:id="1474" w:name="_Toc478389271"/>
      <w:bookmarkStart w:id="1475" w:name="_Toc417904360"/>
      <w:r>
        <w:rPr>
          <w:rFonts w:hint="eastAsia" w:ascii="宋体" w:cs="宋体"/>
          <w:color w:val="auto"/>
          <w:highlight w:val="none"/>
        </w:rPr>
        <w:t>18.7 通知义务</w:t>
      </w:r>
      <w:bookmarkEnd w:id="1474"/>
      <w:bookmarkEnd w:id="1475"/>
    </w:p>
    <w:p w14:paraId="79072CA5">
      <w:pPr>
        <w:pStyle w:val="79"/>
        <w:spacing w:line="400" w:lineRule="exact"/>
        <w:rPr>
          <w:rFonts w:hint="eastAsia" w:cs="宋体"/>
          <w:color w:val="auto"/>
          <w:sz w:val="21"/>
          <w:highlight w:val="none"/>
        </w:rPr>
      </w:pPr>
      <w:r>
        <w:rPr>
          <w:rFonts w:hint="eastAsia" w:cs="宋体"/>
          <w:color w:val="auto"/>
          <w:sz w:val="21"/>
          <w:highlight w:val="none"/>
        </w:rPr>
        <w:t>关于变更保险合同时的通知义务的约定：</w:t>
      </w:r>
      <w:r>
        <w:rPr>
          <w:rFonts w:hint="eastAsia" w:cs="宋体"/>
          <w:color w:val="auto"/>
          <w:sz w:val="21"/>
          <w:highlight w:val="none"/>
          <w:u w:val="single"/>
        </w:rPr>
        <w:t xml:space="preserve">    同通用条款   </w:t>
      </w:r>
      <w:r>
        <w:rPr>
          <w:rFonts w:hint="eastAsia" w:cs="宋体"/>
          <w:color w:val="auto"/>
          <w:sz w:val="21"/>
          <w:highlight w:val="none"/>
        </w:rPr>
        <w:t>。</w:t>
      </w:r>
    </w:p>
    <w:bookmarkEnd w:id="1421"/>
    <w:bookmarkEnd w:id="1422"/>
    <w:bookmarkEnd w:id="1423"/>
    <w:bookmarkEnd w:id="1424"/>
    <w:bookmarkEnd w:id="1425"/>
    <w:bookmarkEnd w:id="1426"/>
    <w:bookmarkEnd w:id="1427"/>
    <w:bookmarkEnd w:id="1428"/>
    <w:bookmarkEnd w:id="1429"/>
    <w:bookmarkEnd w:id="1430"/>
    <w:bookmarkEnd w:id="1431"/>
    <w:bookmarkEnd w:id="1432"/>
    <w:p w14:paraId="2348AA75">
      <w:pPr>
        <w:pStyle w:val="321"/>
        <w:spacing w:line="400" w:lineRule="exact"/>
        <w:rPr>
          <w:rFonts w:hint="eastAsia" w:ascii="宋体" w:cs="宋体"/>
          <w:color w:val="auto"/>
          <w:highlight w:val="none"/>
        </w:rPr>
      </w:pPr>
      <w:bookmarkStart w:id="1476" w:name="_Toc351203651"/>
      <w:bookmarkStart w:id="1477" w:name="_Toc478389272"/>
      <w:bookmarkStart w:id="1478" w:name="_Toc417904361"/>
      <w:r>
        <w:rPr>
          <w:rFonts w:hint="eastAsia" w:ascii="宋体" w:cs="宋体"/>
          <w:color w:val="auto"/>
          <w:highlight w:val="none"/>
        </w:rPr>
        <w:t>20. 争议解决</w:t>
      </w:r>
      <w:bookmarkEnd w:id="1476"/>
      <w:bookmarkEnd w:id="1477"/>
      <w:bookmarkEnd w:id="1478"/>
    </w:p>
    <w:bookmarkEnd w:id="1433"/>
    <w:bookmarkEnd w:id="1434"/>
    <w:p w14:paraId="35C00F5D">
      <w:pPr>
        <w:pStyle w:val="321"/>
        <w:spacing w:line="400" w:lineRule="exact"/>
        <w:rPr>
          <w:rFonts w:hint="eastAsia" w:ascii="宋体" w:cs="宋体"/>
          <w:color w:val="auto"/>
          <w:highlight w:val="none"/>
        </w:rPr>
      </w:pPr>
      <w:bookmarkStart w:id="1479" w:name="_Toc417904362"/>
      <w:bookmarkStart w:id="1480" w:name="_Toc478389273"/>
      <w:r>
        <w:rPr>
          <w:rFonts w:hint="eastAsia" w:ascii="宋体" w:cs="宋体"/>
          <w:color w:val="auto"/>
          <w:highlight w:val="none"/>
        </w:rPr>
        <w:t>20.3 争</w:t>
      </w:r>
      <w:bookmarkEnd w:id="1435"/>
      <w:r>
        <w:rPr>
          <w:rFonts w:hint="eastAsia" w:ascii="宋体" w:cs="宋体"/>
          <w:color w:val="auto"/>
          <w:highlight w:val="none"/>
        </w:rPr>
        <w:t>议评审</w:t>
      </w:r>
      <w:bookmarkEnd w:id="1479"/>
      <w:bookmarkEnd w:id="1480"/>
    </w:p>
    <w:p w14:paraId="241A39DB">
      <w:pPr>
        <w:pStyle w:val="79"/>
        <w:spacing w:line="400" w:lineRule="exact"/>
        <w:rPr>
          <w:rFonts w:hint="eastAsia" w:cs="宋体"/>
          <w:color w:val="auto"/>
          <w:sz w:val="21"/>
          <w:highlight w:val="none"/>
        </w:rPr>
      </w:pPr>
      <w:r>
        <w:rPr>
          <w:rFonts w:hint="eastAsia" w:cs="宋体"/>
          <w:color w:val="auto"/>
          <w:sz w:val="21"/>
          <w:highlight w:val="none"/>
        </w:rPr>
        <w:t>合同当事人是否同意将工程争议提交争议评审小组决定：</w:t>
      </w:r>
      <w:r>
        <w:rPr>
          <w:rFonts w:hint="eastAsia" w:cs="宋体"/>
          <w:color w:val="auto"/>
          <w:sz w:val="21"/>
          <w:highlight w:val="none"/>
          <w:u w:val="single"/>
        </w:rPr>
        <w:t xml:space="preserve">  　否   </w:t>
      </w:r>
      <w:r>
        <w:rPr>
          <w:rFonts w:hint="eastAsia" w:cs="宋体"/>
          <w:color w:val="auto"/>
          <w:sz w:val="21"/>
          <w:highlight w:val="none"/>
        </w:rPr>
        <w:t xml:space="preserve">。  </w:t>
      </w:r>
    </w:p>
    <w:p w14:paraId="1D2A3C96">
      <w:pPr>
        <w:pStyle w:val="79"/>
        <w:spacing w:line="400" w:lineRule="exact"/>
        <w:rPr>
          <w:rFonts w:hint="eastAsia" w:cs="宋体"/>
          <w:color w:val="auto"/>
          <w:sz w:val="21"/>
          <w:highlight w:val="none"/>
        </w:rPr>
      </w:pPr>
      <w:r>
        <w:rPr>
          <w:rFonts w:hint="eastAsia" w:cs="宋体"/>
          <w:color w:val="auto"/>
          <w:sz w:val="21"/>
          <w:highlight w:val="none"/>
        </w:rPr>
        <w:t>20.3.1 争议评审小组的确定</w:t>
      </w:r>
    </w:p>
    <w:p w14:paraId="7862F88B">
      <w:pPr>
        <w:pStyle w:val="79"/>
        <w:spacing w:line="400" w:lineRule="exact"/>
        <w:rPr>
          <w:rFonts w:hint="eastAsia" w:cs="宋体"/>
          <w:color w:val="auto"/>
          <w:sz w:val="21"/>
          <w:highlight w:val="none"/>
          <w:u w:val="single"/>
        </w:rPr>
      </w:pPr>
      <w:r>
        <w:rPr>
          <w:rFonts w:hint="eastAsia" w:cs="宋体"/>
          <w:color w:val="auto"/>
          <w:sz w:val="21"/>
          <w:highlight w:val="none"/>
        </w:rPr>
        <w:t>争议评审小组成员的确定：</w:t>
      </w:r>
      <w:r>
        <w:rPr>
          <w:rFonts w:hint="eastAsia" w:cs="宋体"/>
          <w:color w:val="auto"/>
          <w:sz w:val="21"/>
          <w:highlight w:val="none"/>
          <w:u w:val="single"/>
        </w:rPr>
        <w:t xml:space="preserve">    无     </w:t>
      </w:r>
      <w:r>
        <w:rPr>
          <w:rFonts w:hint="eastAsia" w:cs="宋体"/>
          <w:color w:val="auto"/>
          <w:sz w:val="21"/>
          <w:highlight w:val="none"/>
        </w:rPr>
        <w:t>。</w:t>
      </w:r>
    </w:p>
    <w:p w14:paraId="07E5D33A">
      <w:pPr>
        <w:pStyle w:val="79"/>
        <w:spacing w:line="400" w:lineRule="exact"/>
        <w:rPr>
          <w:rFonts w:hint="eastAsia" w:cs="宋体"/>
          <w:color w:val="auto"/>
          <w:sz w:val="21"/>
          <w:highlight w:val="none"/>
        </w:rPr>
      </w:pPr>
      <w:r>
        <w:rPr>
          <w:rFonts w:hint="eastAsia" w:cs="宋体"/>
          <w:color w:val="auto"/>
          <w:sz w:val="21"/>
          <w:highlight w:val="none"/>
        </w:rPr>
        <w:t>选定争议评审员的期限：</w:t>
      </w:r>
      <w:r>
        <w:rPr>
          <w:rFonts w:hint="eastAsia" w:cs="宋体"/>
          <w:color w:val="auto"/>
          <w:sz w:val="21"/>
          <w:highlight w:val="none"/>
          <w:u w:val="single"/>
        </w:rPr>
        <w:t xml:space="preserve">    无     </w:t>
      </w:r>
      <w:r>
        <w:rPr>
          <w:rFonts w:hint="eastAsia" w:cs="宋体"/>
          <w:color w:val="auto"/>
          <w:sz w:val="21"/>
          <w:highlight w:val="none"/>
        </w:rPr>
        <w:t>。</w:t>
      </w:r>
    </w:p>
    <w:p w14:paraId="16E50CBF">
      <w:pPr>
        <w:pStyle w:val="79"/>
        <w:spacing w:line="400" w:lineRule="exact"/>
        <w:rPr>
          <w:rFonts w:hint="eastAsia" w:cs="宋体"/>
          <w:color w:val="auto"/>
          <w:sz w:val="21"/>
          <w:highlight w:val="none"/>
        </w:rPr>
      </w:pPr>
      <w:r>
        <w:rPr>
          <w:rFonts w:hint="eastAsia" w:cs="宋体"/>
          <w:color w:val="auto"/>
          <w:sz w:val="21"/>
          <w:highlight w:val="none"/>
        </w:rPr>
        <w:t>争议评审小组成员的报酬承担方式：</w:t>
      </w:r>
      <w:r>
        <w:rPr>
          <w:rFonts w:hint="eastAsia" w:cs="宋体"/>
          <w:color w:val="auto"/>
          <w:sz w:val="21"/>
          <w:highlight w:val="none"/>
          <w:u w:val="single"/>
        </w:rPr>
        <w:t xml:space="preserve">  无   </w:t>
      </w:r>
      <w:r>
        <w:rPr>
          <w:rFonts w:hint="eastAsia" w:cs="宋体"/>
          <w:color w:val="auto"/>
          <w:sz w:val="21"/>
          <w:highlight w:val="none"/>
        </w:rPr>
        <w:t>。</w:t>
      </w:r>
    </w:p>
    <w:p w14:paraId="6C26C976">
      <w:pPr>
        <w:pStyle w:val="79"/>
        <w:spacing w:line="400" w:lineRule="exact"/>
        <w:rPr>
          <w:rFonts w:hint="eastAsia" w:cs="宋体"/>
          <w:color w:val="auto"/>
          <w:sz w:val="21"/>
          <w:highlight w:val="none"/>
        </w:rPr>
      </w:pPr>
      <w:r>
        <w:rPr>
          <w:rFonts w:hint="eastAsia" w:cs="宋体"/>
          <w:color w:val="auto"/>
          <w:sz w:val="21"/>
          <w:highlight w:val="none"/>
        </w:rPr>
        <w:t>其他事项的约定：</w:t>
      </w:r>
      <w:r>
        <w:rPr>
          <w:rFonts w:hint="eastAsia" w:cs="宋体"/>
          <w:color w:val="auto"/>
          <w:sz w:val="21"/>
          <w:highlight w:val="none"/>
          <w:u w:val="single"/>
        </w:rPr>
        <w:t xml:space="preserve">   无            </w:t>
      </w:r>
      <w:r>
        <w:rPr>
          <w:rFonts w:hint="eastAsia" w:cs="宋体"/>
          <w:color w:val="auto"/>
          <w:sz w:val="21"/>
          <w:highlight w:val="none"/>
        </w:rPr>
        <w:t>。</w:t>
      </w:r>
    </w:p>
    <w:p w14:paraId="270B980C">
      <w:pPr>
        <w:pStyle w:val="79"/>
        <w:spacing w:line="400" w:lineRule="exact"/>
        <w:rPr>
          <w:rFonts w:hint="eastAsia" w:cs="宋体"/>
          <w:color w:val="auto"/>
          <w:sz w:val="21"/>
          <w:highlight w:val="none"/>
        </w:rPr>
      </w:pPr>
      <w:r>
        <w:rPr>
          <w:rFonts w:hint="eastAsia" w:cs="宋体"/>
          <w:color w:val="auto"/>
          <w:sz w:val="21"/>
          <w:highlight w:val="none"/>
        </w:rPr>
        <w:t>20.3.2 争议评审小组的决定</w:t>
      </w:r>
    </w:p>
    <w:p w14:paraId="02D4D8A8">
      <w:pPr>
        <w:pStyle w:val="79"/>
        <w:spacing w:line="400" w:lineRule="exact"/>
        <w:rPr>
          <w:rFonts w:hint="eastAsia" w:cs="宋体"/>
          <w:color w:val="auto"/>
          <w:sz w:val="21"/>
          <w:highlight w:val="none"/>
        </w:rPr>
      </w:pPr>
      <w:r>
        <w:rPr>
          <w:rFonts w:hint="eastAsia" w:cs="宋体"/>
          <w:color w:val="auto"/>
          <w:sz w:val="21"/>
          <w:highlight w:val="none"/>
        </w:rPr>
        <w:t>合同当事人关于本项的约定：</w:t>
      </w:r>
      <w:r>
        <w:rPr>
          <w:rFonts w:hint="eastAsia" w:cs="宋体"/>
          <w:color w:val="auto"/>
          <w:sz w:val="21"/>
          <w:highlight w:val="none"/>
          <w:u w:val="single"/>
        </w:rPr>
        <w:t xml:space="preserve">   无       </w:t>
      </w:r>
      <w:r>
        <w:rPr>
          <w:rFonts w:hint="eastAsia" w:cs="宋体"/>
          <w:color w:val="auto"/>
          <w:sz w:val="21"/>
          <w:highlight w:val="none"/>
        </w:rPr>
        <w:t>。</w:t>
      </w:r>
    </w:p>
    <w:p w14:paraId="3A8865C5">
      <w:pPr>
        <w:pStyle w:val="321"/>
        <w:spacing w:line="400" w:lineRule="exact"/>
        <w:rPr>
          <w:rFonts w:hint="eastAsia" w:ascii="宋体" w:cs="宋体"/>
          <w:color w:val="auto"/>
          <w:highlight w:val="none"/>
        </w:rPr>
      </w:pPr>
      <w:bookmarkStart w:id="1481" w:name="_Toc417904363"/>
      <w:bookmarkStart w:id="1482" w:name="_Toc478389274"/>
      <w:r>
        <w:rPr>
          <w:rFonts w:hint="eastAsia" w:ascii="宋体" w:cs="宋体"/>
          <w:color w:val="auto"/>
          <w:highlight w:val="none"/>
        </w:rPr>
        <w:t>20.4仲裁或诉讼</w:t>
      </w:r>
      <w:bookmarkEnd w:id="1436"/>
      <w:bookmarkEnd w:id="1481"/>
      <w:bookmarkEnd w:id="1482"/>
    </w:p>
    <w:bookmarkEnd w:id="1437"/>
    <w:bookmarkEnd w:id="1438"/>
    <w:bookmarkEnd w:id="1439"/>
    <w:bookmarkEnd w:id="1440"/>
    <w:bookmarkEnd w:id="1441"/>
    <w:bookmarkEnd w:id="1442"/>
    <w:p w14:paraId="1DB50E03">
      <w:pPr>
        <w:pStyle w:val="276"/>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种方式解决：</w:t>
      </w:r>
    </w:p>
    <w:p w14:paraId="45E75298">
      <w:pPr>
        <w:pStyle w:val="276"/>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（1）提请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仲裁委员会按照该会仲裁规则进行仲裁，仲裁裁决是终局的，对合同双方均有约束力。</w:t>
      </w:r>
    </w:p>
    <w:p w14:paraId="56587253">
      <w:pPr>
        <w:pStyle w:val="276"/>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甲方所在地具有管辖权的     </w:t>
      </w:r>
      <w:r>
        <w:rPr>
          <w:rFonts w:hint="eastAsia" w:ascii="宋体" w:hAnsi="宋体" w:cs="宋体"/>
          <w:color w:val="auto"/>
          <w:szCs w:val="21"/>
          <w:highlight w:val="none"/>
        </w:rPr>
        <w:t>人民法院起诉。</w:t>
      </w:r>
    </w:p>
    <w:p w14:paraId="1A26C394">
      <w:pPr>
        <w:pStyle w:val="79"/>
        <w:snapToGrid w:val="0"/>
        <w:spacing w:line="320" w:lineRule="exact"/>
        <w:rPr>
          <w:rFonts w:hint="eastAsia" w:cs="宋体"/>
          <w:color w:val="auto"/>
          <w:sz w:val="21"/>
          <w:highlight w:val="none"/>
        </w:rPr>
      </w:pPr>
    </w:p>
    <w:p w14:paraId="4936A892">
      <w:pPr>
        <w:widowControl/>
        <w:jc w:val="left"/>
        <w:rPr>
          <w:rFonts w:hint="eastAsia" w:ascii="宋体" w:hAnsi="宋体" w:cs="宋体"/>
          <w:color w:val="auto"/>
          <w:szCs w:val="21"/>
          <w:highlight w:val="none"/>
        </w:rPr>
        <w:sectPr>
          <w:pgSz w:w="11907" w:h="16840"/>
          <w:pgMar w:top="1440" w:right="1440" w:bottom="1440" w:left="1797" w:header="851" w:footer="851" w:gutter="0"/>
          <w:cols w:space="720" w:num="1"/>
        </w:sectPr>
      </w:pPr>
    </w:p>
    <w:p w14:paraId="4AD26E90">
      <w:pPr>
        <w:spacing w:line="3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附件</w:t>
      </w:r>
    </w:p>
    <w:p w14:paraId="05E859B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协议书附件：</w:t>
      </w:r>
    </w:p>
    <w:p w14:paraId="3DC76FD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附件1：承包人承揽工程项目一览表</w:t>
      </w:r>
    </w:p>
    <w:p w14:paraId="27197BB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专用合同条款附件：</w:t>
      </w:r>
    </w:p>
    <w:p w14:paraId="17AB1C2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附件2：发包人供应材料设备一览表</w:t>
      </w:r>
    </w:p>
    <w:p w14:paraId="1A64D34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附件3：工程质量保修书</w:t>
      </w:r>
    </w:p>
    <w:p w14:paraId="2908FD1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附件4：主要建设工程文件目录</w:t>
      </w:r>
    </w:p>
    <w:p w14:paraId="58E32A9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附件5：承包人用于本工程施工的机械设备表</w:t>
      </w:r>
    </w:p>
    <w:p w14:paraId="1DE5894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附件6：承包人主要施工管理人员表</w:t>
      </w:r>
    </w:p>
    <w:p w14:paraId="09D0E30F">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附件7：分包人主要施工管理人员表</w:t>
      </w:r>
    </w:p>
    <w:p w14:paraId="2DA35DA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附件8：履约担保格式</w:t>
      </w:r>
    </w:p>
    <w:p w14:paraId="6F4C0FFA">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附件9：预付款担保格式</w:t>
      </w:r>
    </w:p>
    <w:p w14:paraId="540DDAE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附件10：暂估价一览表 </w:t>
      </w:r>
    </w:p>
    <w:p w14:paraId="1628CAE4">
      <w:pPr>
        <w:widowControl/>
        <w:spacing w:line="360" w:lineRule="auto"/>
        <w:jc w:val="left"/>
        <w:rPr>
          <w:rFonts w:hint="eastAsia" w:ascii="宋体" w:hAnsi="宋体" w:cs="宋体"/>
          <w:color w:val="auto"/>
          <w:szCs w:val="21"/>
          <w:highlight w:val="none"/>
        </w:rPr>
        <w:sectPr>
          <w:pgSz w:w="11906" w:h="16838"/>
          <w:pgMar w:top="1134" w:right="1416" w:bottom="1418" w:left="1276" w:header="851" w:footer="992" w:gutter="0"/>
          <w:cols w:space="720" w:num="1"/>
          <w:docGrid w:type="lines" w:linePitch="312" w:charSpace="0"/>
        </w:sectPr>
      </w:pPr>
    </w:p>
    <w:p w14:paraId="4F750B8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附件1：</w:t>
      </w:r>
    </w:p>
    <w:p w14:paraId="58489EA6">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承包人承揽工程项目一览表</w:t>
      </w:r>
    </w:p>
    <w:tbl>
      <w:tblPr>
        <w:tblStyle w:val="46"/>
        <w:tblW w:w="0" w:type="auto"/>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9"/>
        <w:gridCol w:w="1700"/>
        <w:gridCol w:w="1416"/>
        <w:gridCol w:w="2409"/>
        <w:gridCol w:w="850"/>
        <w:gridCol w:w="1559"/>
        <w:gridCol w:w="2125"/>
        <w:gridCol w:w="1416"/>
        <w:gridCol w:w="851"/>
        <w:gridCol w:w="850"/>
      </w:tblGrid>
      <w:tr w14:paraId="6489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74FB274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单位工程名称</w:t>
            </w:r>
          </w:p>
        </w:tc>
        <w:tc>
          <w:tcPr>
            <w:tcW w:w="1700" w:type="dxa"/>
            <w:vAlign w:val="center"/>
          </w:tcPr>
          <w:p w14:paraId="621E10D3">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1416" w:type="dxa"/>
            <w:vAlign w:val="center"/>
          </w:tcPr>
          <w:p w14:paraId="3678669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建筑面积（平方米）</w:t>
            </w:r>
          </w:p>
        </w:tc>
        <w:tc>
          <w:tcPr>
            <w:tcW w:w="2409" w:type="dxa"/>
            <w:vAlign w:val="center"/>
          </w:tcPr>
          <w:p w14:paraId="4405677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结构形式</w:t>
            </w:r>
          </w:p>
        </w:tc>
        <w:tc>
          <w:tcPr>
            <w:tcW w:w="850" w:type="dxa"/>
            <w:vAlign w:val="center"/>
          </w:tcPr>
          <w:p w14:paraId="1E5EC5D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层数</w:t>
            </w:r>
          </w:p>
        </w:tc>
        <w:tc>
          <w:tcPr>
            <w:tcW w:w="1559" w:type="dxa"/>
            <w:vAlign w:val="center"/>
          </w:tcPr>
          <w:p w14:paraId="34D90793">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生产能力</w:t>
            </w:r>
          </w:p>
        </w:tc>
        <w:tc>
          <w:tcPr>
            <w:tcW w:w="2125" w:type="dxa"/>
            <w:vAlign w:val="center"/>
          </w:tcPr>
          <w:p w14:paraId="050461E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设备安装内容</w:t>
            </w:r>
          </w:p>
        </w:tc>
        <w:tc>
          <w:tcPr>
            <w:tcW w:w="1416" w:type="dxa"/>
            <w:vAlign w:val="center"/>
          </w:tcPr>
          <w:p w14:paraId="142CAA0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合同价格（元）</w:t>
            </w:r>
          </w:p>
        </w:tc>
        <w:tc>
          <w:tcPr>
            <w:tcW w:w="851" w:type="dxa"/>
            <w:vAlign w:val="center"/>
          </w:tcPr>
          <w:p w14:paraId="10843AA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850" w:type="dxa"/>
            <w:vAlign w:val="center"/>
          </w:tcPr>
          <w:p w14:paraId="3BCA8CD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竣工日期</w:t>
            </w:r>
          </w:p>
        </w:tc>
      </w:tr>
      <w:tr w14:paraId="2F59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0AF5A151">
            <w:pPr>
              <w:spacing w:line="440" w:lineRule="exact"/>
              <w:rPr>
                <w:rFonts w:hint="eastAsia" w:ascii="宋体" w:hAnsi="宋体" w:cs="宋体"/>
                <w:color w:val="auto"/>
                <w:szCs w:val="21"/>
                <w:highlight w:val="none"/>
              </w:rPr>
            </w:pPr>
          </w:p>
        </w:tc>
        <w:tc>
          <w:tcPr>
            <w:tcW w:w="1700" w:type="dxa"/>
            <w:vAlign w:val="center"/>
          </w:tcPr>
          <w:p w14:paraId="0C3A64FD">
            <w:pPr>
              <w:spacing w:line="440" w:lineRule="exact"/>
              <w:rPr>
                <w:rFonts w:hint="eastAsia" w:ascii="宋体" w:hAnsi="宋体" w:cs="宋体"/>
                <w:color w:val="auto"/>
                <w:szCs w:val="21"/>
                <w:highlight w:val="none"/>
              </w:rPr>
            </w:pPr>
          </w:p>
        </w:tc>
        <w:tc>
          <w:tcPr>
            <w:tcW w:w="1416" w:type="dxa"/>
            <w:vAlign w:val="center"/>
          </w:tcPr>
          <w:p w14:paraId="3740F91B">
            <w:pPr>
              <w:spacing w:line="440" w:lineRule="exact"/>
              <w:rPr>
                <w:rFonts w:hint="eastAsia" w:ascii="宋体" w:hAnsi="宋体" w:cs="宋体"/>
                <w:color w:val="auto"/>
                <w:szCs w:val="21"/>
                <w:highlight w:val="none"/>
              </w:rPr>
            </w:pPr>
          </w:p>
        </w:tc>
        <w:tc>
          <w:tcPr>
            <w:tcW w:w="2409" w:type="dxa"/>
            <w:vAlign w:val="center"/>
          </w:tcPr>
          <w:p w14:paraId="52A14751">
            <w:pPr>
              <w:spacing w:line="440" w:lineRule="exact"/>
              <w:rPr>
                <w:rFonts w:hint="eastAsia" w:ascii="宋体" w:hAnsi="宋体" w:cs="宋体"/>
                <w:color w:val="auto"/>
                <w:szCs w:val="21"/>
                <w:highlight w:val="none"/>
              </w:rPr>
            </w:pPr>
          </w:p>
        </w:tc>
        <w:tc>
          <w:tcPr>
            <w:tcW w:w="850" w:type="dxa"/>
            <w:vAlign w:val="center"/>
          </w:tcPr>
          <w:p w14:paraId="1039C559">
            <w:pPr>
              <w:spacing w:line="440" w:lineRule="exact"/>
              <w:rPr>
                <w:rFonts w:hint="eastAsia" w:ascii="宋体" w:hAnsi="宋体" w:cs="宋体"/>
                <w:color w:val="auto"/>
                <w:szCs w:val="21"/>
                <w:highlight w:val="none"/>
              </w:rPr>
            </w:pPr>
          </w:p>
        </w:tc>
        <w:tc>
          <w:tcPr>
            <w:tcW w:w="1559" w:type="dxa"/>
            <w:vAlign w:val="center"/>
          </w:tcPr>
          <w:p w14:paraId="13548F6C">
            <w:pPr>
              <w:spacing w:line="440" w:lineRule="exact"/>
              <w:rPr>
                <w:rFonts w:hint="eastAsia" w:ascii="宋体" w:hAnsi="宋体" w:cs="宋体"/>
                <w:color w:val="auto"/>
                <w:szCs w:val="21"/>
                <w:highlight w:val="none"/>
              </w:rPr>
            </w:pPr>
          </w:p>
        </w:tc>
        <w:tc>
          <w:tcPr>
            <w:tcW w:w="2125" w:type="dxa"/>
            <w:vAlign w:val="center"/>
          </w:tcPr>
          <w:p w14:paraId="2E0EDC88">
            <w:pPr>
              <w:spacing w:line="440" w:lineRule="exact"/>
              <w:rPr>
                <w:rFonts w:hint="eastAsia" w:ascii="宋体" w:hAnsi="宋体" w:cs="宋体"/>
                <w:color w:val="auto"/>
                <w:szCs w:val="21"/>
                <w:highlight w:val="none"/>
              </w:rPr>
            </w:pPr>
          </w:p>
        </w:tc>
        <w:tc>
          <w:tcPr>
            <w:tcW w:w="1416" w:type="dxa"/>
            <w:vAlign w:val="center"/>
          </w:tcPr>
          <w:p w14:paraId="0B2F0D06">
            <w:pPr>
              <w:spacing w:line="440" w:lineRule="exact"/>
              <w:rPr>
                <w:rFonts w:hint="eastAsia" w:ascii="宋体" w:hAnsi="宋体" w:cs="宋体"/>
                <w:color w:val="auto"/>
                <w:szCs w:val="21"/>
                <w:highlight w:val="none"/>
              </w:rPr>
            </w:pPr>
          </w:p>
        </w:tc>
        <w:tc>
          <w:tcPr>
            <w:tcW w:w="851" w:type="dxa"/>
            <w:vAlign w:val="center"/>
          </w:tcPr>
          <w:p w14:paraId="27135AD3">
            <w:pPr>
              <w:spacing w:line="440" w:lineRule="exact"/>
              <w:rPr>
                <w:rFonts w:hint="eastAsia" w:ascii="宋体" w:hAnsi="宋体" w:cs="宋体"/>
                <w:color w:val="auto"/>
                <w:szCs w:val="21"/>
                <w:highlight w:val="none"/>
              </w:rPr>
            </w:pPr>
          </w:p>
        </w:tc>
        <w:tc>
          <w:tcPr>
            <w:tcW w:w="850" w:type="dxa"/>
            <w:vAlign w:val="center"/>
          </w:tcPr>
          <w:p w14:paraId="2C901A9C">
            <w:pPr>
              <w:spacing w:line="440" w:lineRule="exact"/>
              <w:rPr>
                <w:rFonts w:hint="eastAsia" w:ascii="宋体" w:hAnsi="宋体" w:cs="宋体"/>
                <w:color w:val="auto"/>
                <w:szCs w:val="21"/>
                <w:highlight w:val="none"/>
              </w:rPr>
            </w:pPr>
          </w:p>
        </w:tc>
      </w:tr>
      <w:tr w14:paraId="0ABA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1A173EFC">
            <w:pPr>
              <w:spacing w:line="440" w:lineRule="exact"/>
              <w:rPr>
                <w:rFonts w:hint="eastAsia" w:ascii="宋体" w:hAnsi="宋体" w:cs="宋体"/>
                <w:color w:val="auto"/>
                <w:szCs w:val="21"/>
                <w:highlight w:val="none"/>
              </w:rPr>
            </w:pPr>
          </w:p>
        </w:tc>
        <w:tc>
          <w:tcPr>
            <w:tcW w:w="1700" w:type="dxa"/>
            <w:vAlign w:val="center"/>
          </w:tcPr>
          <w:p w14:paraId="08D81514">
            <w:pPr>
              <w:spacing w:line="440" w:lineRule="exact"/>
              <w:rPr>
                <w:rFonts w:hint="eastAsia" w:ascii="宋体" w:hAnsi="宋体" w:cs="宋体"/>
                <w:color w:val="auto"/>
                <w:szCs w:val="21"/>
                <w:highlight w:val="none"/>
              </w:rPr>
            </w:pPr>
          </w:p>
        </w:tc>
        <w:tc>
          <w:tcPr>
            <w:tcW w:w="1416" w:type="dxa"/>
            <w:vAlign w:val="center"/>
          </w:tcPr>
          <w:p w14:paraId="64AD5756">
            <w:pPr>
              <w:spacing w:line="440" w:lineRule="exact"/>
              <w:rPr>
                <w:rFonts w:hint="eastAsia" w:ascii="宋体" w:hAnsi="宋体" w:cs="宋体"/>
                <w:color w:val="auto"/>
                <w:szCs w:val="21"/>
                <w:highlight w:val="none"/>
              </w:rPr>
            </w:pPr>
          </w:p>
        </w:tc>
        <w:tc>
          <w:tcPr>
            <w:tcW w:w="2409" w:type="dxa"/>
            <w:vAlign w:val="center"/>
          </w:tcPr>
          <w:p w14:paraId="68FC6B7C">
            <w:pPr>
              <w:spacing w:line="440" w:lineRule="exact"/>
              <w:rPr>
                <w:rFonts w:hint="eastAsia" w:ascii="宋体" w:hAnsi="宋体" w:cs="宋体"/>
                <w:color w:val="auto"/>
                <w:szCs w:val="21"/>
                <w:highlight w:val="none"/>
              </w:rPr>
            </w:pPr>
          </w:p>
        </w:tc>
        <w:tc>
          <w:tcPr>
            <w:tcW w:w="850" w:type="dxa"/>
            <w:vAlign w:val="center"/>
          </w:tcPr>
          <w:p w14:paraId="36B46DCE">
            <w:pPr>
              <w:spacing w:line="440" w:lineRule="exact"/>
              <w:rPr>
                <w:rFonts w:hint="eastAsia" w:ascii="宋体" w:hAnsi="宋体" w:cs="宋体"/>
                <w:color w:val="auto"/>
                <w:szCs w:val="21"/>
                <w:highlight w:val="none"/>
              </w:rPr>
            </w:pPr>
          </w:p>
        </w:tc>
        <w:tc>
          <w:tcPr>
            <w:tcW w:w="1559" w:type="dxa"/>
            <w:vAlign w:val="center"/>
          </w:tcPr>
          <w:p w14:paraId="42E5580B">
            <w:pPr>
              <w:spacing w:line="440" w:lineRule="exact"/>
              <w:rPr>
                <w:rFonts w:hint="eastAsia" w:ascii="宋体" w:hAnsi="宋体" w:cs="宋体"/>
                <w:color w:val="auto"/>
                <w:szCs w:val="21"/>
                <w:highlight w:val="none"/>
              </w:rPr>
            </w:pPr>
          </w:p>
        </w:tc>
        <w:tc>
          <w:tcPr>
            <w:tcW w:w="2125" w:type="dxa"/>
            <w:vAlign w:val="center"/>
          </w:tcPr>
          <w:p w14:paraId="736F8086">
            <w:pPr>
              <w:spacing w:line="440" w:lineRule="exact"/>
              <w:rPr>
                <w:rFonts w:hint="eastAsia" w:ascii="宋体" w:hAnsi="宋体" w:cs="宋体"/>
                <w:color w:val="auto"/>
                <w:szCs w:val="21"/>
                <w:highlight w:val="none"/>
              </w:rPr>
            </w:pPr>
          </w:p>
        </w:tc>
        <w:tc>
          <w:tcPr>
            <w:tcW w:w="1416" w:type="dxa"/>
            <w:vAlign w:val="center"/>
          </w:tcPr>
          <w:p w14:paraId="17A28F6A">
            <w:pPr>
              <w:spacing w:line="440" w:lineRule="exact"/>
              <w:rPr>
                <w:rFonts w:hint="eastAsia" w:ascii="宋体" w:hAnsi="宋体" w:cs="宋体"/>
                <w:color w:val="auto"/>
                <w:szCs w:val="21"/>
                <w:highlight w:val="none"/>
              </w:rPr>
            </w:pPr>
          </w:p>
        </w:tc>
        <w:tc>
          <w:tcPr>
            <w:tcW w:w="851" w:type="dxa"/>
            <w:vAlign w:val="center"/>
          </w:tcPr>
          <w:p w14:paraId="52649D5D">
            <w:pPr>
              <w:spacing w:line="440" w:lineRule="exact"/>
              <w:rPr>
                <w:rFonts w:hint="eastAsia" w:ascii="宋体" w:hAnsi="宋体" w:cs="宋体"/>
                <w:color w:val="auto"/>
                <w:szCs w:val="21"/>
                <w:highlight w:val="none"/>
              </w:rPr>
            </w:pPr>
          </w:p>
        </w:tc>
        <w:tc>
          <w:tcPr>
            <w:tcW w:w="850" w:type="dxa"/>
            <w:vAlign w:val="center"/>
          </w:tcPr>
          <w:p w14:paraId="78F5DA0A">
            <w:pPr>
              <w:spacing w:line="440" w:lineRule="exact"/>
              <w:rPr>
                <w:rFonts w:hint="eastAsia" w:ascii="宋体" w:hAnsi="宋体" w:cs="宋体"/>
                <w:color w:val="auto"/>
                <w:szCs w:val="21"/>
                <w:highlight w:val="none"/>
              </w:rPr>
            </w:pPr>
          </w:p>
        </w:tc>
      </w:tr>
      <w:tr w14:paraId="7693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35F1FFC0">
            <w:pPr>
              <w:spacing w:line="440" w:lineRule="exact"/>
              <w:rPr>
                <w:rFonts w:hint="eastAsia" w:ascii="宋体" w:hAnsi="宋体" w:cs="宋体"/>
                <w:color w:val="auto"/>
                <w:szCs w:val="21"/>
                <w:highlight w:val="none"/>
              </w:rPr>
            </w:pPr>
          </w:p>
        </w:tc>
        <w:tc>
          <w:tcPr>
            <w:tcW w:w="1700" w:type="dxa"/>
            <w:vAlign w:val="center"/>
          </w:tcPr>
          <w:p w14:paraId="1FED3CAC">
            <w:pPr>
              <w:spacing w:line="440" w:lineRule="exact"/>
              <w:rPr>
                <w:rFonts w:hint="eastAsia" w:ascii="宋体" w:hAnsi="宋体" w:cs="宋体"/>
                <w:color w:val="auto"/>
                <w:szCs w:val="21"/>
                <w:highlight w:val="none"/>
              </w:rPr>
            </w:pPr>
          </w:p>
        </w:tc>
        <w:tc>
          <w:tcPr>
            <w:tcW w:w="1416" w:type="dxa"/>
            <w:vAlign w:val="center"/>
          </w:tcPr>
          <w:p w14:paraId="6B3D56BE">
            <w:pPr>
              <w:spacing w:line="440" w:lineRule="exact"/>
              <w:rPr>
                <w:rFonts w:hint="eastAsia" w:ascii="宋体" w:hAnsi="宋体" w:cs="宋体"/>
                <w:color w:val="auto"/>
                <w:szCs w:val="21"/>
                <w:highlight w:val="none"/>
              </w:rPr>
            </w:pPr>
          </w:p>
        </w:tc>
        <w:tc>
          <w:tcPr>
            <w:tcW w:w="2409" w:type="dxa"/>
            <w:vAlign w:val="center"/>
          </w:tcPr>
          <w:p w14:paraId="2B35A312">
            <w:pPr>
              <w:spacing w:line="440" w:lineRule="exact"/>
              <w:rPr>
                <w:rFonts w:hint="eastAsia" w:ascii="宋体" w:hAnsi="宋体" w:cs="宋体"/>
                <w:color w:val="auto"/>
                <w:szCs w:val="21"/>
                <w:highlight w:val="none"/>
              </w:rPr>
            </w:pPr>
          </w:p>
        </w:tc>
        <w:tc>
          <w:tcPr>
            <w:tcW w:w="850" w:type="dxa"/>
            <w:vAlign w:val="center"/>
          </w:tcPr>
          <w:p w14:paraId="43BDC0AE">
            <w:pPr>
              <w:spacing w:line="440" w:lineRule="exact"/>
              <w:rPr>
                <w:rFonts w:hint="eastAsia" w:ascii="宋体" w:hAnsi="宋体" w:cs="宋体"/>
                <w:color w:val="auto"/>
                <w:szCs w:val="21"/>
                <w:highlight w:val="none"/>
              </w:rPr>
            </w:pPr>
          </w:p>
        </w:tc>
        <w:tc>
          <w:tcPr>
            <w:tcW w:w="1559" w:type="dxa"/>
            <w:vAlign w:val="center"/>
          </w:tcPr>
          <w:p w14:paraId="6195B690">
            <w:pPr>
              <w:spacing w:line="440" w:lineRule="exact"/>
              <w:rPr>
                <w:rFonts w:hint="eastAsia" w:ascii="宋体" w:hAnsi="宋体" w:cs="宋体"/>
                <w:color w:val="auto"/>
                <w:szCs w:val="21"/>
                <w:highlight w:val="none"/>
              </w:rPr>
            </w:pPr>
          </w:p>
        </w:tc>
        <w:tc>
          <w:tcPr>
            <w:tcW w:w="2125" w:type="dxa"/>
            <w:vAlign w:val="center"/>
          </w:tcPr>
          <w:p w14:paraId="4789ACF8">
            <w:pPr>
              <w:spacing w:line="440" w:lineRule="exact"/>
              <w:rPr>
                <w:rFonts w:hint="eastAsia" w:ascii="宋体" w:hAnsi="宋体" w:cs="宋体"/>
                <w:color w:val="auto"/>
                <w:szCs w:val="21"/>
                <w:highlight w:val="none"/>
              </w:rPr>
            </w:pPr>
          </w:p>
        </w:tc>
        <w:tc>
          <w:tcPr>
            <w:tcW w:w="1416" w:type="dxa"/>
            <w:vAlign w:val="center"/>
          </w:tcPr>
          <w:p w14:paraId="07BD8D33">
            <w:pPr>
              <w:spacing w:line="440" w:lineRule="exact"/>
              <w:rPr>
                <w:rFonts w:hint="eastAsia" w:ascii="宋体" w:hAnsi="宋体" w:cs="宋体"/>
                <w:color w:val="auto"/>
                <w:szCs w:val="21"/>
                <w:highlight w:val="none"/>
              </w:rPr>
            </w:pPr>
          </w:p>
        </w:tc>
        <w:tc>
          <w:tcPr>
            <w:tcW w:w="851" w:type="dxa"/>
            <w:vAlign w:val="center"/>
          </w:tcPr>
          <w:p w14:paraId="0DDE8E9C">
            <w:pPr>
              <w:spacing w:line="440" w:lineRule="exact"/>
              <w:rPr>
                <w:rFonts w:hint="eastAsia" w:ascii="宋体" w:hAnsi="宋体" w:cs="宋体"/>
                <w:color w:val="auto"/>
                <w:szCs w:val="21"/>
                <w:highlight w:val="none"/>
              </w:rPr>
            </w:pPr>
          </w:p>
        </w:tc>
        <w:tc>
          <w:tcPr>
            <w:tcW w:w="850" w:type="dxa"/>
            <w:vAlign w:val="center"/>
          </w:tcPr>
          <w:p w14:paraId="2E11A92D">
            <w:pPr>
              <w:spacing w:line="440" w:lineRule="exact"/>
              <w:rPr>
                <w:rFonts w:hint="eastAsia" w:ascii="宋体" w:hAnsi="宋体" w:cs="宋体"/>
                <w:color w:val="auto"/>
                <w:szCs w:val="21"/>
                <w:highlight w:val="none"/>
              </w:rPr>
            </w:pPr>
          </w:p>
        </w:tc>
      </w:tr>
      <w:tr w14:paraId="6DAE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2317D222">
            <w:pPr>
              <w:spacing w:line="440" w:lineRule="exact"/>
              <w:rPr>
                <w:rFonts w:hint="eastAsia" w:ascii="宋体" w:hAnsi="宋体" w:cs="宋体"/>
                <w:color w:val="auto"/>
                <w:szCs w:val="21"/>
                <w:highlight w:val="none"/>
              </w:rPr>
            </w:pPr>
          </w:p>
        </w:tc>
        <w:tc>
          <w:tcPr>
            <w:tcW w:w="1700" w:type="dxa"/>
            <w:vAlign w:val="center"/>
          </w:tcPr>
          <w:p w14:paraId="63E52BB4">
            <w:pPr>
              <w:spacing w:line="440" w:lineRule="exact"/>
              <w:rPr>
                <w:rFonts w:hint="eastAsia" w:ascii="宋体" w:hAnsi="宋体" w:cs="宋体"/>
                <w:color w:val="auto"/>
                <w:szCs w:val="21"/>
                <w:highlight w:val="none"/>
              </w:rPr>
            </w:pPr>
          </w:p>
        </w:tc>
        <w:tc>
          <w:tcPr>
            <w:tcW w:w="1416" w:type="dxa"/>
            <w:vAlign w:val="center"/>
          </w:tcPr>
          <w:p w14:paraId="69CA91EC">
            <w:pPr>
              <w:spacing w:line="440" w:lineRule="exact"/>
              <w:rPr>
                <w:rFonts w:hint="eastAsia" w:ascii="宋体" w:hAnsi="宋体" w:cs="宋体"/>
                <w:color w:val="auto"/>
                <w:szCs w:val="21"/>
                <w:highlight w:val="none"/>
              </w:rPr>
            </w:pPr>
          </w:p>
        </w:tc>
        <w:tc>
          <w:tcPr>
            <w:tcW w:w="2409" w:type="dxa"/>
            <w:vAlign w:val="center"/>
          </w:tcPr>
          <w:p w14:paraId="1B4CFC67">
            <w:pPr>
              <w:spacing w:line="440" w:lineRule="exact"/>
              <w:rPr>
                <w:rFonts w:hint="eastAsia" w:ascii="宋体" w:hAnsi="宋体" w:cs="宋体"/>
                <w:color w:val="auto"/>
                <w:szCs w:val="21"/>
                <w:highlight w:val="none"/>
              </w:rPr>
            </w:pPr>
          </w:p>
        </w:tc>
        <w:tc>
          <w:tcPr>
            <w:tcW w:w="850" w:type="dxa"/>
            <w:vAlign w:val="center"/>
          </w:tcPr>
          <w:p w14:paraId="737BC3F2">
            <w:pPr>
              <w:spacing w:line="440" w:lineRule="exact"/>
              <w:rPr>
                <w:rFonts w:hint="eastAsia" w:ascii="宋体" w:hAnsi="宋体" w:cs="宋体"/>
                <w:color w:val="auto"/>
                <w:szCs w:val="21"/>
                <w:highlight w:val="none"/>
              </w:rPr>
            </w:pPr>
          </w:p>
        </w:tc>
        <w:tc>
          <w:tcPr>
            <w:tcW w:w="1559" w:type="dxa"/>
            <w:vAlign w:val="center"/>
          </w:tcPr>
          <w:p w14:paraId="6E191485">
            <w:pPr>
              <w:spacing w:line="440" w:lineRule="exact"/>
              <w:rPr>
                <w:rFonts w:hint="eastAsia" w:ascii="宋体" w:hAnsi="宋体" w:cs="宋体"/>
                <w:color w:val="auto"/>
                <w:szCs w:val="21"/>
                <w:highlight w:val="none"/>
              </w:rPr>
            </w:pPr>
          </w:p>
        </w:tc>
        <w:tc>
          <w:tcPr>
            <w:tcW w:w="2125" w:type="dxa"/>
            <w:vAlign w:val="center"/>
          </w:tcPr>
          <w:p w14:paraId="53352B06">
            <w:pPr>
              <w:spacing w:line="440" w:lineRule="exact"/>
              <w:rPr>
                <w:rFonts w:hint="eastAsia" w:ascii="宋体" w:hAnsi="宋体" w:cs="宋体"/>
                <w:color w:val="auto"/>
                <w:szCs w:val="21"/>
                <w:highlight w:val="none"/>
              </w:rPr>
            </w:pPr>
          </w:p>
        </w:tc>
        <w:tc>
          <w:tcPr>
            <w:tcW w:w="1416" w:type="dxa"/>
            <w:vAlign w:val="center"/>
          </w:tcPr>
          <w:p w14:paraId="39C076FF">
            <w:pPr>
              <w:spacing w:line="440" w:lineRule="exact"/>
              <w:rPr>
                <w:rFonts w:hint="eastAsia" w:ascii="宋体" w:hAnsi="宋体" w:cs="宋体"/>
                <w:color w:val="auto"/>
                <w:szCs w:val="21"/>
                <w:highlight w:val="none"/>
              </w:rPr>
            </w:pPr>
          </w:p>
        </w:tc>
        <w:tc>
          <w:tcPr>
            <w:tcW w:w="851" w:type="dxa"/>
            <w:vAlign w:val="center"/>
          </w:tcPr>
          <w:p w14:paraId="27A1EB1B">
            <w:pPr>
              <w:spacing w:line="440" w:lineRule="exact"/>
              <w:rPr>
                <w:rFonts w:hint="eastAsia" w:ascii="宋体" w:hAnsi="宋体" w:cs="宋体"/>
                <w:color w:val="auto"/>
                <w:szCs w:val="21"/>
                <w:highlight w:val="none"/>
              </w:rPr>
            </w:pPr>
          </w:p>
        </w:tc>
        <w:tc>
          <w:tcPr>
            <w:tcW w:w="850" w:type="dxa"/>
            <w:vAlign w:val="center"/>
          </w:tcPr>
          <w:p w14:paraId="09C535D1">
            <w:pPr>
              <w:spacing w:line="440" w:lineRule="exact"/>
              <w:rPr>
                <w:rFonts w:hint="eastAsia" w:ascii="宋体" w:hAnsi="宋体" w:cs="宋体"/>
                <w:color w:val="auto"/>
                <w:szCs w:val="21"/>
                <w:highlight w:val="none"/>
              </w:rPr>
            </w:pPr>
          </w:p>
        </w:tc>
      </w:tr>
      <w:tr w14:paraId="079B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50CA1ADC">
            <w:pPr>
              <w:spacing w:line="440" w:lineRule="exact"/>
              <w:rPr>
                <w:rFonts w:hint="eastAsia" w:ascii="宋体" w:hAnsi="宋体" w:cs="宋体"/>
                <w:color w:val="auto"/>
                <w:szCs w:val="21"/>
                <w:highlight w:val="none"/>
              </w:rPr>
            </w:pPr>
          </w:p>
        </w:tc>
        <w:tc>
          <w:tcPr>
            <w:tcW w:w="1700" w:type="dxa"/>
            <w:vAlign w:val="center"/>
          </w:tcPr>
          <w:p w14:paraId="74753AC4">
            <w:pPr>
              <w:spacing w:line="440" w:lineRule="exact"/>
              <w:rPr>
                <w:rFonts w:hint="eastAsia" w:ascii="宋体" w:hAnsi="宋体" w:cs="宋体"/>
                <w:color w:val="auto"/>
                <w:szCs w:val="21"/>
                <w:highlight w:val="none"/>
              </w:rPr>
            </w:pPr>
          </w:p>
        </w:tc>
        <w:tc>
          <w:tcPr>
            <w:tcW w:w="1416" w:type="dxa"/>
            <w:vAlign w:val="center"/>
          </w:tcPr>
          <w:p w14:paraId="505C7108">
            <w:pPr>
              <w:spacing w:line="440" w:lineRule="exact"/>
              <w:rPr>
                <w:rFonts w:hint="eastAsia" w:ascii="宋体" w:hAnsi="宋体" w:cs="宋体"/>
                <w:color w:val="auto"/>
                <w:szCs w:val="21"/>
                <w:highlight w:val="none"/>
              </w:rPr>
            </w:pPr>
          </w:p>
        </w:tc>
        <w:tc>
          <w:tcPr>
            <w:tcW w:w="2409" w:type="dxa"/>
            <w:vAlign w:val="center"/>
          </w:tcPr>
          <w:p w14:paraId="05691541">
            <w:pPr>
              <w:spacing w:line="440" w:lineRule="exact"/>
              <w:rPr>
                <w:rFonts w:hint="eastAsia" w:ascii="宋体" w:hAnsi="宋体" w:cs="宋体"/>
                <w:color w:val="auto"/>
                <w:szCs w:val="21"/>
                <w:highlight w:val="none"/>
              </w:rPr>
            </w:pPr>
          </w:p>
        </w:tc>
        <w:tc>
          <w:tcPr>
            <w:tcW w:w="850" w:type="dxa"/>
            <w:vAlign w:val="center"/>
          </w:tcPr>
          <w:p w14:paraId="2B610DD2">
            <w:pPr>
              <w:spacing w:line="440" w:lineRule="exact"/>
              <w:rPr>
                <w:rFonts w:hint="eastAsia" w:ascii="宋体" w:hAnsi="宋体" w:cs="宋体"/>
                <w:color w:val="auto"/>
                <w:szCs w:val="21"/>
                <w:highlight w:val="none"/>
              </w:rPr>
            </w:pPr>
          </w:p>
        </w:tc>
        <w:tc>
          <w:tcPr>
            <w:tcW w:w="1559" w:type="dxa"/>
            <w:vAlign w:val="center"/>
          </w:tcPr>
          <w:p w14:paraId="455BF566">
            <w:pPr>
              <w:spacing w:line="440" w:lineRule="exact"/>
              <w:rPr>
                <w:rFonts w:hint="eastAsia" w:ascii="宋体" w:hAnsi="宋体" w:cs="宋体"/>
                <w:color w:val="auto"/>
                <w:szCs w:val="21"/>
                <w:highlight w:val="none"/>
              </w:rPr>
            </w:pPr>
          </w:p>
        </w:tc>
        <w:tc>
          <w:tcPr>
            <w:tcW w:w="2125" w:type="dxa"/>
            <w:vAlign w:val="center"/>
          </w:tcPr>
          <w:p w14:paraId="73E22829">
            <w:pPr>
              <w:spacing w:line="440" w:lineRule="exact"/>
              <w:rPr>
                <w:rFonts w:hint="eastAsia" w:ascii="宋体" w:hAnsi="宋体" w:cs="宋体"/>
                <w:color w:val="auto"/>
                <w:szCs w:val="21"/>
                <w:highlight w:val="none"/>
              </w:rPr>
            </w:pPr>
          </w:p>
        </w:tc>
        <w:tc>
          <w:tcPr>
            <w:tcW w:w="1416" w:type="dxa"/>
            <w:vAlign w:val="center"/>
          </w:tcPr>
          <w:p w14:paraId="462BB27E">
            <w:pPr>
              <w:spacing w:line="440" w:lineRule="exact"/>
              <w:rPr>
                <w:rFonts w:hint="eastAsia" w:ascii="宋体" w:hAnsi="宋体" w:cs="宋体"/>
                <w:color w:val="auto"/>
                <w:szCs w:val="21"/>
                <w:highlight w:val="none"/>
              </w:rPr>
            </w:pPr>
          </w:p>
        </w:tc>
        <w:tc>
          <w:tcPr>
            <w:tcW w:w="851" w:type="dxa"/>
            <w:vAlign w:val="center"/>
          </w:tcPr>
          <w:p w14:paraId="156B6085">
            <w:pPr>
              <w:spacing w:line="440" w:lineRule="exact"/>
              <w:rPr>
                <w:rFonts w:hint="eastAsia" w:ascii="宋体" w:hAnsi="宋体" w:cs="宋体"/>
                <w:color w:val="auto"/>
                <w:szCs w:val="21"/>
                <w:highlight w:val="none"/>
              </w:rPr>
            </w:pPr>
          </w:p>
        </w:tc>
        <w:tc>
          <w:tcPr>
            <w:tcW w:w="850" w:type="dxa"/>
            <w:vAlign w:val="center"/>
          </w:tcPr>
          <w:p w14:paraId="53629280">
            <w:pPr>
              <w:spacing w:line="440" w:lineRule="exact"/>
              <w:rPr>
                <w:rFonts w:hint="eastAsia" w:ascii="宋体" w:hAnsi="宋体" w:cs="宋体"/>
                <w:color w:val="auto"/>
                <w:szCs w:val="21"/>
                <w:highlight w:val="none"/>
              </w:rPr>
            </w:pPr>
          </w:p>
        </w:tc>
      </w:tr>
      <w:tr w14:paraId="3E6C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64CA91E0">
            <w:pPr>
              <w:spacing w:line="440" w:lineRule="exact"/>
              <w:rPr>
                <w:rFonts w:hint="eastAsia" w:ascii="宋体" w:hAnsi="宋体" w:cs="宋体"/>
                <w:color w:val="auto"/>
                <w:szCs w:val="21"/>
                <w:highlight w:val="none"/>
              </w:rPr>
            </w:pPr>
          </w:p>
        </w:tc>
        <w:tc>
          <w:tcPr>
            <w:tcW w:w="1700" w:type="dxa"/>
            <w:vAlign w:val="center"/>
          </w:tcPr>
          <w:p w14:paraId="4A4B39C8">
            <w:pPr>
              <w:spacing w:line="440" w:lineRule="exact"/>
              <w:rPr>
                <w:rFonts w:hint="eastAsia" w:ascii="宋体" w:hAnsi="宋体" w:cs="宋体"/>
                <w:color w:val="auto"/>
                <w:szCs w:val="21"/>
                <w:highlight w:val="none"/>
              </w:rPr>
            </w:pPr>
          </w:p>
        </w:tc>
        <w:tc>
          <w:tcPr>
            <w:tcW w:w="1416" w:type="dxa"/>
            <w:vAlign w:val="center"/>
          </w:tcPr>
          <w:p w14:paraId="42F48DB7">
            <w:pPr>
              <w:spacing w:line="440" w:lineRule="exact"/>
              <w:rPr>
                <w:rFonts w:hint="eastAsia" w:ascii="宋体" w:hAnsi="宋体" w:cs="宋体"/>
                <w:color w:val="auto"/>
                <w:szCs w:val="21"/>
                <w:highlight w:val="none"/>
              </w:rPr>
            </w:pPr>
          </w:p>
        </w:tc>
        <w:tc>
          <w:tcPr>
            <w:tcW w:w="2409" w:type="dxa"/>
            <w:vAlign w:val="center"/>
          </w:tcPr>
          <w:p w14:paraId="3AED7A13">
            <w:pPr>
              <w:spacing w:line="440" w:lineRule="exact"/>
              <w:rPr>
                <w:rFonts w:hint="eastAsia" w:ascii="宋体" w:hAnsi="宋体" w:cs="宋体"/>
                <w:color w:val="auto"/>
                <w:szCs w:val="21"/>
                <w:highlight w:val="none"/>
              </w:rPr>
            </w:pPr>
          </w:p>
        </w:tc>
        <w:tc>
          <w:tcPr>
            <w:tcW w:w="850" w:type="dxa"/>
            <w:vAlign w:val="center"/>
          </w:tcPr>
          <w:p w14:paraId="43710784">
            <w:pPr>
              <w:spacing w:line="440" w:lineRule="exact"/>
              <w:rPr>
                <w:rFonts w:hint="eastAsia" w:ascii="宋体" w:hAnsi="宋体" w:cs="宋体"/>
                <w:color w:val="auto"/>
                <w:szCs w:val="21"/>
                <w:highlight w:val="none"/>
              </w:rPr>
            </w:pPr>
          </w:p>
        </w:tc>
        <w:tc>
          <w:tcPr>
            <w:tcW w:w="1559" w:type="dxa"/>
            <w:vAlign w:val="center"/>
          </w:tcPr>
          <w:p w14:paraId="623A19E9">
            <w:pPr>
              <w:spacing w:line="440" w:lineRule="exact"/>
              <w:rPr>
                <w:rFonts w:hint="eastAsia" w:ascii="宋体" w:hAnsi="宋体" w:cs="宋体"/>
                <w:color w:val="auto"/>
                <w:szCs w:val="21"/>
                <w:highlight w:val="none"/>
              </w:rPr>
            </w:pPr>
          </w:p>
        </w:tc>
        <w:tc>
          <w:tcPr>
            <w:tcW w:w="2125" w:type="dxa"/>
            <w:vAlign w:val="center"/>
          </w:tcPr>
          <w:p w14:paraId="6A00DA01">
            <w:pPr>
              <w:spacing w:line="440" w:lineRule="exact"/>
              <w:rPr>
                <w:rFonts w:hint="eastAsia" w:ascii="宋体" w:hAnsi="宋体" w:cs="宋体"/>
                <w:color w:val="auto"/>
                <w:szCs w:val="21"/>
                <w:highlight w:val="none"/>
              </w:rPr>
            </w:pPr>
          </w:p>
        </w:tc>
        <w:tc>
          <w:tcPr>
            <w:tcW w:w="1416" w:type="dxa"/>
            <w:vAlign w:val="center"/>
          </w:tcPr>
          <w:p w14:paraId="3DB85AD0">
            <w:pPr>
              <w:spacing w:line="440" w:lineRule="exact"/>
              <w:rPr>
                <w:rFonts w:hint="eastAsia" w:ascii="宋体" w:hAnsi="宋体" w:cs="宋体"/>
                <w:color w:val="auto"/>
                <w:szCs w:val="21"/>
                <w:highlight w:val="none"/>
              </w:rPr>
            </w:pPr>
          </w:p>
        </w:tc>
        <w:tc>
          <w:tcPr>
            <w:tcW w:w="851" w:type="dxa"/>
            <w:vAlign w:val="center"/>
          </w:tcPr>
          <w:p w14:paraId="6480C077">
            <w:pPr>
              <w:spacing w:line="440" w:lineRule="exact"/>
              <w:rPr>
                <w:rFonts w:hint="eastAsia" w:ascii="宋体" w:hAnsi="宋体" w:cs="宋体"/>
                <w:color w:val="auto"/>
                <w:szCs w:val="21"/>
                <w:highlight w:val="none"/>
              </w:rPr>
            </w:pPr>
          </w:p>
        </w:tc>
        <w:tc>
          <w:tcPr>
            <w:tcW w:w="850" w:type="dxa"/>
            <w:vAlign w:val="center"/>
          </w:tcPr>
          <w:p w14:paraId="3A648C71">
            <w:pPr>
              <w:spacing w:line="440" w:lineRule="exact"/>
              <w:rPr>
                <w:rFonts w:hint="eastAsia" w:ascii="宋体" w:hAnsi="宋体" w:cs="宋体"/>
                <w:color w:val="auto"/>
                <w:szCs w:val="21"/>
                <w:highlight w:val="none"/>
              </w:rPr>
            </w:pPr>
          </w:p>
        </w:tc>
      </w:tr>
      <w:tr w14:paraId="0008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68F03125">
            <w:pPr>
              <w:spacing w:line="440" w:lineRule="exact"/>
              <w:rPr>
                <w:rFonts w:hint="eastAsia" w:ascii="宋体" w:hAnsi="宋体" w:cs="宋体"/>
                <w:color w:val="auto"/>
                <w:szCs w:val="21"/>
                <w:highlight w:val="none"/>
              </w:rPr>
            </w:pPr>
          </w:p>
        </w:tc>
        <w:tc>
          <w:tcPr>
            <w:tcW w:w="1700" w:type="dxa"/>
            <w:vAlign w:val="center"/>
          </w:tcPr>
          <w:p w14:paraId="619A466F">
            <w:pPr>
              <w:spacing w:line="440" w:lineRule="exact"/>
              <w:rPr>
                <w:rFonts w:hint="eastAsia" w:ascii="宋体" w:hAnsi="宋体" w:cs="宋体"/>
                <w:color w:val="auto"/>
                <w:szCs w:val="21"/>
                <w:highlight w:val="none"/>
              </w:rPr>
            </w:pPr>
          </w:p>
        </w:tc>
        <w:tc>
          <w:tcPr>
            <w:tcW w:w="1416" w:type="dxa"/>
            <w:vAlign w:val="center"/>
          </w:tcPr>
          <w:p w14:paraId="768D0309">
            <w:pPr>
              <w:spacing w:line="440" w:lineRule="exact"/>
              <w:rPr>
                <w:rFonts w:hint="eastAsia" w:ascii="宋体" w:hAnsi="宋体" w:cs="宋体"/>
                <w:color w:val="auto"/>
                <w:szCs w:val="21"/>
                <w:highlight w:val="none"/>
              </w:rPr>
            </w:pPr>
          </w:p>
        </w:tc>
        <w:tc>
          <w:tcPr>
            <w:tcW w:w="2409" w:type="dxa"/>
            <w:vAlign w:val="center"/>
          </w:tcPr>
          <w:p w14:paraId="1ABA73FF">
            <w:pPr>
              <w:spacing w:line="440" w:lineRule="exact"/>
              <w:rPr>
                <w:rFonts w:hint="eastAsia" w:ascii="宋体" w:hAnsi="宋体" w:cs="宋体"/>
                <w:color w:val="auto"/>
                <w:szCs w:val="21"/>
                <w:highlight w:val="none"/>
              </w:rPr>
            </w:pPr>
          </w:p>
        </w:tc>
        <w:tc>
          <w:tcPr>
            <w:tcW w:w="850" w:type="dxa"/>
            <w:vAlign w:val="center"/>
          </w:tcPr>
          <w:p w14:paraId="7E00BDB2">
            <w:pPr>
              <w:spacing w:line="440" w:lineRule="exact"/>
              <w:rPr>
                <w:rFonts w:hint="eastAsia" w:ascii="宋体" w:hAnsi="宋体" w:cs="宋体"/>
                <w:color w:val="auto"/>
                <w:szCs w:val="21"/>
                <w:highlight w:val="none"/>
              </w:rPr>
            </w:pPr>
          </w:p>
        </w:tc>
        <w:tc>
          <w:tcPr>
            <w:tcW w:w="1559" w:type="dxa"/>
            <w:vAlign w:val="center"/>
          </w:tcPr>
          <w:p w14:paraId="7D7A617A">
            <w:pPr>
              <w:spacing w:line="440" w:lineRule="exact"/>
              <w:rPr>
                <w:rFonts w:hint="eastAsia" w:ascii="宋体" w:hAnsi="宋体" w:cs="宋体"/>
                <w:color w:val="auto"/>
                <w:szCs w:val="21"/>
                <w:highlight w:val="none"/>
              </w:rPr>
            </w:pPr>
          </w:p>
        </w:tc>
        <w:tc>
          <w:tcPr>
            <w:tcW w:w="2125" w:type="dxa"/>
            <w:vAlign w:val="center"/>
          </w:tcPr>
          <w:p w14:paraId="5AFA836C">
            <w:pPr>
              <w:spacing w:line="440" w:lineRule="exact"/>
              <w:rPr>
                <w:rFonts w:hint="eastAsia" w:ascii="宋体" w:hAnsi="宋体" w:cs="宋体"/>
                <w:color w:val="auto"/>
                <w:szCs w:val="21"/>
                <w:highlight w:val="none"/>
              </w:rPr>
            </w:pPr>
          </w:p>
        </w:tc>
        <w:tc>
          <w:tcPr>
            <w:tcW w:w="1416" w:type="dxa"/>
            <w:vAlign w:val="center"/>
          </w:tcPr>
          <w:p w14:paraId="5790BB0C">
            <w:pPr>
              <w:spacing w:line="440" w:lineRule="exact"/>
              <w:rPr>
                <w:rFonts w:hint="eastAsia" w:ascii="宋体" w:hAnsi="宋体" w:cs="宋体"/>
                <w:color w:val="auto"/>
                <w:szCs w:val="21"/>
                <w:highlight w:val="none"/>
              </w:rPr>
            </w:pPr>
          </w:p>
        </w:tc>
        <w:tc>
          <w:tcPr>
            <w:tcW w:w="851" w:type="dxa"/>
            <w:vAlign w:val="center"/>
          </w:tcPr>
          <w:p w14:paraId="66649C04">
            <w:pPr>
              <w:spacing w:line="440" w:lineRule="exact"/>
              <w:rPr>
                <w:rFonts w:hint="eastAsia" w:ascii="宋体" w:hAnsi="宋体" w:cs="宋体"/>
                <w:color w:val="auto"/>
                <w:szCs w:val="21"/>
                <w:highlight w:val="none"/>
              </w:rPr>
            </w:pPr>
          </w:p>
        </w:tc>
        <w:tc>
          <w:tcPr>
            <w:tcW w:w="850" w:type="dxa"/>
            <w:vAlign w:val="center"/>
          </w:tcPr>
          <w:p w14:paraId="3CC22B6E">
            <w:pPr>
              <w:spacing w:line="440" w:lineRule="exact"/>
              <w:rPr>
                <w:rFonts w:hint="eastAsia" w:ascii="宋体" w:hAnsi="宋体" w:cs="宋体"/>
                <w:color w:val="auto"/>
                <w:szCs w:val="21"/>
                <w:highlight w:val="none"/>
              </w:rPr>
            </w:pPr>
          </w:p>
        </w:tc>
      </w:tr>
      <w:tr w14:paraId="1A8C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73DD800C">
            <w:pPr>
              <w:spacing w:line="440" w:lineRule="exact"/>
              <w:rPr>
                <w:rFonts w:hint="eastAsia" w:ascii="宋体" w:hAnsi="宋体" w:cs="宋体"/>
                <w:color w:val="auto"/>
                <w:szCs w:val="21"/>
                <w:highlight w:val="none"/>
              </w:rPr>
            </w:pPr>
          </w:p>
        </w:tc>
        <w:tc>
          <w:tcPr>
            <w:tcW w:w="1700" w:type="dxa"/>
            <w:vAlign w:val="center"/>
          </w:tcPr>
          <w:p w14:paraId="138630EB">
            <w:pPr>
              <w:spacing w:line="440" w:lineRule="exact"/>
              <w:rPr>
                <w:rFonts w:hint="eastAsia" w:ascii="宋体" w:hAnsi="宋体" w:cs="宋体"/>
                <w:color w:val="auto"/>
                <w:szCs w:val="21"/>
                <w:highlight w:val="none"/>
              </w:rPr>
            </w:pPr>
          </w:p>
        </w:tc>
        <w:tc>
          <w:tcPr>
            <w:tcW w:w="1416" w:type="dxa"/>
            <w:vAlign w:val="center"/>
          </w:tcPr>
          <w:p w14:paraId="1E0F5F7F">
            <w:pPr>
              <w:spacing w:line="440" w:lineRule="exact"/>
              <w:rPr>
                <w:rFonts w:hint="eastAsia" w:ascii="宋体" w:hAnsi="宋体" w:cs="宋体"/>
                <w:color w:val="auto"/>
                <w:szCs w:val="21"/>
                <w:highlight w:val="none"/>
              </w:rPr>
            </w:pPr>
          </w:p>
        </w:tc>
        <w:tc>
          <w:tcPr>
            <w:tcW w:w="2409" w:type="dxa"/>
            <w:vAlign w:val="center"/>
          </w:tcPr>
          <w:p w14:paraId="4ECF407C">
            <w:pPr>
              <w:spacing w:line="440" w:lineRule="exact"/>
              <w:rPr>
                <w:rFonts w:hint="eastAsia" w:ascii="宋体" w:hAnsi="宋体" w:cs="宋体"/>
                <w:color w:val="auto"/>
                <w:szCs w:val="21"/>
                <w:highlight w:val="none"/>
              </w:rPr>
            </w:pPr>
          </w:p>
        </w:tc>
        <w:tc>
          <w:tcPr>
            <w:tcW w:w="850" w:type="dxa"/>
            <w:vAlign w:val="center"/>
          </w:tcPr>
          <w:p w14:paraId="7FE9BB78">
            <w:pPr>
              <w:spacing w:line="440" w:lineRule="exact"/>
              <w:rPr>
                <w:rFonts w:hint="eastAsia" w:ascii="宋体" w:hAnsi="宋体" w:cs="宋体"/>
                <w:color w:val="auto"/>
                <w:szCs w:val="21"/>
                <w:highlight w:val="none"/>
              </w:rPr>
            </w:pPr>
          </w:p>
        </w:tc>
        <w:tc>
          <w:tcPr>
            <w:tcW w:w="1559" w:type="dxa"/>
            <w:vAlign w:val="center"/>
          </w:tcPr>
          <w:p w14:paraId="44C9F669">
            <w:pPr>
              <w:spacing w:line="440" w:lineRule="exact"/>
              <w:rPr>
                <w:rFonts w:hint="eastAsia" w:ascii="宋体" w:hAnsi="宋体" w:cs="宋体"/>
                <w:color w:val="auto"/>
                <w:szCs w:val="21"/>
                <w:highlight w:val="none"/>
              </w:rPr>
            </w:pPr>
          </w:p>
        </w:tc>
        <w:tc>
          <w:tcPr>
            <w:tcW w:w="2125" w:type="dxa"/>
            <w:vAlign w:val="center"/>
          </w:tcPr>
          <w:p w14:paraId="12FEF1E3">
            <w:pPr>
              <w:spacing w:line="440" w:lineRule="exact"/>
              <w:rPr>
                <w:rFonts w:hint="eastAsia" w:ascii="宋体" w:hAnsi="宋体" w:cs="宋体"/>
                <w:color w:val="auto"/>
                <w:szCs w:val="21"/>
                <w:highlight w:val="none"/>
              </w:rPr>
            </w:pPr>
          </w:p>
        </w:tc>
        <w:tc>
          <w:tcPr>
            <w:tcW w:w="1416" w:type="dxa"/>
            <w:vAlign w:val="center"/>
          </w:tcPr>
          <w:p w14:paraId="59925FD7">
            <w:pPr>
              <w:spacing w:line="440" w:lineRule="exact"/>
              <w:rPr>
                <w:rFonts w:hint="eastAsia" w:ascii="宋体" w:hAnsi="宋体" w:cs="宋体"/>
                <w:color w:val="auto"/>
                <w:szCs w:val="21"/>
                <w:highlight w:val="none"/>
              </w:rPr>
            </w:pPr>
          </w:p>
        </w:tc>
        <w:tc>
          <w:tcPr>
            <w:tcW w:w="851" w:type="dxa"/>
            <w:vAlign w:val="center"/>
          </w:tcPr>
          <w:p w14:paraId="5F7394CB">
            <w:pPr>
              <w:spacing w:line="440" w:lineRule="exact"/>
              <w:rPr>
                <w:rFonts w:hint="eastAsia" w:ascii="宋体" w:hAnsi="宋体" w:cs="宋体"/>
                <w:color w:val="auto"/>
                <w:szCs w:val="21"/>
                <w:highlight w:val="none"/>
              </w:rPr>
            </w:pPr>
          </w:p>
        </w:tc>
        <w:tc>
          <w:tcPr>
            <w:tcW w:w="850" w:type="dxa"/>
            <w:vAlign w:val="center"/>
          </w:tcPr>
          <w:p w14:paraId="702019D8">
            <w:pPr>
              <w:spacing w:line="440" w:lineRule="exact"/>
              <w:rPr>
                <w:rFonts w:hint="eastAsia" w:ascii="宋体" w:hAnsi="宋体" w:cs="宋体"/>
                <w:color w:val="auto"/>
                <w:szCs w:val="21"/>
                <w:highlight w:val="none"/>
              </w:rPr>
            </w:pPr>
          </w:p>
        </w:tc>
      </w:tr>
      <w:tr w14:paraId="16CE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14A99400">
            <w:pPr>
              <w:spacing w:line="440" w:lineRule="exact"/>
              <w:rPr>
                <w:rFonts w:hint="eastAsia" w:ascii="宋体" w:hAnsi="宋体" w:cs="宋体"/>
                <w:color w:val="auto"/>
                <w:szCs w:val="21"/>
                <w:highlight w:val="none"/>
              </w:rPr>
            </w:pPr>
          </w:p>
        </w:tc>
        <w:tc>
          <w:tcPr>
            <w:tcW w:w="1700" w:type="dxa"/>
            <w:vAlign w:val="center"/>
          </w:tcPr>
          <w:p w14:paraId="489F7767">
            <w:pPr>
              <w:spacing w:line="440" w:lineRule="exact"/>
              <w:rPr>
                <w:rFonts w:hint="eastAsia" w:ascii="宋体" w:hAnsi="宋体" w:cs="宋体"/>
                <w:color w:val="auto"/>
                <w:szCs w:val="21"/>
                <w:highlight w:val="none"/>
              </w:rPr>
            </w:pPr>
          </w:p>
        </w:tc>
        <w:tc>
          <w:tcPr>
            <w:tcW w:w="1416" w:type="dxa"/>
            <w:vAlign w:val="center"/>
          </w:tcPr>
          <w:p w14:paraId="28B47520">
            <w:pPr>
              <w:spacing w:line="440" w:lineRule="exact"/>
              <w:rPr>
                <w:rFonts w:hint="eastAsia" w:ascii="宋体" w:hAnsi="宋体" w:cs="宋体"/>
                <w:color w:val="auto"/>
                <w:szCs w:val="21"/>
                <w:highlight w:val="none"/>
              </w:rPr>
            </w:pPr>
          </w:p>
        </w:tc>
        <w:tc>
          <w:tcPr>
            <w:tcW w:w="2409" w:type="dxa"/>
            <w:vAlign w:val="center"/>
          </w:tcPr>
          <w:p w14:paraId="2DFE03C6">
            <w:pPr>
              <w:spacing w:line="440" w:lineRule="exact"/>
              <w:rPr>
                <w:rFonts w:hint="eastAsia" w:ascii="宋体" w:hAnsi="宋体" w:cs="宋体"/>
                <w:color w:val="auto"/>
                <w:szCs w:val="21"/>
                <w:highlight w:val="none"/>
              </w:rPr>
            </w:pPr>
          </w:p>
        </w:tc>
        <w:tc>
          <w:tcPr>
            <w:tcW w:w="850" w:type="dxa"/>
            <w:vAlign w:val="center"/>
          </w:tcPr>
          <w:p w14:paraId="04E390C9">
            <w:pPr>
              <w:spacing w:line="440" w:lineRule="exact"/>
              <w:rPr>
                <w:rFonts w:hint="eastAsia" w:ascii="宋体" w:hAnsi="宋体" w:cs="宋体"/>
                <w:color w:val="auto"/>
                <w:szCs w:val="21"/>
                <w:highlight w:val="none"/>
              </w:rPr>
            </w:pPr>
          </w:p>
        </w:tc>
        <w:tc>
          <w:tcPr>
            <w:tcW w:w="1559" w:type="dxa"/>
            <w:vAlign w:val="center"/>
          </w:tcPr>
          <w:p w14:paraId="293617EF">
            <w:pPr>
              <w:spacing w:line="440" w:lineRule="exact"/>
              <w:rPr>
                <w:rFonts w:hint="eastAsia" w:ascii="宋体" w:hAnsi="宋体" w:cs="宋体"/>
                <w:color w:val="auto"/>
                <w:szCs w:val="21"/>
                <w:highlight w:val="none"/>
              </w:rPr>
            </w:pPr>
          </w:p>
        </w:tc>
        <w:tc>
          <w:tcPr>
            <w:tcW w:w="2125" w:type="dxa"/>
            <w:vAlign w:val="center"/>
          </w:tcPr>
          <w:p w14:paraId="1B40E60C">
            <w:pPr>
              <w:spacing w:line="440" w:lineRule="exact"/>
              <w:rPr>
                <w:rFonts w:hint="eastAsia" w:ascii="宋体" w:hAnsi="宋体" w:cs="宋体"/>
                <w:color w:val="auto"/>
                <w:szCs w:val="21"/>
                <w:highlight w:val="none"/>
              </w:rPr>
            </w:pPr>
          </w:p>
        </w:tc>
        <w:tc>
          <w:tcPr>
            <w:tcW w:w="1416" w:type="dxa"/>
            <w:vAlign w:val="center"/>
          </w:tcPr>
          <w:p w14:paraId="23C61302">
            <w:pPr>
              <w:spacing w:line="440" w:lineRule="exact"/>
              <w:rPr>
                <w:rFonts w:hint="eastAsia" w:ascii="宋体" w:hAnsi="宋体" w:cs="宋体"/>
                <w:color w:val="auto"/>
                <w:szCs w:val="21"/>
                <w:highlight w:val="none"/>
              </w:rPr>
            </w:pPr>
          </w:p>
        </w:tc>
        <w:tc>
          <w:tcPr>
            <w:tcW w:w="851" w:type="dxa"/>
            <w:vAlign w:val="center"/>
          </w:tcPr>
          <w:p w14:paraId="00D3F37F">
            <w:pPr>
              <w:spacing w:line="440" w:lineRule="exact"/>
              <w:rPr>
                <w:rFonts w:hint="eastAsia" w:ascii="宋体" w:hAnsi="宋体" w:cs="宋体"/>
                <w:color w:val="auto"/>
                <w:szCs w:val="21"/>
                <w:highlight w:val="none"/>
              </w:rPr>
            </w:pPr>
          </w:p>
        </w:tc>
        <w:tc>
          <w:tcPr>
            <w:tcW w:w="850" w:type="dxa"/>
            <w:vAlign w:val="center"/>
          </w:tcPr>
          <w:p w14:paraId="5E30F25A">
            <w:pPr>
              <w:spacing w:line="440" w:lineRule="exact"/>
              <w:rPr>
                <w:rFonts w:hint="eastAsia" w:ascii="宋体" w:hAnsi="宋体" w:cs="宋体"/>
                <w:color w:val="auto"/>
                <w:szCs w:val="21"/>
                <w:highlight w:val="none"/>
              </w:rPr>
            </w:pPr>
          </w:p>
        </w:tc>
      </w:tr>
      <w:tr w14:paraId="056F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03B0CC56">
            <w:pPr>
              <w:spacing w:line="440" w:lineRule="exact"/>
              <w:rPr>
                <w:rFonts w:hint="eastAsia" w:ascii="宋体" w:hAnsi="宋体" w:cs="宋体"/>
                <w:color w:val="auto"/>
                <w:szCs w:val="21"/>
                <w:highlight w:val="none"/>
              </w:rPr>
            </w:pPr>
          </w:p>
        </w:tc>
        <w:tc>
          <w:tcPr>
            <w:tcW w:w="1700" w:type="dxa"/>
            <w:vAlign w:val="center"/>
          </w:tcPr>
          <w:p w14:paraId="309BC0E1">
            <w:pPr>
              <w:spacing w:line="440" w:lineRule="exact"/>
              <w:rPr>
                <w:rFonts w:hint="eastAsia" w:ascii="宋体" w:hAnsi="宋体" w:cs="宋体"/>
                <w:color w:val="auto"/>
                <w:szCs w:val="21"/>
                <w:highlight w:val="none"/>
              </w:rPr>
            </w:pPr>
          </w:p>
        </w:tc>
        <w:tc>
          <w:tcPr>
            <w:tcW w:w="1416" w:type="dxa"/>
            <w:vAlign w:val="center"/>
          </w:tcPr>
          <w:p w14:paraId="62435612">
            <w:pPr>
              <w:spacing w:line="440" w:lineRule="exact"/>
              <w:rPr>
                <w:rFonts w:hint="eastAsia" w:ascii="宋体" w:hAnsi="宋体" w:cs="宋体"/>
                <w:color w:val="auto"/>
                <w:szCs w:val="21"/>
                <w:highlight w:val="none"/>
              </w:rPr>
            </w:pPr>
          </w:p>
        </w:tc>
        <w:tc>
          <w:tcPr>
            <w:tcW w:w="2409" w:type="dxa"/>
            <w:vAlign w:val="center"/>
          </w:tcPr>
          <w:p w14:paraId="4C49E4AD">
            <w:pPr>
              <w:spacing w:line="440" w:lineRule="exact"/>
              <w:rPr>
                <w:rFonts w:hint="eastAsia" w:ascii="宋体" w:hAnsi="宋体" w:cs="宋体"/>
                <w:color w:val="auto"/>
                <w:szCs w:val="21"/>
                <w:highlight w:val="none"/>
              </w:rPr>
            </w:pPr>
          </w:p>
        </w:tc>
        <w:tc>
          <w:tcPr>
            <w:tcW w:w="850" w:type="dxa"/>
            <w:vAlign w:val="center"/>
          </w:tcPr>
          <w:p w14:paraId="49D6AF84">
            <w:pPr>
              <w:spacing w:line="440" w:lineRule="exact"/>
              <w:rPr>
                <w:rFonts w:hint="eastAsia" w:ascii="宋体" w:hAnsi="宋体" w:cs="宋体"/>
                <w:color w:val="auto"/>
                <w:szCs w:val="21"/>
                <w:highlight w:val="none"/>
              </w:rPr>
            </w:pPr>
          </w:p>
        </w:tc>
        <w:tc>
          <w:tcPr>
            <w:tcW w:w="1559" w:type="dxa"/>
            <w:vAlign w:val="center"/>
          </w:tcPr>
          <w:p w14:paraId="4C183FA8">
            <w:pPr>
              <w:spacing w:line="440" w:lineRule="exact"/>
              <w:rPr>
                <w:rFonts w:hint="eastAsia" w:ascii="宋体" w:hAnsi="宋体" w:cs="宋体"/>
                <w:color w:val="auto"/>
                <w:szCs w:val="21"/>
                <w:highlight w:val="none"/>
              </w:rPr>
            </w:pPr>
          </w:p>
        </w:tc>
        <w:tc>
          <w:tcPr>
            <w:tcW w:w="2125" w:type="dxa"/>
            <w:vAlign w:val="center"/>
          </w:tcPr>
          <w:p w14:paraId="594EEEAA">
            <w:pPr>
              <w:spacing w:line="440" w:lineRule="exact"/>
              <w:rPr>
                <w:rFonts w:hint="eastAsia" w:ascii="宋体" w:hAnsi="宋体" w:cs="宋体"/>
                <w:color w:val="auto"/>
                <w:szCs w:val="21"/>
                <w:highlight w:val="none"/>
              </w:rPr>
            </w:pPr>
          </w:p>
        </w:tc>
        <w:tc>
          <w:tcPr>
            <w:tcW w:w="1416" w:type="dxa"/>
            <w:vAlign w:val="center"/>
          </w:tcPr>
          <w:p w14:paraId="4426D968">
            <w:pPr>
              <w:spacing w:line="440" w:lineRule="exact"/>
              <w:rPr>
                <w:rFonts w:hint="eastAsia" w:ascii="宋体" w:hAnsi="宋体" w:cs="宋体"/>
                <w:color w:val="auto"/>
                <w:szCs w:val="21"/>
                <w:highlight w:val="none"/>
              </w:rPr>
            </w:pPr>
          </w:p>
        </w:tc>
        <w:tc>
          <w:tcPr>
            <w:tcW w:w="851" w:type="dxa"/>
            <w:vAlign w:val="center"/>
          </w:tcPr>
          <w:p w14:paraId="216F48F8">
            <w:pPr>
              <w:spacing w:line="440" w:lineRule="exact"/>
              <w:rPr>
                <w:rFonts w:hint="eastAsia" w:ascii="宋体" w:hAnsi="宋体" w:cs="宋体"/>
                <w:color w:val="auto"/>
                <w:szCs w:val="21"/>
                <w:highlight w:val="none"/>
              </w:rPr>
            </w:pPr>
          </w:p>
        </w:tc>
        <w:tc>
          <w:tcPr>
            <w:tcW w:w="850" w:type="dxa"/>
            <w:vAlign w:val="center"/>
          </w:tcPr>
          <w:p w14:paraId="454F11EF">
            <w:pPr>
              <w:spacing w:line="440" w:lineRule="exact"/>
              <w:rPr>
                <w:rFonts w:hint="eastAsia" w:ascii="宋体" w:hAnsi="宋体" w:cs="宋体"/>
                <w:color w:val="auto"/>
                <w:szCs w:val="21"/>
                <w:highlight w:val="none"/>
              </w:rPr>
            </w:pPr>
          </w:p>
        </w:tc>
      </w:tr>
    </w:tbl>
    <w:p w14:paraId="74C00659">
      <w:pPr>
        <w:widowControl/>
        <w:jc w:val="left"/>
        <w:rPr>
          <w:rFonts w:hint="eastAsia" w:ascii="宋体" w:hAnsi="宋体" w:cs="宋体"/>
          <w:b/>
          <w:color w:val="auto"/>
          <w:szCs w:val="21"/>
          <w:highlight w:val="none"/>
        </w:rPr>
        <w:sectPr>
          <w:pgSz w:w="16838" w:h="11906" w:orient="landscape"/>
          <w:pgMar w:top="1554" w:right="1418" w:bottom="1531" w:left="1418" w:header="851" w:footer="992" w:gutter="0"/>
          <w:cols w:space="720" w:num="1"/>
          <w:docGrid w:type="linesAndChars" w:linePitch="312" w:charSpace="0"/>
        </w:sectPr>
      </w:pPr>
    </w:p>
    <w:p w14:paraId="7C9818E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1483" w:name="_Toc296346726"/>
      <w:bookmarkStart w:id="1484" w:name="_Toc296503225"/>
      <w:bookmarkStart w:id="1485" w:name="_Toc296944564"/>
      <w:bookmarkStart w:id="1486" w:name="_Toc267261692"/>
      <w:bookmarkStart w:id="1487" w:name="_Toc296347224"/>
      <w:bookmarkStart w:id="1488" w:name="_Toc296891053"/>
      <w:bookmarkStart w:id="1489" w:name="_Toc296891265"/>
      <w:r>
        <w:rPr>
          <w:rFonts w:hint="eastAsia" w:ascii="宋体" w:hAnsi="宋体" w:cs="宋体"/>
          <w:color w:val="auto"/>
          <w:szCs w:val="21"/>
          <w:highlight w:val="none"/>
        </w:rPr>
        <w:t>件2：</w:t>
      </w:r>
    </w:p>
    <w:bookmarkEnd w:id="1483"/>
    <w:bookmarkEnd w:id="1484"/>
    <w:bookmarkEnd w:id="1485"/>
    <w:bookmarkEnd w:id="1486"/>
    <w:bookmarkEnd w:id="1487"/>
    <w:bookmarkEnd w:id="1488"/>
    <w:bookmarkEnd w:id="1489"/>
    <w:p w14:paraId="720068C6">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发包人供应材料设备一览表</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75"/>
        <w:gridCol w:w="1047"/>
        <w:gridCol w:w="1274"/>
        <w:gridCol w:w="993"/>
        <w:gridCol w:w="850"/>
        <w:gridCol w:w="851"/>
        <w:gridCol w:w="992"/>
        <w:gridCol w:w="1134"/>
        <w:gridCol w:w="1134"/>
        <w:gridCol w:w="850"/>
      </w:tblGrid>
      <w:tr w14:paraId="28842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12" w:hRule="atLeast"/>
          <w:jc w:val="center"/>
        </w:trPr>
        <w:tc>
          <w:tcPr>
            <w:tcW w:w="775" w:type="dxa"/>
            <w:tcBorders>
              <w:top w:val="single" w:color="auto" w:sz="12" w:space="0"/>
              <w:left w:val="single" w:color="auto" w:sz="12" w:space="0"/>
              <w:bottom w:val="double" w:color="auto" w:sz="6" w:space="0"/>
              <w:right w:val="single" w:color="auto" w:sz="6" w:space="0"/>
            </w:tcBorders>
            <w:vAlign w:val="center"/>
          </w:tcPr>
          <w:p w14:paraId="14C074BC">
            <w:pPr>
              <w:jc w:val="center"/>
              <w:rPr>
                <w:color w:val="auto"/>
                <w:highlight w:val="none"/>
              </w:rPr>
            </w:pPr>
            <w:r>
              <w:rPr>
                <w:rFonts w:hint="eastAsia"/>
                <w:color w:val="auto"/>
                <w:highlight w:val="none"/>
              </w:rPr>
              <w:t>序号</w:t>
            </w:r>
          </w:p>
        </w:tc>
        <w:tc>
          <w:tcPr>
            <w:tcW w:w="1047" w:type="dxa"/>
            <w:tcBorders>
              <w:top w:val="single" w:color="auto" w:sz="12" w:space="0"/>
              <w:left w:val="single" w:color="auto" w:sz="6" w:space="0"/>
              <w:bottom w:val="double" w:color="auto" w:sz="6" w:space="0"/>
              <w:right w:val="single" w:color="auto" w:sz="6" w:space="0"/>
            </w:tcBorders>
            <w:vAlign w:val="center"/>
          </w:tcPr>
          <w:p w14:paraId="364B0D11">
            <w:pPr>
              <w:jc w:val="center"/>
              <w:rPr>
                <w:color w:val="auto"/>
                <w:highlight w:val="none"/>
              </w:rPr>
            </w:pPr>
            <w:r>
              <w:rPr>
                <w:rFonts w:hint="eastAsia"/>
                <w:color w:val="auto"/>
                <w:highlight w:val="none"/>
              </w:rPr>
              <w:t>材料、</w:t>
            </w:r>
          </w:p>
          <w:p w14:paraId="78410490">
            <w:pPr>
              <w:jc w:val="center"/>
              <w:rPr>
                <w:color w:val="auto"/>
                <w:highlight w:val="none"/>
              </w:rPr>
            </w:pPr>
            <w:r>
              <w:rPr>
                <w:rFonts w:hint="eastAsia"/>
                <w:color w:val="auto"/>
                <w:highlight w:val="none"/>
              </w:rPr>
              <w:t>设备品种</w:t>
            </w:r>
          </w:p>
        </w:tc>
        <w:tc>
          <w:tcPr>
            <w:tcW w:w="1274" w:type="dxa"/>
            <w:tcBorders>
              <w:top w:val="single" w:color="auto" w:sz="12" w:space="0"/>
              <w:left w:val="single" w:color="auto" w:sz="6" w:space="0"/>
              <w:bottom w:val="double" w:color="auto" w:sz="6" w:space="0"/>
              <w:right w:val="single" w:color="auto" w:sz="6" w:space="0"/>
            </w:tcBorders>
            <w:vAlign w:val="center"/>
          </w:tcPr>
          <w:p w14:paraId="7158FBC6">
            <w:pPr>
              <w:jc w:val="center"/>
              <w:rPr>
                <w:color w:val="auto"/>
                <w:highlight w:val="none"/>
              </w:rPr>
            </w:pPr>
            <w:r>
              <w:rPr>
                <w:rFonts w:hint="eastAsia"/>
                <w:color w:val="auto"/>
                <w:highlight w:val="none"/>
              </w:rPr>
              <w:t>规格型号</w:t>
            </w:r>
          </w:p>
        </w:tc>
        <w:tc>
          <w:tcPr>
            <w:tcW w:w="993" w:type="dxa"/>
            <w:tcBorders>
              <w:top w:val="single" w:color="auto" w:sz="12" w:space="0"/>
              <w:left w:val="single" w:color="auto" w:sz="6" w:space="0"/>
              <w:bottom w:val="double" w:color="auto" w:sz="6" w:space="0"/>
              <w:right w:val="single" w:color="auto" w:sz="6" w:space="0"/>
            </w:tcBorders>
            <w:vAlign w:val="center"/>
          </w:tcPr>
          <w:p w14:paraId="7DBFD7AF">
            <w:pPr>
              <w:jc w:val="center"/>
              <w:rPr>
                <w:color w:val="auto"/>
                <w:highlight w:val="none"/>
              </w:rPr>
            </w:pPr>
            <w:r>
              <w:rPr>
                <w:rFonts w:hint="eastAsia"/>
                <w:color w:val="auto"/>
                <w:highlight w:val="none"/>
              </w:rPr>
              <w:t>单位</w:t>
            </w:r>
          </w:p>
        </w:tc>
        <w:tc>
          <w:tcPr>
            <w:tcW w:w="850" w:type="dxa"/>
            <w:tcBorders>
              <w:top w:val="single" w:color="auto" w:sz="12" w:space="0"/>
              <w:left w:val="single" w:color="auto" w:sz="6" w:space="0"/>
              <w:bottom w:val="double" w:color="auto" w:sz="6" w:space="0"/>
              <w:right w:val="single" w:color="auto" w:sz="6" w:space="0"/>
            </w:tcBorders>
            <w:vAlign w:val="center"/>
          </w:tcPr>
          <w:p w14:paraId="43C23F0C">
            <w:pPr>
              <w:jc w:val="center"/>
              <w:rPr>
                <w:color w:val="auto"/>
                <w:highlight w:val="none"/>
              </w:rPr>
            </w:pPr>
            <w:r>
              <w:rPr>
                <w:rFonts w:hint="eastAsia"/>
                <w:color w:val="auto"/>
                <w:highlight w:val="none"/>
              </w:rPr>
              <w:t>数量</w:t>
            </w:r>
          </w:p>
        </w:tc>
        <w:tc>
          <w:tcPr>
            <w:tcW w:w="851" w:type="dxa"/>
            <w:tcBorders>
              <w:top w:val="single" w:color="auto" w:sz="12" w:space="0"/>
              <w:left w:val="single" w:color="auto" w:sz="6" w:space="0"/>
              <w:bottom w:val="double" w:color="auto" w:sz="6" w:space="0"/>
              <w:right w:val="single" w:color="auto" w:sz="6" w:space="0"/>
            </w:tcBorders>
            <w:vAlign w:val="center"/>
          </w:tcPr>
          <w:p w14:paraId="0DF98D8C">
            <w:pPr>
              <w:jc w:val="center"/>
              <w:rPr>
                <w:color w:val="auto"/>
                <w:highlight w:val="none"/>
              </w:rPr>
            </w:pPr>
            <w:r>
              <w:rPr>
                <w:rFonts w:hint="eastAsia"/>
                <w:color w:val="auto"/>
                <w:highlight w:val="none"/>
              </w:rPr>
              <w:t>单价（元）</w:t>
            </w:r>
          </w:p>
        </w:tc>
        <w:tc>
          <w:tcPr>
            <w:tcW w:w="992" w:type="dxa"/>
            <w:tcBorders>
              <w:top w:val="single" w:color="auto" w:sz="12" w:space="0"/>
              <w:left w:val="single" w:color="auto" w:sz="6" w:space="0"/>
              <w:bottom w:val="double" w:color="auto" w:sz="6" w:space="0"/>
              <w:right w:val="single" w:color="auto" w:sz="6" w:space="0"/>
            </w:tcBorders>
            <w:vAlign w:val="center"/>
          </w:tcPr>
          <w:p w14:paraId="39B7F3B3">
            <w:pPr>
              <w:jc w:val="center"/>
              <w:rPr>
                <w:color w:val="auto"/>
                <w:highlight w:val="none"/>
              </w:rPr>
            </w:pPr>
            <w:r>
              <w:rPr>
                <w:rFonts w:hint="eastAsia"/>
                <w:color w:val="auto"/>
                <w:highlight w:val="none"/>
              </w:rPr>
              <w:t>质量</w:t>
            </w:r>
          </w:p>
          <w:p w14:paraId="610CEA93">
            <w:pPr>
              <w:jc w:val="center"/>
              <w:rPr>
                <w:color w:val="auto"/>
                <w:highlight w:val="none"/>
              </w:rPr>
            </w:pPr>
            <w:r>
              <w:rPr>
                <w:rFonts w:hint="eastAsia"/>
                <w:color w:val="auto"/>
                <w:highlight w:val="none"/>
              </w:rPr>
              <w:t>等级</w:t>
            </w:r>
          </w:p>
        </w:tc>
        <w:tc>
          <w:tcPr>
            <w:tcW w:w="1134" w:type="dxa"/>
            <w:tcBorders>
              <w:top w:val="single" w:color="auto" w:sz="12" w:space="0"/>
              <w:left w:val="single" w:color="auto" w:sz="6" w:space="0"/>
              <w:bottom w:val="double" w:color="auto" w:sz="6" w:space="0"/>
              <w:right w:val="single" w:color="auto" w:sz="6" w:space="0"/>
            </w:tcBorders>
            <w:vAlign w:val="center"/>
          </w:tcPr>
          <w:p w14:paraId="478FED5B">
            <w:pPr>
              <w:jc w:val="center"/>
              <w:rPr>
                <w:color w:val="auto"/>
                <w:highlight w:val="none"/>
              </w:rPr>
            </w:pPr>
            <w:r>
              <w:rPr>
                <w:rFonts w:hint="eastAsia"/>
                <w:color w:val="auto"/>
                <w:highlight w:val="none"/>
              </w:rPr>
              <w:t>供应</w:t>
            </w:r>
          </w:p>
          <w:p w14:paraId="7791A1BC">
            <w:pPr>
              <w:jc w:val="center"/>
              <w:rPr>
                <w:color w:val="auto"/>
                <w:highlight w:val="none"/>
              </w:rPr>
            </w:pPr>
            <w:r>
              <w:rPr>
                <w:rFonts w:hint="eastAsia"/>
                <w:color w:val="auto"/>
                <w:highlight w:val="none"/>
              </w:rPr>
              <w:t>时间</w:t>
            </w:r>
          </w:p>
        </w:tc>
        <w:tc>
          <w:tcPr>
            <w:tcW w:w="1134" w:type="dxa"/>
            <w:tcBorders>
              <w:top w:val="single" w:color="auto" w:sz="12" w:space="0"/>
              <w:left w:val="single" w:color="auto" w:sz="6" w:space="0"/>
              <w:bottom w:val="double" w:color="auto" w:sz="6" w:space="0"/>
              <w:right w:val="single" w:color="auto" w:sz="6" w:space="0"/>
            </w:tcBorders>
            <w:vAlign w:val="center"/>
          </w:tcPr>
          <w:p w14:paraId="28F695CB">
            <w:pPr>
              <w:jc w:val="center"/>
              <w:rPr>
                <w:color w:val="auto"/>
                <w:highlight w:val="none"/>
              </w:rPr>
            </w:pPr>
            <w:r>
              <w:rPr>
                <w:rFonts w:hint="eastAsia"/>
                <w:color w:val="auto"/>
                <w:highlight w:val="none"/>
              </w:rPr>
              <w:t>送达</w:t>
            </w:r>
          </w:p>
          <w:p w14:paraId="16DD6730">
            <w:pPr>
              <w:jc w:val="center"/>
              <w:rPr>
                <w:color w:val="auto"/>
                <w:highlight w:val="none"/>
              </w:rPr>
            </w:pPr>
            <w:r>
              <w:rPr>
                <w:rFonts w:hint="eastAsia"/>
                <w:color w:val="auto"/>
                <w:highlight w:val="none"/>
              </w:rPr>
              <w:t>地点</w:t>
            </w:r>
          </w:p>
        </w:tc>
        <w:tc>
          <w:tcPr>
            <w:tcW w:w="850" w:type="dxa"/>
            <w:tcBorders>
              <w:top w:val="single" w:color="auto" w:sz="12" w:space="0"/>
              <w:left w:val="single" w:color="auto" w:sz="6" w:space="0"/>
              <w:bottom w:val="double" w:color="auto" w:sz="6" w:space="0"/>
              <w:right w:val="single" w:color="auto" w:sz="12" w:space="0"/>
            </w:tcBorders>
            <w:vAlign w:val="center"/>
          </w:tcPr>
          <w:p w14:paraId="46CC5921">
            <w:pPr>
              <w:jc w:val="center"/>
              <w:rPr>
                <w:color w:val="auto"/>
                <w:highlight w:val="none"/>
              </w:rPr>
            </w:pPr>
            <w:r>
              <w:rPr>
                <w:rFonts w:hint="eastAsia"/>
                <w:color w:val="auto"/>
                <w:highlight w:val="none"/>
              </w:rPr>
              <w:t>备注</w:t>
            </w:r>
          </w:p>
        </w:tc>
      </w:tr>
      <w:tr w14:paraId="04466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double" w:color="auto" w:sz="6" w:space="0"/>
              <w:left w:val="single" w:color="auto" w:sz="12" w:space="0"/>
              <w:bottom w:val="single" w:color="auto" w:sz="6" w:space="0"/>
              <w:right w:val="single" w:color="auto" w:sz="6" w:space="0"/>
            </w:tcBorders>
            <w:vAlign w:val="center"/>
          </w:tcPr>
          <w:p w14:paraId="70A9EE26">
            <w:pPr>
              <w:pStyle w:val="19"/>
              <w:keepNext/>
              <w:spacing w:line="440" w:lineRule="exact"/>
              <w:ind w:left="420" w:right="63"/>
              <w:rPr>
                <w:rFonts w:hint="eastAsia" w:ascii="宋体" w:hAnsi="宋体"/>
                <w:color w:val="auto"/>
                <w:highlight w:val="none"/>
              </w:rPr>
            </w:pPr>
          </w:p>
        </w:tc>
        <w:tc>
          <w:tcPr>
            <w:tcW w:w="1047" w:type="dxa"/>
            <w:tcBorders>
              <w:top w:val="double" w:color="auto" w:sz="6" w:space="0"/>
              <w:left w:val="single" w:color="auto" w:sz="6" w:space="0"/>
              <w:bottom w:val="single" w:color="auto" w:sz="6" w:space="0"/>
              <w:right w:val="single" w:color="auto" w:sz="6" w:space="0"/>
            </w:tcBorders>
            <w:vAlign w:val="center"/>
          </w:tcPr>
          <w:p w14:paraId="4222241C">
            <w:pPr>
              <w:pStyle w:val="19"/>
              <w:keepNext/>
              <w:spacing w:line="440" w:lineRule="exact"/>
              <w:ind w:left="420" w:right="63"/>
              <w:rPr>
                <w:rFonts w:hint="eastAsia" w:ascii="宋体" w:hAnsi="宋体"/>
                <w:color w:val="auto"/>
                <w:highlight w:val="none"/>
              </w:rPr>
            </w:pPr>
          </w:p>
        </w:tc>
        <w:tc>
          <w:tcPr>
            <w:tcW w:w="1274" w:type="dxa"/>
            <w:tcBorders>
              <w:top w:val="double" w:color="auto" w:sz="6" w:space="0"/>
              <w:left w:val="single" w:color="auto" w:sz="6" w:space="0"/>
              <w:bottom w:val="single" w:color="auto" w:sz="6" w:space="0"/>
              <w:right w:val="single" w:color="auto" w:sz="6" w:space="0"/>
            </w:tcBorders>
            <w:vAlign w:val="center"/>
          </w:tcPr>
          <w:p w14:paraId="32D02D33">
            <w:pPr>
              <w:pStyle w:val="19"/>
              <w:keepNext/>
              <w:spacing w:line="440" w:lineRule="exact"/>
              <w:ind w:left="420" w:right="63"/>
              <w:rPr>
                <w:rFonts w:hint="eastAsia" w:ascii="宋体" w:hAnsi="宋体"/>
                <w:color w:val="auto"/>
                <w:highlight w:val="none"/>
              </w:rPr>
            </w:pPr>
          </w:p>
        </w:tc>
        <w:tc>
          <w:tcPr>
            <w:tcW w:w="993" w:type="dxa"/>
            <w:tcBorders>
              <w:top w:val="double" w:color="auto" w:sz="6" w:space="0"/>
              <w:left w:val="single" w:color="auto" w:sz="6" w:space="0"/>
              <w:bottom w:val="single" w:color="auto" w:sz="6" w:space="0"/>
              <w:right w:val="single" w:color="auto" w:sz="6" w:space="0"/>
            </w:tcBorders>
            <w:vAlign w:val="center"/>
          </w:tcPr>
          <w:p w14:paraId="7762CDFF">
            <w:pPr>
              <w:pStyle w:val="19"/>
              <w:keepNext/>
              <w:spacing w:line="440" w:lineRule="exact"/>
              <w:ind w:left="420" w:right="63"/>
              <w:rPr>
                <w:rFonts w:hint="eastAsia" w:ascii="宋体" w:hAnsi="宋体"/>
                <w:color w:val="auto"/>
                <w:highlight w:val="none"/>
              </w:rPr>
            </w:pPr>
          </w:p>
        </w:tc>
        <w:tc>
          <w:tcPr>
            <w:tcW w:w="850" w:type="dxa"/>
            <w:tcBorders>
              <w:top w:val="double" w:color="auto" w:sz="6" w:space="0"/>
              <w:left w:val="single" w:color="auto" w:sz="6" w:space="0"/>
              <w:bottom w:val="single" w:color="auto" w:sz="6" w:space="0"/>
              <w:right w:val="single" w:color="auto" w:sz="6" w:space="0"/>
            </w:tcBorders>
            <w:vAlign w:val="center"/>
          </w:tcPr>
          <w:p w14:paraId="2485B2FD">
            <w:pPr>
              <w:pStyle w:val="19"/>
              <w:keepNext/>
              <w:spacing w:line="440" w:lineRule="exact"/>
              <w:ind w:left="420" w:right="63"/>
              <w:rPr>
                <w:rFonts w:hint="eastAsia" w:ascii="宋体" w:hAnsi="宋体"/>
                <w:color w:val="auto"/>
                <w:highlight w:val="none"/>
              </w:rPr>
            </w:pPr>
          </w:p>
        </w:tc>
        <w:tc>
          <w:tcPr>
            <w:tcW w:w="851" w:type="dxa"/>
            <w:tcBorders>
              <w:top w:val="double" w:color="auto" w:sz="6" w:space="0"/>
              <w:left w:val="single" w:color="auto" w:sz="6" w:space="0"/>
              <w:bottom w:val="single" w:color="auto" w:sz="6" w:space="0"/>
              <w:right w:val="single" w:color="auto" w:sz="6" w:space="0"/>
            </w:tcBorders>
            <w:vAlign w:val="center"/>
          </w:tcPr>
          <w:p w14:paraId="3830576C">
            <w:pPr>
              <w:pStyle w:val="19"/>
              <w:keepNext/>
              <w:spacing w:line="440" w:lineRule="exact"/>
              <w:ind w:left="420" w:right="63"/>
              <w:rPr>
                <w:rFonts w:hint="eastAsia" w:ascii="宋体" w:hAnsi="宋体"/>
                <w:color w:val="auto"/>
                <w:highlight w:val="none"/>
              </w:rPr>
            </w:pPr>
          </w:p>
        </w:tc>
        <w:tc>
          <w:tcPr>
            <w:tcW w:w="992" w:type="dxa"/>
            <w:tcBorders>
              <w:top w:val="double" w:color="auto" w:sz="6" w:space="0"/>
              <w:left w:val="single" w:color="auto" w:sz="6" w:space="0"/>
              <w:bottom w:val="single" w:color="auto" w:sz="6" w:space="0"/>
              <w:right w:val="single" w:color="auto" w:sz="6" w:space="0"/>
            </w:tcBorders>
            <w:vAlign w:val="center"/>
          </w:tcPr>
          <w:p w14:paraId="319696F6">
            <w:pPr>
              <w:pStyle w:val="19"/>
              <w:keepNext/>
              <w:spacing w:line="440" w:lineRule="exact"/>
              <w:ind w:left="420" w:right="63"/>
              <w:rPr>
                <w:rFonts w:hint="eastAsia" w:ascii="宋体" w:hAnsi="宋体"/>
                <w:color w:val="auto"/>
                <w:highlight w:val="none"/>
              </w:rPr>
            </w:pPr>
          </w:p>
        </w:tc>
        <w:tc>
          <w:tcPr>
            <w:tcW w:w="1134" w:type="dxa"/>
            <w:tcBorders>
              <w:top w:val="double" w:color="auto" w:sz="6" w:space="0"/>
              <w:left w:val="single" w:color="auto" w:sz="6" w:space="0"/>
              <w:bottom w:val="single" w:color="auto" w:sz="6" w:space="0"/>
              <w:right w:val="single" w:color="auto" w:sz="6" w:space="0"/>
            </w:tcBorders>
            <w:vAlign w:val="center"/>
          </w:tcPr>
          <w:p w14:paraId="792A3534">
            <w:pPr>
              <w:pStyle w:val="19"/>
              <w:keepNext/>
              <w:spacing w:line="440" w:lineRule="exact"/>
              <w:ind w:left="420" w:right="63"/>
              <w:rPr>
                <w:rFonts w:hint="eastAsia" w:ascii="宋体" w:hAnsi="宋体"/>
                <w:color w:val="auto"/>
                <w:highlight w:val="none"/>
              </w:rPr>
            </w:pPr>
          </w:p>
        </w:tc>
        <w:tc>
          <w:tcPr>
            <w:tcW w:w="1134" w:type="dxa"/>
            <w:tcBorders>
              <w:top w:val="double" w:color="auto" w:sz="6" w:space="0"/>
              <w:left w:val="single" w:color="auto" w:sz="6" w:space="0"/>
              <w:bottom w:val="single" w:color="auto" w:sz="6" w:space="0"/>
              <w:right w:val="single" w:color="auto" w:sz="6" w:space="0"/>
            </w:tcBorders>
            <w:vAlign w:val="center"/>
          </w:tcPr>
          <w:p w14:paraId="634803ED">
            <w:pPr>
              <w:pStyle w:val="19"/>
              <w:keepNext/>
              <w:spacing w:line="440" w:lineRule="exact"/>
              <w:ind w:left="420" w:right="63"/>
              <w:rPr>
                <w:rFonts w:hint="eastAsia" w:ascii="宋体" w:hAnsi="宋体"/>
                <w:color w:val="auto"/>
                <w:highlight w:val="none"/>
              </w:rPr>
            </w:pPr>
          </w:p>
        </w:tc>
        <w:tc>
          <w:tcPr>
            <w:tcW w:w="850" w:type="dxa"/>
            <w:tcBorders>
              <w:top w:val="double" w:color="auto" w:sz="6" w:space="0"/>
              <w:left w:val="single" w:color="auto" w:sz="6" w:space="0"/>
              <w:bottom w:val="single" w:color="auto" w:sz="6" w:space="0"/>
              <w:right w:val="single" w:color="auto" w:sz="12" w:space="0"/>
            </w:tcBorders>
            <w:vAlign w:val="center"/>
          </w:tcPr>
          <w:p w14:paraId="5CCB74A3">
            <w:pPr>
              <w:pStyle w:val="19"/>
              <w:keepNext/>
              <w:spacing w:line="440" w:lineRule="exact"/>
              <w:ind w:left="420" w:right="63"/>
              <w:rPr>
                <w:rFonts w:hint="eastAsia" w:ascii="宋体" w:hAnsi="宋体"/>
                <w:color w:val="auto"/>
                <w:highlight w:val="none"/>
              </w:rPr>
            </w:pPr>
          </w:p>
        </w:tc>
      </w:tr>
      <w:tr w14:paraId="7BE05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nil"/>
              <w:left w:val="single" w:color="auto" w:sz="12" w:space="0"/>
              <w:bottom w:val="single" w:color="auto" w:sz="6" w:space="0"/>
              <w:right w:val="single" w:color="auto" w:sz="6" w:space="0"/>
            </w:tcBorders>
            <w:vAlign w:val="center"/>
          </w:tcPr>
          <w:p w14:paraId="1CDEE5C0">
            <w:pPr>
              <w:pStyle w:val="19"/>
              <w:keepNext/>
              <w:spacing w:line="440" w:lineRule="exact"/>
              <w:ind w:left="420" w:right="63"/>
              <w:rPr>
                <w:rFonts w:hint="eastAsia" w:ascii="宋体" w:hAnsi="宋体"/>
                <w:color w:val="auto"/>
                <w:highlight w:val="none"/>
              </w:rPr>
            </w:pPr>
          </w:p>
        </w:tc>
        <w:tc>
          <w:tcPr>
            <w:tcW w:w="1047" w:type="dxa"/>
            <w:tcBorders>
              <w:top w:val="nil"/>
              <w:left w:val="single" w:color="auto" w:sz="6" w:space="0"/>
              <w:bottom w:val="single" w:color="auto" w:sz="6" w:space="0"/>
              <w:right w:val="single" w:color="auto" w:sz="6" w:space="0"/>
            </w:tcBorders>
            <w:vAlign w:val="center"/>
          </w:tcPr>
          <w:p w14:paraId="2E20C37A">
            <w:pPr>
              <w:pStyle w:val="19"/>
              <w:keepNext/>
              <w:spacing w:line="440" w:lineRule="exact"/>
              <w:ind w:left="420" w:right="63"/>
              <w:rPr>
                <w:rFonts w:hint="eastAsia" w:ascii="宋体" w:hAnsi="宋体"/>
                <w:color w:val="auto"/>
                <w:highlight w:val="none"/>
              </w:rPr>
            </w:pPr>
          </w:p>
        </w:tc>
        <w:tc>
          <w:tcPr>
            <w:tcW w:w="1274" w:type="dxa"/>
            <w:tcBorders>
              <w:top w:val="nil"/>
              <w:left w:val="single" w:color="auto" w:sz="6" w:space="0"/>
              <w:bottom w:val="single" w:color="auto" w:sz="6" w:space="0"/>
              <w:right w:val="single" w:color="auto" w:sz="6" w:space="0"/>
            </w:tcBorders>
            <w:vAlign w:val="center"/>
          </w:tcPr>
          <w:p w14:paraId="39F7F929">
            <w:pPr>
              <w:pStyle w:val="19"/>
              <w:keepNext/>
              <w:spacing w:line="440" w:lineRule="exact"/>
              <w:ind w:left="420" w:right="63"/>
              <w:rPr>
                <w:rFonts w:hint="eastAsia" w:ascii="宋体" w:hAnsi="宋体"/>
                <w:color w:val="auto"/>
                <w:highlight w:val="none"/>
              </w:rPr>
            </w:pPr>
          </w:p>
        </w:tc>
        <w:tc>
          <w:tcPr>
            <w:tcW w:w="993" w:type="dxa"/>
            <w:tcBorders>
              <w:top w:val="nil"/>
              <w:left w:val="single" w:color="auto" w:sz="6" w:space="0"/>
              <w:bottom w:val="single" w:color="auto" w:sz="6" w:space="0"/>
              <w:right w:val="single" w:color="auto" w:sz="6" w:space="0"/>
            </w:tcBorders>
            <w:vAlign w:val="center"/>
          </w:tcPr>
          <w:p w14:paraId="791E6B90">
            <w:pPr>
              <w:pStyle w:val="19"/>
              <w:keepNext/>
              <w:spacing w:line="440" w:lineRule="exact"/>
              <w:ind w:left="420" w:right="63"/>
              <w:rPr>
                <w:rFonts w:hint="eastAsia" w:ascii="宋体" w:hAnsi="宋体"/>
                <w:color w:val="auto"/>
                <w:highlight w:val="none"/>
              </w:rPr>
            </w:pPr>
          </w:p>
        </w:tc>
        <w:tc>
          <w:tcPr>
            <w:tcW w:w="850" w:type="dxa"/>
            <w:tcBorders>
              <w:top w:val="nil"/>
              <w:left w:val="single" w:color="auto" w:sz="6" w:space="0"/>
              <w:bottom w:val="single" w:color="auto" w:sz="6" w:space="0"/>
              <w:right w:val="single" w:color="auto" w:sz="6" w:space="0"/>
            </w:tcBorders>
            <w:vAlign w:val="center"/>
          </w:tcPr>
          <w:p w14:paraId="1F117311">
            <w:pPr>
              <w:pStyle w:val="19"/>
              <w:keepNext/>
              <w:spacing w:line="440" w:lineRule="exact"/>
              <w:ind w:left="420" w:right="63"/>
              <w:rPr>
                <w:rFonts w:hint="eastAsia" w:ascii="宋体" w:hAnsi="宋体"/>
                <w:color w:val="auto"/>
                <w:highlight w:val="none"/>
              </w:rPr>
            </w:pPr>
          </w:p>
        </w:tc>
        <w:tc>
          <w:tcPr>
            <w:tcW w:w="851" w:type="dxa"/>
            <w:tcBorders>
              <w:top w:val="nil"/>
              <w:left w:val="single" w:color="auto" w:sz="6" w:space="0"/>
              <w:bottom w:val="single" w:color="auto" w:sz="6" w:space="0"/>
              <w:right w:val="single" w:color="auto" w:sz="6" w:space="0"/>
            </w:tcBorders>
            <w:vAlign w:val="center"/>
          </w:tcPr>
          <w:p w14:paraId="7B782179">
            <w:pPr>
              <w:pStyle w:val="19"/>
              <w:keepNext/>
              <w:spacing w:line="440" w:lineRule="exact"/>
              <w:ind w:left="420" w:right="63"/>
              <w:rPr>
                <w:rFonts w:hint="eastAsia" w:ascii="宋体" w:hAnsi="宋体"/>
                <w:color w:val="auto"/>
                <w:highlight w:val="none"/>
              </w:rPr>
            </w:pPr>
          </w:p>
        </w:tc>
        <w:tc>
          <w:tcPr>
            <w:tcW w:w="992" w:type="dxa"/>
            <w:tcBorders>
              <w:top w:val="nil"/>
              <w:left w:val="single" w:color="auto" w:sz="6" w:space="0"/>
              <w:bottom w:val="single" w:color="auto" w:sz="6" w:space="0"/>
              <w:right w:val="single" w:color="auto" w:sz="6" w:space="0"/>
            </w:tcBorders>
            <w:vAlign w:val="center"/>
          </w:tcPr>
          <w:p w14:paraId="4AA9180A">
            <w:pPr>
              <w:pStyle w:val="19"/>
              <w:keepNext/>
              <w:spacing w:line="440" w:lineRule="exact"/>
              <w:ind w:left="420" w:right="63"/>
              <w:rPr>
                <w:rFonts w:hint="eastAsia" w:ascii="宋体" w:hAnsi="宋体"/>
                <w:color w:val="auto"/>
                <w:highlight w:val="none"/>
              </w:rPr>
            </w:pPr>
          </w:p>
        </w:tc>
        <w:tc>
          <w:tcPr>
            <w:tcW w:w="1134" w:type="dxa"/>
            <w:tcBorders>
              <w:top w:val="nil"/>
              <w:left w:val="single" w:color="auto" w:sz="6" w:space="0"/>
              <w:bottom w:val="single" w:color="auto" w:sz="6" w:space="0"/>
              <w:right w:val="single" w:color="auto" w:sz="6" w:space="0"/>
            </w:tcBorders>
            <w:vAlign w:val="center"/>
          </w:tcPr>
          <w:p w14:paraId="540C25DA">
            <w:pPr>
              <w:pStyle w:val="19"/>
              <w:keepNext/>
              <w:spacing w:line="440" w:lineRule="exact"/>
              <w:ind w:left="420" w:right="63"/>
              <w:rPr>
                <w:rFonts w:hint="eastAsia" w:ascii="宋体" w:hAnsi="宋体"/>
                <w:color w:val="auto"/>
                <w:highlight w:val="none"/>
              </w:rPr>
            </w:pPr>
          </w:p>
        </w:tc>
        <w:tc>
          <w:tcPr>
            <w:tcW w:w="1134" w:type="dxa"/>
            <w:tcBorders>
              <w:top w:val="nil"/>
              <w:left w:val="single" w:color="auto" w:sz="6" w:space="0"/>
              <w:bottom w:val="single" w:color="auto" w:sz="6" w:space="0"/>
              <w:right w:val="single" w:color="auto" w:sz="6" w:space="0"/>
            </w:tcBorders>
            <w:vAlign w:val="center"/>
          </w:tcPr>
          <w:p w14:paraId="7114FD73">
            <w:pPr>
              <w:pStyle w:val="19"/>
              <w:keepNext/>
              <w:spacing w:line="440" w:lineRule="exact"/>
              <w:ind w:left="420" w:right="63"/>
              <w:rPr>
                <w:rFonts w:hint="eastAsia" w:ascii="宋体" w:hAnsi="宋体"/>
                <w:color w:val="auto"/>
                <w:highlight w:val="none"/>
              </w:rPr>
            </w:pPr>
          </w:p>
        </w:tc>
        <w:tc>
          <w:tcPr>
            <w:tcW w:w="850" w:type="dxa"/>
            <w:tcBorders>
              <w:top w:val="nil"/>
              <w:left w:val="single" w:color="auto" w:sz="6" w:space="0"/>
              <w:bottom w:val="single" w:color="auto" w:sz="6" w:space="0"/>
              <w:right w:val="single" w:color="auto" w:sz="12" w:space="0"/>
            </w:tcBorders>
            <w:vAlign w:val="center"/>
          </w:tcPr>
          <w:p w14:paraId="4D4C1C23">
            <w:pPr>
              <w:pStyle w:val="19"/>
              <w:keepNext/>
              <w:spacing w:line="440" w:lineRule="exact"/>
              <w:ind w:left="420" w:right="63"/>
              <w:rPr>
                <w:rFonts w:hint="eastAsia" w:ascii="宋体" w:hAnsi="宋体"/>
                <w:color w:val="auto"/>
                <w:highlight w:val="none"/>
              </w:rPr>
            </w:pPr>
          </w:p>
        </w:tc>
      </w:tr>
      <w:tr w14:paraId="5D2AA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67BDF5B8">
            <w:pPr>
              <w:pStyle w:val="19"/>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7D887E77">
            <w:pPr>
              <w:pStyle w:val="19"/>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78688746">
            <w:pPr>
              <w:pStyle w:val="19"/>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5D1A85EF">
            <w:pPr>
              <w:pStyle w:val="19"/>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5D910541">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1F8369E1">
            <w:pPr>
              <w:pStyle w:val="19"/>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0F81995C">
            <w:pPr>
              <w:pStyle w:val="19"/>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9E50FDF">
            <w:pPr>
              <w:pStyle w:val="19"/>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39ED9B7">
            <w:pPr>
              <w:pStyle w:val="19"/>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60133D7C">
            <w:pPr>
              <w:pStyle w:val="19"/>
              <w:keepNext/>
              <w:spacing w:line="440" w:lineRule="exact"/>
              <w:ind w:left="420" w:right="63"/>
              <w:rPr>
                <w:rFonts w:hint="eastAsia" w:ascii="宋体" w:hAnsi="宋体"/>
                <w:color w:val="auto"/>
                <w:highlight w:val="none"/>
              </w:rPr>
            </w:pPr>
          </w:p>
        </w:tc>
      </w:tr>
      <w:tr w14:paraId="48E23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499B2866">
            <w:pPr>
              <w:pStyle w:val="19"/>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6069B0A9">
            <w:pPr>
              <w:pStyle w:val="19"/>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51AB3AE8">
            <w:pPr>
              <w:pStyle w:val="19"/>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30FFA542">
            <w:pPr>
              <w:pStyle w:val="19"/>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5A7399AF">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1FDBBE12">
            <w:pPr>
              <w:pStyle w:val="19"/>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4C1776CE">
            <w:pPr>
              <w:pStyle w:val="19"/>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B359481">
            <w:pPr>
              <w:pStyle w:val="19"/>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18EE046">
            <w:pPr>
              <w:pStyle w:val="19"/>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313E94E1">
            <w:pPr>
              <w:pStyle w:val="19"/>
              <w:keepNext/>
              <w:spacing w:line="440" w:lineRule="exact"/>
              <w:ind w:left="420" w:right="63"/>
              <w:rPr>
                <w:rFonts w:hint="eastAsia" w:ascii="宋体" w:hAnsi="宋体"/>
                <w:color w:val="auto"/>
                <w:highlight w:val="none"/>
              </w:rPr>
            </w:pPr>
          </w:p>
        </w:tc>
      </w:tr>
      <w:tr w14:paraId="5B1479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2A9B873D">
            <w:pPr>
              <w:pStyle w:val="19"/>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2B9FEAE1">
            <w:pPr>
              <w:pStyle w:val="19"/>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31028AA9">
            <w:pPr>
              <w:pStyle w:val="19"/>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498E55D4">
            <w:pPr>
              <w:pStyle w:val="19"/>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747F7716">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5908755C">
            <w:pPr>
              <w:pStyle w:val="19"/>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348B39B1">
            <w:pPr>
              <w:pStyle w:val="19"/>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C310B06">
            <w:pPr>
              <w:pStyle w:val="19"/>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080C935">
            <w:pPr>
              <w:pStyle w:val="19"/>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47B3E2E6">
            <w:pPr>
              <w:pStyle w:val="19"/>
              <w:keepNext/>
              <w:spacing w:line="440" w:lineRule="exact"/>
              <w:ind w:left="420" w:right="63"/>
              <w:rPr>
                <w:rFonts w:hint="eastAsia" w:ascii="宋体" w:hAnsi="宋体"/>
                <w:color w:val="auto"/>
                <w:highlight w:val="none"/>
              </w:rPr>
            </w:pPr>
          </w:p>
        </w:tc>
      </w:tr>
      <w:tr w14:paraId="30D2A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3B967A46">
            <w:pPr>
              <w:pStyle w:val="19"/>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16DDAEF7">
            <w:pPr>
              <w:pStyle w:val="19"/>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518E03E9">
            <w:pPr>
              <w:pStyle w:val="19"/>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5038D4BD">
            <w:pPr>
              <w:pStyle w:val="19"/>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2F46415C">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35463313">
            <w:pPr>
              <w:pStyle w:val="19"/>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612232C5">
            <w:pPr>
              <w:pStyle w:val="19"/>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802ABB8">
            <w:pPr>
              <w:pStyle w:val="19"/>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982B139">
            <w:pPr>
              <w:pStyle w:val="19"/>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45D5A974">
            <w:pPr>
              <w:pStyle w:val="19"/>
              <w:keepNext/>
              <w:spacing w:line="440" w:lineRule="exact"/>
              <w:ind w:left="420" w:right="63"/>
              <w:rPr>
                <w:rFonts w:hint="eastAsia" w:ascii="宋体" w:hAnsi="宋体"/>
                <w:color w:val="auto"/>
                <w:highlight w:val="none"/>
              </w:rPr>
            </w:pPr>
          </w:p>
        </w:tc>
      </w:tr>
      <w:tr w14:paraId="05A44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1C70A39B">
            <w:pPr>
              <w:pStyle w:val="19"/>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28413D70">
            <w:pPr>
              <w:pStyle w:val="19"/>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69DEBA24">
            <w:pPr>
              <w:pStyle w:val="19"/>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2097E9B8">
            <w:pPr>
              <w:pStyle w:val="19"/>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7EEE0E3C">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0DA4FE33">
            <w:pPr>
              <w:pStyle w:val="19"/>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0DB89B4F">
            <w:pPr>
              <w:pStyle w:val="19"/>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E2AE2B0">
            <w:pPr>
              <w:pStyle w:val="19"/>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E477498">
            <w:pPr>
              <w:pStyle w:val="19"/>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2650D266">
            <w:pPr>
              <w:pStyle w:val="19"/>
              <w:keepNext/>
              <w:spacing w:line="440" w:lineRule="exact"/>
              <w:ind w:left="420" w:right="63"/>
              <w:rPr>
                <w:rFonts w:hint="eastAsia" w:ascii="宋体" w:hAnsi="宋体"/>
                <w:color w:val="auto"/>
                <w:highlight w:val="none"/>
              </w:rPr>
            </w:pPr>
          </w:p>
        </w:tc>
      </w:tr>
      <w:tr w14:paraId="0236B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0AE1F931">
            <w:pPr>
              <w:pStyle w:val="19"/>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1A2190FD">
            <w:pPr>
              <w:pStyle w:val="19"/>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14C3F8A1">
            <w:pPr>
              <w:pStyle w:val="19"/>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3D25ED3D">
            <w:pPr>
              <w:pStyle w:val="19"/>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730B1233">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0AC634F4">
            <w:pPr>
              <w:pStyle w:val="19"/>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70EA2305">
            <w:pPr>
              <w:pStyle w:val="19"/>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14E615D">
            <w:pPr>
              <w:pStyle w:val="19"/>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6FA1204">
            <w:pPr>
              <w:pStyle w:val="19"/>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1291E624">
            <w:pPr>
              <w:pStyle w:val="19"/>
              <w:keepNext/>
              <w:spacing w:line="440" w:lineRule="exact"/>
              <w:ind w:left="420" w:right="63"/>
              <w:rPr>
                <w:rFonts w:hint="eastAsia" w:ascii="宋体" w:hAnsi="宋体"/>
                <w:color w:val="auto"/>
                <w:highlight w:val="none"/>
              </w:rPr>
            </w:pPr>
          </w:p>
        </w:tc>
      </w:tr>
      <w:tr w14:paraId="3FE87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096BFB8D">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0E9DF76A">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5D2967E7">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1883E1AC">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16755010">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2D8D41B7">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1F1EE366">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F067254">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55CFC26">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4B420C8E">
            <w:pPr>
              <w:jc w:val="center"/>
              <w:rPr>
                <w:rFonts w:hint="eastAsia" w:ascii="宋体" w:hAnsi="宋体" w:cs="宋体"/>
                <w:color w:val="auto"/>
                <w:szCs w:val="21"/>
                <w:highlight w:val="none"/>
              </w:rPr>
            </w:pPr>
          </w:p>
        </w:tc>
      </w:tr>
      <w:tr w14:paraId="52F14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5493B69B">
            <w:pPr>
              <w:pStyle w:val="19"/>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41D13BD0">
            <w:pPr>
              <w:pStyle w:val="19"/>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12F07CCC">
            <w:pPr>
              <w:pStyle w:val="19"/>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2EF0569B">
            <w:pPr>
              <w:pStyle w:val="19"/>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55375080">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46181052">
            <w:pPr>
              <w:pStyle w:val="19"/>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2437011E">
            <w:pPr>
              <w:pStyle w:val="19"/>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D32A1E1">
            <w:pPr>
              <w:pStyle w:val="19"/>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A79279A">
            <w:pPr>
              <w:pStyle w:val="19"/>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24F12A52">
            <w:pPr>
              <w:pStyle w:val="19"/>
              <w:keepNext/>
              <w:spacing w:line="440" w:lineRule="exact"/>
              <w:ind w:left="420" w:right="63"/>
              <w:rPr>
                <w:rFonts w:hint="eastAsia" w:ascii="宋体" w:hAnsi="宋体"/>
                <w:color w:val="auto"/>
                <w:highlight w:val="none"/>
              </w:rPr>
            </w:pPr>
          </w:p>
        </w:tc>
      </w:tr>
      <w:tr w14:paraId="75A0A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0DC1321C">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47AC0EF9">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2EC74624">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2DDAAB3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38E66805">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7A314CE6">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505FFF87">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DDAAE25">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9577B97">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4C2D0188">
            <w:pPr>
              <w:jc w:val="center"/>
              <w:rPr>
                <w:rFonts w:hint="eastAsia" w:ascii="宋体" w:hAnsi="宋体" w:cs="宋体"/>
                <w:color w:val="auto"/>
                <w:szCs w:val="21"/>
                <w:highlight w:val="none"/>
              </w:rPr>
            </w:pPr>
          </w:p>
        </w:tc>
      </w:tr>
      <w:tr w14:paraId="7D7B3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2F72FE3D">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69902F77">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5B79E91B">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6EF09AD4">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1F70B80B">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42514FBE">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446D0C62">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680D5B5">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7934CE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28F9428F">
            <w:pPr>
              <w:jc w:val="center"/>
              <w:rPr>
                <w:rFonts w:hint="eastAsia" w:ascii="宋体" w:hAnsi="宋体" w:cs="宋体"/>
                <w:color w:val="auto"/>
                <w:szCs w:val="21"/>
                <w:highlight w:val="none"/>
              </w:rPr>
            </w:pPr>
          </w:p>
        </w:tc>
      </w:tr>
      <w:tr w14:paraId="70A05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7A8F6B76">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6B1A7857">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71877FCA">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763E4EA8">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4F5C80FC">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2ACD2A6D">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1BE15A23">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F4BAF95">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59BA9D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3FCE83BA">
            <w:pPr>
              <w:jc w:val="center"/>
              <w:rPr>
                <w:rFonts w:hint="eastAsia" w:ascii="宋体" w:hAnsi="宋体" w:cs="宋体"/>
                <w:color w:val="auto"/>
                <w:szCs w:val="21"/>
                <w:highlight w:val="none"/>
              </w:rPr>
            </w:pPr>
          </w:p>
        </w:tc>
      </w:tr>
      <w:tr w14:paraId="4D941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5244F1CA">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39FCAC39">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2D67D861">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03E4DAA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7DA420B6">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1C87D83C">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227F41DA">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70E09B0">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0964EF9">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61607C79">
            <w:pPr>
              <w:jc w:val="center"/>
              <w:rPr>
                <w:rFonts w:hint="eastAsia" w:ascii="宋体" w:hAnsi="宋体" w:cs="宋体"/>
                <w:color w:val="auto"/>
                <w:szCs w:val="21"/>
                <w:highlight w:val="none"/>
              </w:rPr>
            </w:pPr>
          </w:p>
        </w:tc>
      </w:tr>
      <w:tr w14:paraId="16206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45FE4C1F">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47BB22BE">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7130B8EC">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7533372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48D707DD">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7C559481">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7A2F164A">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B7717C7">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2D83A16">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5C391D28">
            <w:pPr>
              <w:jc w:val="center"/>
              <w:rPr>
                <w:rFonts w:hint="eastAsia" w:ascii="宋体" w:hAnsi="宋体" w:cs="宋体"/>
                <w:color w:val="auto"/>
                <w:szCs w:val="21"/>
                <w:highlight w:val="none"/>
              </w:rPr>
            </w:pPr>
          </w:p>
        </w:tc>
      </w:tr>
      <w:tr w14:paraId="7BE1C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73F96308">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41593293">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15F6173C">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1CE60681">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3F94550F">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38900441">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0800095C">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473B670">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62A9A03">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0B634F31">
            <w:pPr>
              <w:jc w:val="center"/>
              <w:rPr>
                <w:rFonts w:hint="eastAsia" w:ascii="宋体" w:hAnsi="宋体" w:cs="宋体"/>
                <w:color w:val="auto"/>
                <w:szCs w:val="21"/>
                <w:highlight w:val="none"/>
              </w:rPr>
            </w:pPr>
          </w:p>
        </w:tc>
      </w:tr>
      <w:tr w14:paraId="256EC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1F786E04">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6A216266">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1DC8BFD1">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397389D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207B0F6A">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2C0B0BFB">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3ED7780C">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B25325B">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D09D0A3">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4C95AF31">
            <w:pPr>
              <w:jc w:val="center"/>
              <w:rPr>
                <w:rFonts w:hint="eastAsia" w:ascii="宋体" w:hAnsi="宋体" w:cs="宋体"/>
                <w:color w:val="auto"/>
                <w:szCs w:val="21"/>
                <w:highlight w:val="none"/>
              </w:rPr>
            </w:pPr>
          </w:p>
        </w:tc>
      </w:tr>
      <w:tr w14:paraId="2E3D5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12" w:space="0"/>
              <w:right w:val="single" w:color="auto" w:sz="6" w:space="0"/>
            </w:tcBorders>
            <w:vAlign w:val="center"/>
          </w:tcPr>
          <w:p w14:paraId="265DAF09">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12" w:space="0"/>
              <w:right w:val="single" w:color="auto" w:sz="6" w:space="0"/>
            </w:tcBorders>
            <w:vAlign w:val="center"/>
          </w:tcPr>
          <w:p w14:paraId="7310B300">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12" w:space="0"/>
              <w:right w:val="single" w:color="auto" w:sz="6" w:space="0"/>
            </w:tcBorders>
            <w:vAlign w:val="center"/>
          </w:tcPr>
          <w:p w14:paraId="62AFF2D2">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12" w:space="0"/>
              <w:right w:val="single" w:color="auto" w:sz="6" w:space="0"/>
            </w:tcBorders>
            <w:vAlign w:val="center"/>
          </w:tcPr>
          <w:p w14:paraId="13034AD1">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12" w:space="0"/>
              <w:right w:val="single" w:color="auto" w:sz="6" w:space="0"/>
            </w:tcBorders>
            <w:vAlign w:val="center"/>
          </w:tcPr>
          <w:p w14:paraId="0059F651">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12" w:space="0"/>
              <w:right w:val="single" w:color="auto" w:sz="6" w:space="0"/>
            </w:tcBorders>
            <w:vAlign w:val="center"/>
          </w:tcPr>
          <w:p w14:paraId="164B325B">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12" w:space="0"/>
              <w:right w:val="single" w:color="auto" w:sz="6" w:space="0"/>
            </w:tcBorders>
            <w:vAlign w:val="center"/>
          </w:tcPr>
          <w:p w14:paraId="5DD797FD">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14:paraId="32EE9F55">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14:paraId="07634471">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12" w:space="0"/>
              <w:right w:val="single" w:color="auto" w:sz="12" w:space="0"/>
            </w:tcBorders>
            <w:vAlign w:val="center"/>
          </w:tcPr>
          <w:p w14:paraId="06455E3F">
            <w:pPr>
              <w:jc w:val="center"/>
              <w:rPr>
                <w:rFonts w:hint="eastAsia" w:ascii="宋体" w:hAnsi="宋体" w:cs="宋体"/>
                <w:color w:val="auto"/>
                <w:szCs w:val="21"/>
                <w:highlight w:val="none"/>
              </w:rPr>
            </w:pPr>
          </w:p>
        </w:tc>
      </w:tr>
    </w:tbl>
    <w:p w14:paraId="0334C29D">
      <w:pPr>
        <w:spacing w:line="440" w:lineRule="exact"/>
        <w:rPr>
          <w:rFonts w:hint="eastAsia" w:ascii="宋体" w:hAnsi="宋体" w:cs="宋体"/>
          <w:color w:val="auto"/>
          <w:szCs w:val="21"/>
          <w:highlight w:val="none"/>
        </w:rPr>
      </w:pPr>
    </w:p>
    <w:p w14:paraId="1A1AA92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1490" w:name="_Toc296346727"/>
      <w:bookmarkStart w:id="1491" w:name="_Toc296891266"/>
      <w:bookmarkStart w:id="1492" w:name="_Toc296891054"/>
      <w:bookmarkStart w:id="1493" w:name="_Toc296503226"/>
      <w:bookmarkStart w:id="1494" w:name="_Toc267261693"/>
      <w:bookmarkStart w:id="1495" w:name="_Toc296944565"/>
      <w:bookmarkStart w:id="1496" w:name="_Toc296347225"/>
      <w:r>
        <w:rPr>
          <w:rFonts w:hint="eastAsia" w:ascii="宋体" w:hAnsi="宋体" w:cs="宋体"/>
          <w:color w:val="auto"/>
          <w:szCs w:val="21"/>
          <w:highlight w:val="none"/>
        </w:rPr>
        <w:t>件3：</w:t>
      </w:r>
      <w:bookmarkEnd w:id="1490"/>
      <w:bookmarkEnd w:id="1491"/>
      <w:bookmarkEnd w:id="1492"/>
      <w:bookmarkEnd w:id="1493"/>
      <w:bookmarkEnd w:id="1494"/>
      <w:bookmarkEnd w:id="1495"/>
      <w:bookmarkEnd w:id="1496"/>
      <w:r>
        <w:rPr>
          <w:rFonts w:hint="eastAsia" w:ascii="宋体" w:hAnsi="宋体" w:cs="宋体"/>
          <w:color w:val="auto"/>
          <w:szCs w:val="21"/>
          <w:highlight w:val="none"/>
        </w:rPr>
        <w:t xml:space="preserve">    </w:t>
      </w:r>
    </w:p>
    <w:p w14:paraId="0BD6EAED">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工程质量保修书</w:t>
      </w:r>
    </w:p>
    <w:p w14:paraId="4EFF365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FD4F3A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承包人（全称）：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7937EFF">
      <w:pPr>
        <w:spacing w:line="440" w:lineRule="exact"/>
        <w:rPr>
          <w:rFonts w:hint="eastAsia" w:ascii="宋体" w:hAnsi="宋体" w:cs="宋体"/>
          <w:color w:val="auto"/>
          <w:szCs w:val="21"/>
          <w:highlight w:val="none"/>
        </w:rPr>
      </w:pPr>
    </w:p>
    <w:p w14:paraId="107BBAC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发包人和承包人根据《中华人民共和国建筑法》和《建设工程质量管理条例》，经协商一致就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（工程全称）签订工程质量保修书。</w:t>
      </w:r>
    </w:p>
    <w:p w14:paraId="75B847D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一、工程质量保修范围和内容</w:t>
      </w:r>
    </w:p>
    <w:p w14:paraId="39A8F91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承包人在质量保修期内，按照有关法律规定和合同约定，承担工程质量保修责任。</w:t>
      </w:r>
    </w:p>
    <w:p w14:paraId="2269D10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质量保修范围包括</w:t>
      </w:r>
      <w:r>
        <w:rPr>
          <w:rFonts w:hint="eastAsia" w:ascii="宋体" w:hAnsi="宋体"/>
          <w:color w:val="auto"/>
          <w:szCs w:val="21"/>
          <w:highlight w:val="none"/>
          <w:u w:val="single"/>
          <w:lang w:eastAsia="zh-CN"/>
        </w:rPr>
        <w:t>永福县人民法院办公区域与生活区域物理隔离工程</w:t>
      </w:r>
      <w:r>
        <w:rPr>
          <w:rFonts w:hint="eastAsia" w:ascii="宋体" w:hAnsi="宋体"/>
          <w:color w:val="auto"/>
          <w:szCs w:val="21"/>
          <w:highlight w:val="none"/>
          <w:u w:val="single"/>
        </w:rPr>
        <w:t>所涉及的相关保修</w:t>
      </w:r>
      <w:r>
        <w:rPr>
          <w:rFonts w:hint="eastAsia" w:ascii="宋体" w:hAnsi="宋体" w:cs="宋体"/>
          <w:color w:val="auto"/>
          <w:szCs w:val="21"/>
          <w:highlight w:val="none"/>
        </w:rPr>
        <w:t>，以及双方约定的其他项目。具体保修的内容，双方约定如下：</w:t>
      </w:r>
    </w:p>
    <w:p w14:paraId="508517A4">
      <w:pPr>
        <w:autoSpaceDE w:val="0"/>
        <w:autoSpaceDN w:val="0"/>
        <w:adjustRightInd w:val="0"/>
        <w:spacing w:line="500" w:lineRule="exact"/>
        <w:ind w:left="-85" w:firstLine="420" w:firstLineChars="200"/>
        <w:rPr>
          <w:rFonts w:hint="eastAsia" w:ascii="宋体" w:hAnsi="宋体" w:cs="宋体"/>
          <w:b/>
          <w:color w:val="auto"/>
          <w:highlight w:val="none"/>
          <w:u w:val="single"/>
        </w:rPr>
      </w:pPr>
      <w:r>
        <w:rPr>
          <w:rFonts w:hint="eastAsia" w:ascii="宋体" w:hAnsi="宋体" w:cs="宋体"/>
          <w:color w:val="auto"/>
          <w:szCs w:val="21"/>
          <w:highlight w:val="none"/>
        </w:rPr>
        <w:t>　　</w:t>
      </w:r>
      <w:r>
        <w:rPr>
          <w:rFonts w:hint="eastAsia" w:ascii="宋体" w:hAnsi="宋体" w:cs="宋体"/>
          <w:b/>
          <w:color w:val="auto"/>
          <w:highlight w:val="none"/>
          <w:u w:val="single"/>
          <w:lang w:val="zh-CN"/>
        </w:rPr>
        <w:t>在承包人承包范围内，属承包人责任造成的工程质量问题，由承包人承担质量保修责任</w:t>
      </w:r>
      <w:r>
        <w:rPr>
          <w:rFonts w:hint="eastAsia" w:ascii="宋体" w:hAnsi="宋体" w:cs="宋体"/>
          <w:color w:val="auto"/>
          <w:szCs w:val="21"/>
          <w:highlight w:val="none"/>
        </w:rPr>
        <w:t>。</w:t>
      </w:r>
    </w:p>
    <w:p w14:paraId="1CE8D276">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　　</w:t>
      </w:r>
      <w:r>
        <w:rPr>
          <w:rFonts w:hint="eastAsia" w:ascii="宋体" w:hAnsi="宋体" w:cs="宋体"/>
          <w:color w:val="auto"/>
          <w:szCs w:val="21"/>
          <w:highlight w:val="none"/>
        </w:rPr>
        <w:t>二、质量保修期</w:t>
      </w:r>
    </w:p>
    <w:p w14:paraId="2ADEB1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14:paraId="3C4155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1、地基基础工程和主体结构工程为设计文件规定的该工程合理使用年限；</w:t>
      </w:r>
    </w:p>
    <w:p w14:paraId="316FB8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2613B6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3、装修工程为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5D4D19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4、电气管线、给排水管道、设备安装工程为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71D91F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5、供热与供冷系统为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个采暖期、供冷期；</w:t>
      </w:r>
    </w:p>
    <w:p w14:paraId="319626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6、住宅小区内的给排水设施、道路等配套工程为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685E60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7、其他项目保修期限约定如下：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年         </w:t>
      </w:r>
      <w:r>
        <w:rPr>
          <w:rFonts w:hint="eastAsia" w:ascii="宋体" w:hAnsi="宋体" w:cs="宋体"/>
          <w:color w:val="auto"/>
          <w:szCs w:val="21"/>
          <w:highlight w:val="none"/>
        </w:rPr>
        <w:t>。</w:t>
      </w:r>
    </w:p>
    <w:p w14:paraId="07B3805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质量保修期自工程竣工验收合格之日起计算。</w:t>
      </w:r>
    </w:p>
    <w:p w14:paraId="0C507A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三、缺陷责任期</w:t>
      </w:r>
    </w:p>
    <w:p w14:paraId="0671BC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24 </w:t>
      </w:r>
      <w:r>
        <w:rPr>
          <w:rFonts w:hint="eastAsia" w:ascii="宋体" w:hAnsi="宋体" w:cs="宋体"/>
          <w:color w:val="auto"/>
          <w:szCs w:val="21"/>
          <w:highlight w:val="none"/>
        </w:rPr>
        <w:t>个月，缺陷责任期自工程竣工验收合格之日起计算。单位工程先于全部工程进行验收，单位工程缺陷责任期自单位工程验收合格之日起算。</w:t>
      </w:r>
    </w:p>
    <w:p w14:paraId="5462586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四、质量保修责任</w:t>
      </w:r>
    </w:p>
    <w:p w14:paraId="5BE74F86">
      <w:pPr>
        <w:spacing w:line="360" w:lineRule="auto"/>
        <w:ind w:left="105" w:leftChars="50" w:firstLine="430" w:firstLineChars="205"/>
        <w:rPr>
          <w:rFonts w:hint="eastAsia" w:ascii="宋体" w:hAnsi="宋体" w:cs="宋体"/>
          <w:color w:val="auto"/>
          <w:szCs w:val="21"/>
          <w:highlight w:val="none"/>
        </w:rPr>
      </w:pPr>
      <w:r>
        <w:rPr>
          <w:rFonts w:hint="eastAsia" w:ascii="宋体" w:hAnsi="宋体" w:cs="宋体"/>
          <w:color w:val="auto"/>
          <w:szCs w:val="21"/>
          <w:highlight w:val="none"/>
        </w:rPr>
        <w:t>1．属于保修范围、内容的项目，承包人应当在接到保修通知之日起7天内派人保修。承包人不在约定期限内派人保修的，发包人可以委托他人修理。</w:t>
      </w:r>
    </w:p>
    <w:p w14:paraId="53E2A02B">
      <w:pPr>
        <w:spacing w:line="360" w:lineRule="auto"/>
        <w:ind w:left="105" w:leftChars="50" w:firstLine="430" w:firstLineChars="205"/>
        <w:rPr>
          <w:rFonts w:hint="eastAsia" w:ascii="宋体" w:hAnsi="宋体" w:cs="宋体"/>
          <w:color w:val="auto"/>
          <w:szCs w:val="21"/>
          <w:highlight w:val="none"/>
        </w:rPr>
      </w:pPr>
      <w:r>
        <w:rPr>
          <w:rFonts w:hint="eastAsia" w:ascii="宋体" w:hAnsi="宋体" w:cs="宋体"/>
          <w:color w:val="auto"/>
          <w:szCs w:val="21"/>
          <w:highlight w:val="none"/>
        </w:rPr>
        <w:t>2．发生紧急事故需抢修的，承包人在接到事故通知后，应当立即到达事故现场抢修。</w:t>
      </w:r>
    </w:p>
    <w:p w14:paraId="38277F51">
      <w:pPr>
        <w:spacing w:line="360" w:lineRule="auto"/>
        <w:ind w:left="105" w:leftChars="50" w:firstLine="430" w:firstLineChars="205"/>
        <w:rPr>
          <w:rFonts w:hint="eastAsia" w:ascii="宋体" w:hAnsi="宋体" w:cs="宋体"/>
          <w:color w:val="auto"/>
          <w:szCs w:val="21"/>
          <w:highlight w:val="none"/>
        </w:rPr>
      </w:pPr>
      <w:r>
        <w:rPr>
          <w:rFonts w:hint="eastAsia" w:ascii="宋体" w:hAnsi="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E4C1D44">
      <w:pPr>
        <w:spacing w:line="360" w:lineRule="auto"/>
        <w:ind w:left="420" w:leftChars="200" w:firstLine="105" w:firstLineChars="50"/>
        <w:rPr>
          <w:rFonts w:hint="eastAsia" w:ascii="宋体" w:hAnsi="宋体" w:cs="宋体"/>
          <w:color w:val="auto"/>
          <w:szCs w:val="21"/>
          <w:highlight w:val="none"/>
        </w:rPr>
      </w:pPr>
      <w:r>
        <w:rPr>
          <w:rFonts w:hint="eastAsia" w:ascii="宋体" w:hAnsi="宋体" w:cs="宋体"/>
          <w:color w:val="auto"/>
          <w:szCs w:val="21"/>
          <w:highlight w:val="none"/>
        </w:rPr>
        <w:t>4．质量保修完成后，由发包人组织验收。</w:t>
      </w:r>
    </w:p>
    <w:p w14:paraId="290BA78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五、保修费用</w:t>
      </w:r>
    </w:p>
    <w:p w14:paraId="3F278AA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保修费用由造成质量缺陷的责任方承担。</w:t>
      </w:r>
    </w:p>
    <w:p w14:paraId="6AFE74D1">
      <w:pPr>
        <w:spacing w:line="360" w:lineRule="auto"/>
        <w:ind w:firstLine="600"/>
        <w:jc w:val="left"/>
        <w:rPr>
          <w:rFonts w:hint="eastAsia" w:ascii="宋体" w:hAnsi="宋体" w:cs="宋体"/>
          <w:color w:val="auto"/>
          <w:szCs w:val="21"/>
          <w:highlight w:val="none"/>
          <w:u w:val="single"/>
        </w:rPr>
      </w:pPr>
      <w:r>
        <w:rPr>
          <w:rFonts w:hint="eastAsia" w:ascii="宋体" w:hAnsi="宋体" w:cs="宋体"/>
          <w:b/>
          <w:color w:val="auto"/>
          <w:szCs w:val="21"/>
          <w:highlight w:val="none"/>
        </w:rPr>
        <w:t>六</w:t>
      </w:r>
      <w:r>
        <w:rPr>
          <w:rFonts w:hint="eastAsia" w:ascii="宋体" w:hAnsi="宋体" w:cs="宋体"/>
          <w:color w:val="auto"/>
          <w:szCs w:val="21"/>
          <w:highlight w:val="none"/>
        </w:rPr>
        <w:t>、双方约定的其他工程质量保修事项</w:t>
      </w:r>
      <w:r>
        <w:rPr>
          <w:rFonts w:hint="eastAsia" w:ascii="宋体" w:hAnsi="宋体" w:cs="宋体"/>
          <w:color w:val="auto"/>
          <w:szCs w:val="21"/>
          <w:highlight w:val="none"/>
          <w:u w:val="single"/>
        </w:rPr>
        <w:t xml:space="preserve">                                   。</w:t>
      </w:r>
    </w:p>
    <w:p w14:paraId="3ED45B74">
      <w:pPr>
        <w:spacing w:line="360" w:lineRule="auto"/>
        <w:ind w:firstLine="600"/>
        <w:jc w:val="left"/>
        <w:rPr>
          <w:rFonts w:hint="eastAsia"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14:paraId="73C54FC6">
      <w:pPr>
        <w:spacing w:line="360" w:lineRule="auto"/>
        <w:ind w:firstLine="420"/>
        <w:rPr>
          <w:rFonts w:hint="eastAsia" w:ascii="宋体" w:hAnsi="宋体" w:cs="宋体"/>
          <w:color w:val="auto"/>
          <w:szCs w:val="21"/>
          <w:highlight w:val="none"/>
        </w:rPr>
      </w:pPr>
    </w:p>
    <w:p w14:paraId="7392489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DF7341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F96974C">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p>
    <w:p w14:paraId="6F370DE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lang w:eastAsia="zh-CN"/>
        </w:rPr>
        <w:t>（</w:t>
      </w:r>
      <w:r>
        <w:rPr>
          <w:rFonts w:hint="eastAsia" w:ascii="宋体" w:hAnsi="宋体" w:cs="宋体"/>
          <w:color w:val="auto"/>
          <w:szCs w:val="21"/>
          <w:highlight w:val="none"/>
        </w:rPr>
        <w:t>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lang w:eastAsia="zh-CN"/>
        </w:rPr>
        <w:t>（</w:t>
      </w:r>
      <w:r>
        <w:rPr>
          <w:rFonts w:hint="eastAsia" w:ascii="宋体" w:hAnsi="宋体" w:cs="宋体"/>
          <w:color w:val="auto"/>
          <w:szCs w:val="21"/>
          <w:highlight w:val="none"/>
        </w:rPr>
        <w:t>签字）：</w:t>
      </w:r>
      <w:r>
        <w:rPr>
          <w:rFonts w:hint="eastAsia" w:ascii="宋体" w:hAnsi="宋体" w:cs="宋体"/>
          <w:color w:val="auto"/>
          <w:szCs w:val="21"/>
          <w:highlight w:val="none"/>
          <w:u w:val="single"/>
        </w:rPr>
        <w:t xml:space="preserve">           </w:t>
      </w:r>
    </w:p>
    <w:p w14:paraId="2E1C77B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152853A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14:paraId="471E412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14:paraId="6EB55472">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3D7581D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rPr>
        <w:br w:type="page"/>
      </w:r>
      <w:r>
        <w:rPr>
          <w:rFonts w:hint="eastAsia" w:ascii="宋体" w:hAnsi="宋体" w:cs="宋体"/>
          <w:color w:val="auto"/>
          <w:szCs w:val="21"/>
          <w:highlight w:val="none"/>
        </w:rPr>
        <w:t>附件4：</w:t>
      </w:r>
    </w:p>
    <w:p w14:paraId="6003DD37">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主要建设工程文件目录</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3A2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53" w:type="dxa"/>
            <w:vAlign w:val="center"/>
          </w:tcPr>
          <w:p w14:paraId="0F4A7055">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文件名称</w:t>
            </w:r>
          </w:p>
        </w:tc>
        <w:tc>
          <w:tcPr>
            <w:tcW w:w="1276" w:type="dxa"/>
            <w:vAlign w:val="center"/>
          </w:tcPr>
          <w:p w14:paraId="35C42F31">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套数</w:t>
            </w:r>
          </w:p>
        </w:tc>
        <w:tc>
          <w:tcPr>
            <w:tcW w:w="1450" w:type="dxa"/>
            <w:vAlign w:val="center"/>
          </w:tcPr>
          <w:p w14:paraId="42533B20">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费用（元）</w:t>
            </w:r>
          </w:p>
        </w:tc>
        <w:tc>
          <w:tcPr>
            <w:tcW w:w="1243" w:type="dxa"/>
            <w:vAlign w:val="center"/>
          </w:tcPr>
          <w:p w14:paraId="0E1009AD">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质量</w:t>
            </w:r>
          </w:p>
        </w:tc>
        <w:tc>
          <w:tcPr>
            <w:tcW w:w="1450" w:type="dxa"/>
          </w:tcPr>
          <w:p w14:paraId="184FFD8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移交时间</w:t>
            </w:r>
          </w:p>
        </w:tc>
        <w:tc>
          <w:tcPr>
            <w:tcW w:w="1667" w:type="dxa"/>
          </w:tcPr>
          <w:p w14:paraId="4FBDE90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责任人</w:t>
            </w:r>
          </w:p>
        </w:tc>
      </w:tr>
      <w:tr w14:paraId="0F6E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4B97BFB7">
            <w:pPr>
              <w:pStyle w:val="19"/>
              <w:keepNext/>
              <w:spacing w:line="440" w:lineRule="exact"/>
              <w:ind w:left="420" w:right="63"/>
              <w:rPr>
                <w:rFonts w:hint="eastAsia" w:ascii="宋体" w:hAnsi="宋体"/>
                <w:color w:val="auto"/>
                <w:highlight w:val="none"/>
              </w:rPr>
            </w:pPr>
          </w:p>
        </w:tc>
        <w:tc>
          <w:tcPr>
            <w:tcW w:w="1276" w:type="dxa"/>
            <w:vAlign w:val="center"/>
          </w:tcPr>
          <w:p w14:paraId="17A2A8A6">
            <w:pPr>
              <w:pStyle w:val="19"/>
              <w:keepNext/>
              <w:spacing w:line="440" w:lineRule="exact"/>
              <w:ind w:left="420" w:right="63"/>
              <w:rPr>
                <w:rFonts w:hint="eastAsia" w:ascii="宋体" w:hAnsi="宋体"/>
                <w:color w:val="auto"/>
                <w:highlight w:val="none"/>
              </w:rPr>
            </w:pPr>
          </w:p>
        </w:tc>
        <w:tc>
          <w:tcPr>
            <w:tcW w:w="1450" w:type="dxa"/>
            <w:vAlign w:val="center"/>
          </w:tcPr>
          <w:p w14:paraId="562CA1A0">
            <w:pPr>
              <w:pStyle w:val="19"/>
              <w:keepNext/>
              <w:spacing w:line="440" w:lineRule="exact"/>
              <w:ind w:left="420" w:right="63"/>
              <w:rPr>
                <w:rFonts w:hint="eastAsia" w:ascii="宋体" w:hAnsi="宋体"/>
                <w:color w:val="auto"/>
                <w:highlight w:val="none"/>
              </w:rPr>
            </w:pPr>
          </w:p>
        </w:tc>
        <w:tc>
          <w:tcPr>
            <w:tcW w:w="1243" w:type="dxa"/>
            <w:vAlign w:val="center"/>
          </w:tcPr>
          <w:p w14:paraId="09414F3F">
            <w:pPr>
              <w:pStyle w:val="19"/>
              <w:keepNext/>
              <w:spacing w:line="440" w:lineRule="exact"/>
              <w:ind w:left="420" w:right="63"/>
              <w:rPr>
                <w:rFonts w:hint="eastAsia" w:ascii="宋体" w:hAnsi="宋体"/>
                <w:color w:val="auto"/>
                <w:highlight w:val="none"/>
              </w:rPr>
            </w:pPr>
          </w:p>
        </w:tc>
        <w:tc>
          <w:tcPr>
            <w:tcW w:w="1450" w:type="dxa"/>
            <w:vAlign w:val="center"/>
          </w:tcPr>
          <w:p w14:paraId="2989C861">
            <w:pPr>
              <w:pStyle w:val="19"/>
              <w:keepNext/>
              <w:spacing w:line="440" w:lineRule="exact"/>
              <w:ind w:left="420" w:right="63"/>
              <w:rPr>
                <w:rFonts w:hint="eastAsia" w:ascii="宋体" w:hAnsi="宋体"/>
                <w:color w:val="auto"/>
                <w:highlight w:val="none"/>
              </w:rPr>
            </w:pPr>
          </w:p>
        </w:tc>
        <w:tc>
          <w:tcPr>
            <w:tcW w:w="1667" w:type="dxa"/>
            <w:vAlign w:val="center"/>
          </w:tcPr>
          <w:p w14:paraId="25D8F653">
            <w:pPr>
              <w:pStyle w:val="19"/>
              <w:keepNext/>
              <w:spacing w:line="440" w:lineRule="exact"/>
              <w:ind w:left="420" w:right="63"/>
              <w:rPr>
                <w:rFonts w:hint="eastAsia" w:ascii="宋体" w:hAnsi="宋体"/>
                <w:color w:val="auto"/>
                <w:highlight w:val="none"/>
              </w:rPr>
            </w:pPr>
          </w:p>
        </w:tc>
      </w:tr>
      <w:tr w14:paraId="3499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20276FDE">
            <w:pPr>
              <w:pStyle w:val="19"/>
              <w:keepNext/>
              <w:spacing w:line="440" w:lineRule="exact"/>
              <w:ind w:left="420" w:right="63"/>
              <w:rPr>
                <w:rFonts w:hint="eastAsia" w:ascii="宋体" w:hAnsi="宋体"/>
                <w:color w:val="auto"/>
                <w:highlight w:val="none"/>
              </w:rPr>
            </w:pPr>
          </w:p>
        </w:tc>
        <w:tc>
          <w:tcPr>
            <w:tcW w:w="1276" w:type="dxa"/>
            <w:vAlign w:val="center"/>
          </w:tcPr>
          <w:p w14:paraId="23FB4AD4">
            <w:pPr>
              <w:pStyle w:val="19"/>
              <w:keepNext/>
              <w:spacing w:line="440" w:lineRule="exact"/>
              <w:ind w:left="420" w:right="63"/>
              <w:rPr>
                <w:rFonts w:hint="eastAsia" w:ascii="宋体" w:hAnsi="宋体"/>
                <w:color w:val="auto"/>
                <w:highlight w:val="none"/>
              </w:rPr>
            </w:pPr>
          </w:p>
        </w:tc>
        <w:tc>
          <w:tcPr>
            <w:tcW w:w="1450" w:type="dxa"/>
            <w:vAlign w:val="center"/>
          </w:tcPr>
          <w:p w14:paraId="7A725CD0">
            <w:pPr>
              <w:pStyle w:val="19"/>
              <w:keepNext/>
              <w:spacing w:line="440" w:lineRule="exact"/>
              <w:ind w:left="420" w:right="63"/>
              <w:rPr>
                <w:rFonts w:hint="eastAsia" w:ascii="宋体" w:hAnsi="宋体"/>
                <w:color w:val="auto"/>
                <w:highlight w:val="none"/>
              </w:rPr>
            </w:pPr>
          </w:p>
        </w:tc>
        <w:tc>
          <w:tcPr>
            <w:tcW w:w="1243" w:type="dxa"/>
            <w:vAlign w:val="center"/>
          </w:tcPr>
          <w:p w14:paraId="105F8170">
            <w:pPr>
              <w:pStyle w:val="19"/>
              <w:keepNext/>
              <w:spacing w:line="440" w:lineRule="exact"/>
              <w:ind w:left="420" w:right="63"/>
              <w:rPr>
                <w:rFonts w:hint="eastAsia" w:ascii="宋体" w:hAnsi="宋体"/>
                <w:color w:val="auto"/>
                <w:highlight w:val="none"/>
              </w:rPr>
            </w:pPr>
          </w:p>
        </w:tc>
        <w:tc>
          <w:tcPr>
            <w:tcW w:w="1450" w:type="dxa"/>
            <w:vAlign w:val="center"/>
          </w:tcPr>
          <w:p w14:paraId="3AF5727D">
            <w:pPr>
              <w:pStyle w:val="19"/>
              <w:keepNext/>
              <w:spacing w:line="440" w:lineRule="exact"/>
              <w:ind w:left="420" w:right="63"/>
              <w:rPr>
                <w:rFonts w:hint="eastAsia" w:ascii="宋体" w:hAnsi="宋体"/>
                <w:color w:val="auto"/>
                <w:highlight w:val="none"/>
              </w:rPr>
            </w:pPr>
          </w:p>
        </w:tc>
        <w:tc>
          <w:tcPr>
            <w:tcW w:w="1667" w:type="dxa"/>
            <w:vAlign w:val="center"/>
          </w:tcPr>
          <w:p w14:paraId="75360637">
            <w:pPr>
              <w:pStyle w:val="19"/>
              <w:keepNext/>
              <w:spacing w:line="440" w:lineRule="exact"/>
              <w:ind w:left="420" w:right="63"/>
              <w:rPr>
                <w:rFonts w:hint="eastAsia" w:ascii="宋体" w:hAnsi="宋体"/>
                <w:color w:val="auto"/>
                <w:highlight w:val="none"/>
              </w:rPr>
            </w:pPr>
          </w:p>
        </w:tc>
      </w:tr>
      <w:tr w14:paraId="13B4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7B00AE07">
            <w:pPr>
              <w:pStyle w:val="19"/>
              <w:keepNext/>
              <w:spacing w:line="440" w:lineRule="exact"/>
              <w:ind w:left="420" w:right="63"/>
              <w:rPr>
                <w:rFonts w:hint="eastAsia" w:ascii="宋体" w:hAnsi="宋体"/>
                <w:color w:val="auto"/>
                <w:highlight w:val="none"/>
              </w:rPr>
            </w:pPr>
          </w:p>
        </w:tc>
        <w:tc>
          <w:tcPr>
            <w:tcW w:w="1276" w:type="dxa"/>
            <w:vAlign w:val="center"/>
          </w:tcPr>
          <w:p w14:paraId="64213A94">
            <w:pPr>
              <w:pStyle w:val="19"/>
              <w:keepNext/>
              <w:spacing w:line="440" w:lineRule="exact"/>
              <w:ind w:left="420" w:right="63"/>
              <w:rPr>
                <w:rFonts w:hint="eastAsia" w:ascii="宋体" w:hAnsi="宋体"/>
                <w:color w:val="auto"/>
                <w:highlight w:val="none"/>
              </w:rPr>
            </w:pPr>
          </w:p>
        </w:tc>
        <w:tc>
          <w:tcPr>
            <w:tcW w:w="1450" w:type="dxa"/>
            <w:vAlign w:val="center"/>
          </w:tcPr>
          <w:p w14:paraId="69D1194D">
            <w:pPr>
              <w:pStyle w:val="19"/>
              <w:keepNext/>
              <w:spacing w:line="440" w:lineRule="exact"/>
              <w:ind w:left="420" w:right="63"/>
              <w:rPr>
                <w:rFonts w:hint="eastAsia" w:ascii="宋体" w:hAnsi="宋体"/>
                <w:color w:val="auto"/>
                <w:highlight w:val="none"/>
              </w:rPr>
            </w:pPr>
          </w:p>
        </w:tc>
        <w:tc>
          <w:tcPr>
            <w:tcW w:w="1243" w:type="dxa"/>
            <w:vAlign w:val="center"/>
          </w:tcPr>
          <w:p w14:paraId="15C4A180">
            <w:pPr>
              <w:pStyle w:val="19"/>
              <w:keepNext/>
              <w:spacing w:line="440" w:lineRule="exact"/>
              <w:ind w:left="420" w:right="63"/>
              <w:rPr>
                <w:rFonts w:hint="eastAsia" w:ascii="宋体" w:hAnsi="宋体"/>
                <w:color w:val="auto"/>
                <w:highlight w:val="none"/>
              </w:rPr>
            </w:pPr>
          </w:p>
        </w:tc>
        <w:tc>
          <w:tcPr>
            <w:tcW w:w="1450" w:type="dxa"/>
            <w:vAlign w:val="center"/>
          </w:tcPr>
          <w:p w14:paraId="33746F03">
            <w:pPr>
              <w:pStyle w:val="19"/>
              <w:keepNext/>
              <w:spacing w:line="440" w:lineRule="exact"/>
              <w:ind w:left="420" w:right="63"/>
              <w:rPr>
                <w:rFonts w:hint="eastAsia" w:ascii="宋体" w:hAnsi="宋体"/>
                <w:color w:val="auto"/>
                <w:highlight w:val="none"/>
              </w:rPr>
            </w:pPr>
          </w:p>
        </w:tc>
        <w:tc>
          <w:tcPr>
            <w:tcW w:w="1667" w:type="dxa"/>
            <w:vAlign w:val="center"/>
          </w:tcPr>
          <w:p w14:paraId="14D392D2">
            <w:pPr>
              <w:pStyle w:val="19"/>
              <w:keepNext/>
              <w:spacing w:line="440" w:lineRule="exact"/>
              <w:ind w:left="420" w:right="63"/>
              <w:rPr>
                <w:rFonts w:hint="eastAsia" w:ascii="宋体" w:hAnsi="宋体"/>
                <w:color w:val="auto"/>
                <w:highlight w:val="none"/>
              </w:rPr>
            </w:pPr>
          </w:p>
        </w:tc>
      </w:tr>
      <w:tr w14:paraId="5DC2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037F71E1">
            <w:pPr>
              <w:pStyle w:val="19"/>
              <w:keepNext/>
              <w:spacing w:line="440" w:lineRule="exact"/>
              <w:ind w:left="420" w:right="63"/>
              <w:rPr>
                <w:rFonts w:hint="eastAsia" w:ascii="宋体" w:hAnsi="宋体"/>
                <w:color w:val="auto"/>
                <w:highlight w:val="none"/>
              </w:rPr>
            </w:pPr>
          </w:p>
        </w:tc>
        <w:tc>
          <w:tcPr>
            <w:tcW w:w="1276" w:type="dxa"/>
            <w:vAlign w:val="center"/>
          </w:tcPr>
          <w:p w14:paraId="4B4077C4">
            <w:pPr>
              <w:pStyle w:val="19"/>
              <w:keepNext/>
              <w:spacing w:line="440" w:lineRule="exact"/>
              <w:ind w:left="420" w:right="63"/>
              <w:rPr>
                <w:rFonts w:hint="eastAsia" w:ascii="宋体" w:hAnsi="宋体"/>
                <w:color w:val="auto"/>
                <w:highlight w:val="none"/>
              </w:rPr>
            </w:pPr>
          </w:p>
        </w:tc>
        <w:tc>
          <w:tcPr>
            <w:tcW w:w="1450" w:type="dxa"/>
            <w:vAlign w:val="center"/>
          </w:tcPr>
          <w:p w14:paraId="033F686F">
            <w:pPr>
              <w:pStyle w:val="19"/>
              <w:keepNext/>
              <w:spacing w:line="440" w:lineRule="exact"/>
              <w:ind w:left="420" w:right="63"/>
              <w:rPr>
                <w:rFonts w:hint="eastAsia" w:ascii="宋体" w:hAnsi="宋体"/>
                <w:color w:val="auto"/>
                <w:highlight w:val="none"/>
              </w:rPr>
            </w:pPr>
          </w:p>
        </w:tc>
        <w:tc>
          <w:tcPr>
            <w:tcW w:w="1243" w:type="dxa"/>
            <w:vAlign w:val="center"/>
          </w:tcPr>
          <w:p w14:paraId="32960FB7">
            <w:pPr>
              <w:pStyle w:val="19"/>
              <w:keepNext/>
              <w:spacing w:line="440" w:lineRule="exact"/>
              <w:ind w:left="420" w:right="63"/>
              <w:rPr>
                <w:rFonts w:hint="eastAsia" w:ascii="宋体" w:hAnsi="宋体"/>
                <w:color w:val="auto"/>
                <w:highlight w:val="none"/>
              </w:rPr>
            </w:pPr>
          </w:p>
        </w:tc>
        <w:tc>
          <w:tcPr>
            <w:tcW w:w="1450" w:type="dxa"/>
            <w:vAlign w:val="center"/>
          </w:tcPr>
          <w:p w14:paraId="41E5AB76">
            <w:pPr>
              <w:pStyle w:val="19"/>
              <w:keepNext/>
              <w:spacing w:line="440" w:lineRule="exact"/>
              <w:ind w:left="420" w:right="63"/>
              <w:rPr>
                <w:rFonts w:hint="eastAsia" w:ascii="宋体" w:hAnsi="宋体"/>
                <w:color w:val="auto"/>
                <w:highlight w:val="none"/>
              </w:rPr>
            </w:pPr>
          </w:p>
        </w:tc>
        <w:tc>
          <w:tcPr>
            <w:tcW w:w="1667" w:type="dxa"/>
            <w:vAlign w:val="center"/>
          </w:tcPr>
          <w:p w14:paraId="22EF9F64">
            <w:pPr>
              <w:pStyle w:val="19"/>
              <w:keepNext/>
              <w:spacing w:line="440" w:lineRule="exact"/>
              <w:ind w:left="420" w:right="63"/>
              <w:rPr>
                <w:rFonts w:hint="eastAsia" w:ascii="宋体" w:hAnsi="宋体"/>
                <w:color w:val="auto"/>
                <w:highlight w:val="none"/>
              </w:rPr>
            </w:pPr>
          </w:p>
        </w:tc>
      </w:tr>
      <w:tr w14:paraId="332F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0B52F121">
            <w:pPr>
              <w:pStyle w:val="19"/>
              <w:keepNext/>
              <w:spacing w:line="440" w:lineRule="exact"/>
              <w:ind w:left="420" w:right="63"/>
              <w:rPr>
                <w:rFonts w:hint="eastAsia" w:ascii="宋体" w:hAnsi="宋体"/>
                <w:color w:val="auto"/>
                <w:highlight w:val="none"/>
              </w:rPr>
            </w:pPr>
          </w:p>
        </w:tc>
        <w:tc>
          <w:tcPr>
            <w:tcW w:w="1276" w:type="dxa"/>
            <w:vAlign w:val="center"/>
          </w:tcPr>
          <w:p w14:paraId="07F923A2">
            <w:pPr>
              <w:pStyle w:val="19"/>
              <w:keepNext/>
              <w:spacing w:line="440" w:lineRule="exact"/>
              <w:ind w:left="420" w:right="63"/>
              <w:rPr>
                <w:rFonts w:hint="eastAsia" w:ascii="宋体" w:hAnsi="宋体"/>
                <w:color w:val="auto"/>
                <w:highlight w:val="none"/>
              </w:rPr>
            </w:pPr>
          </w:p>
        </w:tc>
        <w:tc>
          <w:tcPr>
            <w:tcW w:w="1450" w:type="dxa"/>
            <w:vAlign w:val="center"/>
          </w:tcPr>
          <w:p w14:paraId="7BD8AA81">
            <w:pPr>
              <w:pStyle w:val="19"/>
              <w:keepNext/>
              <w:spacing w:line="440" w:lineRule="exact"/>
              <w:ind w:left="420" w:right="63"/>
              <w:rPr>
                <w:rFonts w:hint="eastAsia" w:ascii="宋体" w:hAnsi="宋体"/>
                <w:color w:val="auto"/>
                <w:highlight w:val="none"/>
              </w:rPr>
            </w:pPr>
          </w:p>
        </w:tc>
        <w:tc>
          <w:tcPr>
            <w:tcW w:w="1243" w:type="dxa"/>
            <w:vAlign w:val="center"/>
          </w:tcPr>
          <w:p w14:paraId="421220F5">
            <w:pPr>
              <w:pStyle w:val="19"/>
              <w:keepNext/>
              <w:spacing w:line="440" w:lineRule="exact"/>
              <w:ind w:left="420" w:right="63"/>
              <w:rPr>
                <w:rFonts w:hint="eastAsia" w:ascii="宋体" w:hAnsi="宋体"/>
                <w:color w:val="auto"/>
                <w:highlight w:val="none"/>
              </w:rPr>
            </w:pPr>
          </w:p>
        </w:tc>
        <w:tc>
          <w:tcPr>
            <w:tcW w:w="1450" w:type="dxa"/>
            <w:vAlign w:val="center"/>
          </w:tcPr>
          <w:p w14:paraId="4C8727DA">
            <w:pPr>
              <w:pStyle w:val="19"/>
              <w:keepNext/>
              <w:spacing w:line="440" w:lineRule="exact"/>
              <w:ind w:left="420" w:right="63"/>
              <w:rPr>
                <w:rFonts w:hint="eastAsia" w:ascii="宋体" w:hAnsi="宋体"/>
                <w:color w:val="auto"/>
                <w:highlight w:val="none"/>
              </w:rPr>
            </w:pPr>
          </w:p>
        </w:tc>
        <w:tc>
          <w:tcPr>
            <w:tcW w:w="1667" w:type="dxa"/>
            <w:vAlign w:val="center"/>
          </w:tcPr>
          <w:p w14:paraId="7810AFA8">
            <w:pPr>
              <w:pStyle w:val="19"/>
              <w:keepNext/>
              <w:spacing w:line="440" w:lineRule="exact"/>
              <w:ind w:left="420" w:right="63"/>
              <w:rPr>
                <w:rFonts w:hint="eastAsia" w:ascii="宋体" w:hAnsi="宋体"/>
                <w:color w:val="auto"/>
                <w:highlight w:val="none"/>
              </w:rPr>
            </w:pPr>
          </w:p>
        </w:tc>
      </w:tr>
      <w:tr w14:paraId="5076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493C5790">
            <w:pPr>
              <w:pStyle w:val="19"/>
              <w:keepNext/>
              <w:spacing w:line="440" w:lineRule="exact"/>
              <w:ind w:left="420" w:right="63"/>
              <w:rPr>
                <w:rFonts w:hint="eastAsia" w:ascii="宋体" w:hAnsi="宋体"/>
                <w:color w:val="auto"/>
                <w:highlight w:val="none"/>
              </w:rPr>
            </w:pPr>
          </w:p>
        </w:tc>
        <w:tc>
          <w:tcPr>
            <w:tcW w:w="1276" w:type="dxa"/>
            <w:vAlign w:val="center"/>
          </w:tcPr>
          <w:p w14:paraId="2AF802A2">
            <w:pPr>
              <w:pStyle w:val="19"/>
              <w:keepNext/>
              <w:spacing w:line="440" w:lineRule="exact"/>
              <w:ind w:left="420" w:right="63"/>
              <w:rPr>
                <w:rFonts w:hint="eastAsia" w:ascii="宋体" w:hAnsi="宋体"/>
                <w:color w:val="auto"/>
                <w:highlight w:val="none"/>
              </w:rPr>
            </w:pPr>
          </w:p>
        </w:tc>
        <w:tc>
          <w:tcPr>
            <w:tcW w:w="1450" w:type="dxa"/>
            <w:vAlign w:val="center"/>
          </w:tcPr>
          <w:p w14:paraId="0789DA18">
            <w:pPr>
              <w:pStyle w:val="19"/>
              <w:keepNext/>
              <w:spacing w:line="440" w:lineRule="exact"/>
              <w:ind w:left="420" w:right="63"/>
              <w:rPr>
                <w:rFonts w:hint="eastAsia" w:ascii="宋体" w:hAnsi="宋体"/>
                <w:color w:val="auto"/>
                <w:highlight w:val="none"/>
              </w:rPr>
            </w:pPr>
          </w:p>
        </w:tc>
        <w:tc>
          <w:tcPr>
            <w:tcW w:w="1243" w:type="dxa"/>
            <w:vAlign w:val="center"/>
          </w:tcPr>
          <w:p w14:paraId="4E808B02">
            <w:pPr>
              <w:pStyle w:val="19"/>
              <w:keepNext/>
              <w:spacing w:line="440" w:lineRule="exact"/>
              <w:ind w:left="420" w:right="63"/>
              <w:rPr>
                <w:rFonts w:hint="eastAsia" w:ascii="宋体" w:hAnsi="宋体"/>
                <w:color w:val="auto"/>
                <w:highlight w:val="none"/>
              </w:rPr>
            </w:pPr>
          </w:p>
        </w:tc>
        <w:tc>
          <w:tcPr>
            <w:tcW w:w="1450" w:type="dxa"/>
            <w:vAlign w:val="center"/>
          </w:tcPr>
          <w:p w14:paraId="34619FB9">
            <w:pPr>
              <w:pStyle w:val="19"/>
              <w:keepNext/>
              <w:spacing w:line="440" w:lineRule="exact"/>
              <w:ind w:left="420" w:right="63"/>
              <w:rPr>
                <w:rFonts w:hint="eastAsia" w:ascii="宋体" w:hAnsi="宋体"/>
                <w:color w:val="auto"/>
                <w:highlight w:val="none"/>
              </w:rPr>
            </w:pPr>
          </w:p>
        </w:tc>
        <w:tc>
          <w:tcPr>
            <w:tcW w:w="1667" w:type="dxa"/>
            <w:vAlign w:val="center"/>
          </w:tcPr>
          <w:p w14:paraId="20394770">
            <w:pPr>
              <w:pStyle w:val="19"/>
              <w:keepNext/>
              <w:spacing w:line="440" w:lineRule="exact"/>
              <w:ind w:left="420" w:right="63"/>
              <w:rPr>
                <w:rFonts w:hint="eastAsia" w:ascii="宋体" w:hAnsi="宋体"/>
                <w:color w:val="auto"/>
                <w:highlight w:val="none"/>
              </w:rPr>
            </w:pPr>
          </w:p>
        </w:tc>
      </w:tr>
      <w:tr w14:paraId="621C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66B14F9D">
            <w:pPr>
              <w:pStyle w:val="19"/>
              <w:keepNext/>
              <w:spacing w:line="440" w:lineRule="exact"/>
              <w:ind w:left="420" w:right="63"/>
              <w:rPr>
                <w:rFonts w:hint="eastAsia" w:ascii="宋体" w:hAnsi="宋体"/>
                <w:color w:val="auto"/>
                <w:highlight w:val="none"/>
              </w:rPr>
            </w:pPr>
          </w:p>
        </w:tc>
        <w:tc>
          <w:tcPr>
            <w:tcW w:w="1276" w:type="dxa"/>
            <w:vAlign w:val="center"/>
          </w:tcPr>
          <w:p w14:paraId="3B48324C">
            <w:pPr>
              <w:pStyle w:val="19"/>
              <w:keepNext/>
              <w:spacing w:line="440" w:lineRule="exact"/>
              <w:ind w:left="420" w:right="63"/>
              <w:rPr>
                <w:rFonts w:hint="eastAsia" w:ascii="宋体" w:hAnsi="宋体"/>
                <w:color w:val="auto"/>
                <w:highlight w:val="none"/>
              </w:rPr>
            </w:pPr>
          </w:p>
        </w:tc>
        <w:tc>
          <w:tcPr>
            <w:tcW w:w="1450" w:type="dxa"/>
            <w:vAlign w:val="center"/>
          </w:tcPr>
          <w:p w14:paraId="5BBE558A">
            <w:pPr>
              <w:pStyle w:val="19"/>
              <w:keepNext/>
              <w:spacing w:line="440" w:lineRule="exact"/>
              <w:ind w:left="420" w:right="63"/>
              <w:rPr>
                <w:rFonts w:hint="eastAsia" w:ascii="宋体" w:hAnsi="宋体"/>
                <w:color w:val="auto"/>
                <w:highlight w:val="none"/>
              </w:rPr>
            </w:pPr>
          </w:p>
        </w:tc>
        <w:tc>
          <w:tcPr>
            <w:tcW w:w="1243" w:type="dxa"/>
            <w:vAlign w:val="center"/>
          </w:tcPr>
          <w:p w14:paraId="2FE4775C">
            <w:pPr>
              <w:pStyle w:val="19"/>
              <w:keepNext/>
              <w:spacing w:line="440" w:lineRule="exact"/>
              <w:ind w:left="420" w:right="63"/>
              <w:rPr>
                <w:rFonts w:hint="eastAsia" w:ascii="宋体" w:hAnsi="宋体"/>
                <w:color w:val="auto"/>
                <w:highlight w:val="none"/>
              </w:rPr>
            </w:pPr>
          </w:p>
        </w:tc>
        <w:tc>
          <w:tcPr>
            <w:tcW w:w="1450" w:type="dxa"/>
            <w:vAlign w:val="center"/>
          </w:tcPr>
          <w:p w14:paraId="6AC3D14C">
            <w:pPr>
              <w:pStyle w:val="19"/>
              <w:keepNext/>
              <w:spacing w:line="440" w:lineRule="exact"/>
              <w:ind w:left="420" w:right="63"/>
              <w:rPr>
                <w:rFonts w:hint="eastAsia" w:ascii="宋体" w:hAnsi="宋体"/>
                <w:color w:val="auto"/>
                <w:highlight w:val="none"/>
              </w:rPr>
            </w:pPr>
          </w:p>
        </w:tc>
        <w:tc>
          <w:tcPr>
            <w:tcW w:w="1667" w:type="dxa"/>
            <w:vAlign w:val="center"/>
          </w:tcPr>
          <w:p w14:paraId="75413862">
            <w:pPr>
              <w:pStyle w:val="19"/>
              <w:keepNext/>
              <w:spacing w:line="440" w:lineRule="exact"/>
              <w:ind w:left="420" w:right="63"/>
              <w:rPr>
                <w:rFonts w:hint="eastAsia" w:ascii="宋体" w:hAnsi="宋体"/>
                <w:color w:val="auto"/>
                <w:highlight w:val="none"/>
              </w:rPr>
            </w:pPr>
          </w:p>
        </w:tc>
      </w:tr>
      <w:tr w14:paraId="0A54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0C4BB7D5">
            <w:pPr>
              <w:pStyle w:val="19"/>
              <w:keepNext/>
              <w:spacing w:line="440" w:lineRule="exact"/>
              <w:ind w:left="420" w:right="63"/>
              <w:rPr>
                <w:rFonts w:hint="eastAsia" w:ascii="宋体" w:hAnsi="宋体"/>
                <w:color w:val="auto"/>
                <w:highlight w:val="none"/>
              </w:rPr>
            </w:pPr>
          </w:p>
        </w:tc>
        <w:tc>
          <w:tcPr>
            <w:tcW w:w="1276" w:type="dxa"/>
            <w:vAlign w:val="center"/>
          </w:tcPr>
          <w:p w14:paraId="4FD82D8F">
            <w:pPr>
              <w:pStyle w:val="19"/>
              <w:keepNext/>
              <w:spacing w:line="440" w:lineRule="exact"/>
              <w:ind w:left="420" w:right="63"/>
              <w:rPr>
                <w:rFonts w:hint="eastAsia" w:ascii="宋体" w:hAnsi="宋体"/>
                <w:color w:val="auto"/>
                <w:highlight w:val="none"/>
              </w:rPr>
            </w:pPr>
          </w:p>
        </w:tc>
        <w:tc>
          <w:tcPr>
            <w:tcW w:w="1450" w:type="dxa"/>
            <w:vAlign w:val="center"/>
          </w:tcPr>
          <w:p w14:paraId="3358B638">
            <w:pPr>
              <w:pStyle w:val="19"/>
              <w:keepNext/>
              <w:spacing w:line="440" w:lineRule="exact"/>
              <w:ind w:left="420" w:right="63"/>
              <w:rPr>
                <w:rFonts w:hint="eastAsia" w:ascii="宋体" w:hAnsi="宋体"/>
                <w:color w:val="auto"/>
                <w:highlight w:val="none"/>
              </w:rPr>
            </w:pPr>
          </w:p>
        </w:tc>
        <w:tc>
          <w:tcPr>
            <w:tcW w:w="1243" w:type="dxa"/>
            <w:vAlign w:val="center"/>
          </w:tcPr>
          <w:p w14:paraId="6D535211">
            <w:pPr>
              <w:pStyle w:val="19"/>
              <w:keepNext/>
              <w:spacing w:line="440" w:lineRule="exact"/>
              <w:ind w:left="420" w:right="63"/>
              <w:rPr>
                <w:rFonts w:hint="eastAsia" w:ascii="宋体" w:hAnsi="宋体"/>
                <w:color w:val="auto"/>
                <w:highlight w:val="none"/>
              </w:rPr>
            </w:pPr>
          </w:p>
        </w:tc>
        <w:tc>
          <w:tcPr>
            <w:tcW w:w="1450" w:type="dxa"/>
            <w:vAlign w:val="center"/>
          </w:tcPr>
          <w:p w14:paraId="30803A35">
            <w:pPr>
              <w:pStyle w:val="19"/>
              <w:keepNext/>
              <w:spacing w:line="440" w:lineRule="exact"/>
              <w:ind w:left="420" w:right="63"/>
              <w:rPr>
                <w:rFonts w:hint="eastAsia" w:ascii="宋体" w:hAnsi="宋体"/>
                <w:color w:val="auto"/>
                <w:highlight w:val="none"/>
              </w:rPr>
            </w:pPr>
          </w:p>
        </w:tc>
        <w:tc>
          <w:tcPr>
            <w:tcW w:w="1667" w:type="dxa"/>
            <w:vAlign w:val="center"/>
          </w:tcPr>
          <w:p w14:paraId="4245C99D">
            <w:pPr>
              <w:pStyle w:val="19"/>
              <w:keepNext/>
              <w:spacing w:line="440" w:lineRule="exact"/>
              <w:ind w:left="420" w:right="63"/>
              <w:rPr>
                <w:rFonts w:hint="eastAsia" w:ascii="宋体" w:hAnsi="宋体"/>
                <w:color w:val="auto"/>
                <w:highlight w:val="none"/>
              </w:rPr>
            </w:pPr>
          </w:p>
        </w:tc>
      </w:tr>
    </w:tbl>
    <w:p w14:paraId="604E5125">
      <w:pPr>
        <w:spacing w:line="440" w:lineRule="exact"/>
        <w:rPr>
          <w:rFonts w:hint="eastAsia" w:ascii="宋体" w:hAnsi="宋体" w:cs="宋体"/>
          <w:color w:val="auto"/>
          <w:szCs w:val="21"/>
          <w:highlight w:val="none"/>
        </w:rPr>
      </w:pPr>
    </w:p>
    <w:p w14:paraId="378BD85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1497" w:name="_Toc296891267"/>
      <w:bookmarkStart w:id="1498" w:name="_Toc267261698"/>
      <w:bookmarkStart w:id="1499" w:name="_Toc296503227"/>
      <w:bookmarkStart w:id="1500" w:name="_Toc296347226"/>
      <w:bookmarkStart w:id="1501" w:name="_Toc296891055"/>
      <w:bookmarkStart w:id="1502" w:name="_Toc296944566"/>
      <w:bookmarkStart w:id="1503" w:name="_Toc296346728"/>
      <w:r>
        <w:rPr>
          <w:rFonts w:hint="eastAsia" w:ascii="宋体" w:hAnsi="宋体" w:cs="宋体"/>
          <w:color w:val="auto"/>
          <w:szCs w:val="21"/>
          <w:highlight w:val="none"/>
        </w:rPr>
        <w:t>件5：</w:t>
      </w:r>
    </w:p>
    <w:bookmarkEnd w:id="1497"/>
    <w:bookmarkEnd w:id="1498"/>
    <w:bookmarkEnd w:id="1499"/>
    <w:bookmarkEnd w:id="1500"/>
    <w:bookmarkEnd w:id="1501"/>
    <w:bookmarkEnd w:id="1502"/>
    <w:bookmarkEnd w:id="1503"/>
    <w:p w14:paraId="0AF7BB5B">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承包人用于本工程施工的机械设备表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D69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5CDB508C">
            <w:pPr>
              <w:jc w:val="center"/>
              <w:rPr>
                <w:color w:val="auto"/>
                <w:highlight w:val="none"/>
              </w:rPr>
            </w:pPr>
            <w:r>
              <w:rPr>
                <w:rFonts w:hint="eastAsia"/>
                <w:color w:val="auto"/>
                <w:highlight w:val="none"/>
              </w:rPr>
              <w:t>序号</w:t>
            </w:r>
          </w:p>
        </w:tc>
        <w:tc>
          <w:tcPr>
            <w:tcW w:w="1418" w:type="dxa"/>
            <w:vAlign w:val="center"/>
          </w:tcPr>
          <w:p w14:paraId="64ADF76E">
            <w:pPr>
              <w:jc w:val="center"/>
              <w:rPr>
                <w:color w:val="auto"/>
                <w:highlight w:val="none"/>
              </w:rPr>
            </w:pPr>
            <w:r>
              <w:rPr>
                <w:rFonts w:hint="eastAsia"/>
                <w:color w:val="auto"/>
                <w:highlight w:val="none"/>
              </w:rPr>
              <w:t>机械或设备名称</w:t>
            </w:r>
          </w:p>
        </w:tc>
        <w:tc>
          <w:tcPr>
            <w:tcW w:w="850" w:type="dxa"/>
            <w:vAlign w:val="center"/>
          </w:tcPr>
          <w:p w14:paraId="00FA185F">
            <w:pPr>
              <w:jc w:val="center"/>
              <w:rPr>
                <w:color w:val="auto"/>
                <w:highlight w:val="none"/>
              </w:rPr>
            </w:pPr>
            <w:r>
              <w:rPr>
                <w:rFonts w:hint="eastAsia"/>
                <w:color w:val="auto"/>
                <w:highlight w:val="none"/>
              </w:rPr>
              <w:t>规格型号</w:t>
            </w:r>
          </w:p>
        </w:tc>
        <w:tc>
          <w:tcPr>
            <w:tcW w:w="1058" w:type="dxa"/>
            <w:vAlign w:val="center"/>
          </w:tcPr>
          <w:p w14:paraId="1585AD16">
            <w:pPr>
              <w:jc w:val="center"/>
              <w:rPr>
                <w:color w:val="auto"/>
                <w:highlight w:val="none"/>
              </w:rPr>
            </w:pPr>
            <w:r>
              <w:rPr>
                <w:rFonts w:hint="eastAsia"/>
                <w:color w:val="auto"/>
                <w:highlight w:val="none"/>
              </w:rPr>
              <w:t>数量</w:t>
            </w:r>
          </w:p>
        </w:tc>
        <w:tc>
          <w:tcPr>
            <w:tcW w:w="880" w:type="dxa"/>
            <w:vAlign w:val="center"/>
          </w:tcPr>
          <w:p w14:paraId="444DDDCA">
            <w:pPr>
              <w:jc w:val="center"/>
              <w:rPr>
                <w:color w:val="auto"/>
                <w:highlight w:val="none"/>
              </w:rPr>
            </w:pPr>
            <w:r>
              <w:rPr>
                <w:rFonts w:hint="eastAsia"/>
                <w:color w:val="auto"/>
                <w:highlight w:val="none"/>
              </w:rPr>
              <w:t>产地</w:t>
            </w:r>
          </w:p>
        </w:tc>
        <w:tc>
          <w:tcPr>
            <w:tcW w:w="1020" w:type="dxa"/>
            <w:vAlign w:val="center"/>
          </w:tcPr>
          <w:p w14:paraId="7A426795">
            <w:pPr>
              <w:jc w:val="center"/>
              <w:rPr>
                <w:color w:val="auto"/>
                <w:highlight w:val="none"/>
              </w:rPr>
            </w:pPr>
            <w:r>
              <w:rPr>
                <w:rFonts w:hint="eastAsia"/>
                <w:color w:val="auto"/>
                <w:highlight w:val="none"/>
              </w:rPr>
              <w:t>制造年份</w:t>
            </w:r>
          </w:p>
        </w:tc>
        <w:tc>
          <w:tcPr>
            <w:tcW w:w="1480" w:type="dxa"/>
            <w:vAlign w:val="center"/>
          </w:tcPr>
          <w:p w14:paraId="608CB584">
            <w:pPr>
              <w:jc w:val="center"/>
              <w:rPr>
                <w:color w:val="auto"/>
                <w:highlight w:val="none"/>
              </w:rPr>
            </w:pPr>
            <w:r>
              <w:rPr>
                <w:rFonts w:hint="eastAsia"/>
                <w:color w:val="auto"/>
                <w:highlight w:val="none"/>
              </w:rPr>
              <w:t>额定功率</w:t>
            </w:r>
            <w:r>
              <w:rPr>
                <w:rFonts w:hint="eastAsia"/>
                <w:color w:val="auto"/>
                <w:highlight w:val="none"/>
                <w:lang w:eastAsia="zh-CN"/>
              </w:rPr>
              <w:t>（</w:t>
            </w:r>
            <w:r>
              <w:rPr>
                <w:color w:val="auto"/>
                <w:highlight w:val="none"/>
              </w:rPr>
              <w:t>kW</w:t>
            </w:r>
            <w:r>
              <w:rPr>
                <w:rFonts w:hint="eastAsia"/>
                <w:color w:val="auto"/>
                <w:highlight w:val="none"/>
              </w:rPr>
              <w:t>）</w:t>
            </w:r>
          </w:p>
        </w:tc>
        <w:tc>
          <w:tcPr>
            <w:tcW w:w="1020" w:type="dxa"/>
            <w:vAlign w:val="center"/>
          </w:tcPr>
          <w:p w14:paraId="111C627F">
            <w:pPr>
              <w:jc w:val="center"/>
              <w:rPr>
                <w:color w:val="auto"/>
                <w:highlight w:val="none"/>
              </w:rPr>
            </w:pPr>
            <w:r>
              <w:rPr>
                <w:rFonts w:hint="eastAsia"/>
                <w:color w:val="auto"/>
                <w:highlight w:val="none"/>
              </w:rPr>
              <w:t>生产能力</w:t>
            </w:r>
          </w:p>
        </w:tc>
        <w:tc>
          <w:tcPr>
            <w:tcW w:w="921" w:type="dxa"/>
            <w:vAlign w:val="center"/>
          </w:tcPr>
          <w:p w14:paraId="08FB57F0">
            <w:pPr>
              <w:jc w:val="center"/>
              <w:rPr>
                <w:color w:val="auto"/>
                <w:highlight w:val="none"/>
              </w:rPr>
            </w:pPr>
            <w:r>
              <w:rPr>
                <w:rFonts w:hint="eastAsia"/>
                <w:color w:val="auto"/>
                <w:highlight w:val="none"/>
              </w:rPr>
              <w:t>备注</w:t>
            </w:r>
          </w:p>
        </w:tc>
      </w:tr>
      <w:tr w14:paraId="11CD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D0980C1">
            <w:pPr>
              <w:pStyle w:val="19"/>
              <w:keepNext/>
              <w:spacing w:line="440" w:lineRule="exact"/>
              <w:ind w:left="420" w:right="63"/>
              <w:rPr>
                <w:rFonts w:hint="eastAsia" w:ascii="宋体" w:hAnsi="宋体"/>
                <w:color w:val="auto"/>
                <w:highlight w:val="none"/>
              </w:rPr>
            </w:pPr>
          </w:p>
        </w:tc>
        <w:tc>
          <w:tcPr>
            <w:tcW w:w="1418" w:type="dxa"/>
            <w:vAlign w:val="center"/>
          </w:tcPr>
          <w:p w14:paraId="309D45F4">
            <w:pPr>
              <w:pStyle w:val="19"/>
              <w:keepNext/>
              <w:spacing w:line="440" w:lineRule="exact"/>
              <w:ind w:left="420" w:right="63"/>
              <w:rPr>
                <w:rFonts w:hint="eastAsia" w:ascii="宋体" w:hAnsi="宋体"/>
                <w:color w:val="auto"/>
                <w:highlight w:val="none"/>
              </w:rPr>
            </w:pPr>
          </w:p>
        </w:tc>
        <w:tc>
          <w:tcPr>
            <w:tcW w:w="850" w:type="dxa"/>
            <w:vAlign w:val="center"/>
          </w:tcPr>
          <w:p w14:paraId="1C917351">
            <w:pPr>
              <w:pStyle w:val="19"/>
              <w:keepNext/>
              <w:spacing w:line="440" w:lineRule="exact"/>
              <w:ind w:left="420" w:right="63"/>
              <w:rPr>
                <w:rFonts w:hint="eastAsia" w:ascii="宋体" w:hAnsi="宋体"/>
                <w:color w:val="auto"/>
                <w:highlight w:val="none"/>
              </w:rPr>
            </w:pPr>
          </w:p>
        </w:tc>
        <w:tc>
          <w:tcPr>
            <w:tcW w:w="1058" w:type="dxa"/>
            <w:vAlign w:val="center"/>
          </w:tcPr>
          <w:p w14:paraId="13019D74">
            <w:pPr>
              <w:pStyle w:val="19"/>
              <w:keepNext/>
              <w:spacing w:line="440" w:lineRule="exact"/>
              <w:ind w:left="420" w:right="63"/>
              <w:rPr>
                <w:rFonts w:hint="eastAsia" w:ascii="宋体" w:hAnsi="宋体"/>
                <w:color w:val="auto"/>
                <w:highlight w:val="none"/>
              </w:rPr>
            </w:pPr>
          </w:p>
        </w:tc>
        <w:tc>
          <w:tcPr>
            <w:tcW w:w="880" w:type="dxa"/>
            <w:vAlign w:val="center"/>
          </w:tcPr>
          <w:p w14:paraId="4002395E">
            <w:pPr>
              <w:pStyle w:val="19"/>
              <w:keepNext/>
              <w:spacing w:line="440" w:lineRule="exact"/>
              <w:ind w:left="420" w:right="63"/>
              <w:rPr>
                <w:rFonts w:hint="eastAsia" w:ascii="宋体" w:hAnsi="宋体"/>
                <w:color w:val="auto"/>
                <w:highlight w:val="none"/>
              </w:rPr>
            </w:pPr>
          </w:p>
        </w:tc>
        <w:tc>
          <w:tcPr>
            <w:tcW w:w="1020" w:type="dxa"/>
            <w:vAlign w:val="center"/>
          </w:tcPr>
          <w:p w14:paraId="305F96E7">
            <w:pPr>
              <w:pStyle w:val="19"/>
              <w:keepNext/>
              <w:spacing w:line="440" w:lineRule="exact"/>
              <w:ind w:left="420" w:right="63"/>
              <w:rPr>
                <w:rFonts w:hint="eastAsia" w:ascii="宋体" w:hAnsi="宋体"/>
                <w:color w:val="auto"/>
                <w:highlight w:val="none"/>
              </w:rPr>
            </w:pPr>
          </w:p>
        </w:tc>
        <w:tc>
          <w:tcPr>
            <w:tcW w:w="1480" w:type="dxa"/>
            <w:vAlign w:val="center"/>
          </w:tcPr>
          <w:p w14:paraId="5E2CE7E5">
            <w:pPr>
              <w:pStyle w:val="19"/>
              <w:keepNext/>
              <w:spacing w:line="440" w:lineRule="exact"/>
              <w:ind w:left="420" w:right="63"/>
              <w:rPr>
                <w:rFonts w:hint="eastAsia" w:ascii="宋体" w:hAnsi="宋体"/>
                <w:color w:val="auto"/>
                <w:highlight w:val="none"/>
              </w:rPr>
            </w:pPr>
          </w:p>
        </w:tc>
        <w:tc>
          <w:tcPr>
            <w:tcW w:w="1020" w:type="dxa"/>
            <w:vAlign w:val="center"/>
          </w:tcPr>
          <w:p w14:paraId="7BC91D12">
            <w:pPr>
              <w:pStyle w:val="19"/>
              <w:keepNext/>
              <w:spacing w:line="440" w:lineRule="exact"/>
              <w:ind w:left="420" w:right="63"/>
              <w:rPr>
                <w:rFonts w:hint="eastAsia" w:ascii="宋体" w:hAnsi="宋体"/>
                <w:color w:val="auto"/>
                <w:highlight w:val="none"/>
              </w:rPr>
            </w:pPr>
          </w:p>
        </w:tc>
        <w:tc>
          <w:tcPr>
            <w:tcW w:w="921" w:type="dxa"/>
            <w:vAlign w:val="center"/>
          </w:tcPr>
          <w:p w14:paraId="6D6D366B">
            <w:pPr>
              <w:pStyle w:val="19"/>
              <w:keepNext/>
              <w:spacing w:line="440" w:lineRule="exact"/>
              <w:ind w:left="420" w:right="63"/>
              <w:rPr>
                <w:rFonts w:hint="eastAsia" w:ascii="宋体" w:hAnsi="宋体"/>
                <w:color w:val="auto"/>
                <w:highlight w:val="none"/>
              </w:rPr>
            </w:pPr>
          </w:p>
        </w:tc>
      </w:tr>
      <w:tr w14:paraId="3F14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8EE5CE5">
            <w:pPr>
              <w:pStyle w:val="19"/>
              <w:keepNext/>
              <w:spacing w:line="440" w:lineRule="exact"/>
              <w:ind w:left="420" w:right="63"/>
              <w:rPr>
                <w:rFonts w:hint="eastAsia" w:ascii="宋体" w:hAnsi="宋体"/>
                <w:color w:val="auto"/>
                <w:highlight w:val="none"/>
              </w:rPr>
            </w:pPr>
          </w:p>
        </w:tc>
        <w:tc>
          <w:tcPr>
            <w:tcW w:w="1418" w:type="dxa"/>
            <w:vAlign w:val="center"/>
          </w:tcPr>
          <w:p w14:paraId="0B6E77CA">
            <w:pPr>
              <w:pStyle w:val="19"/>
              <w:keepNext/>
              <w:spacing w:line="440" w:lineRule="exact"/>
              <w:ind w:left="420" w:right="63"/>
              <w:rPr>
                <w:rFonts w:hint="eastAsia" w:ascii="宋体" w:hAnsi="宋体"/>
                <w:color w:val="auto"/>
                <w:highlight w:val="none"/>
              </w:rPr>
            </w:pPr>
          </w:p>
        </w:tc>
        <w:tc>
          <w:tcPr>
            <w:tcW w:w="850" w:type="dxa"/>
            <w:vAlign w:val="center"/>
          </w:tcPr>
          <w:p w14:paraId="27F63582">
            <w:pPr>
              <w:pStyle w:val="19"/>
              <w:keepNext/>
              <w:spacing w:line="440" w:lineRule="exact"/>
              <w:ind w:left="420" w:right="63"/>
              <w:rPr>
                <w:rFonts w:hint="eastAsia" w:ascii="宋体" w:hAnsi="宋体"/>
                <w:color w:val="auto"/>
                <w:highlight w:val="none"/>
              </w:rPr>
            </w:pPr>
          </w:p>
        </w:tc>
        <w:tc>
          <w:tcPr>
            <w:tcW w:w="1058" w:type="dxa"/>
            <w:vAlign w:val="center"/>
          </w:tcPr>
          <w:p w14:paraId="2B6F8DC0">
            <w:pPr>
              <w:pStyle w:val="19"/>
              <w:keepNext/>
              <w:spacing w:line="440" w:lineRule="exact"/>
              <w:ind w:left="420" w:right="63"/>
              <w:rPr>
                <w:rFonts w:hint="eastAsia" w:ascii="宋体" w:hAnsi="宋体"/>
                <w:color w:val="auto"/>
                <w:highlight w:val="none"/>
              </w:rPr>
            </w:pPr>
          </w:p>
        </w:tc>
        <w:tc>
          <w:tcPr>
            <w:tcW w:w="880" w:type="dxa"/>
            <w:vAlign w:val="center"/>
          </w:tcPr>
          <w:p w14:paraId="719DCA33">
            <w:pPr>
              <w:pStyle w:val="19"/>
              <w:keepNext/>
              <w:spacing w:line="440" w:lineRule="exact"/>
              <w:ind w:left="420" w:right="63"/>
              <w:rPr>
                <w:rFonts w:hint="eastAsia" w:ascii="宋体" w:hAnsi="宋体"/>
                <w:color w:val="auto"/>
                <w:highlight w:val="none"/>
              </w:rPr>
            </w:pPr>
          </w:p>
        </w:tc>
        <w:tc>
          <w:tcPr>
            <w:tcW w:w="1020" w:type="dxa"/>
            <w:vAlign w:val="center"/>
          </w:tcPr>
          <w:p w14:paraId="4D63035B">
            <w:pPr>
              <w:pStyle w:val="19"/>
              <w:keepNext/>
              <w:spacing w:line="440" w:lineRule="exact"/>
              <w:ind w:left="420" w:right="63"/>
              <w:rPr>
                <w:rFonts w:hint="eastAsia" w:ascii="宋体" w:hAnsi="宋体"/>
                <w:color w:val="auto"/>
                <w:highlight w:val="none"/>
              </w:rPr>
            </w:pPr>
          </w:p>
        </w:tc>
        <w:tc>
          <w:tcPr>
            <w:tcW w:w="1480" w:type="dxa"/>
            <w:vAlign w:val="center"/>
          </w:tcPr>
          <w:p w14:paraId="6A84AB93">
            <w:pPr>
              <w:pStyle w:val="19"/>
              <w:keepNext/>
              <w:spacing w:line="440" w:lineRule="exact"/>
              <w:ind w:left="420" w:right="63"/>
              <w:rPr>
                <w:rFonts w:hint="eastAsia" w:ascii="宋体" w:hAnsi="宋体"/>
                <w:color w:val="auto"/>
                <w:highlight w:val="none"/>
              </w:rPr>
            </w:pPr>
          </w:p>
        </w:tc>
        <w:tc>
          <w:tcPr>
            <w:tcW w:w="1020" w:type="dxa"/>
            <w:vAlign w:val="center"/>
          </w:tcPr>
          <w:p w14:paraId="7EB7075B">
            <w:pPr>
              <w:pStyle w:val="19"/>
              <w:keepNext/>
              <w:spacing w:line="440" w:lineRule="exact"/>
              <w:ind w:left="420" w:right="63"/>
              <w:rPr>
                <w:rFonts w:hint="eastAsia" w:ascii="宋体" w:hAnsi="宋体"/>
                <w:color w:val="auto"/>
                <w:highlight w:val="none"/>
              </w:rPr>
            </w:pPr>
          </w:p>
        </w:tc>
        <w:tc>
          <w:tcPr>
            <w:tcW w:w="921" w:type="dxa"/>
            <w:vAlign w:val="center"/>
          </w:tcPr>
          <w:p w14:paraId="4EA22FE9">
            <w:pPr>
              <w:pStyle w:val="19"/>
              <w:keepNext/>
              <w:spacing w:line="440" w:lineRule="exact"/>
              <w:ind w:left="420" w:right="63"/>
              <w:rPr>
                <w:rFonts w:hint="eastAsia" w:ascii="宋体" w:hAnsi="宋体"/>
                <w:color w:val="auto"/>
                <w:highlight w:val="none"/>
              </w:rPr>
            </w:pPr>
          </w:p>
        </w:tc>
      </w:tr>
      <w:tr w14:paraId="424A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C5F4FF2">
            <w:pPr>
              <w:pStyle w:val="19"/>
              <w:keepNext/>
              <w:spacing w:line="440" w:lineRule="exact"/>
              <w:ind w:left="420" w:right="63"/>
              <w:rPr>
                <w:rFonts w:hint="eastAsia" w:ascii="宋体" w:hAnsi="宋体"/>
                <w:color w:val="auto"/>
                <w:highlight w:val="none"/>
              </w:rPr>
            </w:pPr>
          </w:p>
        </w:tc>
        <w:tc>
          <w:tcPr>
            <w:tcW w:w="1418" w:type="dxa"/>
            <w:vAlign w:val="center"/>
          </w:tcPr>
          <w:p w14:paraId="0F8AC943">
            <w:pPr>
              <w:pStyle w:val="19"/>
              <w:keepNext/>
              <w:spacing w:line="440" w:lineRule="exact"/>
              <w:ind w:left="420" w:right="63"/>
              <w:rPr>
                <w:rFonts w:hint="eastAsia" w:ascii="宋体" w:hAnsi="宋体"/>
                <w:color w:val="auto"/>
                <w:highlight w:val="none"/>
              </w:rPr>
            </w:pPr>
          </w:p>
        </w:tc>
        <w:tc>
          <w:tcPr>
            <w:tcW w:w="850" w:type="dxa"/>
            <w:vAlign w:val="center"/>
          </w:tcPr>
          <w:p w14:paraId="5A57DAB7">
            <w:pPr>
              <w:pStyle w:val="19"/>
              <w:keepNext/>
              <w:spacing w:line="440" w:lineRule="exact"/>
              <w:ind w:left="420" w:right="63"/>
              <w:rPr>
                <w:rFonts w:hint="eastAsia" w:ascii="宋体" w:hAnsi="宋体"/>
                <w:color w:val="auto"/>
                <w:highlight w:val="none"/>
              </w:rPr>
            </w:pPr>
          </w:p>
        </w:tc>
        <w:tc>
          <w:tcPr>
            <w:tcW w:w="1058" w:type="dxa"/>
            <w:vAlign w:val="center"/>
          </w:tcPr>
          <w:p w14:paraId="776E9457">
            <w:pPr>
              <w:pStyle w:val="19"/>
              <w:keepNext/>
              <w:spacing w:line="440" w:lineRule="exact"/>
              <w:ind w:left="420" w:right="63"/>
              <w:rPr>
                <w:rFonts w:hint="eastAsia" w:ascii="宋体" w:hAnsi="宋体"/>
                <w:color w:val="auto"/>
                <w:highlight w:val="none"/>
              </w:rPr>
            </w:pPr>
          </w:p>
        </w:tc>
        <w:tc>
          <w:tcPr>
            <w:tcW w:w="880" w:type="dxa"/>
            <w:vAlign w:val="center"/>
          </w:tcPr>
          <w:p w14:paraId="683DC317">
            <w:pPr>
              <w:pStyle w:val="19"/>
              <w:keepNext/>
              <w:spacing w:line="440" w:lineRule="exact"/>
              <w:ind w:left="420" w:right="63"/>
              <w:rPr>
                <w:rFonts w:hint="eastAsia" w:ascii="宋体" w:hAnsi="宋体"/>
                <w:color w:val="auto"/>
                <w:highlight w:val="none"/>
              </w:rPr>
            </w:pPr>
          </w:p>
        </w:tc>
        <w:tc>
          <w:tcPr>
            <w:tcW w:w="1020" w:type="dxa"/>
            <w:vAlign w:val="center"/>
          </w:tcPr>
          <w:p w14:paraId="2472425E">
            <w:pPr>
              <w:pStyle w:val="19"/>
              <w:keepNext/>
              <w:spacing w:line="440" w:lineRule="exact"/>
              <w:ind w:left="420" w:right="63"/>
              <w:rPr>
                <w:rFonts w:hint="eastAsia" w:ascii="宋体" w:hAnsi="宋体"/>
                <w:color w:val="auto"/>
                <w:highlight w:val="none"/>
              </w:rPr>
            </w:pPr>
          </w:p>
        </w:tc>
        <w:tc>
          <w:tcPr>
            <w:tcW w:w="1480" w:type="dxa"/>
            <w:vAlign w:val="center"/>
          </w:tcPr>
          <w:p w14:paraId="4E68D109">
            <w:pPr>
              <w:pStyle w:val="19"/>
              <w:keepNext/>
              <w:spacing w:line="440" w:lineRule="exact"/>
              <w:ind w:left="420" w:right="63"/>
              <w:rPr>
                <w:rFonts w:hint="eastAsia" w:ascii="宋体" w:hAnsi="宋体"/>
                <w:color w:val="auto"/>
                <w:highlight w:val="none"/>
              </w:rPr>
            </w:pPr>
          </w:p>
        </w:tc>
        <w:tc>
          <w:tcPr>
            <w:tcW w:w="1020" w:type="dxa"/>
            <w:vAlign w:val="center"/>
          </w:tcPr>
          <w:p w14:paraId="26282BA6">
            <w:pPr>
              <w:pStyle w:val="19"/>
              <w:keepNext/>
              <w:spacing w:line="440" w:lineRule="exact"/>
              <w:ind w:left="420" w:right="63"/>
              <w:rPr>
                <w:rFonts w:hint="eastAsia" w:ascii="宋体" w:hAnsi="宋体"/>
                <w:color w:val="auto"/>
                <w:highlight w:val="none"/>
              </w:rPr>
            </w:pPr>
          </w:p>
        </w:tc>
        <w:tc>
          <w:tcPr>
            <w:tcW w:w="921" w:type="dxa"/>
            <w:vAlign w:val="center"/>
          </w:tcPr>
          <w:p w14:paraId="6E1F4FED">
            <w:pPr>
              <w:pStyle w:val="19"/>
              <w:keepNext/>
              <w:spacing w:line="440" w:lineRule="exact"/>
              <w:ind w:left="420" w:right="63"/>
              <w:rPr>
                <w:rFonts w:hint="eastAsia" w:ascii="宋体" w:hAnsi="宋体"/>
                <w:color w:val="auto"/>
                <w:highlight w:val="none"/>
              </w:rPr>
            </w:pPr>
          </w:p>
        </w:tc>
      </w:tr>
      <w:tr w14:paraId="072F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107FB73">
            <w:pPr>
              <w:pStyle w:val="19"/>
              <w:keepNext/>
              <w:spacing w:line="440" w:lineRule="exact"/>
              <w:ind w:left="420" w:right="63"/>
              <w:rPr>
                <w:rFonts w:hint="eastAsia" w:ascii="宋体" w:hAnsi="宋体"/>
                <w:color w:val="auto"/>
                <w:highlight w:val="none"/>
              </w:rPr>
            </w:pPr>
          </w:p>
        </w:tc>
        <w:tc>
          <w:tcPr>
            <w:tcW w:w="1418" w:type="dxa"/>
            <w:vAlign w:val="center"/>
          </w:tcPr>
          <w:p w14:paraId="1A463841">
            <w:pPr>
              <w:pStyle w:val="19"/>
              <w:keepNext/>
              <w:spacing w:line="440" w:lineRule="exact"/>
              <w:ind w:left="420" w:right="63"/>
              <w:rPr>
                <w:rFonts w:hint="eastAsia" w:ascii="宋体" w:hAnsi="宋体"/>
                <w:color w:val="auto"/>
                <w:highlight w:val="none"/>
              </w:rPr>
            </w:pPr>
          </w:p>
        </w:tc>
        <w:tc>
          <w:tcPr>
            <w:tcW w:w="850" w:type="dxa"/>
            <w:vAlign w:val="center"/>
          </w:tcPr>
          <w:p w14:paraId="12E8E86A">
            <w:pPr>
              <w:pStyle w:val="19"/>
              <w:keepNext/>
              <w:spacing w:line="440" w:lineRule="exact"/>
              <w:ind w:left="420" w:right="63"/>
              <w:rPr>
                <w:rFonts w:hint="eastAsia" w:ascii="宋体" w:hAnsi="宋体"/>
                <w:color w:val="auto"/>
                <w:highlight w:val="none"/>
              </w:rPr>
            </w:pPr>
          </w:p>
        </w:tc>
        <w:tc>
          <w:tcPr>
            <w:tcW w:w="1058" w:type="dxa"/>
            <w:vAlign w:val="center"/>
          </w:tcPr>
          <w:p w14:paraId="0C28D2F9">
            <w:pPr>
              <w:pStyle w:val="19"/>
              <w:keepNext/>
              <w:spacing w:line="440" w:lineRule="exact"/>
              <w:ind w:left="420" w:right="63"/>
              <w:rPr>
                <w:rFonts w:hint="eastAsia" w:ascii="宋体" w:hAnsi="宋体"/>
                <w:color w:val="auto"/>
                <w:highlight w:val="none"/>
              </w:rPr>
            </w:pPr>
          </w:p>
        </w:tc>
        <w:tc>
          <w:tcPr>
            <w:tcW w:w="880" w:type="dxa"/>
            <w:vAlign w:val="center"/>
          </w:tcPr>
          <w:p w14:paraId="1532513C">
            <w:pPr>
              <w:pStyle w:val="19"/>
              <w:keepNext/>
              <w:spacing w:line="440" w:lineRule="exact"/>
              <w:ind w:left="420" w:right="63"/>
              <w:rPr>
                <w:rFonts w:hint="eastAsia" w:ascii="宋体" w:hAnsi="宋体"/>
                <w:color w:val="auto"/>
                <w:highlight w:val="none"/>
              </w:rPr>
            </w:pPr>
          </w:p>
        </w:tc>
        <w:tc>
          <w:tcPr>
            <w:tcW w:w="1020" w:type="dxa"/>
            <w:vAlign w:val="center"/>
          </w:tcPr>
          <w:p w14:paraId="466315CE">
            <w:pPr>
              <w:pStyle w:val="19"/>
              <w:keepNext/>
              <w:spacing w:line="440" w:lineRule="exact"/>
              <w:ind w:left="420" w:right="63"/>
              <w:rPr>
                <w:rFonts w:hint="eastAsia" w:ascii="宋体" w:hAnsi="宋体"/>
                <w:color w:val="auto"/>
                <w:highlight w:val="none"/>
              </w:rPr>
            </w:pPr>
          </w:p>
        </w:tc>
        <w:tc>
          <w:tcPr>
            <w:tcW w:w="1480" w:type="dxa"/>
            <w:vAlign w:val="center"/>
          </w:tcPr>
          <w:p w14:paraId="624863B7">
            <w:pPr>
              <w:pStyle w:val="19"/>
              <w:keepNext/>
              <w:spacing w:line="440" w:lineRule="exact"/>
              <w:ind w:left="420" w:right="63"/>
              <w:rPr>
                <w:rFonts w:hint="eastAsia" w:ascii="宋体" w:hAnsi="宋体"/>
                <w:color w:val="auto"/>
                <w:highlight w:val="none"/>
              </w:rPr>
            </w:pPr>
          </w:p>
        </w:tc>
        <w:tc>
          <w:tcPr>
            <w:tcW w:w="1020" w:type="dxa"/>
            <w:vAlign w:val="center"/>
          </w:tcPr>
          <w:p w14:paraId="0E264231">
            <w:pPr>
              <w:pStyle w:val="19"/>
              <w:keepNext/>
              <w:spacing w:line="440" w:lineRule="exact"/>
              <w:ind w:left="420" w:right="63"/>
              <w:rPr>
                <w:rFonts w:hint="eastAsia" w:ascii="宋体" w:hAnsi="宋体"/>
                <w:color w:val="auto"/>
                <w:highlight w:val="none"/>
              </w:rPr>
            </w:pPr>
          </w:p>
        </w:tc>
        <w:tc>
          <w:tcPr>
            <w:tcW w:w="921" w:type="dxa"/>
            <w:vAlign w:val="center"/>
          </w:tcPr>
          <w:p w14:paraId="6CC61C0D">
            <w:pPr>
              <w:pStyle w:val="19"/>
              <w:keepNext/>
              <w:spacing w:line="440" w:lineRule="exact"/>
              <w:ind w:left="420" w:right="63"/>
              <w:rPr>
                <w:rFonts w:hint="eastAsia" w:ascii="宋体" w:hAnsi="宋体"/>
                <w:color w:val="auto"/>
                <w:highlight w:val="none"/>
              </w:rPr>
            </w:pPr>
          </w:p>
        </w:tc>
      </w:tr>
      <w:tr w14:paraId="0E5B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5CADB88">
            <w:pPr>
              <w:pStyle w:val="19"/>
              <w:keepNext/>
              <w:spacing w:line="440" w:lineRule="exact"/>
              <w:ind w:left="420" w:right="63"/>
              <w:rPr>
                <w:rFonts w:hint="eastAsia" w:ascii="宋体" w:hAnsi="宋体"/>
                <w:color w:val="auto"/>
                <w:highlight w:val="none"/>
              </w:rPr>
            </w:pPr>
          </w:p>
        </w:tc>
        <w:tc>
          <w:tcPr>
            <w:tcW w:w="1418" w:type="dxa"/>
            <w:vAlign w:val="center"/>
          </w:tcPr>
          <w:p w14:paraId="4254CB5F">
            <w:pPr>
              <w:pStyle w:val="19"/>
              <w:keepNext/>
              <w:spacing w:line="440" w:lineRule="exact"/>
              <w:ind w:left="420" w:right="63"/>
              <w:rPr>
                <w:rFonts w:hint="eastAsia" w:ascii="宋体" w:hAnsi="宋体"/>
                <w:color w:val="auto"/>
                <w:highlight w:val="none"/>
              </w:rPr>
            </w:pPr>
          </w:p>
        </w:tc>
        <w:tc>
          <w:tcPr>
            <w:tcW w:w="850" w:type="dxa"/>
            <w:vAlign w:val="center"/>
          </w:tcPr>
          <w:p w14:paraId="4A0AC29E">
            <w:pPr>
              <w:pStyle w:val="19"/>
              <w:keepNext/>
              <w:spacing w:line="440" w:lineRule="exact"/>
              <w:ind w:left="420" w:right="63"/>
              <w:rPr>
                <w:rFonts w:hint="eastAsia" w:ascii="宋体" w:hAnsi="宋体"/>
                <w:color w:val="auto"/>
                <w:highlight w:val="none"/>
              </w:rPr>
            </w:pPr>
          </w:p>
        </w:tc>
        <w:tc>
          <w:tcPr>
            <w:tcW w:w="1058" w:type="dxa"/>
            <w:vAlign w:val="center"/>
          </w:tcPr>
          <w:p w14:paraId="19D90FB4">
            <w:pPr>
              <w:pStyle w:val="19"/>
              <w:keepNext/>
              <w:spacing w:line="440" w:lineRule="exact"/>
              <w:ind w:left="420" w:right="63"/>
              <w:rPr>
                <w:rFonts w:hint="eastAsia" w:ascii="宋体" w:hAnsi="宋体"/>
                <w:color w:val="auto"/>
                <w:highlight w:val="none"/>
              </w:rPr>
            </w:pPr>
          </w:p>
        </w:tc>
        <w:tc>
          <w:tcPr>
            <w:tcW w:w="880" w:type="dxa"/>
            <w:vAlign w:val="center"/>
          </w:tcPr>
          <w:p w14:paraId="373C19DF">
            <w:pPr>
              <w:pStyle w:val="19"/>
              <w:keepNext/>
              <w:spacing w:line="440" w:lineRule="exact"/>
              <w:ind w:left="420" w:right="63"/>
              <w:rPr>
                <w:rFonts w:hint="eastAsia" w:ascii="宋体" w:hAnsi="宋体"/>
                <w:color w:val="auto"/>
                <w:highlight w:val="none"/>
              </w:rPr>
            </w:pPr>
          </w:p>
        </w:tc>
        <w:tc>
          <w:tcPr>
            <w:tcW w:w="1020" w:type="dxa"/>
            <w:vAlign w:val="center"/>
          </w:tcPr>
          <w:p w14:paraId="17B963AB">
            <w:pPr>
              <w:pStyle w:val="19"/>
              <w:keepNext/>
              <w:spacing w:line="440" w:lineRule="exact"/>
              <w:ind w:left="420" w:right="63"/>
              <w:rPr>
                <w:rFonts w:hint="eastAsia" w:ascii="宋体" w:hAnsi="宋体"/>
                <w:color w:val="auto"/>
                <w:highlight w:val="none"/>
              </w:rPr>
            </w:pPr>
          </w:p>
        </w:tc>
        <w:tc>
          <w:tcPr>
            <w:tcW w:w="1480" w:type="dxa"/>
            <w:vAlign w:val="center"/>
          </w:tcPr>
          <w:p w14:paraId="3E3160ED">
            <w:pPr>
              <w:pStyle w:val="19"/>
              <w:keepNext/>
              <w:spacing w:line="440" w:lineRule="exact"/>
              <w:ind w:left="420" w:right="63"/>
              <w:rPr>
                <w:rFonts w:hint="eastAsia" w:ascii="宋体" w:hAnsi="宋体"/>
                <w:color w:val="auto"/>
                <w:highlight w:val="none"/>
              </w:rPr>
            </w:pPr>
          </w:p>
        </w:tc>
        <w:tc>
          <w:tcPr>
            <w:tcW w:w="1020" w:type="dxa"/>
            <w:vAlign w:val="center"/>
          </w:tcPr>
          <w:p w14:paraId="07603AB8">
            <w:pPr>
              <w:pStyle w:val="19"/>
              <w:keepNext/>
              <w:spacing w:line="440" w:lineRule="exact"/>
              <w:ind w:left="420" w:right="63"/>
              <w:rPr>
                <w:rFonts w:hint="eastAsia" w:ascii="宋体" w:hAnsi="宋体"/>
                <w:color w:val="auto"/>
                <w:highlight w:val="none"/>
              </w:rPr>
            </w:pPr>
          </w:p>
        </w:tc>
        <w:tc>
          <w:tcPr>
            <w:tcW w:w="921" w:type="dxa"/>
            <w:vAlign w:val="center"/>
          </w:tcPr>
          <w:p w14:paraId="11B9576C">
            <w:pPr>
              <w:pStyle w:val="19"/>
              <w:keepNext/>
              <w:spacing w:line="440" w:lineRule="exact"/>
              <w:ind w:left="420" w:right="63"/>
              <w:rPr>
                <w:rFonts w:hint="eastAsia" w:ascii="宋体" w:hAnsi="宋体"/>
                <w:color w:val="auto"/>
                <w:highlight w:val="none"/>
              </w:rPr>
            </w:pPr>
          </w:p>
        </w:tc>
      </w:tr>
      <w:tr w14:paraId="744F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A707891">
            <w:pPr>
              <w:pStyle w:val="19"/>
              <w:keepNext/>
              <w:spacing w:line="440" w:lineRule="exact"/>
              <w:ind w:left="420" w:right="63"/>
              <w:rPr>
                <w:rFonts w:hint="eastAsia" w:ascii="宋体" w:hAnsi="宋体"/>
                <w:color w:val="auto"/>
                <w:highlight w:val="none"/>
              </w:rPr>
            </w:pPr>
          </w:p>
        </w:tc>
        <w:tc>
          <w:tcPr>
            <w:tcW w:w="1418" w:type="dxa"/>
            <w:vAlign w:val="center"/>
          </w:tcPr>
          <w:p w14:paraId="77CE42C4">
            <w:pPr>
              <w:pStyle w:val="19"/>
              <w:keepNext/>
              <w:spacing w:line="440" w:lineRule="exact"/>
              <w:ind w:left="420" w:right="63"/>
              <w:rPr>
                <w:rFonts w:hint="eastAsia" w:ascii="宋体" w:hAnsi="宋体"/>
                <w:color w:val="auto"/>
                <w:highlight w:val="none"/>
              </w:rPr>
            </w:pPr>
          </w:p>
        </w:tc>
        <w:tc>
          <w:tcPr>
            <w:tcW w:w="850" w:type="dxa"/>
            <w:vAlign w:val="center"/>
          </w:tcPr>
          <w:p w14:paraId="3EE44F37">
            <w:pPr>
              <w:pStyle w:val="19"/>
              <w:keepNext/>
              <w:spacing w:line="440" w:lineRule="exact"/>
              <w:ind w:left="420" w:right="63"/>
              <w:rPr>
                <w:rFonts w:hint="eastAsia" w:ascii="宋体" w:hAnsi="宋体"/>
                <w:color w:val="auto"/>
                <w:highlight w:val="none"/>
              </w:rPr>
            </w:pPr>
          </w:p>
        </w:tc>
        <w:tc>
          <w:tcPr>
            <w:tcW w:w="1058" w:type="dxa"/>
            <w:vAlign w:val="center"/>
          </w:tcPr>
          <w:p w14:paraId="57BFCE1D">
            <w:pPr>
              <w:pStyle w:val="19"/>
              <w:keepNext/>
              <w:spacing w:line="440" w:lineRule="exact"/>
              <w:ind w:left="420" w:right="63"/>
              <w:rPr>
                <w:rFonts w:hint="eastAsia" w:ascii="宋体" w:hAnsi="宋体"/>
                <w:color w:val="auto"/>
                <w:highlight w:val="none"/>
              </w:rPr>
            </w:pPr>
          </w:p>
        </w:tc>
        <w:tc>
          <w:tcPr>
            <w:tcW w:w="880" w:type="dxa"/>
            <w:vAlign w:val="center"/>
          </w:tcPr>
          <w:p w14:paraId="74532645">
            <w:pPr>
              <w:pStyle w:val="19"/>
              <w:keepNext/>
              <w:spacing w:line="440" w:lineRule="exact"/>
              <w:ind w:left="420" w:right="63"/>
              <w:rPr>
                <w:rFonts w:hint="eastAsia" w:ascii="宋体" w:hAnsi="宋体"/>
                <w:color w:val="auto"/>
                <w:highlight w:val="none"/>
              </w:rPr>
            </w:pPr>
          </w:p>
        </w:tc>
        <w:tc>
          <w:tcPr>
            <w:tcW w:w="1020" w:type="dxa"/>
            <w:vAlign w:val="center"/>
          </w:tcPr>
          <w:p w14:paraId="34F008F2">
            <w:pPr>
              <w:pStyle w:val="19"/>
              <w:keepNext/>
              <w:spacing w:line="440" w:lineRule="exact"/>
              <w:ind w:left="420" w:right="63"/>
              <w:rPr>
                <w:rFonts w:hint="eastAsia" w:ascii="宋体" w:hAnsi="宋体"/>
                <w:color w:val="auto"/>
                <w:highlight w:val="none"/>
              </w:rPr>
            </w:pPr>
          </w:p>
        </w:tc>
        <w:tc>
          <w:tcPr>
            <w:tcW w:w="1480" w:type="dxa"/>
            <w:vAlign w:val="center"/>
          </w:tcPr>
          <w:p w14:paraId="77940AB2">
            <w:pPr>
              <w:pStyle w:val="19"/>
              <w:keepNext/>
              <w:spacing w:line="440" w:lineRule="exact"/>
              <w:ind w:left="420" w:right="63"/>
              <w:rPr>
                <w:rFonts w:hint="eastAsia" w:ascii="宋体" w:hAnsi="宋体"/>
                <w:color w:val="auto"/>
                <w:highlight w:val="none"/>
              </w:rPr>
            </w:pPr>
          </w:p>
        </w:tc>
        <w:tc>
          <w:tcPr>
            <w:tcW w:w="1020" w:type="dxa"/>
            <w:vAlign w:val="center"/>
          </w:tcPr>
          <w:p w14:paraId="056B4641">
            <w:pPr>
              <w:pStyle w:val="19"/>
              <w:keepNext/>
              <w:spacing w:line="440" w:lineRule="exact"/>
              <w:ind w:left="420" w:right="63"/>
              <w:rPr>
                <w:rFonts w:hint="eastAsia" w:ascii="宋体" w:hAnsi="宋体"/>
                <w:color w:val="auto"/>
                <w:highlight w:val="none"/>
              </w:rPr>
            </w:pPr>
          </w:p>
        </w:tc>
        <w:tc>
          <w:tcPr>
            <w:tcW w:w="921" w:type="dxa"/>
            <w:vAlign w:val="center"/>
          </w:tcPr>
          <w:p w14:paraId="7F72DB30">
            <w:pPr>
              <w:pStyle w:val="19"/>
              <w:keepNext/>
              <w:spacing w:line="440" w:lineRule="exact"/>
              <w:ind w:left="420" w:right="63"/>
              <w:rPr>
                <w:rFonts w:hint="eastAsia" w:ascii="宋体" w:hAnsi="宋体"/>
                <w:color w:val="auto"/>
                <w:highlight w:val="none"/>
              </w:rPr>
            </w:pPr>
          </w:p>
        </w:tc>
      </w:tr>
    </w:tbl>
    <w:p w14:paraId="34952EC5">
      <w:pPr>
        <w:spacing w:line="440" w:lineRule="exact"/>
        <w:rPr>
          <w:rFonts w:hint="eastAsia" w:ascii="宋体" w:hAnsi="宋体" w:cs="宋体"/>
          <w:color w:val="auto"/>
          <w:szCs w:val="21"/>
          <w:highlight w:val="none"/>
        </w:rPr>
      </w:pPr>
    </w:p>
    <w:p w14:paraId="5A300452">
      <w:pPr>
        <w:pStyle w:val="29"/>
        <w:rPr>
          <w:color w:val="auto"/>
          <w:highlight w:val="none"/>
        </w:rPr>
      </w:pPr>
    </w:p>
    <w:p w14:paraId="7F22A5F0">
      <w:pPr>
        <w:spacing w:line="440" w:lineRule="exact"/>
        <w:rPr>
          <w:rFonts w:hint="eastAsia" w:ascii="宋体" w:hAnsi="宋体" w:cs="宋体"/>
          <w:color w:val="auto"/>
          <w:szCs w:val="21"/>
          <w:highlight w:val="none"/>
        </w:rPr>
      </w:pPr>
    </w:p>
    <w:p w14:paraId="6F44D47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1504" w:name="_Toc296346729"/>
      <w:bookmarkStart w:id="1505" w:name="_Toc296503228"/>
      <w:bookmarkStart w:id="1506" w:name="_Toc296944567"/>
      <w:bookmarkStart w:id="1507" w:name="_Toc296891268"/>
      <w:bookmarkStart w:id="1508" w:name="_Toc296347227"/>
      <w:bookmarkStart w:id="1509" w:name="_Toc267261699"/>
      <w:bookmarkStart w:id="1510" w:name="_Toc296891056"/>
      <w:r>
        <w:rPr>
          <w:rFonts w:hint="eastAsia" w:ascii="宋体" w:hAnsi="宋体" w:cs="宋体"/>
          <w:color w:val="auto"/>
          <w:szCs w:val="21"/>
          <w:highlight w:val="none"/>
        </w:rPr>
        <w:t>件6：</w:t>
      </w:r>
    </w:p>
    <w:bookmarkEnd w:id="1504"/>
    <w:bookmarkEnd w:id="1505"/>
    <w:bookmarkEnd w:id="1506"/>
    <w:bookmarkEnd w:id="1507"/>
    <w:bookmarkEnd w:id="1508"/>
    <w:bookmarkEnd w:id="1509"/>
    <w:bookmarkEnd w:id="1510"/>
    <w:p w14:paraId="3E97787A">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承包人主要施工管理人员表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97F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3F5B06B">
            <w:pPr>
              <w:jc w:val="center"/>
              <w:rPr>
                <w:color w:val="auto"/>
                <w:highlight w:val="none"/>
              </w:rPr>
            </w:pPr>
            <w:r>
              <w:rPr>
                <w:rFonts w:hint="eastAsia"/>
                <w:color w:val="auto"/>
                <w:highlight w:val="none"/>
              </w:rPr>
              <w:t>名</w:t>
            </w:r>
            <w:r>
              <w:rPr>
                <w:color w:val="auto"/>
                <w:highlight w:val="none"/>
              </w:rPr>
              <w:t xml:space="preserve">    </w:t>
            </w:r>
            <w:r>
              <w:rPr>
                <w:rFonts w:hint="eastAsia"/>
                <w:color w:val="auto"/>
                <w:highlight w:val="none"/>
              </w:rPr>
              <w:t>称</w:t>
            </w:r>
          </w:p>
        </w:tc>
        <w:tc>
          <w:tcPr>
            <w:tcW w:w="1418" w:type="dxa"/>
            <w:vAlign w:val="center"/>
          </w:tcPr>
          <w:p w14:paraId="137DD962">
            <w:pPr>
              <w:jc w:val="center"/>
              <w:rPr>
                <w:color w:val="auto"/>
                <w:highlight w:val="none"/>
              </w:rPr>
            </w:pPr>
            <w:r>
              <w:rPr>
                <w:rFonts w:hint="eastAsia"/>
                <w:color w:val="auto"/>
                <w:highlight w:val="none"/>
              </w:rPr>
              <w:t>姓名</w:t>
            </w:r>
          </w:p>
        </w:tc>
        <w:tc>
          <w:tcPr>
            <w:tcW w:w="1134" w:type="dxa"/>
            <w:vAlign w:val="center"/>
          </w:tcPr>
          <w:p w14:paraId="5E093647">
            <w:pPr>
              <w:jc w:val="center"/>
              <w:rPr>
                <w:color w:val="auto"/>
                <w:highlight w:val="none"/>
              </w:rPr>
            </w:pPr>
            <w:r>
              <w:rPr>
                <w:rFonts w:hint="eastAsia"/>
                <w:color w:val="auto"/>
                <w:highlight w:val="none"/>
              </w:rPr>
              <w:t>职务</w:t>
            </w:r>
          </w:p>
        </w:tc>
        <w:tc>
          <w:tcPr>
            <w:tcW w:w="1134" w:type="dxa"/>
            <w:vAlign w:val="center"/>
          </w:tcPr>
          <w:p w14:paraId="22742C0B">
            <w:pPr>
              <w:jc w:val="center"/>
              <w:rPr>
                <w:color w:val="auto"/>
                <w:highlight w:val="none"/>
              </w:rPr>
            </w:pPr>
            <w:r>
              <w:rPr>
                <w:rFonts w:hint="eastAsia"/>
                <w:color w:val="auto"/>
                <w:highlight w:val="none"/>
              </w:rPr>
              <w:t>职称</w:t>
            </w:r>
          </w:p>
        </w:tc>
        <w:tc>
          <w:tcPr>
            <w:tcW w:w="4252" w:type="dxa"/>
            <w:vAlign w:val="center"/>
          </w:tcPr>
          <w:p w14:paraId="5DCA6B33">
            <w:pPr>
              <w:jc w:val="center"/>
              <w:rPr>
                <w:color w:val="auto"/>
                <w:highlight w:val="none"/>
              </w:rPr>
            </w:pPr>
            <w:r>
              <w:rPr>
                <w:rFonts w:hint="eastAsia"/>
                <w:color w:val="auto"/>
                <w:highlight w:val="none"/>
              </w:rPr>
              <w:t>主要资历、经验及承担过的项目</w:t>
            </w:r>
          </w:p>
        </w:tc>
      </w:tr>
      <w:tr w14:paraId="1915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68D6F22B">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一、总部人员</w:t>
            </w:r>
          </w:p>
        </w:tc>
      </w:tr>
      <w:tr w14:paraId="73A0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0BBBE7D">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项目主管</w:t>
            </w:r>
          </w:p>
        </w:tc>
        <w:tc>
          <w:tcPr>
            <w:tcW w:w="1418" w:type="dxa"/>
            <w:vAlign w:val="center"/>
          </w:tcPr>
          <w:p w14:paraId="1D87BCE5">
            <w:pPr>
              <w:pStyle w:val="19"/>
              <w:keepNext/>
              <w:spacing w:line="440" w:lineRule="exact"/>
              <w:ind w:left="420" w:right="63"/>
              <w:rPr>
                <w:rFonts w:hint="eastAsia" w:ascii="宋体" w:hAnsi="宋体"/>
                <w:color w:val="auto"/>
                <w:highlight w:val="none"/>
              </w:rPr>
            </w:pPr>
          </w:p>
        </w:tc>
        <w:tc>
          <w:tcPr>
            <w:tcW w:w="1134" w:type="dxa"/>
            <w:vAlign w:val="center"/>
          </w:tcPr>
          <w:p w14:paraId="7B665DDA">
            <w:pPr>
              <w:pStyle w:val="19"/>
              <w:keepNext/>
              <w:spacing w:line="440" w:lineRule="exact"/>
              <w:ind w:left="420" w:right="63"/>
              <w:rPr>
                <w:rFonts w:hint="eastAsia" w:ascii="宋体" w:hAnsi="宋体"/>
                <w:color w:val="auto"/>
                <w:highlight w:val="none"/>
              </w:rPr>
            </w:pPr>
          </w:p>
        </w:tc>
        <w:tc>
          <w:tcPr>
            <w:tcW w:w="1134" w:type="dxa"/>
            <w:vAlign w:val="center"/>
          </w:tcPr>
          <w:p w14:paraId="212B6B09">
            <w:pPr>
              <w:pStyle w:val="19"/>
              <w:keepNext/>
              <w:spacing w:line="440" w:lineRule="exact"/>
              <w:ind w:left="420" w:right="63"/>
              <w:rPr>
                <w:rFonts w:hint="eastAsia" w:ascii="宋体" w:hAnsi="宋体"/>
                <w:color w:val="auto"/>
                <w:highlight w:val="none"/>
              </w:rPr>
            </w:pPr>
          </w:p>
        </w:tc>
        <w:tc>
          <w:tcPr>
            <w:tcW w:w="4252" w:type="dxa"/>
            <w:vAlign w:val="center"/>
          </w:tcPr>
          <w:p w14:paraId="19B5EF0B">
            <w:pPr>
              <w:pStyle w:val="19"/>
              <w:keepNext/>
              <w:spacing w:line="440" w:lineRule="exact"/>
              <w:ind w:left="420" w:right="63"/>
              <w:rPr>
                <w:rFonts w:hint="eastAsia" w:ascii="宋体" w:hAnsi="宋体"/>
                <w:color w:val="auto"/>
                <w:highlight w:val="none"/>
              </w:rPr>
            </w:pPr>
          </w:p>
        </w:tc>
      </w:tr>
      <w:tr w14:paraId="7D6F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751DC07">
            <w:pPr>
              <w:pStyle w:val="19"/>
              <w:keepNext/>
              <w:spacing w:line="440" w:lineRule="exact"/>
              <w:ind w:left="420" w:right="63"/>
              <w:rPr>
                <w:rFonts w:hint="eastAsia" w:ascii="宋体" w:hAnsi="宋体"/>
                <w:color w:val="auto"/>
                <w:highlight w:val="none"/>
              </w:rPr>
            </w:pPr>
          </w:p>
        </w:tc>
        <w:tc>
          <w:tcPr>
            <w:tcW w:w="1418" w:type="dxa"/>
            <w:vAlign w:val="center"/>
          </w:tcPr>
          <w:p w14:paraId="4A72D754">
            <w:pPr>
              <w:pStyle w:val="19"/>
              <w:keepNext/>
              <w:spacing w:line="440" w:lineRule="exact"/>
              <w:ind w:left="420" w:right="63"/>
              <w:rPr>
                <w:rFonts w:hint="eastAsia" w:ascii="宋体" w:hAnsi="宋体"/>
                <w:color w:val="auto"/>
                <w:highlight w:val="none"/>
              </w:rPr>
            </w:pPr>
          </w:p>
        </w:tc>
        <w:tc>
          <w:tcPr>
            <w:tcW w:w="1134" w:type="dxa"/>
            <w:vAlign w:val="center"/>
          </w:tcPr>
          <w:p w14:paraId="32BB82BD">
            <w:pPr>
              <w:pStyle w:val="19"/>
              <w:keepNext/>
              <w:spacing w:line="440" w:lineRule="exact"/>
              <w:ind w:left="420" w:right="63"/>
              <w:rPr>
                <w:rFonts w:hint="eastAsia" w:ascii="宋体" w:hAnsi="宋体"/>
                <w:color w:val="auto"/>
                <w:highlight w:val="none"/>
              </w:rPr>
            </w:pPr>
          </w:p>
        </w:tc>
        <w:tc>
          <w:tcPr>
            <w:tcW w:w="1134" w:type="dxa"/>
            <w:vAlign w:val="center"/>
          </w:tcPr>
          <w:p w14:paraId="5E93629A">
            <w:pPr>
              <w:pStyle w:val="19"/>
              <w:keepNext/>
              <w:spacing w:line="440" w:lineRule="exact"/>
              <w:ind w:left="420" w:right="63"/>
              <w:rPr>
                <w:rFonts w:hint="eastAsia" w:ascii="宋体" w:hAnsi="宋体"/>
                <w:color w:val="auto"/>
                <w:highlight w:val="none"/>
              </w:rPr>
            </w:pPr>
          </w:p>
        </w:tc>
        <w:tc>
          <w:tcPr>
            <w:tcW w:w="4252" w:type="dxa"/>
            <w:vAlign w:val="center"/>
          </w:tcPr>
          <w:p w14:paraId="573A94E5">
            <w:pPr>
              <w:pStyle w:val="19"/>
              <w:keepNext/>
              <w:spacing w:line="440" w:lineRule="exact"/>
              <w:ind w:left="420" w:right="63"/>
              <w:rPr>
                <w:rFonts w:hint="eastAsia" w:ascii="宋体" w:hAnsi="宋体"/>
                <w:color w:val="auto"/>
                <w:highlight w:val="none"/>
              </w:rPr>
            </w:pPr>
          </w:p>
        </w:tc>
      </w:tr>
      <w:tr w14:paraId="76DB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721F18F">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其他人员</w:t>
            </w:r>
          </w:p>
        </w:tc>
        <w:tc>
          <w:tcPr>
            <w:tcW w:w="1418" w:type="dxa"/>
            <w:vAlign w:val="center"/>
          </w:tcPr>
          <w:p w14:paraId="5C3CBE02">
            <w:pPr>
              <w:pStyle w:val="19"/>
              <w:keepNext/>
              <w:spacing w:line="440" w:lineRule="exact"/>
              <w:ind w:left="420" w:right="63"/>
              <w:rPr>
                <w:rFonts w:hint="eastAsia" w:ascii="宋体" w:hAnsi="宋体"/>
                <w:color w:val="auto"/>
                <w:highlight w:val="none"/>
              </w:rPr>
            </w:pPr>
          </w:p>
        </w:tc>
        <w:tc>
          <w:tcPr>
            <w:tcW w:w="1134" w:type="dxa"/>
            <w:vAlign w:val="center"/>
          </w:tcPr>
          <w:p w14:paraId="2152425F">
            <w:pPr>
              <w:pStyle w:val="19"/>
              <w:keepNext/>
              <w:spacing w:line="440" w:lineRule="exact"/>
              <w:ind w:left="420" w:right="63"/>
              <w:rPr>
                <w:rFonts w:hint="eastAsia" w:ascii="宋体" w:hAnsi="宋体"/>
                <w:color w:val="auto"/>
                <w:highlight w:val="none"/>
              </w:rPr>
            </w:pPr>
          </w:p>
        </w:tc>
        <w:tc>
          <w:tcPr>
            <w:tcW w:w="1134" w:type="dxa"/>
            <w:vAlign w:val="center"/>
          </w:tcPr>
          <w:p w14:paraId="6BC902B6">
            <w:pPr>
              <w:pStyle w:val="19"/>
              <w:keepNext/>
              <w:spacing w:line="440" w:lineRule="exact"/>
              <w:ind w:left="420" w:right="63"/>
              <w:rPr>
                <w:rFonts w:hint="eastAsia" w:ascii="宋体" w:hAnsi="宋体"/>
                <w:color w:val="auto"/>
                <w:highlight w:val="none"/>
              </w:rPr>
            </w:pPr>
          </w:p>
        </w:tc>
        <w:tc>
          <w:tcPr>
            <w:tcW w:w="4252" w:type="dxa"/>
            <w:vAlign w:val="center"/>
          </w:tcPr>
          <w:p w14:paraId="1979F5E8">
            <w:pPr>
              <w:pStyle w:val="19"/>
              <w:keepNext/>
              <w:spacing w:line="440" w:lineRule="exact"/>
              <w:ind w:left="420" w:right="63"/>
              <w:rPr>
                <w:rFonts w:hint="eastAsia" w:ascii="宋体" w:hAnsi="宋体"/>
                <w:color w:val="auto"/>
                <w:highlight w:val="none"/>
              </w:rPr>
            </w:pPr>
          </w:p>
        </w:tc>
      </w:tr>
      <w:tr w14:paraId="0A57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FCDD874">
            <w:pPr>
              <w:pStyle w:val="19"/>
              <w:keepNext/>
              <w:spacing w:line="440" w:lineRule="exact"/>
              <w:ind w:left="420" w:right="63"/>
              <w:rPr>
                <w:rFonts w:hint="eastAsia" w:ascii="宋体" w:hAnsi="宋体"/>
                <w:color w:val="auto"/>
                <w:highlight w:val="none"/>
              </w:rPr>
            </w:pPr>
          </w:p>
        </w:tc>
        <w:tc>
          <w:tcPr>
            <w:tcW w:w="1418" w:type="dxa"/>
            <w:vAlign w:val="center"/>
          </w:tcPr>
          <w:p w14:paraId="76F5C12A">
            <w:pPr>
              <w:pStyle w:val="19"/>
              <w:keepNext/>
              <w:spacing w:line="440" w:lineRule="exact"/>
              <w:ind w:left="420" w:right="63"/>
              <w:rPr>
                <w:rFonts w:hint="eastAsia" w:ascii="宋体" w:hAnsi="宋体"/>
                <w:color w:val="auto"/>
                <w:highlight w:val="none"/>
              </w:rPr>
            </w:pPr>
          </w:p>
        </w:tc>
        <w:tc>
          <w:tcPr>
            <w:tcW w:w="1134" w:type="dxa"/>
            <w:vAlign w:val="center"/>
          </w:tcPr>
          <w:p w14:paraId="4D005F18">
            <w:pPr>
              <w:pStyle w:val="19"/>
              <w:keepNext/>
              <w:spacing w:line="440" w:lineRule="exact"/>
              <w:ind w:left="420" w:right="63"/>
              <w:rPr>
                <w:rFonts w:hint="eastAsia" w:ascii="宋体" w:hAnsi="宋体"/>
                <w:color w:val="auto"/>
                <w:highlight w:val="none"/>
              </w:rPr>
            </w:pPr>
          </w:p>
        </w:tc>
        <w:tc>
          <w:tcPr>
            <w:tcW w:w="1134" w:type="dxa"/>
            <w:vAlign w:val="center"/>
          </w:tcPr>
          <w:p w14:paraId="224CF8DB">
            <w:pPr>
              <w:pStyle w:val="19"/>
              <w:keepNext/>
              <w:spacing w:line="440" w:lineRule="exact"/>
              <w:ind w:left="420" w:right="63"/>
              <w:rPr>
                <w:rFonts w:hint="eastAsia" w:ascii="宋体" w:hAnsi="宋体"/>
                <w:color w:val="auto"/>
                <w:highlight w:val="none"/>
              </w:rPr>
            </w:pPr>
          </w:p>
        </w:tc>
        <w:tc>
          <w:tcPr>
            <w:tcW w:w="4252" w:type="dxa"/>
            <w:vAlign w:val="center"/>
          </w:tcPr>
          <w:p w14:paraId="7DF3BAED">
            <w:pPr>
              <w:pStyle w:val="19"/>
              <w:keepNext/>
              <w:spacing w:line="440" w:lineRule="exact"/>
              <w:ind w:left="420" w:right="63"/>
              <w:rPr>
                <w:rFonts w:hint="eastAsia" w:ascii="宋体" w:hAnsi="宋体"/>
                <w:color w:val="auto"/>
                <w:highlight w:val="none"/>
              </w:rPr>
            </w:pPr>
          </w:p>
        </w:tc>
      </w:tr>
      <w:tr w14:paraId="1CFD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4B808864">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二、现场人员</w:t>
            </w:r>
          </w:p>
        </w:tc>
      </w:tr>
      <w:tr w14:paraId="0915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8FC382B">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项目经理</w:t>
            </w:r>
          </w:p>
        </w:tc>
        <w:tc>
          <w:tcPr>
            <w:tcW w:w="1418" w:type="dxa"/>
            <w:vAlign w:val="center"/>
          </w:tcPr>
          <w:p w14:paraId="3F038A36">
            <w:pPr>
              <w:pStyle w:val="19"/>
              <w:keepNext/>
              <w:spacing w:line="440" w:lineRule="exact"/>
              <w:ind w:left="420" w:right="63"/>
              <w:rPr>
                <w:rFonts w:hint="eastAsia" w:ascii="宋体" w:hAnsi="宋体"/>
                <w:color w:val="auto"/>
                <w:highlight w:val="none"/>
              </w:rPr>
            </w:pPr>
          </w:p>
        </w:tc>
        <w:tc>
          <w:tcPr>
            <w:tcW w:w="1134" w:type="dxa"/>
            <w:vAlign w:val="center"/>
          </w:tcPr>
          <w:p w14:paraId="05DA0320">
            <w:pPr>
              <w:pStyle w:val="19"/>
              <w:keepNext/>
              <w:spacing w:line="440" w:lineRule="exact"/>
              <w:ind w:left="420" w:right="63"/>
              <w:rPr>
                <w:rFonts w:hint="eastAsia" w:ascii="宋体" w:hAnsi="宋体"/>
                <w:color w:val="auto"/>
                <w:highlight w:val="none"/>
              </w:rPr>
            </w:pPr>
          </w:p>
        </w:tc>
        <w:tc>
          <w:tcPr>
            <w:tcW w:w="1134" w:type="dxa"/>
            <w:vAlign w:val="center"/>
          </w:tcPr>
          <w:p w14:paraId="17B69D5F">
            <w:pPr>
              <w:pStyle w:val="19"/>
              <w:keepNext/>
              <w:spacing w:line="440" w:lineRule="exact"/>
              <w:ind w:left="420" w:right="63"/>
              <w:rPr>
                <w:rFonts w:hint="eastAsia" w:ascii="宋体" w:hAnsi="宋体"/>
                <w:color w:val="auto"/>
                <w:highlight w:val="none"/>
              </w:rPr>
            </w:pPr>
          </w:p>
        </w:tc>
        <w:tc>
          <w:tcPr>
            <w:tcW w:w="4252" w:type="dxa"/>
            <w:vAlign w:val="center"/>
          </w:tcPr>
          <w:p w14:paraId="53C00892">
            <w:pPr>
              <w:pStyle w:val="19"/>
              <w:keepNext/>
              <w:spacing w:line="440" w:lineRule="exact"/>
              <w:ind w:left="420" w:right="63"/>
              <w:rPr>
                <w:rFonts w:hint="eastAsia" w:ascii="宋体" w:hAnsi="宋体"/>
                <w:color w:val="auto"/>
                <w:highlight w:val="none"/>
              </w:rPr>
            </w:pPr>
          </w:p>
        </w:tc>
      </w:tr>
      <w:tr w14:paraId="76C7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15ADDC7">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项目副经理</w:t>
            </w:r>
          </w:p>
        </w:tc>
        <w:tc>
          <w:tcPr>
            <w:tcW w:w="1418" w:type="dxa"/>
            <w:vAlign w:val="center"/>
          </w:tcPr>
          <w:p w14:paraId="35FAEAB8">
            <w:pPr>
              <w:pStyle w:val="19"/>
              <w:keepNext/>
              <w:spacing w:line="440" w:lineRule="exact"/>
              <w:ind w:left="420" w:right="63"/>
              <w:rPr>
                <w:rFonts w:hint="eastAsia" w:ascii="宋体" w:hAnsi="宋体"/>
                <w:color w:val="auto"/>
                <w:highlight w:val="none"/>
              </w:rPr>
            </w:pPr>
          </w:p>
        </w:tc>
        <w:tc>
          <w:tcPr>
            <w:tcW w:w="1134" w:type="dxa"/>
            <w:vAlign w:val="center"/>
          </w:tcPr>
          <w:p w14:paraId="760B5CFF">
            <w:pPr>
              <w:pStyle w:val="19"/>
              <w:keepNext/>
              <w:spacing w:line="440" w:lineRule="exact"/>
              <w:ind w:left="420" w:right="63"/>
              <w:rPr>
                <w:rFonts w:hint="eastAsia" w:ascii="宋体" w:hAnsi="宋体"/>
                <w:color w:val="auto"/>
                <w:highlight w:val="none"/>
              </w:rPr>
            </w:pPr>
          </w:p>
        </w:tc>
        <w:tc>
          <w:tcPr>
            <w:tcW w:w="1134" w:type="dxa"/>
            <w:vAlign w:val="center"/>
          </w:tcPr>
          <w:p w14:paraId="2CFB9FC5">
            <w:pPr>
              <w:pStyle w:val="19"/>
              <w:keepNext/>
              <w:spacing w:line="440" w:lineRule="exact"/>
              <w:ind w:left="420" w:right="63"/>
              <w:rPr>
                <w:rFonts w:hint="eastAsia" w:ascii="宋体" w:hAnsi="宋体"/>
                <w:color w:val="auto"/>
                <w:highlight w:val="none"/>
              </w:rPr>
            </w:pPr>
          </w:p>
        </w:tc>
        <w:tc>
          <w:tcPr>
            <w:tcW w:w="4252" w:type="dxa"/>
            <w:vAlign w:val="center"/>
          </w:tcPr>
          <w:p w14:paraId="4C2D093B">
            <w:pPr>
              <w:pStyle w:val="19"/>
              <w:keepNext/>
              <w:spacing w:line="440" w:lineRule="exact"/>
              <w:ind w:left="420" w:right="63"/>
              <w:rPr>
                <w:rFonts w:hint="eastAsia" w:ascii="宋体" w:hAnsi="宋体"/>
                <w:color w:val="auto"/>
                <w:highlight w:val="none"/>
              </w:rPr>
            </w:pPr>
          </w:p>
        </w:tc>
      </w:tr>
      <w:tr w14:paraId="56E2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ED85D44">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技术负责人</w:t>
            </w:r>
          </w:p>
        </w:tc>
        <w:tc>
          <w:tcPr>
            <w:tcW w:w="1418" w:type="dxa"/>
            <w:vAlign w:val="center"/>
          </w:tcPr>
          <w:p w14:paraId="7D7EE393">
            <w:pPr>
              <w:pStyle w:val="19"/>
              <w:keepNext/>
              <w:spacing w:line="440" w:lineRule="exact"/>
              <w:ind w:left="420" w:right="63"/>
              <w:rPr>
                <w:rFonts w:hint="eastAsia" w:ascii="宋体" w:hAnsi="宋体"/>
                <w:color w:val="auto"/>
                <w:highlight w:val="none"/>
              </w:rPr>
            </w:pPr>
          </w:p>
        </w:tc>
        <w:tc>
          <w:tcPr>
            <w:tcW w:w="1134" w:type="dxa"/>
            <w:vAlign w:val="center"/>
          </w:tcPr>
          <w:p w14:paraId="07ED7192">
            <w:pPr>
              <w:pStyle w:val="19"/>
              <w:keepNext/>
              <w:spacing w:line="440" w:lineRule="exact"/>
              <w:ind w:left="420" w:right="63"/>
              <w:rPr>
                <w:rFonts w:hint="eastAsia" w:ascii="宋体" w:hAnsi="宋体"/>
                <w:color w:val="auto"/>
                <w:highlight w:val="none"/>
              </w:rPr>
            </w:pPr>
          </w:p>
        </w:tc>
        <w:tc>
          <w:tcPr>
            <w:tcW w:w="1134" w:type="dxa"/>
            <w:vAlign w:val="center"/>
          </w:tcPr>
          <w:p w14:paraId="3B2AA88F">
            <w:pPr>
              <w:pStyle w:val="19"/>
              <w:keepNext/>
              <w:spacing w:line="440" w:lineRule="exact"/>
              <w:ind w:left="420" w:right="63"/>
              <w:rPr>
                <w:rFonts w:hint="eastAsia" w:ascii="宋体" w:hAnsi="宋体"/>
                <w:color w:val="auto"/>
                <w:highlight w:val="none"/>
              </w:rPr>
            </w:pPr>
          </w:p>
        </w:tc>
        <w:tc>
          <w:tcPr>
            <w:tcW w:w="4252" w:type="dxa"/>
            <w:vAlign w:val="center"/>
          </w:tcPr>
          <w:p w14:paraId="6E914A77">
            <w:pPr>
              <w:pStyle w:val="19"/>
              <w:keepNext/>
              <w:spacing w:line="440" w:lineRule="exact"/>
              <w:ind w:left="420" w:right="63"/>
              <w:rPr>
                <w:rFonts w:hint="eastAsia" w:ascii="宋体" w:hAnsi="宋体"/>
                <w:color w:val="auto"/>
                <w:highlight w:val="none"/>
              </w:rPr>
            </w:pPr>
          </w:p>
        </w:tc>
      </w:tr>
      <w:tr w14:paraId="7988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202F650">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造价管理</w:t>
            </w:r>
          </w:p>
        </w:tc>
        <w:tc>
          <w:tcPr>
            <w:tcW w:w="1418" w:type="dxa"/>
            <w:vAlign w:val="center"/>
          </w:tcPr>
          <w:p w14:paraId="56B03C05">
            <w:pPr>
              <w:pStyle w:val="19"/>
              <w:keepNext/>
              <w:spacing w:line="440" w:lineRule="exact"/>
              <w:ind w:left="420" w:right="63"/>
              <w:rPr>
                <w:rFonts w:hint="eastAsia" w:ascii="宋体" w:hAnsi="宋体"/>
                <w:color w:val="auto"/>
                <w:highlight w:val="none"/>
              </w:rPr>
            </w:pPr>
          </w:p>
        </w:tc>
        <w:tc>
          <w:tcPr>
            <w:tcW w:w="1134" w:type="dxa"/>
            <w:vAlign w:val="center"/>
          </w:tcPr>
          <w:p w14:paraId="41FB674E">
            <w:pPr>
              <w:pStyle w:val="19"/>
              <w:keepNext/>
              <w:spacing w:line="440" w:lineRule="exact"/>
              <w:ind w:left="420" w:right="63"/>
              <w:rPr>
                <w:rFonts w:hint="eastAsia" w:ascii="宋体" w:hAnsi="宋体"/>
                <w:color w:val="auto"/>
                <w:highlight w:val="none"/>
              </w:rPr>
            </w:pPr>
          </w:p>
        </w:tc>
        <w:tc>
          <w:tcPr>
            <w:tcW w:w="1134" w:type="dxa"/>
            <w:vAlign w:val="center"/>
          </w:tcPr>
          <w:p w14:paraId="64B6ECDB">
            <w:pPr>
              <w:pStyle w:val="19"/>
              <w:keepNext/>
              <w:spacing w:line="440" w:lineRule="exact"/>
              <w:ind w:left="420" w:right="63"/>
              <w:rPr>
                <w:rFonts w:hint="eastAsia" w:ascii="宋体" w:hAnsi="宋体"/>
                <w:color w:val="auto"/>
                <w:highlight w:val="none"/>
              </w:rPr>
            </w:pPr>
          </w:p>
        </w:tc>
        <w:tc>
          <w:tcPr>
            <w:tcW w:w="4252" w:type="dxa"/>
            <w:vAlign w:val="center"/>
          </w:tcPr>
          <w:p w14:paraId="58A97F60">
            <w:pPr>
              <w:pStyle w:val="19"/>
              <w:keepNext/>
              <w:spacing w:line="440" w:lineRule="exact"/>
              <w:ind w:left="420" w:right="63"/>
              <w:rPr>
                <w:rFonts w:hint="eastAsia" w:ascii="宋体" w:hAnsi="宋体"/>
                <w:color w:val="auto"/>
                <w:highlight w:val="none"/>
              </w:rPr>
            </w:pPr>
          </w:p>
        </w:tc>
      </w:tr>
      <w:tr w14:paraId="4D43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F4B66F8">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质量管理</w:t>
            </w:r>
          </w:p>
        </w:tc>
        <w:tc>
          <w:tcPr>
            <w:tcW w:w="1418" w:type="dxa"/>
            <w:vAlign w:val="center"/>
          </w:tcPr>
          <w:p w14:paraId="0ABA318E">
            <w:pPr>
              <w:pStyle w:val="19"/>
              <w:keepNext/>
              <w:spacing w:line="440" w:lineRule="exact"/>
              <w:ind w:left="420" w:right="63"/>
              <w:rPr>
                <w:rFonts w:hint="eastAsia" w:ascii="宋体" w:hAnsi="宋体"/>
                <w:color w:val="auto"/>
                <w:highlight w:val="none"/>
              </w:rPr>
            </w:pPr>
          </w:p>
        </w:tc>
        <w:tc>
          <w:tcPr>
            <w:tcW w:w="1134" w:type="dxa"/>
            <w:vAlign w:val="center"/>
          </w:tcPr>
          <w:p w14:paraId="240BD8FF">
            <w:pPr>
              <w:pStyle w:val="19"/>
              <w:keepNext/>
              <w:spacing w:line="440" w:lineRule="exact"/>
              <w:ind w:left="420" w:right="63"/>
              <w:rPr>
                <w:rFonts w:hint="eastAsia" w:ascii="宋体" w:hAnsi="宋体"/>
                <w:color w:val="auto"/>
                <w:highlight w:val="none"/>
              </w:rPr>
            </w:pPr>
          </w:p>
        </w:tc>
        <w:tc>
          <w:tcPr>
            <w:tcW w:w="1134" w:type="dxa"/>
            <w:vAlign w:val="center"/>
          </w:tcPr>
          <w:p w14:paraId="75908241">
            <w:pPr>
              <w:pStyle w:val="19"/>
              <w:keepNext/>
              <w:spacing w:line="440" w:lineRule="exact"/>
              <w:ind w:left="420" w:right="63"/>
              <w:rPr>
                <w:rFonts w:hint="eastAsia" w:ascii="宋体" w:hAnsi="宋体"/>
                <w:color w:val="auto"/>
                <w:highlight w:val="none"/>
              </w:rPr>
            </w:pPr>
          </w:p>
        </w:tc>
        <w:tc>
          <w:tcPr>
            <w:tcW w:w="4252" w:type="dxa"/>
            <w:vAlign w:val="center"/>
          </w:tcPr>
          <w:p w14:paraId="43E1ECBA">
            <w:pPr>
              <w:pStyle w:val="19"/>
              <w:keepNext/>
              <w:spacing w:line="440" w:lineRule="exact"/>
              <w:ind w:left="420" w:right="63"/>
              <w:rPr>
                <w:rFonts w:hint="eastAsia" w:ascii="宋体" w:hAnsi="宋体"/>
                <w:color w:val="auto"/>
                <w:highlight w:val="none"/>
              </w:rPr>
            </w:pPr>
          </w:p>
        </w:tc>
      </w:tr>
      <w:tr w14:paraId="1E77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F721506">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材料管理</w:t>
            </w:r>
          </w:p>
        </w:tc>
        <w:tc>
          <w:tcPr>
            <w:tcW w:w="1418" w:type="dxa"/>
            <w:vAlign w:val="center"/>
          </w:tcPr>
          <w:p w14:paraId="469D6690">
            <w:pPr>
              <w:pStyle w:val="19"/>
              <w:keepNext/>
              <w:spacing w:line="440" w:lineRule="exact"/>
              <w:ind w:left="420" w:right="63"/>
              <w:rPr>
                <w:rFonts w:hint="eastAsia" w:ascii="宋体" w:hAnsi="宋体"/>
                <w:color w:val="auto"/>
                <w:highlight w:val="none"/>
              </w:rPr>
            </w:pPr>
          </w:p>
        </w:tc>
        <w:tc>
          <w:tcPr>
            <w:tcW w:w="1134" w:type="dxa"/>
            <w:vAlign w:val="center"/>
          </w:tcPr>
          <w:p w14:paraId="1F7484EC">
            <w:pPr>
              <w:pStyle w:val="19"/>
              <w:keepNext/>
              <w:spacing w:line="440" w:lineRule="exact"/>
              <w:ind w:left="420" w:right="63"/>
              <w:rPr>
                <w:rFonts w:hint="eastAsia" w:ascii="宋体" w:hAnsi="宋体"/>
                <w:color w:val="auto"/>
                <w:highlight w:val="none"/>
              </w:rPr>
            </w:pPr>
          </w:p>
        </w:tc>
        <w:tc>
          <w:tcPr>
            <w:tcW w:w="1134" w:type="dxa"/>
            <w:vAlign w:val="center"/>
          </w:tcPr>
          <w:p w14:paraId="541C06B5">
            <w:pPr>
              <w:pStyle w:val="19"/>
              <w:keepNext/>
              <w:spacing w:line="440" w:lineRule="exact"/>
              <w:ind w:left="420" w:right="63"/>
              <w:rPr>
                <w:rFonts w:hint="eastAsia" w:ascii="宋体" w:hAnsi="宋体"/>
                <w:color w:val="auto"/>
                <w:highlight w:val="none"/>
              </w:rPr>
            </w:pPr>
          </w:p>
        </w:tc>
        <w:tc>
          <w:tcPr>
            <w:tcW w:w="4252" w:type="dxa"/>
            <w:vAlign w:val="center"/>
          </w:tcPr>
          <w:p w14:paraId="523A37B4">
            <w:pPr>
              <w:pStyle w:val="19"/>
              <w:keepNext/>
              <w:spacing w:line="440" w:lineRule="exact"/>
              <w:ind w:left="420" w:right="63"/>
              <w:rPr>
                <w:rFonts w:hint="eastAsia" w:ascii="宋体" w:hAnsi="宋体"/>
                <w:color w:val="auto"/>
                <w:highlight w:val="none"/>
              </w:rPr>
            </w:pPr>
          </w:p>
        </w:tc>
      </w:tr>
      <w:tr w14:paraId="3C63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443C9B5">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计划管理</w:t>
            </w:r>
          </w:p>
        </w:tc>
        <w:tc>
          <w:tcPr>
            <w:tcW w:w="1418" w:type="dxa"/>
            <w:vAlign w:val="center"/>
          </w:tcPr>
          <w:p w14:paraId="679E1D29">
            <w:pPr>
              <w:pStyle w:val="19"/>
              <w:keepNext/>
              <w:spacing w:line="440" w:lineRule="exact"/>
              <w:ind w:left="420" w:right="63"/>
              <w:rPr>
                <w:rFonts w:hint="eastAsia" w:ascii="宋体" w:hAnsi="宋体"/>
                <w:color w:val="auto"/>
                <w:highlight w:val="none"/>
              </w:rPr>
            </w:pPr>
          </w:p>
        </w:tc>
        <w:tc>
          <w:tcPr>
            <w:tcW w:w="1134" w:type="dxa"/>
            <w:vAlign w:val="center"/>
          </w:tcPr>
          <w:p w14:paraId="37D1AA34">
            <w:pPr>
              <w:pStyle w:val="19"/>
              <w:keepNext/>
              <w:spacing w:line="440" w:lineRule="exact"/>
              <w:ind w:left="420" w:right="63"/>
              <w:rPr>
                <w:rFonts w:hint="eastAsia" w:ascii="宋体" w:hAnsi="宋体"/>
                <w:color w:val="auto"/>
                <w:highlight w:val="none"/>
              </w:rPr>
            </w:pPr>
          </w:p>
        </w:tc>
        <w:tc>
          <w:tcPr>
            <w:tcW w:w="1134" w:type="dxa"/>
            <w:vAlign w:val="center"/>
          </w:tcPr>
          <w:p w14:paraId="017B4D7C">
            <w:pPr>
              <w:pStyle w:val="19"/>
              <w:keepNext/>
              <w:spacing w:line="440" w:lineRule="exact"/>
              <w:ind w:left="420" w:right="63"/>
              <w:rPr>
                <w:rFonts w:hint="eastAsia" w:ascii="宋体" w:hAnsi="宋体"/>
                <w:color w:val="auto"/>
                <w:highlight w:val="none"/>
              </w:rPr>
            </w:pPr>
          </w:p>
        </w:tc>
        <w:tc>
          <w:tcPr>
            <w:tcW w:w="4252" w:type="dxa"/>
            <w:vAlign w:val="center"/>
          </w:tcPr>
          <w:p w14:paraId="7258312F">
            <w:pPr>
              <w:pStyle w:val="19"/>
              <w:keepNext/>
              <w:spacing w:line="440" w:lineRule="exact"/>
              <w:ind w:left="420" w:right="63"/>
              <w:rPr>
                <w:rFonts w:hint="eastAsia" w:ascii="宋体" w:hAnsi="宋体"/>
                <w:color w:val="auto"/>
                <w:highlight w:val="none"/>
              </w:rPr>
            </w:pPr>
          </w:p>
        </w:tc>
      </w:tr>
      <w:tr w14:paraId="544A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E83CC75">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安全管理</w:t>
            </w:r>
          </w:p>
        </w:tc>
        <w:tc>
          <w:tcPr>
            <w:tcW w:w="1418" w:type="dxa"/>
            <w:vAlign w:val="center"/>
          </w:tcPr>
          <w:p w14:paraId="0147931A">
            <w:pPr>
              <w:pStyle w:val="19"/>
              <w:keepNext/>
              <w:spacing w:line="440" w:lineRule="exact"/>
              <w:ind w:left="420" w:right="63"/>
              <w:rPr>
                <w:rFonts w:hint="eastAsia" w:ascii="宋体" w:hAnsi="宋体"/>
                <w:color w:val="auto"/>
                <w:highlight w:val="none"/>
              </w:rPr>
            </w:pPr>
          </w:p>
        </w:tc>
        <w:tc>
          <w:tcPr>
            <w:tcW w:w="1134" w:type="dxa"/>
            <w:vAlign w:val="center"/>
          </w:tcPr>
          <w:p w14:paraId="31E303D2">
            <w:pPr>
              <w:pStyle w:val="19"/>
              <w:keepNext/>
              <w:spacing w:line="440" w:lineRule="exact"/>
              <w:ind w:left="420" w:right="63"/>
              <w:rPr>
                <w:rFonts w:hint="eastAsia" w:ascii="宋体" w:hAnsi="宋体"/>
                <w:color w:val="auto"/>
                <w:highlight w:val="none"/>
              </w:rPr>
            </w:pPr>
          </w:p>
        </w:tc>
        <w:tc>
          <w:tcPr>
            <w:tcW w:w="1134" w:type="dxa"/>
            <w:vAlign w:val="center"/>
          </w:tcPr>
          <w:p w14:paraId="6D164BAE">
            <w:pPr>
              <w:pStyle w:val="19"/>
              <w:keepNext/>
              <w:spacing w:line="440" w:lineRule="exact"/>
              <w:ind w:left="420" w:right="63"/>
              <w:rPr>
                <w:rFonts w:hint="eastAsia" w:ascii="宋体" w:hAnsi="宋体"/>
                <w:color w:val="auto"/>
                <w:highlight w:val="none"/>
              </w:rPr>
            </w:pPr>
          </w:p>
        </w:tc>
        <w:tc>
          <w:tcPr>
            <w:tcW w:w="4252" w:type="dxa"/>
            <w:vAlign w:val="center"/>
          </w:tcPr>
          <w:p w14:paraId="0B6246FD">
            <w:pPr>
              <w:pStyle w:val="19"/>
              <w:keepNext/>
              <w:spacing w:line="440" w:lineRule="exact"/>
              <w:ind w:left="420" w:right="63"/>
              <w:rPr>
                <w:rFonts w:hint="eastAsia" w:ascii="宋体" w:hAnsi="宋体"/>
                <w:color w:val="auto"/>
                <w:highlight w:val="none"/>
              </w:rPr>
            </w:pPr>
          </w:p>
        </w:tc>
      </w:tr>
      <w:tr w14:paraId="1138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B07BF95">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其他人员</w:t>
            </w:r>
          </w:p>
        </w:tc>
        <w:tc>
          <w:tcPr>
            <w:tcW w:w="1418" w:type="dxa"/>
            <w:vAlign w:val="center"/>
          </w:tcPr>
          <w:p w14:paraId="334D7F96">
            <w:pPr>
              <w:pStyle w:val="19"/>
              <w:keepNext/>
              <w:spacing w:line="440" w:lineRule="exact"/>
              <w:ind w:left="420" w:right="63"/>
              <w:rPr>
                <w:rFonts w:hint="eastAsia" w:ascii="宋体" w:hAnsi="宋体"/>
                <w:color w:val="auto"/>
                <w:highlight w:val="none"/>
              </w:rPr>
            </w:pPr>
          </w:p>
        </w:tc>
        <w:tc>
          <w:tcPr>
            <w:tcW w:w="1134" w:type="dxa"/>
            <w:vAlign w:val="center"/>
          </w:tcPr>
          <w:p w14:paraId="3F2469C5">
            <w:pPr>
              <w:pStyle w:val="19"/>
              <w:keepNext/>
              <w:spacing w:line="440" w:lineRule="exact"/>
              <w:ind w:left="420" w:right="63"/>
              <w:rPr>
                <w:rFonts w:hint="eastAsia" w:ascii="宋体" w:hAnsi="宋体"/>
                <w:color w:val="auto"/>
                <w:highlight w:val="none"/>
              </w:rPr>
            </w:pPr>
          </w:p>
        </w:tc>
        <w:tc>
          <w:tcPr>
            <w:tcW w:w="1134" w:type="dxa"/>
            <w:vAlign w:val="center"/>
          </w:tcPr>
          <w:p w14:paraId="72FA80F5">
            <w:pPr>
              <w:pStyle w:val="19"/>
              <w:keepNext/>
              <w:spacing w:line="440" w:lineRule="exact"/>
              <w:ind w:left="420" w:right="63"/>
              <w:rPr>
                <w:rFonts w:hint="eastAsia" w:ascii="宋体" w:hAnsi="宋体"/>
                <w:color w:val="auto"/>
                <w:highlight w:val="none"/>
              </w:rPr>
            </w:pPr>
          </w:p>
        </w:tc>
        <w:tc>
          <w:tcPr>
            <w:tcW w:w="4252" w:type="dxa"/>
            <w:vAlign w:val="center"/>
          </w:tcPr>
          <w:p w14:paraId="0F322168">
            <w:pPr>
              <w:pStyle w:val="19"/>
              <w:keepNext/>
              <w:spacing w:line="440" w:lineRule="exact"/>
              <w:ind w:left="420" w:right="63"/>
              <w:rPr>
                <w:rFonts w:hint="eastAsia" w:ascii="宋体" w:hAnsi="宋体"/>
                <w:color w:val="auto"/>
                <w:highlight w:val="none"/>
              </w:rPr>
            </w:pPr>
          </w:p>
        </w:tc>
      </w:tr>
      <w:tr w14:paraId="5CC6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684A84E">
            <w:pPr>
              <w:widowControl/>
              <w:jc w:val="left"/>
              <w:rPr>
                <w:rFonts w:hint="eastAsia" w:ascii="宋体" w:hAnsi="宋体" w:cs="宋体"/>
                <w:color w:val="auto"/>
                <w:szCs w:val="21"/>
                <w:highlight w:val="none"/>
              </w:rPr>
            </w:pPr>
          </w:p>
        </w:tc>
        <w:tc>
          <w:tcPr>
            <w:tcW w:w="1418" w:type="dxa"/>
            <w:vAlign w:val="center"/>
          </w:tcPr>
          <w:p w14:paraId="1A398CA2">
            <w:pPr>
              <w:pStyle w:val="19"/>
              <w:keepNext/>
              <w:spacing w:line="440" w:lineRule="exact"/>
              <w:ind w:left="420" w:right="63"/>
              <w:rPr>
                <w:rFonts w:hint="eastAsia" w:ascii="宋体" w:hAnsi="宋体"/>
                <w:color w:val="auto"/>
                <w:highlight w:val="none"/>
              </w:rPr>
            </w:pPr>
          </w:p>
        </w:tc>
        <w:tc>
          <w:tcPr>
            <w:tcW w:w="1134" w:type="dxa"/>
            <w:vAlign w:val="center"/>
          </w:tcPr>
          <w:p w14:paraId="2CD4E397">
            <w:pPr>
              <w:pStyle w:val="19"/>
              <w:keepNext/>
              <w:spacing w:line="440" w:lineRule="exact"/>
              <w:ind w:left="420" w:right="63"/>
              <w:rPr>
                <w:rFonts w:hint="eastAsia" w:ascii="宋体" w:hAnsi="宋体"/>
                <w:color w:val="auto"/>
                <w:highlight w:val="none"/>
              </w:rPr>
            </w:pPr>
          </w:p>
        </w:tc>
        <w:tc>
          <w:tcPr>
            <w:tcW w:w="1134" w:type="dxa"/>
            <w:vAlign w:val="center"/>
          </w:tcPr>
          <w:p w14:paraId="7E2BEF4B">
            <w:pPr>
              <w:pStyle w:val="19"/>
              <w:keepNext/>
              <w:spacing w:line="440" w:lineRule="exact"/>
              <w:ind w:left="420" w:right="63"/>
              <w:rPr>
                <w:rFonts w:hint="eastAsia" w:ascii="宋体" w:hAnsi="宋体"/>
                <w:color w:val="auto"/>
                <w:highlight w:val="none"/>
              </w:rPr>
            </w:pPr>
          </w:p>
        </w:tc>
        <w:tc>
          <w:tcPr>
            <w:tcW w:w="4252" w:type="dxa"/>
            <w:vAlign w:val="center"/>
          </w:tcPr>
          <w:p w14:paraId="76880F79">
            <w:pPr>
              <w:pStyle w:val="19"/>
              <w:keepNext/>
              <w:spacing w:line="440" w:lineRule="exact"/>
              <w:ind w:left="420" w:right="63"/>
              <w:rPr>
                <w:rFonts w:hint="eastAsia" w:ascii="宋体" w:hAnsi="宋体"/>
                <w:color w:val="auto"/>
                <w:highlight w:val="none"/>
              </w:rPr>
            </w:pPr>
          </w:p>
        </w:tc>
      </w:tr>
      <w:tr w14:paraId="2370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60DBD68">
            <w:pPr>
              <w:widowControl/>
              <w:jc w:val="left"/>
              <w:rPr>
                <w:rFonts w:hint="eastAsia" w:ascii="宋体" w:hAnsi="宋体" w:cs="宋体"/>
                <w:color w:val="auto"/>
                <w:szCs w:val="21"/>
                <w:highlight w:val="none"/>
              </w:rPr>
            </w:pPr>
          </w:p>
        </w:tc>
        <w:tc>
          <w:tcPr>
            <w:tcW w:w="1418" w:type="dxa"/>
            <w:vAlign w:val="center"/>
          </w:tcPr>
          <w:p w14:paraId="182806DD">
            <w:pPr>
              <w:pStyle w:val="19"/>
              <w:keepNext/>
              <w:spacing w:line="440" w:lineRule="exact"/>
              <w:ind w:left="420" w:right="63"/>
              <w:rPr>
                <w:rFonts w:hint="eastAsia" w:ascii="宋体" w:hAnsi="宋体"/>
                <w:color w:val="auto"/>
                <w:highlight w:val="none"/>
              </w:rPr>
            </w:pPr>
          </w:p>
        </w:tc>
        <w:tc>
          <w:tcPr>
            <w:tcW w:w="1134" w:type="dxa"/>
            <w:vAlign w:val="center"/>
          </w:tcPr>
          <w:p w14:paraId="529C1C15">
            <w:pPr>
              <w:pStyle w:val="19"/>
              <w:keepNext/>
              <w:spacing w:line="440" w:lineRule="exact"/>
              <w:ind w:left="420" w:right="63"/>
              <w:rPr>
                <w:rFonts w:hint="eastAsia" w:ascii="宋体" w:hAnsi="宋体"/>
                <w:color w:val="auto"/>
                <w:highlight w:val="none"/>
              </w:rPr>
            </w:pPr>
          </w:p>
        </w:tc>
        <w:tc>
          <w:tcPr>
            <w:tcW w:w="1134" w:type="dxa"/>
            <w:vAlign w:val="center"/>
          </w:tcPr>
          <w:p w14:paraId="49EE3CA0">
            <w:pPr>
              <w:pStyle w:val="19"/>
              <w:keepNext/>
              <w:spacing w:line="440" w:lineRule="exact"/>
              <w:ind w:left="420" w:right="63"/>
              <w:rPr>
                <w:rFonts w:hint="eastAsia" w:ascii="宋体" w:hAnsi="宋体"/>
                <w:color w:val="auto"/>
                <w:highlight w:val="none"/>
              </w:rPr>
            </w:pPr>
          </w:p>
        </w:tc>
        <w:tc>
          <w:tcPr>
            <w:tcW w:w="4252" w:type="dxa"/>
            <w:vAlign w:val="center"/>
          </w:tcPr>
          <w:p w14:paraId="5398AEA6">
            <w:pPr>
              <w:pStyle w:val="19"/>
              <w:keepNext/>
              <w:spacing w:line="440" w:lineRule="exact"/>
              <w:ind w:left="420" w:right="63"/>
              <w:rPr>
                <w:rFonts w:hint="eastAsia" w:ascii="宋体" w:hAnsi="宋体"/>
                <w:color w:val="auto"/>
                <w:highlight w:val="none"/>
              </w:rPr>
            </w:pPr>
          </w:p>
        </w:tc>
      </w:tr>
      <w:tr w14:paraId="5158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0F59361">
            <w:pPr>
              <w:widowControl/>
              <w:jc w:val="left"/>
              <w:rPr>
                <w:rFonts w:hint="eastAsia" w:ascii="宋体" w:hAnsi="宋体" w:cs="宋体"/>
                <w:color w:val="auto"/>
                <w:szCs w:val="21"/>
                <w:highlight w:val="none"/>
              </w:rPr>
            </w:pPr>
          </w:p>
        </w:tc>
        <w:tc>
          <w:tcPr>
            <w:tcW w:w="1418" w:type="dxa"/>
            <w:vAlign w:val="center"/>
          </w:tcPr>
          <w:p w14:paraId="2823BB2B">
            <w:pPr>
              <w:pStyle w:val="19"/>
              <w:keepNext/>
              <w:spacing w:line="440" w:lineRule="exact"/>
              <w:ind w:left="420" w:right="63"/>
              <w:rPr>
                <w:rFonts w:hint="eastAsia" w:ascii="宋体" w:hAnsi="宋体"/>
                <w:color w:val="auto"/>
                <w:highlight w:val="none"/>
              </w:rPr>
            </w:pPr>
          </w:p>
        </w:tc>
        <w:tc>
          <w:tcPr>
            <w:tcW w:w="1134" w:type="dxa"/>
            <w:vAlign w:val="center"/>
          </w:tcPr>
          <w:p w14:paraId="7DD02CAB">
            <w:pPr>
              <w:pStyle w:val="19"/>
              <w:keepNext/>
              <w:spacing w:line="440" w:lineRule="exact"/>
              <w:ind w:left="420" w:right="63"/>
              <w:rPr>
                <w:rFonts w:hint="eastAsia" w:ascii="宋体" w:hAnsi="宋体"/>
                <w:color w:val="auto"/>
                <w:highlight w:val="none"/>
              </w:rPr>
            </w:pPr>
          </w:p>
        </w:tc>
        <w:tc>
          <w:tcPr>
            <w:tcW w:w="1134" w:type="dxa"/>
            <w:vAlign w:val="center"/>
          </w:tcPr>
          <w:p w14:paraId="364EAA56">
            <w:pPr>
              <w:pStyle w:val="19"/>
              <w:keepNext/>
              <w:spacing w:line="440" w:lineRule="exact"/>
              <w:ind w:left="420" w:right="63"/>
              <w:rPr>
                <w:rFonts w:hint="eastAsia" w:ascii="宋体" w:hAnsi="宋体"/>
                <w:color w:val="auto"/>
                <w:highlight w:val="none"/>
              </w:rPr>
            </w:pPr>
          </w:p>
        </w:tc>
        <w:tc>
          <w:tcPr>
            <w:tcW w:w="4252" w:type="dxa"/>
            <w:vAlign w:val="center"/>
          </w:tcPr>
          <w:p w14:paraId="02E975CB">
            <w:pPr>
              <w:pStyle w:val="19"/>
              <w:keepNext/>
              <w:spacing w:line="440" w:lineRule="exact"/>
              <w:ind w:left="420" w:right="63"/>
              <w:rPr>
                <w:rFonts w:hint="eastAsia" w:ascii="宋体" w:hAnsi="宋体"/>
                <w:color w:val="auto"/>
                <w:highlight w:val="none"/>
              </w:rPr>
            </w:pPr>
          </w:p>
        </w:tc>
      </w:tr>
      <w:tr w14:paraId="00A6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18B8AEC">
            <w:pPr>
              <w:widowControl/>
              <w:jc w:val="left"/>
              <w:rPr>
                <w:rFonts w:hint="eastAsia" w:ascii="宋体" w:hAnsi="宋体" w:cs="宋体"/>
                <w:color w:val="auto"/>
                <w:szCs w:val="21"/>
                <w:highlight w:val="none"/>
              </w:rPr>
            </w:pPr>
          </w:p>
        </w:tc>
        <w:tc>
          <w:tcPr>
            <w:tcW w:w="1418" w:type="dxa"/>
            <w:vAlign w:val="center"/>
          </w:tcPr>
          <w:p w14:paraId="715D5CDE">
            <w:pPr>
              <w:pStyle w:val="19"/>
              <w:keepNext/>
              <w:spacing w:line="440" w:lineRule="exact"/>
              <w:ind w:left="420" w:right="63"/>
              <w:rPr>
                <w:rFonts w:hint="eastAsia" w:ascii="宋体" w:hAnsi="宋体"/>
                <w:color w:val="auto"/>
                <w:highlight w:val="none"/>
              </w:rPr>
            </w:pPr>
          </w:p>
        </w:tc>
        <w:tc>
          <w:tcPr>
            <w:tcW w:w="1134" w:type="dxa"/>
            <w:vAlign w:val="center"/>
          </w:tcPr>
          <w:p w14:paraId="25C0A863">
            <w:pPr>
              <w:pStyle w:val="19"/>
              <w:keepNext/>
              <w:spacing w:line="440" w:lineRule="exact"/>
              <w:ind w:left="420" w:right="63"/>
              <w:rPr>
                <w:rFonts w:hint="eastAsia" w:ascii="宋体" w:hAnsi="宋体"/>
                <w:color w:val="auto"/>
                <w:highlight w:val="none"/>
              </w:rPr>
            </w:pPr>
          </w:p>
        </w:tc>
        <w:tc>
          <w:tcPr>
            <w:tcW w:w="1134" w:type="dxa"/>
            <w:vAlign w:val="center"/>
          </w:tcPr>
          <w:p w14:paraId="6B089BA1">
            <w:pPr>
              <w:pStyle w:val="19"/>
              <w:keepNext/>
              <w:spacing w:line="440" w:lineRule="exact"/>
              <w:ind w:left="420" w:right="63"/>
              <w:rPr>
                <w:rFonts w:hint="eastAsia" w:ascii="宋体" w:hAnsi="宋体"/>
                <w:color w:val="auto"/>
                <w:highlight w:val="none"/>
              </w:rPr>
            </w:pPr>
          </w:p>
        </w:tc>
        <w:tc>
          <w:tcPr>
            <w:tcW w:w="4252" w:type="dxa"/>
            <w:vAlign w:val="center"/>
          </w:tcPr>
          <w:p w14:paraId="44475C22">
            <w:pPr>
              <w:pStyle w:val="19"/>
              <w:keepNext/>
              <w:spacing w:line="440" w:lineRule="exact"/>
              <w:ind w:left="420" w:right="63"/>
              <w:rPr>
                <w:rFonts w:hint="eastAsia" w:ascii="宋体" w:hAnsi="宋体"/>
                <w:color w:val="auto"/>
                <w:highlight w:val="none"/>
              </w:rPr>
            </w:pPr>
          </w:p>
        </w:tc>
      </w:tr>
      <w:tr w14:paraId="2311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BABB621">
            <w:pPr>
              <w:widowControl/>
              <w:jc w:val="left"/>
              <w:rPr>
                <w:rFonts w:hint="eastAsia" w:ascii="宋体" w:hAnsi="宋体" w:cs="宋体"/>
                <w:color w:val="auto"/>
                <w:szCs w:val="21"/>
                <w:highlight w:val="none"/>
              </w:rPr>
            </w:pPr>
          </w:p>
        </w:tc>
        <w:tc>
          <w:tcPr>
            <w:tcW w:w="1418" w:type="dxa"/>
            <w:vAlign w:val="center"/>
          </w:tcPr>
          <w:p w14:paraId="5576C0EB">
            <w:pPr>
              <w:pStyle w:val="19"/>
              <w:keepNext/>
              <w:spacing w:line="440" w:lineRule="exact"/>
              <w:ind w:left="420" w:right="63"/>
              <w:rPr>
                <w:rFonts w:hint="eastAsia" w:ascii="宋体" w:hAnsi="宋体"/>
                <w:color w:val="auto"/>
                <w:highlight w:val="none"/>
              </w:rPr>
            </w:pPr>
          </w:p>
        </w:tc>
        <w:tc>
          <w:tcPr>
            <w:tcW w:w="1134" w:type="dxa"/>
            <w:vAlign w:val="center"/>
          </w:tcPr>
          <w:p w14:paraId="47D3CDCD">
            <w:pPr>
              <w:pStyle w:val="19"/>
              <w:keepNext/>
              <w:spacing w:line="440" w:lineRule="exact"/>
              <w:ind w:left="420" w:right="63"/>
              <w:rPr>
                <w:rFonts w:hint="eastAsia" w:ascii="宋体" w:hAnsi="宋体"/>
                <w:color w:val="auto"/>
                <w:highlight w:val="none"/>
              </w:rPr>
            </w:pPr>
          </w:p>
        </w:tc>
        <w:tc>
          <w:tcPr>
            <w:tcW w:w="1134" w:type="dxa"/>
            <w:vAlign w:val="center"/>
          </w:tcPr>
          <w:p w14:paraId="238B0C23">
            <w:pPr>
              <w:pStyle w:val="19"/>
              <w:keepNext/>
              <w:spacing w:line="440" w:lineRule="exact"/>
              <w:ind w:left="420" w:right="63"/>
              <w:rPr>
                <w:rFonts w:hint="eastAsia" w:ascii="宋体" w:hAnsi="宋体"/>
                <w:color w:val="auto"/>
                <w:highlight w:val="none"/>
              </w:rPr>
            </w:pPr>
          </w:p>
        </w:tc>
        <w:tc>
          <w:tcPr>
            <w:tcW w:w="4252" w:type="dxa"/>
            <w:vAlign w:val="center"/>
          </w:tcPr>
          <w:p w14:paraId="285D6C50">
            <w:pPr>
              <w:pStyle w:val="19"/>
              <w:keepNext/>
              <w:spacing w:line="440" w:lineRule="exact"/>
              <w:ind w:left="420" w:right="63"/>
              <w:rPr>
                <w:rFonts w:hint="eastAsia" w:ascii="宋体" w:hAnsi="宋体"/>
                <w:color w:val="auto"/>
                <w:highlight w:val="none"/>
              </w:rPr>
            </w:pPr>
          </w:p>
        </w:tc>
      </w:tr>
    </w:tbl>
    <w:p w14:paraId="5FF2666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w:t>
      </w:r>
      <w:bookmarkStart w:id="1511" w:name="_Toc296891057"/>
      <w:bookmarkStart w:id="1512" w:name="_Toc296944568"/>
      <w:bookmarkStart w:id="1513" w:name="_Toc296503229"/>
      <w:bookmarkStart w:id="1514" w:name="_Toc296891269"/>
      <w:bookmarkStart w:id="1515" w:name="_Toc296346730"/>
      <w:bookmarkStart w:id="1516" w:name="_Toc296347228"/>
      <w:r>
        <w:rPr>
          <w:rFonts w:hint="eastAsia" w:ascii="宋体" w:hAnsi="宋体" w:cs="宋体"/>
          <w:color w:val="auto"/>
          <w:szCs w:val="21"/>
          <w:highlight w:val="none"/>
        </w:rPr>
        <w:t>件7：</w:t>
      </w:r>
    </w:p>
    <w:bookmarkEnd w:id="1511"/>
    <w:bookmarkEnd w:id="1512"/>
    <w:bookmarkEnd w:id="1513"/>
    <w:bookmarkEnd w:id="1514"/>
    <w:bookmarkEnd w:id="1515"/>
    <w:bookmarkEnd w:id="1516"/>
    <w:p w14:paraId="714EFC11">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分包人主要施工管理人员表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D09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E290E09">
            <w:pPr>
              <w:jc w:val="center"/>
              <w:rPr>
                <w:color w:val="auto"/>
                <w:highlight w:val="none"/>
              </w:rPr>
            </w:pPr>
            <w:r>
              <w:rPr>
                <w:rFonts w:hint="eastAsia"/>
                <w:color w:val="auto"/>
                <w:highlight w:val="none"/>
              </w:rPr>
              <w:t>名</w:t>
            </w:r>
            <w:r>
              <w:rPr>
                <w:color w:val="auto"/>
                <w:highlight w:val="none"/>
              </w:rPr>
              <w:t xml:space="preserve">    </w:t>
            </w:r>
            <w:r>
              <w:rPr>
                <w:rFonts w:hint="eastAsia"/>
                <w:color w:val="auto"/>
                <w:highlight w:val="none"/>
              </w:rPr>
              <w:t>称</w:t>
            </w:r>
          </w:p>
        </w:tc>
        <w:tc>
          <w:tcPr>
            <w:tcW w:w="1418" w:type="dxa"/>
            <w:vAlign w:val="center"/>
          </w:tcPr>
          <w:p w14:paraId="080C64D6">
            <w:pPr>
              <w:jc w:val="center"/>
              <w:rPr>
                <w:color w:val="auto"/>
                <w:highlight w:val="none"/>
              </w:rPr>
            </w:pPr>
            <w:r>
              <w:rPr>
                <w:rFonts w:hint="eastAsia"/>
                <w:color w:val="auto"/>
                <w:highlight w:val="none"/>
              </w:rPr>
              <w:t>姓名</w:t>
            </w:r>
          </w:p>
        </w:tc>
        <w:tc>
          <w:tcPr>
            <w:tcW w:w="1134" w:type="dxa"/>
            <w:vAlign w:val="center"/>
          </w:tcPr>
          <w:p w14:paraId="5E851911">
            <w:pPr>
              <w:jc w:val="center"/>
              <w:rPr>
                <w:color w:val="auto"/>
                <w:highlight w:val="none"/>
              </w:rPr>
            </w:pPr>
            <w:r>
              <w:rPr>
                <w:rFonts w:hint="eastAsia"/>
                <w:color w:val="auto"/>
                <w:highlight w:val="none"/>
              </w:rPr>
              <w:t>职务</w:t>
            </w:r>
          </w:p>
        </w:tc>
        <w:tc>
          <w:tcPr>
            <w:tcW w:w="1134" w:type="dxa"/>
            <w:vAlign w:val="center"/>
          </w:tcPr>
          <w:p w14:paraId="331F8B46">
            <w:pPr>
              <w:jc w:val="center"/>
              <w:rPr>
                <w:color w:val="auto"/>
                <w:highlight w:val="none"/>
              </w:rPr>
            </w:pPr>
            <w:r>
              <w:rPr>
                <w:rFonts w:hint="eastAsia"/>
                <w:color w:val="auto"/>
                <w:highlight w:val="none"/>
              </w:rPr>
              <w:t>职称</w:t>
            </w:r>
          </w:p>
        </w:tc>
        <w:tc>
          <w:tcPr>
            <w:tcW w:w="4252" w:type="dxa"/>
            <w:vAlign w:val="center"/>
          </w:tcPr>
          <w:p w14:paraId="5C2EDE0F">
            <w:pPr>
              <w:jc w:val="center"/>
              <w:rPr>
                <w:color w:val="auto"/>
                <w:highlight w:val="none"/>
              </w:rPr>
            </w:pPr>
            <w:r>
              <w:rPr>
                <w:rFonts w:hint="eastAsia"/>
                <w:color w:val="auto"/>
                <w:highlight w:val="none"/>
              </w:rPr>
              <w:t>主要资历、经验及承担过的项目</w:t>
            </w:r>
          </w:p>
        </w:tc>
      </w:tr>
      <w:tr w14:paraId="685C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4DE1BEAE">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一、总部人员</w:t>
            </w:r>
          </w:p>
        </w:tc>
      </w:tr>
      <w:tr w14:paraId="5737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F3E7E68">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项目主管</w:t>
            </w:r>
          </w:p>
        </w:tc>
        <w:tc>
          <w:tcPr>
            <w:tcW w:w="1418" w:type="dxa"/>
            <w:vAlign w:val="center"/>
          </w:tcPr>
          <w:p w14:paraId="2B842D28">
            <w:pPr>
              <w:pStyle w:val="19"/>
              <w:keepNext/>
              <w:spacing w:line="440" w:lineRule="exact"/>
              <w:ind w:left="420" w:right="63"/>
              <w:rPr>
                <w:rFonts w:hint="eastAsia" w:ascii="宋体" w:hAnsi="宋体"/>
                <w:color w:val="auto"/>
                <w:highlight w:val="none"/>
              </w:rPr>
            </w:pPr>
          </w:p>
        </w:tc>
        <w:tc>
          <w:tcPr>
            <w:tcW w:w="1134" w:type="dxa"/>
            <w:vAlign w:val="center"/>
          </w:tcPr>
          <w:p w14:paraId="08C5150D">
            <w:pPr>
              <w:pStyle w:val="19"/>
              <w:keepNext/>
              <w:spacing w:line="440" w:lineRule="exact"/>
              <w:ind w:left="420" w:right="63"/>
              <w:rPr>
                <w:rFonts w:hint="eastAsia" w:ascii="宋体" w:hAnsi="宋体"/>
                <w:color w:val="auto"/>
                <w:highlight w:val="none"/>
              </w:rPr>
            </w:pPr>
          </w:p>
        </w:tc>
        <w:tc>
          <w:tcPr>
            <w:tcW w:w="1134" w:type="dxa"/>
            <w:vAlign w:val="center"/>
          </w:tcPr>
          <w:p w14:paraId="0BC54C12">
            <w:pPr>
              <w:pStyle w:val="19"/>
              <w:keepNext/>
              <w:spacing w:line="440" w:lineRule="exact"/>
              <w:ind w:left="420" w:right="63"/>
              <w:rPr>
                <w:rFonts w:hint="eastAsia" w:ascii="宋体" w:hAnsi="宋体"/>
                <w:color w:val="auto"/>
                <w:highlight w:val="none"/>
              </w:rPr>
            </w:pPr>
          </w:p>
        </w:tc>
        <w:tc>
          <w:tcPr>
            <w:tcW w:w="4252" w:type="dxa"/>
            <w:vAlign w:val="center"/>
          </w:tcPr>
          <w:p w14:paraId="2B0418CB">
            <w:pPr>
              <w:pStyle w:val="19"/>
              <w:keepNext/>
              <w:spacing w:line="440" w:lineRule="exact"/>
              <w:ind w:left="420" w:right="63"/>
              <w:rPr>
                <w:rFonts w:hint="eastAsia" w:ascii="宋体" w:hAnsi="宋体"/>
                <w:color w:val="auto"/>
                <w:highlight w:val="none"/>
              </w:rPr>
            </w:pPr>
          </w:p>
        </w:tc>
      </w:tr>
      <w:tr w14:paraId="6680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A10D4C7">
            <w:pPr>
              <w:pStyle w:val="19"/>
              <w:keepNext/>
              <w:spacing w:line="440" w:lineRule="exact"/>
              <w:ind w:left="420" w:right="63"/>
              <w:rPr>
                <w:rFonts w:hint="eastAsia" w:ascii="宋体" w:hAnsi="宋体"/>
                <w:color w:val="auto"/>
                <w:highlight w:val="none"/>
              </w:rPr>
            </w:pPr>
          </w:p>
        </w:tc>
        <w:tc>
          <w:tcPr>
            <w:tcW w:w="1418" w:type="dxa"/>
            <w:vAlign w:val="center"/>
          </w:tcPr>
          <w:p w14:paraId="12BFA353">
            <w:pPr>
              <w:pStyle w:val="19"/>
              <w:keepNext/>
              <w:spacing w:line="440" w:lineRule="exact"/>
              <w:ind w:left="420" w:right="63"/>
              <w:rPr>
                <w:rFonts w:hint="eastAsia" w:ascii="宋体" w:hAnsi="宋体"/>
                <w:color w:val="auto"/>
                <w:highlight w:val="none"/>
              </w:rPr>
            </w:pPr>
          </w:p>
        </w:tc>
        <w:tc>
          <w:tcPr>
            <w:tcW w:w="1134" w:type="dxa"/>
            <w:vAlign w:val="center"/>
          </w:tcPr>
          <w:p w14:paraId="5CE95023">
            <w:pPr>
              <w:pStyle w:val="19"/>
              <w:keepNext/>
              <w:spacing w:line="440" w:lineRule="exact"/>
              <w:ind w:left="420" w:right="63"/>
              <w:rPr>
                <w:rFonts w:hint="eastAsia" w:ascii="宋体" w:hAnsi="宋体"/>
                <w:color w:val="auto"/>
                <w:highlight w:val="none"/>
              </w:rPr>
            </w:pPr>
          </w:p>
        </w:tc>
        <w:tc>
          <w:tcPr>
            <w:tcW w:w="1134" w:type="dxa"/>
            <w:vAlign w:val="center"/>
          </w:tcPr>
          <w:p w14:paraId="7DB43643">
            <w:pPr>
              <w:pStyle w:val="19"/>
              <w:keepNext/>
              <w:spacing w:line="440" w:lineRule="exact"/>
              <w:ind w:left="420" w:right="63"/>
              <w:rPr>
                <w:rFonts w:hint="eastAsia" w:ascii="宋体" w:hAnsi="宋体"/>
                <w:color w:val="auto"/>
                <w:highlight w:val="none"/>
              </w:rPr>
            </w:pPr>
          </w:p>
        </w:tc>
        <w:tc>
          <w:tcPr>
            <w:tcW w:w="4252" w:type="dxa"/>
            <w:vAlign w:val="center"/>
          </w:tcPr>
          <w:p w14:paraId="0592A998">
            <w:pPr>
              <w:pStyle w:val="19"/>
              <w:keepNext/>
              <w:spacing w:line="440" w:lineRule="exact"/>
              <w:ind w:left="420" w:right="63"/>
              <w:rPr>
                <w:rFonts w:hint="eastAsia" w:ascii="宋体" w:hAnsi="宋体"/>
                <w:color w:val="auto"/>
                <w:highlight w:val="none"/>
              </w:rPr>
            </w:pPr>
          </w:p>
        </w:tc>
      </w:tr>
      <w:tr w14:paraId="32BD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AFB2B59">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其他人员</w:t>
            </w:r>
          </w:p>
        </w:tc>
        <w:tc>
          <w:tcPr>
            <w:tcW w:w="1418" w:type="dxa"/>
            <w:vAlign w:val="center"/>
          </w:tcPr>
          <w:p w14:paraId="10BAEB0C">
            <w:pPr>
              <w:pStyle w:val="19"/>
              <w:keepNext/>
              <w:spacing w:line="440" w:lineRule="exact"/>
              <w:ind w:left="420" w:right="63"/>
              <w:rPr>
                <w:rFonts w:hint="eastAsia" w:ascii="宋体" w:hAnsi="宋体"/>
                <w:color w:val="auto"/>
                <w:highlight w:val="none"/>
              </w:rPr>
            </w:pPr>
          </w:p>
        </w:tc>
        <w:tc>
          <w:tcPr>
            <w:tcW w:w="1134" w:type="dxa"/>
            <w:vAlign w:val="center"/>
          </w:tcPr>
          <w:p w14:paraId="6DD7EC9F">
            <w:pPr>
              <w:pStyle w:val="19"/>
              <w:keepNext/>
              <w:spacing w:line="440" w:lineRule="exact"/>
              <w:ind w:left="420" w:right="63"/>
              <w:rPr>
                <w:rFonts w:hint="eastAsia" w:ascii="宋体" w:hAnsi="宋体"/>
                <w:color w:val="auto"/>
                <w:highlight w:val="none"/>
              </w:rPr>
            </w:pPr>
          </w:p>
        </w:tc>
        <w:tc>
          <w:tcPr>
            <w:tcW w:w="1134" w:type="dxa"/>
            <w:vAlign w:val="center"/>
          </w:tcPr>
          <w:p w14:paraId="0F9D719F">
            <w:pPr>
              <w:pStyle w:val="19"/>
              <w:keepNext/>
              <w:spacing w:line="440" w:lineRule="exact"/>
              <w:ind w:left="420" w:right="63"/>
              <w:rPr>
                <w:rFonts w:hint="eastAsia" w:ascii="宋体" w:hAnsi="宋体"/>
                <w:color w:val="auto"/>
                <w:highlight w:val="none"/>
              </w:rPr>
            </w:pPr>
          </w:p>
        </w:tc>
        <w:tc>
          <w:tcPr>
            <w:tcW w:w="4252" w:type="dxa"/>
            <w:vAlign w:val="center"/>
          </w:tcPr>
          <w:p w14:paraId="261C9CEE">
            <w:pPr>
              <w:pStyle w:val="19"/>
              <w:keepNext/>
              <w:spacing w:line="440" w:lineRule="exact"/>
              <w:ind w:left="420" w:right="63"/>
              <w:rPr>
                <w:rFonts w:hint="eastAsia" w:ascii="宋体" w:hAnsi="宋体"/>
                <w:color w:val="auto"/>
                <w:highlight w:val="none"/>
              </w:rPr>
            </w:pPr>
          </w:p>
        </w:tc>
      </w:tr>
      <w:tr w14:paraId="20E7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E20F516">
            <w:pPr>
              <w:pStyle w:val="19"/>
              <w:keepNext/>
              <w:spacing w:line="440" w:lineRule="exact"/>
              <w:ind w:left="420" w:right="63"/>
              <w:rPr>
                <w:rFonts w:hint="eastAsia" w:ascii="宋体" w:hAnsi="宋体"/>
                <w:color w:val="auto"/>
                <w:highlight w:val="none"/>
              </w:rPr>
            </w:pPr>
          </w:p>
        </w:tc>
        <w:tc>
          <w:tcPr>
            <w:tcW w:w="1418" w:type="dxa"/>
            <w:vAlign w:val="center"/>
          </w:tcPr>
          <w:p w14:paraId="7167204F">
            <w:pPr>
              <w:pStyle w:val="19"/>
              <w:keepNext/>
              <w:spacing w:line="440" w:lineRule="exact"/>
              <w:ind w:left="420" w:right="63"/>
              <w:rPr>
                <w:rFonts w:hint="eastAsia" w:ascii="宋体" w:hAnsi="宋体"/>
                <w:color w:val="auto"/>
                <w:highlight w:val="none"/>
              </w:rPr>
            </w:pPr>
          </w:p>
        </w:tc>
        <w:tc>
          <w:tcPr>
            <w:tcW w:w="1134" w:type="dxa"/>
            <w:vAlign w:val="center"/>
          </w:tcPr>
          <w:p w14:paraId="1C4F764E">
            <w:pPr>
              <w:pStyle w:val="19"/>
              <w:keepNext/>
              <w:spacing w:line="440" w:lineRule="exact"/>
              <w:ind w:left="420" w:right="63"/>
              <w:rPr>
                <w:rFonts w:hint="eastAsia" w:ascii="宋体" w:hAnsi="宋体"/>
                <w:color w:val="auto"/>
                <w:highlight w:val="none"/>
              </w:rPr>
            </w:pPr>
          </w:p>
        </w:tc>
        <w:tc>
          <w:tcPr>
            <w:tcW w:w="1134" w:type="dxa"/>
            <w:vAlign w:val="center"/>
          </w:tcPr>
          <w:p w14:paraId="2F7A4EB3">
            <w:pPr>
              <w:pStyle w:val="19"/>
              <w:keepNext/>
              <w:spacing w:line="440" w:lineRule="exact"/>
              <w:ind w:left="420" w:right="63"/>
              <w:rPr>
                <w:rFonts w:hint="eastAsia" w:ascii="宋体" w:hAnsi="宋体"/>
                <w:color w:val="auto"/>
                <w:highlight w:val="none"/>
              </w:rPr>
            </w:pPr>
          </w:p>
        </w:tc>
        <w:tc>
          <w:tcPr>
            <w:tcW w:w="4252" w:type="dxa"/>
            <w:vAlign w:val="center"/>
          </w:tcPr>
          <w:p w14:paraId="022A03FF">
            <w:pPr>
              <w:pStyle w:val="19"/>
              <w:keepNext/>
              <w:spacing w:line="440" w:lineRule="exact"/>
              <w:ind w:left="420" w:right="63"/>
              <w:rPr>
                <w:rFonts w:hint="eastAsia" w:ascii="宋体" w:hAnsi="宋体"/>
                <w:color w:val="auto"/>
                <w:highlight w:val="none"/>
              </w:rPr>
            </w:pPr>
          </w:p>
        </w:tc>
      </w:tr>
      <w:tr w14:paraId="29AF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7CB0E78A">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二、现场人员</w:t>
            </w:r>
          </w:p>
        </w:tc>
      </w:tr>
      <w:tr w14:paraId="26EF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D670EEC">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项目经理</w:t>
            </w:r>
          </w:p>
        </w:tc>
        <w:tc>
          <w:tcPr>
            <w:tcW w:w="1418" w:type="dxa"/>
            <w:vAlign w:val="center"/>
          </w:tcPr>
          <w:p w14:paraId="05B44C4E">
            <w:pPr>
              <w:pStyle w:val="19"/>
              <w:keepNext/>
              <w:spacing w:line="440" w:lineRule="exact"/>
              <w:ind w:left="420" w:right="63"/>
              <w:rPr>
                <w:rFonts w:hint="eastAsia" w:ascii="宋体" w:hAnsi="宋体"/>
                <w:color w:val="auto"/>
                <w:highlight w:val="none"/>
              </w:rPr>
            </w:pPr>
          </w:p>
        </w:tc>
        <w:tc>
          <w:tcPr>
            <w:tcW w:w="1134" w:type="dxa"/>
            <w:vAlign w:val="center"/>
          </w:tcPr>
          <w:p w14:paraId="70DFF445">
            <w:pPr>
              <w:pStyle w:val="19"/>
              <w:keepNext/>
              <w:spacing w:line="440" w:lineRule="exact"/>
              <w:ind w:left="420" w:right="63"/>
              <w:rPr>
                <w:rFonts w:hint="eastAsia" w:ascii="宋体" w:hAnsi="宋体"/>
                <w:color w:val="auto"/>
                <w:highlight w:val="none"/>
              </w:rPr>
            </w:pPr>
          </w:p>
        </w:tc>
        <w:tc>
          <w:tcPr>
            <w:tcW w:w="1134" w:type="dxa"/>
            <w:vAlign w:val="center"/>
          </w:tcPr>
          <w:p w14:paraId="5AAAF426">
            <w:pPr>
              <w:pStyle w:val="19"/>
              <w:keepNext/>
              <w:spacing w:line="440" w:lineRule="exact"/>
              <w:ind w:left="420" w:right="63"/>
              <w:rPr>
                <w:rFonts w:hint="eastAsia" w:ascii="宋体" w:hAnsi="宋体"/>
                <w:color w:val="auto"/>
                <w:highlight w:val="none"/>
              </w:rPr>
            </w:pPr>
          </w:p>
        </w:tc>
        <w:tc>
          <w:tcPr>
            <w:tcW w:w="4252" w:type="dxa"/>
            <w:vAlign w:val="center"/>
          </w:tcPr>
          <w:p w14:paraId="6B654406">
            <w:pPr>
              <w:pStyle w:val="19"/>
              <w:keepNext/>
              <w:spacing w:line="440" w:lineRule="exact"/>
              <w:ind w:left="420" w:right="63"/>
              <w:rPr>
                <w:rFonts w:hint="eastAsia" w:ascii="宋体" w:hAnsi="宋体"/>
                <w:color w:val="auto"/>
                <w:highlight w:val="none"/>
              </w:rPr>
            </w:pPr>
          </w:p>
        </w:tc>
      </w:tr>
      <w:tr w14:paraId="622B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C5F48D6">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项目副经理</w:t>
            </w:r>
          </w:p>
        </w:tc>
        <w:tc>
          <w:tcPr>
            <w:tcW w:w="1418" w:type="dxa"/>
            <w:vAlign w:val="center"/>
          </w:tcPr>
          <w:p w14:paraId="7E7A08B7">
            <w:pPr>
              <w:pStyle w:val="19"/>
              <w:keepNext/>
              <w:spacing w:line="440" w:lineRule="exact"/>
              <w:ind w:left="420" w:right="63"/>
              <w:rPr>
                <w:rFonts w:hint="eastAsia" w:ascii="宋体" w:hAnsi="宋体"/>
                <w:color w:val="auto"/>
                <w:highlight w:val="none"/>
              </w:rPr>
            </w:pPr>
          </w:p>
        </w:tc>
        <w:tc>
          <w:tcPr>
            <w:tcW w:w="1134" w:type="dxa"/>
            <w:vAlign w:val="center"/>
          </w:tcPr>
          <w:p w14:paraId="2AAD3F8E">
            <w:pPr>
              <w:pStyle w:val="19"/>
              <w:keepNext/>
              <w:spacing w:line="440" w:lineRule="exact"/>
              <w:ind w:left="420" w:right="63"/>
              <w:rPr>
                <w:rFonts w:hint="eastAsia" w:ascii="宋体" w:hAnsi="宋体"/>
                <w:color w:val="auto"/>
                <w:highlight w:val="none"/>
              </w:rPr>
            </w:pPr>
          </w:p>
        </w:tc>
        <w:tc>
          <w:tcPr>
            <w:tcW w:w="1134" w:type="dxa"/>
            <w:vAlign w:val="center"/>
          </w:tcPr>
          <w:p w14:paraId="536BF3CA">
            <w:pPr>
              <w:pStyle w:val="19"/>
              <w:keepNext/>
              <w:spacing w:line="440" w:lineRule="exact"/>
              <w:ind w:left="420" w:right="63"/>
              <w:rPr>
                <w:rFonts w:hint="eastAsia" w:ascii="宋体" w:hAnsi="宋体"/>
                <w:color w:val="auto"/>
                <w:highlight w:val="none"/>
              </w:rPr>
            </w:pPr>
          </w:p>
        </w:tc>
        <w:tc>
          <w:tcPr>
            <w:tcW w:w="4252" w:type="dxa"/>
            <w:vAlign w:val="center"/>
          </w:tcPr>
          <w:p w14:paraId="6F7477FA">
            <w:pPr>
              <w:pStyle w:val="19"/>
              <w:keepNext/>
              <w:spacing w:line="440" w:lineRule="exact"/>
              <w:ind w:left="420" w:right="63"/>
              <w:rPr>
                <w:rFonts w:hint="eastAsia" w:ascii="宋体" w:hAnsi="宋体"/>
                <w:color w:val="auto"/>
                <w:highlight w:val="none"/>
              </w:rPr>
            </w:pPr>
          </w:p>
        </w:tc>
      </w:tr>
      <w:tr w14:paraId="5BB7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067ECCA">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技术负责人</w:t>
            </w:r>
          </w:p>
        </w:tc>
        <w:tc>
          <w:tcPr>
            <w:tcW w:w="1418" w:type="dxa"/>
            <w:vAlign w:val="center"/>
          </w:tcPr>
          <w:p w14:paraId="6DF3E2A3">
            <w:pPr>
              <w:pStyle w:val="19"/>
              <w:keepNext/>
              <w:spacing w:line="440" w:lineRule="exact"/>
              <w:ind w:left="420" w:right="63"/>
              <w:rPr>
                <w:rFonts w:hint="eastAsia" w:ascii="宋体" w:hAnsi="宋体"/>
                <w:color w:val="auto"/>
                <w:highlight w:val="none"/>
              </w:rPr>
            </w:pPr>
          </w:p>
        </w:tc>
        <w:tc>
          <w:tcPr>
            <w:tcW w:w="1134" w:type="dxa"/>
            <w:vAlign w:val="center"/>
          </w:tcPr>
          <w:p w14:paraId="404A7E93">
            <w:pPr>
              <w:pStyle w:val="19"/>
              <w:keepNext/>
              <w:spacing w:line="440" w:lineRule="exact"/>
              <w:ind w:left="420" w:right="63"/>
              <w:rPr>
                <w:rFonts w:hint="eastAsia" w:ascii="宋体" w:hAnsi="宋体"/>
                <w:color w:val="auto"/>
                <w:highlight w:val="none"/>
              </w:rPr>
            </w:pPr>
          </w:p>
        </w:tc>
        <w:tc>
          <w:tcPr>
            <w:tcW w:w="1134" w:type="dxa"/>
            <w:vAlign w:val="center"/>
          </w:tcPr>
          <w:p w14:paraId="04E6B4E2">
            <w:pPr>
              <w:pStyle w:val="19"/>
              <w:keepNext/>
              <w:spacing w:line="440" w:lineRule="exact"/>
              <w:ind w:left="420" w:right="63"/>
              <w:rPr>
                <w:rFonts w:hint="eastAsia" w:ascii="宋体" w:hAnsi="宋体"/>
                <w:color w:val="auto"/>
                <w:highlight w:val="none"/>
              </w:rPr>
            </w:pPr>
          </w:p>
        </w:tc>
        <w:tc>
          <w:tcPr>
            <w:tcW w:w="4252" w:type="dxa"/>
            <w:vAlign w:val="center"/>
          </w:tcPr>
          <w:p w14:paraId="21B5EFA9">
            <w:pPr>
              <w:pStyle w:val="19"/>
              <w:keepNext/>
              <w:spacing w:line="440" w:lineRule="exact"/>
              <w:ind w:left="420" w:right="63"/>
              <w:rPr>
                <w:rFonts w:hint="eastAsia" w:ascii="宋体" w:hAnsi="宋体"/>
                <w:color w:val="auto"/>
                <w:highlight w:val="none"/>
              </w:rPr>
            </w:pPr>
          </w:p>
        </w:tc>
      </w:tr>
      <w:tr w14:paraId="18CF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9B1F4B7">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造价管理</w:t>
            </w:r>
          </w:p>
        </w:tc>
        <w:tc>
          <w:tcPr>
            <w:tcW w:w="1418" w:type="dxa"/>
            <w:vAlign w:val="center"/>
          </w:tcPr>
          <w:p w14:paraId="7B05E778">
            <w:pPr>
              <w:pStyle w:val="19"/>
              <w:keepNext/>
              <w:spacing w:line="440" w:lineRule="exact"/>
              <w:ind w:left="420" w:right="63"/>
              <w:rPr>
                <w:rFonts w:hint="eastAsia" w:ascii="宋体" w:hAnsi="宋体"/>
                <w:color w:val="auto"/>
                <w:highlight w:val="none"/>
              </w:rPr>
            </w:pPr>
          </w:p>
        </w:tc>
        <w:tc>
          <w:tcPr>
            <w:tcW w:w="1134" w:type="dxa"/>
            <w:vAlign w:val="center"/>
          </w:tcPr>
          <w:p w14:paraId="2C8DE260">
            <w:pPr>
              <w:pStyle w:val="19"/>
              <w:keepNext/>
              <w:spacing w:line="440" w:lineRule="exact"/>
              <w:ind w:left="420" w:right="63"/>
              <w:rPr>
                <w:rFonts w:hint="eastAsia" w:ascii="宋体" w:hAnsi="宋体"/>
                <w:color w:val="auto"/>
                <w:highlight w:val="none"/>
              </w:rPr>
            </w:pPr>
          </w:p>
        </w:tc>
        <w:tc>
          <w:tcPr>
            <w:tcW w:w="1134" w:type="dxa"/>
            <w:vAlign w:val="center"/>
          </w:tcPr>
          <w:p w14:paraId="5A325969">
            <w:pPr>
              <w:pStyle w:val="19"/>
              <w:keepNext/>
              <w:spacing w:line="440" w:lineRule="exact"/>
              <w:ind w:left="420" w:right="63"/>
              <w:rPr>
                <w:rFonts w:hint="eastAsia" w:ascii="宋体" w:hAnsi="宋体"/>
                <w:color w:val="auto"/>
                <w:highlight w:val="none"/>
              </w:rPr>
            </w:pPr>
          </w:p>
        </w:tc>
        <w:tc>
          <w:tcPr>
            <w:tcW w:w="4252" w:type="dxa"/>
            <w:vAlign w:val="center"/>
          </w:tcPr>
          <w:p w14:paraId="589CF77F">
            <w:pPr>
              <w:pStyle w:val="19"/>
              <w:keepNext/>
              <w:spacing w:line="440" w:lineRule="exact"/>
              <w:ind w:left="420" w:right="63"/>
              <w:rPr>
                <w:rFonts w:hint="eastAsia" w:ascii="宋体" w:hAnsi="宋体"/>
                <w:color w:val="auto"/>
                <w:highlight w:val="none"/>
              </w:rPr>
            </w:pPr>
          </w:p>
        </w:tc>
      </w:tr>
      <w:tr w14:paraId="5FDF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0782C79">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质量管理</w:t>
            </w:r>
          </w:p>
        </w:tc>
        <w:tc>
          <w:tcPr>
            <w:tcW w:w="1418" w:type="dxa"/>
            <w:vAlign w:val="center"/>
          </w:tcPr>
          <w:p w14:paraId="4D4F0462">
            <w:pPr>
              <w:pStyle w:val="19"/>
              <w:keepNext/>
              <w:spacing w:line="440" w:lineRule="exact"/>
              <w:ind w:left="420" w:right="63"/>
              <w:rPr>
                <w:rFonts w:hint="eastAsia" w:ascii="宋体" w:hAnsi="宋体"/>
                <w:color w:val="auto"/>
                <w:highlight w:val="none"/>
              </w:rPr>
            </w:pPr>
          </w:p>
        </w:tc>
        <w:tc>
          <w:tcPr>
            <w:tcW w:w="1134" w:type="dxa"/>
            <w:vAlign w:val="center"/>
          </w:tcPr>
          <w:p w14:paraId="6B680921">
            <w:pPr>
              <w:pStyle w:val="19"/>
              <w:keepNext/>
              <w:spacing w:line="440" w:lineRule="exact"/>
              <w:ind w:left="420" w:right="63"/>
              <w:rPr>
                <w:rFonts w:hint="eastAsia" w:ascii="宋体" w:hAnsi="宋体"/>
                <w:color w:val="auto"/>
                <w:highlight w:val="none"/>
              </w:rPr>
            </w:pPr>
          </w:p>
        </w:tc>
        <w:tc>
          <w:tcPr>
            <w:tcW w:w="1134" w:type="dxa"/>
            <w:vAlign w:val="center"/>
          </w:tcPr>
          <w:p w14:paraId="1133158D">
            <w:pPr>
              <w:pStyle w:val="19"/>
              <w:keepNext/>
              <w:spacing w:line="440" w:lineRule="exact"/>
              <w:ind w:left="420" w:right="63"/>
              <w:rPr>
                <w:rFonts w:hint="eastAsia" w:ascii="宋体" w:hAnsi="宋体"/>
                <w:color w:val="auto"/>
                <w:highlight w:val="none"/>
              </w:rPr>
            </w:pPr>
          </w:p>
        </w:tc>
        <w:tc>
          <w:tcPr>
            <w:tcW w:w="4252" w:type="dxa"/>
            <w:vAlign w:val="center"/>
          </w:tcPr>
          <w:p w14:paraId="6FCE7EB0">
            <w:pPr>
              <w:pStyle w:val="19"/>
              <w:keepNext/>
              <w:spacing w:line="440" w:lineRule="exact"/>
              <w:ind w:left="420" w:right="63"/>
              <w:rPr>
                <w:rFonts w:hint="eastAsia" w:ascii="宋体" w:hAnsi="宋体"/>
                <w:color w:val="auto"/>
                <w:highlight w:val="none"/>
              </w:rPr>
            </w:pPr>
          </w:p>
        </w:tc>
      </w:tr>
      <w:tr w14:paraId="00D7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C62C073">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材料管理</w:t>
            </w:r>
          </w:p>
        </w:tc>
        <w:tc>
          <w:tcPr>
            <w:tcW w:w="1418" w:type="dxa"/>
            <w:vAlign w:val="center"/>
          </w:tcPr>
          <w:p w14:paraId="437DB82B">
            <w:pPr>
              <w:pStyle w:val="19"/>
              <w:keepNext/>
              <w:spacing w:line="440" w:lineRule="exact"/>
              <w:ind w:left="420" w:right="63"/>
              <w:rPr>
                <w:rFonts w:hint="eastAsia" w:ascii="宋体" w:hAnsi="宋体"/>
                <w:color w:val="auto"/>
                <w:highlight w:val="none"/>
              </w:rPr>
            </w:pPr>
          </w:p>
        </w:tc>
        <w:tc>
          <w:tcPr>
            <w:tcW w:w="1134" w:type="dxa"/>
            <w:vAlign w:val="center"/>
          </w:tcPr>
          <w:p w14:paraId="490F32E5">
            <w:pPr>
              <w:pStyle w:val="19"/>
              <w:keepNext/>
              <w:spacing w:line="440" w:lineRule="exact"/>
              <w:ind w:left="420" w:right="63"/>
              <w:rPr>
                <w:rFonts w:hint="eastAsia" w:ascii="宋体" w:hAnsi="宋体"/>
                <w:color w:val="auto"/>
                <w:highlight w:val="none"/>
              </w:rPr>
            </w:pPr>
          </w:p>
        </w:tc>
        <w:tc>
          <w:tcPr>
            <w:tcW w:w="1134" w:type="dxa"/>
            <w:vAlign w:val="center"/>
          </w:tcPr>
          <w:p w14:paraId="67205CE5">
            <w:pPr>
              <w:pStyle w:val="19"/>
              <w:keepNext/>
              <w:spacing w:line="440" w:lineRule="exact"/>
              <w:ind w:left="420" w:right="63"/>
              <w:rPr>
                <w:rFonts w:hint="eastAsia" w:ascii="宋体" w:hAnsi="宋体"/>
                <w:color w:val="auto"/>
                <w:highlight w:val="none"/>
              </w:rPr>
            </w:pPr>
          </w:p>
        </w:tc>
        <w:tc>
          <w:tcPr>
            <w:tcW w:w="4252" w:type="dxa"/>
            <w:vAlign w:val="center"/>
          </w:tcPr>
          <w:p w14:paraId="5F98B7FF">
            <w:pPr>
              <w:pStyle w:val="19"/>
              <w:keepNext/>
              <w:spacing w:line="440" w:lineRule="exact"/>
              <w:ind w:left="420" w:right="63"/>
              <w:rPr>
                <w:rFonts w:hint="eastAsia" w:ascii="宋体" w:hAnsi="宋体"/>
                <w:color w:val="auto"/>
                <w:highlight w:val="none"/>
              </w:rPr>
            </w:pPr>
          </w:p>
        </w:tc>
      </w:tr>
      <w:tr w14:paraId="012F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C220A0B">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计划管理</w:t>
            </w:r>
          </w:p>
        </w:tc>
        <w:tc>
          <w:tcPr>
            <w:tcW w:w="1418" w:type="dxa"/>
            <w:vAlign w:val="center"/>
          </w:tcPr>
          <w:p w14:paraId="70E847F9">
            <w:pPr>
              <w:pStyle w:val="19"/>
              <w:keepNext/>
              <w:spacing w:line="440" w:lineRule="exact"/>
              <w:ind w:left="420" w:right="63"/>
              <w:rPr>
                <w:rFonts w:hint="eastAsia" w:ascii="宋体" w:hAnsi="宋体"/>
                <w:color w:val="auto"/>
                <w:highlight w:val="none"/>
              </w:rPr>
            </w:pPr>
          </w:p>
        </w:tc>
        <w:tc>
          <w:tcPr>
            <w:tcW w:w="1134" w:type="dxa"/>
            <w:vAlign w:val="center"/>
          </w:tcPr>
          <w:p w14:paraId="1A1E0A21">
            <w:pPr>
              <w:pStyle w:val="19"/>
              <w:keepNext/>
              <w:spacing w:line="440" w:lineRule="exact"/>
              <w:ind w:left="420" w:right="63"/>
              <w:rPr>
                <w:rFonts w:hint="eastAsia" w:ascii="宋体" w:hAnsi="宋体"/>
                <w:color w:val="auto"/>
                <w:highlight w:val="none"/>
              </w:rPr>
            </w:pPr>
          </w:p>
        </w:tc>
        <w:tc>
          <w:tcPr>
            <w:tcW w:w="1134" w:type="dxa"/>
            <w:vAlign w:val="center"/>
          </w:tcPr>
          <w:p w14:paraId="0D775268">
            <w:pPr>
              <w:pStyle w:val="19"/>
              <w:keepNext/>
              <w:spacing w:line="440" w:lineRule="exact"/>
              <w:ind w:left="420" w:right="63"/>
              <w:rPr>
                <w:rFonts w:hint="eastAsia" w:ascii="宋体" w:hAnsi="宋体"/>
                <w:color w:val="auto"/>
                <w:highlight w:val="none"/>
              </w:rPr>
            </w:pPr>
          </w:p>
        </w:tc>
        <w:tc>
          <w:tcPr>
            <w:tcW w:w="4252" w:type="dxa"/>
            <w:vAlign w:val="center"/>
          </w:tcPr>
          <w:p w14:paraId="35A11F06">
            <w:pPr>
              <w:pStyle w:val="19"/>
              <w:keepNext/>
              <w:spacing w:line="440" w:lineRule="exact"/>
              <w:ind w:left="420" w:right="63"/>
              <w:rPr>
                <w:rFonts w:hint="eastAsia" w:ascii="宋体" w:hAnsi="宋体"/>
                <w:color w:val="auto"/>
                <w:highlight w:val="none"/>
              </w:rPr>
            </w:pPr>
          </w:p>
        </w:tc>
      </w:tr>
      <w:tr w14:paraId="33D4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5F15688">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安全管理</w:t>
            </w:r>
          </w:p>
        </w:tc>
        <w:tc>
          <w:tcPr>
            <w:tcW w:w="1418" w:type="dxa"/>
            <w:vAlign w:val="center"/>
          </w:tcPr>
          <w:p w14:paraId="36915BBA">
            <w:pPr>
              <w:pStyle w:val="19"/>
              <w:keepNext/>
              <w:spacing w:line="440" w:lineRule="exact"/>
              <w:ind w:left="420" w:right="63"/>
              <w:rPr>
                <w:rFonts w:hint="eastAsia" w:ascii="宋体" w:hAnsi="宋体"/>
                <w:color w:val="auto"/>
                <w:highlight w:val="none"/>
              </w:rPr>
            </w:pPr>
          </w:p>
        </w:tc>
        <w:tc>
          <w:tcPr>
            <w:tcW w:w="1134" w:type="dxa"/>
            <w:vAlign w:val="center"/>
          </w:tcPr>
          <w:p w14:paraId="0178B605">
            <w:pPr>
              <w:pStyle w:val="19"/>
              <w:keepNext/>
              <w:spacing w:line="440" w:lineRule="exact"/>
              <w:ind w:left="420" w:right="63"/>
              <w:rPr>
                <w:rFonts w:hint="eastAsia" w:ascii="宋体" w:hAnsi="宋体"/>
                <w:color w:val="auto"/>
                <w:highlight w:val="none"/>
              </w:rPr>
            </w:pPr>
          </w:p>
        </w:tc>
        <w:tc>
          <w:tcPr>
            <w:tcW w:w="1134" w:type="dxa"/>
            <w:vAlign w:val="center"/>
          </w:tcPr>
          <w:p w14:paraId="0EEB8588">
            <w:pPr>
              <w:pStyle w:val="19"/>
              <w:keepNext/>
              <w:spacing w:line="440" w:lineRule="exact"/>
              <w:ind w:left="420" w:right="63"/>
              <w:rPr>
                <w:rFonts w:hint="eastAsia" w:ascii="宋体" w:hAnsi="宋体"/>
                <w:color w:val="auto"/>
                <w:highlight w:val="none"/>
              </w:rPr>
            </w:pPr>
          </w:p>
        </w:tc>
        <w:tc>
          <w:tcPr>
            <w:tcW w:w="4252" w:type="dxa"/>
            <w:vAlign w:val="center"/>
          </w:tcPr>
          <w:p w14:paraId="7C6E7038">
            <w:pPr>
              <w:pStyle w:val="19"/>
              <w:keepNext/>
              <w:spacing w:line="440" w:lineRule="exact"/>
              <w:ind w:left="420" w:right="63"/>
              <w:rPr>
                <w:rFonts w:hint="eastAsia" w:ascii="宋体" w:hAnsi="宋体"/>
                <w:color w:val="auto"/>
                <w:highlight w:val="none"/>
              </w:rPr>
            </w:pPr>
          </w:p>
        </w:tc>
      </w:tr>
      <w:tr w14:paraId="1FE5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6B06B66A">
            <w:pPr>
              <w:pStyle w:val="19"/>
              <w:keepNext/>
              <w:spacing w:line="440" w:lineRule="exact"/>
              <w:ind w:left="420" w:right="63"/>
              <w:rPr>
                <w:rFonts w:hint="eastAsia" w:ascii="宋体" w:hAnsi="宋体"/>
                <w:color w:val="auto"/>
                <w:highlight w:val="none"/>
              </w:rPr>
            </w:pPr>
            <w:r>
              <w:rPr>
                <w:rFonts w:hint="eastAsia" w:ascii="宋体" w:hAnsi="宋体"/>
                <w:color w:val="auto"/>
                <w:highlight w:val="none"/>
              </w:rPr>
              <w:t>其他人员</w:t>
            </w:r>
          </w:p>
        </w:tc>
        <w:tc>
          <w:tcPr>
            <w:tcW w:w="1418" w:type="dxa"/>
            <w:vAlign w:val="center"/>
          </w:tcPr>
          <w:p w14:paraId="7B90F325">
            <w:pPr>
              <w:pStyle w:val="19"/>
              <w:keepNext/>
              <w:spacing w:line="440" w:lineRule="exact"/>
              <w:ind w:left="420" w:right="63"/>
              <w:rPr>
                <w:rFonts w:hint="eastAsia" w:ascii="宋体" w:hAnsi="宋体"/>
                <w:color w:val="auto"/>
                <w:highlight w:val="none"/>
              </w:rPr>
            </w:pPr>
          </w:p>
        </w:tc>
        <w:tc>
          <w:tcPr>
            <w:tcW w:w="1134" w:type="dxa"/>
            <w:vAlign w:val="center"/>
          </w:tcPr>
          <w:p w14:paraId="02CCCF5A">
            <w:pPr>
              <w:pStyle w:val="19"/>
              <w:keepNext/>
              <w:spacing w:line="440" w:lineRule="exact"/>
              <w:ind w:left="420" w:right="63"/>
              <w:rPr>
                <w:rFonts w:hint="eastAsia" w:ascii="宋体" w:hAnsi="宋体"/>
                <w:color w:val="auto"/>
                <w:highlight w:val="none"/>
              </w:rPr>
            </w:pPr>
          </w:p>
        </w:tc>
        <w:tc>
          <w:tcPr>
            <w:tcW w:w="1134" w:type="dxa"/>
            <w:vAlign w:val="center"/>
          </w:tcPr>
          <w:p w14:paraId="063B5B62">
            <w:pPr>
              <w:pStyle w:val="19"/>
              <w:keepNext/>
              <w:spacing w:line="440" w:lineRule="exact"/>
              <w:ind w:left="420" w:right="63"/>
              <w:rPr>
                <w:rFonts w:hint="eastAsia" w:ascii="宋体" w:hAnsi="宋体"/>
                <w:color w:val="auto"/>
                <w:highlight w:val="none"/>
              </w:rPr>
            </w:pPr>
          </w:p>
        </w:tc>
        <w:tc>
          <w:tcPr>
            <w:tcW w:w="4252" w:type="dxa"/>
            <w:vAlign w:val="center"/>
          </w:tcPr>
          <w:p w14:paraId="2E2D6E1C">
            <w:pPr>
              <w:pStyle w:val="19"/>
              <w:keepNext/>
              <w:spacing w:line="440" w:lineRule="exact"/>
              <w:ind w:left="420" w:right="63"/>
              <w:rPr>
                <w:rFonts w:hint="eastAsia" w:ascii="宋体" w:hAnsi="宋体"/>
                <w:color w:val="auto"/>
                <w:highlight w:val="none"/>
              </w:rPr>
            </w:pPr>
          </w:p>
        </w:tc>
      </w:tr>
      <w:tr w14:paraId="12D2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48612B2">
            <w:pPr>
              <w:widowControl/>
              <w:jc w:val="left"/>
              <w:rPr>
                <w:rFonts w:hint="eastAsia" w:ascii="宋体" w:hAnsi="宋体" w:cs="宋体"/>
                <w:color w:val="auto"/>
                <w:szCs w:val="21"/>
                <w:highlight w:val="none"/>
              </w:rPr>
            </w:pPr>
          </w:p>
        </w:tc>
        <w:tc>
          <w:tcPr>
            <w:tcW w:w="1418" w:type="dxa"/>
            <w:vAlign w:val="center"/>
          </w:tcPr>
          <w:p w14:paraId="3688066D">
            <w:pPr>
              <w:pStyle w:val="19"/>
              <w:keepNext/>
              <w:spacing w:line="440" w:lineRule="exact"/>
              <w:ind w:left="420" w:right="63"/>
              <w:rPr>
                <w:rFonts w:hint="eastAsia" w:ascii="宋体" w:hAnsi="宋体"/>
                <w:color w:val="auto"/>
                <w:highlight w:val="none"/>
              </w:rPr>
            </w:pPr>
          </w:p>
        </w:tc>
        <w:tc>
          <w:tcPr>
            <w:tcW w:w="1134" w:type="dxa"/>
            <w:vAlign w:val="center"/>
          </w:tcPr>
          <w:p w14:paraId="1B6B57F8">
            <w:pPr>
              <w:pStyle w:val="19"/>
              <w:keepNext/>
              <w:spacing w:line="440" w:lineRule="exact"/>
              <w:ind w:left="420" w:right="63"/>
              <w:rPr>
                <w:rFonts w:hint="eastAsia" w:ascii="宋体" w:hAnsi="宋体"/>
                <w:color w:val="auto"/>
                <w:highlight w:val="none"/>
              </w:rPr>
            </w:pPr>
          </w:p>
        </w:tc>
        <w:tc>
          <w:tcPr>
            <w:tcW w:w="1134" w:type="dxa"/>
            <w:vAlign w:val="center"/>
          </w:tcPr>
          <w:p w14:paraId="001A8CCE">
            <w:pPr>
              <w:pStyle w:val="19"/>
              <w:keepNext/>
              <w:spacing w:line="440" w:lineRule="exact"/>
              <w:ind w:left="420" w:right="63"/>
              <w:rPr>
                <w:rFonts w:hint="eastAsia" w:ascii="宋体" w:hAnsi="宋体"/>
                <w:color w:val="auto"/>
                <w:highlight w:val="none"/>
              </w:rPr>
            </w:pPr>
          </w:p>
        </w:tc>
        <w:tc>
          <w:tcPr>
            <w:tcW w:w="4252" w:type="dxa"/>
            <w:vAlign w:val="center"/>
          </w:tcPr>
          <w:p w14:paraId="159867CC">
            <w:pPr>
              <w:pStyle w:val="19"/>
              <w:keepNext/>
              <w:spacing w:line="440" w:lineRule="exact"/>
              <w:ind w:left="420" w:right="63"/>
              <w:rPr>
                <w:rFonts w:hint="eastAsia" w:ascii="宋体" w:hAnsi="宋体"/>
                <w:color w:val="auto"/>
                <w:highlight w:val="none"/>
              </w:rPr>
            </w:pPr>
          </w:p>
        </w:tc>
      </w:tr>
      <w:tr w14:paraId="3A93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7B64B91">
            <w:pPr>
              <w:widowControl/>
              <w:jc w:val="left"/>
              <w:rPr>
                <w:rFonts w:hint="eastAsia" w:ascii="宋体" w:hAnsi="宋体" w:cs="宋体"/>
                <w:color w:val="auto"/>
                <w:szCs w:val="21"/>
                <w:highlight w:val="none"/>
              </w:rPr>
            </w:pPr>
          </w:p>
        </w:tc>
        <w:tc>
          <w:tcPr>
            <w:tcW w:w="1418" w:type="dxa"/>
            <w:vAlign w:val="center"/>
          </w:tcPr>
          <w:p w14:paraId="677DD0B9">
            <w:pPr>
              <w:pStyle w:val="19"/>
              <w:keepNext/>
              <w:spacing w:line="440" w:lineRule="exact"/>
              <w:ind w:left="420" w:right="63"/>
              <w:rPr>
                <w:rFonts w:hint="eastAsia" w:ascii="宋体" w:hAnsi="宋体"/>
                <w:color w:val="auto"/>
                <w:highlight w:val="none"/>
              </w:rPr>
            </w:pPr>
          </w:p>
        </w:tc>
        <w:tc>
          <w:tcPr>
            <w:tcW w:w="1134" w:type="dxa"/>
            <w:vAlign w:val="center"/>
          </w:tcPr>
          <w:p w14:paraId="60BD2D76">
            <w:pPr>
              <w:pStyle w:val="19"/>
              <w:keepNext/>
              <w:spacing w:line="440" w:lineRule="exact"/>
              <w:ind w:left="420" w:right="63"/>
              <w:rPr>
                <w:rFonts w:hint="eastAsia" w:ascii="宋体" w:hAnsi="宋体"/>
                <w:color w:val="auto"/>
                <w:highlight w:val="none"/>
              </w:rPr>
            </w:pPr>
          </w:p>
        </w:tc>
        <w:tc>
          <w:tcPr>
            <w:tcW w:w="1134" w:type="dxa"/>
            <w:vAlign w:val="center"/>
          </w:tcPr>
          <w:p w14:paraId="5485E30E">
            <w:pPr>
              <w:pStyle w:val="19"/>
              <w:keepNext/>
              <w:spacing w:line="440" w:lineRule="exact"/>
              <w:ind w:left="420" w:right="63"/>
              <w:rPr>
                <w:rFonts w:hint="eastAsia" w:ascii="宋体" w:hAnsi="宋体"/>
                <w:color w:val="auto"/>
                <w:highlight w:val="none"/>
              </w:rPr>
            </w:pPr>
          </w:p>
        </w:tc>
        <w:tc>
          <w:tcPr>
            <w:tcW w:w="4252" w:type="dxa"/>
            <w:vAlign w:val="center"/>
          </w:tcPr>
          <w:p w14:paraId="2F646C19">
            <w:pPr>
              <w:pStyle w:val="19"/>
              <w:keepNext/>
              <w:spacing w:line="440" w:lineRule="exact"/>
              <w:ind w:left="420" w:right="63"/>
              <w:rPr>
                <w:rFonts w:hint="eastAsia" w:ascii="宋体" w:hAnsi="宋体"/>
                <w:color w:val="auto"/>
                <w:highlight w:val="none"/>
              </w:rPr>
            </w:pPr>
          </w:p>
        </w:tc>
      </w:tr>
      <w:tr w14:paraId="2623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4ACAFC9">
            <w:pPr>
              <w:widowControl/>
              <w:jc w:val="left"/>
              <w:rPr>
                <w:rFonts w:hint="eastAsia" w:ascii="宋体" w:hAnsi="宋体" w:cs="宋体"/>
                <w:color w:val="auto"/>
                <w:szCs w:val="21"/>
                <w:highlight w:val="none"/>
              </w:rPr>
            </w:pPr>
          </w:p>
        </w:tc>
        <w:tc>
          <w:tcPr>
            <w:tcW w:w="1418" w:type="dxa"/>
            <w:vAlign w:val="center"/>
          </w:tcPr>
          <w:p w14:paraId="7FE08B1B">
            <w:pPr>
              <w:pStyle w:val="19"/>
              <w:keepNext/>
              <w:spacing w:line="440" w:lineRule="exact"/>
              <w:ind w:left="420" w:right="63"/>
              <w:rPr>
                <w:rFonts w:hint="eastAsia" w:ascii="宋体" w:hAnsi="宋体"/>
                <w:color w:val="auto"/>
                <w:highlight w:val="none"/>
              </w:rPr>
            </w:pPr>
          </w:p>
        </w:tc>
        <w:tc>
          <w:tcPr>
            <w:tcW w:w="1134" w:type="dxa"/>
            <w:vAlign w:val="center"/>
          </w:tcPr>
          <w:p w14:paraId="644589E3">
            <w:pPr>
              <w:pStyle w:val="19"/>
              <w:keepNext/>
              <w:spacing w:line="440" w:lineRule="exact"/>
              <w:ind w:left="420" w:right="63"/>
              <w:rPr>
                <w:rFonts w:hint="eastAsia" w:ascii="宋体" w:hAnsi="宋体"/>
                <w:color w:val="auto"/>
                <w:highlight w:val="none"/>
              </w:rPr>
            </w:pPr>
          </w:p>
        </w:tc>
        <w:tc>
          <w:tcPr>
            <w:tcW w:w="1134" w:type="dxa"/>
            <w:vAlign w:val="center"/>
          </w:tcPr>
          <w:p w14:paraId="5AC7A5B3">
            <w:pPr>
              <w:pStyle w:val="19"/>
              <w:keepNext/>
              <w:spacing w:line="440" w:lineRule="exact"/>
              <w:ind w:left="420" w:right="63"/>
              <w:rPr>
                <w:rFonts w:hint="eastAsia" w:ascii="宋体" w:hAnsi="宋体"/>
                <w:color w:val="auto"/>
                <w:highlight w:val="none"/>
              </w:rPr>
            </w:pPr>
          </w:p>
        </w:tc>
        <w:tc>
          <w:tcPr>
            <w:tcW w:w="4252" w:type="dxa"/>
            <w:vAlign w:val="center"/>
          </w:tcPr>
          <w:p w14:paraId="382CB4DF">
            <w:pPr>
              <w:pStyle w:val="19"/>
              <w:keepNext/>
              <w:spacing w:line="440" w:lineRule="exact"/>
              <w:ind w:left="420" w:right="63"/>
              <w:rPr>
                <w:rFonts w:hint="eastAsia" w:ascii="宋体" w:hAnsi="宋体"/>
                <w:color w:val="auto"/>
                <w:highlight w:val="none"/>
              </w:rPr>
            </w:pPr>
          </w:p>
        </w:tc>
      </w:tr>
      <w:tr w14:paraId="3B1D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E7C629D">
            <w:pPr>
              <w:widowControl/>
              <w:jc w:val="left"/>
              <w:rPr>
                <w:rFonts w:hint="eastAsia" w:ascii="宋体" w:hAnsi="宋体" w:cs="宋体"/>
                <w:color w:val="auto"/>
                <w:szCs w:val="21"/>
                <w:highlight w:val="none"/>
              </w:rPr>
            </w:pPr>
          </w:p>
        </w:tc>
        <w:tc>
          <w:tcPr>
            <w:tcW w:w="1418" w:type="dxa"/>
            <w:vAlign w:val="center"/>
          </w:tcPr>
          <w:p w14:paraId="44DFEF2F">
            <w:pPr>
              <w:pStyle w:val="19"/>
              <w:keepNext/>
              <w:spacing w:line="440" w:lineRule="exact"/>
              <w:ind w:left="420" w:right="63"/>
              <w:rPr>
                <w:rFonts w:hint="eastAsia" w:ascii="宋体" w:hAnsi="宋体"/>
                <w:color w:val="auto"/>
                <w:highlight w:val="none"/>
              </w:rPr>
            </w:pPr>
          </w:p>
        </w:tc>
        <w:tc>
          <w:tcPr>
            <w:tcW w:w="1134" w:type="dxa"/>
            <w:vAlign w:val="center"/>
          </w:tcPr>
          <w:p w14:paraId="5DE7C938">
            <w:pPr>
              <w:pStyle w:val="19"/>
              <w:keepNext/>
              <w:spacing w:line="440" w:lineRule="exact"/>
              <w:ind w:left="420" w:right="63"/>
              <w:rPr>
                <w:rFonts w:hint="eastAsia" w:ascii="宋体" w:hAnsi="宋体"/>
                <w:color w:val="auto"/>
                <w:highlight w:val="none"/>
              </w:rPr>
            </w:pPr>
          </w:p>
        </w:tc>
        <w:tc>
          <w:tcPr>
            <w:tcW w:w="1134" w:type="dxa"/>
            <w:vAlign w:val="center"/>
          </w:tcPr>
          <w:p w14:paraId="201F5FCF">
            <w:pPr>
              <w:pStyle w:val="19"/>
              <w:keepNext/>
              <w:spacing w:line="440" w:lineRule="exact"/>
              <w:ind w:left="420" w:right="63"/>
              <w:rPr>
                <w:rFonts w:hint="eastAsia" w:ascii="宋体" w:hAnsi="宋体"/>
                <w:color w:val="auto"/>
                <w:highlight w:val="none"/>
              </w:rPr>
            </w:pPr>
          </w:p>
        </w:tc>
        <w:tc>
          <w:tcPr>
            <w:tcW w:w="4252" w:type="dxa"/>
            <w:vAlign w:val="center"/>
          </w:tcPr>
          <w:p w14:paraId="6EAB4257">
            <w:pPr>
              <w:pStyle w:val="19"/>
              <w:keepNext/>
              <w:spacing w:line="440" w:lineRule="exact"/>
              <w:ind w:left="420" w:right="63"/>
              <w:rPr>
                <w:rFonts w:hint="eastAsia" w:ascii="宋体" w:hAnsi="宋体"/>
                <w:color w:val="auto"/>
                <w:highlight w:val="none"/>
              </w:rPr>
            </w:pPr>
          </w:p>
        </w:tc>
      </w:tr>
      <w:tr w14:paraId="31BF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2E2F10C">
            <w:pPr>
              <w:widowControl/>
              <w:jc w:val="left"/>
              <w:rPr>
                <w:rFonts w:hint="eastAsia" w:ascii="宋体" w:hAnsi="宋体" w:cs="宋体"/>
                <w:color w:val="auto"/>
                <w:szCs w:val="21"/>
                <w:highlight w:val="none"/>
              </w:rPr>
            </w:pPr>
          </w:p>
        </w:tc>
        <w:tc>
          <w:tcPr>
            <w:tcW w:w="1418" w:type="dxa"/>
            <w:vAlign w:val="center"/>
          </w:tcPr>
          <w:p w14:paraId="37464FE6">
            <w:pPr>
              <w:pStyle w:val="19"/>
              <w:keepNext/>
              <w:spacing w:line="440" w:lineRule="exact"/>
              <w:ind w:left="420" w:right="63"/>
              <w:rPr>
                <w:rFonts w:hint="eastAsia" w:ascii="宋体" w:hAnsi="宋体"/>
                <w:color w:val="auto"/>
                <w:highlight w:val="none"/>
              </w:rPr>
            </w:pPr>
          </w:p>
        </w:tc>
        <w:tc>
          <w:tcPr>
            <w:tcW w:w="1134" w:type="dxa"/>
            <w:vAlign w:val="center"/>
          </w:tcPr>
          <w:p w14:paraId="1F73EBAB">
            <w:pPr>
              <w:pStyle w:val="19"/>
              <w:keepNext/>
              <w:spacing w:line="440" w:lineRule="exact"/>
              <w:ind w:left="420" w:right="63"/>
              <w:rPr>
                <w:rFonts w:hint="eastAsia" w:ascii="宋体" w:hAnsi="宋体"/>
                <w:color w:val="auto"/>
                <w:highlight w:val="none"/>
              </w:rPr>
            </w:pPr>
          </w:p>
        </w:tc>
        <w:tc>
          <w:tcPr>
            <w:tcW w:w="1134" w:type="dxa"/>
            <w:vAlign w:val="center"/>
          </w:tcPr>
          <w:p w14:paraId="3D24D30B">
            <w:pPr>
              <w:pStyle w:val="19"/>
              <w:keepNext/>
              <w:spacing w:line="440" w:lineRule="exact"/>
              <w:ind w:left="420" w:right="63"/>
              <w:rPr>
                <w:rFonts w:hint="eastAsia" w:ascii="宋体" w:hAnsi="宋体"/>
                <w:color w:val="auto"/>
                <w:highlight w:val="none"/>
              </w:rPr>
            </w:pPr>
          </w:p>
        </w:tc>
        <w:tc>
          <w:tcPr>
            <w:tcW w:w="4252" w:type="dxa"/>
            <w:vAlign w:val="center"/>
          </w:tcPr>
          <w:p w14:paraId="48C11141">
            <w:pPr>
              <w:pStyle w:val="19"/>
              <w:keepNext/>
              <w:spacing w:line="440" w:lineRule="exact"/>
              <w:ind w:left="420" w:right="63"/>
              <w:rPr>
                <w:rFonts w:hint="eastAsia" w:ascii="宋体" w:hAnsi="宋体"/>
                <w:color w:val="auto"/>
                <w:highlight w:val="none"/>
              </w:rPr>
            </w:pPr>
          </w:p>
        </w:tc>
      </w:tr>
    </w:tbl>
    <w:p w14:paraId="279AE86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bookmarkStart w:id="1517" w:name="_Toc267261701"/>
      <w:r>
        <w:rPr>
          <w:rFonts w:hint="eastAsia" w:ascii="宋体" w:hAnsi="宋体" w:cs="宋体"/>
          <w:color w:val="auto"/>
          <w:szCs w:val="21"/>
          <w:highlight w:val="none"/>
        </w:rPr>
        <w:t>附</w:t>
      </w:r>
      <w:bookmarkStart w:id="1518" w:name="_Toc296503231"/>
      <w:bookmarkStart w:id="1519" w:name="_Toc296944570"/>
      <w:bookmarkStart w:id="1520" w:name="_Toc296891059"/>
      <w:bookmarkStart w:id="1521" w:name="_Toc296347230"/>
      <w:bookmarkStart w:id="1522" w:name="_Toc296346732"/>
      <w:bookmarkStart w:id="1523" w:name="_Toc296891271"/>
      <w:r>
        <w:rPr>
          <w:rFonts w:hint="eastAsia" w:ascii="宋体" w:hAnsi="宋体" w:cs="宋体"/>
          <w:color w:val="auto"/>
          <w:szCs w:val="21"/>
          <w:highlight w:val="none"/>
        </w:rPr>
        <w:t>件8：</w:t>
      </w:r>
    </w:p>
    <w:bookmarkEnd w:id="1517"/>
    <w:bookmarkEnd w:id="1518"/>
    <w:bookmarkEnd w:id="1519"/>
    <w:bookmarkEnd w:id="1520"/>
    <w:bookmarkEnd w:id="1521"/>
    <w:bookmarkEnd w:id="1522"/>
    <w:bookmarkEnd w:id="1523"/>
    <w:p w14:paraId="7CD1F361">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履约担保</w:t>
      </w:r>
    </w:p>
    <w:p w14:paraId="1D72D324">
      <w:pPr>
        <w:spacing w:line="44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（发包人名称）：</w:t>
      </w:r>
    </w:p>
    <w:p w14:paraId="591ACC24">
      <w:pPr>
        <w:spacing w:line="440" w:lineRule="exact"/>
        <w:rPr>
          <w:rFonts w:hint="eastAsia" w:ascii="宋体" w:hAnsi="宋体" w:cs="宋体"/>
          <w:color w:val="auto"/>
          <w:szCs w:val="21"/>
          <w:highlight w:val="none"/>
        </w:rPr>
      </w:pPr>
    </w:p>
    <w:p w14:paraId="741666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w:t>
      </w:r>
    </w:p>
    <w:p w14:paraId="1A68470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14:paraId="2D788B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48D09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担保有效期自你方与承包人签订的合同生效之日起至你方签发或应签发工程接收证书之日止。</w:t>
      </w:r>
    </w:p>
    <w:p w14:paraId="31B1E5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在本担保有效期内，因承包人违反合同约定的义务给你方造成经济损失时，我方在收到你方以书面形式提出的在担保金额内的赔偿要求后，在7天内无条件支付。</w:t>
      </w:r>
    </w:p>
    <w:p w14:paraId="10C387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你方和承包人按合同约定变更合同时，我方承担本担保规定的义务不变。</w:t>
      </w:r>
    </w:p>
    <w:p w14:paraId="382908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14:paraId="19381D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14:paraId="18D71D0A">
      <w:pPr>
        <w:spacing w:line="360" w:lineRule="auto"/>
        <w:rPr>
          <w:rFonts w:hint="eastAsia" w:ascii="宋体" w:hAnsi="宋体" w:cs="宋体"/>
          <w:color w:val="auto"/>
          <w:szCs w:val="21"/>
          <w:highlight w:val="none"/>
        </w:rPr>
      </w:pPr>
    </w:p>
    <w:p w14:paraId="0F81BC0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担 保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7F176FF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412F80F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567377F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26CD4E31">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2D3D680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27CC66D4">
      <w:pPr>
        <w:spacing w:line="360" w:lineRule="auto"/>
        <w:jc w:val="left"/>
        <w:rPr>
          <w:rFonts w:hint="eastAsia" w:ascii="宋体" w:hAnsi="宋体" w:cs="宋体"/>
          <w:color w:val="auto"/>
          <w:szCs w:val="21"/>
          <w:highlight w:val="none"/>
          <w:u w:val="single"/>
        </w:rPr>
      </w:pPr>
    </w:p>
    <w:p w14:paraId="679192C7">
      <w:pPr>
        <w:spacing w:line="360" w:lineRule="auto"/>
        <w:ind w:left="1329" w:hanging="1329" w:hangingChars="633"/>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6B8CC3C">
      <w:pPr>
        <w:spacing w:line="360" w:lineRule="auto"/>
        <w:ind w:left="1329" w:hanging="1329" w:hangingChars="633"/>
        <w:rPr>
          <w:rFonts w:hint="eastAsia" w:ascii="宋体" w:hAnsi="宋体" w:cs="宋体"/>
          <w:color w:val="auto"/>
          <w:szCs w:val="21"/>
          <w:highlight w:val="none"/>
        </w:rPr>
      </w:pPr>
    </w:p>
    <w:p w14:paraId="0A8001E0">
      <w:pPr>
        <w:spacing w:line="360" w:lineRule="auto"/>
        <w:ind w:left="1329" w:hanging="1329" w:hangingChars="633"/>
        <w:rPr>
          <w:rFonts w:hint="eastAsia" w:ascii="宋体" w:hAnsi="宋体" w:cs="宋体"/>
          <w:color w:val="auto"/>
          <w:szCs w:val="21"/>
          <w:highlight w:val="none"/>
        </w:rPr>
      </w:pPr>
    </w:p>
    <w:p w14:paraId="6BD4AD50">
      <w:pPr>
        <w:spacing w:line="360" w:lineRule="auto"/>
        <w:ind w:left="1329" w:hanging="1329" w:hangingChars="633"/>
        <w:rPr>
          <w:rFonts w:hint="eastAsia" w:ascii="宋体" w:hAnsi="宋体" w:cs="宋体"/>
          <w:color w:val="auto"/>
          <w:szCs w:val="21"/>
          <w:highlight w:val="none"/>
        </w:rPr>
      </w:pPr>
    </w:p>
    <w:p w14:paraId="5909C61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附</w:t>
      </w:r>
      <w:bookmarkStart w:id="1524" w:name="_Toc267261702"/>
      <w:bookmarkStart w:id="1525" w:name="_Toc296346733"/>
      <w:bookmarkStart w:id="1526" w:name="_Toc296891060"/>
      <w:bookmarkStart w:id="1527" w:name="_Toc296891272"/>
      <w:bookmarkStart w:id="1528" w:name="_Toc296347231"/>
      <w:bookmarkStart w:id="1529" w:name="_Toc296503232"/>
      <w:bookmarkStart w:id="1530" w:name="_Toc296944571"/>
      <w:r>
        <w:rPr>
          <w:rFonts w:hint="eastAsia" w:ascii="宋体" w:hAnsi="宋体" w:cs="宋体"/>
          <w:color w:val="auto"/>
          <w:szCs w:val="21"/>
          <w:highlight w:val="none"/>
        </w:rPr>
        <w:t>件9 ：</w:t>
      </w:r>
    </w:p>
    <w:bookmarkEnd w:id="1524"/>
    <w:bookmarkEnd w:id="1525"/>
    <w:bookmarkEnd w:id="1526"/>
    <w:bookmarkEnd w:id="1527"/>
    <w:bookmarkEnd w:id="1528"/>
    <w:bookmarkEnd w:id="1529"/>
    <w:bookmarkEnd w:id="1530"/>
    <w:p w14:paraId="6700DC62">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预付款担保</w:t>
      </w:r>
    </w:p>
    <w:p w14:paraId="271383C1">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（发包人名称）：</w:t>
      </w:r>
    </w:p>
    <w:p w14:paraId="32B24906">
      <w:pPr>
        <w:spacing w:line="360" w:lineRule="auto"/>
        <w:rPr>
          <w:rFonts w:hint="eastAsia" w:ascii="宋体" w:hAnsi="宋体" w:cs="宋体"/>
          <w:color w:val="auto"/>
          <w:szCs w:val="21"/>
          <w:highlight w:val="none"/>
        </w:rPr>
      </w:pPr>
    </w:p>
    <w:p w14:paraId="7CA830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（承包人名称）（以下称“承包人”）与</w:t>
      </w:r>
    </w:p>
    <w:p w14:paraId="5B61A589">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w:t>
      </w:r>
    </w:p>
    <w:p w14:paraId="4C18568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5CBB75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E9C17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担保有效期自预付款支付给承包人起生效，至你方签发的进度款支付证书说明已完全扣清止。</w:t>
      </w:r>
    </w:p>
    <w:p w14:paraId="654503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在本保函有效期内，因承包人违反合同约定的义务而要求收回预付款时，我方在收到你方的书面通知后，在</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天内无条件支付。但本保函的担保金额，在任何时候不应超过预付款金额减去你方按合同约定在向承包人签发的进度款支付证书中扣除的金额。</w:t>
      </w:r>
    </w:p>
    <w:p w14:paraId="239843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你方和承包人按合同约定变更合同时，我方承担本保函规定的义务不变。</w:t>
      </w:r>
    </w:p>
    <w:p w14:paraId="2358969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14:paraId="1894E18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14:paraId="229C3835">
      <w:pPr>
        <w:spacing w:line="360" w:lineRule="auto"/>
        <w:rPr>
          <w:rFonts w:hint="eastAsia" w:ascii="宋体" w:hAnsi="宋体" w:cs="宋体"/>
          <w:color w:val="auto"/>
          <w:szCs w:val="21"/>
          <w:highlight w:val="none"/>
        </w:rPr>
      </w:pPr>
    </w:p>
    <w:p w14:paraId="5E25060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担保人：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4D64D39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3015552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3D701C65">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10FE322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02D5AA87">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59FBB9A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290E603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78DE3F7">
      <w:pPr>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br w:type="page"/>
      </w:r>
      <w:r>
        <w:rPr>
          <w:rFonts w:hint="eastAsia" w:ascii="宋体" w:hAnsi="宋体" w:cs="宋体"/>
          <w:color w:val="auto"/>
          <w:szCs w:val="21"/>
          <w:highlight w:val="none"/>
        </w:rPr>
        <w:t>附件10：</w:t>
      </w:r>
    </w:p>
    <w:p w14:paraId="096F473C">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10-1：材料暂估价表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0945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left w:val="single" w:color="auto" w:sz="12" w:space="0"/>
              <w:bottom w:val="double" w:color="auto" w:sz="6" w:space="0"/>
              <w:right w:val="single" w:color="auto" w:sz="6" w:space="0"/>
            </w:tcBorders>
          </w:tcPr>
          <w:p w14:paraId="0D0C8DBC">
            <w:pPr>
              <w:pStyle w:val="19"/>
              <w:keepNext/>
              <w:spacing w:line="440" w:lineRule="exact"/>
              <w:ind w:left="420" w:right="63"/>
              <w:rPr>
                <w:rFonts w:hint="eastAsia" w:ascii="宋体" w:hAnsi="宋体"/>
                <w:color w:val="auto"/>
                <w:highlight w:val="none"/>
              </w:rPr>
            </w:pPr>
          </w:p>
        </w:tc>
        <w:tc>
          <w:tcPr>
            <w:tcW w:w="1984" w:type="dxa"/>
            <w:tcBorders>
              <w:top w:val="single" w:color="auto" w:sz="12" w:space="0"/>
              <w:left w:val="single" w:color="auto" w:sz="6" w:space="0"/>
              <w:bottom w:val="double" w:color="auto" w:sz="6" w:space="0"/>
              <w:right w:val="single" w:color="auto" w:sz="6" w:space="0"/>
            </w:tcBorders>
          </w:tcPr>
          <w:p w14:paraId="35A61CF8">
            <w:pPr>
              <w:pStyle w:val="19"/>
              <w:keepNext/>
              <w:spacing w:line="440" w:lineRule="exact"/>
              <w:ind w:left="420" w:right="63"/>
              <w:rPr>
                <w:rFonts w:hint="eastAsia" w:ascii="宋体" w:hAnsi="宋体"/>
                <w:color w:val="auto"/>
                <w:highlight w:val="none"/>
              </w:rPr>
            </w:pPr>
          </w:p>
        </w:tc>
        <w:tc>
          <w:tcPr>
            <w:tcW w:w="851" w:type="dxa"/>
            <w:tcBorders>
              <w:top w:val="single" w:color="auto" w:sz="12" w:space="0"/>
              <w:left w:val="single" w:color="auto" w:sz="6" w:space="0"/>
              <w:bottom w:val="double" w:color="auto" w:sz="6" w:space="0"/>
              <w:right w:val="single" w:color="auto" w:sz="6" w:space="0"/>
            </w:tcBorders>
          </w:tcPr>
          <w:p w14:paraId="40B22E5C">
            <w:pPr>
              <w:pStyle w:val="19"/>
              <w:keepNext/>
              <w:spacing w:line="440" w:lineRule="exact"/>
              <w:ind w:left="420" w:right="63"/>
              <w:rPr>
                <w:rFonts w:hint="eastAsia" w:ascii="宋体" w:hAnsi="宋体"/>
                <w:color w:val="auto"/>
                <w:highlight w:val="none"/>
              </w:rPr>
            </w:pPr>
          </w:p>
        </w:tc>
        <w:tc>
          <w:tcPr>
            <w:tcW w:w="774" w:type="dxa"/>
            <w:tcBorders>
              <w:top w:val="single" w:color="auto" w:sz="12" w:space="0"/>
              <w:left w:val="single" w:color="auto" w:sz="6" w:space="0"/>
              <w:bottom w:val="double" w:color="auto" w:sz="6" w:space="0"/>
              <w:right w:val="single" w:color="auto" w:sz="6" w:space="0"/>
            </w:tcBorders>
          </w:tcPr>
          <w:p w14:paraId="0EA95837">
            <w:pPr>
              <w:pStyle w:val="19"/>
              <w:keepNext/>
              <w:spacing w:line="440" w:lineRule="exact"/>
              <w:ind w:left="420" w:right="63"/>
              <w:rPr>
                <w:rFonts w:hint="eastAsia" w:ascii="宋体" w:hAnsi="宋体"/>
                <w:color w:val="auto"/>
                <w:highlight w:val="none"/>
              </w:rPr>
            </w:pPr>
          </w:p>
        </w:tc>
        <w:tc>
          <w:tcPr>
            <w:tcW w:w="1352" w:type="dxa"/>
            <w:tcBorders>
              <w:top w:val="single" w:color="auto" w:sz="12" w:space="0"/>
              <w:left w:val="single" w:color="auto" w:sz="6" w:space="0"/>
              <w:bottom w:val="double" w:color="auto" w:sz="6" w:space="0"/>
              <w:right w:val="single" w:color="auto" w:sz="6" w:space="0"/>
            </w:tcBorders>
          </w:tcPr>
          <w:p w14:paraId="11A9F2D3">
            <w:pPr>
              <w:pStyle w:val="19"/>
              <w:keepNext/>
              <w:spacing w:line="440" w:lineRule="exact"/>
              <w:ind w:left="420" w:right="63"/>
              <w:rPr>
                <w:rFonts w:hint="eastAsia" w:ascii="宋体" w:hAnsi="宋体"/>
                <w:color w:val="auto"/>
                <w:highlight w:val="none"/>
              </w:rPr>
            </w:pPr>
          </w:p>
        </w:tc>
        <w:tc>
          <w:tcPr>
            <w:tcW w:w="1418" w:type="dxa"/>
            <w:tcBorders>
              <w:top w:val="single" w:color="auto" w:sz="12" w:space="0"/>
              <w:left w:val="single" w:color="auto" w:sz="6" w:space="0"/>
              <w:bottom w:val="double" w:color="auto" w:sz="6" w:space="0"/>
              <w:right w:val="single" w:color="auto" w:sz="6" w:space="0"/>
            </w:tcBorders>
          </w:tcPr>
          <w:p w14:paraId="3FD54F03">
            <w:pPr>
              <w:pStyle w:val="19"/>
              <w:keepNext/>
              <w:spacing w:line="440" w:lineRule="exact"/>
              <w:ind w:left="420" w:right="63"/>
              <w:rPr>
                <w:rFonts w:hint="eastAsia" w:ascii="宋体" w:hAnsi="宋体"/>
                <w:color w:val="auto"/>
                <w:highlight w:val="none"/>
              </w:rPr>
            </w:pPr>
          </w:p>
        </w:tc>
        <w:tc>
          <w:tcPr>
            <w:tcW w:w="1701" w:type="dxa"/>
            <w:tcBorders>
              <w:top w:val="single" w:color="auto" w:sz="12" w:space="0"/>
              <w:left w:val="single" w:color="auto" w:sz="6" w:space="0"/>
              <w:bottom w:val="double" w:color="auto" w:sz="6" w:space="0"/>
              <w:right w:val="single" w:color="auto" w:sz="12" w:space="0"/>
            </w:tcBorders>
          </w:tcPr>
          <w:p w14:paraId="7544EF11">
            <w:pPr>
              <w:pStyle w:val="19"/>
              <w:keepNext/>
              <w:spacing w:line="440" w:lineRule="exact"/>
              <w:ind w:left="420" w:right="63"/>
              <w:rPr>
                <w:rFonts w:hint="eastAsia" w:ascii="宋体" w:hAnsi="宋体"/>
                <w:color w:val="auto"/>
                <w:highlight w:val="none"/>
              </w:rPr>
            </w:pPr>
          </w:p>
        </w:tc>
      </w:tr>
      <w:tr w14:paraId="4F43B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left w:val="single" w:color="auto" w:sz="12" w:space="0"/>
              <w:bottom w:val="single" w:color="auto" w:sz="6" w:space="0"/>
              <w:right w:val="single" w:color="auto" w:sz="6" w:space="0"/>
            </w:tcBorders>
          </w:tcPr>
          <w:p w14:paraId="06A3236C">
            <w:pPr>
              <w:pStyle w:val="19"/>
              <w:keepNext/>
              <w:spacing w:line="440" w:lineRule="exact"/>
              <w:ind w:left="420" w:right="63"/>
              <w:rPr>
                <w:rFonts w:hint="eastAsia" w:ascii="宋体" w:hAnsi="宋体"/>
                <w:color w:val="auto"/>
                <w:highlight w:val="none"/>
              </w:rPr>
            </w:pPr>
          </w:p>
        </w:tc>
        <w:tc>
          <w:tcPr>
            <w:tcW w:w="1984" w:type="dxa"/>
            <w:tcBorders>
              <w:top w:val="double" w:color="auto" w:sz="6" w:space="0"/>
              <w:left w:val="single" w:color="auto" w:sz="6" w:space="0"/>
              <w:bottom w:val="single" w:color="auto" w:sz="6" w:space="0"/>
              <w:right w:val="single" w:color="auto" w:sz="6" w:space="0"/>
            </w:tcBorders>
          </w:tcPr>
          <w:p w14:paraId="3B928D93">
            <w:pPr>
              <w:pStyle w:val="19"/>
              <w:keepNext/>
              <w:spacing w:line="440" w:lineRule="exact"/>
              <w:ind w:left="420" w:right="63"/>
              <w:rPr>
                <w:rFonts w:hint="eastAsia" w:ascii="宋体" w:hAnsi="宋体"/>
                <w:color w:val="auto"/>
                <w:highlight w:val="none"/>
              </w:rPr>
            </w:pPr>
          </w:p>
        </w:tc>
        <w:tc>
          <w:tcPr>
            <w:tcW w:w="851" w:type="dxa"/>
            <w:tcBorders>
              <w:top w:val="double" w:color="auto" w:sz="6" w:space="0"/>
              <w:left w:val="single" w:color="auto" w:sz="6" w:space="0"/>
              <w:bottom w:val="single" w:color="auto" w:sz="6" w:space="0"/>
              <w:right w:val="single" w:color="auto" w:sz="6" w:space="0"/>
            </w:tcBorders>
          </w:tcPr>
          <w:p w14:paraId="004E01BE">
            <w:pPr>
              <w:pStyle w:val="19"/>
              <w:keepNext/>
              <w:spacing w:line="440" w:lineRule="exact"/>
              <w:ind w:left="420" w:right="63"/>
              <w:rPr>
                <w:rFonts w:hint="eastAsia" w:ascii="宋体" w:hAnsi="宋体"/>
                <w:color w:val="auto"/>
                <w:highlight w:val="none"/>
              </w:rPr>
            </w:pPr>
          </w:p>
        </w:tc>
        <w:tc>
          <w:tcPr>
            <w:tcW w:w="774" w:type="dxa"/>
            <w:tcBorders>
              <w:top w:val="double" w:color="auto" w:sz="6" w:space="0"/>
              <w:left w:val="single" w:color="auto" w:sz="6" w:space="0"/>
              <w:bottom w:val="single" w:color="auto" w:sz="6" w:space="0"/>
              <w:right w:val="single" w:color="auto" w:sz="6" w:space="0"/>
            </w:tcBorders>
          </w:tcPr>
          <w:p w14:paraId="4BA5987C">
            <w:pPr>
              <w:pStyle w:val="19"/>
              <w:keepNext/>
              <w:spacing w:line="440" w:lineRule="exact"/>
              <w:ind w:left="420" w:right="63"/>
              <w:rPr>
                <w:rFonts w:hint="eastAsia" w:ascii="宋体" w:hAnsi="宋体"/>
                <w:color w:val="auto"/>
                <w:highlight w:val="none"/>
              </w:rPr>
            </w:pPr>
          </w:p>
        </w:tc>
        <w:tc>
          <w:tcPr>
            <w:tcW w:w="1352" w:type="dxa"/>
            <w:tcBorders>
              <w:top w:val="double" w:color="auto" w:sz="6" w:space="0"/>
              <w:left w:val="single" w:color="auto" w:sz="6" w:space="0"/>
              <w:bottom w:val="single" w:color="auto" w:sz="6" w:space="0"/>
              <w:right w:val="single" w:color="auto" w:sz="6" w:space="0"/>
            </w:tcBorders>
          </w:tcPr>
          <w:p w14:paraId="2AD7AB4F">
            <w:pPr>
              <w:pStyle w:val="19"/>
              <w:keepNext/>
              <w:spacing w:line="440" w:lineRule="exact"/>
              <w:ind w:left="420" w:right="63"/>
              <w:rPr>
                <w:rFonts w:hint="eastAsia" w:ascii="宋体" w:hAnsi="宋体"/>
                <w:color w:val="auto"/>
                <w:highlight w:val="none"/>
              </w:rPr>
            </w:pPr>
          </w:p>
        </w:tc>
        <w:tc>
          <w:tcPr>
            <w:tcW w:w="1418" w:type="dxa"/>
            <w:tcBorders>
              <w:top w:val="double" w:color="auto" w:sz="6" w:space="0"/>
              <w:left w:val="single" w:color="auto" w:sz="6" w:space="0"/>
              <w:bottom w:val="single" w:color="auto" w:sz="6" w:space="0"/>
              <w:right w:val="single" w:color="auto" w:sz="6" w:space="0"/>
            </w:tcBorders>
          </w:tcPr>
          <w:p w14:paraId="2ED3CAE5">
            <w:pPr>
              <w:pStyle w:val="19"/>
              <w:keepNext/>
              <w:spacing w:line="440" w:lineRule="exact"/>
              <w:ind w:left="420" w:right="63"/>
              <w:rPr>
                <w:rFonts w:hint="eastAsia" w:ascii="宋体" w:hAnsi="宋体"/>
                <w:color w:val="auto"/>
                <w:highlight w:val="none"/>
              </w:rPr>
            </w:pPr>
          </w:p>
        </w:tc>
        <w:tc>
          <w:tcPr>
            <w:tcW w:w="1701" w:type="dxa"/>
            <w:tcBorders>
              <w:top w:val="double" w:color="auto" w:sz="6" w:space="0"/>
              <w:left w:val="single" w:color="auto" w:sz="6" w:space="0"/>
              <w:bottom w:val="single" w:color="auto" w:sz="6" w:space="0"/>
              <w:right w:val="single" w:color="auto" w:sz="12" w:space="0"/>
            </w:tcBorders>
          </w:tcPr>
          <w:p w14:paraId="0E1B7AD4">
            <w:pPr>
              <w:pStyle w:val="19"/>
              <w:keepNext/>
              <w:spacing w:line="440" w:lineRule="exact"/>
              <w:ind w:left="420" w:right="63"/>
              <w:rPr>
                <w:rFonts w:hint="eastAsia" w:ascii="宋体" w:hAnsi="宋体"/>
                <w:color w:val="auto"/>
                <w:highlight w:val="none"/>
              </w:rPr>
            </w:pPr>
          </w:p>
        </w:tc>
      </w:tr>
      <w:tr w14:paraId="496A1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tcPr>
          <w:p w14:paraId="74B6ACB9">
            <w:pPr>
              <w:pStyle w:val="19"/>
              <w:keepNext/>
              <w:spacing w:line="440" w:lineRule="exact"/>
              <w:ind w:left="420" w:right="63"/>
              <w:rPr>
                <w:rFonts w:hint="eastAsia" w:ascii="宋体" w:hAnsi="宋体"/>
                <w:color w:val="auto"/>
                <w:highlight w:val="none"/>
              </w:rPr>
            </w:pPr>
          </w:p>
        </w:tc>
        <w:tc>
          <w:tcPr>
            <w:tcW w:w="1984" w:type="dxa"/>
            <w:tcBorders>
              <w:top w:val="nil"/>
              <w:left w:val="single" w:color="auto" w:sz="6" w:space="0"/>
              <w:bottom w:val="single" w:color="auto" w:sz="6" w:space="0"/>
              <w:right w:val="single" w:color="auto" w:sz="6" w:space="0"/>
            </w:tcBorders>
          </w:tcPr>
          <w:p w14:paraId="1F0D1B7D">
            <w:pPr>
              <w:pStyle w:val="19"/>
              <w:keepNext/>
              <w:spacing w:line="440" w:lineRule="exact"/>
              <w:ind w:left="420" w:right="63"/>
              <w:rPr>
                <w:rFonts w:hint="eastAsia" w:ascii="宋体" w:hAnsi="宋体"/>
                <w:color w:val="auto"/>
                <w:highlight w:val="none"/>
              </w:rPr>
            </w:pPr>
          </w:p>
        </w:tc>
        <w:tc>
          <w:tcPr>
            <w:tcW w:w="851" w:type="dxa"/>
            <w:tcBorders>
              <w:top w:val="nil"/>
              <w:left w:val="single" w:color="auto" w:sz="6" w:space="0"/>
              <w:bottom w:val="single" w:color="auto" w:sz="6" w:space="0"/>
              <w:right w:val="single" w:color="auto" w:sz="6" w:space="0"/>
            </w:tcBorders>
          </w:tcPr>
          <w:p w14:paraId="54E43BA3">
            <w:pPr>
              <w:pStyle w:val="19"/>
              <w:keepNext/>
              <w:spacing w:line="440" w:lineRule="exact"/>
              <w:ind w:left="420" w:right="63"/>
              <w:rPr>
                <w:rFonts w:hint="eastAsia" w:ascii="宋体" w:hAnsi="宋体"/>
                <w:color w:val="auto"/>
                <w:highlight w:val="none"/>
              </w:rPr>
            </w:pPr>
          </w:p>
        </w:tc>
        <w:tc>
          <w:tcPr>
            <w:tcW w:w="774" w:type="dxa"/>
            <w:tcBorders>
              <w:top w:val="nil"/>
              <w:left w:val="single" w:color="auto" w:sz="6" w:space="0"/>
              <w:bottom w:val="single" w:color="auto" w:sz="6" w:space="0"/>
              <w:right w:val="single" w:color="auto" w:sz="6" w:space="0"/>
            </w:tcBorders>
          </w:tcPr>
          <w:p w14:paraId="52D0C304">
            <w:pPr>
              <w:pStyle w:val="19"/>
              <w:keepNext/>
              <w:spacing w:line="440" w:lineRule="exact"/>
              <w:ind w:left="420" w:right="63"/>
              <w:rPr>
                <w:rFonts w:hint="eastAsia" w:ascii="宋体" w:hAnsi="宋体"/>
                <w:color w:val="auto"/>
                <w:highlight w:val="none"/>
              </w:rPr>
            </w:pPr>
          </w:p>
        </w:tc>
        <w:tc>
          <w:tcPr>
            <w:tcW w:w="1352" w:type="dxa"/>
            <w:tcBorders>
              <w:top w:val="nil"/>
              <w:left w:val="single" w:color="auto" w:sz="6" w:space="0"/>
              <w:bottom w:val="single" w:color="auto" w:sz="6" w:space="0"/>
              <w:right w:val="single" w:color="auto" w:sz="6" w:space="0"/>
            </w:tcBorders>
          </w:tcPr>
          <w:p w14:paraId="2DD65263">
            <w:pPr>
              <w:pStyle w:val="19"/>
              <w:keepNext/>
              <w:spacing w:line="440" w:lineRule="exact"/>
              <w:ind w:left="420" w:right="63"/>
              <w:rPr>
                <w:rFonts w:hint="eastAsia" w:ascii="宋体" w:hAnsi="宋体"/>
                <w:color w:val="auto"/>
                <w:highlight w:val="none"/>
              </w:rPr>
            </w:pPr>
          </w:p>
        </w:tc>
        <w:tc>
          <w:tcPr>
            <w:tcW w:w="1418" w:type="dxa"/>
            <w:tcBorders>
              <w:top w:val="nil"/>
              <w:left w:val="single" w:color="auto" w:sz="6" w:space="0"/>
              <w:bottom w:val="single" w:color="auto" w:sz="6" w:space="0"/>
              <w:right w:val="single" w:color="auto" w:sz="6" w:space="0"/>
            </w:tcBorders>
          </w:tcPr>
          <w:p w14:paraId="122362F4">
            <w:pPr>
              <w:pStyle w:val="19"/>
              <w:keepNext/>
              <w:spacing w:line="440" w:lineRule="exact"/>
              <w:ind w:left="420" w:right="63"/>
              <w:rPr>
                <w:rFonts w:hint="eastAsia" w:ascii="宋体" w:hAnsi="宋体"/>
                <w:color w:val="auto"/>
                <w:highlight w:val="none"/>
              </w:rPr>
            </w:pPr>
          </w:p>
        </w:tc>
        <w:tc>
          <w:tcPr>
            <w:tcW w:w="1701" w:type="dxa"/>
            <w:tcBorders>
              <w:top w:val="nil"/>
              <w:left w:val="single" w:color="auto" w:sz="6" w:space="0"/>
              <w:bottom w:val="single" w:color="auto" w:sz="6" w:space="0"/>
              <w:right w:val="single" w:color="auto" w:sz="12" w:space="0"/>
            </w:tcBorders>
          </w:tcPr>
          <w:p w14:paraId="7297ECF3">
            <w:pPr>
              <w:pStyle w:val="19"/>
              <w:keepNext/>
              <w:spacing w:line="440" w:lineRule="exact"/>
              <w:ind w:left="420" w:right="63"/>
              <w:rPr>
                <w:rFonts w:hint="eastAsia" w:ascii="宋体" w:hAnsi="宋体"/>
                <w:color w:val="auto"/>
                <w:highlight w:val="none"/>
              </w:rPr>
            </w:pPr>
          </w:p>
        </w:tc>
      </w:tr>
      <w:tr w14:paraId="59F1B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06E5FEC9">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06C0A56">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BD54A41">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108E5E42">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40C2B7C2">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91066A5">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553E8143">
            <w:pPr>
              <w:pStyle w:val="19"/>
              <w:keepNext/>
              <w:spacing w:line="440" w:lineRule="exact"/>
              <w:ind w:left="420" w:right="63"/>
              <w:rPr>
                <w:rFonts w:hint="eastAsia" w:ascii="宋体" w:hAnsi="宋体"/>
                <w:color w:val="auto"/>
                <w:highlight w:val="none"/>
              </w:rPr>
            </w:pPr>
          </w:p>
        </w:tc>
      </w:tr>
      <w:tr w14:paraId="04B96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2A4AB65C">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0F42AC82">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BE0BCD7">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47B92DC4">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61D91BF">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576D022F">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BF9AEF4">
            <w:pPr>
              <w:pStyle w:val="19"/>
              <w:keepNext/>
              <w:spacing w:line="440" w:lineRule="exact"/>
              <w:ind w:left="420" w:right="63"/>
              <w:rPr>
                <w:rFonts w:hint="eastAsia" w:ascii="宋体" w:hAnsi="宋体"/>
                <w:color w:val="auto"/>
                <w:highlight w:val="none"/>
              </w:rPr>
            </w:pPr>
          </w:p>
        </w:tc>
      </w:tr>
      <w:tr w14:paraId="54A6C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58979933">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ADD3190">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22C33AB4">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6AFD99E">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33C4E27">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B8EFA26">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71F3E54">
            <w:pPr>
              <w:pStyle w:val="19"/>
              <w:keepNext/>
              <w:spacing w:line="440" w:lineRule="exact"/>
              <w:ind w:left="420" w:right="63"/>
              <w:rPr>
                <w:rFonts w:hint="eastAsia" w:ascii="宋体" w:hAnsi="宋体"/>
                <w:color w:val="auto"/>
                <w:highlight w:val="none"/>
              </w:rPr>
            </w:pPr>
          </w:p>
        </w:tc>
      </w:tr>
      <w:tr w14:paraId="39FC2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1DB9FE21">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03570312">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C1D7D2A">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525793DE">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04D07CCD">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D506D15">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2175A9B4">
            <w:pPr>
              <w:pStyle w:val="19"/>
              <w:keepNext/>
              <w:spacing w:line="440" w:lineRule="exact"/>
              <w:ind w:left="420" w:right="63"/>
              <w:rPr>
                <w:rFonts w:hint="eastAsia" w:ascii="宋体" w:hAnsi="宋体"/>
                <w:color w:val="auto"/>
                <w:highlight w:val="none"/>
              </w:rPr>
            </w:pPr>
          </w:p>
        </w:tc>
      </w:tr>
      <w:tr w14:paraId="2DB2B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1984FDF3">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1E0F0495">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412F8F89">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58A25894">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72D0F7D">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6B81390">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1ED35D65">
            <w:pPr>
              <w:pStyle w:val="19"/>
              <w:keepNext/>
              <w:spacing w:line="440" w:lineRule="exact"/>
              <w:ind w:left="420" w:right="63"/>
              <w:rPr>
                <w:rFonts w:hint="eastAsia" w:ascii="宋体" w:hAnsi="宋体"/>
                <w:color w:val="auto"/>
                <w:highlight w:val="none"/>
              </w:rPr>
            </w:pPr>
          </w:p>
        </w:tc>
      </w:tr>
      <w:tr w14:paraId="59DDC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3CFAB378">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78C3D3AA">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B9C0F21">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7CFD2DE4">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7D679EB">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A0FEA0A">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6F9247EA">
            <w:pPr>
              <w:pStyle w:val="19"/>
              <w:keepNext/>
              <w:spacing w:line="440" w:lineRule="exact"/>
              <w:ind w:left="420" w:right="63"/>
              <w:rPr>
                <w:rFonts w:hint="eastAsia" w:ascii="宋体" w:hAnsi="宋体"/>
                <w:color w:val="auto"/>
                <w:highlight w:val="none"/>
              </w:rPr>
            </w:pPr>
          </w:p>
        </w:tc>
      </w:tr>
      <w:tr w14:paraId="44D00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2BC3BE7E">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0F6FA7EA">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49898211">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B4F99A6">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77C6361D">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A16FB50">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2EB3DA72">
            <w:pPr>
              <w:pStyle w:val="19"/>
              <w:keepNext/>
              <w:spacing w:line="440" w:lineRule="exact"/>
              <w:ind w:left="420" w:right="63"/>
              <w:rPr>
                <w:rFonts w:hint="eastAsia" w:ascii="宋体" w:hAnsi="宋体"/>
                <w:color w:val="auto"/>
                <w:highlight w:val="none"/>
              </w:rPr>
            </w:pPr>
          </w:p>
        </w:tc>
      </w:tr>
      <w:tr w14:paraId="2CFE8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tcPr>
          <w:p w14:paraId="7C59D1A8">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12" w:space="0"/>
              <w:right w:val="single" w:color="auto" w:sz="6" w:space="0"/>
            </w:tcBorders>
          </w:tcPr>
          <w:p w14:paraId="1CCD1B83">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12" w:space="0"/>
              <w:right w:val="single" w:color="auto" w:sz="6" w:space="0"/>
            </w:tcBorders>
          </w:tcPr>
          <w:p w14:paraId="03A51F46">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12" w:space="0"/>
              <w:right w:val="single" w:color="auto" w:sz="6" w:space="0"/>
            </w:tcBorders>
          </w:tcPr>
          <w:p w14:paraId="70AD7A1F">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12" w:space="0"/>
              <w:right w:val="single" w:color="auto" w:sz="6" w:space="0"/>
            </w:tcBorders>
          </w:tcPr>
          <w:p w14:paraId="4A32F238">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12" w:space="0"/>
              <w:right w:val="single" w:color="auto" w:sz="6" w:space="0"/>
            </w:tcBorders>
          </w:tcPr>
          <w:p w14:paraId="1F832B08">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12" w:space="0"/>
              <w:right w:val="single" w:color="auto" w:sz="12" w:space="0"/>
            </w:tcBorders>
          </w:tcPr>
          <w:p w14:paraId="06169FD6">
            <w:pPr>
              <w:pStyle w:val="19"/>
              <w:keepNext/>
              <w:spacing w:line="440" w:lineRule="exact"/>
              <w:ind w:left="420" w:right="63"/>
              <w:rPr>
                <w:rFonts w:hint="eastAsia" w:ascii="宋体" w:hAnsi="宋体"/>
                <w:color w:val="auto"/>
                <w:highlight w:val="none"/>
              </w:rPr>
            </w:pPr>
          </w:p>
        </w:tc>
      </w:tr>
    </w:tbl>
    <w:p w14:paraId="3B32A439">
      <w:pPr>
        <w:spacing w:before="156" w:beforeLines="50" w:after="156" w:afterLines="50" w:line="440" w:lineRule="exact"/>
        <w:jc w:val="center"/>
        <w:rPr>
          <w:rFonts w:hint="eastAsia" w:ascii="宋体" w:hAnsi="宋体" w:cs="宋体"/>
          <w:color w:val="auto"/>
          <w:szCs w:val="21"/>
          <w:highlight w:val="none"/>
        </w:rPr>
      </w:pPr>
    </w:p>
    <w:p w14:paraId="20D2FE18">
      <w:pPr>
        <w:spacing w:before="156" w:beforeLines="50" w:after="156" w:afterLines="50" w:line="440" w:lineRule="exact"/>
        <w:jc w:val="center"/>
        <w:rPr>
          <w:rFonts w:hint="eastAsia" w:ascii="宋体" w:hAnsi="宋体" w:cs="宋体"/>
          <w:color w:val="auto"/>
          <w:szCs w:val="21"/>
          <w:highlight w:val="none"/>
        </w:rPr>
      </w:pPr>
    </w:p>
    <w:p w14:paraId="596A9AF6">
      <w:pPr>
        <w:spacing w:before="156" w:beforeLines="50" w:after="156" w:afterLines="50" w:line="440" w:lineRule="exact"/>
        <w:jc w:val="center"/>
        <w:rPr>
          <w:rFonts w:hint="eastAsia" w:ascii="宋体" w:hAnsi="宋体" w:cs="宋体"/>
          <w:color w:val="auto"/>
          <w:szCs w:val="21"/>
          <w:highlight w:val="none"/>
        </w:rPr>
      </w:pPr>
    </w:p>
    <w:p w14:paraId="69C7AAB4">
      <w:pPr>
        <w:spacing w:before="156" w:beforeLines="50" w:after="156" w:afterLines="50" w:line="440" w:lineRule="exact"/>
        <w:jc w:val="center"/>
        <w:rPr>
          <w:rFonts w:hint="eastAsia" w:ascii="宋体" w:hAnsi="宋体" w:cs="宋体"/>
          <w:color w:val="auto"/>
          <w:szCs w:val="21"/>
          <w:highlight w:val="none"/>
        </w:rPr>
      </w:pPr>
    </w:p>
    <w:p w14:paraId="2BECA557">
      <w:pPr>
        <w:spacing w:before="156" w:beforeLines="50" w:after="156" w:afterLines="50" w:line="440" w:lineRule="exact"/>
        <w:jc w:val="center"/>
        <w:rPr>
          <w:rFonts w:hint="eastAsia" w:ascii="宋体" w:hAnsi="宋体" w:cs="宋体"/>
          <w:color w:val="auto"/>
          <w:szCs w:val="21"/>
          <w:highlight w:val="none"/>
        </w:rPr>
      </w:pPr>
    </w:p>
    <w:p w14:paraId="308FCE4D">
      <w:pPr>
        <w:spacing w:before="156" w:beforeLines="50" w:after="156" w:afterLines="50" w:line="440" w:lineRule="exact"/>
        <w:jc w:val="center"/>
        <w:rPr>
          <w:rFonts w:hint="eastAsia" w:ascii="宋体" w:hAnsi="宋体" w:cs="宋体"/>
          <w:color w:val="auto"/>
          <w:szCs w:val="21"/>
          <w:highlight w:val="none"/>
        </w:rPr>
      </w:pPr>
    </w:p>
    <w:p w14:paraId="17EA35B2">
      <w:pPr>
        <w:spacing w:before="156" w:beforeLines="50" w:after="156" w:afterLines="50" w:line="440" w:lineRule="exact"/>
        <w:jc w:val="center"/>
        <w:rPr>
          <w:rFonts w:hint="eastAsia" w:ascii="宋体" w:hAnsi="宋体" w:cs="宋体"/>
          <w:color w:val="auto"/>
          <w:szCs w:val="21"/>
          <w:highlight w:val="none"/>
        </w:rPr>
      </w:pPr>
    </w:p>
    <w:p w14:paraId="0F1A995A">
      <w:pPr>
        <w:spacing w:before="156" w:beforeLines="50" w:after="156" w:afterLines="50" w:line="440" w:lineRule="exact"/>
        <w:jc w:val="center"/>
        <w:rPr>
          <w:rFonts w:hint="eastAsia" w:ascii="宋体" w:hAnsi="宋体" w:cs="宋体"/>
          <w:color w:val="auto"/>
          <w:szCs w:val="21"/>
          <w:highlight w:val="none"/>
        </w:rPr>
      </w:pPr>
    </w:p>
    <w:p w14:paraId="0A79C134">
      <w:pPr>
        <w:spacing w:before="156" w:beforeLines="50" w:after="156" w:afterLines="50" w:line="440" w:lineRule="exact"/>
        <w:jc w:val="center"/>
        <w:rPr>
          <w:rFonts w:hint="eastAsia" w:ascii="宋体" w:hAnsi="宋体" w:cs="宋体"/>
          <w:color w:val="auto"/>
          <w:szCs w:val="21"/>
          <w:highlight w:val="none"/>
        </w:rPr>
      </w:pPr>
    </w:p>
    <w:p w14:paraId="7BF5A182">
      <w:pPr>
        <w:spacing w:before="156" w:beforeLines="50" w:after="156" w:afterLines="50" w:line="440" w:lineRule="exact"/>
        <w:jc w:val="center"/>
        <w:rPr>
          <w:rFonts w:hint="eastAsia" w:ascii="宋体" w:hAnsi="宋体" w:cs="宋体"/>
          <w:color w:val="auto"/>
          <w:szCs w:val="21"/>
          <w:highlight w:val="none"/>
        </w:rPr>
      </w:pPr>
    </w:p>
    <w:p w14:paraId="1941EC38">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10-2：工程设备暂估价表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73C8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left w:val="single" w:color="auto" w:sz="12" w:space="0"/>
              <w:bottom w:val="double" w:color="auto" w:sz="6" w:space="0"/>
              <w:right w:val="single" w:color="auto" w:sz="6" w:space="0"/>
            </w:tcBorders>
          </w:tcPr>
          <w:p w14:paraId="110FDAB7">
            <w:pPr>
              <w:pStyle w:val="19"/>
              <w:keepNext/>
              <w:spacing w:line="440" w:lineRule="exact"/>
              <w:ind w:left="420" w:right="63"/>
              <w:rPr>
                <w:rFonts w:hint="eastAsia" w:ascii="宋体" w:hAnsi="宋体"/>
                <w:color w:val="auto"/>
                <w:highlight w:val="none"/>
              </w:rPr>
            </w:pPr>
          </w:p>
        </w:tc>
        <w:tc>
          <w:tcPr>
            <w:tcW w:w="1984" w:type="dxa"/>
            <w:tcBorders>
              <w:top w:val="single" w:color="auto" w:sz="12" w:space="0"/>
              <w:left w:val="single" w:color="auto" w:sz="6" w:space="0"/>
              <w:bottom w:val="double" w:color="auto" w:sz="6" w:space="0"/>
              <w:right w:val="single" w:color="auto" w:sz="6" w:space="0"/>
            </w:tcBorders>
          </w:tcPr>
          <w:p w14:paraId="28466511">
            <w:pPr>
              <w:pStyle w:val="19"/>
              <w:keepNext/>
              <w:spacing w:line="440" w:lineRule="exact"/>
              <w:ind w:left="420" w:right="63"/>
              <w:rPr>
                <w:rFonts w:hint="eastAsia" w:ascii="宋体" w:hAnsi="宋体"/>
                <w:color w:val="auto"/>
                <w:highlight w:val="none"/>
              </w:rPr>
            </w:pPr>
          </w:p>
        </w:tc>
        <w:tc>
          <w:tcPr>
            <w:tcW w:w="851" w:type="dxa"/>
            <w:tcBorders>
              <w:top w:val="single" w:color="auto" w:sz="12" w:space="0"/>
              <w:left w:val="single" w:color="auto" w:sz="6" w:space="0"/>
              <w:bottom w:val="double" w:color="auto" w:sz="6" w:space="0"/>
              <w:right w:val="single" w:color="auto" w:sz="6" w:space="0"/>
            </w:tcBorders>
          </w:tcPr>
          <w:p w14:paraId="2F9FF4B3">
            <w:pPr>
              <w:pStyle w:val="19"/>
              <w:keepNext/>
              <w:spacing w:line="440" w:lineRule="exact"/>
              <w:ind w:left="420" w:right="63"/>
              <w:rPr>
                <w:rFonts w:hint="eastAsia" w:ascii="宋体" w:hAnsi="宋体"/>
                <w:color w:val="auto"/>
                <w:highlight w:val="none"/>
              </w:rPr>
            </w:pPr>
          </w:p>
        </w:tc>
        <w:tc>
          <w:tcPr>
            <w:tcW w:w="774" w:type="dxa"/>
            <w:tcBorders>
              <w:top w:val="single" w:color="auto" w:sz="12" w:space="0"/>
              <w:left w:val="single" w:color="auto" w:sz="6" w:space="0"/>
              <w:bottom w:val="double" w:color="auto" w:sz="6" w:space="0"/>
              <w:right w:val="single" w:color="auto" w:sz="6" w:space="0"/>
            </w:tcBorders>
          </w:tcPr>
          <w:p w14:paraId="267B415C">
            <w:pPr>
              <w:pStyle w:val="19"/>
              <w:keepNext/>
              <w:spacing w:line="440" w:lineRule="exact"/>
              <w:ind w:left="420" w:right="63"/>
              <w:rPr>
                <w:rFonts w:hint="eastAsia" w:ascii="宋体" w:hAnsi="宋体"/>
                <w:color w:val="auto"/>
                <w:highlight w:val="none"/>
              </w:rPr>
            </w:pPr>
          </w:p>
        </w:tc>
        <w:tc>
          <w:tcPr>
            <w:tcW w:w="1352" w:type="dxa"/>
            <w:tcBorders>
              <w:top w:val="single" w:color="auto" w:sz="12" w:space="0"/>
              <w:left w:val="single" w:color="auto" w:sz="6" w:space="0"/>
              <w:bottom w:val="double" w:color="auto" w:sz="6" w:space="0"/>
              <w:right w:val="single" w:color="auto" w:sz="6" w:space="0"/>
            </w:tcBorders>
          </w:tcPr>
          <w:p w14:paraId="61872117">
            <w:pPr>
              <w:pStyle w:val="19"/>
              <w:keepNext/>
              <w:spacing w:line="440" w:lineRule="exact"/>
              <w:ind w:left="420" w:right="63"/>
              <w:rPr>
                <w:rFonts w:hint="eastAsia" w:ascii="宋体" w:hAnsi="宋体"/>
                <w:color w:val="auto"/>
                <w:highlight w:val="none"/>
              </w:rPr>
            </w:pPr>
          </w:p>
        </w:tc>
        <w:tc>
          <w:tcPr>
            <w:tcW w:w="1418" w:type="dxa"/>
            <w:tcBorders>
              <w:top w:val="single" w:color="auto" w:sz="12" w:space="0"/>
              <w:left w:val="single" w:color="auto" w:sz="6" w:space="0"/>
              <w:bottom w:val="double" w:color="auto" w:sz="6" w:space="0"/>
              <w:right w:val="single" w:color="auto" w:sz="6" w:space="0"/>
            </w:tcBorders>
          </w:tcPr>
          <w:p w14:paraId="180D51D0">
            <w:pPr>
              <w:pStyle w:val="19"/>
              <w:keepNext/>
              <w:spacing w:line="440" w:lineRule="exact"/>
              <w:ind w:left="420" w:right="63"/>
              <w:rPr>
                <w:rFonts w:hint="eastAsia" w:ascii="宋体" w:hAnsi="宋体"/>
                <w:color w:val="auto"/>
                <w:highlight w:val="none"/>
              </w:rPr>
            </w:pPr>
          </w:p>
        </w:tc>
        <w:tc>
          <w:tcPr>
            <w:tcW w:w="1701" w:type="dxa"/>
            <w:tcBorders>
              <w:top w:val="single" w:color="auto" w:sz="12" w:space="0"/>
              <w:left w:val="single" w:color="auto" w:sz="6" w:space="0"/>
              <w:bottom w:val="double" w:color="auto" w:sz="6" w:space="0"/>
              <w:right w:val="single" w:color="auto" w:sz="12" w:space="0"/>
            </w:tcBorders>
          </w:tcPr>
          <w:p w14:paraId="520865F6">
            <w:pPr>
              <w:pStyle w:val="19"/>
              <w:keepNext/>
              <w:spacing w:line="440" w:lineRule="exact"/>
              <w:ind w:left="420" w:right="63"/>
              <w:rPr>
                <w:rFonts w:hint="eastAsia" w:ascii="宋体" w:hAnsi="宋体"/>
                <w:color w:val="auto"/>
                <w:highlight w:val="none"/>
              </w:rPr>
            </w:pPr>
          </w:p>
        </w:tc>
      </w:tr>
      <w:tr w14:paraId="14982B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left w:val="single" w:color="auto" w:sz="12" w:space="0"/>
              <w:bottom w:val="single" w:color="auto" w:sz="6" w:space="0"/>
              <w:right w:val="single" w:color="auto" w:sz="6" w:space="0"/>
            </w:tcBorders>
          </w:tcPr>
          <w:p w14:paraId="571CC0E5">
            <w:pPr>
              <w:pStyle w:val="19"/>
              <w:keepNext/>
              <w:spacing w:line="440" w:lineRule="exact"/>
              <w:ind w:left="420" w:right="63"/>
              <w:rPr>
                <w:rFonts w:hint="eastAsia" w:ascii="宋体" w:hAnsi="宋体"/>
                <w:color w:val="auto"/>
                <w:highlight w:val="none"/>
              </w:rPr>
            </w:pPr>
          </w:p>
        </w:tc>
        <w:tc>
          <w:tcPr>
            <w:tcW w:w="1984" w:type="dxa"/>
            <w:tcBorders>
              <w:top w:val="double" w:color="auto" w:sz="6" w:space="0"/>
              <w:left w:val="single" w:color="auto" w:sz="6" w:space="0"/>
              <w:bottom w:val="single" w:color="auto" w:sz="6" w:space="0"/>
              <w:right w:val="single" w:color="auto" w:sz="6" w:space="0"/>
            </w:tcBorders>
          </w:tcPr>
          <w:p w14:paraId="0520EDF5">
            <w:pPr>
              <w:pStyle w:val="19"/>
              <w:keepNext/>
              <w:spacing w:line="440" w:lineRule="exact"/>
              <w:ind w:left="420" w:right="63"/>
              <w:rPr>
                <w:rFonts w:hint="eastAsia" w:ascii="宋体" w:hAnsi="宋体"/>
                <w:color w:val="auto"/>
                <w:highlight w:val="none"/>
              </w:rPr>
            </w:pPr>
          </w:p>
        </w:tc>
        <w:tc>
          <w:tcPr>
            <w:tcW w:w="851" w:type="dxa"/>
            <w:tcBorders>
              <w:top w:val="double" w:color="auto" w:sz="6" w:space="0"/>
              <w:left w:val="single" w:color="auto" w:sz="6" w:space="0"/>
              <w:bottom w:val="single" w:color="auto" w:sz="6" w:space="0"/>
              <w:right w:val="single" w:color="auto" w:sz="6" w:space="0"/>
            </w:tcBorders>
          </w:tcPr>
          <w:p w14:paraId="5B557E88">
            <w:pPr>
              <w:pStyle w:val="19"/>
              <w:keepNext/>
              <w:spacing w:line="440" w:lineRule="exact"/>
              <w:ind w:left="420" w:right="63"/>
              <w:rPr>
                <w:rFonts w:hint="eastAsia" w:ascii="宋体" w:hAnsi="宋体"/>
                <w:color w:val="auto"/>
                <w:highlight w:val="none"/>
              </w:rPr>
            </w:pPr>
          </w:p>
        </w:tc>
        <w:tc>
          <w:tcPr>
            <w:tcW w:w="774" w:type="dxa"/>
            <w:tcBorders>
              <w:top w:val="double" w:color="auto" w:sz="6" w:space="0"/>
              <w:left w:val="single" w:color="auto" w:sz="6" w:space="0"/>
              <w:bottom w:val="single" w:color="auto" w:sz="6" w:space="0"/>
              <w:right w:val="single" w:color="auto" w:sz="6" w:space="0"/>
            </w:tcBorders>
          </w:tcPr>
          <w:p w14:paraId="79E41FE3">
            <w:pPr>
              <w:pStyle w:val="19"/>
              <w:keepNext/>
              <w:spacing w:line="440" w:lineRule="exact"/>
              <w:ind w:left="420" w:right="63"/>
              <w:rPr>
                <w:rFonts w:hint="eastAsia" w:ascii="宋体" w:hAnsi="宋体"/>
                <w:color w:val="auto"/>
                <w:highlight w:val="none"/>
              </w:rPr>
            </w:pPr>
          </w:p>
        </w:tc>
        <w:tc>
          <w:tcPr>
            <w:tcW w:w="1352" w:type="dxa"/>
            <w:tcBorders>
              <w:top w:val="double" w:color="auto" w:sz="6" w:space="0"/>
              <w:left w:val="single" w:color="auto" w:sz="6" w:space="0"/>
              <w:bottom w:val="single" w:color="auto" w:sz="6" w:space="0"/>
              <w:right w:val="single" w:color="auto" w:sz="6" w:space="0"/>
            </w:tcBorders>
          </w:tcPr>
          <w:p w14:paraId="3FA84AAA">
            <w:pPr>
              <w:pStyle w:val="19"/>
              <w:keepNext/>
              <w:spacing w:line="440" w:lineRule="exact"/>
              <w:ind w:left="420" w:right="63"/>
              <w:rPr>
                <w:rFonts w:hint="eastAsia" w:ascii="宋体" w:hAnsi="宋体"/>
                <w:color w:val="auto"/>
                <w:highlight w:val="none"/>
              </w:rPr>
            </w:pPr>
          </w:p>
        </w:tc>
        <w:tc>
          <w:tcPr>
            <w:tcW w:w="1418" w:type="dxa"/>
            <w:tcBorders>
              <w:top w:val="double" w:color="auto" w:sz="6" w:space="0"/>
              <w:left w:val="single" w:color="auto" w:sz="6" w:space="0"/>
              <w:bottom w:val="single" w:color="auto" w:sz="6" w:space="0"/>
              <w:right w:val="single" w:color="auto" w:sz="6" w:space="0"/>
            </w:tcBorders>
          </w:tcPr>
          <w:p w14:paraId="364537B2">
            <w:pPr>
              <w:pStyle w:val="19"/>
              <w:keepNext/>
              <w:spacing w:line="440" w:lineRule="exact"/>
              <w:ind w:left="420" w:right="63"/>
              <w:rPr>
                <w:rFonts w:hint="eastAsia" w:ascii="宋体" w:hAnsi="宋体"/>
                <w:color w:val="auto"/>
                <w:highlight w:val="none"/>
              </w:rPr>
            </w:pPr>
          </w:p>
        </w:tc>
        <w:tc>
          <w:tcPr>
            <w:tcW w:w="1701" w:type="dxa"/>
            <w:tcBorders>
              <w:top w:val="double" w:color="auto" w:sz="6" w:space="0"/>
              <w:left w:val="single" w:color="auto" w:sz="6" w:space="0"/>
              <w:bottom w:val="single" w:color="auto" w:sz="6" w:space="0"/>
              <w:right w:val="single" w:color="auto" w:sz="12" w:space="0"/>
            </w:tcBorders>
          </w:tcPr>
          <w:p w14:paraId="18767CA3">
            <w:pPr>
              <w:pStyle w:val="19"/>
              <w:keepNext/>
              <w:spacing w:line="440" w:lineRule="exact"/>
              <w:ind w:left="420" w:right="63"/>
              <w:rPr>
                <w:rFonts w:hint="eastAsia" w:ascii="宋体" w:hAnsi="宋体"/>
                <w:color w:val="auto"/>
                <w:highlight w:val="none"/>
              </w:rPr>
            </w:pPr>
          </w:p>
        </w:tc>
      </w:tr>
      <w:tr w14:paraId="4C5C3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tcPr>
          <w:p w14:paraId="2CDA9544">
            <w:pPr>
              <w:pStyle w:val="19"/>
              <w:keepNext/>
              <w:spacing w:line="440" w:lineRule="exact"/>
              <w:ind w:left="420" w:right="63"/>
              <w:rPr>
                <w:rFonts w:hint="eastAsia" w:ascii="宋体" w:hAnsi="宋体"/>
                <w:color w:val="auto"/>
                <w:highlight w:val="none"/>
              </w:rPr>
            </w:pPr>
          </w:p>
        </w:tc>
        <w:tc>
          <w:tcPr>
            <w:tcW w:w="1984" w:type="dxa"/>
            <w:tcBorders>
              <w:top w:val="nil"/>
              <w:left w:val="single" w:color="auto" w:sz="6" w:space="0"/>
              <w:bottom w:val="single" w:color="auto" w:sz="6" w:space="0"/>
              <w:right w:val="single" w:color="auto" w:sz="6" w:space="0"/>
            </w:tcBorders>
          </w:tcPr>
          <w:p w14:paraId="589D2DF0">
            <w:pPr>
              <w:pStyle w:val="19"/>
              <w:keepNext/>
              <w:spacing w:line="440" w:lineRule="exact"/>
              <w:ind w:left="420" w:right="63"/>
              <w:rPr>
                <w:rFonts w:hint="eastAsia" w:ascii="宋体" w:hAnsi="宋体"/>
                <w:color w:val="auto"/>
                <w:highlight w:val="none"/>
              </w:rPr>
            </w:pPr>
          </w:p>
        </w:tc>
        <w:tc>
          <w:tcPr>
            <w:tcW w:w="851" w:type="dxa"/>
            <w:tcBorders>
              <w:top w:val="nil"/>
              <w:left w:val="single" w:color="auto" w:sz="6" w:space="0"/>
              <w:bottom w:val="single" w:color="auto" w:sz="6" w:space="0"/>
              <w:right w:val="single" w:color="auto" w:sz="6" w:space="0"/>
            </w:tcBorders>
          </w:tcPr>
          <w:p w14:paraId="20F84108">
            <w:pPr>
              <w:pStyle w:val="19"/>
              <w:keepNext/>
              <w:spacing w:line="440" w:lineRule="exact"/>
              <w:ind w:left="420" w:right="63"/>
              <w:rPr>
                <w:rFonts w:hint="eastAsia" w:ascii="宋体" w:hAnsi="宋体"/>
                <w:color w:val="auto"/>
                <w:highlight w:val="none"/>
              </w:rPr>
            </w:pPr>
          </w:p>
        </w:tc>
        <w:tc>
          <w:tcPr>
            <w:tcW w:w="774" w:type="dxa"/>
            <w:tcBorders>
              <w:top w:val="nil"/>
              <w:left w:val="single" w:color="auto" w:sz="6" w:space="0"/>
              <w:bottom w:val="single" w:color="auto" w:sz="6" w:space="0"/>
              <w:right w:val="single" w:color="auto" w:sz="6" w:space="0"/>
            </w:tcBorders>
          </w:tcPr>
          <w:p w14:paraId="6EE39882">
            <w:pPr>
              <w:pStyle w:val="19"/>
              <w:keepNext/>
              <w:spacing w:line="440" w:lineRule="exact"/>
              <w:ind w:left="420" w:right="63"/>
              <w:rPr>
                <w:rFonts w:hint="eastAsia" w:ascii="宋体" w:hAnsi="宋体"/>
                <w:color w:val="auto"/>
                <w:highlight w:val="none"/>
              </w:rPr>
            </w:pPr>
          </w:p>
        </w:tc>
        <w:tc>
          <w:tcPr>
            <w:tcW w:w="1352" w:type="dxa"/>
            <w:tcBorders>
              <w:top w:val="nil"/>
              <w:left w:val="single" w:color="auto" w:sz="6" w:space="0"/>
              <w:bottom w:val="single" w:color="auto" w:sz="6" w:space="0"/>
              <w:right w:val="single" w:color="auto" w:sz="6" w:space="0"/>
            </w:tcBorders>
          </w:tcPr>
          <w:p w14:paraId="2C5EB3CE">
            <w:pPr>
              <w:pStyle w:val="19"/>
              <w:keepNext/>
              <w:spacing w:line="440" w:lineRule="exact"/>
              <w:ind w:left="420" w:right="63"/>
              <w:rPr>
                <w:rFonts w:hint="eastAsia" w:ascii="宋体" w:hAnsi="宋体"/>
                <w:color w:val="auto"/>
                <w:highlight w:val="none"/>
              </w:rPr>
            </w:pPr>
          </w:p>
        </w:tc>
        <w:tc>
          <w:tcPr>
            <w:tcW w:w="1418" w:type="dxa"/>
            <w:tcBorders>
              <w:top w:val="nil"/>
              <w:left w:val="single" w:color="auto" w:sz="6" w:space="0"/>
              <w:bottom w:val="single" w:color="auto" w:sz="6" w:space="0"/>
              <w:right w:val="single" w:color="auto" w:sz="6" w:space="0"/>
            </w:tcBorders>
          </w:tcPr>
          <w:p w14:paraId="4824B3FC">
            <w:pPr>
              <w:pStyle w:val="19"/>
              <w:keepNext/>
              <w:spacing w:line="440" w:lineRule="exact"/>
              <w:ind w:left="420" w:right="63"/>
              <w:rPr>
                <w:rFonts w:hint="eastAsia" w:ascii="宋体" w:hAnsi="宋体"/>
                <w:color w:val="auto"/>
                <w:highlight w:val="none"/>
              </w:rPr>
            </w:pPr>
          </w:p>
        </w:tc>
        <w:tc>
          <w:tcPr>
            <w:tcW w:w="1701" w:type="dxa"/>
            <w:tcBorders>
              <w:top w:val="nil"/>
              <w:left w:val="single" w:color="auto" w:sz="6" w:space="0"/>
              <w:bottom w:val="single" w:color="auto" w:sz="6" w:space="0"/>
              <w:right w:val="single" w:color="auto" w:sz="12" w:space="0"/>
            </w:tcBorders>
          </w:tcPr>
          <w:p w14:paraId="4319B5B2">
            <w:pPr>
              <w:pStyle w:val="19"/>
              <w:keepNext/>
              <w:spacing w:line="440" w:lineRule="exact"/>
              <w:ind w:left="420" w:right="63"/>
              <w:rPr>
                <w:rFonts w:hint="eastAsia" w:ascii="宋体" w:hAnsi="宋体"/>
                <w:color w:val="auto"/>
                <w:highlight w:val="none"/>
              </w:rPr>
            </w:pPr>
          </w:p>
        </w:tc>
      </w:tr>
      <w:tr w14:paraId="6C14E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09BA425A">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990285F">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A69AEC3">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0362380C">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A0CE997">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C6A3FC4">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631D09FC">
            <w:pPr>
              <w:pStyle w:val="19"/>
              <w:keepNext/>
              <w:spacing w:line="440" w:lineRule="exact"/>
              <w:ind w:left="420" w:right="63"/>
              <w:rPr>
                <w:rFonts w:hint="eastAsia" w:ascii="宋体" w:hAnsi="宋体"/>
                <w:color w:val="auto"/>
                <w:highlight w:val="none"/>
              </w:rPr>
            </w:pPr>
          </w:p>
        </w:tc>
      </w:tr>
      <w:tr w14:paraId="122F5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784F00DC">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09E0DEF4">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2D5E0D4">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21EE29C">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5E839FC">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905650C">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7F02316E">
            <w:pPr>
              <w:pStyle w:val="19"/>
              <w:keepNext/>
              <w:spacing w:line="440" w:lineRule="exact"/>
              <w:ind w:left="420" w:right="63"/>
              <w:rPr>
                <w:rFonts w:hint="eastAsia" w:ascii="宋体" w:hAnsi="宋体"/>
                <w:color w:val="auto"/>
                <w:highlight w:val="none"/>
              </w:rPr>
            </w:pPr>
          </w:p>
        </w:tc>
      </w:tr>
      <w:tr w14:paraId="13DEF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3C78322C">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6A29A124">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A17D624">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5F7F0AC7">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7CD5D1F">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C7A2629">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516B9B4">
            <w:pPr>
              <w:pStyle w:val="19"/>
              <w:keepNext/>
              <w:spacing w:line="440" w:lineRule="exact"/>
              <w:ind w:left="420" w:right="63"/>
              <w:rPr>
                <w:rFonts w:hint="eastAsia" w:ascii="宋体" w:hAnsi="宋体"/>
                <w:color w:val="auto"/>
                <w:highlight w:val="none"/>
              </w:rPr>
            </w:pPr>
          </w:p>
        </w:tc>
      </w:tr>
      <w:tr w14:paraId="259B9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6C490841">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8CE87C5">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63B689C">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2028EC8F">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5D07F327">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5080AC5">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7091D4BF">
            <w:pPr>
              <w:pStyle w:val="19"/>
              <w:keepNext/>
              <w:spacing w:line="440" w:lineRule="exact"/>
              <w:ind w:left="420" w:right="63"/>
              <w:rPr>
                <w:rFonts w:hint="eastAsia" w:ascii="宋体" w:hAnsi="宋体"/>
                <w:color w:val="auto"/>
                <w:highlight w:val="none"/>
              </w:rPr>
            </w:pPr>
          </w:p>
        </w:tc>
      </w:tr>
      <w:tr w14:paraId="3CBEE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5C2AE8D8">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75338985">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52FB877">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22C47E88">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736DDF4">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3EEDBC79">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16437D6">
            <w:pPr>
              <w:pStyle w:val="19"/>
              <w:keepNext/>
              <w:spacing w:line="440" w:lineRule="exact"/>
              <w:ind w:left="420" w:right="63"/>
              <w:rPr>
                <w:rFonts w:hint="eastAsia" w:ascii="宋体" w:hAnsi="宋体"/>
                <w:color w:val="auto"/>
                <w:highlight w:val="none"/>
              </w:rPr>
            </w:pPr>
          </w:p>
        </w:tc>
      </w:tr>
      <w:tr w14:paraId="251C8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03306D57">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73DF4764">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7C2CEA6">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77EA8DE">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01214271">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3FE8AD7">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721573E">
            <w:pPr>
              <w:pStyle w:val="19"/>
              <w:keepNext/>
              <w:spacing w:line="440" w:lineRule="exact"/>
              <w:ind w:left="420" w:right="63"/>
              <w:rPr>
                <w:rFonts w:hint="eastAsia" w:ascii="宋体" w:hAnsi="宋体"/>
                <w:color w:val="auto"/>
                <w:highlight w:val="none"/>
              </w:rPr>
            </w:pPr>
          </w:p>
        </w:tc>
      </w:tr>
      <w:tr w14:paraId="1459D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53157E78">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7AA191FD">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236A934B">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4AA16BCD">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DB18339">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E03DCD4">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53B708E">
            <w:pPr>
              <w:pStyle w:val="19"/>
              <w:keepNext/>
              <w:spacing w:line="440" w:lineRule="exact"/>
              <w:ind w:left="420" w:right="63"/>
              <w:rPr>
                <w:rFonts w:hint="eastAsia" w:ascii="宋体" w:hAnsi="宋体"/>
                <w:color w:val="auto"/>
                <w:highlight w:val="none"/>
              </w:rPr>
            </w:pPr>
          </w:p>
        </w:tc>
      </w:tr>
      <w:tr w14:paraId="0AEECE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54F21233">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65B112B4">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5277DF9">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7189997">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35C9116B">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DAE0E5C">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1969CD1F">
            <w:pPr>
              <w:pStyle w:val="19"/>
              <w:keepNext/>
              <w:spacing w:line="440" w:lineRule="exact"/>
              <w:ind w:left="420" w:right="63"/>
              <w:rPr>
                <w:rFonts w:hint="eastAsia" w:ascii="宋体" w:hAnsi="宋体"/>
                <w:color w:val="auto"/>
                <w:highlight w:val="none"/>
              </w:rPr>
            </w:pPr>
          </w:p>
        </w:tc>
      </w:tr>
      <w:tr w14:paraId="4E653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tcPr>
          <w:p w14:paraId="067E1682">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12" w:space="0"/>
              <w:right w:val="single" w:color="auto" w:sz="6" w:space="0"/>
            </w:tcBorders>
          </w:tcPr>
          <w:p w14:paraId="2E3237A5">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12" w:space="0"/>
              <w:right w:val="single" w:color="auto" w:sz="6" w:space="0"/>
            </w:tcBorders>
          </w:tcPr>
          <w:p w14:paraId="578D742E">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12" w:space="0"/>
              <w:right w:val="single" w:color="auto" w:sz="6" w:space="0"/>
            </w:tcBorders>
          </w:tcPr>
          <w:p w14:paraId="68AEEE3D">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12" w:space="0"/>
              <w:right w:val="single" w:color="auto" w:sz="6" w:space="0"/>
            </w:tcBorders>
          </w:tcPr>
          <w:p w14:paraId="19F678B9">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12" w:space="0"/>
              <w:right w:val="single" w:color="auto" w:sz="6" w:space="0"/>
            </w:tcBorders>
          </w:tcPr>
          <w:p w14:paraId="1F820D87">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12" w:space="0"/>
              <w:right w:val="single" w:color="auto" w:sz="12" w:space="0"/>
            </w:tcBorders>
          </w:tcPr>
          <w:p w14:paraId="5B4DAFFC">
            <w:pPr>
              <w:pStyle w:val="19"/>
              <w:keepNext/>
              <w:spacing w:line="440" w:lineRule="exact"/>
              <w:ind w:left="420" w:right="63"/>
              <w:rPr>
                <w:rFonts w:hint="eastAsia" w:ascii="宋体" w:hAnsi="宋体"/>
                <w:color w:val="auto"/>
                <w:highlight w:val="none"/>
              </w:rPr>
            </w:pPr>
          </w:p>
        </w:tc>
      </w:tr>
    </w:tbl>
    <w:p w14:paraId="1CCA02F2">
      <w:pPr>
        <w:spacing w:line="440" w:lineRule="exact"/>
        <w:rPr>
          <w:rFonts w:hint="eastAsia" w:ascii="宋体" w:hAnsi="宋体" w:cs="宋体"/>
          <w:color w:val="auto"/>
          <w:szCs w:val="21"/>
          <w:highlight w:val="none"/>
        </w:rPr>
      </w:pPr>
    </w:p>
    <w:p w14:paraId="0CDFD01D">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10-3：专业工程暂估价表</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50F2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left w:val="single" w:color="auto" w:sz="12" w:space="0"/>
              <w:bottom w:val="double" w:color="auto" w:sz="6" w:space="0"/>
              <w:right w:val="single" w:color="auto" w:sz="6" w:space="0"/>
            </w:tcBorders>
          </w:tcPr>
          <w:p w14:paraId="013FA5FB">
            <w:pPr>
              <w:pStyle w:val="19"/>
              <w:keepNext/>
              <w:spacing w:line="440" w:lineRule="exact"/>
              <w:ind w:left="420" w:right="63"/>
              <w:rPr>
                <w:rFonts w:hint="eastAsia" w:ascii="宋体" w:hAnsi="宋体"/>
                <w:color w:val="auto"/>
                <w:highlight w:val="none"/>
              </w:rPr>
            </w:pPr>
          </w:p>
        </w:tc>
        <w:tc>
          <w:tcPr>
            <w:tcW w:w="1984" w:type="dxa"/>
            <w:tcBorders>
              <w:top w:val="single" w:color="auto" w:sz="12" w:space="0"/>
              <w:left w:val="single" w:color="auto" w:sz="6" w:space="0"/>
              <w:bottom w:val="double" w:color="auto" w:sz="6" w:space="0"/>
              <w:right w:val="single" w:color="auto" w:sz="6" w:space="0"/>
            </w:tcBorders>
          </w:tcPr>
          <w:p w14:paraId="01CF3F91">
            <w:pPr>
              <w:pStyle w:val="19"/>
              <w:keepNext/>
              <w:spacing w:line="440" w:lineRule="exact"/>
              <w:ind w:left="420" w:right="63"/>
              <w:rPr>
                <w:rFonts w:hint="eastAsia" w:ascii="宋体" w:hAnsi="宋体"/>
                <w:color w:val="auto"/>
                <w:highlight w:val="none"/>
              </w:rPr>
            </w:pPr>
          </w:p>
        </w:tc>
        <w:tc>
          <w:tcPr>
            <w:tcW w:w="851" w:type="dxa"/>
            <w:tcBorders>
              <w:top w:val="single" w:color="auto" w:sz="12" w:space="0"/>
              <w:left w:val="single" w:color="auto" w:sz="6" w:space="0"/>
              <w:bottom w:val="double" w:color="auto" w:sz="6" w:space="0"/>
              <w:right w:val="single" w:color="auto" w:sz="6" w:space="0"/>
            </w:tcBorders>
          </w:tcPr>
          <w:p w14:paraId="06C645B1">
            <w:pPr>
              <w:pStyle w:val="19"/>
              <w:keepNext/>
              <w:spacing w:line="440" w:lineRule="exact"/>
              <w:ind w:left="420" w:right="63"/>
              <w:rPr>
                <w:rFonts w:hint="eastAsia" w:ascii="宋体" w:hAnsi="宋体"/>
                <w:color w:val="auto"/>
                <w:highlight w:val="none"/>
              </w:rPr>
            </w:pPr>
          </w:p>
        </w:tc>
        <w:tc>
          <w:tcPr>
            <w:tcW w:w="774" w:type="dxa"/>
            <w:tcBorders>
              <w:top w:val="single" w:color="auto" w:sz="12" w:space="0"/>
              <w:left w:val="single" w:color="auto" w:sz="6" w:space="0"/>
              <w:bottom w:val="double" w:color="auto" w:sz="6" w:space="0"/>
              <w:right w:val="single" w:color="auto" w:sz="6" w:space="0"/>
            </w:tcBorders>
          </w:tcPr>
          <w:p w14:paraId="7F6C561F">
            <w:pPr>
              <w:pStyle w:val="19"/>
              <w:keepNext/>
              <w:spacing w:line="440" w:lineRule="exact"/>
              <w:ind w:left="420" w:right="63"/>
              <w:rPr>
                <w:rFonts w:hint="eastAsia" w:ascii="宋体" w:hAnsi="宋体"/>
                <w:color w:val="auto"/>
                <w:highlight w:val="none"/>
              </w:rPr>
            </w:pPr>
          </w:p>
        </w:tc>
        <w:tc>
          <w:tcPr>
            <w:tcW w:w="1352" w:type="dxa"/>
            <w:tcBorders>
              <w:top w:val="single" w:color="auto" w:sz="12" w:space="0"/>
              <w:left w:val="single" w:color="auto" w:sz="6" w:space="0"/>
              <w:bottom w:val="double" w:color="auto" w:sz="6" w:space="0"/>
              <w:right w:val="single" w:color="auto" w:sz="6" w:space="0"/>
            </w:tcBorders>
          </w:tcPr>
          <w:p w14:paraId="7A30EB60">
            <w:pPr>
              <w:pStyle w:val="19"/>
              <w:keepNext/>
              <w:spacing w:line="440" w:lineRule="exact"/>
              <w:ind w:left="420" w:right="63"/>
              <w:rPr>
                <w:rFonts w:hint="eastAsia" w:ascii="宋体" w:hAnsi="宋体"/>
                <w:color w:val="auto"/>
                <w:highlight w:val="none"/>
              </w:rPr>
            </w:pPr>
          </w:p>
        </w:tc>
        <w:tc>
          <w:tcPr>
            <w:tcW w:w="1418" w:type="dxa"/>
            <w:tcBorders>
              <w:top w:val="single" w:color="auto" w:sz="12" w:space="0"/>
              <w:left w:val="single" w:color="auto" w:sz="6" w:space="0"/>
              <w:bottom w:val="double" w:color="auto" w:sz="6" w:space="0"/>
              <w:right w:val="single" w:color="auto" w:sz="6" w:space="0"/>
            </w:tcBorders>
          </w:tcPr>
          <w:p w14:paraId="41C2BC62">
            <w:pPr>
              <w:pStyle w:val="19"/>
              <w:keepNext/>
              <w:spacing w:line="440" w:lineRule="exact"/>
              <w:ind w:left="420" w:right="63"/>
              <w:rPr>
                <w:rFonts w:hint="eastAsia" w:ascii="宋体" w:hAnsi="宋体"/>
                <w:color w:val="auto"/>
                <w:highlight w:val="none"/>
              </w:rPr>
            </w:pPr>
          </w:p>
        </w:tc>
        <w:tc>
          <w:tcPr>
            <w:tcW w:w="1701" w:type="dxa"/>
            <w:tcBorders>
              <w:top w:val="single" w:color="auto" w:sz="12" w:space="0"/>
              <w:left w:val="single" w:color="auto" w:sz="6" w:space="0"/>
              <w:bottom w:val="double" w:color="auto" w:sz="6" w:space="0"/>
              <w:right w:val="single" w:color="auto" w:sz="12" w:space="0"/>
            </w:tcBorders>
          </w:tcPr>
          <w:p w14:paraId="66C1D4D7">
            <w:pPr>
              <w:pStyle w:val="19"/>
              <w:keepNext/>
              <w:spacing w:line="440" w:lineRule="exact"/>
              <w:ind w:left="420" w:right="63"/>
              <w:rPr>
                <w:rFonts w:hint="eastAsia" w:ascii="宋体" w:hAnsi="宋体"/>
                <w:color w:val="auto"/>
                <w:highlight w:val="none"/>
              </w:rPr>
            </w:pPr>
          </w:p>
        </w:tc>
      </w:tr>
      <w:tr w14:paraId="3C3B4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20B54079">
            <w:pPr>
              <w:pStyle w:val="19"/>
              <w:keepNext/>
              <w:spacing w:line="440" w:lineRule="exact"/>
              <w:ind w:left="420" w:right="63"/>
              <w:rPr>
                <w:rFonts w:hint="eastAsia" w:ascii="宋体" w:hAnsi="宋体"/>
                <w:color w:val="auto"/>
                <w:highlight w:val="none"/>
              </w:rPr>
            </w:pPr>
          </w:p>
        </w:tc>
        <w:tc>
          <w:tcPr>
            <w:tcW w:w="1984" w:type="dxa"/>
            <w:tcBorders>
              <w:top w:val="double" w:color="auto" w:sz="6" w:space="0"/>
              <w:left w:val="single" w:color="auto" w:sz="6" w:space="0"/>
              <w:bottom w:val="single" w:color="auto" w:sz="6" w:space="0"/>
              <w:right w:val="single" w:color="auto" w:sz="6" w:space="0"/>
            </w:tcBorders>
          </w:tcPr>
          <w:p w14:paraId="64772D2F">
            <w:pPr>
              <w:pStyle w:val="19"/>
              <w:keepNext/>
              <w:spacing w:line="440" w:lineRule="exact"/>
              <w:ind w:left="420" w:right="63"/>
              <w:rPr>
                <w:rFonts w:hint="eastAsia" w:ascii="宋体" w:hAnsi="宋体"/>
                <w:color w:val="auto"/>
                <w:highlight w:val="none"/>
              </w:rPr>
            </w:pPr>
          </w:p>
        </w:tc>
        <w:tc>
          <w:tcPr>
            <w:tcW w:w="851" w:type="dxa"/>
            <w:tcBorders>
              <w:top w:val="double" w:color="auto" w:sz="6" w:space="0"/>
              <w:left w:val="single" w:color="auto" w:sz="6" w:space="0"/>
              <w:bottom w:val="single" w:color="auto" w:sz="6" w:space="0"/>
              <w:right w:val="single" w:color="auto" w:sz="6" w:space="0"/>
            </w:tcBorders>
          </w:tcPr>
          <w:p w14:paraId="4B0D4C00">
            <w:pPr>
              <w:pStyle w:val="19"/>
              <w:keepNext/>
              <w:spacing w:line="440" w:lineRule="exact"/>
              <w:ind w:left="420" w:right="63"/>
              <w:rPr>
                <w:rFonts w:hint="eastAsia" w:ascii="宋体" w:hAnsi="宋体"/>
                <w:color w:val="auto"/>
                <w:highlight w:val="none"/>
              </w:rPr>
            </w:pPr>
          </w:p>
        </w:tc>
        <w:tc>
          <w:tcPr>
            <w:tcW w:w="774" w:type="dxa"/>
            <w:tcBorders>
              <w:top w:val="double" w:color="auto" w:sz="6" w:space="0"/>
              <w:left w:val="single" w:color="auto" w:sz="6" w:space="0"/>
              <w:bottom w:val="single" w:color="auto" w:sz="6" w:space="0"/>
              <w:right w:val="single" w:color="auto" w:sz="6" w:space="0"/>
            </w:tcBorders>
          </w:tcPr>
          <w:p w14:paraId="5829735E">
            <w:pPr>
              <w:pStyle w:val="19"/>
              <w:keepNext/>
              <w:spacing w:line="440" w:lineRule="exact"/>
              <w:ind w:left="420" w:right="63"/>
              <w:rPr>
                <w:rFonts w:hint="eastAsia" w:ascii="宋体" w:hAnsi="宋体"/>
                <w:color w:val="auto"/>
                <w:highlight w:val="none"/>
              </w:rPr>
            </w:pPr>
          </w:p>
        </w:tc>
        <w:tc>
          <w:tcPr>
            <w:tcW w:w="1352" w:type="dxa"/>
            <w:tcBorders>
              <w:top w:val="double" w:color="auto" w:sz="6" w:space="0"/>
              <w:left w:val="single" w:color="auto" w:sz="6" w:space="0"/>
              <w:bottom w:val="single" w:color="auto" w:sz="6" w:space="0"/>
              <w:right w:val="single" w:color="auto" w:sz="6" w:space="0"/>
            </w:tcBorders>
          </w:tcPr>
          <w:p w14:paraId="493BAF0B">
            <w:pPr>
              <w:pStyle w:val="19"/>
              <w:keepNext/>
              <w:spacing w:line="440" w:lineRule="exact"/>
              <w:ind w:left="420" w:right="63"/>
              <w:rPr>
                <w:rFonts w:hint="eastAsia" w:ascii="宋体" w:hAnsi="宋体"/>
                <w:color w:val="auto"/>
                <w:highlight w:val="none"/>
              </w:rPr>
            </w:pPr>
          </w:p>
        </w:tc>
        <w:tc>
          <w:tcPr>
            <w:tcW w:w="1418" w:type="dxa"/>
            <w:tcBorders>
              <w:top w:val="double" w:color="auto" w:sz="6" w:space="0"/>
              <w:left w:val="single" w:color="auto" w:sz="6" w:space="0"/>
              <w:bottom w:val="single" w:color="auto" w:sz="6" w:space="0"/>
              <w:right w:val="single" w:color="auto" w:sz="6" w:space="0"/>
            </w:tcBorders>
          </w:tcPr>
          <w:p w14:paraId="11B7274B">
            <w:pPr>
              <w:pStyle w:val="19"/>
              <w:keepNext/>
              <w:spacing w:line="440" w:lineRule="exact"/>
              <w:ind w:left="420" w:right="63"/>
              <w:rPr>
                <w:rFonts w:hint="eastAsia" w:ascii="宋体" w:hAnsi="宋体"/>
                <w:color w:val="auto"/>
                <w:highlight w:val="none"/>
              </w:rPr>
            </w:pPr>
          </w:p>
        </w:tc>
        <w:tc>
          <w:tcPr>
            <w:tcW w:w="1701" w:type="dxa"/>
            <w:tcBorders>
              <w:top w:val="double" w:color="auto" w:sz="6" w:space="0"/>
              <w:left w:val="single" w:color="auto" w:sz="6" w:space="0"/>
              <w:bottom w:val="single" w:color="auto" w:sz="6" w:space="0"/>
              <w:right w:val="single" w:color="auto" w:sz="12" w:space="0"/>
            </w:tcBorders>
          </w:tcPr>
          <w:p w14:paraId="3A6B2A1C">
            <w:pPr>
              <w:pStyle w:val="19"/>
              <w:keepNext/>
              <w:spacing w:line="440" w:lineRule="exact"/>
              <w:ind w:left="420" w:right="63"/>
              <w:rPr>
                <w:rFonts w:hint="eastAsia" w:ascii="宋体" w:hAnsi="宋体"/>
                <w:color w:val="auto"/>
                <w:highlight w:val="none"/>
              </w:rPr>
            </w:pPr>
          </w:p>
        </w:tc>
      </w:tr>
      <w:tr w14:paraId="5E6D1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483B5123">
            <w:pPr>
              <w:pStyle w:val="19"/>
              <w:keepNext/>
              <w:spacing w:line="440" w:lineRule="exact"/>
              <w:ind w:left="420" w:right="63"/>
              <w:rPr>
                <w:rFonts w:hint="eastAsia" w:ascii="宋体" w:hAnsi="宋体"/>
                <w:color w:val="auto"/>
                <w:highlight w:val="none"/>
              </w:rPr>
            </w:pPr>
          </w:p>
        </w:tc>
        <w:tc>
          <w:tcPr>
            <w:tcW w:w="1984" w:type="dxa"/>
            <w:tcBorders>
              <w:top w:val="nil"/>
              <w:left w:val="single" w:color="auto" w:sz="6" w:space="0"/>
              <w:bottom w:val="single" w:color="auto" w:sz="6" w:space="0"/>
              <w:right w:val="single" w:color="auto" w:sz="6" w:space="0"/>
            </w:tcBorders>
          </w:tcPr>
          <w:p w14:paraId="26A47525">
            <w:pPr>
              <w:pStyle w:val="19"/>
              <w:keepNext/>
              <w:spacing w:line="440" w:lineRule="exact"/>
              <w:ind w:left="420" w:right="63"/>
              <w:rPr>
                <w:rFonts w:hint="eastAsia" w:ascii="宋体" w:hAnsi="宋体"/>
                <w:color w:val="auto"/>
                <w:highlight w:val="none"/>
              </w:rPr>
            </w:pPr>
          </w:p>
        </w:tc>
        <w:tc>
          <w:tcPr>
            <w:tcW w:w="851" w:type="dxa"/>
            <w:tcBorders>
              <w:top w:val="nil"/>
              <w:left w:val="single" w:color="auto" w:sz="6" w:space="0"/>
              <w:bottom w:val="single" w:color="auto" w:sz="6" w:space="0"/>
              <w:right w:val="single" w:color="auto" w:sz="6" w:space="0"/>
            </w:tcBorders>
          </w:tcPr>
          <w:p w14:paraId="0E2EE695">
            <w:pPr>
              <w:pStyle w:val="19"/>
              <w:keepNext/>
              <w:spacing w:line="440" w:lineRule="exact"/>
              <w:ind w:left="420" w:right="63"/>
              <w:rPr>
                <w:rFonts w:hint="eastAsia" w:ascii="宋体" w:hAnsi="宋体"/>
                <w:color w:val="auto"/>
                <w:highlight w:val="none"/>
              </w:rPr>
            </w:pPr>
          </w:p>
        </w:tc>
        <w:tc>
          <w:tcPr>
            <w:tcW w:w="774" w:type="dxa"/>
            <w:tcBorders>
              <w:top w:val="nil"/>
              <w:left w:val="single" w:color="auto" w:sz="6" w:space="0"/>
              <w:bottom w:val="single" w:color="auto" w:sz="6" w:space="0"/>
              <w:right w:val="single" w:color="auto" w:sz="6" w:space="0"/>
            </w:tcBorders>
          </w:tcPr>
          <w:p w14:paraId="3850A950">
            <w:pPr>
              <w:pStyle w:val="19"/>
              <w:keepNext/>
              <w:spacing w:line="440" w:lineRule="exact"/>
              <w:ind w:left="420" w:right="63"/>
              <w:rPr>
                <w:rFonts w:hint="eastAsia" w:ascii="宋体" w:hAnsi="宋体"/>
                <w:color w:val="auto"/>
                <w:highlight w:val="none"/>
              </w:rPr>
            </w:pPr>
          </w:p>
        </w:tc>
        <w:tc>
          <w:tcPr>
            <w:tcW w:w="1352" w:type="dxa"/>
            <w:tcBorders>
              <w:top w:val="nil"/>
              <w:left w:val="single" w:color="auto" w:sz="6" w:space="0"/>
              <w:bottom w:val="single" w:color="auto" w:sz="6" w:space="0"/>
              <w:right w:val="single" w:color="auto" w:sz="6" w:space="0"/>
            </w:tcBorders>
          </w:tcPr>
          <w:p w14:paraId="097C2AF9">
            <w:pPr>
              <w:pStyle w:val="19"/>
              <w:keepNext/>
              <w:spacing w:line="440" w:lineRule="exact"/>
              <w:ind w:left="420" w:right="63"/>
              <w:rPr>
                <w:rFonts w:hint="eastAsia" w:ascii="宋体" w:hAnsi="宋体"/>
                <w:color w:val="auto"/>
                <w:highlight w:val="none"/>
              </w:rPr>
            </w:pPr>
          </w:p>
        </w:tc>
        <w:tc>
          <w:tcPr>
            <w:tcW w:w="1418" w:type="dxa"/>
            <w:tcBorders>
              <w:top w:val="nil"/>
              <w:left w:val="single" w:color="auto" w:sz="6" w:space="0"/>
              <w:bottom w:val="single" w:color="auto" w:sz="6" w:space="0"/>
              <w:right w:val="single" w:color="auto" w:sz="6" w:space="0"/>
            </w:tcBorders>
          </w:tcPr>
          <w:p w14:paraId="7B893BD0">
            <w:pPr>
              <w:pStyle w:val="19"/>
              <w:keepNext/>
              <w:spacing w:line="440" w:lineRule="exact"/>
              <w:ind w:left="420" w:right="63"/>
              <w:rPr>
                <w:rFonts w:hint="eastAsia" w:ascii="宋体" w:hAnsi="宋体"/>
                <w:color w:val="auto"/>
                <w:highlight w:val="none"/>
              </w:rPr>
            </w:pPr>
          </w:p>
        </w:tc>
        <w:tc>
          <w:tcPr>
            <w:tcW w:w="1701" w:type="dxa"/>
            <w:tcBorders>
              <w:top w:val="nil"/>
              <w:left w:val="single" w:color="auto" w:sz="6" w:space="0"/>
              <w:bottom w:val="single" w:color="auto" w:sz="6" w:space="0"/>
              <w:right w:val="single" w:color="auto" w:sz="12" w:space="0"/>
            </w:tcBorders>
          </w:tcPr>
          <w:p w14:paraId="5AC8A4F4">
            <w:pPr>
              <w:pStyle w:val="19"/>
              <w:keepNext/>
              <w:spacing w:line="440" w:lineRule="exact"/>
              <w:ind w:left="420" w:right="63"/>
              <w:rPr>
                <w:rFonts w:hint="eastAsia" w:ascii="宋体" w:hAnsi="宋体"/>
                <w:color w:val="auto"/>
                <w:highlight w:val="none"/>
              </w:rPr>
            </w:pPr>
          </w:p>
        </w:tc>
      </w:tr>
      <w:tr w14:paraId="2083C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93FE5C5">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35E66E5">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79E3F1A">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2CE78F1B">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4A69BD4C">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558FF92E">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F573B1F">
            <w:pPr>
              <w:pStyle w:val="19"/>
              <w:keepNext/>
              <w:spacing w:line="440" w:lineRule="exact"/>
              <w:ind w:left="420" w:right="63"/>
              <w:rPr>
                <w:rFonts w:hint="eastAsia" w:ascii="宋体" w:hAnsi="宋体"/>
                <w:color w:val="auto"/>
                <w:highlight w:val="none"/>
              </w:rPr>
            </w:pPr>
          </w:p>
        </w:tc>
      </w:tr>
      <w:tr w14:paraId="29AD9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B55E689">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297A09D6">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49D81828">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02237FF7">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6F0DA82">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0FB746A">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9ADC00D">
            <w:pPr>
              <w:pStyle w:val="19"/>
              <w:keepNext/>
              <w:spacing w:line="440" w:lineRule="exact"/>
              <w:ind w:left="420" w:right="63"/>
              <w:rPr>
                <w:rFonts w:hint="eastAsia" w:ascii="宋体" w:hAnsi="宋体"/>
                <w:color w:val="auto"/>
                <w:highlight w:val="none"/>
              </w:rPr>
            </w:pPr>
          </w:p>
        </w:tc>
      </w:tr>
      <w:tr w14:paraId="08643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4D62C58">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276FEA29">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B76F799">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E054DBE">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5C8475D2">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60A8E69C">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AA3C909">
            <w:pPr>
              <w:pStyle w:val="19"/>
              <w:keepNext/>
              <w:spacing w:line="440" w:lineRule="exact"/>
              <w:ind w:left="420" w:right="63"/>
              <w:rPr>
                <w:rFonts w:hint="eastAsia" w:ascii="宋体" w:hAnsi="宋体"/>
                <w:color w:val="auto"/>
                <w:highlight w:val="none"/>
              </w:rPr>
            </w:pPr>
          </w:p>
        </w:tc>
      </w:tr>
      <w:tr w14:paraId="050B7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81F97F8">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3F15AF94">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DFD9A3B">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45129EA1">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765C4E1E">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E2DC79D">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D4FAF78">
            <w:pPr>
              <w:pStyle w:val="19"/>
              <w:keepNext/>
              <w:spacing w:line="440" w:lineRule="exact"/>
              <w:ind w:left="420" w:right="63"/>
              <w:rPr>
                <w:rFonts w:hint="eastAsia" w:ascii="宋体" w:hAnsi="宋体"/>
                <w:color w:val="auto"/>
                <w:highlight w:val="none"/>
              </w:rPr>
            </w:pPr>
          </w:p>
        </w:tc>
      </w:tr>
      <w:tr w14:paraId="26813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49ABA81">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5EF1A0B5">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76AF2248">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7C31EE4">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5384D8AF">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2A7992D5">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1502C661">
            <w:pPr>
              <w:pStyle w:val="19"/>
              <w:keepNext/>
              <w:spacing w:line="440" w:lineRule="exact"/>
              <w:ind w:left="420" w:right="63"/>
              <w:rPr>
                <w:rFonts w:hint="eastAsia" w:ascii="宋体" w:hAnsi="宋体"/>
                <w:color w:val="auto"/>
                <w:highlight w:val="none"/>
              </w:rPr>
            </w:pPr>
          </w:p>
        </w:tc>
      </w:tr>
      <w:tr w14:paraId="5D9E82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658C8BF">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571A0FC4">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DDBBDE1">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121014E4">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0DFE327E">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6BE3C012">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1B4C6A80">
            <w:pPr>
              <w:pStyle w:val="19"/>
              <w:keepNext/>
              <w:spacing w:line="440" w:lineRule="exact"/>
              <w:ind w:left="420" w:right="63"/>
              <w:rPr>
                <w:rFonts w:hint="eastAsia" w:ascii="宋体" w:hAnsi="宋体"/>
                <w:color w:val="auto"/>
                <w:highlight w:val="none"/>
              </w:rPr>
            </w:pPr>
          </w:p>
        </w:tc>
      </w:tr>
      <w:tr w14:paraId="61283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51449F4">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1665DCE6">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CD8336D">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D39CE90">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5DB64EB7">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35F6AB9B">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53222D14">
            <w:pPr>
              <w:pStyle w:val="19"/>
              <w:keepNext/>
              <w:spacing w:line="440" w:lineRule="exact"/>
              <w:ind w:left="420" w:right="63"/>
              <w:rPr>
                <w:rFonts w:hint="eastAsia" w:ascii="宋体" w:hAnsi="宋体"/>
                <w:color w:val="auto"/>
                <w:highlight w:val="none"/>
              </w:rPr>
            </w:pPr>
          </w:p>
        </w:tc>
      </w:tr>
      <w:tr w14:paraId="40C90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E844291">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12FA8AEC">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0B035D5">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730E0BC3">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7CE61A71">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229162C1">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3E8649C6">
            <w:pPr>
              <w:pStyle w:val="19"/>
              <w:keepNext/>
              <w:spacing w:line="440" w:lineRule="exact"/>
              <w:ind w:left="420" w:right="63"/>
              <w:rPr>
                <w:rFonts w:hint="eastAsia" w:ascii="宋体" w:hAnsi="宋体"/>
                <w:color w:val="auto"/>
                <w:highlight w:val="none"/>
              </w:rPr>
            </w:pPr>
          </w:p>
        </w:tc>
      </w:tr>
      <w:tr w14:paraId="79AA0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BCE97D0">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3FA2FF59">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6B2ACBAD">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3D49D96">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EAE7980">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367826ED">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3A7A1CA7">
            <w:pPr>
              <w:pStyle w:val="19"/>
              <w:keepNext/>
              <w:spacing w:line="440" w:lineRule="exact"/>
              <w:ind w:left="420" w:right="63"/>
              <w:rPr>
                <w:rFonts w:hint="eastAsia" w:ascii="宋体" w:hAnsi="宋体"/>
                <w:color w:val="auto"/>
                <w:highlight w:val="none"/>
              </w:rPr>
            </w:pPr>
          </w:p>
        </w:tc>
      </w:tr>
      <w:tr w14:paraId="751A1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A24DA9F">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2E3AE00">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396FE3B">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42A3FB2B">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7E78361">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7A7E325">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7EC20A82">
            <w:pPr>
              <w:pStyle w:val="19"/>
              <w:keepNext/>
              <w:spacing w:line="440" w:lineRule="exact"/>
              <w:ind w:left="420" w:right="63"/>
              <w:rPr>
                <w:rFonts w:hint="eastAsia" w:ascii="宋体" w:hAnsi="宋体"/>
                <w:color w:val="auto"/>
                <w:highlight w:val="none"/>
              </w:rPr>
            </w:pPr>
          </w:p>
        </w:tc>
      </w:tr>
      <w:tr w14:paraId="18DA3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518E006">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2656F610">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712A79E8">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0593BF08">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014523A">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6A33703">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6E8253EA">
            <w:pPr>
              <w:pStyle w:val="19"/>
              <w:keepNext/>
              <w:spacing w:line="440" w:lineRule="exact"/>
              <w:ind w:left="420" w:right="63"/>
              <w:rPr>
                <w:rFonts w:hint="eastAsia" w:ascii="宋体" w:hAnsi="宋体"/>
                <w:color w:val="auto"/>
                <w:highlight w:val="none"/>
              </w:rPr>
            </w:pPr>
          </w:p>
        </w:tc>
      </w:tr>
      <w:tr w14:paraId="413D8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5D0CB32">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360FFD74">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E7B1F23">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74664CF1">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3A2A17B">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61199CC3">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2E9FBDB5">
            <w:pPr>
              <w:pStyle w:val="19"/>
              <w:keepNext/>
              <w:spacing w:line="440" w:lineRule="exact"/>
              <w:ind w:left="420" w:right="63"/>
              <w:rPr>
                <w:rFonts w:hint="eastAsia" w:ascii="宋体" w:hAnsi="宋体"/>
                <w:color w:val="auto"/>
                <w:highlight w:val="none"/>
              </w:rPr>
            </w:pPr>
          </w:p>
        </w:tc>
      </w:tr>
      <w:tr w14:paraId="21D5E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14658E9">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32CDD25D">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D0C0D08">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725CBE2D">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AF8AF1E">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61630BF4">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2FCE8BCC">
            <w:pPr>
              <w:pStyle w:val="19"/>
              <w:keepNext/>
              <w:spacing w:line="440" w:lineRule="exact"/>
              <w:ind w:left="420" w:right="63"/>
              <w:rPr>
                <w:rFonts w:hint="eastAsia" w:ascii="宋体" w:hAnsi="宋体"/>
                <w:color w:val="auto"/>
                <w:highlight w:val="none"/>
              </w:rPr>
            </w:pPr>
          </w:p>
        </w:tc>
      </w:tr>
      <w:tr w14:paraId="434DAF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6839F60">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2285DFDF">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4EA381F">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2877A307">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0B60C00">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32F72847">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ED1022F">
            <w:pPr>
              <w:pStyle w:val="19"/>
              <w:keepNext/>
              <w:spacing w:line="440" w:lineRule="exact"/>
              <w:ind w:left="420" w:right="63"/>
              <w:rPr>
                <w:rFonts w:hint="eastAsia" w:ascii="宋体" w:hAnsi="宋体"/>
                <w:color w:val="auto"/>
                <w:highlight w:val="none"/>
              </w:rPr>
            </w:pPr>
          </w:p>
        </w:tc>
      </w:tr>
      <w:tr w14:paraId="5D7D8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6518C1A">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51787E70">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69762FC">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48BD1E49">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A3FADF7">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8018F3C">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EE0B49C">
            <w:pPr>
              <w:pStyle w:val="19"/>
              <w:keepNext/>
              <w:spacing w:line="440" w:lineRule="exact"/>
              <w:ind w:left="420" w:right="63"/>
              <w:rPr>
                <w:rFonts w:hint="eastAsia" w:ascii="宋体" w:hAnsi="宋体"/>
                <w:color w:val="auto"/>
                <w:highlight w:val="none"/>
              </w:rPr>
            </w:pPr>
          </w:p>
        </w:tc>
      </w:tr>
      <w:tr w14:paraId="36063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3AD6200">
            <w:pPr>
              <w:pStyle w:val="19"/>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1D956D2C">
            <w:pPr>
              <w:pStyle w:val="19"/>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889FC4B">
            <w:pPr>
              <w:pStyle w:val="19"/>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0A06B6A">
            <w:pPr>
              <w:pStyle w:val="19"/>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54594C2">
            <w:pPr>
              <w:pStyle w:val="19"/>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29688263">
            <w:pPr>
              <w:pStyle w:val="19"/>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295ED460">
            <w:pPr>
              <w:pStyle w:val="19"/>
              <w:keepNext/>
              <w:spacing w:line="440" w:lineRule="exact"/>
              <w:ind w:left="420" w:right="63"/>
              <w:rPr>
                <w:rFonts w:hint="eastAsia" w:ascii="宋体" w:hAnsi="宋体"/>
                <w:color w:val="auto"/>
                <w:highlight w:val="none"/>
              </w:rPr>
            </w:pPr>
          </w:p>
        </w:tc>
      </w:tr>
      <w:bookmarkEnd w:id="111"/>
      <w:bookmarkEnd w:id="112"/>
    </w:tbl>
    <w:p w14:paraId="27FEE8E3">
      <w:pPr>
        <w:snapToGrid w:val="0"/>
        <w:spacing w:line="360" w:lineRule="exact"/>
        <w:ind w:right="480"/>
        <w:rPr>
          <w:rFonts w:hint="eastAsia" w:ascii="宋体" w:hAnsi="宋体" w:cs="宋体"/>
          <w:bCs/>
          <w:color w:val="auto"/>
          <w:szCs w:val="21"/>
          <w:highlight w:val="none"/>
        </w:rPr>
      </w:pPr>
    </w:p>
    <w:sectPr>
      <w:headerReference r:id="rId10" w:type="first"/>
      <w:footerReference r:id="rId12" w:type="first"/>
      <w:headerReference r:id="rId8" w:type="default"/>
      <w:footerReference r:id="rId11" w:type="default"/>
      <w:headerReference r:id="rId9" w:type="even"/>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Times New Roma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宋体正文">
    <w:altName w:val="宋体"/>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97F33">
    <w:pPr>
      <w:pStyle w:val="31"/>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5438E8">
                          <w:pPr>
                            <w:pStyle w:val="3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ggbNABAACqAwAADgAAAGRycy9lMm9Eb2MueG1srVPNjtMwEL4j8Q6W&#10;7zRpV6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GjQZd5SvSvj5FGypOmDiMsMUwOPWHmOq1b2pE//Vz18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K+ggbNABAACqAwAADgAAAAAAAAABACAAAAAeAQAAZHJz&#10;L2Uyb0RvYy54bWxQSwUGAAAAAAYABgBZAQAAYAUAAAAA&#10;">
              <v:fill on="f" focussize="0,0"/>
              <v:stroke on="f"/>
              <v:imagedata o:title=""/>
              <o:lock v:ext="edit" aspectratio="f"/>
              <v:textbox inset="0mm,0mm,0mm,0mm" style="mso-fit-shape-to-text:t;">
                <w:txbxContent>
                  <w:p w14:paraId="3C5438E8">
                    <w:pPr>
                      <w:pStyle w:val="31"/>
                    </w:pPr>
                    <w:r>
                      <w:fldChar w:fldCharType="begin"/>
                    </w:r>
                    <w:r>
                      <w:instrText xml:space="preserve"> PAGE  \* MERGEFORMAT </w:instrText>
                    </w:r>
                    <w:r>
                      <w:fldChar w:fldCharType="separate"/>
                    </w:r>
                    <w:r>
                      <w:t>1</w:t>
                    </w:r>
                    <w:r>
                      <w:fldChar w:fldCharType="end"/>
                    </w:r>
                  </w:p>
                </w:txbxContent>
              </v:textbox>
            </v:shape>
          </w:pict>
        </mc:Fallback>
      </mc:AlternateContent>
    </w:r>
  </w:p>
  <w:p w14:paraId="4DC18A70">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46F87">
    <w:pPr>
      <w:pStyle w:val="31"/>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5BC283"/>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Ld8dABAACqAwAADgAAAGRycy9lMm9Eb2MueG1srVPNjtMwEL4j8Q6W&#10;7zRpta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GjQZd5SvSvj5FGypOmDiMsMUwOPWHmOq1b2pE//Vz18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FHLd8dABAACqAwAADgAAAAAAAAABACAAAAAeAQAAZHJz&#10;L2Uyb0RvYy54bWxQSwUGAAAAAAYABgBZAQAAYAUAAAAA&#10;">
              <v:fill on="f" focussize="0,0"/>
              <v:stroke on="f"/>
              <v:imagedata o:title=""/>
              <o:lock v:ext="edit" aspectratio="f"/>
              <v:textbox inset="0mm,0mm,0mm,0mm" style="mso-fit-shape-to-text:t;">
                <w:txbxContent>
                  <w:p w14:paraId="3E5BC28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D3062">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88DC20">
                          <w:pPr>
                            <w:pStyle w:val="31"/>
                            <w:jc w:val="center"/>
                          </w:pPr>
                          <w:r>
                            <w:fldChar w:fldCharType="begin"/>
                          </w:r>
                          <w:r>
                            <w:instrText xml:space="preserve"> PAGE  \* MERGEFORMAT </w:instrText>
                          </w:r>
                          <w:r>
                            <w:fldChar w:fldCharType="separate"/>
                          </w:r>
                          <w:r>
                            <w:t>171</w:t>
                          </w:r>
                          <w: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Io4VTNABAACqAwAADgAAAAAAAAABACAAAAAeAQAAZHJz&#10;L2Uyb0RvYy54bWxQSwUGAAAAAAYABgBZAQAAYAUAAAAA&#10;">
              <v:fill on="f" focussize="0,0"/>
              <v:stroke on="f"/>
              <v:imagedata o:title=""/>
              <o:lock v:ext="edit" aspectratio="f"/>
              <v:textbox inset="0mm,0mm,0mm,0mm" style="mso-fit-shape-to-text:t;">
                <w:txbxContent>
                  <w:p w14:paraId="1988DC20">
                    <w:pPr>
                      <w:pStyle w:val="31"/>
                      <w:jc w:val="center"/>
                    </w:pPr>
                    <w:r>
                      <w:fldChar w:fldCharType="begin"/>
                    </w:r>
                    <w:r>
                      <w:instrText xml:space="preserve"> PAGE  \* MERGEFORMAT </w:instrText>
                    </w:r>
                    <w:r>
                      <w:fldChar w:fldCharType="separate"/>
                    </w:r>
                    <w:r>
                      <w:t>171</w:t>
                    </w:r>
                    <w:r>
                      <w:fldChar w:fldCharType="end"/>
                    </w:r>
                  </w:p>
                </w:txbxContent>
              </v:textbox>
            </v:shape>
          </w:pict>
        </mc:Fallback>
      </mc:AlternateContent>
    </w:r>
  </w:p>
  <w:p w14:paraId="1625F6BF">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321AC">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FF398D0">
                          <w:pPr>
                            <w:pStyle w:val="31"/>
                          </w:pPr>
                          <w:r>
                            <w:fldChar w:fldCharType="begin"/>
                          </w:r>
                          <w:r>
                            <w:instrText xml:space="preserve"> PAGE  \* MERGEFORMAT </w:instrText>
                          </w:r>
                          <w:r>
                            <w:fldChar w:fldCharType="separate"/>
                          </w:r>
                          <w:r>
                            <w:t>161</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9iCkdA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J2&#10;WVVJod5DjYVPHkvjcOcG3Js5DhhMxAcZTPoiJYJ51Pd00VcMkfB0aVWtViWmOOZmB/GL5+s+QHwv&#10;nCHJaGjAB8y6suMjxLF0LkndrLtXWudH1PavAGKOEZG3YLqdmIwTJysOu2Git3PtCdn1uAkNtbj4&#10;lOgHi0KnpZmNMBu72Tj4oPYdDrrMU4K/PUQcKU+aOoywyDA5+ISZ67RuaUf+9HPV8y+2+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D9iCkdABAACqAwAADgAAAAAAAAABACAAAAAeAQAAZHJz&#10;L2Uyb0RvYy54bWxQSwUGAAAAAAYABgBZAQAAYAUAAAAA&#10;">
              <v:fill on="f" focussize="0,0"/>
              <v:stroke on="f"/>
              <v:imagedata o:title=""/>
              <o:lock v:ext="edit" aspectratio="f"/>
              <v:textbox inset="0mm,0mm,0mm,0mm" style="mso-fit-shape-to-text:t;">
                <w:txbxContent>
                  <w:p w14:paraId="5FF398D0">
                    <w:pPr>
                      <w:pStyle w:val="31"/>
                    </w:pPr>
                    <w:r>
                      <w:fldChar w:fldCharType="begin"/>
                    </w:r>
                    <w:r>
                      <w:instrText xml:space="preserve"> PAGE  \* MERGEFORMAT </w:instrText>
                    </w:r>
                    <w:r>
                      <w:fldChar w:fldCharType="separate"/>
                    </w:r>
                    <w:r>
                      <w:t>161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9C7D">
    <w:pPr>
      <w:pStyle w:val="32"/>
      <w:pBdr>
        <w:bottom w:val="none" w:color="auto" w:sz="0" w:space="0"/>
      </w:pBdr>
    </w:pPr>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5636895" cy="4980940"/>
          <wp:effectExtent l="0" t="0" r="1905" b="10160"/>
          <wp:wrapNone/>
          <wp:docPr id="7" name="WordPictureWatermark20238651"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0238651" descr="云龙水印"/>
                  <pic:cNvPicPr>
                    <a:picLocks noChangeAspect="1"/>
                  </pic:cNvPicPr>
                </pic:nvPicPr>
                <pic:blipFill>
                  <a:blip r:embed="rId1">
                    <a:lum bright="70001" contrast="-70000"/>
                  </a:blip>
                  <a:stretch>
                    <a:fillRect/>
                  </a:stretch>
                </pic:blipFill>
                <pic:spPr>
                  <a:xfrm>
                    <a:off x="0" y="0"/>
                    <a:ext cx="5636895" cy="498094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97FCF">
    <w:pPr>
      <w:pStyle w:val="32"/>
      <w:pBdr>
        <w:bottom w:val="none" w:color="auto" w:sz="0" w:space="0"/>
      </w:pBdr>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636895" cy="4980940"/>
          <wp:effectExtent l="0" t="0" r="1905" b="10160"/>
          <wp:wrapNone/>
          <wp:docPr id="6" name="WordPictureWatermark20238650"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0238650" descr="云龙水印"/>
                  <pic:cNvPicPr>
                    <a:picLocks noChangeAspect="1"/>
                  </pic:cNvPicPr>
                </pic:nvPicPr>
                <pic:blipFill>
                  <a:blip r:embed="rId1">
                    <a:lum bright="70001" contrast="-70000"/>
                  </a:blip>
                  <a:stretch>
                    <a:fillRect/>
                  </a:stretch>
                </pic:blipFill>
                <pic:spPr>
                  <a:xfrm>
                    <a:off x="0" y="0"/>
                    <a:ext cx="5636895" cy="498094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61323">
    <w:pPr>
      <w:pStyle w:val="32"/>
      <w:pBdr>
        <w:bottom w:val="none" w:color="auto" w:sz="0" w:space="1"/>
      </w:pBdr>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636895" cy="4980940"/>
          <wp:effectExtent l="0" t="0" r="1905" b="10160"/>
          <wp:wrapNone/>
          <wp:docPr id="5" name="WordPictureWatermark20238649"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20238649" descr="云龙水印"/>
                  <pic:cNvPicPr>
                    <a:picLocks noChangeAspect="1"/>
                  </pic:cNvPicPr>
                </pic:nvPicPr>
                <pic:blipFill>
                  <a:blip r:embed="rId1">
                    <a:lum bright="70001" contrast="-70000"/>
                  </a:blip>
                  <a:stretch>
                    <a:fillRect/>
                  </a:stretch>
                </pic:blipFill>
                <pic:spPr>
                  <a:xfrm>
                    <a:off x="0" y="0"/>
                    <a:ext cx="5636895" cy="498094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BE269">
    <w:r>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5636895" cy="4980940"/>
          <wp:effectExtent l="0" t="0" r="1905" b="10160"/>
          <wp:wrapNone/>
          <wp:docPr id="10" name="WordPictureWatermark20238654"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20238654" descr="云龙水印"/>
                  <pic:cNvPicPr>
                    <a:picLocks noChangeAspect="1"/>
                  </pic:cNvPicPr>
                </pic:nvPicPr>
                <pic:blipFill>
                  <a:blip r:embed="rId1">
                    <a:lum bright="70001" contrast="-70000"/>
                  </a:blip>
                  <a:stretch>
                    <a:fillRect/>
                  </a:stretch>
                </pic:blipFill>
                <pic:spPr>
                  <a:xfrm>
                    <a:off x="0" y="0"/>
                    <a:ext cx="5636895" cy="498094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07B2A">
    <w:pPr>
      <w:pStyle w:val="32"/>
    </w:pPr>
    <w:r>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5636895" cy="4980940"/>
          <wp:effectExtent l="0" t="0" r="1905" b="10160"/>
          <wp:wrapNone/>
          <wp:docPr id="9" name="WordPictureWatermark20238653"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0238653" descr="云龙水印"/>
                  <pic:cNvPicPr>
                    <a:picLocks noChangeAspect="1"/>
                  </pic:cNvPicPr>
                </pic:nvPicPr>
                <pic:blipFill>
                  <a:blip r:embed="rId1">
                    <a:lum bright="70001" contrast="-70000"/>
                  </a:blip>
                  <a:stretch>
                    <a:fillRect/>
                  </a:stretch>
                </pic:blipFill>
                <pic:spPr>
                  <a:xfrm>
                    <a:off x="0" y="0"/>
                    <a:ext cx="5636895" cy="498094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5EF89">
    <w: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5636895" cy="4980940"/>
          <wp:effectExtent l="0" t="0" r="1905" b="10160"/>
          <wp:wrapNone/>
          <wp:docPr id="8" name="WordPictureWatermark20238652"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20238652" descr="云龙水印"/>
                  <pic:cNvPicPr>
                    <a:picLocks noChangeAspect="1"/>
                  </pic:cNvPicPr>
                </pic:nvPicPr>
                <pic:blipFill>
                  <a:blip r:embed="rId1">
                    <a:lum bright="70001" contrast="-70000"/>
                  </a:blip>
                  <a:stretch>
                    <a:fillRect/>
                  </a:stretch>
                </pic:blipFill>
                <pic:spPr>
                  <a:xfrm>
                    <a:off x="0" y="0"/>
                    <a:ext cx="5636895" cy="49809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TQzYmM1OTQzMTRhMzg5NzJmNGVkNTA3ZmNiODMifQ=="/>
  </w:docVars>
  <w:rsids>
    <w:rsidRoot w:val="00F34B14"/>
    <w:rsid w:val="000002E0"/>
    <w:rsid w:val="00000672"/>
    <w:rsid w:val="00000C53"/>
    <w:rsid w:val="00000E69"/>
    <w:rsid w:val="00000FD7"/>
    <w:rsid w:val="00001013"/>
    <w:rsid w:val="00001245"/>
    <w:rsid w:val="00001799"/>
    <w:rsid w:val="00001AF2"/>
    <w:rsid w:val="00001ECA"/>
    <w:rsid w:val="00002480"/>
    <w:rsid w:val="00002D29"/>
    <w:rsid w:val="00003B93"/>
    <w:rsid w:val="0000474D"/>
    <w:rsid w:val="0000529E"/>
    <w:rsid w:val="000057F8"/>
    <w:rsid w:val="00005FDF"/>
    <w:rsid w:val="0000644A"/>
    <w:rsid w:val="00006D8A"/>
    <w:rsid w:val="00007081"/>
    <w:rsid w:val="000070B3"/>
    <w:rsid w:val="000076B8"/>
    <w:rsid w:val="000109DC"/>
    <w:rsid w:val="00010D39"/>
    <w:rsid w:val="0001172C"/>
    <w:rsid w:val="00011BC9"/>
    <w:rsid w:val="000125EC"/>
    <w:rsid w:val="00012854"/>
    <w:rsid w:val="00012D72"/>
    <w:rsid w:val="00012EA6"/>
    <w:rsid w:val="00013359"/>
    <w:rsid w:val="000139CF"/>
    <w:rsid w:val="00013AA4"/>
    <w:rsid w:val="00013DFE"/>
    <w:rsid w:val="000141EA"/>
    <w:rsid w:val="00015111"/>
    <w:rsid w:val="00015C14"/>
    <w:rsid w:val="0001657F"/>
    <w:rsid w:val="00016ABC"/>
    <w:rsid w:val="000177DB"/>
    <w:rsid w:val="000179C9"/>
    <w:rsid w:val="00017CCC"/>
    <w:rsid w:val="00020227"/>
    <w:rsid w:val="00020263"/>
    <w:rsid w:val="00020455"/>
    <w:rsid w:val="00020813"/>
    <w:rsid w:val="000215D0"/>
    <w:rsid w:val="00021F52"/>
    <w:rsid w:val="00021FCF"/>
    <w:rsid w:val="000220B2"/>
    <w:rsid w:val="0002264C"/>
    <w:rsid w:val="00022731"/>
    <w:rsid w:val="00022792"/>
    <w:rsid w:val="00023287"/>
    <w:rsid w:val="00024463"/>
    <w:rsid w:val="00025461"/>
    <w:rsid w:val="00025636"/>
    <w:rsid w:val="00025E36"/>
    <w:rsid w:val="000260F7"/>
    <w:rsid w:val="00026855"/>
    <w:rsid w:val="00026886"/>
    <w:rsid w:val="0002754F"/>
    <w:rsid w:val="0002785D"/>
    <w:rsid w:val="000307BE"/>
    <w:rsid w:val="00032633"/>
    <w:rsid w:val="000329E0"/>
    <w:rsid w:val="000336D0"/>
    <w:rsid w:val="0003499E"/>
    <w:rsid w:val="000352E9"/>
    <w:rsid w:val="00035494"/>
    <w:rsid w:val="00035ECF"/>
    <w:rsid w:val="00036125"/>
    <w:rsid w:val="00036A07"/>
    <w:rsid w:val="0003780B"/>
    <w:rsid w:val="00037C41"/>
    <w:rsid w:val="00040571"/>
    <w:rsid w:val="00040973"/>
    <w:rsid w:val="0004156E"/>
    <w:rsid w:val="00041713"/>
    <w:rsid w:val="0004212E"/>
    <w:rsid w:val="00042B32"/>
    <w:rsid w:val="00042B80"/>
    <w:rsid w:val="00042EE8"/>
    <w:rsid w:val="000439AA"/>
    <w:rsid w:val="0004440C"/>
    <w:rsid w:val="00046B5E"/>
    <w:rsid w:val="000470CB"/>
    <w:rsid w:val="00047703"/>
    <w:rsid w:val="000506DE"/>
    <w:rsid w:val="000509D9"/>
    <w:rsid w:val="00051006"/>
    <w:rsid w:val="00051165"/>
    <w:rsid w:val="000512AF"/>
    <w:rsid w:val="00051ACB"/>
    <w:rsid w:val="000533E7"/>
    <w:rsid w:val="00053B29"/>
    <w:rsid w:val="00054B4B"/>
    <w:rsid w:val="000550E8"/>
    <w:rsid w:val="00055519"/>
    <w:rsid w:val="00055D41"/>
    <w:rsid w:val="000563DF"/>
    <w:rsid w:val="00056EF6"/>
    <w:rsid w:val="000575CF"/>
    <w:rsid w:val="00057CD6"/>
    <w:rsid w:val="00060C5F"/>
    <w:rsid w:val="00060D7F"/>
    <w:rsid w:val="00060DCE"/>
    <w:rsid w:val="000610E3"/>
    <w:rsid w:val="000614F3"/>
    <w:rsid w:val="00061A1B"/>
    <w:rsid w:val="000623B4"/>
    <w:rsid w:val="00062405"/>
    <w:rsid w:val="00062EC2"/>
    <w:rsid w:val="000634A7"/>
    <w:rsid w:val="000636EB"/>
    <w:rsid w:val="00063B0B"/>
    <w:rsid w:val="00063F81"/>
    <w:rsid w:val="00064847"/>
    <w:rsid w:val="00065E08"/>
    <w:rsid w:val="00065E2D"/>
    <w:rsid w:val="00066AD9"/>
    <w:rsid w:val="00066D2E"/>
    <w:rsid w:val="000673E2"/>
    <w:rsid w:val="00067EF1"/>
    <w:rsid w:val="00070378"/>
    <w:rsid w:val="0007037E"/>
    <w:rsid w:val="0007063F"/>
    <w:rsid w:val="000707FD"/>
    <w:rsid w:val="00070949"/>
    <w:rsid w:val="000711E4"/>
    <w:rsid w:val="00071E9B"/>
    <w:rsid w:val="000720A1"/>
    <w:rsid w:val="000724D9"/>
    <w:rsid w:val="00072AED"/>
    <w:rsid w:val="00073F47"/>
    <w:rsid w:val="0007492F"/>
    <w:rsid w:val="00074BC7"/>
    <w:rsid w:val="00074ED8"/>
    <w:rsid w:val="00075B7E"/>
    <w:rsid w:val="00076D70"/>
    <w:rsid w:val="00077ACA"/>
    <w:rsid w:val="00077C70"/>
    <w:rsid w:val="0008122E"/>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6178"/>
    <w:rsid w:val="000871B8"/>
    <w:rsid w:val="00087B0A"/>
    <w:rsid w:val="000916DA"/>
    <w:rsid w:val="00091AAB"/>
    <w:rsid w:val="00092442"/>
    <w:rsid w:val="000929EF"/>
    <w:rsid w:val="00092C26"/>
    <w:rsid w:val="000933BE"/>
    <w:rsid w:val="00094428"/>
    <w:rsid w:val="000944FC"/>
    <w:rsid w:val="0009560F"/>
    <w:rsid w:val="0009588E"/>
    <w:rsid w:val="000959EE"/>
    <w:rsid w:val="00096C2E"/>
    <w:rsid w:val="00096DAF"/>
    <w:rsid w:val="00096DB9"/>
    <w:rsid w:val="00097183"/>
    <w:rsid w:val="000972CB"/>
    <w:rsid w:val="00097608"/>
    <w:rsid w:val="000A0F35"/>
    <w:rsid w:val="000A1175"/>
    <w:rsid w:val="000A13F3"/>
    <w:rsid w:val="000A165B"/>
    <w:rsid w:val="000A1963"/>
    <w:rsid w:val="000A1C18"/>
    <w:rsid w:val="000A23B1"/>
    <w:rsid w:val="000A2818"/>
    <w:rsid w:val="000A2B0E"/>
    <w:rsid w:val="000A3095"/>
    <w:rsid w:val="000A398F"/>
    <w:rsid w:val="000A42D9"/>
    <w:rsid w:val="000A448C"/>
    <w:rsid w:val="000A4E26"/>
    <w:rsid w:val="000A509C"/>
    <w:rsid w:val="000A54A7"/>
    <w:rsid w:val="000A5A17"/>
    <w:rsid w:val="000A6007"/>
    <w:rsid w:val="000A6564"/>
    <w:rsid w:val="000A65A6"/>
    <w:rsid w:val="000A70E3"/>
    <w:rsid w:val="000A7275"/>
    <w:rsid w:val="000A7408"/>
    <w:rsid w:val="000A7A12"/>
    <w:rsid w:val="000A7A72"/>
    <w:rsid w:val="000B0FE0"/>
    <w:rsid w:val="000B1202"/>
    <w:rsid w:val="000B12FF"/>
    <w:rsid w:val="000B1801"/>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7920"/>
    <w:rsid w:val="000B79FC"/>
    <w:rsid w:val="000B7E0A"/>
    <w:rsid w:val="000C144E"/>
    <w:rsid w:val="000C1679"/>
    <w:rsid w:val="000C190E"/>
    <w:rsid w:val="000C1953"/>
    <w:rsid w:val="000C1BFE"/>
    <w:rsid w:val="000C1EE3"/>
    <w:rsid w:val="000C370B"/>
    <w:rsid w:val="000C3AE7"/>
    <w:rsid w:val="000C3C2B"/>
    <w:rsid w:val="000C3CC9"/>
    <w:rsid w:val="000C3DBC"/>
    <w:rsid w:val="000C4565"/>
    <w:rsid w:val="000C5823"/>
    <w:rsid w:val="000C59C6"/>
    <w:rsid w:val="000C6D7F"/>
    <w:rsid w:val="000C6DE4"/>
    <w:rsid w:val="000C7200"/>
    <w:rsid w:val="000C7202"/>
    <w:rsid w:val="000C7432"/>
    <w:rsid w:val="000C7926"/>
    <w:rsid w:val="000D0A89"/>
    <w:rsid w:val="000D10F1"/>
    <w:rsid w:val="000D1389"/>
    <w:rsid w:val="000D1798"/>
    <w:rsid w:val="000D2626"/>
    <w:rsid w:val="000D264F"/>
    <w:rsid w:val="000D2CD3"/>
    <w:rsid w:val="000D3525"/>
    <w:rsid w:val="000D4016"/>
    <w:rsid w:val="000D411D"/>
    <w:rsid w:val="000D4589"/>
    <w:rsid w:val="000D4809"/>
    <w:rsid w:val="000D4FB6"/>
    <w:rsid w:val="000D5C29"/>
    <w:rsid w:val="000D6F6B"/>
    <w:rsid w:val="000D73DD"/>
    <w:rsid w:val="000E02E8"/>
    <w:rsid w:val="000E1C38"/>
    <w:rsid w:val="000E1C51"/>
    <w:rsid w:val="000E1D3E"/>
    <w:rsid w:val="000E1DC5"/>
    <w:rsid w:val="000E259C"/>
    <w:rsid w:val="000E28AB"/>
    <w:rsid w:val="000E2E3E"/>
    <w:rsid w:val="000E3583"/>
    <w:rsid w:val="000E3AF0"/>
    <w:rsid w:val="000E43EC"/>
    <w:rsid w:val="000E4DC7"/>
    <w:rsid w:val="000E4E04"/>
    <w:rsid w:val="000E592E"/>
    <w:rsid w:val="000E693B"/>
    <w:rsid w:val="000E6D5C"/>
    <w:rsid w:val="000E6EC9"/>
    <w:rsid w:val="000E70B4"/>
    <w:rsid w:val="000E7B62"/>
    <w:rsid w:val="000E7EDC"/>
    <w:rsid w:val="000F085D"/>
    <w:rsid w:val="000F0E1E"/>
    <w:rsid w:val="000F1129"/>
    <w:rsid w:val="000F1A1B"/>
    <w:rsid w:val="000F2A95"/>
    <w:rsid w:val="000F2BB7"/>
    <w:rsid w:val="000F3281"/>
    <w:rsid w:val="000F32FD"/>
    <w:rsid w:val="000F3733"/>
    <w:rsid w:val="000F415D"/>
    <w:rsid w:val="000F5B2B"/>
    <w:rsid w:val="000F5F8B"/>
    <w:rsid w:val="000F6153"/>
    <w:rsid w:val="000F64AA"/>
    <w:rsid w:val="000F6C7B"/>
    <w:rsid w:val="000F73AD"/>
    <w:rsid w:val="000F7AF4"/>
    <w:rsid w:val="000F7C33"/>
    <w:rsid w:val="000F7F0C"/>
    <w:rsid w:val="001004D6"/>
    <w:rsid w:val="00101D1B"/>
    <w:rsid w:val="00101E8E"/>
    <w:rsid w:val="00102676"/>
    <w:rsid w:val="00103646"/>
    <w:rsid w:val="00103918"/>
    <w:rsid w:val="00104897"/>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247D"/>
    <w:rsid w:val="0011351F"/>
    <w:rsid w:val="00113678"/>
    <w:rsid w:val="00113A7D"/>
    <w:rsid w:val="00113C3E"/>
    <w:rsid w:val="00115375"/>
    <w:rsid w:val="001157F8"/>
    <w:rsid w:val="00115E11"/>
    <w:rsid w:val="00115EEE"/>
    <w:rsid w:val="00115F56"/>
    <w:rsid w:val="001164ED"/>
    <w:rsid w:val="00116CA9"/>
    <w:rsid w:val="00116F38"/>
    <w:rsid w:val="001170A4"/>
    <w:rsid w:val="00117AE7"/>
    <w:rsid w:val="00117B85"/>
    <w:rsid w:val="00117CBD"/>
    <w:rsid w:val="0012006A"/>
    <w:rsid w:val="00121979"/>
    <w:rsid w:val="00122064"/>
    <w:rsid w:val="0012301B"/>
    <w:rsid w:val="00123428"/>
    <w:rsid w:val="00124341"/>
    <w:rsid w:val="00124492"/>
    <w:rsid w:val="00124B12"/>
    <w:rsid w:val="00124BA5"/>
    <w:rsid w:val="001250A0"/>
    <w:rsid w:val="001260C6"/>
    <w:rsid w:val="001263B8"/>
    <w:rsid w:val="00130217"/>
    <w:rsid w:val="00130641"/>
    <w:rsid w:val="00130783"/>
    <w:rsid w:val="00130A47"/>
    <w:rsid w:val="00130FB0"/>
    <w:rsid w:val="00132B47"/>
    <w:rsid w:val="00132DDA"/>
    <w:rsid w:val="0013346C"/>
    <w:rsid w:val="001337F8"/>
    <w:rsid w:val="001341B2"/>
    <w:rsid w:val="001343DA"/>
    <w:rsid w:val="001348B4"/>
    <w:rsid w:val="00134B1F"/>
    <w:rsid w:val="0013506E"/>
    <w:rsid w:val="001351CB"/>
    <w:rsid w:val="00135530"/>
    <w:rsid w:val="0013568F"/>
    <w:rsid w:val="00135947"/>
    <w:rsid w:val="001359A2"/>
    <w:rsid w:val="00135F92"/>
    <w:rsid w:val="00136020"/>
    <w:rsid w:val="00136445"/>
    <w:rsid w:val="00136965"/>
    <w:rsid w:val="00136A9C"/>
    <w:rsid w:val="00137389"/>
    <w:rsid w:val="00140132"/>
    <w:rsid w:val="00141455"/>
    <w:rsid w:val="0014162D"/>
    <w:rsid w:val="0014190C"/>
    <w:rsid w:val="00141C9C"/>
    <w:rsid w:val="0014277F"/>
    <w:rsid w:val="00142AD2"/>
    <w:rsid w:val="001434BE"/>
    <w:rsid w:val="00143AAD"/>
    <w:rsid w:val="00144050"/>
    <w:rsid w:val="00144369"/>
    <w:rsid w:val="00144398"/>
    <w:rsid w:val="0014479F"/>
    <w:rsid w:val="001452B4"/>
    <w:rsid w:val="00145320"/>
    <w:rsid w:val="00145B3E"/>
    <w:rsid w:val="00146673"/>
    <w:rsid w:val="001476D3"/>
    <w:rsid w:val="001509CF"/>
    <w:rsid w:val="00150D1D"/>
    <w:rsid w:val="001525AA"/>
    <w:rsid w:val="00152A87"/>
    <w:rsid w:val="00152AC1"/>
    <w:rsid w:val="001533AA"/>
    <w:rsid w:val="00153A84"/>
    <w:rsid w:val="00153BB5"/>
    <w:rsid w:val="00154518"/>
    <w:rsid w:val="001556B8"/>
    <w:rsid w:val="00156359"/>
    <w:rsid w:val="00156DD6"/>
    <w:rsid w:val="00160238"/>
    <w:rsid w:val="0016086E"/>
    <w:rsid w:val="001609B9"/>
    <w:rsid w:val="00160D0C"/>
    <w:rsid w:val="00160DD1"/>
    <w:rsid w:val="00161172"/>
    <w:rsid w:val="00161998"/>
    <w:rsid w:val="00161E65"/>
    <w:rsid w:val="00161E8D"/>
    <w:rsid w:val="00161F0E"/>
    <w:rsid w:val="00162597"/>
    <w:rsid w:val="001629AF"/>
    <w:rsid w:val="001629FD"/>
    <w:rsid w:val="00163F8F"/>
    <w:rsid w:val="0016428A"/>
    <w:rsid w:val="001646D5"/>
    <w:rsid w:val="001647C9"/>
    <w:rsid w:val="00165627"/>
    <w:rsid w:val="00165AE0"/>
    <w:rsid w:val="001661A3"/>
    <w:rsid w:val="00166E81"/>
    <w:rsid w:val="00167226"/>
    <w:rsid w:val="0016782B"/>
    <w:rsid w:val="0016784D"/>
    <w:rsid w:val="00167853"/>
    <w:rsid w:val="00167887"/>
    <w:rsid w:val="00170613"/>
    <w:rsid w:val="00170F0C"/>
    <w:rsid w:val="00171319"/>
    <w:rsid w:val="0017267A"/>
    <w:rsid w:val="00172CA8"/>
    <w:rsid w:val="00173256"/>
    <w:rsid w:val="00173B0E"/>
    <w:rsid w:val="00173E03"/>
    <w:rsid w:val="0017405A"/>
    <w:rsid w:val="0017461E"/>
    <w:rsid w:val="00174704"/>
    <w:rsid w:val="0017512C"/>
    <w:rsid w:val="001756AF"/>
    <w:rsid w:val="0017586A"/>
    <w:rsid w:val="00175BA6"/>
    <w:rsid w:val="00175C6F"/>
    <w:rsid w:val="00176CA7"/>
    <w:rsid w:val="00176D0C"/>
    <w:rsid w:val="00176F8E"/>
    <w:rsid w:val="0017789A"/>
    <w:rsid w:val="001778C5"/>
    <w:rsid w:val="00177C07"/>
    <w:rsid w:val="00177E56"/>
    <w:rsid w:val="00177F0A"/>
    <w:rsid w:val="0018055E"/>
    <w:rsid w:val="0018090D"/>
    <w:rsid w:val="00180DA0"/>
    <w:rsid w:val="00181813"/>
    <w:rsid w:val="00181EAD"/>
    <w:rsid w:val="0018204D"/>
    <w:rsid w:val="00182862"/>
    <w:rsid w:val="00183669"/>
    <w:rsid w:val="00184F57"/>
    <w:rsid w:val="00185091"/>
    <w:rsid w:val="00185544"/>
    <w:rsid w:val="00185617"/>
    <w:rsid w:val="00186FE1"/>
    <w:rsid w:val="00187A14"/>
    <w:rsid w:val="00190D50"/>
    <w:rsid w:val="00191177"/>
    <w:rsid w:val="0019171E"/>
    <w:rsid w:val="00191EEC"/>
    <w:rsid w:val="0019224D"/>
    <w:rsid w:val="00192368"/>
    <w:rsid w:val="001923A0"/>
    <w:rsid w:val="0019270F"/>
    <w:rsid w:val="001928B1"/>
    <w:rsid w:val="00192C38"/>
    <w:rsid w:val="00192CA1"/>
    <w:rsid w:val="00193537"/>
    <w:rsid w:val="00193808"/>
    <w:rsid w:val="00193846"/>
    <w:rsid w:val="00195424"/>
    <w:rsid w:val="001955FF"/>
    <w:rsid w:val="001972F8"/>
    <w:rsid w:val="00197D13"/>
    <w:rsid w:val="00197EDD"/>
    <w:rsid w:val="001A02B3"/>
    <w:rsid w:val="001A04BB"/>
    <w:rsid w:val="001A06CC"/>
    <w:rsid w:val="001A0889"/>
    <w:rsid w:val="001A08D0"/>
    <w:rsid w:val="001A1B39"/>
    <w:rsid w:val="001A1D4A"/>
    <w:rsid w:val="001A2120"/>
    <w:rsid w:val="001A28C6"/>
    <w:rsid w:val="001A2E69"/>
    <w:rsid w:val="001A3187"/>
    <w:rsid w:val="001A368F"/>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464"/>
    <w:rsid w:val="001B125A"/>
    <w:rsid w:val="001B1EBA"/>
    <w:rsid w:val="001B2142"/>
    <w:rsid w:val="001B2F2B"/>
    <w:rsid w:val="001B327A"/>
    <w:rsid w:val="001B35DE"/>
    <w:rsid w:val="001B3A13"/>
    <w:rsid w:val="001B3F5C"/>
    <w:rsid w:val="001B536B"/>
    <w:rsid w:val="001B57C9"/>
    <w:rsid w:val="001B59FF"/>
    <w:rsid w:val="001B5D13"/>
    <w:rsid w:val="001B6512"/>
    <w:rsid w:val="001B65D7"/>
    <w:rsid w:val="001B6752"/>
    <w:rsid w:val="001B6768"/>
    <w:rsid w:val="001B6F1F"/>
    <w:rsid w:val="001B7ECC"/>
    <w:rsid w:val="001C025B"/>
    <w:rsid w:val="001C059D"/>
    <w:rsid w:val="001C115F"/>
    <w:rsid w:val="001C13F8"/>
    <w:rsid w:val="001C1675"/>
    <w:rsid w:val="001C1DED"/>
    <w:rsid w:val="001C1EAB"/>
    <w:rsid w:val="001C2375"/>
    <w:rsid w:val="001C25A7"/>
    <w:rsid w:val="001C2775"/>
    <w:rsid w:val="001C2A1D"/>
    <w:rsid w:val="001C318C"/>
    <w:rsid w:val="001C35C4"/>
    <w:rsid w:val="001C36C0"/>
    <w:rsid w:val="001C4287"/>
    <w:rsid w:val="001C4479"/>
    <w:rsid w:val="001C4F79"/>
    <w:rsid w:val="001C5190"/>
    <w:rsid w:val="001C6081"/>
    <w:rsid w:val="001C7284"/>
    <w:rsid w:val="001C73EB"/>
    <w:rsid w:val="001C7781"/>
    <w:rsid w:val="001C7B48"/>
    <w:rsid w:val="001D0CFB"/>
    <w:rsid w:val="001D108A"/>
    <w:rsid w:val="001D1A0D"/>
    <w:rsid w:val="001D1DD1"/>
    <w:rsid w:val="001D23DA"/>
    <w:rsid w:val="001D2573"/>
    <w:rsid w:val="001D267C"/>
    <w:rsid w:val="001D2F77"/>
    <w:rsid w:val="001D335E"/>
    <w:rsid w:val="001D343C"/>
    <w:rsid w:val="001D56E2"/>
    <w:rsid w:val="001D58A1"/>
    <w:rsid w:val="001D58C2"/>
    <w:rsid w:val="001D5A8A"/>
    <w:rsid w:val="001D5B64"/>
    <w:rsid w:val="001D5FB4"/>
    <w:rsid w:val="001D61CA"/>
    <w:rsid w:val="001D654A"/>
    <w:rsid w:val="001D68BA"/>
    <w:rsid w:val="001D6E87"/>
    <w:rsid w:val="001D735E"/>
    <w:rsid w:val="001D73C8"/>
    <w:rsid w:val="001D7BC6"/>
    <w:rsid w:val="001E1212"/>
    <w:rsid w:val="001E129E"/>
    <w:rsid w:val="001E175C"/>
    <w:rsid w:val="001E1B0E"/>
    <w:rsid w:val="001E308A"/>
    <w:rsid w:val="001E38EC"/>
    <w:rsid w:val="001E3B63"/>
    <w:rsid w:val="001E57B2"/>
    <w:rsid w:val="001E5A94"/>
    <w:rsid w:val="001E5CBB"/>
    <w:rsid w:val="001E5CDC"/>
    <w:rsid w:val="001E6CE9"/>
    <w:rsid w:val="001F0506"/>
    <w:rsid w:val="001F1036"/>
    <w:rsid w:val="001F13FD"/>
    <w:rsid w:val="001F2474"/>
    <w:rsid w:val="001F2A2E"/>
    <w:rsid w:val="001F3180"/>
    <w:rsid w:val="001F3356"/>
    <w:rsid w:val="001F3A99"/>
    <w:rsid w:val="001F3C63"/>
    <w:rsid w:val="001F4141"/>
    <w:rsid w:val="001F4460"/>
    <w:rsid w:val="001F4833"/>
    <w:rsid w:val="001F6C96"/>
    <w:rsid w:val="001F711A"/>
    <w:rsid w:val="001F75B0"/>
    <w:rsid w:val="001F7CBE"/>
    <w:rsid w:val="0020057C"/>
    <w:rsid w:val="0020083C"/>
    <w:rsid w:val="00200CE5"/>
    <w:rsid w:val="00200F7C"/>
    <w:rsid w:val="0020104E"/>
    <w:rsid w:val="002014DB"/>
    <w:rsid w:val="0020150B"/>
    <w:rsid w:val="00201E12"/>
    <w:rsid w:val="00202295"/>
    <w:rsid w:val="00202327"/>
    <w:rsid w:val="002033B5"/>
    <w:rsid w:val="0020382C"/>
    <w:rsid w:val="002042E9"/>
    <w:rsid w:val="0020437A"/>
    <w:rsid w:val="0020454C"/>
    <w:rsid w:val="00204740"/>
    <w:rsid w:val="00205129"/>
    <w:rsid w:val="0020521F"/>
    <w:rsid w:val="0020532C"/>
    <w:rsid w:val="00206AE8"/>
    <w:rsid w:val="00206CBD"/>
    <w:rsid w:val="002114C7"/>
    <w:rsid w:val="00211A7B"/>
    <w:rsid w:val="00212AD8"/>
    <w:rsid w:val="0021302C"/>
    <w:rsid w:val="002139F1"/>
    <w:rsid w:val="00213B1C"/>
    <w:rsid w:val="00213F1E"/>
    <w:rsid w:val="00214202"/>
    <w:rsid w:val="002148E3"/>
    <w:rsid w:val="00214C1A"/>
    <w:rsid w:val="0021552D"/>
    <w:rsid w:val="002156AE"/>
    <w:rsid w:val="0021577B"/>
    <w:rsid w:val="00215DC7"/>
    <w:rsid w:val="00215E99"/>
    <w:rsid w:val="0021639E"/>
    <w:rsid w:val="00217B07"/>
    <w:rsid w:val="00217C26"/>
    <w:rsid w:val="00217C4B"/>
    <w:rsid w:val="00220043"/>
    <w:rsid w:val="0022054D"/>
    <w:rsid w:val="0022107B"/>
    <w:rsid w:val="002223EB"/>
    <w:rsid w:val="00223611"/>
    <w:rsid w:val="00223DDB"/>
    <w:rsid w:val="00223FA4"/>
    <w:rsid w:val="00223FB0"/>
    <w:rsid w:val="0022405A"/>
    <w:rsid w:val="00224067"/>
    <w:rsid w:val="0022421C"/>
    <w:rsid w:val="0022454F"/>
    <w:rsid w:val="00224C4A"/>
    <w:rsid w:val="00224E83"/>
    <w:rsid w:val="00225233"/>
    <w:rsid w:val="002252DA"/>
    <w:rsid w:val="00225664"/>
    <w:rsid w:val="00225F84"/>
    <w:rsid w:val="0022663D"/>
    <w:rsid w:val="00226995"/>
    <w:rsid w:val="00226F18"/>
    <w:rsid w:val="0022755B"/>
    <w:rsid w:val="00227C56"/>
    <w:rsid w:val="00227F2D"/>
    <w:rsid w:val="00227F52"/>
    <w:rsid w:val="00231851"/>
    <w:rsid w:val="002319FB"/>
    <w:rsid w:val="00231B89"/>
    <w:rsid w:val="00231F11"/>
    <w:rsid w:val="00231F5E"/>
    <w:rsid w:val="00233395"/>
    <w:rsid w:val="00233D76"/>
    <w:rsid w:val="002346B4"/>
    <w:rsid w:val="00234AA8"/>
    <w:rsid w:val="00234F6E"/>
    <w:rsid w:val="002351FA"/>
    <w:rsid w:val="002355BE"/>
    <w:rsid w:val="002358EA"/>
    <w:rsid w:val="0023609B"/>
    <w:rsid w:val="00236578"/>
    <w:rsid w:val="00236A10"/>
    <w:rsid w:val="00236DE9"/>
    <w:rsid w:val="00237342"/>
    <w:rsid w:val="00237D5A"/>
    <w:rsid w:val="002401B4"/>
    <w:rsid w:val="002407BA"/>
    <w:rsid w:val="00240922"/>
    <w:rsid w:val="00240D75"/>
    <w:rsid w:val="00240F92"/>
    <w:rsid w:val="00241288"/>
    <w:rsid w:val="002412BD"/>
    <w:rsid w:val="002412E4"/>
    <w:rsid w:val="002415AE"/>
    <w:rsid w:val="00241B38"/>
    <w:rsid w:val="00241BC7"/>
    <w:rsid w:val="00241D3C"/>
    <w:rsid w:val="00241DF7"/>
    <w:rsid w:val="00242109"/>
    <w:rsid w:val="00242B6B"/>
    <w:rsid w:val="00243189"/>
    <w:rsid w:val="002439AB"/>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27D8"/>
    <w:rsid w:val="002533CD"/>
    <w:rsid w:val="002535EA"/>
    <w:rsid w:val="00253A8A"/>
    <w:rsid w:val="002543E1"/>
    <w:rsid w:val="00254EAB"/>
    <w:rsid w:val="002557AF"/>
    <w:rsid w:val="0025589C"/>
    <w:rsid w:val="00255B62"/>
    <w:rsid w:val="002566B1"/>
    <w:rsid w:val="002575E3"/>
    <w:rsid w:val="00257A74"/>
    <w:rsid w:val="00257C5D"/>
    <w:rsid w:val="002603C1"/>
    <w:rsid w:val="002609A1"/>
    <w:rsid w:val="002612B1"/>
    <w:rsid w:val="00261997"/>
    <w:rsid w:val="002621CF"/>
    <w:rsid w:val="00262924"/>
    <w:rsid w:val="00262B14"/>
    <w:rsid w:val="0026494E"/>
    <w:rsid w:val="00265A12"/>
    <w:rsid w:val="00266165"/>
    <w:rsid w:val="00266F2C"/>
    <w:rsid w:val="00267DAF"/>
    <w:rsid w:val="00270122"/>
    <w:rsid w:val="00270B87"/>
    <w:rsid w:val="0027125E"/>
    <w:rsid w:val="00271767"/>
    <w:rsid w:val="00272263"/>
    <w:rsid w:val="00272293"/>
    <w:rsid w:val="002723C8"/>
    <w:rsid w:val="00272C7D"/>
    <w:rsid w:val="00273633"/>
    <w:rsid w:val="00273C2A"/>
    <w:rsid w:val="00273CBE"/>
    <w:rsid w:val="002746B1"/>
    <w:rsid w:val="00274BAD"/>
    <w:rsid w:val="0027614E"/>
    <w:rsid w:val="002763A3"/>
    <w:rsid w:val="00276EB8"/>
    <w:rsid w:val="0027746E"/>
    <w:rsid w:val="00277F6B"/>
    <w:rsid w:val="002807B0"/>
    <w:rsid w:val="00281071"/>
    <w:rsid w:val="00281B9B"/>
    <w:rsid w:val="0028282C"/>
    <w:rsid w:val="00282D56"/>
    <w:rsid w:val="00282EC5"/>
    <w:rsid w:val="002835B0"/>
    <w:rsid w:val="00283A4D"/>
    <w:rsid w:val="00283C74"/>
    <w:rsid w:val="0028407E"/>
    <w:rsid w:val="0028410F"/>
    <w:rsid w:val="00284572"/>
    <w:rsid w:val="002850AA"/>
    <w:rsid w:val="00285221"/>
    <w:rsid w:val="00286FB5"/>
    <w:rsid w:val="00287763"/>
    <w:rsid w:val="00290606"/>
    <w:rsid w:val="002908D0"/>
    <w:rsid w:val="002909B2"/>
    <w:rsid w:val="00291D6D"/>
    <w:rsid w:val="00291FF1"/>
    <w:rsid w:val="00292AA2"/>
    <w:rsid w:val="00293361"/>
    <w:rsid w:val="002947D7"/>
    <w:rsid w:val="00294F10"/>
    <w:rsid w:val="002952B1"/>
    <w:rsid w:val="002956E5"/>
    <w:rsid w:val="00295D11"/>
    <w:rsid w:val="00296FB6"/>
    <w:rsid w:val="0029724C"/>
    <w:rsid w:val="002A0001"/>
    <w:rsid w:val="002A0BD9"/>
    <w:rsid w:val="002A0BDB"/>
    <w:rsid w:val="002A0C3A"/>
    <w:rsid w:val="002A0DF8"/>
    <w:rsid w:val="002A0F1C"/>
    <w:rsid w:val="002A1130"/>
    <w:rsid w:val="002A1880"/>
    <w:rsid w:val="002A23B7"/>
    <w:rsid w:val="002A3950"/>
    <w:rsid w:val="002A3A57"/>
    <w:rsid w:val="002A4320"/>
    <w:rsid w:val="002A4B4F"/>
    <w:rsid w:val="002A57A8"/>
    <w:rsid w:val="002A5D75"/>
    <w:rsid w:val="002A6DEF"/>
    <w:rsid w:val="002A739E"/>
    <w:rsid w:val="002A770B"/>
    <w:rsid w:val="002B013E"/>
    <w:rsid w:val="002B058D"/>
    <w:rsid w:val="002B0796"/>
    <w:rsid w:val="002B0C16"/>
    <w:rsid w:val="002B1E01"/>
    <w:rsid w:val="002B2456"/>
    <w:rsid w:val="002B2AC5"/>
    <w:rsid w:val="002B3173"/>
    <w:rsid w:val="002B3528"/>
    <w:rsid w:val="002B3539"/>
    <w:rsid w:val="002B427F"/>
    <w:rsid w:val="002B4395"/>
    <w:rsid w:val="002B4452"/>
    <w:rsid w:val="002B4532"/>
    <w:rsid w:val="002B4C9E"/>
    <w:rsid w:val="002B4DD9"/>
    <w:rsid w:val="002B5042"/>
    <w:rsid w:val="002B51AB"/>
    <w:rsid w:val="002B57C3"/>
    <w:rsid w:val="002B5832"/>
    <w:rsid w:val="002B612E"/>
    <w:rsid w:val="002B69CC"/>
    <w:rsid w:val="002B6D71"/>
    <w:rsid w:val="002B7DC4"/>
    <w:rsid w:val="002C03AE"/>
    <w:rsid w:val="002C0418"/>
    <w:rsid w:val="002C0C1C"/>
    <w:rsid w:val="002C10A7"/>
    <w:rsid w:val="002C1190"/>
    <w:rsid w:val="002C2CC9"/>
    <w:rsid w:val="002C3539"/>
    <w:rsid w:val="002C41BF"/>
    <w:rsid w:val="002C5023"/>
    <w:rsid w:val="002C53C5"/>
    <w:rsid w:val="002C5424"/>
    <w:rsid w:val="002C54C2"/>
    <w:rsid w:val="002C5D34"/>
    <w:rsid w:val="002C60BB"/>
    <w:rsid w:val="002C661A"/>
    <w:rsid w:val="002D06EE"/>
    <w:rsid w:val="002D073E"/>
    <w:rsid w:val="002D0A40"/>
    <w:rsid w:val="002D0D6F"/>
    <w:rsid w:val="002D1E81"/>
    <w:rsid w:val="002D202D"/>
    <w:rsid w:val="002D25FC"/>
    <w:rsid w:val="002D3866"/>
    <w:rsid w:val="002D4AC6"/>
    <w:rsid w:val="002D59BF"/>
    <w:rsid w:val="002D5BF5"/>
    <w:rsid w:val="002D5EE8"/>
    <w:rsid w:val="002D63F6"/>
    <w:rsid w:val="002D6963"/>
    <w:rsid w:val="002D6CB2"/>
    <w:rsid w:val="002D7360"/>
    <w:rsid w:val="002D750C"/>
    <w:rsid w:val="002D7648"/>
    <w:rsid w:val="002D7C1B"/>
    <w:rsid w:val="002D7C80"/>
    <w:rsid w:val="002E109C"/>
    <w:rsid w:val="002E193E"/>
    <w:rsid w:val="002E1A94"/>
    <w:rsid w:val="002E1D55"/>
    <w:rsid w:val="002E26C4"/>
    <w:rsid w:val="002E2734"/>
    <w:rsid w:val="002E2AA6"/>
    <w:rsid w:val="002E30A5"/>
    <w:rsid w:val="002E47E4"/>
    <w:rsid w:val="002E4BF9"/>
    <w:rsid w:val="002E4D61"/>
    <w:rsid w:val="002E68A7"/>
    <w:rsid w:val="002E6E6C"/>
    <w:rsid w:val="002F016E"/>
    <w:rsid w:val="002F020D"/>
    <w:rsid w:val="002F03FD"/>
    <w:rsid w:val="002F0522"/>
    <w:rsid w:val="002F10DC"/>
    <w:rsid w:val="002F1351"/>
    <w:rsid w:val="002F16DD"/>
    <w:rsid w:val="002F199D"/>
    <w:rsid w:val="002F1D76"/>
    <w:rsid w:val="002F213C"/>
    <w:rsid w:val="002F2453"/>
    <w:rsid w:val="002F2607"/>
    <w:rsid w:val="002F352D"/>
    <w:rsid w:val="002F381E"/>
    <w:rsid w:val="002F3C58"/>
    <w:rsid w:val="002F4084"/>
    <w:rsid w:val="002F4A08"/>
    <w:rsid w:val="002F4ADB"/>
    <w:rsid w:val="002F4E76"/>
    <w:rsid w:val="002F531E"/>
    <w:rsid w:val="002F548D"/>
    <w:rsid w:val="002F54FB"/>
    <w:rsid w:val="002F5ACC"/>
    <w:rsid w:val="002F704B"/>
    <w:rsid w:val="002F72C3"/>
    <w:rsid w:val="002F768C"/>
    <w:rsid w:val="002F7D1E"/>
    <w:rsid w:val="002F7E89"/>
    <w:rsid w:val="00300201"/>
    <w:rsid w:val="0030025A"/>
    <w:rsid w:val="0030052F"/>
    <w:rsid w:val="003010BA"/>
    <w:rsid w:val="00302EFC"/>
    <w:rsid w:val="00303243"/>
    <w:rsid w:val="00303BCC"/>
    <w:rsid w:val="00303F2B"/>
    <w:rsid w:val="00303F8D"/>
    <w:rsid w:val="0030572D"/>
    <w:rsid w:val="0030586A"/>
    <w:rsid w:val="00305A5E"/>
    <w:rsid w:val="00305DA2"/>
    <w:rsid w:val="0030622D"/>
    <w:rsid w:val="00306811"/>
    <w:rsid w:val="00306AB8"/>
    <w:rsid w:val="00306F32"/>
    <w:rsid w:val="003074C5"/>
    <w:rsid w:val="00307A3C"/>
    <w:rsid w:val="00307FA4"/>
    <w:rsid w:val="00310290"/>
    <w:rsid w:val="003103B1"/>
    <w:rsid w:val="00310CC1"/>
    <w:rsid w:val="00310F0A"/>
    <w:rsid w:val="003118A8"/>
    <w:rsid w:val="0031192A"/>
    <w:rsid w:val="00312504"/>
    <w:rsid w:val="00312B89"/>
    <w:rsid w:val="00313026"/>
    <w:rsid w:val="00313913"/>
    <w:rsid w:val="00313DAA"/>
    <w:rsid w:val="0031421F"/>
    <w:rsid w:val="0031466A"/>
    <w:rsid w:val="00314B31"/>
    <w:rsid w:val="003151F4"/>
    <w:rsid w:val="00315569"/>
    <w:rsid w:val="00315A65"/>
    <w:rsid w:val="003165CA"/>
    <w:rsid w:val="003165D7"/>
    <w:rsid w:val="0031666B"/>
    <w:rsid w:val="00316ABE"/>
    <w:rsid w:val="00317601"/>
    <w:rsid w:val="00317BA7"/>
    <w:rsid w:val="00317EB1"/>
    <w:rsid w:val="00320BE2"/>
    <w:rsid w:val="00321886"/>
    <w:rsid w:val="00321EDC"/>
    <w:rsid w:val="003226AC"/>
    <w:rsid w:val="00323694"/>
    <w:rsid w:val="00323BE7"/>
    <w:rsid w:val="00324B26"/>
    <w:rsid w:val="00324C3A"/>
    <w:rsid w:val="00324D63"/>
    <w:rsid w:val="0032547C"/>
    <w:rsid w:val="003255AF"/>
    <w:rsid w:val="003256EB"/>
    <w:rsid w:val="003259DB"/>
    <w:rsid w:val="0032649E"/>
    <w:rsid w:val="0032795B"/>
    <w:rsid w:val="003303CD"/>
    <w:rsid w:val="003307BE"/>
    <w:rsid w:val="003314D9"/>
    <w:rsid w:val="00331653"/>
    <w:rsid w:val="00331A48"/>
    <w:rsid w:val="00331BCC"/>
    <w:rsid w:val="00332575"/>
    <w:rsid w:val="003330C9"/>
    <w:rsid w:val="0033364C"/>
    <w:rsid w:val="00334415"/>
    <w:rsid w:val="00335EA1"/>
    <w:rsid w:val="0033691E"/>
    <w:rsid w:val="00336A6A"/>
    <w:rsid w:val="00336B8B"/>
    <w:rsid w:val="00336CCB"/>
    <w:rsid w:val="003411D1"/>
    <w:rsid w:val="003416BA"/>
    <w:rsid w:val="00342148"/>
    <w:rsid w:val="00342658"/>
    <w:rsid w:val="003427BE"/>
    <w:rsid w:val="00342F99"/>
    <w:rsid w:val="00343AEA"/>
    <w:rsid w:val="00344D99"/>
    <w:rsid w:val="0034575A"/>
    <w:rsid w:val="00345F1D"/>
    <w:rsid w:val="00345F57"/>
    <w:rsid w:val="00350458"/>
    <w:rsid w:val="00350E6C"/>
    <w:rsid w:val="0035153C"/>
    <w:rsid w:val="003518A6"/>
    <w:rsid w:val="00351E7F"/>
    <w:rsid w:val="00352953"/>
    <w:rsid w:val="00353D91"/>
    <w:rsid w:val="00354062"/>
    <w:rsid w:val="0035459E"/>
    <w:rsid w:val="00354AE9"/>
    <w:rsid w:val="00355527"/>
    <w:rsid w:val="00355C0D"/>
    <w:rsid w:val="003560A6"/>
    <w:rsid w:val="003566A9"/>
    <w:rsid w:val="00356988"/>
    <w:rsid w:val="003569D3"/>
    <w:rsid w:val="00356CE9"/>
    <w:rsid w:val="003570BB"/>
    <w:rsid w:val="00357128"/>
    <w:rsid w:val="0035755E"/>
    <w:rsid w:val="00357A80"/>
    <w:rsid w:val="00360116"/>
    <w:rsid w:val="00361441"/>
    <w:rsid w:val="00361B8B"/>
    <w:rsid w:val="003629D6"/>
    <w:rsid w:val="00363F39"/>
    <w:rsid w:val="003640FC"/>
    <w:rsid w:val="0036445C"/>
    <w:rsid w:val="00364627"/>
    <w:rsid w:val="00364AB0"/>
    <w:rsid w:val="00364D71"/>
    <w:rsid w:val="00366096"/>
    <w:rsid w:val="003667B0"/>
    <w:rsid w:val="003667DD"/>
    <w:rsid w:val="00366B48"/>
    <w:rsid w:val="00366D71"/>
    <w:rsid w:val="003674FB"/>
    <w:rsid w:val="00367764"/>
    <w:rsid w:val="00367AF2"/>
    <w:rsid w:val="00370316"/>
    <w:rsid w:val="00370DC7"/>
    <w:rsid w:val="003713D7"/>
    <w:rsid w:val="003714AC"/>
    <w:rsid w:val="00371856"/>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B97"/>
    <w:rsid w:val="00380BBE"/>
    <w:rsid w:val="00380EA3"/>
    <w:rsid w:val="00381243"/>
    <w:rsid w:val="00381B1B"/>
    <w:rsid w:val="00381D70"/>
    <w:rsid w:val="0038235E"/>
    <w:rsid w:val="0038260A"/>
    <w:rsid w:val="00382618"/>
    <w:rsid w:val="003829D0"/>
    <w:rsid w:val="0038326A"/>
    <w:rsid w:val="0038444F"/>
    <w:rsid w:val="003846D0"/>
    <w:rsid w:val="00384BB9"/>
    <w:rsid w:val="003861F0"/>
    <w:rsid w:val="00387051"/>
    <w:rsid w:val="003876F0"/>
    <w:rsid w:val="00387ECF"/>
    <w:rsid w:val="003901EA"/>
    <w:rsid w:val="0039021B"/>
    <w:rsid w:val="00390353"/>
    <w:rsid w:val="00390429"/>
    <w:rsid w:val="003906A0"/>
    <w:rsid w:val="00391413"/>
    <w:rsid w:val="003923D5"/>
    <w:rsid w:val="003931AF"/>
    <w:rsid w:val="0039338D"/>
    <w:rsid w:val="0039366C"/>
    <w:rsid w:val="00393D12"/>
    <w:rsid w:val="00393EC8"/>
    <w:rsid w:val="00395E42"/>
    <w:rsid w:val="00396409"/>
    <w:rsid w:val="00396A2D"/>
    <w:rsid w:val="00396FC3"/>
    <w:rsid w:val="0039779B"/>
    <w:rsid w:val="003A13A5"/>
    <w:rsid w:val="003A13E2"/>
    <w:rsid w:val="003A1431"/>
    <w:rsid w:val="003A1A94"/>
    <w:rsid w:val="003A1FF5"/>
    <w:rsid w:val="003A204E"/>
    <w:rsid w:val="003A2B19"/>
    <w:rsid w:val="003A2D25"/>
    <w:rsid w:val="003A2DB1"/>
    <w:rsid w:val="003A5101"/>
    <w:rsid w:val="003A5728"/>
    <w:rsid w:val="003A5F98"/>
    <w:rsid w:val="003A60E7"/>
    <w:rsid w:val="003A6AE2"/>
    <w:rsid w:val="003A7092"/>
    <w:rsid w:val="003A72A1"/>
    <w:rsid w:val="003A7302"/>
    <w:rsid w:val="003A7611"/>
    <w:rsid w:val="003A7A46"/>
    <w:rsid w:val="003A7D1F"/>
    <w:rsid w:val="003A7D44"/>
    <w:rsid w:val="003B0B6A"/>
    <w:rsid w:val="003B0C41"/>
    <w:rsid w:val="003B22F7"/>
    <w:rsid w:val="003B2518"/>
    <w:rsid w:val="003B29CF"/>
    <w:rsid w:val="003B2A86"/>
    <w:rsid w:val="003B3584"/>
    <w:rsid w:val="003B3A90"/>
    <w:rsid w:val="003B3D01"/>
    <w:rsid w:val="003B51C8"/>
    <w:rsid w:val="003B534F"/>
    <w:rsid w:val="003B7A79"/>
    <w:rsid w:val="003C0FE1"/>
    <w:rsid w:val="003C151A"/>
    <w:rsid w:val="003C1D27"/>
    <w:rsid w:val="003C33A0"/>
    <w:rsid w:val="003C350C"/>
    <w:rsid w:val="003C3627"/>
    <w:rsid w:val="003C3733"/>
    <w:rsid w:val="003C3903"/>
    <w:rsid w:val="003C3BA0"/>
    <w:rsid w:val="003C4580"/>
    <w:rsid w:val="003C51C0"/>
    <w:rsid w:val="003C578F"/>
    <w:rsid w:val="003C5940"/>
    <w:rsid w:val="003C5C5E"/>
    <w:rsid w:val="003C65D3"/>
    <w:rsid w:val="003C6692"/>
    <w:rsid w:val="003C6746"/>
    <w:rsid w:val="003C7555"/>
    <w:rsid w:val="003C7898"/>
    <w:rsid w:val="003C7BB6"/>
    <w:rsid w:val="003D0FF5"/>
    <w:rsid w:val="003D11A3"/>
    <w:rsid w:val="003D1537"/>
    <w:rsid w:val="003D183C"/>
    <w:rsid w:val="003D2D1B"/>
    <w:rsid w:val="003D3558"/>
    <w:rsid w:val="003D36C0"/>
    <w:rsid w:val="003D40E5"/>
    <w:rsid w:val="003D48C7"/>
    <w:rsid w:val="003D4C27"/>
    <w:rsid w:val="003D7109"/>
    <w:rsid w:val="003D7CE8"/>
    <w:rsid w:val="003E0514"/>
    <w:rsid w:val="003E06D7"/>
    <w:rsid w:val="003E0BAA"/>
    <w:rsid w:val="003E1032"/>
    <w:rsid w:val="003E1904"/>
    <w:rsid w:val="003E285E"/>
    <w:rsid w:val="003E2BD8"/>
    <w:rsid w:val="003E3124"/>
    <w:rsid w:val="003E3300"/>
    <w:rsid w:val="003E3BC7"/>
    <w:rsid w:val="003E43D3"/>
    <w:rsid w:val="003E48E1"/>
    <w:rsid w:val="003E50F4"/>
    <w:rsid w:val="003E596B"/>
    <w:rsid w:val="003E59BB"/>
    <w:rsid w:val="003E6225"/>
    <w:rsid w:val="003E65AC"/>
    <w:rsid w:val="003E66AE"/>
    <w:rsid w:val="003E6CFE"/>
    <w:rsid w:val="003E72B9"/>
    <w:rsid w:val="003E7612"/>
    <w:rsid w:val="003E7ED4"/>
    <w:rsid w:val="003F0187"/>
    <w:rsid w:val="003F0CAA"/>
    <w:rsid w:val="003F0E52"/>
    <w:rsid w:val="003F0EE9"/>
    <w:rsid w:val="003F0F6B"/>
    <w:rsid w:val="003F1FC6"/>
    <w:rsid w:val="003F1FE3"/>
    <w:rsid w:val="003F2112"/>
    <w:rsid w:val="003F2359"/>
    <w:rsid w:val="003F2457"/>
    <w:rsid w:val="003F3232"/>
    <w:rsid w:val="003F359A"/>
    <w:rsid w:val="003F3865"/>
    <w:rsid w:val="003F38AC"/>
    <w:rsid w:val="003F3D55"/>
    <w:rsid w:val="003F44E2"/>
    <w:rsid w:val="003F4632"/>
    <w:rsid w:val="003F47BA"/>
    <w:rsid w:val="003F49F3"/>
    <w:rsid w:val="003F4FE6"/>
    <w:rsid w:val="003F5638"/>
    <w:rsid w:val="003F6617"/>
    <w:rsid w:val="003F7F36"/>
    <w:rsid w:val="00400A58"/>
    <w:rsid w:val="00400D46"/>
    <w:rsid w:val="004017E8"/>
    <w:rsid w:val="00402332"/>
    <w:rsid w:val="004025C2"/>
    <w:rsid w:val="00403195"/>
    <w:rsid w:val="004033A9"/>
    <w:rsid w:val="00403E55"/>
    <w:rsid w:val="0040407C"/>
    <w:rsid w:val="0040416C"/>
    <w:rsid w:val="004041CA"/>
    <w:rsid w:val="004044B4"/>
    <w:rsid w:val="00404681"/>
    <w:rsid w:val="004048F9"/>
    <w:rsid w:val="00404A80"/>
    <w:rsid w:val="00405445"/>
    <w:rsid w:val="00405AC1"/>
    <w:rsid w:val="00406923"/>
    <w:rsid w:val="00406F10"/>
    <w:rsid w:val="0040763D"/>
    <w:rsid w:val="00410156"/>
    <w:rsid w:val="0041038E"/>
    <w:rsid w:val="00410D17"/>
    <w:rsid w:val="0041183A"/>
    <w:rsid w:val="00412656"/>
    <w:rsid w:val="00412AA9"/>
    <w:rsid w:val="00413442"/>
    <w:rsid w:val="004134D1"/>
    <w:rsid w:val="00413821"/>
    <w:rsid w:val="00413BA5"/>
    <w:rsid w:val="004141A3"/>
    <w:rsid w:val="00414909"/>
    <w:rsid w:val="00415304"/>
    <w:rsid w:val="00415469"/>
    <w:rsid w:val="0041582F"/>
    <w:rsid w:val="00415AC9"/>
    <w:rsid w:val="00415CF3"/>
    <w:rsid w:val="00416112"/>
    <w:rsid w:val="004167AD"/>
    <w:rsid w:val="0041716A"/>
    <w:rsid w:val="00417A18"/>
    <w:rsid w:val="00417AE0"/>
    <w:rsid w:val="00417BAA"/>
    <w:rsid w:val="0042042B"/>
    <w:rsid w:val="00420B45"/>
    <w:rsid w:val="00420D7A"/>
    <w:rsid w:val="00421257"/>
    <w:rsid w:val="00421315"/>
    <w:rsid w:val="00422193"/>
    <w:rsid w:val="004223DE"/>
    <w:rsid w:val="00422645"/>
    <w:rsid w:val="00422A10"/>
    <w:rsid w:val="00424D17"/>
    <w:rsid w:val="004259FC"/>
    <w:rsid w:val="00425DFD"/>
    <w:rsid w:val="00425EA9"/>
    <w:rsid w:val="004263A3"/>
    <w:rsid w:val="0042711B"/>
    <w:rsid w:val="00427713"/>
    <w:rsid w:val="00427C77"/>
    <w:rsid w:val="00427CCC"/>
    <w:rsid w:val="0043013A"/>
    <w:rsid w:val="00430421"/>
    <w:rsid w:val="00430A36"/>
    <w:rsid w:val="00430B4F"/>
    <w:rsid w:val="00431084"/>
    <w:rsid w:val="004310D7"/>
    <w:rsid w:val="0043180D"/>
    <w:rsid w:val="004322D6"/>
    <w:rsid w:val="00432589"/>
    <w:rsid w:val="00432A94"/>
    <w:rsid w:val="00432C95"/>
    <w:rsid w:val="00433827"/>
    <w:rsid w:val="00433A40"/>
    <w:rsid w:val="00434B70"/>
    <w:rsid w:val="004355EF"/>
    <w:rsid w:val="004360C8"/>
    <w:rsid w:val="00436823"/>
    <w:rsid w:val="004371D5"/>
    <w:rsid w:val="0043773F"/>
    <w:rsid w:val="00437FBF"/>
    <w:rsid w:val="0044006B"/>
    <w:rsid w:val="0044033F"/>
    <w:rsid w:val="00440576"/>
    <w:rsid w:val="00440630"/>
    <w:rsid w:val="00440E07"/>
    <w:rsid w:val="0044142F"/>
    <w:rsid w:val="00441F0F"/>
    <w:rsid w:val="00442965"/>
    <w:rsid w:val="004432B6"/>
    <w:rsid w:val="00444157"/>
    <w:rsid w:val="0044417C"/>
    <w:rsid w:val="00444DB3"/>
    <w:rsid w:val="00445617"/>
    <w:rsid w:val="00445A2F"/>
    <w:rsid w:val="0044680A"/>
    <w:rsid w:val="0044684E"/>
    <w:rsid w:val="0044697A"/>
    <w:rsid w:val="00446E3E"/>
    <w:rsid w:val="00446F22"/>
    <w:rsid w:val="0045019F"/>
    <w:rsid w:val="004503A4"/>
    <w:rsid w:val="00450555"/>
    <w:rsid w:val="004506FA"/>
    <w:rsid w:val="00450DC6"/>
    <w:rsid w:val="00450FE5"/>
    <w:rsid w:val="004516A5"/>
    <w:rsid w:val="00451E9C"/>
    <w:rsid w:val="00452145"/>
    <w:rsid w:val="004522D0"/>
    <w:rsid w:val="0045280F"/>
    <w:rsid w:val="00452E73"/>
    <w:rsid w:val="004535AE"/>
    <w:rsid w:val="00453C53"/>
    <w:rsid w:val="0045444D"/>
    <w:rsid w:val="0045463A"/>
    <w:rsid w:val="00454AC9"/>
    <w:rsid w:val="00455050"/>
    <w:rsid w:val="004554A3"/>
    <w:rsid w:val="00455626"/>
    <w:rsid w:val="00455A6E"/>
    <w:rsid w:val="00455EAD"/>
    <w:rsid w:val="004578EB"/>
    <w:rsid w:val="00457A34"/>
    <w:rsid w:val="00457F74"/>
    <w:rsid w:val="004604D5"/>
    <w:rsid w:val="004605C6"/>
    <w:rsid w:val="00460697"/>
    <w:rsid w:val="0046117B"/>
    <w:rsid w:val="00461FC2"/>
    <w:rsid w:val="004632B9"/>
    <w:rsid w:val="00464AB7"/>
    <w:rsid w:val="00465DE5"/>
    <w:rsid w:val="00466103"/>
    <w:rsid w:val="00467A83"/>
    <w:rsid w:val="00467EF8"/>
    <w:rsid w:val="00470006"/>
    <w:rsid w:val="004701E6"/>
    <w:rsid w:val="00470611"/>
    <w:rsid w:val="00470848"/>
    <w:rsid w:val="00471AC3"/>
    <w:rsid w:val="00472429"/>
    <w:rsid w:val="004725E5"/>
    <w:rsid w:val="00472751"/>
    <w:rsid w:val="00473128"/>
    <w:rsid w:val="00473F4F"/>
    <w:rsid w:val="004748A5"/>
    <w:rsid w:val="00475078"/>
    <w:rsid w:val="00475767"/>
    <w:rsid w:val="004779A0"/>
    <w:rsid w:val="00477F17"/>
    <w:rsid w:val="00480363"/>
    <w:rsid w:val="004808E3"/>
    <w:rsid w:val="00481016"/>
    <w:rsid w:val="004819E1"/>
    <w:rsid w:val="0048204C"/>
    <w:rsid w:val="004821BB"/>
    <w:rsid w:val="0048237A"/>
    <w:rsid w:val="004826FE"/>
    <w:rsid w:val="004827D5"/>
    <w:rsid w:val="00482AF2"/>
    <w:rsid w:val="004830C9"/>
    <w:rsid w:val="00483347"/>
    <w:rsid w:val="00483A21"/>
    <w:rsid w:val="00483E2E"/>
    <w:rsid w:val="004847B3"/>
    <w:rsid w:val="00484B69"/>
    <w:rsid w:val="00485406"/>
    <w:rsid w:val="0048590F"/>
    <w:rsid w:val="004864D4"/>
    <w:rsid w:val="00486D60"/>
    <w:rsid w:val="00486DBC"/>
    <w:rsid w:val="00491FA1"/>
    <w:rsid w:val="00492A25"/>
    <w:rsid w:val="004938A3"/>
    <w:rsid w:val="004950A6"/>
    <w:rsid w:val="0049558B"/>
    <w:rsid w:val="00496026"/>
    <w:rsid w:val="00496350"/>
    <w:rsid w:val="0049765E"/>
    <w:rsid w:val="00497843"/>
    <w:rsid w:val="0049797C"/>
    <w:rsid w:val="004A1405"/>
    <w:rsid w:val="004A1465"/>
    <w:rsid w:val="004A15BD"/>
    <w:rsid w:val="004A1E28"/>
    <w:rsid w:val="004A1FC6"/>
    <w:rsid w:val="004A2E5F"/>
    <w:rsid w:val="004A38C2"/>
    <w:rsid w:val="004A3968"/>
    <w:rsid w:val="004A3C03"/>
    <w:rsid w:val="004A3DB7"/>
    <w:rsid w:val="004A463B"/>
    <w:rsid w:val="004A5088"/>
    <w:rsid w:val="004A50E5"/>
    <w:rsid w:val="004A5255"/>
    <w:rsid w:val="004A61CA"/>
    <w:rsid w:val="004A6693"/>
    <w:rsid w:val="004A6B28"/>
    <w:rsid w:val="004A6CB0"/>
    <w:rsid w:val="004A70FF"/>
    <w:rsid w:val="004A7EDE"/>
    <w:rsid w:val="004B0D93"/>
    <w:rsid w:val="004B19C8"/>
    <w:rsid w:val="004B1FA4"/>
    <w:rsid w:val="004B29AC"/>
    <w:rsid w:val="004B2BF9"/>
    <w:rsid w:val="004B35DF"/>
    <w:rsid w:val="004B3627"/>
    <w:rsid w:val="004B3837"/>
    <w:rsid w:val="004B4922"/>
    <w:rsid w:val="004B57DF"/>
    <w:rsid w:val="004B5976"/>
    <w:rsid w:val="004B66FD"/>
    <w:rsid w:val="004B6E54"/>
    <w:rsid w:val="004B722E"/>
    <w:rsid w:val="004B72E8"/>
    <w:rsid w:val="004B771A"/>
    <w:rsid w:val="004C01A5"/>
    <w:rsid w:val="004C0412"/>
    <w:rsid w:val="004C0882"/>
    <w:rsid w:val="004C0C95"/>
    <w:rsid w:val="004C2138"/>
    <w:rsid w:val="004C2B69"/>
    <w:rsid w:val="004C302E"/>
    <w:rsid w:val="004C3940"/>
    <w:rsid w:val="004C51FD"/>
    <w:rsid w:val="004C5A37"/>
    <w:rsid w:val="004C5ED7"/>
    <w:rsid w:val="004C65A8"/>
    <w:rsid w:val="004C6689"/>
    <w:rsid w:val="004C6BF3"/>
    <w:rsid w:val="004C7408"/>
    <w:rsid w:val="004C7850"/>
    <w:rsid w:val="004D139A"/>
    <w:rsid w:val="004D14DC"/>
    <w:rsid w:val="004D17C6"/>
    <w:rsid w:val="004D2858"/>
    <w:rsid w:val="004D2E49"/>
    <w:rsid w:val="004D35BA"/>
    <w:rsid w:val="004D38E5"/>
    <w:rsid w:val="004D3A48"/>
    <w:rsid w:val="004D3C5A"/>
    <w:rsid w:val="004D449A"/>
    <w:rsid w:val="004D4701"/>
    <w:rsid w:val="004D47C7"/>
    <w:rsid w:val="004D4B2B"/>
    <w:rsid w:val="004D4F35"/>
    <w:rsid w:val="004D51EE"/>
    <w:rsid w:val="004D5C03"/>
    <w:rsid w:val="004D5D45"/>
    <w:rsid w:val="004D618D"/>
    <w:rsid w:val="004D62A9"/>
    <w:rsid w:val="004D6FC3"/>
    <w:rsid w:val="004D7299"/>
    <w:rsid w:val="004D7476"/>
    <w:rsid w:val="004D7716"/>
    <w:rsid w:val="004E0306"/>
    <w:rsid w:val="004E0572"/>
    <w:rsid w:val="004E1641"/>
    <w:rsid w:val="004E1818"/>
    <w:rsid w:val="004E1990"/>
    <w:rsid w:val="004E1F92"/>
    <w:rsid w:val="004E209C"/>
    <w:rsid w:val="004E2186"/>
    <w:rsid w:val="004E25A8"/>
    <w:rsid w:val="004E2B53"/>
    <w:rsid w:val="004E31A2"/>
    <w:rsid w:val="004E3930"/>
    <w:rsid w:val="004E3A23"/>
    <w:rsid w:val="004E3ED9"/>
    <w:rsid w:val="004E4961"/>
    <w:rsid w:val="004E53AB"/>
    <w:rsid w:val="004E5866"/>
    <w:rsid w:val="004E5ABF"/>
    <w:rsid w:val="004E6097"/>
    <w:rsid w:val="004E61EF"/>
    <w:rsid w:val="004E63C6"/>
    <w:rsid w:val="004E6805"/>
    <w:rsid w:val="004E76A7"/>
    <w:rsid w:val="004E7B03"/>
    <w:rsid w:val="004E7F95"/>
    <w:rsid w:val="004F0064"/>
    <w:rsid w:val="004F06AC"/>
    <w:rsid w:val="004F0E50"/>
    <w:rsid w:val="004F1D2A"/>
    <w:rsid w:val="004F243F"/>
    <w:rsid w:val="004F252C"/>
    <w:rsid w:val="004F2EDB"/>
    <w:rsid w:val="004F36A3"/>
    <w:rsid w:val="004F3E0C"/>
    <w:rsid w:val="004F4308"/>
    <w:rsid w:val="004F4892"/>
    <w:rsid w:val="004F4D2C"/>
    <w:rsid w:val="004F5C3B"/>
    <w:rsid w:val="004F5DA0"/>
    <w:rsid w:val="004F7160"/>
    <w:rsid w:val="00500258"/>
    <w:rsid w:val="005005F6"/>
    <w:rsid w:val="00500B2D"/>
    <w:rsid w:val="005011C5"/>
    <w:rsid w:val="0050130B"/>
    <w:rsid w:val="00501A99"/>
    <w:rsid w:val="00502456"/>
    <w:rsid w:val="00503180"/>
    <w:rsid w:val="005038A4"/>
    <w:rsid w:val="00504C56"/>
    <w:rsid w:val="00504CD4"/>
    <w:rsid w:val="0050524B"/>
    <w:rsid w:val="00505450"/>
    <w:rsid w:val="00505FC6"/>
    <w:rsid w:val="00506DA6"/>
    <w:rsid w:val="00507170"/>
    <w:rsid w:val="005100B7"/>
    <w:rsid w:val="005105DE"/>
    <w:rsid w:val="00510923"/>
    <w:rsid w:val="005113C9"/>
    <w:rsid w:val="00511656"/>
    <w:rsid w:val="00512050"/>
    <w:rsid w:val="00512055"/>
    <w:rsid w:val="0051280C"/>
    <w:rsid w:val="00512842"/>
    <w:rsid w:val="005128BE"/>
    <w:rsid w:val="0051356F"/>
    <w:rsid w:val="00513E7C"/>
    <w:rsid w:val="005140BB"/>
    <w:rsid w:val="00514FBE"/>
    <w:rsid w:val="00514FD9"/>
    <w:rsid w:val="0051550A"/>
    <w:rsid w:val="00515E31"/>
    <w:rsid w:val="0051608F"/>
    <w:rsid w:val="00516480"/>
    <w:rsid w:val="00520EF8"/>
    <w:rsid w:val="005210F7"/>
    <w:rsid w:val="00521753"/>
    <w:rsid w:val="00521C64"/>
    <w:rsid w:val="0052239D"/>
    <w:rsid w:val="005224EE"/>
    <w:rsid w:val="00522879"/>
    <w:rsid w:val="00522FB8"/>
    <w:rsid w:val="00522FFE"/>
    <w:rsid w:val="0052363A"/>
    <w:rsid w:val="00523BB1"/>
    <w:rsid w:val="005241A0"/>
    <w:rsid w:val="00524B23"/>
    <w:rsid w:val="0052511C"/>
    <w:rsid w:val="00525235"/>
    <w:rsid w:val="0052570E"/>
    <w:rsid w:val="005260CD"/>
    <w:rsid w:val="00526253"/>
    <w:rsid w:val="00526265"/>
    <w:rsid w:val="00526332"/>
    <w:rsid w:val="0052655D"/>
    <w:rsid w:val="005265E0"/>
    <w:rsid w:val="00526BC3"/>
    <w:rsid w:val="00530064"/>
    <w:rsid w:val="00530440"/>
    <w:rsid w:val="00530FF0"/>
    <w:rsid w:val="005313CA"/>
    <w:rsid w:val="00531761"/>
    <w:rsid w:val="0053248F"/>
    <w:rsid w:val="005327AB"/>
    <w:rsid w:val="00532F9C"/>
    <w:rsid w:val="00533055"/>
    <w:rsid w:val="0053332A"/>
    <w:rsid w:val="0053358A"/>
    <w:rsid w:val="00534668"/>
    <w:rsid w:val="005348CA"/>
    <w:rsid w:val="00534DDD"/>
    <w:rsid w:val="00535291"/>
    <w:rsid w:val="00535A94"/>
    <w:rsid w:val="00536BB0"/>
    <w:rsid w:val="00537874"/>
    <w:rsid w:val="0053795F"/>
    <w:rsid w:val="00537D3D"/>
    <w:rsid w:val="00540511"/>
    <w:rsid w:val="00540578"/>
    <w:rsid w:val="00540808"/>
    <w:rsid w:val="0054080E"/>
    <w:rsid w:val="00540D1A"/>
    <w:rsid w:val="00540DE5"/>
    <w:rsid w:val="00540EA1"/>
    <w:rsid w:val="00541E5A"/>
    <w:rsid w:val="00542769"/>
    <w:rsid w:val="00543066"/>
    <w:rsid w:val="0054358E"/>
    <w:rsid w:val="00543AF4"/>
    <w:rsid w:val="00543CD2"/>
    <w:rsid w:val="00543F53"/>
    <w:rsid w:val="00544191"/>
    <w:rsid w:val="0054440C"/>
    <w:rsid w:val="00544850"/>
    <w:rsid w:val="005448EC"/>
    <w:rsid w:val="00544C0A"/>
    <w:rsid w:val="00544F39"/>
    <w:rsid w:val="00544F7E"/>
    <w:rsid w:val="005452DC"/>
    <w:rsid w:val="005457FB"/>
    <w:rsid w:val="00545C5B"/>
    <w:rsid w:val="00546B96"/>
    <w:rsid w:val="00546F90"/>
    <w:rsid w:val="005477F7"/>
    <w:rsid w:val="00547EFB"/>
    <w:rsid w:val="00550186"/>
    <w:rsid w:val="00550192"/>
    <w:rsid w:val="00550BD9"/>
    <w:rsid w:val="005522F2"/>
    <w:rsid w:val="005531DF"/>
    <w:rsid w:val="00553874"/>
    <w:rsid w:val="00553DCE"/>
    <w:rsid w:val="005541E0"/>
    <w:rsid w:val="005543B3"/>
    <w:rsid w:val="00554577"/>
    <w:rsid w:val="005545A1"/>
    <w:rsid w:val="00554AD8"/>
    <w:rsid w:val="00554F78"/>
    <w:rsid w:val="00555102"/>
    <w:rsid w:val="00555DA1"/>
    <w:rsid w:val="00556288"/>
    <w:rsid w:val="005562FB"/>
    <w:rsid w:val="00556731"/>
    <w:rsid w:val="00556BF7"/>
    <w:rsid w:val="00556E53"/>
    <w:rsid w:val="00557868"/>
    <w:rsid w:val="00557F60"/>
    <w:rsid w:val="00560D81"/>
    <w:rsid w:val="00561730"/>
    <w:rsid w:val="00561B97"/>
    <w:rsid w:val="00562149"/>
    <w:rsid w:val="0056248C"/>
    <w:rsid w:val="005640EB"/>
    <w:rsid w:val="00565559"/>
    <w:rsid w:val="00565EB3"/>
    <w:rsid w:val="005666A4"/>
    <w:rsid w:val="00567B5D"/>
    <w:rsid w:val="00567D10"/>
    <w:rsid w:val="00570593"/>
    <w:rsid w:val="00570757"/>
    <w:rsid w:val="0057257D"/>
    <w:rsid w:val="00573293"/>
    <w:rsid w:val="00573733"/>
    <w:rsid w:val="00573E08"/>
    <w:rsid w:val="00573F8B"/>
    <w:rsid w:val="005743E0"/>
    <w:rsid w:val="00574554"/>
    <w:rsid w:val="00574E06"/>
    <w:rsid w:val="005751BB"/>
    <w:rsid w:val="00575713"/>
    <w:rsid w:val="00576089"/>
    <w:rsid w:val="005764B1"/>
    <w:rsid w:val="00576852"/>
    <w:rsid w:val="00576D06"/>
    <w:rsid w:val="005779E4"/>
    <w:rsid w:val="00580B89"/>
    <w:rsid w:val="00580EC7"/>
    <w:rsid w:val="00581262"/>
    <w:rsid w:val="00581EA9"/>
    <w:rsid w:val="0058289C"/>
    <w:rsid w:val="005836C7"/>
    <w:rsid w:val="0058408E"/>
    <w:rsid w:val="005844C3"/>
    <w:rsid w:val="005847D9"/>
    <w:rsid w:val="00585374"/>
    <w:rsid w:val="005854CA"/>
    <w:rsid w:val="00585FAB"/>
    <w:rsid w:val="0058607D"/>
    <w:rsid w:val="005901F6"/>
    <w:rsid w:val="00590B77"/>
    <w:rsid w:val="00590D9A"/>
    <w:rsid w:val="005913A3"/>
    <w:rsid w:val="00591A5A"/>
    <w:rsid w:val="00592C40"/>
    <w:rsid w:val="00593B28"/>
    <w:rsid w:val="005940D4"/>
    <w:rsid w:val="00594A7B"/>
    <w:rsid w:val="0059569A"/>
    <w:rsid w:val="0059580E"/>
    <w:rsid w:val="00595D90"/>
    <w:rsid w:val="00596A6F"/>
    <w:rsid w:val="00596D11"/>
    <w:rsid w:val="00596FCE"/>
    <w:rsid w:val="00597E7E"/>
    <w:rsid w:val="005A0300"/>
    <w:rsid w:val="005A0D7B"/>
    <w:rsid w:val="005A11BC"/>
    <w:rsid w:val="005A1525"/>
    <w:rsid w:val="005A188D"/>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0AB5"/>
    <w:rsid w:val="005B21B0"/>
    <w:rsid w:val="005B2B11"/>
    <w:rsid w:val="005B32A4"/>
    <w:rsid w:val="005B3371"/>
    <w:rsid w:val="005B338D"/>
    <w:rsid w:val="005B33A1"/>
    <w:rsid w:val="005B3852"/>
    <w:rsid w:val="005B3BAF"/>
    <w:rsid w:val="005B43D5"/>
    <w:rsid w:val="005B4470"/>
    <w:rsid w:val="005B4DA3"/>
    <w:rsid w:val="005B549D"/>
    <w:rsid w:val="005B5BEE"/>
    <w:rsid w:val="005B645C"/>
    <w:rsid w:val="005B6AA9"/>
    <w:rsid w:val="005B77D2"/>
    <w:rsid w:val="005B7BDA"/>
    <w:rsid w:val="005B7EF2"/>
    <w:rsid w:val="005C0195"/>
    <w:rsid w:val="005C019B"/>
    <w:rsid w:val="005C08D0"/>
    <w:rsid w:val="005C13A3"/>
    <w:rsid w:val="005C15A1"/>
    <w:rsid w:val="005C1AED"/>
    <w:rsid w:val="005C1FCB"/>
    <w:rsid w:val="005C2136"/>
    <w:rsid w:val="005C30F5"/>
    <w:rsid w:val="005C3571"/>
    <w:rsid w:val="005C3840"/>
    <w:rsid w:val="005C3F61"/>
    <w:rsid w:val="005C51A5"/>
    <w:rsid w:val="005C557A"/>
    <w:rsid w:val="005C566F"/>
    <w:rsid w:val="005C5B5C"/>
    <w:rsid w:val="005C5BF5"/>
    <w:rsid w:val="005C5C47"/>
    <w:rsid w:val="005C5D2D"/>
    <w:rsid w:val="005C61DD"/>
    <w:rsid w:val="005C6210"/>
    <w:rsid w:val="005C6438"/>
    <w:rsid w:val="005C68D3"/>
    <w:rsid w:val="005C6B8B"/>
    <w:rsid w:val="005C727F"/>
    <w:rsid w:val="005D02E3"/>
    <w:rsid w:val="005D1F34"/>
    <w:rsid w:val="005D2388"/>
    <w:rsid w:val="005D2C1F"/>
    <w:rsid w:val="005D34B2"/>
    <w:rsid w:val="005D3B54"/>
    <w:rsid w:val="005D3E28"/>
    <w:rsid w:val="005D40CD"/>
    <w:rsid w:val="005D6B59"/>
    <w:rsid w:val="005D71C3"/>
    <w:rsid w:val="005D74D2"/>
    <w:rsid w:val="005D784B"/>
    <w:rsid w:val="005D7B90"/>
    <w:rsid w:val="005E00AF"/>
    <w:rsid w:val="005E03E4"/>
    <w:rsid w:val="005E0454"/>
    <w:rsid w:val="005E05F6"/>
    <w:rsid w:val="005E1259"/>
    <w:rsid w:val="005E19CF"/>
    <w:rsid w:val="005E1B9D"/>
    <w:rsid w:val="005E1BDA"/>
    <w:rsid w:val="005E1FE5"/>
    <w:rsid w:val="005E2442"/>
    <w:rsid w:val="005E2768"/>
    <w:rsid w:val="005E3111"/>
    <w:rsid w:val="005E3CA0"/>
    <w:rsid w:val="005E3D25"/>
    <w:rsid w:val="005E3F85"/>
    <w:rsid w:val="005E4A5F"/>
    <w:rsid w:val="005E4D86"/>
    <w:rsid w:val="005E516A"/>
    <w:rsid w:val="005E57B0"/>
    <w:rsid w:val="005E5A0F"/>
    <w:rsid w:val="005E5B01"/>
    <w:rsid w:val="005E648D"/>
    <w:rsid w:val="005E6D3B"/>
    <w:rsid w:val="005E787A"/>
    <w:rsid w:val="005E7EDD"/>
    <w:rsid w:val="005F009E"/>
    <w:rsid w:val="005F06A3"/>
    <w:rsid w:val="005F0BF9"/>
    <w:rsid w:val="005F0DF1"/>
    <w:rsid w:val="005F1516"/>
    <w:rsid w:val="005F1A6F"/>
    <w:rsid w:val="005F229E"/>
    <w:rsid w:val="005F2564"/>
    <w:rsid w:val="005F3822"/>
    <w:rsid w:val="005F4635"/>
    <w:rsid w:val="005F4900"/>
    <w:rsid w:val="005F4E52"/>
    <w:rsid w:val="005F5466"/>
    <w:rsid w:val="005F6D58"/>
    <w:rsid w:val="005F7060"/>
    <w:rsid w:val="005F7383"/>
    <w:rsid w:val="0060058E"/>
    <w:rsid w:val="00602A3C"/>
    <w:rsid w:val="00602A60"/>
    <w:rsid w:val="0060310F"/>
    <w:rsid w:val="00603EFD"/>
    <w:rsid w:val="00604628"/>
    <w:rsid w:val="0060475B"/>
    <w:rsid w:val="00604BED"/>
    <w:rsid w:val="00604FB6"/>
    <w:rsid w:val="00605387"/>
    <w:rsid w:val="00606302"/>
    <w:rsid w:val="006076FD"/>
    <w:rsid w:val="006107B1"/>
    <w:rsid w:val="00610811"/>
    <w:rsid w:val="0061143F"/>
    <w:rsid w:val="006114D8"/>
    <w:rsid w:val="00611800"/>
    <w:rsid w:val="00613553"/>
    <w:rsid w:val="00613601"/>
    <w:rsid w:val="00613791"/>
    <w:rsid w:val="006143F9"/>
    <w:rsid w:val="00614CD4"/>
    <w:rsid w:val="006150D6"/>
    <w:rsid w:val="00615245"/>
    <w:rsid w:val="0061526D"/>
    <w:rsid w:val="0061590D"/>
    <w:rsid w:val="00615C84"/>
    <w:rsid w:val="00617EEE"/>
    <w:rsid w:val="00620A1F"/>
    <w:rsid w:val="0062169D"/>
    <w:rsid w:val="00621737"/>
    <w:rsid w:val="0062181E"/>
    <w:rsid w:val="0062197C"/>
    <w:rsid w:val="0062211B"/>
    <w:rsid w:val="0062227E"/>
    <w:rsid w:val="00622BB7"/>
    <w:rsid w:val="00622C1E"/>
    <w:rsid w:val="00623389"/>
    <w:rsid w:val="00623DAA"/>
    <w:rsid w:val="00623FAF"/>
    <w:rsid w:val="00624B3E"/>
    <w:rsid w:val="0062578C"/>
    <w:rsid w:val="00625A24"/>
    <w:rsid w:val="006265C4"/>
    <w:rsid w:val="0062675C"/>
    <w:rsid w:val="0062678A"/>
    <w:rsid w:val="00626AF1"/>
    <w:rsid w:val="00626FCA"/>
    <w:rsid w:val="006270AF"/>
    <w:rsid w:val="00632F83"/>
    <w:rsid w:val="00634367"/>
    <w:rsid w:val="006364D7"/>
    <w:rsid w:val="00636554"/>
    <w:rsid w:val="006367E9"/>
    <w:rsid w:val="00636CE3"/>
    <w:rsid w:val="00640082"/>
    <w:rsid w:val="00640291"/>
    <w:rsid w:val="00640EFE"/>
    <w:rsid w:val="006416F5"/>
    <w:rsid w:val="00641D6D"/>
    <w:rsid w:val="00641FAC"/>
    <w:rsid w:val="00643664"/>
    <w:rsid w:val="00643907"/>
    <w:rsid w:val="00643CAA"/>
    <w:rsid w:val="00644F16"/>
    <w:rsid w:val="006455EB"/>
    <w:rsid w:val="006456C2"/>
    <w:rsid w:val="00645A65"/>
    <w:rsid w:val="00646238"/>
    <w:rsid w:val="00646959"/>
    <w:rsid w:val="006477F0"/>
    <w:rsid w:val="006478E4"/>
    <w:rsid w:val="00647FD1"/>
    <w:rsid w:val="006509EA"/>
    <w:rsid w:val="0065171A"/>
    <w:rsid w:val="00652680"/>
    <w:rsid w:val="00653CDE"/>
    <w:rsid w:val="00653EBF"/>
    <w:rsid w:val="00653EDB"/>
    <w:rsid w:val="00653F54"/>
    <w:rsid w:val="00654585"/>
    <w:rsid w:val="006548E4"/>
    <w:rsid w:val="00654AC8"/>
    <w:rsid w:val="0065566E"/>
    <w:rsid w:val="00655999"/>
    <w:rsid w:val="00655AB6"/>
    <w:rsid w:val="00655E2B"/>
    <w:rsid w:val="00655EFA"/>
    <w:rsid w:val="00656061"/>
    <w:rsid w:val="00656281"/>
    <w:rsid w:val="0065636A"/>
    <w:rsid w:val="00657003"/>
    <w:rsid w:val="00657CE2"/>
    <w:rsid w:val="00660238"/>
    <w:rsid w:val="006602EF"/>
    <w:rsid w:val="00661277"/>
    <w:rsid w:val="006619E0"/>
    <w:rsid w:val="00663FEA"/>
    <w:rsid w:val="00664803"/>
    <w:rsid w:val="00664934"/>
    <w:rsid w:val="00664D53"/>
    <w:rsid w:val="00664EB7"/>
    <w:rsid w:val="006657C5"/>
    <w:rsid w:val="00665D75"/>
    <w:rsid w:val="00666186"/>
    <w:rsid w:val="006661A4"/>
    <w:rsid w:val="00666AC0"/>
    <w:rsid w:val="006670E0"/>
    <w:rsid w:val="006671B8"/>
    <w:rsid w:val="00667275"/>
    <w:rsid w:val="00667532"/>
    <w:rsid w:val="0066780C"/>
    <w:rsid w:val="0066783E"/>
    <w:rsid w:val="00667E53"/>
    <w:rsid w:val="006711C4"/>
    <w:rsid w:val="006713AB"/>
    <w:rsid w:val="00672680"/>
    <w:rsid w:val="00672CA5"/>
    <w:rsid w:val="00673711"/>
    <w:rsid w:val="00673CDA"/>
    <w:rsid w:val="00673F82"/>
    <w:rsid w:val="00674F74"/>
    <w:rsid w:val="0067508F"/>
    <w:rsid w:val="00676B25"/>
    <w:rsid w:val="00677576"/>
    <w:rsid w:val="0068051E"/>
    <w:rsid w:val="00680B9D"/>
    <w:rsid w:val="00680DF1"/>
    <w:rsid w:val="00681F13"/>
    <w:rsid w:val="0068231C"/>
    <w:rsid w:val="00682344"/>
    <w:rsid w:val="006823B0"/>
    <w:rsid w:val="00682C87"/>
    <w:rsid w:val="00682F28"/>
    <w:rsid w:val="00683515"/>
    <w:rsid w:val="00684842"/>
    <w:rsid w:val="006856CA"/>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E6"/>
    <w:rsid w:val="00693186"/>
    <w:rsid w:val="00693381"/>
    <w:rsid w:val="0069375B"/>
    <w:rsid w:val="00693B6C"/>
    <w:rsid w:val="006942AE"/>
    <w:rsid w:val="0069464B"/>
    <w:rsid w:val="006947A1"/>
    <w:rsid w:val="006952AC"/>
    <w:rsid w:val="00695421"/>
    <w:rsid w:val="00696A9C"/>
    <w:rsid w:val="00697BD3"/>
    <w:rsid w:val="00697DFA"/>
    <w:rsid w:val="006A16D5"/>
    <w:rsid w:val="006A1772"/>
    <w:rsid w:val="006A1780"/>
    <w:rsid w:val="006A21DD"/>
    <w:rsid w:val="006A26C6"/>
    <w:rsid w:val="006A3302"/>
    <w:rsid w:val="006A34AF"/>
    <w:rsid w:val="006A38DA"/>
    <w:rsid w:val="006A3B28"/>
    <w:rsid w:val="006A47DC"/>
    <w:rsid w:val="006A4A4B"/>
    <w:rsid w:val="006A4FEE"/>
    <w:rsid w:val="006A5522"/>
    <w:rsid w:val="006A5549"/>
    <w:rsid w:val="006A6574"/>
    <w:rsid w:val="006A703E"/>
    <w:rsid w:val="006A7BE3"/>
    <w:rsid w:val="006A7D32"/>
    <w:rsid w:val="006A7E1A"/>
    <w:rsid w:val="006B01D1"/>
    <w:rsid w:val="006B0DF4"/>
    <w:rsid w:val="006B16EA"/>
    <w:rsid w:val="006B1780"/>
    <w:rsid w:val="006B17F3"/>
    <w:rsid w:val="006B1B60"/>
    <w:rsid w:val="006B21DC"/>
    <w:rsid w:val="006B224E"/>
    <w:rsid w:val="006B25FA"/>
    <w:rsid w:val="006B376E"/>
    <w:rsid w:val="006B4589"/>
    <w:rsid w:val="006B5157"/>
    <w:rsid w:val="006B610E"/>
    <w:rsid w:val="006B6805"/>
    <w:rsid w:val="006B6C07"/>
    <w:rsid w:val="006B6DE0"/>
    <w:rsid w:val="006B723D"/>
    <w:rsid w:val="006C1337"/>
    <w:rsid w:val="006C16C3"/>
    <w:rsid w:val="006C1FA6"/>
    <w:rsid w:val="006C2187"/>
    <w:rsid w:val="006C27D9"/>
    <w:rsid w:val="006C32F4"/>
    <w:rsid w:val="006C3C54"/>
    <w:rsid w:val="006C3CA5"/>
    <w:rsid w:val="006C3CAA"/>
    <w:rsid w:val="006C4B6B"/>
    <w:rsid w:val="006C4CE1"/>
    <w:rsid w:val="006C4F9F"/>
    <w:rsid w:val="006C54B1"/>
    <w:rsid w:val="006C698E"/>
    <w:rsid w:val="006C71A2"/>
    <w:rsid w:val="006C73EC"/>
    <w:rsid w:val="006D0997"/>
    <w:rsid w:val="006D0B19"/>
    <w:rsid w:val="006D0C1D"/>
    <w:rsid w:val="006D1BB1"/>
    <w:rsid w:val="006D2606"/>
    <w:rsid w:val="006D28F3"/>
    <w:rsid w:val="006D2E9D"/>
    <w:rsid w:val="006D3B48"/>
    <w:rsid w:val="006D4305"/>
    <w:rsid w:val="006D4970"/>
    <w:rsid w:val="006D4A4E"/>
    <w:rsid w:val="006D4C42"/>
    <w:rsid w:val="006D5067"/>
    <w:rsid w:val="006D5389"/>
    <w:rsid w:val="006D53A2"/>
    <w:rsid w:val="006D5809"/>
    <w:rsid w:val="006D607E"/>
    <w:rsid w:val="006D6E12"/>
    <w:rsid w:val="006D70CB"/>
    <w:rsid w:val="006D715C"/>
    <w:rsid w:val="006D7363"/>
    <w:rsid w:val="006D774E"/>
    <w:rsid w:val="006D7F08"/>
    <w:rsid w:val="006E0754"/>
    <w:rsid w:val="006E1201"/>
    <w:rsid w:val="006E12B2"/>
    <w:rsid w:val="006E1481"/>
    <w:rsid w:val="006E2668"/>
    <w:rsid w:val="006E2C88"/>
    <w:rsid w:val="006E2D39"/>
    <w:rsid w:val="006E2FE9"/>
    <w:rsid w:val="006E32B0"/>
    <w:rsid w:val="006E348E"/>
    <w:rsid w:val="006E396A"/>
    <w:rsid w:val="006E3D63"/>
    <w:rsid w:val="006E5256"/>
    <w:rsid w:val="006E58BF"/>
    <w:rsid w:val="006E5CE6"/>
    <w:rsid w:val="006E5DD8"/>
    <w:rsid w:val="006E5EA1"/>
    <w:rsid w:val="006E6BE5"/>
    <w:rsid w:val="006E6DEE"/>
    <w:rsid w:val="006E6F44"/>
    <w:rsid w:val="006E7D4B"/>
    <w:rsid w:val="006F018A"/>
    <w:rsid w:val="006F0569"/>
    <w:rsid w:val="006F0760"/>
    <w:rsid w:val="006F0D30"/>
    <w:rsid w:val="006F11E2"/>
    <w:rsid w:val="006F1A50"/>
    <w:rsid w:val="006F1A67"/>
    <w:rsid w:val="006F2574"/>
    <w:rsid w:val="006F2BF9"/>
    <w:rsid w:val="006F3231"/>
    <w:rsid w:val="006F3DE3"/>
    <w:rsid w:val="006F4787"/>
    <w:rsid w:val="006F57E6"/>
    <w:rsid w:val="006F61D8"/>
    <w:rsid w:val="006F62B7"/>
    <w:rsid w:val="006F63E7"/>
    <w:rsid w:val="006F7016"/>
    <w:rsid w:val="006F70BC"/>
    <w:rsid w:val="006F726C"/>
    <w:rsid w:val="006F7A22"/>
    <w:rsid w:val="006F7E7C"/>
    <w:rsid w:val="0070174E"/>
    <w:rsid w:val="007018DB"/>
    <w:rsid w:val="00701DE6"/>
    <w:rsid w:val="0070214F"/>
    <w:rsid w:val="00702740"/>
    <w:rsid w:val="007028E3"/>
    <w:rsid w:val="00703407"/>
    <w:rsid w:val="0070381B"/>
    <w:rsid w:val="00706759"/>
    <w:rsid w:val="0070697D"/>
    <w:rsid w:val="0070796C"/>
    <w:rsid w:val="007109BB"/>
    <w:rsid w:val="00710EBF"/>
    <w:rsid w:val="007110B8"/>
    <w:rsid w:val="0071209F"/>
    <w:rsid w:val="007123F0"/>
    <w:rsid w:val="007125A2"/>
    <w:rsid w:val="00712A68"/>
    <w:rsid w:val="00713DD9"/>
    <w:rsid w:val="00713F79"/>
    <w:rsid w:val="007148A8"/>
    <w:rsid w:val="00714A29"/>
    <w:rsid w:val="00715C14"/>
    <w:rsid w:val="00715C70"/>
    <w:rsid w:val="00715E44"/>
    <w:rsid w:val="007164B0"/>
    <w:rsid w:val="00716AC8"/>
    <w:rsid w:val="00716E54"/>
    <w:rsid w:val="00717280"/>
    <w:rsid w:val="0072033C"/>
    <w:rsid w:val="00720B1B"/>
    <w:rsid w:val="00720FBB"/>
    <w:rsid w:val="00721062"/>
    <w:rsid w:val="00721D3D"/>
    <w:rsid w:val="00721E5D"/>
    <w:rsid w:val="007229D4"/>
    <w:rsid w:val="00722AE0"/>
    <w:rsid w:val="00722C01"/>
    <w:rsid w:val="00722E35"/>
    <w:rsid w:val="007230F8"/>
    <w:rsid w:val="007233F4"/>
    <w:rsid w:val="007235E3"/>
    <w:rsid w:val="0072381D"/>
    <w:rsid w:val="00724044"/>
    <w:rsid w:val="00724120"/>
    <w:rsid w:val="007243F2"/>
    <w:rsid w:val="007248D3"/>
    <w:rsid w:val="00724DF8"/>
    <w:rsid w:val="00725137"/>
    <w:rsid w:val="00725378"/>
    <w:rsid w:val="00725C31"/>
    <w:rsid w:val="00727795"/>
    <w:rsid w:val="00727A43"/>
    <w:rsid w:val="00727DB7"/>
    <w:rsid w:val="00727DBF"/>
    <w:rsid w:val="00727FF2"/>
    <w:rsid w:val="00727FFD"/>
    <w:rsid w:val="00730550"/>
    <w:rsid w:val="00730C2A"/>
    <w:rsid w:val="00730DF1"/>
    <w:rsid w:val="00731125"/>
    <w:rsid w:val="00731434"/>
    <w:rsid w:val="00731E59"/>
    <w:rsid w:val="007323E0"/>
    <w:rsid w:val="00732911"/>
    <w:rsid w:val="00733721"/>
    <w:rsid w:val="00733DE2"/>
    <w:rsid w:val="00734142"/>
    <w:rsid w:val="00734358"/>
    <w:rsid w:val="007352EA"/>
    <w:rsid w:val="007362CC"/>
    <w:rsid w:val="0073792F"/>
    <w:rsid w:val="00740C44"/>
    <w:rsid w:val="00740C81"/>
    <w:rsid w:val="00740DA6"/>
    <w:rsid w:val="0074197B"/>
    <w:rsid w:val="00741B4B"/>
    <w:rsid w:val="00741D1E"/>
    <w:rsid w:val="00741DD6"/>
    <w:rsid w:val="00741EE2"/>
    <w:rsid w:val="0074207F"/>
    <w:rsid w:val="00742118"/>
    <w:rsid w:val="00742367"/>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E2"/>
    <w:rsid w:val="00747E6D"/>
    <w:rsid w:val="007502D0"/>
    <w:rsid w:val="007504BF"/>
    <w:rsid w:val="007506CD"/>
    <w:rsid w:val="00751520"/>
    <w:rsid w:val="0075267F"/>
    <w:rsid w:val="007526EC"/>
    <w:rsid w:val="00753B8A"/>
    <w:rsid w:val="00753C48"/>
    <w:rsid w:val="00754250"/>
    <w:rsid w:val="00754FE4"/>
    <w:rsid w:val="00755216"/>
    <w:rsid w:val="00756236"/>
    <w:rsid w:val="00756271"/>
    <w:rsid w:val="00756348"/>
    <w:rsid w:val="00756521"/>
    <w:rsid w:val="00756AB7"/>
    <w:rsid w:val="0075756F"/>
    <w:rsid w:val="00757975"/>
    <w:rsid w:val="00760B3A"/>
    <w:rsid w:val="0076106D"/>
    <w:rsid w:val="007623FB"/>
    <w:rsid w:val="00762517"/>
    <w:rsid w:val="00763240"/>
    <w:rsid w:val="0076376A"/>
    <w:rsid w:val="007643A1"/>
    <w:rsid w:val="007648AD"/>
    <w:rsid w:val="0076504E"/>
    <w:rsid w:val="0076767E"/>
    <w:rsid w:val="00767BFD"/>
    <w:rsid w:val="00767EA0"/>
    <w:rsid w:val="0077068F"/>
    <w:rsid w:val="00771EDF"/>
    <w:rsid w:val="00772530"/>
    <w:rsid w:val="00772A90"/>
    <w:rsid w:val="00772F8D"/>
    <w:rsid w:val="007730D7"/>
    <w:rsid w:val="0077408D"/>
    <w:rsid w:val="00774270"/>
    <w:rsid w:val="007743F6"/>
    <w:rsid w:val="00775679"/>
    <w:rsid w:val="0077574F"/>
    <w:rsid w:val="00775823"/>
    <w:rsid w:val="00776206"/>
    <w:rsid w:val="00777153"/>
    <w:rsid w:val="007777CC"/>
    <w:rsid w:val="00777B32"/>
    <w:rsid w:val="0078051E"/>
    <w:rsid w:val="00780A3E"/>
    <w:rsid w:val="00781089"/>
    <w:rsid w:val="00781CB6"/>
    <w:rsid w:val="007838F3"/>
    <w:rsid w:val="0078419B"/>
    <w:rsid w:val="00785612"/>
    <w:rsid w:val="007856FE"/>
    <w:rsid w:val="00785F46"/>
    <w:rsid w:val="007865F4"/>
    <w:rsid w:val="00786D5C"/>
    <w:rsid w:val="00786E96"/>
    <w:rsid w:val="00787022"/>
    <w:rsid w:val="00787412"/>
    <w:rsid w:val="00787BB6"/>
    <w:rsid w:val="00787DFF"/>
    <w:rsid w:val="00787F93"/>
    <w:rsid w:val="00791E6D"/>
    <w:rsid w:val="00791EB5"/>
    <w:rsid w:val="00792377"/>
    <w:rsid w:val="0079343F"/>
    <w:rsid w:val="00793696"/>
    <w:rsid w:val="00793F13"/>
    <w:rsid w:val="00794800"/>
    <w:rsid w:val="007955DA"/>
    <w:rsid w:val="00796F65"/>
    <w:rsid w:val="007A11C2"/>
    <w:rsid w:val="007A1781"/>
    <w:rsid w:val="007A18BB"/>
    <w:rsid w:val="007A2489"/>
    <w:rsid w:val="007A27DD"/>
    <w:rsid w:val="007A41BF"/>
    <w:rsid w:val="007A490A"/>
    <w:rsid w:val="007A53B6"/>
    <w:rsid w:val="007A7289"/>
    <w:rsid w:val="007A7B95"/>
    <w:rsid w:val="007B0297"/>
    <w:rsid w:val="007B02FA"/>
    <w:rsid w:val="007B0F53"/>
    <w:rsid w:val="007B110A"/>
    <w:rsid w:val="007B1A4D"/>
    <w:rsid w:val="007B2027"/>
    <w:rsid w:val="007B21AE"/>
    <w:rsid w:val="007B2570"/>
    <w:rsid w:val="007B3113"/>
    <w:rsid w:val="007B3304"/>
    <w:rsid w:val="007B3BF0"/>
    <w:rsid w:val="007B42A6"/>
    <w:rsid w:val="007B65DB"/>
    <w:rsid w:val="007B6927"/>
    <w:rsid w:val="007B6B18"/>
    <w:rsid w:val="007B7490"/>
    <w:rsid w:val="007B7C13"/>
    <w:rsid w:val="007B7C61"/>
    <w:rsid w:val="007C00B9"/>
    <w:rsid w:val="007C0525"/>
    <w:rsid w:val="007C06DB"/>
    <w:rsid w:val="007C13F7"/>
    <w:rsid w:val="007C1D77"/>
    <w:rsid w:val="007C218D"/>
    <w:rsid w:val="007C254F"/>
    <w:rsid w:val="007C2590"/>
    <w:rsid w:val="007C2D28"/>
    <w:rsid w:val="007C32FD"/>
    <w:rsid w:val="007C3E22"/>
    <w:rsid w:val="007C5022"/>
    <w:rsid w:val="007C58C1"/>
    <w:rsid w:val="007C5B39"/>
    <w:rsid w:val="007C5CAB"/>
    <w:rsid w:val="007C6218"/>
    <w:rsid w:val="007C6484"/>
    <w:rsid w:val="007C67C6"/>
    <w:rsid w:val="007C78BE"/>
    <w:rsid w:val="007C7A5D"/>
    <w:rsid w:val="007C7E59"/>
    <w:rsid w:val="007D0476"/>
    <w:rsid w:val="007D0B91"/>
    <w:rsid w:val="007D0FE7"/>
    <w:rsid w:val="007D1197"/>
    <w:rsid w:val="007D1452"/>
    <w:rsid w:val="007D1563"/>
    <w:rsid w:val="007D26DC"/>
    <w:rsid w:val="007D3AEF"/>
    <w:rsid w:val="007D3DCB"/>
    <w:rsid w:val="007D4601"/>
    <w:rsid w:val="007D460C"/>
    <w:rsid w:val="007D4996"/>
    <w:rsid w:val="007D4AD3"/>
    <w:rsid w:val="007D4E63"/>
    <w:rsid w:val="007D5C58"/>
    <w:rsid w:val="007D5D19"/>
    <w:rsid w:val="007D5FDC"/>
    <w:rsid w:val="007D6176"/>
    <w:rsid w:val="007D641C"/>
    <w:rsid w:val="007D69CD"/>
    <w:rsid w:val="007D6D68"/>
    <w:rsid w:val="007D7A0D"/>
    <w:rsid w:val="007E066C"/>
    <w:rsid w:val="007E194F"/>
    <w:rsid w:val="007E201B"/>
    <w:rsid w:val="007E250B"/>
    <w:rsid w:val="007E2EA3"/>
    <w:rsid w:val="007E2EE9"/>
    <w:rsid w:val="007E32DA"/>
    <w:rsid w:val="007E3B60"/>
    <w:rsid w:val="007E4998"/>
    <w:rsid w:val="007E4A9C"/>
    <w:rsid w:val="007E4D78"/>
    <w:rsid w:val="007E5248"/>
    <w:rsid w:val="007E5C4F"/>
    <w:rsid w:val="007E6914"/>
    <w:rsid w:val="007E74D6"/>
    <w:rsid w:val="007E7F78"/>
    <w:rsid w:val="007F0179"/>
    <w:rsid w:val="007F0FF8"/>
    <w:rsid w:val="007F148A"/>
    <w:rsid w:val="007F2640"/>
    <w:rsid w:val="007F2C13"/>
    <w:rsid w:val="007F2CEC"/>
    <w:rsid w:val="007F2ED1"/>
    <w:rsid w:val="007F326F"/>
    <w:rsid w:val="007F3435"/>
    <w:rsid w:val="007F456D"/>
    <w:rsid w:val="007F505D"/>
    <w:rsid w:val="007F531B"/>
    <w:rsid w:val="007F54CF"/>
    <w:rsid w:val="007F55DE"/>
    <w:rsid w:val="007F5BAC"/>
    <w:rsid w:val="007F6153"/>
    <w:rsid w:val="007F718F"/>
    <w:rsid w:val="007F762D"/>
    <w:rsid w:val="007F78F0"/>
    <w:rsid w:val="007F78FF"/>
    <w:rsid w:val="008001C5"/>
    <w:rsid w:val="00800F6C"/>
    <w:rsid w:val="00801065"/>
    <w:rsid w:val="0080138D"/>
    <w:rsid w:val="00802C0B"/>
    <w:rsid w:val="00804206"/>
    <w:rsid w:val="00805040"/>
    <w:rsid w:val="008051FC"/>
    <w:rsid w:val="008055A9"/>
    <w:rsid w:val="008056C4"/>
    <w:rsid w:val="008057FD"/>
    <w:rsid w:val="00805D8B"/>
    <w:rsid w:val="00805F62"/>
    <w:rsid w:val="00806C33"/>
    <w:rsid w:val="008075DB"/>
    <w:rsid w:val="0081010F"/>
    <w:rsid w:val="00810BB6"/>
    <w:rsid w:val="00810E8E"/>
    <w:rsid w:val="00811F1D"/>
    <w:rsid w:val="00812C44"/>
    <w:rsid w:val="008135E1"/>
    <w:rsid w:val="00813779"/>
    <w:rsid w:val="00813792"/>
    <w:rsid w:val="00813AA2"/>
    <w:rsid w:val="00813E26"/>
    <w:rsid w:val="00814321"/>
    <w:rsid w:val="0081481D"/>
    <w:rsid w:val="00814BE8"/>
    <w:rsid w:val="00814D94"/>
    <w:rsid w:val="00814F6E"/>
    <w:rsid w:val="00815ABB"/>
    <w:rsid w:val="00815B84"/>
    <w:rsid w:val="00816342"/>
    <w:rsid w:val="008166F6"/>
    <w:rsid w:val="00816BE9"/>
    <w:rsid w:val="00817D10"/>
    <w:rsid w:val="00821191"/>
    <w:rsid w:val="00822518"/>
    <w:rsid w:val="008226F5"/>
    <w:rsid w:val="00823FC6"/>
    <w:rsid w:val="00824306"/>
    <w:rsid w:val="00824B1F"/>
    <w:rsid w:val="00825C74"/>
    <w:rsid w:val="00825CFA"/>
    <w:rsid w:val="00825F10"/>
    <w:rsid w:val="00826556"/>
    <w:rsid w:val="00826AB9"/>
    <w:rsid w:val="00826E0E"/>
    <w:rsid w:val="00827D11"/>
    <w:rsid w:val="00827E0F"/>
    <w:rsid w:val="00827F6E"/>
    <w:rsid w:val="0083077E"/>
    <w:rsid w:val="00830C11"/>
    <w:rsid w:val="00830E66"/>
    <w:rsid w:val="008310C9"/>
    <w:rsid w:val="00831758"/>
    <w:rsid w:val="008317D9"/>
    <w:rsid w:val="00831AEC"/>
    <w:rsid w:val="0083279F"/>
    <w:rsid w:val="00832CE9"/>
    <w:rsid w:val="008334DB"/>
    <w:rsid w:val="00833B7F"/>
    <w:rsid w:val="00833B82"/>
    <w:rsid w:val="00833E8E"/>
    <w:rsid w:val="00834906"/>
    <w:rsid w:val="00836075"/>
    <w:rsid w:val="00836417"/>
    <w:rsid w:val="00836BC6"/>
    <w:rsid w:val="00836D47"/>
    <w:rsid w:val="00837526"/>
    <w:rsid w:val="008407A7"/>
    <w:rsid w:val="00842275"/>
    <w:rsid w:val="0084322B"/>
    <w:rsid w:val="008433A0"/>
    <w:rsid w:val="00843F81"/>
    <w:rsid w:val="00844087"/>
    <w:rsid w:val="008448F1"/>
    <w:rsid w:val="0084519E"/>
    <w:rsid w:val="00845CAE"/>
    <w:rsid w:val="008462C5"/>
    <w:rsid w:val="008462FA"/>
    <w:rsid w:val="00846370"/>
    <w:rsid w:val="00846873"/>
    <w:rsid w:val="00846D33"/>
    <w:rsid w:val="00847366"/>
    <w:rsid w:val="00847544"/>
    <w:rsid w:val="008477E7"/>
    <w:rsid w:val="00847C2B"/>
    <w:rsid w:val="00850272"/>
    <w:rsid w:val="008506B9"/>
    <w:rsid w:val="0085086F"/>
    <w:rsid w:val="00850B42"/>
    <w:rsid w:val="00851822"/>
    <w:rsid w:val="00851C16"/>
    <w:rsid w:val="008532BF"/>
    <w:rsid w:val="008539B2"/>
    <w:rsid w:val="00853BF4"/>
    <w:rsid w:val="00854294"/>
    <w:rsid w:val="00854295"/>
    <w:rsid w:val="008545CE"/>
    <w:rsid w:val="0085572E"/>
    <w:rsid w:val="0085788B"/>
    <w:rsid w:val="00857A9E"/>
    <w:rsid w:val="00857D1F"/>
    <w:rsid w:val="00857DE2"/>
    <w:rsid w:val="0086003D"/>
    <w:rsid w:val="008613DD"/>
    <w:rsid w:val="0086174F"/>
    <w:rsid w:val="00861D63"/>
    <w:rsid w:val="008623B9"/>
    <w:rsid w:val="0086358C"/>
    <w:rsid w:val="00863A8E"/>
    <w:rsid w:val="0086407F"/>
    <w:rsid w:val="008644DD"/>
    <w:rsid w:val="008645E3"/>
    <w:rsid w:val="0086486A"/>
    <w:rsid w:val="00864E79"/>
    <w:rsid w:val="00864EC0"/>
    <w:rsid w:val="0086572B"/>
    <w:rsid w:val="008662E5"/>
    <w:rsid w:val="008665BC"/>
    <w:rsid w:val="00866615"/>
    <w:rsid w:val="0086661F"/>
    <w:rsid w:val="00866A0D"/>
    <w:rsid w:val="00866DB5"/>
    <w:rsid w:val="0086701D"/>
    <w:rsid w:val="0086702B"/>
    <w:rsid w:val="008672E2"/>
    <w:rsid w:val="0086784E"/>
    <w:rsid w:val="0087110C"/>
    <w:rsid w:val="0087121C"/>
    <w:rsid w:val="00871FD2"/>
    <w:rsid w:val="00872084"/>
    <w:rsid w:val="00872827"/>
    <w:rsid w:val="00872A32"/>
    <w:rsid w:val="00873653"/>
    <w:rsid w:val="0087486A"/>
    <w:rsid w:val="00874911"/>
    <w:rsid w:val="00874B79"/>
    <w:rsid w:val="008754E4"/>
    <w:rsid w:val="00876EAE"/>
    <w:rsid w:val="0087722B"/>
    <w:rsid w:val="00877305"/>
    <w:rsid w:val="00877983"/>
    <w:rsid w:val="00880106"/>
    <w:rsid w:val="00880F95"/>
    <w:rsid w:val="00881076"/>
    <w:rsid w:val="00881424"/>
    <w:rsid w:val="00881EE2"/>
    <w:rsid w:val="00882174"/>
    <w:rsid w:val="008821A0"/>
    <w:rsid w:val="00882910"/>
    <w:rsid w:val="00882B44"/>
    <w:rsid w:val="00883809"/>
    <w:rsid w:val="008838AD"/>
    <w:rsid w:val="00885381"/>
    <w:rsid w:val="0088572B"/>
    <w:rsid w:val="00885BC9"/>
    <w:rsid w:val="008864B3"/>
    <w:rsid w:val="008865E5"/>
    <w:rsid w:val="0088682F"/>
    <w:rsid w:val="008871B0"/>
    <w:rsid w:val="008905A6"/>
    <w:rsid w:val="00890B57"/>
    <w:rsid w:val="00890D07"/>
    <w:rsid w:val="008916BA"/>
    <w:rsid w:val="0089217C"/>
    <w:rsid w:val="00892476"/>
    <w:rsid w:val="00892790"/>
    <w:rsid w:val="00893671"/>
    <w:rsid w:val="008942A6"/>
    <w:rsid w:val="0089445B"/>
    <w:rsid w:val="00894979"/>
    <w:rsid w:val="00895838"/>
    <w:rsid w:val="00895A1E"/>
    <w:rsid w:val="00895A72"/>
    <w:rsid w:val="00895CDF"/>
    <w:rsid w:val="00895EE3"/>
    <w:rsid w:val="00896046"/>
    <w:rsid w:val="00896679"/>
    <w:rsid w:val="00896D8C"/>
    <w:rsid w:val="00897184"/>
    <w:rsid w:val="00897579"/>
    <w:rsid w:val="008A013B"/>
    <w:rsid w:val="008A0717"/>
    <w:rsid w:val="008A0FAC"/>
    <w:rsid w:val="008A0FC9"/>
    <w:rsid w:val="008A14C8"/>
    <w:rsid w:val="008A1956"/>
    <w:rsid w:val="008A1A7C"/>
    <w:rsid w:val="008A26AA"/>
    <w:rsid w:val="008A2990"/>
    <w:rsid w:val="008A2CE2"/>
    <w:rsid w:val="008A40D3"/>
    <w:rsid w:val="008A413F"/>
    <w:rsid w:val="008A451F"/>
    <w:rsid w:val="008A45F7"/>
    <w:rsid w:val="008A469C"/>
    <w:rsid w:val="008A50FB"/>
    <w:rsid w:val="008A51D1"/>
    <w:rsid w:val="008A5C90"/>
    <w:rsid w:val="008A5DCE"/>
    <w:rsid w:val="008A6658"/>
    <w:rsid w:val="008A75D3"/>
    <w:rsid w:val="008A7DEA"/>
    <w:rsid w:val="008A7F09"/>
    <w:rsid w:val="008B01E6"/>
    <w:rsid w:val="008B05DD"/>
    <w:rsid w:val="008B07B8"/>
    <w:rsid w:val="008B17E8"/>
    <w:rsid w:val="008B2A6F"/>
    <w:rsid w:val="008B2C45"/>
    <w:rsid w:val="008B2E7C"/>
    <w:rsid w:val="008B399A"/>
    <w:rsid w:val="008B402F"/>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11A"/>
    <w:rsid w:val="008C33AE"/>
    <w:rsid w:val="008C3618"/>
    <w:rsid w:val="008C39E7"/>
    <w:rsid w:val="008C43AD"/>
    <w:rsid w:val="008C49A3"/>
    <w:rsid w:val="008C6118"/>
    <w:rsid w:val="008C6341"/>
    <w:rsid w:val="008C653D"/>
    <w:rsid w:val="008C731F"/>
    <w:rsid w:val="008C74D9"/>
    <w:rsid w:val="008D2050"/>
    <w:rsid w:val="008D2D79"/>
    <w:rsid w:val="008D35CA"/>
    <w:rsid w:val="008D3B2D"/>
    <w:rsid w:val="008D58D9"/>
    <w:rsid w:val="008D5AD4"/>
    <w:rsid w:val="008D5E4E"/>
    <w:rsid w:val="008D5E9D"/>
    <w:rsid w:val="008D5F65"/>
    <w:rsid w:val="008D61CC"/>
    <w:rsid w:val="008D695E"/>
    <w:rsid w:val="008D6DD5"/>
    <w:rsid w:val="008D6E59"/>
    <w:rsid w:val="008D7155"/>
    <w:rsid w:val="008D76E0"/>
    <w:rsid w:val="008D7D0F"/>
    <w:rsid w:val="008E079C"/>
    <w:rsid w:val="008E0B29"/>
    <w:rsid w:val="008E141A"/>
    <w:rsid w:val="008E1A44"/>
    <w:rsid w:val="008E2859"/>
    <w:rsid w:val="008E28E6"/>
    <w:rsid w:val="008E2C57"/>
    <w:rsid w:val="008E3156"/>
    <w:rsid w:val="008E3232"/>
    <w:rsid w:val="008E3674"/>
    <w:rsid w:val="008E3977"/>
    <w:rsid w:val="008E3A08"/>
    <w:rsid w:val="008E3B6C"/>
    <w:rsid w:val="008E3DE7"/>
    <w:rsid w:val="008E5227"/>
    <w:rsid w:val="008E562C"/>
    <w:rsid w:val="008E5F43"/>
    <w:rsid w:val="008E5FB9"/>
    <w:rsid w:val="008E6540"/>
    <w:rsid w:val="008E6A1C"/>
    <w:rsid w:val="008E6FBE"/>
    <w:rsid w:val="008E77D4"/>
    <w:rsid w:val="008E7ADD"/>
    <w:rsid w:val="008F091F"/>
    <w:rsid w:val="008F1548"/>
    <w:rsid w:val="008F17B2"/>
    <w:rsid w:val="008F22B3"/>
    <w:rsid w:val="008F357B"/>
    <w:rsid w:val="008F366E"/>
    <w:rsid w:val="008F3B56"/>
    <w:rsid w:val="008F44CA"/>
    <w:rsid w:val="008F49D3"/>
    <w:rsid w:val="008F5B69"/>
    <w:rsid w:val="008F6519"/>
    <w:rsid w:val="008F6F4C"/>
    <w:rsid w:val="008F7012"/>
    <w:rsid w:val="008F7ADA"/>
    <w:rsid w:val="008F7B17"/>
    <w:rsid w:val="00900042"/>
    <w:rsid w:val="0090034B"/>
    <w:rsid w:val="00900565"/>
    <w:rsid w:val="0090077E"/>
    <w:rsid w:val="0090087C"/>
    <w:rsid w:val="00900D2F"/>
    <w:rsid w:val="00901121"/>
    <w:rsid w:val="00901B50"/>
    <w:rsid w:val="00902623"/>
    <w:rsid w:val="00902A67"/>
    <w:rsid w:val="00902C5E"/>
    <w:rsid w:val="00904BE4"/>
    <w:rsid w:val="0090504A"/>
    <w:rsid w:val="009051F5"/>
    <w:rsid w:val="00905221"/>
    <w:rsid w:val="0090530B"/>
    <w:rsid w:val="00905664"/>
    <w:rsid w:val="00905A7C"/>
    <w:rsid w:val="00905D7E"/>
    <w:rsid w:val="00906C66"/>
    <w:rsid w:val="00906DD3"/>
    <w:rsid w:val="00907037"/>
    <w:rsid w:val="00907259"/>
    <w:rsid w:val="00907929"/>
    <w:rsid w:val="00910577"/>
    <w:rsid w:val="00910C5D"/>
    <w:rsid w:val="0091112C"/>
    <w:rsid w:val="009113F2"/>
    <w:rsid w:val="0091160A"/>
    <w:rsid w:val="00912A06"/>
    <w:rsid w:val="00912E04"/>
    <w:rsid w:val="00913258"/>
    <w:rsid w:val="00913851"/>
    <w:rsid w:val="00913BB0"/>
    <w:rsid w:val="0091456C"/>
    <w:rsid w:val="00914C58"/>
    <w:rsid w:val="00914D78"/>
    <w:rsid w:val="009151FC"/>
    <w:rsid w:val="009153D3"/>
    <w:rsid w:val="0091564D"/>
    <w:rsid w:val="009156DA"/>
    <w:rsid w:val="00915774"/>
    <w:rsid w:val="00916BC5"/>
    <w:rsid w:val="0091726A"/>
    <w:rsid w:val="00917C01"/>
    <w:rsid w:val="00920184"/>
    <w:rsid w:val="00920421"/>
    <w:rsid w:val="00920E84"/>
    <w:rsid w:val="00920EA4"/>
    <w:rsid w:val="00921792"/>
    <w:rsid w:val="00921BEA"/>
    <w:rsid w:val="009227BE"/>
    <w:rsid w:val="009238FD"/>
    <w:rsid w:val="00923998"/>
    <w:rsid w:val="00923DB4"/>
    <w:rsid w:val="00924172"/>
    <w:rsid w:val="0092420B"/>
    <w:rsid w:val="0092430E"/>
    <w:rsid w:val="00924451"/>
    <w:rsid w:val="00925889"/>
    <w:rsid w:val="00925905"/>
    <w:rsid w:val="00926112"/>
    <w:rsid w:val="0092625F"/>
    <w:rsid w:val="00926B28"/>
    <w:rsid w:val="00926D9C"/>
    <w:rsid w:val="00927028"/>
    <w:rsid w:val="0092734A"/>
    <w:rsid w:val="00927763"/>
    <w:rsid w:val="00927A2D"/>
    <w:rsid w:val="00927B37"/>
    <w:rsid w:val="009314B1"/>
    <w:rsid w:val="009321B1"/>
    <w:rsid w:val="009327F0"/>
    <w:rsid w:val="00932A42"/>
    <w:rsid w:val="00932ED7"/>
    <w:rsid w:val="00933CE7"/>
    <w:rsid w:val="0093422D"/>
    <w:rsid w:val="0093483B"/>
    <w:rsid w:val="00934CF9"/>
    <w:rsid w:val="00934DD7"/>
    <w:rsid w:val="00934F9C"/>
    <w:rsid w:val="00934FEB"/>
    <w:rsid w:val="00935CB2"/>
    <w:rsid w:val="009369A9"/>
    <w:rsid w:val="00936B16"/>
    <w:rsid w:val="00936CF7"/>
    <w:rsid w:val="00937783"/>
    <w:rsid w:val="00937EAD"/>
    <w:rsid w:val="00937F28"/>
    <w:rsid w:val="00940FE1"/>
    <w:rsid w:val="00940FF2"/>
    <w:rsid w:val="0094117A"/>
    <w:rsid w:val="00941474"/>
    <w:rsid w:val="00942306"/>
    <w:rsid w:val="009424B8"/>
    <w:rsid w:val="0094286B"/>
    <w:rsid w:val="009432E2"/>
    <w:rsid w:val="00943B7C"/>
    <w:rsid w:val="00944668"/>
    <w:rsid w:val="00944DC6"/>
    <w:rsid w:val="00945829"/>
    <w:rsid w:val="009458B0"/>
    <w:rsid w:val="00945B52"/>
    <w:rsid w:val="00945B7A"/>
    <w:rsid w:val="00945F05"/>
    <w:rsid w:val="00945FE0"/>
    <w:rsid w:val="00946057"/>
    <w:rsid w:val="00946348"/>
    <w:rsid w:val="00946B10"/>
    <w:rsid w:val="00947224"/>
    <w:rsid w:val="0094742B"/>
    <w:rsid w:val="009475B1"/>
    <w:rsid w:val="00947797"/>
    <w:rsid w:val="009478A2"/>
    <w:rsid w:val="00947942"/>
    <w:rsid w:val="00950181"/>
    <w:rsid w:val="00950865"/>
    <w:rsid w:val="00950AFD"/>
    <w:rsid w:val="00950E9B"/>
    <w:rsid w:val="009533BD"/>
    <w:rsid w:val="009536FB"/>
    <w:rsid w:val="00953808"/>
    <w:rsid w:val="009539A6"/>
    <w:rsid w:val="00954032"/>
    <w:rsid w:val="00954537"/>
    <w:rsid w:val="0095472D"/>
    <w:rsid w:val="0095483A"/>
    <w:rsid w:val="00954F0F"/>
    <w:rsid w:val="00954FA2"/>
    <w:rsid w:val="00955342"/>
    <w:rsid w:val="00955D57"/>
    <w:rsid w:val="00955FBB"/>
    <w:rsid w:val="0095694B"/>
    <w:rsid w:val="00956BD5"/>
    <w:rsid w:val="00956D84"/>
    <w:rsid w:val="009577B5"/>
    <w:rsid w:val="00957D66"/>
    <w:rsid w:val="00957FA5"/>
    <w:rsid w:val="009608E6"/>
    <w:rsid w:val="00960F57"/>
    <w:rsid w:val="00961669"/>
    <w:rsid w:val="00961C90"/>
    <w:rsid w:val="00962A26"/>
    <w:rsid w:val="00965443"/>
    <w:rsid w:val="00965954"/>
    <w:rsid w:val="00965A21"/>
    <w:rsid w:val="00965E55"/>
    <w:rsid w:val="0096608E"/>
    <w:rsid w:val="00966522"/>
    <w:rsid w:val="00966926"/>
    <w:rsid w:val="00966C33"/>
    <w:rsid w:val="009678D3"/>
    <w:rsid w:val="009701C0"/>
    <w:rsid w:val="00970F18"/>
    <w:rsid w:val="00971CF1"/>
    <w:rsid w:val="00971F5D"/>
    <w:rsid w:val="009721E9"/>
    <w:rsid w:val="009722B5"/>
    <w:rsid w:val="00973772"/>
    <w:rsid w:val="00974BBB"/>
    <w:rsid w:val="0097560A"/>
    <w:rsid w:val="00975E1E"/>
    <w:rsid w:val="00975E70"/>
    <w:rsid w:val="009761DE"/>
    <w:rsid w:val="009766FA"/>
    <w:rsid w:val="00977645"/>
    <w:rsid w:val="00977944"/>
    <w:rsid w:val="00977CD6"/>
    <w:rsid w:val="0098048B"/>
    <w:rsid w:val="00980908"/>
    <w:rsid w:val="00980DF9"/>
    <w:rsid w:val="00981CD8"/>
    <w:rsid w:val="0098243D"/>
    <w:rsid w:val="00982C19"/>
    <w:rsid w:val="00982D26"/>
    <w:rsid w:val="00983168"/>
    <w:rsid w:val="00983B6E"/>
    <w:rsid w:val="00983FE5"/>
    <w:rsid w:val="00984544"/>
    <w:rsid w:val="009849E9"/>
    <w:rsid w:val="00984AFF"/>
    <w:rsid w:val="00985048"/>
    <w:rsid w:val="009855AC"/>
    <w:rsid w:val="009858D4"/>
    <w:rsid w:val="009859E4"/>
    <w:rsid w:val="00985D7F"/>
    <w:rsid w:val="009861EB"/>
    <w:rsid w:val="00987812"/>
    <w:rsid w:val="00990225"/>
    <w:rsid w:val="00991307"/>
    <w:rsid w:val="00991FAA"/>
    <w:rsid w:val="00992A13"/>
    <w:rsid w:val="00992CEC"/>
    <w:rsid w:val="00993C27"/>
    <w:rsid w:val="00993DB1"/>
    <w:rsid w:val="00994AAD"/>
    <w:rsid w:val="00995150"/>
    <w:rsid w:val="009956BA"/>
    <w:rsid w:val="00995B89"/>
    <w:rsid w:val="00995D67"/>
    <w:rsid w:val="00996B85"/>
    <w:rsid w:val="00997613"/>
    <w:rsid w:val="009A013B"/>
    <w:rsid w:val="009A02F4"/>
    <w:rsid w:val="009A06BF"/>
    <w:rsid w:val="009A0D17"/>
    <w:rsid w:val="009A2494"/>
    <w:rsid w:val="009A2A89"/>
    <w:rsid w:val="009A32B1"/>
    <w:rsid w:val="009A33A3"/>
    <w:rsid w:val="009A36F2"/>
    <w:rsid w:val="009A40C3"/>
    <w:rsid w:val="009A40D5"/>
    <w:rsid w:val="009A47F7"/>
    <w:rsid w:val="009A5268"/>
    <w:rsid w:val="009A57D0"/>
    <w:rsid w:val="009A6559"/>
    <w:rsid w:val="009A68FC"/>
    <w:rsid w:val="009A6CE4"/>
    <w:rsid w:val="009A7514"/>
    <w:rsid w:val="009A7665"/>
    <w:rsid w:val="009A787D"/>
    <w:rsid w:val="009A7E7A"/>
    <w:rsid w:val="009B0925"/>
    <w:rsid w:val="009B1584"/>
    <w:rsid w:val="009B18F0"/>
    <w:rsid w:val="009B1F4C"/>
    <w:rsid w:val="009B2203"/>
    <w:rsid w:val="009B2471"/>
    <w:rsid w:val="009B314F"/>
    <w:rsid w:val="009B32B3"/>
    <w:rsid w:val="009B439C"/>
    <w:rsid w:val="009B49A1"/>
    <w:rsid w:val="009B4A6C"/>
    <w:rsid w:val="009B4DA8"/>
    <w:rsid w:val="009B4FA6"/>
    <w:rsid w:val="009B519A"/>
    <w:rsid w:val="009B620C"/>
    <w:rsid w:val="009B6454"/>
    <w:rsid w:val="009B6753"/>
    <w:rsid w:val="009B676C"/>
    <w:rsid w:val="009B6A26"/>
    <w:rsid w:val="009C079D"/>
    <w:rsid w:val="009C0C12"/>
    <w:rsid w:val="009C0D70"/>
    <w:rsid w:val="009C1282"/>
    <w:rsid w:val="009C13D1"/>
    <w:rsid w:val="009C2913"/>
    <w:rsid w:val="009C2BD4"/>
    <w:rsid w:val="009C334C"/>
    <w:rsid w:val="009C5314"/>
    <w:rsid w:val="009C5AFE"/>
    <w:rsid w:val="009C6606"/>
    <w:rsid w:val="009C6CE5"/>
    <w:rsid w:val="009C6D50"/>
    <w:rsid w:val="009C70EE"/>
    <w:rsid w:val="009C72B2"/>
    <w:rsid w:val="009C7547"/>
    <w:rsid w:val="009D05EC"/>
    <w:rsid w:val="009D0822"/>
    <w:rsid w:val="009D18D4"/>
    <w:rsid w:val="009D1FCF"/>
    <w:rsid w:val="009D2F60"/>
    <w:rsid w:val="009D3A2E"/>
    <w:rsid w:val="009D4C2E"/>
    <w:rsid w:val="009D4E78"/>
    <w:rsid w:val="009D5ADE"/>
    <w:rsid w:val="009D5BAC"/>
    <w:rsid w:val="009D5C56"/>
    <w:rsid w:val="009D6265"/>
    <w:rsid w:val="009D64BD"/>
    <w:rsid w:val="009D6CB1"/>
    <w:rsid w:val="009E0286"/>
    <w:rsid w:val="009E153F"/>
    <w:rsid w:val="009E18C5"/>
    <w:rsid w:val="009E2B98"/>
    <w:rsid w:val="009E322A"/>
    <w:rsid w:val="009E3483"/>
    <w:rsid w:val="009E393E"/>
    <w:rsid w:val="009E444E"/>
    <w:rsid w:val="009E454D"/>
    <w:rsid w:val="009E4968"/>
    <w:rsid w:val="009E663C"/>
    <w:rsid w:val="009E684A"/>
    <w:rsid w:val="009E6BB1"/>
    <w:rsid w:val="009E6E14"/>
    <w:rsid w:val="009E794A"/>
    <w:rsid w:val="009E7C14"/>
    <w:rsid w:val="009F0494"/>
    <w:rsid w:val="009F0CD9"/>
    <w:rsid w:val="009F1A79"/>
    <w:rsid w:val="009F1F57"/>
    <w:rsid w:val="009F2DDD"/>
    <w:rsid w:val="009F3447"/>
    <w:rsid w:val="009F446D"/>
    <w:rsid w:val="009F65F4"/>
    <w:rsid w:val="009F6763"/>
    <w:rsid w:val="009F676B"/>
    <w:rsid w:val="009F6D2D"/>
    <w:rsid w:val="009F6D54"/>
    <w:rsid w:val="00A004DF"/>
    <w:rsid w:val="00A00FD5"/>
    <w:rsid w:val="00A012C0"/>
    <w:rsid w:val="00A019A8"/>
    <w:rsid w:val="00A01B03"/>
    <w:rsid w:val="00A01B89"/>
    <w:rsid w:val="00A02C66"/>
    <w:rsid w:val="00A02C84"/>
    <w:rsid w:val="00A03842"/>
    <w:rsid w:val="00A04394"/>
    <w:rsid w:val="00A0464C"/>
    <w:rsid w:val="00A048DA"/>
    <w:rsid w:val="00A050BB"/>
    <w:rsid w:val="00A05128"/>
    <w:rsid w:val="00A0521B"/>
    <w:rsid w:val="00A054E0"/>
    <w:rsid w:val="00A05D91"/>
    <w:rsid w:val="00A0740B"/>
    <w:rsid w:val="00A07ED3"/>
    <w:rsid w:val="00A10162"/>
    <w:rsid w:val="00A10CA8"/>
    <w:rsid w:val="00A10D5A"/>
    <w:rsid w:val="00A11042"/>
    <w:rsid w:val="00A12579"/>
    <w:rsid w:val="00A12CDC"/>
    <w:rsid w:val="00A12E1D"/>
    <w:rsid w:val="00A133D8"/>
    <w:rsid w:val="00A13553"/>
    <w:rsid w:val="00A13F58"/>
    <w:rsid w:val="00A14154"/>
    <w:rsid w:val="00A14382"/>
    <w:rsid w:val="00A15480"/>
    <w:rsid w:val="00A15655"/>
    <w:rsid w:val="00A160B0"/>
    <w:rsid w:val="00A1740C"/>
    <w:rsid w:val="00A17904"/>
    <w:rsid w:val="00A20069"/>
    <w:rsid w:val="00A2244D"/>
    <w:rsid w:val="00A2253D"/>
    <w:rsid w:val="00A2267F"/>
    <w:rsid w:val="00A22CDB"/>
    <w:rsid w:val="00A24274"/>
    <w:rsid w:val="00A247B8"/>
    <w:rsid w:val="00A2495A"/>
    <w:rsid w:val="00A24C7A"/>
    <w:rsid w:val="00A24D8F"/>
    <w:rsid w:val="00A25366"/>
    <w:rsid w:val="00A25B8B"/>
    <w:rsid w:val="00A2689F"/>
    <w:rsid w:val="00A26B0E"/>
    <w:rsid w:val="00A26ECA"/>
    <w:rsid w:val="00A272C6"/>
    <w:rsid w:val="00A27461"/>
    <w:rsid w:val="00A27AE5"/>
    <w:rsid w:val="00A27D67"/>
    <w:rsid w:val="00A30ABC"/>
    <w:rsid w:val="00A320F4"/>
    <w:rsid w:val="00A3267D"/>
    <w:rsid w:val="00A33372"/>
    <w:rsid w:val="00A33B74"/>
    <w:rsid w:val="00A3467F"/>
    <w:rsid w:val="00A34B4C"/>
    <w:rsid w:val="00A35030"/>
    <w:rsid w:val="00A3551A"/>
    <w:rsid w:val="00A36015"/>
    <w:rsid w:val="00A366A0"/>
    <w:rsid w:val="00A36952"/>
    <w:rsid w:val="00A37209"/>
    <w:rsid w:val="00A37381"/>
    <w:rsid w:val="00A37584"/>
    <w:rsid w:val="00A376E8"/>
    <w:rsid w:val="00A37F8E"/>
    <w:rsid w:val="00A4103C"/>
    <w:rsid w:val="00A411DA"/>
    <w:rsid w:val="00A41537"/>
    <w:rsid w:val="00A41678"/>
    <w:rsid w:val="00A41737"/>
    <w:rsid w:val="00A42A50"/>
    <w:rsid w:val="00A42B8F"/>
    <w:rsid w:val="00A42D8E"/>
    <w:rsid w:val="00A43254"/>
    <w:rsid w:val="00A43896"/>
    <w:rsid w:val="00A43951"/>
    <w:rsid w:val="00A43A26"/>
    <w:rsid w:val="00A447A0"/>
    <w:rsid w:val="00A4505E"/>
    <w:rsid w:val="00A455EA"/>
    <w:rsid w:val="00A459F5"/>
    <w:rsid w:val="00A45FC0"/>
    <w:rsid w:val="00A4655A"/>
    <w:rsid w:val="00A468C7"/>
    <w:rsid w:val="00A46B74"/>
    <w:rsid w:val="00A47BF7"/>
    <w:rsid w:val="00A47ECC"/>
    <w:rsid w:val="00A50171"/>
    <w:rsid w:val="00A50418"/>
    <w:rsid w:val="00A504FA"/>
    <w:rsid w:val="00A509D6"/>
    <w:rsid w:val="00A50B5D"/>
    <w:rsid w:val="00A5102E"/>
    <w:rsid w:val="00A5132E"/>
    <w:rsid w:val="00A51375"/>
    <w:rsid w:val="00A51533"/>
    <w:rsid w:val="00A516D4"/>
    <w:rsid w:val="00A51A07"/>
    <w:rsid w:val="00A531D4"/>
    <w:rsid w:val="00A53622"/>
    <w:rsid w:val="00A53736"/>
    <w:rsid w:val="00A54572"/>
    <w:rsid w:val="00A559D8"/>
    <w:rsid w:val="00A575B8"/>
    <w:rsid w:val="00A6020A"/>
    <w:rsid w:val="00A60CE7"/>
    <w:rsid w:val="00A60CF8"/>
    <w:rsid w:val="00A61854"/>
    <w:rsid w:val="00A619BB"/>
    <w:rsid w:val="00A61C60"/>
    <w:rsid w:val="00A61ECB"/>
    <w:rsid w:val="00A63FE9"/>
    <w:rsid w:val="00A6410C"/>
    <w:rsid w:val="00A647B1"/>
    <w:rsid w:val="00A64B35"/>
    <w:rsid w:val="00A64DEF"/>
    <w:rsid w:val="00A65311"/>
    <w:rsid w:val="00A654D2"/>
    <w:rsid w:val="00A665DF"/>
    <w:rsid w:val="00A673F1"/>
    <w:rsid w:val="00A674DB"/>
    <w:rsid w:val="00A67625"/>
    <w:rsid w:val="00A6766F"/>
    <w:rsid w:val="00A67FCC"/>
    <w:rsid w:val="00A70AA5"/>
    <w:rsid w:val="00A70C03"/>
    <w:rsid w:val="00A71256"/>
    <w:rsid w:val="00A7147C"/>
    <w:rsid w:val="00A71CB8"/>
    <w:rsid w:val="00A7217B"/>
    <w:rsid w:val="00A722D7"/>
    <w:rsid w:val="00A723A3"/>
    <w:rsid w:val="00A73861"/>
    <w:rsid w:val="00A739A6"/>
    <w:rsid w:val="00A73C97"/>
    <w:rsid w:val="00A740ED"/>
    <w:rsid w:val="00A74C29"/>
    <w:rsid w:val="00A74C62"/>
    <w:rsid w:val="00A75A70"/>
    <w:rsid w:val="00A75EF9"/>
    <w:rsid w:val="00A7642C"/>
    <w:rsid w:val="00A7657C"/>
    <w:rsid w:val="00A76B5E"/>
    <w:rsid w:val="00A76E4E"/>
    <w:rsid w:val="00A80A28"/>
    <w:rsid w:val="00A80A5D"/>
    <w:rsid w:val="00A81ECA"/>
    <w:rsid w:val="00A82764"/>
    <w:rsid w:val="00A8311C"/>
    <w:rsid w:val="00A835D0"/>
    <w:rsid w:val="00A83821"/>
    <w:rsid w:val="00A83C98"/>
    <w:rsid w:val="00A84150"/>
    <w:rsid w:val="00A84761"/>
    <w:rsid w:val="00A84C5F"/>
    <w:rsid w:val="00A85240"/>
    <w:rsid w:val="00A85930"/>
    <w:rsid w:val="00A863F7"/>
    <w:rsid w:val="00A86604"/>
    <w:rsid w:val="00A86ACC"/>
    <w:rsid w:val="00A87519"/>
    <w:rsid w:val="00A90213"/>
    <w:rsid w:val="00A90870"/>
    <w:rsid w:val="00A9246D"/>
    <w:rsid w:val="00A92CCA"/>
    <w:rsid w:val="00A93BD0"/>
    <w:rsid w:val="00A93CC2"/>
    <w:rsid w:val="00A9430B"/>
    <w:rsid w:val="00A94D4B"/>
    <w:rsid w:val="00A950C6"/>
    <w:rsid w:val="00A956AC"/>
    <w:rsid w:val="00A95A90"/>
    <w:rsid w:val="00A974CC"/>
    <w:rsid w:val="00A97EE7"/>
    <w:rsid w:val="00A97FC3"/>
    <w:rsid w:val="00AA01E3"/>
    <w:rsid w:val="00AA0A68"/>
    <w:rsid w:val="00AA1F34"/>
    <w:rsid w:val="00AA2001"/>
    <w:rsid w:val="00AA2B5C"/>
    <w:rsid w:val="00AA32D2"/>
    <w:rsid w:val="00AA33AA"/>
    <w:rsid w:val="00AA3B8B"/>
    <w:rsid w:val="00AA4016"/>
    <w:rsid w:val="00AA4C1F"/>
    <w:rsid w:val="00AA5328"/>
    <w:rsid w:val="00AA5393"/>
    <w:rsid w:val="00AA63D4"/>
    <w:rsid w:val="00AB03FD"/>
    <w:rsid w:val="00AB09B8"/>
    <w:rsid w:val="00AB199F"/>
    <w:rsid w:val="00AB1C40"/>
    <w:rsid w:val="00AB2000"/>
    <w:rsid w:val="00AB21CC"/>
    <w:rsid w:val="00AB29FA"/>
    <w:rsid w:val="00AB2C06"/>
    <w:rsid w:val="00AB38CB"/>
    <w:rsid w:val="00AB3BEC"/>
    <w:rsid w:val="00AB4080"/>
    <w:rsid w:val="00AB44E4"/>
    <w:rsid w:val="00AB4AEB"/>
    <w:rsid w:val="00AB4E5F"/>
    <w:rsid w:val="00AB5352"/>
    <w:rsid w:val="00AB56AE"/>
    <w:rsid w:val="00AB5EB1"/>
    <w:rsid w:val="00AB62D5"/>
    <w:rsid w:val="00AB65B5"/>
    <w:rsid w:val="00AB6DCD"/>
    <w:rsid w:val="00AB6EE0"/>
    <w:rsid w:val="00AB7D43"/>
    <w:rsid w:val="00AC0AAF"/>
    <w:rsid w:val="00AC17A2"/>
    <w:rsid w:val="00AC3096"/>
    <w:rsid w:val="00AC33F3"/>
    <w:rsid w:val="00AC40B7"/>
    <w:rsid w:val="00AC531F"/>
    <w:rsid w:val="00AC5B36"/>
    <w:rsid w:val="00AC6377"/>
    <w:rsid w:val="00AC651A"/>
    <w:rsid w:val="00AC66A4"/>
    <w:rsid w:val="00AC6CB1"/>
    <w:rsid w:val="00AC75E9"/>
    <w:rsid w:val="00AC7D6D"/>
    <w:rsid w:val="00AC7D76"/>
    <w:rsid w:val="00AD0091"/>
    <w:rsid w:val="00AD04C1"/>
    <w:rsid w:val="00AD1119"/>
    <w:rsid w:val="00AD1315"/>
    <w:rsid w:val="00AD23EF"/>
    <w:rsid w:val="00AD2662"/>
    <w:rsid w:val="00AD2A14"/>
    <w:rsid w:val="00AD307B"/>
    <w:rsid w:val="00AD36D2"/>
    <w:rsid w:val="00AD3992"/>
    <w:rsid w:val="00AD4014"/>
    <w:rsid w:val="00AD41B3"/>
    <w:rsid w:val="00AD5721"/>
    <w:rsid w:val="00AD69F0"/>
    <w:rsid w:val="00AD7127"/>
    <w:rsid w:val="00AD72E3"/>
    <w:rsid w:val="00AD730C"/>
    <w:rsid w:val="00AE08AB"/>
    <w:rsid w:val="00AE0F90"/>
    <w:rsid w:val="00AE123A"/>
    <w:rsid w:val="00AE1539"/>
    <w:rsid w:val="00AE28A7"/>
    <w:rsid w:val="00AE2A98"/>
    <w:rsid w:val="00AE2CF2"/>
    <w:rsid w:val="00AE2F19"/>
    <w:rsid w:val="00AE3012"/>
    <w:rsid w:val="00AE3297"/>
    <w:rsid w:val="00AE33A6"/>
    <w:rsid w:val="00AE3513"/>
    <w:rsid w:val="00AE3729"/>
    <w:rsid w:val="00AE3C81"/>
    <w:rsid w:val="00AE4A3E"/>
    <w:rsid w:val="00AE4CCE"/>
    <w:rsid w:val="00AE58BF"/>
    <w:rsid w:val="00AE5C6A"/>
    <w:rsid w:val="00AE7058"/>
    <w:rsid w:val="00AE7280"/>
    <w:rsid w:val="00AE7B5F"/>
    <w:rsid w:val="00AF01FA"/>
    <w:rsid w:val="00AF033A"/>
    <w:rsid w:val="00AF118E"/>
    <w:rsid w:val="00AF132D"/>
    <w:rsid w:val="00AF1658"/>
    <w:rsid w:val="00AF1699"/>
    <w:rsid w:val="00AF18D1"/>
    <w:rsid w:val="00AF1BA4"/>
    <w:rsid w:val="00AF1FD3"/>
    <w:rsid w:val="00AF2910"/>
    <w:rsid w:val="00AF31C3"/>
    <w:rsid w:val="00AF34B8"/>
    <w:rsid w:val="00AF3896"/>
    <w:rsid w:val="00AF39C9"/>
    <w:rsid w:val="00AF3DB7"/>
    <w:rsid w:val="00AF3F97"/>
    <w:rsid w:val="00AF3FC2"/>
    <w:rsid w:val="00AF4687"/>
    <w:rsid w:val="00AF4DEC"/>
    <w:rsid w:val="00AF6541"/>
    <w:rsid w:val="00AF6B57"/>
    <w:rsid w:val="00B0025F"/>
    <w:rsid w:val="00B003FF"/>
    <w:rsid w:val="00B0098A"/>
    <w:rsid w:val="00B00A5F"/>
    <w:rsid w:val="00B029B8"/>
    <w:rsid w:val="00B02F60"/>
    <w:rsid w:val="00B02F94"/>
    <w:rsid w:val="00B032B8"/>
    <w:rsid w:val="00B03765"/>
    <w:rsid w:val="00B0396A"/>
    <w:rsid w:val="00B046D9"/>
    <w:rsid w:val="00B04721"/>
    <w:rsid w:val="00B04B15"/>
    <w:rsid w:val="00B04B46"/>
    <w:rsid w:val="00B0534D"/>
    <w:rsid w:val="00B05685"/>
    <w:rsid w:val="00B0597C"/>
    <w:rsid w:val="00B05F9F"/>
    <w:rsid w:val="00B06070"/>
    <w:rsid w:val="00B06368"/>
    <w:rsid w:val="00B068DA"/>
    <w:rsid w:val="00B06A00"/>
    <w:rsid w:val="00B06FC6"/>
    <w:rsid w:val="00B0710D"/>
    <w:rsid w:val="00B074C9"/>
    <w:rsid w:val="00B07A70"/>
    <w:rsid w:val="00B07D9D"/>
    <w:rsid w:val="00B11AE5"/>
    <w:rsid w:val="00B12263"/>
    <w:rsid w:val="00B12FE6"/>
    <w:rsid w:val="00B1303F"/>
    <w:rsid w:val="00B1364A"/>
    <w:rsid w:val="00B13859"/>
    <w:rsid w:val="00B13EC9"/>
    <w:rsid w:val="00B14319"/>
    <w:rsid w:val="00B14A06"/>
    <w:rsid w:val="00B158E1"/>
    <w:rsid w:val="00B16715"/>
    <w:rsid w:val="00B16FFA"/>
    <w:rsid w:val="00B1768E"/>
    <w:rsid w:val="00B17910"/>
    <w:rsid w:val="00B20E62"/>
    <w:rsid w:val="00B20F18"/>
    <w:rsid w:val="00B21516"/>
    <w:rsid w:val="00B219D9"/>
    <w:rsid w:val="00B21A37"/>
    <w:rsid w:val="00B21D23"/>
    <w:rsid w:val="00B21F62"/>
    <w:rsid w:val="00B223A4"/>
    <w:rsid w:val="00B22CE0"/>
    <w:rsid w:val="00B232BF"/>
    <w:rsid w:val="00B23738"/>
    <w:rsid w:val="00B23BEF"/>
    <w:rsid w:val="00B247BB"/>
    <w:rsid w:val="00B2504A"/>
    <w:rsid w:val="00B25EE6"/>
    <w:rsid w:val="00B3115A"/>
    <w:rsid w:val="00B3178B"/>
    <w:rsid w:val="00B31825"/>
    <w:rsid w:val="00B31A5C"/>
    <w:rsid w:val="00B32265"/>
    <w:rsid w:val="00B3276D"/>
    <w:rsid w:val="00B33331"/>
    <w:rsid w:val="00B333C8"/>
    <w:rsid w:val="00B33B06"/>
    <w:rsid w:val="00B33C19"/>
    <w:rsid w:val="00B3462E"/>
    <w:rsid w:val="00B35A15"/>
    <w:rsid w:val="00B35B45"/>
    <w:rsid w:val="00B36165"/>
    <w:rsid w:val="00B36A99"/>
    <w:rsid w:val="00B37395"/>
    <w:rsid w:val="00B40C29"/>
    <w:rsid w:val="00B414F5"/>
    <w:rsid w:val="00B42264"/>
    <w:rsid w:val="00B434B2"/>
    <w:rsid w:val="00B43ADF"/>
    <w:rsid w:val="00B43B9E"/>
    <w:rsid w:val="00B43D45"/>
    <w:rsid w:val="00B459AF"/>
    <w:rsid w:val="00B468F2"/>
    <w:rsid w:val="00B469DE"/>
    <w:rsid w:val="00B47286"/>
    <w:rsid w:val="00B47EB4"/>
    <w:rsid w:val="00B50234"/>
    <w:rsid w:val="00B5052F"/>
    <w:rsid w:val="00B51641"/>
    <w:rsid w:val="00B51BF4"/>
    <w:rsid w:val="00B52279"/>
    <w:rsid w:val="00B522D7"/>
    <w:rsid w:val="00B527AD"/>
    <w:rsid w:val="00B52C68"/>
    <w:rsid w:val="00B5372B"/>
    <w:rsid w:val="00B542FE"/>
    <w:rsid w:val="00B54360"/>
    <w:rsid w:val="00B5514F"/>
    <w:rsid w:val="00B55A1B"/>
    <w:rsid w:val="00B561DB"/>
    <w:rsid w:val="00B5645C"/>
    <w:rsid w:val="00B56DF9"/>
    <w:rsid w:val="00B56E80"/>
    <w:rsid w:val="00B571F1"/>
    <w:rsid w:val="00B600BD"/>
    <w:rsid w:val="00B60E4E"/>
    <w:rsid w:val="00B61274"/>
    <w:rsid w:val="00B61DCE"/>
    <w:rsid w:val="00B62188"/>
    <w:rsid w:val="00B621D6"/>
    <w:rsid w:val="00B622E3"/>
    <w:rsid w:val="00B62F79"/>
    <w:rsid w:val="00B62F82"/>
    <w:rsid w:val="00B63028"/>
    <w:rsid w:val="00B6306A"/>
    <w:rsid w:val="00B635E3"/>
    <w:rsid w:val="00B64B9A"/>
    <w:rsid w:val="00B662FF"/>
    <w:rsid w:val="00B665B8"/>
    <w:rsid w:val="00B665F6"/>
    <w:rsid w:val="00B66679"/>
    <w:rsid w:val="00B70145"/>
    <w:rsid w:val="00B701C9"/>
    <w:rsid w:val="00B710AD"/>
    <w:rsid w:val="00B71A92"/>
    <w:rsid w:val="00B721D8"/>
    <w:rsid w:val="00B730CA"/>
    <w:rsid w:val="00B732EA"/>
    <w:rsid w:val="00B73747"/>
    <w:rsid w:val="00B747C5"/>
    <w:rsid w:val="00B74F2F"/>
    <w:rsid w:val="00B753ED"/>
    <w:rsid w:val="00B7665F"/>
    <w:rsid w:val="00B769BC"/>
    <w:rsid w:val="00B770F7"/>
    <w:rsid w:val="00B77349"/>
    <w:rsid w:val="00B7761E"/>
    <w:rsid w:val="00B8095D"/>
    <w:rsid w:val="00B80A3D"/>
    <w:rsid w:val="00B80B04"/>
    <w:rsid w:val="00B821E4"/>
    <w:rsid w:val="00B823E0"/>
    <w:rsid w:val="00B8260D"/>
    <w:rsid w:val="00B8286F"/>
    <w:rsid w:val="00B82B78"/>
    <w:rsid w:val="00B82FD9"/>
    <w:rsid w:val="00B845B4"/>
    <w:rsid w:val="00B84662"/>
    <w:rsid w:val="00B84C74"/>
    <w:rsid w:val="00B84CE9"/>
    <w:rsid w:val="00B84F6E"/>
    <w:rsid w:val="00B8502D"/>
    <w:rsid w:val="00B85191"/>
    <w:rsid w:val="00B85412"/>
    <w:rsid w:val="00B855A6"/>
    <w:rsid w:val="00B858A1"/>
    <w:rsid w:val="00B85FEC"/>
    <w:rsid w:val="00B864A3"/>
    <w:rsid w:val="00B86C2A"/>
    <w:rsid w:val="00B87575"/>
    <w:rsid w:val="00B902A5"/>
    <w:rsid w:val="00B90420"/>
    <w:rsid w:val="00B90848"/>
    <w:rsid w:val="00B91146"/>
    <w:rsid w:val="00B913E4"/>
    <w:rsid w:val="00B91DB9"/>
    <w:rsid w:val="00B91FF3"/>
    <w:rsid w:val="00B925F8"/>
    <w:rsid w:val="00B92B18"/>
    <w:rsid w:val="00B9330A"/>
    <w:rsid w:val="00B93EFE"/>
    <w:rsid w:val="00B944B9"/>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1D87"/>
    <w:rsid w:val="00BA2471"/>
    <w:rsid w:val="00BA305B"/>
    <w:rsid w:val="00BA31BF"/>
    <w:rsid w:val="00BA3C0F"/>
    <w:rsid w:val="00BA3FC7"/>
    <w:rsid w:val="00BA478B"/>
    <w:rsid w:val="00BA5224"/>
    <w:rsid w:val="00BA575E"/>
    <w:rsid w:val="00BA67B1"/>
    <w:rsid w:val="00BA756D"/>
    <w:rsid w:val="00BA76B7"/>
    <w:rsid w:val="00BA7E3B"/>
    <w:rsid w:val="00BB078D"/>
    <w:rsid w:val="00BB079C"/>
    <w:rsid w:val="00BB0D7A"/>
    <w:rsid w:val="00BB10E1"/>
    <w:rsid w:val="00BB2471"/>
    <w:rsid w:val="00BB3035"/>
    <w:rsid w:val="00BB39C1"/>
    <w:rsid w:val="00BB3DF5"/>
    <w:rsid w:val="00BB3EA7"/>
    <w:rsid w:val="00BB45BC"/>
    <w:rsid w:val="00BB5D16"/>
    <w:rsid w:val="00BB6180"/>
    <w:rsid w:val="00BB69DC"/>
    <w:rsid w:val="00BB69E6"/>
    <w:rsid w:val="00BB7323"/>
    <w:rsid w:val="00BB73CA"/>
    <w:rsid w:val="00BB7BE5"/>
    <w:rsid w:val="00BB7C6D"/>
    <w:rsid w:val="00BC08BD"/>
    <w:rsid w:val="00BC1002"/>
    <w:rsid w:val="00BC11E8"/>
    <w:rsid w:val="00BC1418"/>
    <w:rsid w:val="00BC1B7A"/>
    <w:rsid w:val="00BC2C17"/>
    <w:rsid w:val="00BC3149"/>
    <w:rsid w:val="00BC35FB"/>
    <w:rsid w:val="00BC3ACD"/>
    <w:rsid w:val="00BC3B20"/>
    <w:rsid w:val="00BC3EE4"/>
    <w:rsid w:val="00BC577D"/>
    <w:rsid w:val="00BC588C"/>
    <w:rsid w:val="00BC6E73"/>
    <w:rsid w:val="00BC74D3"/>
    <w:rsid w:val="00BC7806"/>
    <w:rsid w:val="00BD0014"/>
    <w:rsid w:val="00BD01D8"/>
    <w:rsid w:val="00BD255F"/>
    <w:rsid w:val="00BD2895"/>
    <w:rsid w:val="00BD37B2"/>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2260"/>
    <w:rsid w:val="00BE2826"/>
    <w:rsid w:val="00BE2F75"/>
    <w:rsid w:val="00BE3917"/>
    <w:rsid w:val="00BE3D7E"/>
    <w:rsid w:val="00BE4A76"/>
    <w:rsid w:val="00BE4E87"/>
    <w:rsid w:val="00BE50FD"/>
    <w:rsid w:val="00BE51CA"/>
    <w:rsid w:val="00BE537F"/>
    <w:rsid w:val="00BE5D77"/>
    <w:rsid w:val="00BE630A"/>
    <w:rsid w:val="00BE638C"/>
    <w:rsid w:val="00BE6914"/>
    <w:rsid w:val="00BE6D47"/>
    <w:rsid w:val="00BE6F9B"/>
    <w:rsid w:val="00BE6FBF"/>
    <w:rsid w:val="00BE7032"/>
    <w:rsid w:val="00BE7330"/>
    <w:rsid w:val="00BE77A7"/>
    <w:rsid w:val="00BF01C5"/>
    <w:rsid w:val="00BF061A"/>
    <w:rsid w:val="00BF066A"/>
    <w:rsid w:val="00BF0926"/>
    <w:rsid w:val="00BF14CC"/>
    <w:rsid w:val="00BF1821"/>
    <w:rsid w:val="00BF22E9"/>
    <w:rsid w:val="00BF29D7"/>
    <w:rsid w:val="00BF4342"/>
    <w:rsid w:val="00BF4704"/>
    <w:rsid w:val="00BF4FFC"/>
    <w:rsid w:val="00BF5050"/>
    <w:rsid w:val="00BF50D1"/>
    <w:rsid w:val="00BF5422"/>
    <w:rsid w:val="00BF59B1"/>
    <w:rsid w:val="00BF5C4D"/>
    <w:rsid w:val="00BF6625"/>
    <w:rsid w:val="00BF6A78"/>
    <w:rsid w:val="00BF7695"/>
    <w:rsid w:val="00BF775D"/>
    <w:rsid w:val="00BF79B4"/>
    <w:rsid w:val="00BF7C61"/>
    <w:rsid w:val="00BF7CA4"/>
    <w:rsid w:val="00C00366"/>
    <w:rsid w:val="00C011AD"/>
    <w:rsid w:val="00C01427"/>
    <w:rsid w:val="00C014C7"/>
    <w:rsid w:val="00C02037"/>
    <w:rsid w:val="00C031CF"/>
    <w:rsid w:val="00C047AB"/>
    <w:rsid w:val="00C058AF"/>
    <w:rsid w:val="00C075B6"/>
    <w:rsid w:val="00C10027"/>
    <w:rsid w:val="00C124C1"/>
    <w:rsid w:val="00C128AE"/>
    <w:rsid w:val="00C12BA8"/>
    <w:rsid w:val="00C13094"/>
    <w:rsid w:val="00C136D6"/>
    <w:rsid w:val="00C13D5B"/>
    <w:rsid w:val="00C141D7"/>
    <w:rsid w:val="00C1711B"/>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4A1"/>
    <w:rsid w:val="00C24889"/>
    <w:rsid w:val="00C24AED"/>
    <w:rsid w:val="00C250D0"/>
    <w:rsid w:val="00C252AC"/>
    <w:rsid w:val="00C2582C"/>
    <w:rsid w:val="00C25C0F"/>
    <w:rsid w:val="00C26567"/>
    <w:rsid w:val="00C26923"/>
    <w:rsid w:val="00C271C9"/>
    <w:rsid w:val="00C27214"/>
    <w:rsid w:val="00C27335"/>
    <w:rsid w:val="00C27597"/>
    <w:rsid w:val="00C27E5E"/>
    <w:rsid w:val="00C30382"/>
    <w:rsid w:val="00C30772"/>
    <w:rsid w:val="00C30D6F"/>
    <w:rsid w:val="00C31063"/>
    <w:rsid w:val="00C31492"/>
    <w:rsid w:val="00C31B7E"/>
    <w:rsid w:val="00C320E8"/>
    <w:rsid w:val="00C322D1"/>
    <w:rsid w:val="00C3242A"/>
    <w:rsid w:val="00C33201"/>
    <w:rsid w:val="00C3328B"/>
    <w:rsid w:val="00C33567"/>
    <w:rsid w:val="00C33A39"/>
    <w:rsid w:val="00C33F55"/>
    <w:rsid w:val="00C34619"/>
    <w:rsid w:val="00C348D9"/>
    <w:rsid w:val="00C359E7"/>
    <w:rsid w:val="00C35D01"/>
    <w:rsid w:val="00C360B3"/>
    <w:rsid w:val="00C36451"/>
    <w:rsid w:val="00C365EA"/>
    <w:rsid w:val="00C367F0"/>
    <w:rsid w:val="00C36828"/>
    <w:rsid w:val="00C37027"/>
    <w:rsid w:val="00C373BF"/>
    <w:rsid w:val="00C37B15"/>
    <w:rsid w:val="00C37B19"/>
    <w:rsid w:val="00C401B5"/>
    <w:rsid w:val="00C41349"/>
    <w:rsid w:val="00C413CB"/>
    <w:rsid w:val="00C41558"/>
    <w:rsid w:val="00C4176E"/>
    <w:rsid w:val="00C42752"/>
    <w:rsid w:val="00C42973"/>
    <w:rsid w:val="00C43426"/>
    <w:rsid w:val="00C44541"/>
    <w:rsid w:val="00C46A3D"/>
    <w:rsid w:val="00C46B95"/>
    <w:rsid w:val="00C4712A"/>
    <w:rsid w:val="00C5001E"/>
    <w:rsid w:val="00C5034F"/>
    <w:rsid w:val="00C50830"/>
    <w:rsid w:val="00C52479"/>
    <w:rsid w:val="00C5266E"/>
    <w:rsid w:val="00C52C59"/>
    <w:rsid w:val="00C5349E"/>
    <w:rsid w:val="00C539FF"/>
    <w:rsid w:val="00C54215"/>
    <w:rsid w:val="00C544BD"/>
    <w:rsid w:val="00C54D3D"/>
    <w:rsid w:val="00C55A30"/>
    <w:rsid w:val="00C55E1C"/>
    <w:rsid w:val="00C56076"/>
    <w:rsid w:val="00C56384"/>
    <w:rsid w:val="00C567E9"/>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3FF6"/>
    <w:rsid w:val="00C64127"/>
    <w:rsid w:val="00C6540A"/>
    <w:rsid w:val="00C668A1"/>
    <w:rsid w:val="00C67223"/>
    <w:rsid w:val="00C707B8"/>
    <w:rsid w:val="00C712AC"/>
    <w:rsid w:val="00C7158C"/>
    <w:rsid w:val="00C71668"/>
    <w:rsid w:val="00C71C15"/>
    <w:rsid w:val="00C71F3D"/>
    <w:rsid w:val="00C72F53"/>
    <w:rsid w:val="00C734E7"/>
    <w:rsid w:val="00C74035"/>
    <w:rsid w:val="00C748EA"/>
    <w:rsid w:val="00C7686F"/>
    <w:rsid w:val="00C76FB0"/>
    <w:rsid w:val="00C77818"/>
    <w:rsid w:val="00C8063F"/>
    <w:rsid w:val="00C81282"/>
    <w:rsid w:val="00C8155F"/>
    <w:rsid w:val="00C8198D"/>
    <w:rsid w:val="00C82167"/>
    <w:rsid w:val="00C827B4"/>
    <w:rsid w:val="00C82F41"/>
    <w:rsid w:val="00C83214"/>
    <w:rsid w:val="00C8329F"/>
    <w:rsid w:val="00C84E65"/>
    <w:rsid w:val="00C84F8A"/>
    <w:rsid w:val="00C85BA4"/>
    <w:rsid w:val="00C8618F"/>
    <w:rsid w:val="00C8625D"/>
    <w:rsid w:val="00C865AD"/>
    <w:rsid w:val="00C86612"/>
    <w:rsid w:val="00C87402"/>
    <w:rsid w:val="00C90372"/>
    <w:rsid w:val="00C9041F"/>
    <w:rsid w:val="00C9166B"/>
    <w:rsid w:val="00C91945"/>
    <w:rsid w:val="00C91A45"/>
    <w:rsid w:val="00C91BA5"/>
    <w:rsid w:val="00C91FB4"/>
    <w:rsid w:val="00C92150"/>
    <w:rsid w:val="00C92328"/>
    <w:rsid w:val="00C9292F"/>
    <w:rsid w:val="00C92D42"/>
    <w:rsid w:val="00C938C2"/>
    <w:rsid w:val="00C9397B"/>
    <w:rsid w:val="00C93F8A"/>
    <w:rsid w:val="00C9483F"/>
    <w:rsid w:val="00C94EA1"/>
    <w:rsid w:val="00C95745"/>
    <w:rsid w:val="00C95902"/>
    <w:rsid w:val="00C95999"/>
    <w:rsid w:val="00C962E3"/>
    <w:rsid w:val="00C96D7C"/>
    <w:rsid w:val="00C978E2"/>
    <w:rsid w:val="00C97997"/>
    <w:rsid w:val="00CA10A2"/>
    <w:rsid w:val="00CA1D83"/>
    <w:rsid w:val="00CA1FEB"/>
    <w:rsid w:val="00CA237F"/>
    <w:rsid w:val="00CA25C0"/>
    <w:rsid w:val="00CA2BFB"/>
    <w:rsid w:val="00CA3451"/>
    <w:rsid w:val="00CA35C6"/>
    <w:rsid w:val="00CA4948"/>
    <w:rsid w:val="00CA52F9"/>
    <w:rsid w:val="00CA5368"/>
    <w:rsid w:val="00CA547B"/>
    <w:rsid w:val="00CA568B"/>
    <w:rsid w:val="00CA573A"/>
    <w:rsid w:val="00CA5C58"/>
    <w:rsid w:val="00CA7656"/>
    <w:rsid w:val="00CA7FB0"/>
    <w:rsid w:val="00CB0900"/>
    <w:rsid w:val="00CB0CC1"/>
    <w:rsid w:val="00CB160B"/>
    <w:rsid w:val="00CB19D7"/>
    <w:rsid w:val="00CB19FE"/>
    <w:rsid w:val="00CB1C3F"/>
    <w:rsid w:val="00CB2364"/>
    <w:rsid w:val="00CB2FEE"/>
    <w:rsid w:val="00CB304C"/>
    <w:rsid w:val="00CB3933"/>
    <w:rsid w:val="00CB5010"/>
    <w:rsid w:val="00CB53E8"/>
    <w:rsid w:val="00CB594A"/>
    <w:rsid w:val="00CB5CB2"/>
    <w:rsid w:val="00CB6979"/>
    <w:rsid w:val="00CB7A04"/>
    <w:rsid w:val="00CB7DDE"/>
    <w:rsid w:val="00CC04F7"/>
    <w:rsid w:val="00CC0A3D"/>
    <w:rsid w:val="00CC2FF0"/>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C4E"/>
    <w:rsid w:val="00CC770A"/>
    <w:rsid w:val="00CC7B1F"/>
    <w:rsid w:val="00CD009D"/>
    <w:rsid w:val="00CD05A2"/>
    <w:rsid w:val="00CD1049"/>
    <w:rsid w:val="00CD1890"/>
    <w:rsid w:val="00CD29D4"/>
    <w:rsid w:val="00CD2B5C"/>
    <w:rsid w:val="00CD2FF3"/>
    <w:rsid w:val="00CD3323"/>
    <w:rsid w:val="00CD3324"/>
    <w:rsid w:val="00CD356A"/>
    <w:rsid w:val="00CD37AE"/>
    <w:rsid w:val="00CD38F5"/>
    <w:rsid w:val="00CD3BF2"/>
    <w:rsid w:val="00CD437E"/>
    <w:rsid w:val="00CD454B"/>
    <w:rsid w:val="00CD4AAF"/>
    <w:rsid w:val="00CD5DAD"/>
    <w:rsid w:val="00CD5FFB"/>
    <w:rsid w:val="00CD72C5"/>
    <w:rsid w:val="00CD79A7"/>
    <w:rsid w:val="00CD7FAD"/>
    <w:rsid w:val="00CE0331"/>
    <w:rsid w:val="00CE0542"/>
    <w:rsid w:val="00CE0789"/>
    <w:rsid w:val="00CE0E8D"/>
    <w:rsid w:val="00CE1A03"/>
    <w:rsid w:val="00CE1B5D"/>
    <w:rsid w:val="00CE2346"/>
    <w:rsid w:val="00CE25B2"/>
    <w:rsid w:val="00CE31F4"/>
    <w:rsid w:val="00CE3529"/>
    <w:rsid w:val="00CE35C8"/>
    <w:rsid w:val="00CE3962"/>
    <w:rsid w:val="00CE43FA"/>
    <w:rsid w:val="00CE4D0A"/>
    <w:rsid w:val="00CE4D1A"/>
    <w:rsid w:val="00CE4E8A"/>
    <w:rsid w:val="00CE5105"/>
    <w:rsid w:val="00CE5525"/>
    <w:rsid w:val="00CE56BD"/>
    <w:rsid w:val="00CE5EC0"/>
    <w:rsid w:val="00CE68AD"/>
    <w:rsid w:val="00CE6BA5"/>
    <w:rsid w:val="00CE6F15"/>
    <w:rsid w:val="00CE6F9F"/>
    <w:rsid w:val="00CE7227"/>
    <w:rsid w:val="00CE781A"/>
    <w:rsid w:val="00CE7B08"/>
    <w:rsid w:val="00CE7B7A"/>
    <w:rsid w:val="00CE7D52"/>
    <w:rsid w:val="00CF0A0F"/>
    <w:rsid w:val="00CF0AAA"/>
    <w:rsid w:val="00CF0AB7"/>
    <w:rsid w:val="00CF1D74"/>
    <w:rsid w:val="00CF2BE2"/>
    <w:rsid w:val="00CF348C"/>
    <w:rsid w:val="00CF371A"/>
    <w:rsid w:val="00CF37C2"/>
    <w:rsid w:val="00CF3DE4"/>
    <w:rsid w:val="00CF3DEB"/>
    <w:rsid w:val="00CF55F9"/>
    <w:rsid w:val="00CF578D"/>
    <w:rsid w:val="00CF7074"/>
    <w:rsid w:val="00CF7495"/>
    <w:rsid w:val="00CF76D6"/>
    <w:rsid w:val="00D01CF9"/>
    <w:rsid w:val="00D01EB3"/>
    <w:rsid w:val="00D021E8"/>
    <w:rsid w:val="00D0334D"/>
    <w:rsid w:val="00D0374D"/>
    <w:rsid w:val="00D059DE"/>
    <w:rsid w:val="00D05FEC"/>
    <w:rsid w:val="00D06312"/>
    <w:rsid w:val="00D06D7B"/>
    <w:rsid w:val="00D06DA5"/>
    <w:rsid w:val="00D07191"/>
    <w:rsid w:val="00D07319"/>
    <w:rsid w:val="00D07F1D"/>
    <w:rsid w:val="00D10558"/>
    <w:rsid w:val="00D10EE8"/>
    <w:rsid w:val="00D11140"/>
    <w:rsid w:val="00D11739"/>
    <w:rsid w:val="00D119A6"/>
    <w:rsid w:val="00D11C35"/>
    <w:rsid w:val="00D11D4D"/>
    <w:rsid w:val="00D11DB1"/>
    <w:rsid w:val="00D126DC"/>
    <w:rsid w:val="00D12791"/>
    <w:rsid w:val="00D12A1F"/>
    <w:rsid w:val="00D12B03"/>
    <w:rsid w:val="00D1368C"/>
    <w:rsid w:val="00D13E70"/>
    <w:rsid w:val="00D13EE7"/>
    <w:rsid w:val="00D147BE"/>
    <w:rsid w:val="00D148A0"/>
    <w:rsid w:val="00D15ECD"/>
    <w:rsid w:val="00D15FCD"/>
    <w:rsid w:val="00D16B08"/>
    <w:rsid w:val="00D16C58"/>
    <w:rsid w:val="00D17019"/>
    <w:rsid w:val="00D1705A"/>
    <w:rsid w:val="00D17ABA"/>
    <w:rsid w:val="00D17FC8"/>
    <w:rsid w:val="00D2015B"/>
    <w:rsid w:val="00D207E7"/>
    <w:rsid w:val="00D20B44"/>
    <w:rsid w:val="00D21168"/>
    <w:rsid w:val="00D21C3A"/>
    <w:rsid w:val="00D2224A"/>
    <w:rsid w:val="00D2385D"/>
    <w:rsid w:val="00D23984"/>
    <w:rsid w:val="00D23FF4"/>
    <w:rsid w:val="00D2438C"/>
    <w:rsid w:val="00D24A85"/>
    <w:rsid w:val="00D2585A"/>
    <w:rsid w:val="00D25920"/>
    <w:rsid w:val="00D259B0"/>
    <w:rsid w:val="00D259C2"/>
    <w:rsid w:val="00D26C3F"/>
    <w:rsid w:val="00D27185"/>
    <w:rsid w:val="00D3028A"/>
    <w:rsid w:val="00D30E98"/>
    <w:rsid w:val="00D3125C"/>
    <w:rsid w:val="00D33488"/>
    <w:rsid w:val="00D33AB3"/>
    <w:rsid w:val="00D33F24"/>
    <w:rsid w:val="00D34160"/>
    <w:rsid w:val="00D34520"/>
    <w:rsid w:val="00D346B8"/>
    <w:rsid w:val="00D34DCA"/>
    <w:rsid w:val="00D35AC8"/>
    <w:rsid w:val="00D36F87"/>
    <w:rsid w:val="00D37DF9"/>
    <w:rsid w:val="00D37E4E"/>
    <w:rsid w:val="00D4147C"/>
    <w:rsid w:val="00D417D8"/>
    <w:rsid w:val="00D41F78"/>
    <w:rsid w:val="00D42ABC"/>
    <w:rsid w:val="00D42E6C"/>
    <w:rsid w:val="00D4351C"/>
    <w:rsid w:val="00D43B80"/>
    <w:rsid w:val="00D44988"/>
    <w:rsid w:val="00D45B4C"/>
    <w:rsid w:val="00D45BA4"/>
    <w:rsid w:val="00D471AF"/>
    <w:rsid w:val="00D471E2"/>
    <w:rsid w:val="00D4724F"/>
    <w:rsid w:val="00D47761"/>
    <w:rsid w:val="00D50252"/>
    <w:rsid w:val="00D50519"/>
    <w:rsid w:val="00D50702"/>
    <w:rsid w:val="00D50779"/>
    <w:rsid w:val="00D50E32"/>
    <w:rsid w:val="00D51601"/>
    <w:rsid w:val="00D51ECB"/>
    <w:rsid w:val="00D520DE"/>
    <w:rsid w:val="00D52497"/>
    <w:rsid w:val="00D5264C"/>
    <w:rsid w:val="00D52BBC"/>
    <w:rsid w:val="00D537FE"/>
    <w:rsid w:val="00D53CC9"/>
    <w:rsid w:val="00D54A6A"/>
    <w:rsid w:val="00D54B8F"/>
    <w:rsid w:val="00D55848"/>
    <w:rsid w:val="00D55951"/>
    <w:rsid w:val="00D559F0"/>
    <w:rsid w:val="00D5650F"/>
    <w:rsid w:val="00D56594"/>
    <w:rsid w:val="00D57EB6"/>
    <w:rsid w:val="00D6076B"/>
    <w:rsid w:val="00D608C0"/>
    <w:rsid w:val="00D609DC"/>
    <w:rsid w:val="00D60D6D"/>
    <w:rsid w:val="00D6128C"/>
    <w:rsid w:val="00D63B22"/>
    <w:rsid w:val="00D66009"/>
    <w:rsid w:val="00D66D8B"/>
    <w:rsid w:val="00D671B2"/>
    <w:rsid w:val="00D70849"/>
    <w:rsid w:val="00D70DFA"/>
    <w:rsid w:val="00D72297"/>
    <w:rsid w:val="00D72A1C"/>
    <w:rsid w:val="00D7308F"/>
    <w:rsid w:val="00D7313E"/>
    <w:rsid w:val="00D73396"/>
    <w:rsid w:val="00D73580"/>
    <w:rsid w:val="00D73802"/>
    <w:rsid w:val="00D73883"/>
    <w:rsid w:val="00D73C2C"/>
    <w:rsid w:val="00D73D52"/>
    <w:rsid w:val="00D73E70"/>
    <w:rsid w:val="00D745E7"/>
    <w:rsid w:val="00D75EDA"/>
    <w:rsid w:val="00D75FDA"/>
    <w:rsid w:val="00D774ED"/>
    <w:rsid w:val="00D776AD"/>
    <w:rsid w:val="00D777C3"/>
    <w:rsid w:val="00D7797C"/>
    <w:rsid w:val="00D77C44"/>
    <w:rsid w:val="00D77EDB"/>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5892"/>
    <w:rsid w:val="00D85EF2"/>
    <w:rsid w:val="00D86D47"/>
    <w:rsid w:val="00D8710C"/>
    <w:rsid w:val="00D873C6"/>
    <w:rsid w:val="00D87819"/>
    <w:rsid w:val="00D878A3"/>
    <w:rsid w:val="00D9074A"/>
    <w:rsid w:val="00D9099E"/>
    <w:rsid w:val="00D9193A"/>
    <w:rsid w:val="00D91D05"/>
    <w:rsid w:val="00D923B2"/>
    <w:rsid w:val="00D92463"/>
    <w:rsid w:val="00D927B5"/>
    <w:rsid w:val="00D92981"/>
    <w:rsid w:val="00D92C81"/>
    <w:rsid w:val="00D93E64"/>
    <w:rsid w:val="00D93F64"/>
    <w:rsid w:val="00D94CA4"/>
    <w:rsid w:val="00D95E99"/>
    <w:rsid w:val="00D965D5"/>
    <w:rsid w:val="00D96F7C"/>
    <w:rsid w:val="00D9714B"/>
    <w:rsid w:val="00D97DA2"/>
    <w:rsid w:val="00DA0485"/>
    <w:rsid w:val="00DA0874"/>
    <w:rsid w:val="00DA1A3A"/>
    <w:rsid w:val="00DA1FC3"/>
    <w:rsid w:val="00DA2351"/>
    <w:rsid w:val="00DA249E"/>
    <w:rsid w:val="00DA2D3D"/>
    <w:rsid w:val="00DA35D9"/>
    <w:rsid w:val="00DA3855"/>
    <w:rsid w:val="00DA39BA"/>
    <w:rsid w:val="00DA4C30"/>
    <w:rsid w:val="00DA538E"/>
    <w:rsid w:val="00DA576E"/>
    <w:rsid w:val="00DA5FB3"/>
    <w:rsid w:val="00DA6980"/>
    <w:rsid w:val="00DA6A44"/>
    <w:rsid w:val="00DA7A3C"/>
    <w:rsid w:val="00DB073C"/>
    <w:rsid w:val="00DB145E"/>
    <w:rsid w:val="00DB1A94"/>
    <w:rsid w:val="00DB1D52"/>
    <w:rsid w:val="00DB1E2B"/>
    <w:rsid w:val="00DB1F62"/>
    <w:rsid w:val="00DB21E7"/>
    <w:rsid w:val="00DB2E03"/>
    <w:rsid w:val="00DB3742"/>
    <w:rsid w:val="00DB3C5A"/>
    <w:rsid w:val="00DB3E9B"/>
    <w:rsid w:val="00DB3F4B"/>
    <w:rsid w:val="00DB5375"/>
    <w:rsid w:val="00DB6003"/>
    <w:rsid w:val="00DB6769"/>
    <w:rsid w:val="00DB67C1"/>
    <w:rsid w:val="00DB6C0B"/>
    <w:rsid w:val="00DB70F4"/>
    <w:rsid w:val="00DB748A"/>
    <w:rsid w:val="00DB7CB7"/>
    <w:rsid w:val="00DC1056"/>
    <w:rsid w:val="00DC1442"/>
    <w:rsid w:val="00DC1781"/>
    <w:rsid w:val="00DC1AC8"/>
    <w:rsid w:val="00DC21D8"/>
    <w:rsid w:val="00DC282A"/>
    <w:rsid w:val="00DC2DE8"/>
    <w:rsid w:val="00DC34DC"/>
    <w:rsid w:val="00DC3780"/>
    <w:rsid w:val="00DC3ADA"/>
    <w:rsid w:val="00DC3CC6"/>
    <w:rsid w:val="00DC3F55"/>
    <w:rsid w:val="00DC4782"/>
    <w:rsid w:val="00DC4785"/>
    <w:rsid w:val="00DC4B02"/>
    <w:rsid w:val="00DC514A"/>
    <w:rsid w:val="00DC67B1"/>
    <w:rsid w:val="00DC68EA"/>
    <w:rsid w:val="00DC7FBC"/>
    <w:rsid w:val="00DD0019"/>
    <w:rsid w:val="00DD132B"/>
    <w:rsid w:val="00DD1571"/>
    <w:rsid w:val="00DD1725"/>
    <w:rsid w:val="00DD2159"/>
    <w:rsid w:val="00DD218B"/>
    <w:rsid w:val="00DD28BA"/>
    <w:rsid w:val="00DD2A18"/>
    <w:rsid w:val="00DD3044"/>
    <w:rsid w:val="00DD3985"/>
    <w:rsid w:val="00DD5B79"/>
    <w:rsid w:val="00DD5D07"/>
    <w:rsid w:val="00DD61E8"/>
    <w:rsid w:val="00DD62C0"/>
    <w:rsid w:val="00DD63F8"/>
    <w:rsid w:val="00DD64DE"/>
    <w:rsid w:val="00DD66DE"/>
    <w:rsid w:val="00DD7197"/>
    <w:rsid w:val="00DD7859"/>
    <w:rsid w:val="00DD7B41"/>
    <w:rsid w:val="00DD7FBB"/>
    <w:rsid w:val="00DE0784"/>
    <w:rsid w:val="00DE0A1D"/>
    <w:rsid w:val="00DE15B2"/>
    <w:rsid w:val="00DE1A9A"/>
    <w:rsid w:val="00DE3D2C"/>
    <w:rsid w:val="00DE57D0"/>
    <w:rsid w:val="00DE5E82"/>
    <w:rsid w:val="00DE5EC5"/>
    <w:rsid w:val="00DE5FA6"/>
    <w:rsid w:val="00DE65CE"/>
    <w:rsid w:val="00DE6792"/>
    <w:rsid w:val="00DE6AA1"/>
    <w:rsid w:val="00DE77A3"/>
    <w:rsid w:val="00DE7EF7"/>
    <w:rsid w:val="00DF015B"/>
    <w:rsid w:val="00DF02EC"/>
    <w:rsid w:val="00DF10FC"/>
    <w:rsid w:val="00DF1185"/>
    <w:rsid w:val="00DF1299"/>
    <w:rsid w:val="00DF1620"/>
    <w:rsid w:val="00DF1A70"/>
    <w:rsid w:val="00DF1E5F"/>
    <w:rsid w:val="00DF23A8"/>
    <w:rsid w:val="00DF2EE1"/>
    <w:rsid w:val="00DF2F27"/>
    <w:rsid w:val="00DF36B6"/>
    <w:rsid w:val="00DF4296"/>
    <w:rsid w:val="00DF5267"/>
    <w:rsid w:val="00DF53F0"/>
    <w:rsid w:val="00DF5700"/>
    <w:rsid w:val="00DF5707"/>
    <w:rsid w:val="00DF5F38"/>
    <w:rsid w:val="00DF604C"/>
    <w:rsid w:val="00DF6608"/>
    <w:rsid w:val="00DF6CCC"/>
    <w:rsid w:val="00DF6D0C"/>
    <w:rsid w:val="00DF6F64"/>
    <w:rsid w:val="00DF721E"/>
    <w:rsid w:val="00DF72F3"/>
    <w:rsid w:val="00DF7549"/>
    <w:rsid w:val="00DF78D0"/>
    <w:rsid w:val="00DF7B8A"/>
    <w:rsid w:val="00DF7C87"/>
    <w:rsid w:val="00E00307"/>
    <w:rsid w:val="00E009B0"/>
    <w:rsid w:val="00E00A12"/>
    <w:rsid w:val="00E00B39"/>
    <w:rsid w:val="00E00C49"/>
    <w:rsid w:val="00E01C9C"/>
    <w:rsid w:val="00E01FF4"/>
    <w:rsid w:val="00E0219D"/>
    <w:rsid w:val="00E032D9"/>
    <w:rsid w:val="00E04482"/>
    <w:rsid w:val="00E04C0F"/>
    <w:rsid w:val="00E05510"/>
    <w:rsid w:val="00E0570B"/>
    <w:rsid w:val="00E05B1D"/>
    <w:rsid w:val="00E0685D"/>
    <w:rsid w:val="00E069C5"/>
    <w:rsid w:val="00E06AA3"/>
    <w:rsid w:val="00E1065D"/>
    <w:rsid w:val="00E10913"/>
    <w:rsid w:val="00E10B87"/>
    <w:rsid w:val="00E121CE"/>
    <w:rsid w:val="00E12209"/>
    <w:rsid w:val="00E144C4"/>
    <w:rsid w:val="00E14585"/>
    <w:rsid w:val="00E1478B"/>
    <w:rsid w:val="00E14FAC"/>
    <w:rsid w:val="00E15007"/>
    <w:rsid w:val="00E15DC6"/>
    <w:rsid w:val="00E16277"/>
    <w:rsid w:val="00E16EC7"/>
    <w:rsid w:val="00E17DCC"/>
    <w:rsid w:val="00E207B8"/>
    <w:rsid w:val="00E219CE"/>
    <w:rsid w:val="00E21D93"/>
    <w:rsid w:val="00E22A86"/>
    <w:rsid w:val="00E22D2A"/>
    <w:rsid w:val="00E24071"/>
    <w:rsid w:val="00E24142"/>
    <w:rsid w:val="00E24DCA"/>
    <w:rsid w:val="00E24EBC"/>
    <w:rsid w:val="00E2522C"/>
    <w:rsid w:val="00E2552F"/>
    <w:rsid w:val="00E2599B"/>
    <w:rsid w:val="00E26DE3"/>
    <w:rsid w:val="00E2710C"/>
    <w:rsid w:val="00E272BD"/>
    <w:rsid w:val="00E27428"/>
    <w:rsid w:val="00E305B4"/>
    <w:rsid w:val="00E3128C"/>
    <w:rsid w:val="00E31AFA"/>
    <w:rsid w:val="00E31CB7"/>
    <w:rsid w:val="00E324EE"/>
    <w:rsid w:val="00E3367B"/>
    <w:rsid w:val="00E34DB1"/>
    <w:rsid w:val="00E34FAD"/>
    <w:rsid w:val="00E35931"/>
    <w:rsid w:val="00E359FF"/>
    <w:rsid w:val="00E36337"/>
    <w:rsid w:val="00E3699A"/>
    <w:rsid w:val="00E371E1"/>
    <w:rsid w:val="00E402C5"/>
    <w:rsid w:val="00E402F4"/>
    <w:rsid w:val="00E405F1"/>
    <w:rsid w:val="00E417DB"/>
    <w:rsid w:val="00E43054"/>
    <w:rsid w:val="00E432D1"/>
    <w:rsid w:val="00E43655"/>
    <w:rsid w:val="00E44440"/>
    <w:rsid w:val="00E44A8B"/>
    <w:rsid w:val="00E45958"/>
    <w:rsid w:val="00E46013"/>
    <w:rsid w:val="00E4673F"/>
    <w:rsid w:val="00E47099"/>
    <w:rsid w:val="00E47284"/>
    <w:rsid w:val="00E477C3"/>
    <w:rsid w:val="00E5017E"/>
    <w:rsid w:val="00E50734"/>
    <w:rsid w:val="00E5140B"/>
    <w:rsid w:val="00E51E16"/>
    <w:rsid w:val="00E52680"/>
    <w:rsid w:val="00E52990"/>
    <w:rsid w:val="00E52DED"/>
    <w:rsid w:val="00E53730"/>
    <w:rsid w:val="00E53AAB"/>
    <w:rsid w:val="00E5410A"/>
    <w:rsid w:val="00E5438D"/>
    <w:rsid w:val="00E54511"/>
    <w:rsid w:val="00E54E50"/>
    <w:rsid w:val="00E55288"/>
    <w:rsid w:val="00E57577"/>
    <w:rsid w:val="00E579DF"/>
    <w:rsid w:val="00E57CDA"/>
    <w:rsid w:val="00E62043"/>
    <w:rsid w:val="00E626B9"/>
    <w:rsid w:val="00E627C9"/>
    <w:rsid w:val="00E630F3"/>
    <w:rsid w:val="00E6332F"/>
    <w:rsid w:val="00E637C9"/>
    <w:rsid w:val="00E6402D"/>
    <w:rsid w:val="00E6680A"/>
    <w:rsid w:val="00E669E3"/>
    <w:rsid w:val="00E66F0D"/>
    <w:rsid w:val="00E678CC"/>
    <w:rsid w:val="00E67BFA"/>
    <w:rsid w:val="00E7004F"/>
    <w:rsid w:val="00E70615"/>
    <w:rsid w:val="00E7159E"/>
    <w:rsid w:val="00E7161E"/>
    <w:rsid w:val="00E71BE3"/>
    <w:rsid w:val="00E72004"/>
    <w:rsid w:val="00E7207B"/>
    <w:rsid w:val="00E722CF"/>
    <w:rsid w:val="00E72880"/>
    <w:rsid w:val="00E7347A"/>
    <w:rsid w:val="00E75A47"/>
    <w:rsid w:val="00E75BB6"/>
    <w:rsid w:val="00E75D8C"/>
    <w:rsid w:val="00E7719C"/>
    <w:rsid w:val="00E7757E"/>
    <w:rsid w:val="00E777F2"/>
    <w:rsid w:val="00E802C9"/>
    <w:rsid w:val="00E80BFB"/>
    <w:rsid w:val="00E80EC2"/>
    <w:rsid w:val="00E80F0A"/>
    <w:rsid w:val="00E811E5"/>
    <w:rsid w:val="00E815D4"/>
    <w:rsid w:val="00E818FD"/>
    <w:rsid w:val="00E819BA"/>
    <w:rsid w:val="00E8291B"/>
    <w:rsid w:val="00E82E70"/>
    <w:rsid w:val="00E82F92"/>
    <w:rsid w:val="00E8301C"/>
    <w:rsid w:val="00E8395F"/>
    <w:rsid w:val="00E83ECB"/>
    <w:rsid w:val="00E8410F"/>
    <w:rsid w:val="00E849D7"/>
    <w:rsid w:val="00E85E41"/>
    <w:rsid w:val="00E85EA1"/>
    <w:rsid w:val="00E86703"/>
    <w:rsid w:val="00E86C01"/>
    <w:rsid w:val="00E8701F"/>
    <w:rsid w:val="00E900DA"/>
    <w:rsid w:val="00E90DDE"/>
    <w:rsid w:val="00E91044"/>
    <w:rsid w:val="00E910D3"/>
    <w:rsid w:val="00E91CBA"/>
    <w:rsid w:val="00E92097"/>
    <w:rsid w:val="00E92154"/>
    <w:rsid w:val="00E923CF"/>
    <w:rsid w:val="00E92B8F"/>
    <w:rsid w:val="00E93685"/>
    <w:rsid w:val="00E93B65"/>
    <w:rsid w:val="00E93C8C"/>
    <w:rsid w:val="00E95111"/>
    <w:rsid w:val="00E95FDF"/>
    <w:rsid w:val="00E960AD"/>
    <w:rsid w:val="00E9677F"/>
    <w:rsid w:val="00E96898"/>
    <w:rsid w:val="00E97043"/>
    <w:rsid w:val="00EA0185"/>
    <w:rsid w:val="00EA14C8"/>
    <w:rsid w:val="00EA1F20"/>
    <w:rsid w:val="00EA2110"/>
    <w:rsid w:val="00EA24AF"/>
    <w:rsid w:val="00EA283A"/>
    <w:rsid w:val="00EA2C90"/>
    <w:rsid w:val="00EA2E07"/>
    <w:rsid w:val="00EA383B"/>
    <w:rsid w:val="00EA44ED"/>
    <w:rsid w:val="00EA48F3"/>
    <w:rsid w:val="00EA4D46"/>
    <w:rsid w:val="00EA5BD1"/>
    <w:rsid w:val="00EA60BF"/>
    <w:rsid w:val="00EA7365"/>
    <w:rsid w:val="00EA763F"/>
    <w:rsid w:val="00EA77E9"/>
    <w:rsid w:val="00EB05D0"/>
    <w:rsid w:val="00EB1151"/>
    <w:rsid w:val="00EB14C4"/>
    <w:rsid w:val="00EB1D49"/>
    <w:rsid w:val="00EB23D9"/>
    <w:rsid w:val="00EB39A0"/>
    <w:rsid w:val="00EB430A"/>
    <w:rsid w:val="00EB559F"/>
    <w:rsid w:val="00EB566C"/>
    <w:rsid w:val="00EB5A18"/>
    <w:rsid w:val="00EB5F3D"/>
    <w:rsid w:val="00EB6C97"/>
    <w:rsid w:val="00EC0317"/>
    <w:rsid w:val="00EC1CEB"/>
    <w:rsid w:val="00EC1DC0"/>
    <w:rsid w:val="00EC1DC2"/>
    <w:rsid w:val="00EC1E09"/>
    <w:rsid w:val="00EC210E"/>
    <w:rsid w:val="00EC21EC"/>
    <w:rsid w:val="00EC24B8"/>
    <w:rsid w:val="00EC268C"/>
    <w:rsid w:val="00EC3753"/>
    <w:rsid w:val="00EC3FB6"/>
    <w:rsid w:val="00EC4E71"/>
    <w:rsid w:val="00EC5D99"/>
    <w:rsid w:val="00EC5F1C"/>
    <w:rsid w:val="00EC6359"/>
    <w:rsid w:val="00EC7AEB"/>
    <w:rsid w:val="00ED0365"/>
    <w:rsid w:val="00ED0512"/>
    <w:rsid w:val="00ED0865"/>
    <w:rsid w:val="00ED0C1C"/>
    <w:rsid w:val="00ED1C60"/>
    <w:rsid w:val="00ED2EB9"/>
    <w:rsid w:val="00ED3722"/>
    <w:rsid w:val="00ED3A31"/>
    <w:rsid w:val="00ED4469"/>
    <w:rsid w:val="00ED5424"/>
    <w:rsid w:val="00ED5F23"/>
    <w:rsid w:val="00ED6DC0"/>
    <w:rsid w:val="00ED7A7A"/>
    <w:rsid w:val="00ED7C1D"/>
    <w:rsid w:val="00EE0327"/>
    <w:rsid w:val="00EE038C"/>
    <w:rsid w:val="00EE105A"/>
    <w:rsid w:val="00EE1D00"/>
    <w:rsid w:val="00EE259E"/>
    <w:rsid w:val="00EE25C8"/>
    <w:rsid w:val="00EE28C5"/>
    <w:rsid w:val="00EE2F09"/>
    <w:rsid w:val="00EE47C5"/>
    <w:rsid w:val="00EE490C"/>
    <w:rsid w:val="00EE4E57"/>
    <w:rsid w:val="00EE5738"/>
    <w:rsid w:val="00EE58BD"/>
    <w:rsid w:val="00EE5DDB"/>
    <w:rsid w:val="00EE5E59"/>
    <w:rsid w:val="00EE6CCD"/>
    <w:rsid w:val="00EE73D0"/>
    <w:rsid w:val="00EE7CB0"/>
    <w:rsid w:val="00EE7CD1"/>
    <w:rsid w:val="00EF08A8"/>
    <w:rsid w:val="00EF167B"/>
    <w:rsid w:val="00EF1B4A"/>
    <w:rsid w:val="00EF1C90"/>
    <w:rsid w:val="00EF2496"/>
    <w:rsid w:val="00EF3CC5"/>
    <w:rsid w:val="00EF41A8"/>
    <w:rsid w:val="00EF44FB"/>
    <w:rsid w:val="00EF4D15"/>
    <w:rsid w:val="00EF5122"/>
    <w:rsid w:val="00EF5429"/>
    <w:rsid w:val="00EF5554"/>
    <w:rsid w:val="00EF5AD8"/>
    <w:rsid w:val="00EF6B90"/>
    <w:rsid w:val="00EF70C9"/>
    <w:rsid w:val="00EF741E"/>
    <w:rsid w:val="00EF7807"/>
    <w:rsid w:val="00EF79F7"/>
    <w:rsid w:val="00F006C0"/>
    <w:rsid w:val="00F00D81"/>
    <w:rsid w:val="00F0125F"/>
    <w:rsid w:val="00F015C3"/>
    <w:rsid w:val="00F0176A"/>
    <w:rsid w:val="00F019AA"/>
    <w:rsid w:val="00F0267E"/>
    <w:rsid w:val="00F02686"/>
    <w:rsid w:val="00F030C0"/>
    <w:rsid w:val="00F03291"/>
    <w:rsid w:val="00F03A85"/>
    <w:rsid w:val="00F04052"/>
    <w:rsid w:val="00F04314"/>
    <w:rsid w:val="00F0459B"/>
    <w:rsid w:val="00F04E15"/>
    <w:rsid w:val="00F05DF3"/>
    <w:rsid w:val="00F06829"/>
    <w:rsid w:val="00F069EA"/>
    <w:rsid w:val="00F06A4B"/>
    <w:rsid w:val="00F06A69"/>
    <w:rsid w:val="00F070E5"/>
    <w:rsid w:val="00F07D5E"/>
    <w:rsid w:val="00F07DDE"/>
    <w:rsid w:val="00F10396"/>
    <w:rsid w:val="00F11675"/>
    <w:rsid w:val="00F123DA"/>
    <w:rsid w:val="00F12557"/>
    <w:rsid w:val="00F12580"/>
    <w:rsid w:val="00F127C8"/>
    <w:rsid w:val="00F12881"/>
    <w:rsid w:val="00F12ADD"/>
    <w:rsid w:val="00F12C62"/>
    <w:rsid w:val="00F134BA"/>
    <w:rsid w:val="00F13599"/>
    <w:rsid w:val="00F13A71"/>
    <w:rsid w:val="00F13B28"/>
    <w:rsid w:val="00F14DCD"/>
    <w:rsid w:val="00F156A0"/>
    <w:rsid w:val="00F15730"/>
    <w:rsid w:val="00F176A6"/>
    <w:rsid w:val="00F17A24"/>
    <w:rsid w:val="00F202C2"/>
    <w:rsid w:val="00F204B3"/>
    <w:rsid w:val="00F212F6"/>
    <w:rsid w:val="00F2190F"/>
    <w:rsid w:val="00F22756"/>
    <w:rsid w:val="00F23248"/>
    <w:rsid w:val="00F23890"/>
    <w:rsid w:val="00F2504D"/>
    <w:rsid w:val="00F2595D"/>
    <w:rsid w:val="00F25B26"/>
    <w:rsid w:val="00F2637F"/>
    <w:rsid w:val="00F268F7"/>
    <w:rsid w:val="00F3092B"/>
    <w:rsid w:val="00F30B83"/>
    <w:rsid w:val="00F30BDB"/>
    <w:rsid w:val="00F30CF8"/>
    <w:rsid w:val="00F31402"/>
    <w:rsid w:val="00F31EDF"/>
    <w:rsid w:val="00F31F89"/>
    <w:rsid w:val="00F32507"/>
    <w:rsid w:val="00F32CDE"/>
    <w:rsid w:val="00F32D4C"/>
    <w:rsid w:val="00F3327E"/>
    <w:rsid w:val="00F338C3"/>
    <w:rsid w:val="00F34B14"/>
    <w:rsid w:val="00F34CF1"/>
    <w:rsid w:val="00F34E35"/>
    <w:rsid w:val="00F34F58"/>
    <w:rsid w:val="00F3572F"/>
    <w:rsid w:val="00F35DA7"/>
    <w:rsid w:val="00F36A6A"/>
    <w:rsid w:val="00F40101"/>
    <w:rsid w:val="00F404F7"/>
    <w:rsid w:val="00F40CCA"/>
    <w:rsid w:val="00F41E02"/>
    <w:rsid w:val="00F426DF"/>
    <w:rsid w:val="00F42AA4"/>
    <w:rsid w:val="00F42D97"/>
    <w:rsid w:val="00F42F0E"/>
    <w:rsid w:val="00F42FCF"/>
    <w:rsid w:val="00F436B2"/>
    <w:rsid w:val="00F43813"/>
    <w:rsid w:val="00F43FEE"/>
    <w:rsid w:val="00F440B0"/>
    <w:rsid w:val="00F44114"/>
    <w:rsid w:val="00F4492F"/>
    <w:rsid w:val="00F45030"/>
    <w:rsid w:val="00F45A72"/>
    <w:rsid w:val="00F46723"/>
    <w:rsid w:val="00F4706D"/>
    <w:rsid w:val="00F47309"/>
    <w:rsid w:val="00F476E1"/>
    <w:rsid w:val="00F47855"/>
    <w:rsid w:val="00F47D1D"/>
    <w:rsid w:val="00F47F29"/>
    <w:rsid w:val="00F50016"/>
    <w:rsid w:val="00F5118A"/>
    <w:rsid w:val="00F51A21"/>
    <w:rsid w:val="00F51A35"/>
    <w:rsid w:val="00F52314"/>
    <w:rsid w:val="00F523B9"/>
    <w:rsid w:val="00F52614"/>
    <w:rsid w:val="00F5276E"/>
    <w:rsid w:val="00F52E9F"/>
    <w:rsid w:val="00F532B2"/>
    <w:rsid w:val="00F53304"/>
    <w:rsid w:val="00F53B80"/>
    <w:rsid w:val="00F53B81"/>
    <w:rsid w:val="00F53C15"/>
    <w:rsid w:val="00F540FE"/>
    <w:rsid w:val="00F5459A"/>
    <w:rsid w:val="00F556FF"/>
    <w:rsid w:val="00F559D0"/>
    <w:rsid w:val="00F55D12"/>
    <w:rsid w:val="00F5687F"/>
    <w:rsid w:val="00F56D3F"/>
    <w:rsid w:val="00F575C7"/>
    <w:rsid w:val="00F5761B"/>
    <w:rsid w:val="00F57CC1"/>
    <w:rsid w:val="00F57DF7"/>
    <w:rsid w:val="00F57FD0"/>
    <w:rsid w:val="00F60305"/>
    <w:rsid w:val="00F61B12"/>
    <w:rsid w:val="00F61C70"/>
    <w:rsid w:val="00F627D8"/>
    <w:rsid w:val="00F62869"/>
    <w:rsid w:val="00F62ED4"/>
    <w:rsid w:val="00F63264"/>
    <w:rsid w:val="00F634E4"/>
    <w:rsid w:val="00F6379E"/>
    <w:rsid w:val="00F63B38"/>
    <w:rsid w:val="00F64047"/>
    <w:rsid w:val="00F64BF0"/>
    <w:rsid w:val="00F65171"/>
    <w:rsid w:val="00F6533A"/>
    <w:rsid w:val="00F6560D"/>
    <w:rsid w:val="00F669BD"/>
    <w:rsid w:val="00F67844"/>
    <w:rsid w:val="00F67B09"/>
    <w:rsid w:val="00F705F6"/>
    <w:rsid w:val="00F70795"/>
    <w:rsid w:val="00F70799"/>
    <w:rsid w:val="00F70A8B"/>
    <w:rsid w:val="00F70B22"/>
    <w:rsid w:val="00F70B8D"/>
    <w:rsid w:val="00F717D6"/>
    <w:rsid w:val="00F71875"/>
    <w:rsid w:val="00F71936"/>
    <w:rsid w:val="00F71F81"/>
    <w:rsid w:val="00F724FB"/>
    <w:rsid w:val="00F726B8"/>
    <w:rsid w:val="00F72A26"/>
    <w:rsid w:val="00F733C3"/>
    <w:rsid w:val="00F73D5B"/>
    <w:rsid w:val="00F73E15"/>
    <w:rsid w:val="00F746A1"/>
    <w:rsid w:val="00F74820"/>
    <w:rsid w:val="00F7506D"/>
    <w:rsid w:val="00F755DD"/>
    <w:rsid w:val="00F756DD"/>
    <w:rsid w:val="00F77F4E"/>
    <w:rsid w:val="00F80047"/>
    <w:rsid w:val="00F800C7"/>
    <w:rsid w:val="00F80361"/>
    <w:rsid w:val="00F80AE2"/>
    <w:rsid w:val="00F8104D"/>
    <w:rsid w:val="00F8153F"/>
    <w:rsid w:val="00F81587"/>
    <w:rsid w:val="00F81B2A"/>
    <w:rsid w:val="00F81C12"/>
    <w:rsid w:val="00F81D4D"/>
    <w:rsid w:val="00F8263C"/>
    <w:rsid w:val="00F8288F"/>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A9A"/>
    <w:rsid w:val="00F923AF"/>
    <w:rsid w:val="00F92634"/>
    <w:rsid w:val="00F933F3"/>
    <w:rsid w:val="00F93ABB"/>
    <w:rsid w:val="00F94D79"/>
    <w:rsid w:val="00F9658C"/>
    <w:rsid w:val="00F96EEB"/>
    <w:rsid w:val="00F977F3"/>
    <w:rsid w:val="00F97A7F"/>
    <w:rsid w:val="00F97CD0"/>
    <w:rsid w:val="00F97D7A"/>
    <w:rsid w:val="00FA0889"/>
    <w:rsid w:val="00FA16E7"/>
    <w:rsid w:val="00FA1F66"/>
    <w:rsid w:val="00FA2DA3"/>
    <w:rsid w:val="00FA31C7"/>
    <w:rsid w:val="00FA4247"/>
    <w:rsid w:val="00FA472D"/>
    <w:rsid w:val="00FA50CB"/>
    <w:rsid w:val="00FA5A92"/>
    <w:rsid w:val="00FA681F"/>
    <w:rsid w:val="00FB0261"/>
    <w:rsid w:val="00FB0CBF"/>
    <w:rsid w:val="00FB18F6"/>
    <w:rsid w:val="00FB2A52"/>
    <w:rsid w:val="00FB358B"/>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BEF"/>
    <w:rsid w:val="00FC1C47"/>
    <w:rsid w:val="00FC2869"/>
    <w:rsid w:val="00FC2F9E"/>
    <w:rsid w:val="00FC3102"/>
    <w:rsid w:val="00FC3848"/>
    <w:rsid w:val="00FC39ED"/>
    <w:rsid w:val="00FC3D40"/>
    <w:rsid w:val="00FC4419"/>
    <w:rsid w:val="00FC47E2"/>
    <w:rsid w:val="00FC4AA5"/>
    <w:rsid w:val="00FC4B63"/>
    <w:rsid w:val="00FC4B88"/>
    <w:rsid w:val="00FC4BB8"/>
    <w:rsid w:val="00FC5148"/>
    <w:rsid w:val="00FC6524"/>
    <w:rsid w:val="00FC6B58"/>
    <w:rsid w:val="00FC6BBC"/>
    <w:rsid w:val="00FC711D"/>
    <w:rsid w:val="00FC75AC"/>
    <w:rsid w:val="00FC7984"/>
    <w:rsid w:val="00FD01BF"/>
    <w:rsid w:val="00FD0525"/>
    <w:rsid w:val="00FD0AB7"/>
    <w:rsid w:val="00FD292C"/>
    <w:rsid w:val="00FD297D"/>
    <w:rsid w:val="00FD2D13"/>
    <w:rsid w:val="00FD374D"/>
    <w:rsid w:val="00FD4D2A"/>
    <w:rsid w:val="00FD6071"/>
    <w:rsid w:val="00FD633B"/>
    <w:rsid w:val="00FD66ED"/>
    <w:rsid w:val="00FD6ABA"/>
    <w:rsid w:val="00FD6FF2"/>
    <w:rsid w:val="00FE0794"/>
    <w:rsid w:val="00FE1041"/>
    <w:rsid w:val="00FE1614"/>
    <w:rsid w:val="00FE24CB"/>
    <w:rsid w:val="00FE2CCF"/>
    <w:rsid w:val="00FE323F"/>
    <w:rsid w:val="00FE3473"/>
    <w:rsid w:val="00FE4049"/>
    <w:rsid w:val="00FE4794"/>
    <w:rsid w:val="00FE480F"/>
    <w:rsid w:val="00FE4998"/>
    <w:rsid w:val="00FE5382"/>
    <w:rsid w:val="00FE57DE"/>
    <w:rsid w:val="00FE719F"/>
    <w:rsid w:val="00FE7A68"/>
    <w:rsid w:val="00FE7F0A"/>
    <w:rsid w:val="00FF0231"/>
    <w:rsid w:val="00FF056D"/>
    <w:rsid w:val="00FF1C9B"/>
    <w:rsid w:val="00FF1D49"/>
    <w:rsid w:val="00FF203B"/>
    <w:rsid w:val="00FF2562"/>
    <w:rsid w:val="00FF3A41"/>
    <w:rsid w:val="00FF3E5B"/>
    <w:rsid w:val="00FF5183"/>
    <w:rsid w:val="00FF57E4"/>
    <w:rsid w:val="00FF5E26"/>
    <w:rsid w:val="00FF5ECD"/>
    <w:rsid w:val="00FF78E5"/>
    <w:rsid w:val="01260E98"/>
    <w:rsid w:val="012C5FAF"/>
    <w:rsid w:val="01536A62"/>
    <w:rsid w:val="01A7647D"/>
    <w:rsid w:val="01AF3D99"/>
    <w:rsid w:val="02212A12"/>
    <w:rsid w:val="02511F9D"/>
    <w:rsid w:val="0337738D"/>
    <w:rsid w:val="03A314B8"/>
    <w:rsid w:val="03D82B98"/>
    <w:rsid w:val="03EF3C40"/>
    <w:rsid w:val="03F83E8B"/>
    <w:rsid w:val="04333FF8"/>
    <w:rsid w:val="04D035F5"/>
    <w:rsid w:val="05C56868"/>
    <w:rsid w:val="06142239"/>
    <w:rsid w:val="068C72A7"/>
    <w:rsid w:val="07A539BD"/>
    <w:rsid w:val="07B72767"/>
    <w:rsid w:val="07F36ECC"/>
    <w:rsid w:val="08077E72"/>
    <w:rsid w:val="08882DD0"/>
    <w:rsid w:val="08981017"/>
    <w:rsid w:val="09CC2AAC"/>
    <w:rsid w:val="0A652D3E"/>
    <w:rsid w:val="0B154457"/>
    <w:rsid w:val="0B326F2A"/>
    <w:rsid w:val="0B3A2110"/>
    <w:rsid w:val="0C0725CD"/>
    <w:rsid w:val="0C1E2888"/>
    <w:rsid w:val="0C230DF6"/>
    <w:rsid w:val="0C92213C"/>
    <w:rsid w:val="0CC2027E"/>
    <w:rsid w:val="0D0504FC"/>
    <w:rsid w:val="0D710595"/>
    <w:rsid w:val="0D84032B"/>
    <w:rsid w:val="0D847371"/>
    <w:rsid w:val="0E4E29DD"/>
    <w:rsid w:val="0E534A95"/>
    <w:rsid w:val="0E6E1987"/>
    <w:rsid w:val="0EA24254"/>
    <w:rsid w:val="0EBD6DAA"/>
    <w:rsid w:val="0ECD7B5C"/>
    <w:rsid w:val="0F0B31D0"/>
    <w:rsid w:val="0F2A74C4"/>
    <w:rsid w:val="0F4E618A"/>
    <w:rsid w:val="0FFB6461"/>
    <w:rsid w:val="10A27F31"/>
    <w:rsid w:val="10B1077E"/>
    <w:rsid w:val="10E87F18"/>
    <w:rsid w:val="1128797D"/>
    <w:rsid w:val="11927058"/>
    <w:rsid w:val="11B344D7"/>
    <w:rsid w:val="120E171E"/>
    <w:rsid w:val="128351DA"/>
    <w:rsid w:val="128B4FFF"/>
    <w:rsid w:val="134C1990"/>
    <w:rsid w:val="13AF4F03"/>
    <w:rsid w:val="13B81E24"/>
    <w:rsid w:val="146A3560"/>
    <w:rsid w:val="14736E66"/>
    <w:rsid w:val="14772ABA"/>
    <w:rsid w:val="147C10A3"/>
    <w:rsid w:val="147F458F"/>
    <w:rsid w:val="14D26F15"/>
    <w:rsid w:val="14F65E5A"/>
    <w:rsid w:val="1534169A"/>
    <w:rsid w:val="15793835"/>
    <w:rsid w:val="15C03E03"/>
    <w:rsid w:val="160059BE"/>
    <w:rsid w:val="162A25EB"/>
    <w:rsid w:val="16596A26"/>
    <w:rsid w:val="16735895"/>
    <w:rsid w:val="16EB25B6"/>
    <w:rsid w:val="16FD2A55"/>
    <w:rsid w:val="17067C1A"/>
    <w:rsid w:val="172F68A1"/>
    <w:rsid w:val="17366761"/>
    <w:rsid w:val="17684604"/>
    <w:rsid w:val="177C01F0"/>
    <w:rsid w:val="179E3EFA"/>
    <w:rsid w:val="17C7426D"/>
    <w:rsid w:val="17CE6630"/>
    <w:rsid w:val="17F109C8"/>
    <w:rsid w:val="18787DD4"/>
    <w:rsid w:val="1A1217FB"/>
    <w:rsid w:val="1A2630CB"/>
    <w:rsid w:val="1A4621B2"/>
    <w:rsid w:val="1AA66875"/>
    <w:rsid w:val="1AFF0AFE"/>
    <w:rsid w:val="1B4F19F8"/>
    <w:rsid w:val="1BD26223"/>
    <w:rsid w:val="1C1167E4"/>
    <w:rsid w:val="1C470E08"/>
    <w:rsid w:val="1CC66E8E"/>
    <w:rsid w:val="1CED02C7"/>
    <w:rsid w:val="1D176852"/>
    <w:rsid w:val="1D295B40"/>
    <w:rsid w:val="1E0D0FBE"/>
    <w:rsid w:val="1E4C1AE7"/>
    <w:rsid w:val="1E94348E"/>
    <w:rsid w:val="1ECC44FA"/>
    <w:rsid w:val="1F063325"/>
    <w:rsid w:val="1F2E5690"/>
    <w:rsid w:val="1FA17E7A"/>
    <w:rsid w:val="1FB2006F"/>
    <w:rsid w:val="1FB57B5F"/>
    <w:rsid w:val="1FBC5DF5"/>
    <w:rsid w:val="1FC3227C"/>
    <w:rsid w:val="1FF90588"/>
    <w:rsid w:val="20A21E92"/>
    <w:rsid w:val="20C3623F"/>
    <w:rsid w:val="20DC1F58"/>
    <w:rsid w:val="20E15654"/>
    <w:rsid w:val="212C3E51"/>
    <w:rsid w:val="21494A03"/>
    <w:rsid w:val="21781212"/>
    <w:rsid w:val="21B83F86"/>
    <w:rsid w:val="221178A8"/>
    <w:rsid w:val="221213CF"/>
    <w:rsid w:val="22327A92"/>
    <w:rsid w:val="22A5210D"/>
    <w:rsid w:val="22C8091E"/>
    <w:rsid w:val="231D53A2"/>
    <w:rsid w:val="2369314C"/>
    <w:rsid w:val="236D5383"/>
    <w:rsid w:val="23B7504C"/>
    <w:rsid w:val="24571307"/>
    <w:rsid w:val="24D26ABE"/>
    <w:rsid w:val="25110A2A"/>
    <w:rsid w:val="256C0944"/>
    <w:rsid w:val="263D64CA"/>
    <w:rsid w:val="26446DE3"/>
    <w:rsid w:val="267808CB"/>
    <w:rsid w:val="26877DFE"/>
    <w:rsid w:val="269669E7"/>
    <w:rsid w:val="26A270C1"/>
    <w:rsid w:val="26B20955"/>
    <w:rsid w:val="26D7699F"/>
    <w:rsid w:val="2702368A"/>
    <w:rsid w:val="27A504B9"/>
    <w:rsid w:val="27D56FF1"/>
    <w:rsid w:val="28757E8C"/>
    <w:rsid w:val="288B76AF"/>
    <w:rsid w:val="28DC6FCD"/>
    <w:rsid w:val="28F47B14"/>
    <w:rsid w:val="290C2299"/>
    <w:rsid w:val="29471828"/>
    <w:rsid w:val="29B2144F"/>
    <w:rsid w:val="29D75F7F"/>
    <w:rsid w:val="2AA85522"/>
    <w:rsid w:val="2ABE1FBE"/>
    <w:rsid w:val="2ADE61BC"/>
    <w:rsid w:val="2B774624"/>
    <w:rsid w:val="2BBD2276"/>
    <w:rsid w:val="2BC260CB"/>
    <w:rsid w:val="2BEE6045"/>
    <w:rsid w:val="2C7A72BE"/>
    <w:rsid w:val="2C9A7D75"/>
    <w:rsid w:val="2CC17412"/>
    <w:rsid w:val="2D2C1323"/>
    <w:rsid w:val="2D3B3066"/>
    <w:rsid w:val="2D7C1E99"/>
    <w:rsid w:val="2DD438A6"/>
    <w:rsid w:val="2DE15A8F"/>
    <w:rsid w:val="2E374362"/>
    <w:rsid w:val="2E9976CE"/>
    <w:rsid w:val="2EF01DEE"/>
    <w:rsid w:val="2F401D3C"/>
    <w:rsid w:val="2F5B24E1"/>
    <w:rsid w:val="2FA95C88"/>
    <w:rsid w:val="301759A1"/>
    <w:rsid w:val="3041370F"/>
    <w:rsid w:val="3078676B"/>
    <w:rsid w:val="30B47128"/>
    <w:rsid w:val="30B87FED"/>
    <w:rsid w:val="312B50A3"/>
    <w:rsid w:val="315B354B"/>
    <w:rsid w:val="31894FD2"/>
    <w:rsid w:val="31F34CB5"/>
    <w:rsid w:val="32453A27"/>
    <w:rsid w:val="32547AD5"/>
    <w:rsid w:val="3263064A"/>
    <w:rsid w:val="32A43132"/>
    <w:rsid w:val="32AC0C06"/>
    <w:rsid w:val="32EB3B6C"/>
    <w:rsid w:val="33344EF5"/>
    <w:rsid w:val="339E2C0F"/>
    <w:rsid w:val="33F26952"/>
    <w:rsid w:val="34481681"/>
    <w:rsid w:val="344A72B4"/>
    <w:rsid w:val="3537750C"/>
    <w:rsid w:val="3537798C"/>
    <w:rsid w:val="35C13FC9"/>
    <w:rsid w:val="35E46651"/>
    <w:rsid w:val="36372B05"/>
    <w:rsid w:val="364257B6"/>
    <w:rsid w:val="370B2641"/>
    <w:rsid w:val="377C6E00"/>
    <w:rsid w:val="37EA5922"/>
    <w:rsid w:val="38276B93"/>
    <w:rsid w:val="382D42DF"/>
    <w:rsid w:val="382E58B8"/>
    <w:rsid w:val="389B56ED"/>
    <w:rsid w:val="38AC16A8"/>
    <w:rsid w:val="38AC3431"/>
    <w:rsid w:val="38D67CAD"/>
    <w:rsid w:val="392F2E16"/>
    <w:rsid w:val="39E00529"/>
    <w:rsid w:val="39F52FDB"/>
    <w:rsid w:val="3A0B64A7"/>
    <w:rsid w:val="3A455684"/>
    <w:rsid w:val="3A574DDA"/>
    <w:rsid w:val="3A951369"/>
    <w:rsid w:val="3AD3075A"/>
    <w:rsid w:val="3AF74C02"/>
    <w:rsid w:val="3BED7890"/>
    <w:rsid w:val="3C0059A5"/>
    <w:rsid w:val="3C134E78"/>
    <w:rsid w:val="3C860278"/>
    <w:rsid w:val="3CC80A7A"/>
    <w:rsid w:val="3D687B67"/>
    <w:rsid w:val="3D7B5AED"/>
    <w:rsid w:val="3DE713D4"/>
    <w:rsid w:val="3DF6345D"/>
    <w:rsid w:val="3E05404B"/>
    <w:rsid w:val="3E2B5515"/>
    <w:rsid w:val="3E4D4F28"/>
    <w:rsid w:val="3E52684D"/>
    <w:rsid w:val="3ED92EC4"/>
    <w:rsid w:val="3EE13701"/>
    <w:rsid w:val="3F033FEC"/>
    <w:rsid w:val="3F1A4BB3"/>
    <w:rsid w:val="3FDD6BA6"/>
    <w:rsid w:val="40192BA6"/>
    <w:rsid w:val="41766EA9"/>
    <w:rsid w:val="41895688"/>
    <w:rsid w:val="42550A18"/>
    <w:rsid w:val="429D496A"/>
    <w:rsid w:val="42F473A1"/>
    <w:rsid w:val="433D02BC"/>
    <w:rsid w:val="433F136A"/>
    <w:rsid w:val="435026E1"/>
    <w:rsid w:val="435E7A42"/>
    <w:rsid w:val="43651800"/>
    <w:rsid w:val="437217EA"/>
    <w:rsid w:val="439D4A0F"/>
    <w:rsid w:val="43AB7156"/>
    <w:rsid w:val="44136A7F"/>
    <w:rsid w:val="441E62C0"/>
    <w:rsid w:val="44627A06"/>
    <w:rsid w:val="45325D14"/>
    <w:rsid w:val="453B645D"/>
    <w:rsid w:val="45811C7C"/>
    <w:rsid w:val="45906116"/>
    <w:rsid w:val="45931B8C"/>
    <w:rsid w:val="45EF2552"/>
    <w:rsid w:val="46304F0D"/>
    <w:rsid w:val="468B3EFB"/>
    <w:rsid w:val="470A6193"/>
    <w:rsid w:val="47385210"/>
    <w:rsid w:val="475510F8"/>
    <w:rsid w:val="47A26255"/>
    <w:rsid w:val="47A67C0A"/>
    <w:rsid w:val="47DC4F5C"/>
    <w:rsid w:val="48335942"/>
    <w:rsid w:val="48B40671"/>
    <w:rsid w:val="48D339E4"/>
    <w:rsid w:val="4953791E"/>
    <w:rsid w:val="499B5738"/>
    <w:rsid w:val="499F244D"/>
    <w:rsid w:val="4A1762AC"/>
    <w:rsid w:val="4A2C35E8"/>
    <w:rsid w:val="4A7A36C5"/>
    <w:rsid w:val="4A973F3F"/>
    <w:rsid w:val="4AE253FD"/>
    <w:rsid w:val="4AF96BC7"/>
    <w:rsid w:val="4B862A85"/>
    <w:rsid w:val="4C5E6D05"/>
    <w:rsid w:val="4CEF36E2"/>
    <w:rsid w:val="4CEF4DC5"/>
    <w:rsid w:val="4D0C49B3"/>
    <w:rsid w:val="4D1E17E5"/>
    <w:rsid w:val="4D5C3245"/>
    <w:rsid w:val="4DDA060D"/>
    <w:rsid w:val="4E141B50"/>
    <w:rsid w:val="4E257655"/>
    <w:rsid w:val="4F372380"/>
    <w:rsid w:val="4F372FFB"/>
    <w:rsid w:val="5025116D"/>
    <w:rsid w:val="506B7C43"/>
    <w:rsid w:val="50704D16"/>
    <w:rsid w:val="50830C9B"/>
    <w:rsid w:val="50DB0D6B"/>
    <w:rsid w:val="50E579F5"/>
    <w:rsid w:val="510936E3"/>
    <w:rsid w:val="51340732"/>
    <w:rsid w:val="513A1AEF"/>
    <w:rsid w:val="51616960"/>
    <w:rsid w:val="51CE2237"/>
    <w:rsid w:val="51D51818"/>
    <w:rsid w:val="51D976E1"/>
    <w:rsid w:val="522D5360"/>
    <w:rsid w:val="52395ECD"/>
    <w:rsid w:val="524E3378"/>
    <w:rsid w:val="526967B0"/>
    <w:rsid w:val="52C10D75"/>
    <w:rsid w:val="530103EA"/>
    <w:rsid w:val="53C27FF8"/>
    <w:rsid w:val="53DC6CF4"/>
    <w:rsid w:val="544C3CF9"/>
    <w:rsid w:val="54806794"/>
    <w:rsid w:val="549E1A80"/>
    <w:rsid w:val="54A7729D"/>
    <w:rsid w:val="54C658F4"/>
    <w:rsid w:val="550C4BD7"/>
    <w:rsid w:val="554C1D56"/>
    <w:rsid w:val="55572986"/>
    <w:rsid w:val="559E0172"/>
    <w:rsid w:val="565340FA"/>
    <w:rsid w:val="565753CA"/>
    <w:rsid w:val="5689497F"/>
    <w:rsid w:val="56AD5F59"/>
    <w:rsid w:val="56C60774"/>
    <w:rsid w:val="56E878F7"/>
    <w:rsid w:val="57272B15"/>
    <w:rsid w:val="579569D8"/>
    <w:rsid w:val="57B12A52"/>
    <w:rsid w:val="580B5808"/>
    <w:rsid w:val="585078EF"/>
    <w:rsid w:val="588418A2"/>
    <w:rsid w:val="58C223CA"/>
    <w:rsid w:val="5A19426B"/>
    <w:rsid w:val="5A1D5730"/>
    <w:rsid w:val="5A2F2CC8"/>
    <w:rsid w:val="5A8C2C8F"/>
    <w:rsid w:val="5AF251E8"/>
    <w:rsid w:val="5C0402E6"/>
    <w:rsid w:val="5C10702D"/>
    <w:rsid w:val="5C152601"/>
    <w:rsid w:val="5C563555"/>
    <w:rsid w:val="5C591F03"/>
    <w:rsid w:val="5C8A1B2F"/>
    <w:rsid w:val="5E604B5F"/>
    <w:rsid w:val="5E9B5B97"/>
    <w:rsid w:val="5F561B72"/>
    <w:rsid w:val="606007BB"/>
    <w:rsid w:val="60670922"/>
    <w:rsid w:val="60AC7F66"/>
    <w:rsid w:val="60AD01DF"/>
    <w:rsid w:val="60AE7E03"/>
    <w:rsid w:val="618F629E"/>
    <w:rsid w:val="61BF10D9"/>
    <w:rsid w:val="62816E52"/>
    <w:rsid w:val="62AC22DC"/>
    <w:rsid w:val="62BB1CC4"/>
    <w:rsid w:val="63A22BFD"/>
    <w:rsid w:val="63B35731"/>
    <w:rsid w:val="643E149E"/>
    <w:rsid w:val="64A62BA0"/>
    <w:rsid w:val="64E45EF7"/>
    <w:rsid w:val="65CB0B10"/>
    <w:rsid w:val="66434B4A"/>
    <w:rsid w:val="66803B32"/>
    <w:rsid w:val="6691014E"/>
    <w:rsid w:val="66C87CCE"/>
    <w:rsid w:val="677435B2"/>
    <w:rsid w:val="67A61834"/>
    <w:rsid w:val="67EF75F1"/>
    <w:rsid w:val="67F819F7"/>
    <w:rsid w:val="684F4F11"/>
    <w:rsid w:val="68A85138"/>
    <w:rsid w:val="68B0223F"/>
    <w:rsid w:val="68E819D9"/>
    <w:rsid w:val="69124F16"/>
    <w:rsid w:val="695D5F23"/>
    <w:rsid w:val="69C30282"/>
    <w:rsid w:val="69CD5C14"/>
    <w:rsid w:val="69CF0D33"/>
    <w:rsid w:val="6B4355EC"/>
    <w:rsid w:val="6B9946B3"/>
    <w:rsid w:val="6BDF78B8"/>
    <w:rsid w:val="6BE518DA"/>
    <w:rsid w:val="6C276F3A"/>
    <w:rsid w:val="6C5460CE"/>
    <w:rsid w:val="6C7007C7"/>
    <w:rsid w:val="6CFB4979"/>
    <w:rsid w:val="6D934609"/>
    <w:rsid w:val="6DE76850"/>
    <w:rsid w:val="6EC712F6"/>
    <w:rsid w:val="6EC959BA"/>
    <w:rsid w:val="6ED0363B"/>
    <w:rsid w:val="6EFA2466"/>
    <w:rsid w:val="6F252C58"/>
    <w:rsid w:val="6F5C4ECE"/>
    <w:rsid w:val="6FB20BD4"/>
    <w:rsid w:val="6FBA59BE"/>
    <w:rsid w:val="6FD40F09"/>
    <w:rsid w:val="70296B3E"/>
    <w:rsid w:val="70611204"/>
    <w:rsid w:val="70C828CF"/>
    <w:rsid w:val="715F5994"/>
    <w:rsid w:val="7165620F"/>
    <w:rsid w:val="717039F8"/>
    <w:rsid w:val="721E46BD"/>
    <w:rsid w:val="727D3192"/>
    <w:rsid w:val="73A7542E"/>
    <w:rsid w:val="73B21561"/>
    <w:rsid w:val="73DC1EFD"/>
    <w:rsid w:val="73E536E4"/>
    <w:rsid w:val="74654A7D"/>
    <w:rsid w:val="74D13AD5"/>
    <w:rsid w:val="74FA2C30"/>
    <w:rsid w:val="754D5C4B"/>
    <w:rsid w:val="75F45E61"/>
    <w:rsid w:val="765406AD"/>
    <w:rsid w:val="76612DCA"/>
    <w:rsid w:val="766776B6"/>
    <w:rsid w:val="76946CFC"/>
    <w:rsid w:val="76C240A7"/>
    <w:rsid w:val="76DA416A"/>
    <w:rsid w:val="775246B7"/>
    <w:rsid w:val="7768160D"/>
    <w:rsid w:val="781E69D1"/>
    <w:rsid w:val="784F5340"/>
    <w:rsid w:val="786D0FEC"/>
    <w:rsid w:val="7901747F"/>
    <w:rsid w:val="79E1494E"/>
    <w:rsid w:val="7A263B6B"/>
    <w:rsid w:val="7AB1500C"/>
    <w:rsid w:val="7AF46346"/>
    <w:rsid w:val="7B0F5EBF"/>
    <w:rsid w:val="7B130FB9"/>
    <w:rsid w:val="7B67256C"/>
    <w:rsid w:val="7BD71E38"/>
    <w:rsid w:val="7BF64EDE"/>
    <w:rsid w:val="7C400C1E"/>
    <w:rsid w:val="7CFE1373"/>
    <w:rsid w:val="7D434198"/>
    <w:rsid w:val="7DCC7AE7"/>
    <w:rsid w:val="7DD11708"/>
    <w:rsid w:val="7DEE4A4F"/>
    <w:rsid w:val="7E115151"/>
    <w:rsid w:val="7EAE6230"/>
    <w:rsid w:val="7EBD579E"/>
    <w:rsid w:val="7EC167BD"/>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99"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99"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9"/>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3"/>
    <w:qFormat/>
    <w:uiPriority w:val="0"/>
    <w:pPr>
      <w:keepNext/>
      <w:keepLines/>
      <w:spacing w:before="260" w:after="260" w:line="416" w:lineRule="auto"/>
      <w:outlineLvl w:val="2"/>
    </w:pPr>
    <w:rPr>
      <w:b/>
      <w:bCs/>
      <w:sz w:val="32"/>
      <w:szCs w:val="32"/>
    </w:rPr>
  </w:style>
  <w:style w:type="paragraph" w:styleId="5">
    <w:name w:val="heading 4"/>
    <w:basedOn w:val="1"/>
    <w:next w:val="1"/>
    <w:link w:val="157"/>
    <w:qFormat/>
    <w:uiPriority w:val="0"/>
    <w:pPr>
      <w:keepNext/>
      <w:keepLines/>
      <w:spacing w:line="360" w:lineRule="auto"/>
      <w:outlineLvl w:val="3"/>
    </w:pPr>
    <w:rPr>
      <w:rFonts w:ascii="Arial" w:hAnsi="Arial"/>
      <w:b/>
      <w:bCs/>
      <w:sz w:val="28"/>
      <w:szCs w:val="28"/>
    </w:rPr>
  </w:style>
  <w:style w:type="paragraph" w:styleId="6">
    <w:name w:val="heading 5"/>
    <w:basedOn w:val="1"/>
    <w:next w:val="7"/>
    <w:link w:val="145"/>
    <w:qFormat/>
    <w:uiPriority w:val="99"/>
    <w:pPr>
      <w:keepNext/>
      <w:keepLines/>
      <w:spacing w:before="280" w:after="290" w:line="376" w:lineRule="auto"/>
      <w:outlineLvl w:val="4"/>
    </w:pPr>
    <w:rPr>
      <w:b/>
      <w:bCs/>
      <w:sz w:val="28"/>
      <w:szCs w:val="28"/>
    </w:rPr>
  </w:style>
  <w:style w:type="paragraph" w:styleId="8">
    <w:name w:val="heading 6"/>
    <w:basedOn w:val="1"/>
    <w:next w:val="1"/>
    <w:link w:val="185"/>
    <w:qFormat/>
    <w:uiPriority w:val="0"/>
    <w:pPr>
      <w:keepNext/>
      <w:keepLines/>
      <w:spacing w:before="240" w:after="64" w:line="317" w:lineRule="auto"/>
      <w:outlineLvl w:val="5"/>
    </w:pPr>
    <w:rPr>
      <w:rFonts w:ascii="Cambria" w:hAnsi="Cambria"/>
      <w:b/>
      <w:bCs/>
      <w:kern w:val="0"/>
      <w:sz w:val="24"/>
    </w:rPr>
  </w:style>
  <w:style w:type="paragraph" w:styleId="9">
    <w:name w:val="heading 7"/>
    <w:basedOn w:val="1"/>
    <w:next w:val="1"/>
    <w:link w:val="125"/>
    <w:qFormat/>
    <w:uiPriority w:val="0"/>
    <w:pPr>
      <w:keepNext/>
      <w:keepLines/>
      <w:spacing w:before="240" w:after="64" w:line="317" w:lineRule="auto"/>
      <w:outlineLvl w:val="6"/>
    </w:pPr>
    <w:rPr>
      <w:b/>
      <w:bCs/>
      <w:kern w:val="0"/>
      <w:sz w:val="24"/>
    </w:rPr>
  </w:style>
  <w:style w:type="paragraph" w:styleId="10">
    <w:name w:val="heading 8"/>
    <w:basedOn w:val="1"/>
    <w:next w:val="1"/>
    <w:link w:val="177"/>
    <w:qFormat/>
    <w:uiPriority w:val="9"/>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190"/>
    <w:qFormat/>
    <w:uiPriority w:val="0"/>
    <w:pPr>
      <w:keepNext/>
      <w:keepLines/>
      <w:spacing w:before="240" w:after="64" w:line="317" w:lineRule="auto"/>
      <w:outlineLvl w:val="8"/>
    </w:pPr>
    <w:rPr>
      <w:rFonts w:ascii="Cambria" w:hAnsi="Cambria"/>
      <w:kern w:val="0"/>
      <w:sz w:val="2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84"/>
    <w:qFormat/>
    <w:uiPriority w:val="0"/>
    <w:pPr>
      <w:ind w:firstLine="420"/>
    </w:pPr>
    <w:rPr>
      <w:szCs w:val="20"/>
    </w:rPr>
  </w:style>
  <w:style w:type="paragraph" w:styleId="12">
    <w:name w:val="toc 7"/>
    <w:basedOn w:val="1"/>
    <w:next w:val="1"/>
    <w:qFormat/>
    <w:uiPriority w:val="0"/>
    <w:pPr>
      <w:ind w:left="2520" w:leftChars="1200"/>
    </w:pPr>
    <w:rPr>
      <w:rFonts w:ascii="Calibri" w:hAnsi="Calibri" w:cs="Calibri"/>
      <w:szCs w:val="21"/>
    </w:rPr>
  </w:style>
  <w:style w:type="paragraph" w:styleId="13">
    <w:name w:val="index 8"/>
    <w:basedOn w:val="1"/>
    <w:next w:val="1"/>
    <w:qFormat/>
    <w:uiPriority w:val="0"/>
    <w:pPr>
      <w:spacing w:line="240" w:lineRule="auto"/>
      <w:ind w:left="2940" w:firstLine="0" w:firstLineChars="0"/>
    </w:pPr>
    <w:rPr>
      <w:rFonts w:ascii="Times New Roman" w:hAnsi="Times New Roman"/>
      <w:sz w:val="21"/>
      <w:szCs w:val="24"/>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99"/>
    <w:rPr>
      <w:rFonts w:ascii="Cambria" w:hAnsi="Cambria" w:eastAsia="黑体" w:cs="Cambria"/>
      <w:sz w:val="20"/>
      <w:szCs w:val="20"/>
    </w:rPr>
  </w:style>
  <w:style w:type="paragraph" w:styleId="16">
    <w:name w:val="Document Map"/>
    <w:basedOn w:val="1"/>
    <w:link w:val="213"/>
    <w:qFormat/>
    <w:uiPriority w:val="0"/>
    <w:pPr>
      <w:shd w:val="clear" w:color="auto" w:fill="000080"/>
    </w:pPr>
    <w:rPr>
      <w:sz w:val="24"/>
      <w:shd w:val="clear" w:color="auto" w:fill="000080"/>
    </w:rPr>
  </w:style>
  <w:style w:type="paragraph" w:styleId="17">
    <w:name w:val="annotation text"/>
    <w:basedOn w:val="1"/>
    <w:link w:val="65"/>
    <w:qFormat/>
    <w:uiPriority w:val="99"/>
    <w:pPr>
      <w:jc w:val="left"/>
    </w:pPr>
  </w:style>
  <w:style w:type="paragraph" w:styleId="18">
    <w:name w:val="Body Text 3"/>
    <w:basedOn w:val="1"/>
    <w:link w:val="168"/>
    <w:unhideWhenUsed/>
    <w:qFormat/>
    <w:uiPriority w:val="0"/>
    <w:pPr>
      <w:spacing w:after="120"/>
    </w:pPr>
    <w:rPr>
      <w:sz w:val="16"/>
      <w:szCs w:val="16"/>
    </w:rPr>
  </w:style>
  <w:style w:type="paragraph" w:styleId="19">
    <w:name w:val="Body Text"/>
    <w:basedOn w:val="1"/>
    <w:link w:val="89"/>
    <w:unhideWhenUsed/>
    <w:qFormat/>
    <w:uiPriority w:val="0"/>
    <w:pPr>
      <w:spacing w:after="120"/>
    </w:pPr>
  </w:style>
  <w:style w:type="paragraph" w:styleId="20">
    <w:name w:val="Body Text Indent"/>
    <w:basedOn w:val="1"/>
    <w:link w:val="191"/>
    <w:qFormat/>
    <w:uiPriority w:val="0"/>
    <w:pPr>
      <w:ind w:firstLine="830" w:firstLineChars="352"/>
    </w:pPr>
    <w:rPr>
      <w:rFonts w:ascii="仿宋_GB2312" w:eastAsia="仿宋_GB2312"/>
      <w:kern w:val="0"/>
      <w:sz w:val="32"/>
      <w:szCs w:val="20"/>
    </w:rPr>
  </w:style>
  <w:style w:type="paragraph" w:styleId="21">
    <w:name w:val="List 2"/>
    <w:basedOn w:val="1"/>
    <w:unhideWhenUsed/>
    <w:qFormat/>
    <w:uiPriority w:val="99"/>
    <w:pPr>
      <w:ind w:left="100" w:leftChars="200" w:hanging="200" w:hangingChars="200"/>
      <w:contextualSpacing/>
    </w:pPr>
  </w:style>
  <w:style w:type="paragraph" w:styleId="22">
    <w:name w:val="Block Text"/>
    <w:basedOn w:val="1"/>
    <w:unhideWhenUsed/>
    <w:qFormat/>
    <w:uiPriority w:val="99"/>
    <w:pPr>
      <w:adjustRightInd w:val="0"/>
      <w:spacing w:line="400" w:lineRule="exact"/>
      <w:ind w:left="420" w:right="33" w:firstLine="1044" w:firstLineChars="200"/>
      <w:jc w:val="left"/>
    </w:pPr>
    <w:rPr>
      <w:kern w:val="0"/>
      <w:sz w:val="24"/>
      <w:szCs w:val="20"/>
    </w:rPr>
  </w:style>
  <w:style w:type="paragraph" w:styleId="23">
    <w:name w:val="index 4"/>
    <w:basedOn w:val="1"/>
    <w:next w:val="1"/>
    <w:semiHidden/>
    <w:qFormat/>
    <w:uiPriority w:val="99"/>
    <w:pPr>
      <w:ind w:left="600" w:leftChars="600"/>
    </w:pPr>
    <w:rPr>
      <w:szCs w:val="21"/>
    </w:rPr>
  </w:style>
  <w:style w:type="paragraph" w:styleId="24">
    <w:name w:val="toc 5"/>
    <w:basedOn w:val="1"/>
    <w:next w:val="1"/>
    <w:qFormat/>
    <w:uiPriority w:val="0"/>
    <w:pPr>
      <w:ind w:left="1680" w:leftChars="800"/>
    </w:pPr>
    <w:rPr>
      <w:rFonts w:ascii="Calibri" w:hAnsi="Calibri" w:cs="Calibri"/>
      <w:szCs w:val="21"/>
    </w:rPr>
  </w:style>
  <w:style w:type="paragraph" w:styleId="25">
    <w:name w:val="toc 3"/>
    <w:basedOn w:val="1"/>
    <w:next w:val="1"/>
    <w:qFormat/>
    <w:uiPriority w:val="0"/>
    <w:pPr>
      <w:ind w:left="840" w:leftChars="400"/>
    </w:pPr>
    <w:rPr>
      <w:szCs w:val="21"/>
    </w:rPr>
  </w:style>
  <w:style w:type="paragraph" w:styleId="26">
    <w:name w:val="Plain Text"/>
    <w:basedOn w:val="1"/>
    <w:next w:val="13"/>
    <w:link w:val="103"/>
    <w:qFormat/>
    <w:uiPriority w:val="0"/>
    <w:rPr>
      <w:rFonts w:ascii="宋体" w:hAnsi="Courier New"/>
      <w:kern w:val="0"/>
      <w:sz w:val="20"/>
      <w:szCs w:val="21"/>
    </w:rPr>
  </w:style>
  <w:style w:type="paragraph" w:styleId="27">
    <w:name w:val="toc 8"/>
    <w:basedOn w:val="1"/>
    <w:next w:val="1"/>
    <w:qFormat/>
    <w:uiPriority w:val="0"/>
    <w:pPr>
      <w:ind w:left="2940" w:leftChars="1400"/>
    </w:pPr>
    <w:rPr>
      <w:rFonts w:ascii="Calibri" w:hAnsi="Calibri" w:cs="Calibri"/>
      <w:szCs w:val="21"/>
    </w:rPr>
  </w:style>
  <w:style w:type="paragraph" w:styleId="28">
    <w:name w:val="Date"/>
    <w:basedOn w:val="1"/>
    <w:next w:val="1"/>
    <w:link w:val="204"/>
    <w:unhideWhenUsed/>
    <w:qFormat/>
    <w:uiPriority w:val="0"/>
    <w:pPr>
      <w:ind w:left="100" w:leftChars="2500"/>
    </w:pPr>
  </w:style>
  <w:style w:type="paragraph" w:styleId="29">
    <w:name w:val="Body Text Indent 2"/>
    <w:basedOn w:val="1"/>
    <w:link w:val="74"/>
    <w:qFormat/>
    <w:uiPriority w:val="0"/>
    <w:pPr>
      <w:spacing w:after="120" w:line="480" w:lineRule="auto"/>
      <w:ind w:left="420" w:leftChars="200"/>
    </w:pPr>
    <w:rPr>
      <w:sz w:val="24"/>
    </w:rPr>
  </w:style>
  <w:style w:type="paragraph" w:styleId="30">
    <w:name w:val="Balloon Text"/>
    <w:basedOn w:val="1"/>
    <w:link w:val="211"/>
    <w:qFormat/>
    <w:uiPriority w:val="0"/>
    <w:rPr>
      <w:sz w:val="18"/>
      <w:szCs w:val="18"/>
    </w:rPr>
  </w:style>
  <w:style w:type="paragraph" w:styleId="31">
    <w:name w:val="footer"/>
    <w:basedOn w:val="1"/>
    <w:link w:val="101"/>
    <w:unhideWhenUsed/>
    <w:qFormat/>
    <w:uiPriority w:val="99"/>
    <w:pPr>
      <w:tabs>
        <w:tab w:val="center" w:pos="4153"/>
        <w:tab w:val="right" w:pos="8306"/>
      </w:tabs>
      <w:snapToGrid w:val="0"/>
      <w:jc w:val="left"/>
    </w:pPr>
    <w:rPr>
      <w:kern w:val="0"/>
      <w:sz w:val="18"/>
      <w:szCs w:val="18"/>
    </w:rPr>
  </w:style>
  <w:style w:type="paragraph" w:styleId="32">
    <w:name w:val="header"/>
    <w:basedOn w:val="1"/>
    <w:link w:val="16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unhideWhenUsed/>
    <w:qFormat/>
    <w:uiPriority w:val="0"/>
  </w:style>
  <w:style w:type="paragraph" w:styleId="34">
    <w:name w:val="toc 4"/>
    <w:basedOn w:val="1"/>
    <w:next w:val="1"/>
    <w:qFormat/>
    <w:uiPriority w:val="0"/>
    <w:pPr>
      <w:ind w:left="1260" w:leftChars="600"/>
    </w:pPr>
    <w:rPr>
      <w:rFonts w:ascii="Calibri" w:hAnsi="Calibri" w:cs="Calibri"/>
      <w:szCs w:val="21"/>
    </w:rPr>
  </w:style>
  <w:style w:type="paragraph" w:styleId="35">
    <w:name w:val="Subtitle"/>
    <w:basedOn w:val="1"/>
    <w:next w:val="1"/>
    <w:link w:val="134"/>
    <w:qFormat/>
    <w:uiPriority w:val="11"/>
    <w:pPr>
      <w:spacing w:before="240" w:after="60" w:line="312" w:lineRule="auto"/>
      <w:jc w:val="center"/>
      <w:outlineLvl w:val="1"/>
    </w:pPr>
    <w:rPr>
      <w:rFonts w:ascii="Cambria" w:hAnsi="Cambria"/>
      <w:b/>
      <w:bCs/>
      <w:kern w:val="28"/>
      <w:sz w:val="32"/>
      <w:szCs w:val="32"/>
    </w:rPr>
  </w:style>
  <w:style w:type="paragraph" w:styleId="36">
    <w:name w:val="footnote text"/>
    <w:basedOn w:val="1"/>
    <w:link w:val="178"/>
    <w:qFormat/>
    <w:uiPriority w:val="0"/>
    <w:pPr>
      <w:adjustRightInd w:val="0"/>
      <w:spacing w:line="312" w:lineRule="atLeast"/>
      <w:jc w:val="left"/>
      <w:textAlignment w:val="baseline"/>
    </w:pPr>
    <w:rPr>
      <w:kern w:val="0"/>
      <w:sz w:val="18"/>
      <w:szCs w:val="18"/>
    </w:rPr>
  </w:style>
  <w:style w:type="paragraph" w:styleId="37">
    <w:name w:val="toc 6"/>
    <w:basedOn w:val="1"/>
    <w:next w:val="1"/>
    <w:qFormat/>
    <w:uiPriority w:val="0"/>
    <w:pPr>
      <w:ind w:left="2100" w:leftChars="1000"/>
    </w:pPr>
    <w:rPr>
      <w:rFonts w:ascii="Calibri" w:hAnsi="Calibri" w:cs="Calibri"/>
      <w:szCs w:val="21"/>
    </w:rPr>
  </w:style>
  <w:style w:type="paragraph" w:styleId="38">
    <w:name w:val="Body Text Indent 3"/>
    <w:basedOn w:val="1"/>
    <w:link w:val="142"/>
    <w:unhideWhenUsed/>
    <w:qFormat/>
    <w:uiPriority w:val="0"/>
    <w:pPr>
      <w:adjustRightInd w:val="0"/>
      <w:spacing w:line="360" w:lineRule="auto"/>
      <w:ind w:firstLine="527"/>
    </w:pPr>
    <w:rPr>
      <w:kern w:val="0"/>
      <w:sz w:val="28"/>
      <w:szCs w:val="20"/>
    </w:rPr>
  </w:style>
  <w:style w:type="paragraph" w:styleId="39">
    <w:name w:val="toc 2"/>
    <w:basedOn w:val="1"/>
    <w:next w:val="1"/>
    <w:unhideWhenUsed/>
    <w:qFormat/>
    <w:uiPriority w:val="0"/>
    <w:pPr>
      <w:tabs>
        <w:tab w:val="right" w:leader="dot" w:pos="8296"/>
      </w:tabs>
      <w:ind w:left="420" w:leftChars="200"/>
    </w:pPr>
  </w:style>
  <w:style w:type="paragraph" w:styleId="40">
    <w:name w:val="toc 9"/>
    <w:basedOn w:val="1"/>
    <w:next w:val="1"/>
    <w:qFormat/>
    <w:uiPriority w:val="0"/>
    <w:pPr>
      <w:ind w:left="3360" w:leftChars="1600"/>
    </w:pPr>
    <w:rPr>
      <w:rFonts w:ascii="Calibri" w:hAnsi="Calibri" w:cs="Calibri"/>
      <w:szCs w:val="21"/>
    </w:rPr>
  </w:style>
  <w:style w:type="paragraph" w:styleId="41">
    <w:name w:val="HTML Preformatted"/>
    <w:basedOn w:val="1"/>
    <w:link w:val="16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2">
    <w:name w:val="Normal (Web)"/>
    <w:basedOn w:val="1"/>
    <w:unhideWhenUsed/>
    <w:qFormat/>
    <w:uiPriority w:val="0"/>
    <w:rPr>
      <w:rFonts w:ascii="Calibri" w:hAnsi="Calibri"/>
      <w:kern w:val="0"/>
      <w:sz w:val="24"/>
    </w:rPr>
  </w:style>
  <w:style w:type="paragraph" w:styleId="43">
    <w:name w:val="index 1"/>
    <w:basedOn w:val="1"/>
    <w:next w:val="1"/>
    <w:unhideWhenUsed/>
    <w:qFormat/>
    <w:uiPriority w:val="0"/>
    <w:pPr>
      <w:adjustRightInd w:val="0"/>
      <w:spacing w:line="312" w:lineRule="atLeast"/>
    </w:pPr>
    <w:rPr>
      <w:kern w:val="0"/>
      <w:szCs w:val="20"/>
    </w:rPr>
  </w:style>
  <w:style w:type="paragraph" w:styleId="44">
    <w:name w:val="Title"/>
    <w:basedOn w:val="1"/>
    <w:next w:val="1"/>
    <w:link w:val="198"/>
    <w:qFormat/>
    <w:uiPriority w:val="0"/>
    <w:pPr>
      <w:spacing w:before="240" w:after="60"/>
      <w:jc w:val="center"/>
      <w:outlineLvl w:val="0"/>
    </w:pPr>
    <w:rPr>
      <w:rFonts w:ascii="Cambria" w:hAnsi="Cambria"/>
      <w:b/>
      <w:bCs/>
      <w:sz w:val="32"/>
      <w:szCs w:val="32"/>
    </w:rPr>
  </w:style>
  <w:style w:type="paragraph" w:styleId="45">
    <w:name w:val="annotation subject"/>
    <w:basedOn w:val="17"/>
    <w:next w:val="17"/>
    <w:link w:val="176"/>
    <w:qFormat/>
    <w:uiPriority w:val="0"/>
    <w:rPr>
      <w:b/>
      <w:bCs/>
    </w:rPr>
  </w:style>
  <w:style w:type="table" w:styleId="47">
    <w:name w:val="Table Grid"/>
    <w:basedOn w:val="4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unhideWhenUsed/>
    <w:qFormat/>
    <w:uiPriority w:val="99"/>
    <w:rPr>
      <w:vertAlign w:val="superscript"/>
    </w:rPr>
  </w:style>
  <w:style w:type="character" w:styleId="51">
    <w:name w:val="page number"/>
    <w:qFormat/>
    <w:uiPriority w:val="99"/>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TML Definition"/>
    <w:basedOn w:val="48"/>
    <w:unhideWhenUsed/>
    <w:qFormat/>
    <w:uiPriority w:val="0"/>
  </w:style>
  <w:style w:type="character" w:styleId="55">
    <w:name w:val="HTML Typewriter"/>
    <w:basedOn w:val="48"/>
    <w:unhideWhenUsed/>
    <w:qFormat/>
    <w:uiPriority w:val="0"/>
    <w:rPr>
      <w:rFonts w:hint="default" w:ascii="Courier New" w:hAnsi="Courier New" w:eastAsia="Courier New" w:cs="Courier New"/>
      <w:sz w:val="24"/>
      <w:szCs w:val="24"/>
    </w:rPr>
  </w:style>
  <w:style w:type="character" w:styleId="56">
    <w:name w:val="HTML Variable"/>
    <w:basedOn w:val="48"/>
    <w:unhideWhenUsed/>
    <w:qFormat/>
    <w:uiPriority w:val="0"/>
    <w:rPr>
      <w:vanish/>
      <w:bdr w:val="single" w:color="DCDCDC" w:sz="6" w:space="0"/>
    </w:rPr>
  </w:style>
  <w:style w:type="character" w:styleId="57">
    <w:name w:val="Hyperlink"/>
    <w:unhideWhenUsed/>
    <w:qFormat/>
    <w:uiPriority w:val="0"/>
    <w:rPr>
      <w:color w:val="0000FF"/>
      <w:u w:val="single"/>
    </w:rPr>
  </w:style>
  <w:style w:type="character" w:styleId="58">
    <w:name w:val="HTML Code"/>
    <w:basedOn w:val="48"/>
    <w:unhideWhenUsed/>
    <w:qFormat/>
    <w:uiPriority w:val="0"/>
    <w:rPr>
      <w:rFonts w:hint="default" w:ascii="Courier New" w:hAnsi="Courier New" w:eastAsia="Courier New" w:cs="Courier New"/>
      <w:sz w:val="24"/>
      <w:szCs w:val="24"/>
    </w:rPr>
  </w:style>
  <w:style w:type="character" w:styleId="59">
    <w:name w:val="annotation reference"/>
    <w:qFormat/>
    <w:uiPriority w:val="99"/>
    <w:rPr>
      <w:sz w:val="21"/>
      <w:szCs w:val="21"/>
    </w:rPr>
  </w:style>
  <w:style w:type="character" w:styleId="60">
    <w:name w:val="HTML Cite"/>
    <w:basedOn w:val="48"/>
    <w:unhideWhenUsed/>
    <w:qFormat/>
    <w:uiPriority w:val="0"/>
  </w:style>
  <w:style w:type="character" w:styleId="61">
    <w:name w:val="footnote reference"/>
    <w:basedOn w:val="48"/>
    <w:unhideWhenUsed/>
    <w:qFormat/>
    <w:uiPriority w:val="0"/>
    <w:rPr>
      <w:vertAlign w:val="superscript"/>
    </w:rPr>
  </w:style>
  <w:style w:type="character" w:styleId="62">
    <w:name w:val="HTML Keyboard"/>
    <w:basedOn w:val="48"/>
    <w:unhideWhenUsed/>
    <w:qFormat/>
    <w:uiPriority w:val="0"/>
    <w:rPr>
      <w:rFonts w:hint="default" w:ascii="Courier New" w:hAnsi="Courier New" w:eastAsia="Courier New" w:cs="Courier New"/>
      <w:sz w:val="24"/>
      <w:szCs w:val="24"/>
    </w:rPr>
  </w:style>
  <w:style w:type="character" w:styleId="63">
    <w:name w:val="HTML Sample"/>
    <w:basedOn w:val="48"/>
    <w:unhideWhenUsed/>
    <w:qFormat/>
    <w:uiPriority w:val="0"/>
    <w:rPr>
      <w:rFonts w:hint="default" w:ascii="Courier New" w:hAnsi="Courier New" w:eastAsia="Courier New" w:cs="Courier New"/>
    </w:rPr>
  </w:style>
  <w:style w:type="paragraph" w:styleId="6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批注文字 字符2"/>
    <w:link w:val="17"/>
    <w:qFormat/>
    <w:uiPriority w:val="99"/>
    <w:rPr>
      <w:rFonts w:ascii="Times New Roman" w:hAnsi="Times New Roman"/>
      <w:kern w:val="2"/>
      <w:sz w:val="21"/>
      <w:szCs w:val="24"/>
    </w:rPr>
  </w:style>
  <w:style w:type="character" w:customStyle="1" w:styleId="66">
    <w:name w:val="正文文本缩进 Char1"/>
    <w:basedOn w:val="48"/>
    <w:semiHidden/>
    <w:qFormat/>
    <w:locked/>
    <w:uiPriority w:val="0"/>
    <w:rPr>
      <w:kern w:val="2"/>
      <w:sz w:val="21"/>
      <w:szCs w:val="24"/>
    </w:rPr>
  </w:style>
  <w:style w:type="character" w:customStyle="1" w:styleId="67">
    <w:name w:val="Body text|2_"/>
    <w:link w:val="68"/>
    <w:qFormat/>
    <w:uiPriority w:val="0"/>
    <w:rPr>
      <w:sz w:val="21"/>
    </w:rPr>
  </w:style>
  <w:style w:type="paragraph" w:customStyle="1" w:styleId="68">
    <w:name w:val="Body text|2"/>
    <w:basedOn w:val="1"/>
    <w:link w:val="67"/>
    <w:qFormat/>
    <w:uiPriority w:val="0"/>
    <w:pPr>
      <w:spacing w:after="30"/>
      <w:ind w:firstLine="420"/>
      <w:jc w:val="left"/>
    </w:pPr>
    <w:rPr>
      <w:kern w:val="0"/>
      <w:szCs w:val="20"/>
    </w:rPr>
  </w:style>
  <w:style w:type="character" w:customStyle="1" w:styleId="69">
    <w:name w:val="标题 8 Char"/>
    <w:qFormat/>
    <w:uiPriority w:val="0"/>
    <w:rPr>
      <w:rFonts w:ascii="Arial" w:hAnsi="Arial" w:eastAsia="黑体"/>
      <w:kern w:val="2"/>
      <w:sz w:val="24"/>
      <w:szCs w:val="24"/>
    </w:rPr>
  </w:style>
  <w:style w:type="character" w:customStyle="1" w:styleId="70">
    <w:name w:val="Comment Text Char1"/>
    <w:qFormat/>
    <w:uiPriority w:val="99"/>
    <w:rPr>
      <w:sz w:val="24"/>
      <w:szCs w:val="24"/>
    </w:rPr>
  </w:style>
  <w:style w:type="character" w:customStyle="1" w:styleId="71">
    <w:name w:val="Char Char19"/>
    <w:qFormat/>
    <w:uiPriority w:val="99"/>
    <w:rPr>
      <w:rFonts w:ascii="Arial" w:hAnsi="Arial" w:eastAsia="宋体" w:cs="Arial"/>
      <w:b/>
      <w:bCs/>
      <w:sz w:val="28"/>
      <w:szCs w:val="28"/>
    </w:rPr>
  </w:style>
  <w:style w:type="character" w:styleId="72">
    <w:name w:val="Placeholder Text"/>
    <w:unhideWhenUsed/>
    <w:qFormat/>
    <w:uiPriority w:val="99"/>
    <w:rPr>
      <w:color w:val="808080"/>
    </w:rPr>
  </w:style>
  <w:style w:type="character" w:customStyle="1" w:styleId="73">
    <w:name w:val="apple-converted-space"/>
    <w:basedOn w:val="48"/>
    <w:qFormat/>
    <w:uiPriority w:val="0"/>
  </w:style>
  <w:style w:type="character" w:customStyle="1" w:styleId="74">
    <w:name w:val="正文文本缩进 2 字符"/>
    <w:basedOn w:val="48"/>
    <w:link w:val="29"/>
    <w:qFormat/>
    <w:uiPriority w:val="0"/>
    <w:rPr>
      <w:kern w:val="2"/>
      <w:sz w:val="24"/>
      <w:szCs w:val="24"/>
    </w:rPr>
  </w:style>
  <w:style w:type="character" w:customStyle="1" w:styleId="75">
    <w:name w:val="Heading 5 Char"/>
    <w:qFormat/>
    <w:uiPriority w:val="99"/>
    <w:rPr>
      <w:rFonts w:eastAsia="宋体"/>
      <w:b/>
      <w:bCs/>
      <w:kern w:val="2"/>
      <w:sz w:val="28"/>
      <w:szCs w:val="28"/>
      <w:lang w:val="en-US" w:eastAsia="zh-CN"/>
    </w:rPr>
  </w:style>
  <w:style w:type="character" w:customStyle="1" w:styleId="76">
    <w:name w:val="正文呀2 Char"/>
    <w:basedOn w:val="77"/>
    <w:link w:val="79"/>
    <w:qFormat/>
    <w:locked/>
    <w:uiPriority w:val="0"/>
    <w:rPr>
      <w:rFonts w:ascii="宋体" w:hAnsi="宋体"/>
      <w:szCs w:val="21"/>
    </w:rPr>
  </w:style>
  <w:style w:type="character" w:customStyle="1" w:styleId="77">
    <w:name w:val="正文呀 Char"/>
    <w:link w:val="78"/>
    <w:qFormat/>
    <w:locked/>
    <w:uiPriority w:val="0"/>
    <w:rPr>
      <w:rFonts w:ascii="宋体" w:hAnsi="宋体"/>
      <w:szCs w:val="21"/>
    </w:rPr>
  </w:style>
  <w:style w:type="paragraph" w:customStyle="1" w:styleId="78">
    <w:name w:val="正文呀"/>
    <w:basedOn w:val="1"/>
    <w:link w:val="77"/>
    <w:qFormat/>
    <w:uiPriority w:val="0"/>
    <w:pPr>
      <w:adjustRightInd w:val="0"/>
      <w:spacing w:line="420" w:lineRule="exact"/>
      <w:ind w:firstLine="420" w:firstLineChars="200"/>
    </w:pPr>
    <w:rPr>
      <w:rFonts w:ascii="宋体" w:hAnsi="宋体"/>
      <w:kern w:val="0"/>
      <w:sz w:val="20"/>
      <w:szCs w:val="21"/>
    </w:rPr>
  </w:style>
  <w:style w:type="paragraph" w:customStyle="1" w:styleId="79">
    <w:name w:val="正文呀2"/>
    <w:basedOn w:val="78"/>
    <w:link w:val="76"/>
    <w:qFormat/>
    <w:uiPriority w:val="0"/>
  </w:style>
  <w:style w:type="character" w:customStyle="1" w:styleId="80">
    <w:name w:val="Document Map Char"/>
    <w:qFormat/>
    <w:uiPriority w:val="99"/>
    <w:rPr>
      <w:rFonts w:eastAsia="宋体"/>
      <w:kern w:val="2"/>
      <w:sz w:val="24"/>
      <w:szCs w:val="24"/>
      <w:lang w:val="en-US" w:eastAsia="zh-CN"/>
    </w:rPr>
  </w:style>
  <w:style w:type="character" w:customStyle="1" w:styleId="81">
    <w:name w:val="Char Char18"/>
    <w:qFormat/>
    <w:uiPriority w:val="99"/>
    <w:rPr>
      <w:rFonts w:ascii="Times New Roman" w:hAnsi="Times New Roman" w:eastAsia="宋体" w:cs="Times New Roman"/>
      <w:b/>
      <w:bCs/>
      <w:sz w:val="28"/>
      <w:szCs w:val="28"/>
    </w:rPr>
  </w:style>
  <w:style w:type="character" w:customStyle="1" w:styleId="82">
    <w:name w:val="Heading 1 Char"/>
    <w:qFormat/>
    <w:uiPriority w:val="99"/>
    <w:rPr>
      <w:rFonts w:eastAsia="宋体"/>
      <w:b/>
      <w:bCs/>
      <w:kern w:val="44"/>
      <w:sz w:val="44"/>
      <w:szCs w:val="44"/>
      <w:lang w:val="en-US" w:eastAsia="zh-CN"/>
    </w:rPr>
  </w:style>
  <w:style w:type="character" w:customStyle="1" w:styleId="83">
    <w:name w:val="ca-51"/>
    <w:qFormat/>
    <w:uiPriority w:val="0"/>
    <w:rPr>
      <w:rFonts w:hint="eastAsia" w:ascii="宋体" w:hAnsi="宋体" w:eastAsia="宋体" w:cs="Times New Roman"/>
      <w:color w:val="E60000"/>
      <w:sz w:val="20"/>
      <w:szCs w:val="20"/>
    </w:rPr>
  </w:style>
  <w:style w:type="character" w:customStyle="1" w:styleId="84">
    <w:name w:val="正文缩进 字符"/>
    <w:link w:val="7"/>
    <w:qFormat/>
    <w:uiPriority w:val="0"/>
    <w:rPr>
      <w:kern w:val="2"/>
      <w:sz w:val="21"/>
    </w:rPr>
  </w:style>
  <w:style w:type="character" w:customStyle="1" w:styleId="85">
    <w:name w:val="Heading #3|1_"/>
    <w:link w:val="86"/>
    <w:qFormat/>
    <w:uiPriority w:val="0"/>
    <w:rPr>
      <w:rFonts w:ascii="宋体" w:hAnsi="宋体" w:cs="宋体"/>
      <w:sz w:val="28"/>
      <w:szCs w:val="28"/>
      <w:lang w:val="zh-CN" w:bidi="zh-CN"/>
    </w:rPr>
  </w:style>
  <w:style w:type="paragraph" w:customStyle="1" w:styleId="86">
    <w:name w:val="Heading #3|1"/>
    <w:basedOn w:val="1"/>
    <w:link w:val="85"/>
    <w:qFormat/>
    <w:uiPriority w:val="0"/>
    <w:pPr>
      <w:spacing w:after="570"/>
      <w:jc w:val="center"/>
      <w:outlineLvl w:val="2"/>
    </w:pPr>
    <w:rPr>
      <w:rFonts w:ascii="宋体" w:hAnsi="宋体" w:cs="宋体"/>
      <w:kern w:val="0"/>
      <w:sz w:val="28"/>
      <w:szCs w:val="28"/>
      <w:lang w:val="zh-CN" w:bidi="zh-CN"/>
    </w:rPr>
  </w:style>
  <w:style w:type="character" w:customStyle="1" w:styleId="87">
    <w:name w:val="标题5 Char Char"/>
    <w:link w:val="88"/>
    <w:qFormat/>
    <w:locked/>
    <w:uiPriority w:val="99"/>
    <w:rPr>
      <w:rFonts w:ascii="Arial" w:hAnsi="Arial" w:cs="Arial"/>
      <w:b/>
      <w:bCs/>
      <w:sz w:val="32"/>
      <w:szCs w:val="32"/>
    </w:rPr>
  </w:style>
  <w:style w:type="paragraph" w:customStyle="1" w:styleId="88">
    <w:name w:val="标题5"/>
    <w:basedOn w:val="4"/>
    <w:link w:val="87"/>
    <w:qFormat/>
    <w:uiPriority w:val="99"/>
    <w:pPr>
      <w:spacing w:line="413" w:lineRule="auto"/>
    </w:pPr>
    <w:rPr>
      <w:rFonts w:ascii="Arial" w:hAnsi="Arial"/>
      <w:kern w:val="0"/>
    </w:rPr>
  </w:style>
  <w:style w:type="character" w:customStyle="1" w:styleId="89">
    <w:name w:val="正文文本 字符1"/>
    <w:link w:val="19"/>
    <w:qFormat/>
    <w:uiPriority w:val="0"/>
    <w:rPr>
      <w:rFonts w:ascii="Times New Roman" w:hAnsi="Times New Roman"/>
      <w:kern w:val="2"/>
      <w:sz w:val="21"/>
      <w:szCs w:val="24"/>
    </w:rPr>
  </w:style>
  <w:style w:type="character" w:customStyle="1" w:styleId="90">
    <w:name w:val="明显强调1"/>
    <w:qFormat/>
    <w:uiPriority w:val="99"/>
    <w:rPr>
      <w:b/>
      <w:bCs/>
      <w:i/>
      <w:iCs/>
      <w:color w:val="4F81BD"/>
    </w:rPr>
  </w:style>
  <w:style w:type="character" w:customStyle="1" w:styleId="91">
    <w:name w:val="Char Char24"/>
    <w:qFormat/>
    <w:uiPriority w:val="99"/>
    <w:rPr>
      <w:rFonts w:eastAsia="宋体"/>
      <w:b/>
      <w:bCs/>
      <w:kern w:val="44"/>
      <w:sz w:val="44"/>
      <w:szCs w:val="44"/>
      <w:lang w:val="en-US" w:eastAsia="zh-CN"/>
    </w:rPr>
  </w:style>
  <w:style w:type="character" w:customStyle="1" w:styleId="92">
    <w:name w:val="ca-71"/>
    <w:qFormat/>
    <w:uiPriority w:val="0"/>
    <w:rPr>
      <w:rFonts w:hint="eastAsia" w:ascii="宋体" w:hAnsi="宋体" w:eastAsia="宋体" w:cs="Times New Roman"/>
      <w:color w:val="000000"/>
      <w:sz w:val="12"/>
      <w:szCs w:val="12"/>
    </w:rPr>
  </w:style>
  <w:style w:type="character" w:customStyle="1" w:styleId="93">
    <w:name w:val="书籍标题1"/>
    <w:qFormat/>
    <w:uiPriority w:val="99"/>
    <w:rPr>
      <w:b/>
      <w:bCs/>
      <w:smallCaps/>
      <w:spacing w:val="5"/>
    </w:rPr>
  </w:style>
  <w:style w:type="character" w:customStyle="1" w:styleId="94">
    <w:name w:val="ca-41"/>
    <w:qFormat/>
    <w:uiPriority w:val="0"/>
    <w:rPr>
      <w:rFonts w:hint="eastAsia" w:ascii="宋体" w:hAnsi="宋体" w:eastAsia="宋体" w:cs="Times New Roman"/>
      <w:color w:val="000000"/>
      <w:sz w:val="20"/>
      <w:szCs w:val="20"/>
    </w:rPr>
  </w:style>
  <w:style w:type="character" w:customStyle="1" w:styleId="95">
    <w:name w:val="不明显强调1"/>
    <w:qFormat/>
    <w:uiPriority w:val="99"/>
    <w:rPr>
      <w:i/>
      <w:iCs/>
      <w:color w:val="808080"/>
    </w:rPr>
  </w:style>
  <w:style w:type="character" w:customStyle="1" w:styleId="96">
    <w:name w:val="标题 1 字符1"/>
    <w:qFormat/>
    <w:uiPriority w:val="0"/>
    <w:rPr>
      <w:b/>
      <w:bCs/>
      <w:kern w:val="44"/>
      <w:sz w:val="44"/>
      <w:szCs w:val="44"/>
    </w:rPr>
  </w:style>
  <w:style w:type="character" w:customStyle="1" w:styleId="97">
    <w:name w:val="Body Text Indent 2 Char"/>
    <w:qFormat/>
    <w:uiPriority w:val="99"/>
    <w:rPr>
      <w:rFonts w:eastAsia="宋体"/>
      <w:kern w:val="2"/>
      <w:sz w:val="24"/>
      <w:szCs w:val="24"/>
      <w:lang w:val="en-US" w:eastAsia="zh-CN"/>
    </w:rPr>
  </w:style>
  <w:style w:type="character" w:customStyle="1" w:styleId="98">
    <w:name w:val="普通文字 Char Char3"/>
    <w:qFormat/>
    <w:uiPriority w:val="0"/>
    <w:rPr>
      <w:rFonts w:hint="eastAsia" w:ascii="宋体" w:hAnsi="Courier New" w:eastAsia="宋体"/>
      <w:kern w:val="2"/>
      <w:sz w:val="21"/>
      <w:lang w:val="en-US" w:eastAsia="zh-CN" w:bidi="ar-SA"/>
    </w:rPr>
  </w:style>
  <w:style w:type="character" w:customStyle="1" w:styleId="99">
    <w:name w:val="标题 Char2"/>
    <w:qFormat/>
    <w:uiPriority w:val="99"/>
    <w:rPr>
      <w:rFonts w:ascii="Cambria" w:hAnsi="Cambria" w:eastAsia="宋体" w:cs="Cambria"/>
      <w:b/>
      <w:bCs/>
      <w:sz w:val="32"/>
      <w:szCs w:val="32"/>
    </w:rPr>
  </w:style>
  <w:style w:type="character" w:customStyle="1" w:styleId="100">
    <w:name w:val="标题 2 Char"/>
    <w:qFormat/>
    <w:uiPriority w:val="0"/>
    <w:rPr>
      <w:rFonts w:ascii="Cambria" w:hAnsi="Cambria" w:eastAsia="宋体" w:cs="Times New Roman"/>
      <w:b/>
      <w:bCs/>
      <w:kern w:val="2"/>
      <w:sz w:val="32"/>
      <w:szCs w:val="32"/>
    </w:rPr>
  </w:style>
  <w:style w:type="character" w:customStyle="1" w:styleId="101">
    <w:name w:val="页脚 字符"/>
    <w:link w:val="31"/>
    <w:qFormat/>
    <w:uiPriority w:val="99"/>
    <w:rPr>
      <w:sz w:val="18"/>
      <w:szCs w:val="18"/>
    </w:rPr>
  </w:style>
  <w:style w:type="character" w:customStyle="1" w:styleId="102">
    <w:name w:val="批注主题 Char1"/>
    <w:qFormat/>
    <w:uiPriority w:val="99"/>
    <w:rPr>
      <w:rFonts w:ascii="Times New Roman" w:hAnsi="Times New Roman" w:eastAsia="宋体" w:cs="Times New Roman"/>
      <w:b/>
      <w:bCs/>
      <w:sz w:val="24"/>
      <w:szCs w:val="24"/>
    </w:rPr>
  </w:style>
  <w:style w:type="character" w:customStyle="1" w:styleId="103">
    <w:name w:val="纯文本 字符3"/>
    <w:link w:val="26"/>
    <w:qFormat/>
    <w:uiPriority w:val="0"/>
    <w:rPr>
      <w:rFonts w:ascii="宋体" w:hAnsi="Courier New" w:eastAsia="宋体" w:cs="Courier New"/>
      <w:szCs w:val="21"/>
    </w:rPr>
  </w:style>
  <w:style w:type="character" w:customStyle="1" w:styleId="104">
    <w:name w:val="Heading #2|1_"/>
    <w:link w:val="105"/>
    <w:qFormat/>
    <w:uiPriority w:val="0"/>
    <w:rPr>
      <w:rFonts w:ascii="宋体" w:hAnsi="宋体" w:cs="宋体"/>
      <w:sz w:val="34"/>
      <w:szCs w:val="34"/>
      <w:lang w:val="zh-CN" w:bidi="zh-CN"/>
    </w:rPr>
  </w:style>
  <w:style w:type="paragraph" w:customStyle="1" w:styleId="105">
    <w:name w:val="Heading #2|1"/>
    <w:basedOn w:val="1"/>
    <w:link w:val="104"/>
    <w:qFormat/>
    <w:uiPriority w:val="0"/>
    <w:pPr>
      <w:spacing w:after="900"/>
      <w:jc w:val="center"/>
      <w:outlineLvl w:val="1"/>
    </w:pPr>
    <w:rPr>
      <w:rFonts w:ascii="宋体" w:hAnsi="宋体" w:cs="宋体"/>
      <w:kern w:val="0"/>
      <w:sz w:val="34"/>
      <w:szCs w:val="34"/>
      <w:lang w:val="zh-CN" w:bidi="zh-CN"/>
    </w:rPr>
  </w:style>
  <w:style w:type="character" w:customStyle="1" w:styleId="106">
    <w:name w:val="Body text|7_"/>
    <w:link w:val="107"/>
    <w:qFormat/>
    <w:uiPriority w:val="0"/>
    <w:rPr>
      <w:rFonts w:ascii="Courier New" w:hAnsi="Courier New" w:eastAsia="Courier New" w:cs="Courier New"/>
      <w:b/>
      <w:bCs/>
      <w:sz w:val="8"/>
      <w:szCs w:val="8"/>
      <w:lang w:val="zh-CN"/>
    </w:rPr>
  </w:style>
  <w:style w:type="paragraph" w:customStyle="1" w:styleId="107">
    <w:name w:val="Body text|7"/>
    <w:basedOn w:val="1"/>
    <w:link w:val="106"/>
    <w:qFormat/>
    <w:uiPriority w:val="0"/>
    <w:pPr>
      <w:ind w:hanging="1760"/>
      <w:jc w:val="left"/>
    </w:pPr>
    <w:rPr>
      <w:rFonts w:ascii="Courier New" w:hAnsi="Courier New" w:eastAsia="Courier New"/>
      <w:b/>
      <w:bCs/>
      <w:kern w:val="0"/>
      <w:sz w:val="8"/>
      <w:szCs w:val="8"/>
      <w:lang w:val="zh-CN"/>
    </w:rPr>
  </w:style>
  <w:style w:type="character" w:customStyle="1" w:styleId="108">
    <w:name w:val="Heading 3 Char"/>
    <w:qFormat/>
    <w:uiPriority w:val="99"/>
    <w:rPr>
      <w:b/>
      <w:bCs/>
      <w:kern w:val="2"/>
      <w:sz w:val="32"/>
      <w:szCs w:val="32"/>
    </w:rPr>
  </w:style>
  <w:style w:type="character" w:customStyle="1" w:styleId="109">
    <w:name w:val="正文文本 Char"/>
    <w:qFormat/>
    <w:uiPriority w:val="0"/>
    <w:rPr>
      <w:rFonts w:ascii="Times New Roman" w:hAnsi="Times New Roman"/>
      <w:kern w:val="2"/>
      <w:sz w:val="21"/>
      <w:szCs w:val="24"/>
    </w:rPr>
  </w:style>
  <w:style w:type="character" w:customStyle="1" w:styleId="110">
    <w:name w:val="正文文本 字符"/>
    <w:qFormat/>
    <w:uiPriority w:val="0"/>
    <w:rPr>
      <w:rFonts w:ascii="Times New Roman" w:hAnsi="Times New Roman"/>
      <w:kern w:val="2"/>
      <w:sz w:val="21"/>
      <w:szCs w:val="24"/>
    </w:rPr>
  </w:style>
  <w:style w:type="character" w:customStyle="1" w:styleId="111">
    <w:name w:val="Balloon Text Char"/>
    <w:qFormat/>
    <w:uiPriority w:val="99"/>
    <w:rPr>
      <w:sz w:val="18"/>
      <w:szCs w:val="18"/>
    </w:rPr>
  </w:style>
  <w:style w:type="character" w:customStyle="1" w:styleId="112">
    <w:name w:val="Footnote Text Char"/>
    <w:qFormat/>
    <w:uiPriority w:val="99"/>
    <w:rPr>
      <w:rFonts w:eastAsia="宋体"/>
      <w:sz w:val="18"/>
      <w:szCs w:val="18"/>
      <w:lang w:val="en-US" w:eastAsia="zh-CN"/>
    </w:rPr>
  </w:style>
  <w:style w:type="character" w:customStyle="1" w:styleId="113">
    <w:name w:val="列表段落 字符"/>
    <w:link w:val="114"/>
    <w:qFormat/>
    <w:locked/>
    <w:uiPriority w:val="0"/>
    <w:rPr>
      <w:kern w:val="2"/>
      <w:sz w:val="21"/>
      <w:szCs w:val="24"/>
    </w:rPr>
  </w:style>
  <w:style w:type="paragraph" w:styleId="114">
    <w:name w:val="List Paragraph"/>
    <w:basedOn w:val="1"/>
    <w:link w:val="113"/>
    <w:qFormat/>
    <w:uiPriority w:val="0"/>
    <w:pPr>
      <w:ind w:firstLine="420" w:firstLineChars="200"/>
    </w:pPr>
  </w:style>
  <w:style w:type="character" w:customStyle="1" w:styleId="115">
    <w:name w:val="引用 Char1"/>
    <w:qFormat/>
    <w:uiPriority w:val="99"/>
    <w:rPr>
      <w:rFonts w:ascii="Times New Roman" w:hAnsi="Times New Roman" w:eastAsia="宋体" w:cs="Times New Roman"/>
      <w:i/>
      <w:iCs/>
      <w:color w:val="000000"/>
      <w:sz w:val="24"/>
      <w:szCs w:val="24"/>
    </w:rPr>
  </w:style>
  <w:style w:type="character" w:customStyle="1" w:styleId="116">
    <w:name w:val="Title Char"/>
    <w:qFormat/>
    <w:uiPriority w:val="99"/>
    <w:rPr>
      <w:rFonts w:ascii="Cambria" w:hAnsi="Cambria" w:cs="Cambria"/>
      <w:b/>
      <w:bCs/>
      <w:sz w:val="32"/>
      <w:szCs w:val="32"/>
    </w:rPr>
  </w:style>
  <w:style w:type="character" w:customStyle="1" w:styleId="117">
    <w:name w:val="Plain Text Char"/>
    <w:qFormat/>
    <w:uiPriority w:val="99"/>
    <w:rPr>
      <w:rFonts w:ascii="宋体" w:hAnsi="Courier New" w:eastAsia="宋体" w:cs="宋体"/>
      <w:sz w:val="24"/>
      <w:szCs w:val="24"/>
    </w:rPr>
  </w:style>
  <w:style w:type="character" w:customStyle="1" w:styleId="118">
    <w:name w:val="批注文字 字符1"/>
    <w:qFormat/>
    <w:uiPriority w:val="0"/>
    <w:rPr>
      <w:rFonts w:ascii="Times New Roman" w:hAnsi="Times New Roman"/>
      <w:kern w:val="2"/>
      <w:sz w:val="21"/>
      <w:szCs w:val="24"/>
    </w:rPr>
  </w:style>
  <w:style w:type="character" w:customStyle="1" w:styleId="119">
    <w:name w:val="纯文本 字符2"/>
    <w:qFormat/>
    <w:uiPriority w:val="0"/>
    <w:rPr>
      <w:rFonts w:ascii="宋体" w:hAnsi="Courier New" w:eastAsia="宋体" w:cs="Courier New"/>
      <w:szCs w:val="21"/>
    </w:rPr>
  </w:style>
  <w:style w:type="character" w:customStyle="1" w:styleId="120">
    <w:name w:val="纯文本 Char2"/>
    <w:qFormat/>
    <w:uiPriority w:val="0"/>
    <w:rPr>
      <w:rFonts w:hint="eastAsia" w:ascii="宋体" w:hAnsi="Courier New" w:eastAsia="宋体" w:cs="宋体"/>
      <w:kern w:val="0"/>
      <w:sz w:val="20"/>
      <w:szCs w:val="20"/>
    </w:rPr>
  </w:style>
  <w:style w:type="character" w:customStyle="1" w:styleId="121">
    <w:name w:val="不明显参考1"/>
    <w:qFormat/>
    <w:uiPriority w:val="99"/>
    <w:rPr>
      <w:smallCaps/>
      <w:color w:val="auto"/>
      <w:u w:val="single"/>
    </w:rPr>
  </w:style>
  <w:style w:type="character" w:customStyle="1" w:styleId="122">
    <w:name w:val="页脚 Char1"/>
    <w:qFormat/>
    <w:locked/>
    <w:uiPriority w:val="0"/>
    <w:rPr>
      <w:sz w:val="18"/>
      <w:szCs w:val="18"/>
    </w:rPr>
  </w:style>
  <w:style w:type="character" w:customStyle="1" w:styleId="123">
    <w:name w:val="Char Char20"/>
    <w:qFormat/>
    <w:uiPriority w:val="99"/>
    <w:rPr>
      <w:rFonts w:ascii="Times New Roman" w:hAnsi="Times New Roman" w:eastAsia="宋体" w:cs="Times New Roman"/>
      <w:b/>
      <w:bCs/>
      <w:sz w:val="32"/>
      <w:szCs w:val="32"/>
    </w:rPr>
  </w:style>
  <w:style w:type="character" w:customStyle="1" w:styleId="124">
    <w:name w:val="Char Char23"/>
    <w:qFormat/>
    <w:uiPriority w:val="99"/>
    <w:rPr>
      <w:rFonts w:eastAsia="宋体"/>
      <w:b/>
      <w:bCs/>
      <w:kern w:val="44"/>
      <w:sz w:val="44"/>
      <w:szCs w:val="44"/>
      <w:lang w:val="en-US" w:eastAsia="zh-CN"/>
    </w:rPr>
  </w:style>
  <w:style w:type="character" w:customStyle="1" w:styleId="125">
    <w:name w:val="标题 7 字符"/>
    <w:basedOn w:val="48"/>
    <w:link w:val="9"/>
    <w:qFormat/>
    <w:uiPriority w:val="0"/>
    <w:rPr>
      <w:b/>
      <w:bCs/>
      <w:sz w:val="24"/>
      <w:szCs w:val="24"/>
    </w:rPr>
  </w:style>
  <w:style w:type="character" w:customStyle="1" w:styleId="126">
    <w:name w:val="Body text|6_"/>
    <w:link w:val="127"/>
    <w:qFormat/>
    <w:uiPriority w:val="0"/>
    <w:rPr>
      <w:rFonts w:ascii="Arial" w:hAnsi="Arial" w:eastAsia="Arial" w:cs="Arial"/>
      <w:lang w:val="zh-CN"/>
    </w:rPr>
  </w:style>
  <w:style w:type="paragraph" w:customStyle="1" w:styleId="127">
    <w:name w:val="Body text|6"/>
    <w:basedOn w:val="1"/>
    <w:link w:val="126"/>
    <w:qFormat/>
    <w:uiPriority w:val="0"/>
    <w:pPr>
      <w:ind w:hanging="2220"/>
      <w:jc w:val="left"/>
    </w:pPr>
    <w:rPr>
      <w:rFonts w:ascii="Arial" w:hAnsi="Arial" w:eastAsia="Arial"/>
      <w:kern w:val="0"/>
      <w:sz w:val="20"/>
      <w:szCs w:val="20"/>
      <w:lang w:val="zh-CN"/>
    </w:rPr>
  </w:style>
  <w:style w:type="character" w:customStyle="1" w:styleId="128">
    <w:name w:val="Body text|5_"/>
    <w:link w:val="129"/>
    <w:qFormat/>
    <w:uiPriority w:val="0"/>
    <w:rPr>
      <w:rFonts w:ascii="宋体" w:hAnsi="宋体" w:cs="宋体"/>
      <w:sz w:val="52"/>
      <w:szCs w:val="52"/>
      <w:lang w:val="zh-CN" w:bidi="zh-CN"/>
    </w:rPr>
  </w:style>
  <w:style w:type="paragraph" w:customStyle="1" w:styleId="129">
    <w:name w:val="Body text|5"/>
    <w:basedOn w:val="1"/>
    <w:link w:val="128"/>
    <w:qFormat/>
    <w:uiPriority w:val="0"/>
    <w:pPr>
      <w:jc w:val="center"/>
    </w:pPr>
    <w:rPr>
      <w:rFonts w:ascii="宋体" w:hAnsi="宋体" w:cs="宋体"/>
      <w:kern w:val="0"/>
      <w:sz w:val="52"/>
      <w:szCs w:val="52"/>
      <w:lang w:val="zh-CN" w:bidi="zh-CN"/>
    </w:rPr>
  </w:style>
  <w:style w:type="character" w:customStyle="1" w:styleId="130">
    <w:name w:val="批注文字 Char Char"/>
    <w:qFormat/>
    <w:uiPriority w:val="99"/>
    <w:rPr>
      <w:rFonts w:ascii="宋体" w:hAnsi="Times New Roman" w:eastAsia="宋体" w:cs="宋体"/>
      <w:sz w:val="20"/>
      <w:szCs w:val="20"/>
    </w:rPr>
  </w:style>
  <w:style w:type="character" w:customStyle="1" w:styleId="131">
    <w:name w:val="引用 Char"/>
    <w:link w:val="132"/>
    <w:qFormat/>
    <w:locked/>
    <w:uiPriority w:val="99"/>
    <w:rPr>
      <w:i/>
      <w:iCs/>
      <w:color w:val="000000"/>
    </w:rPr>
  </w:style>
  <w:style w:type="paragraph" w:customStyle="1" w:styleId="132">
    <w:name w:val="引用1"/>
    <w:basedOn w:val="1"/>
    <w:next w:val="1"/>
    <w:link w:val="131"/>
    <w:qFormat/>
    <w:uiPriority w:val="99"/>
    <w:rPr>
      <w:i/>
      <w:iCs/>
      <w:color w:val="000000"/>
      <w:kern w:val="0"/>
      <w:sz w:val="20"/>
      <w:szCs w:val="20"/>
    </w:rPr>
  </w:style>
  <w:style w:type="character" w:customStyle="1" w:styleId="133">
    <w:name w:val="批注文字 Char2"/>
    <w:qFormat/>
    <w:uiPriority w:val="0"/>
    <w:rPr>
      <w:rFonts w:ascii="Times New Roman" w:hAnsi="Times New Roman"/>
      <w:kern w:val="2"/>
      <w:sz w:val="21"/>
      <w:szCs w:val="24"/>
    </w:rPr>
  </w:style>
  <w:style w:type="character" w:customStyle="1" w:styleId="134">
    <w:name w:val="副标题 字符"/>
    <w:basedOn w:val="48"/>
    <w:link w:val="35"/>
    <w:qFormat/>
    <w:uiPriority w:val="11"/>
    <w:rPr>
      <w:rFonts w:ascii="Cambria" w:hAnsi="Cambria"/>
      <w:b/>
      <w:bCs/>
      <w:kern w:val="28"/>
      <w:sz w:val="32"/>
      <w:szCs w:val="32"/>
    </w:rPr>
  </w:style>
  <w:style w:type="character" w:customStyle="1" w:styleId="135">
    <w:name w:val="正文文本缩进 3 Char1"/>
    <w:basedOn w:val="48"/>
    <w:semiHidden/>
    <w:qFormat/>
    <w:locked/>
    <w:uiPriority w:val="0"/>
    <w:rPr>
      <w:sz w:val="28"/>
    </w:rPr>
  </w:style>
  <w:style w:type="character" w:customStyle="1" w:styleId="136">
    <w:name w:val="textcontents"/>
    <w:qFormat/>
    <w:uiPriority w:val="0"/>
  </w:style>
  <w:style w:type="character" w:customStyle="1" w:styleId="137">
    <w:name w:val="Heading 2 Char"/>
    <w:qFormat/>
    <w:uiPriority w:val="99"/>
    <w:rPr>
      <w:rFonts w:ascii="Arial" w:hAnsi="Arial" w:eastAsia="黑体" w:cs="Arial"/>
      <w:b/>
      <w:bCs/>
      <w:kern w:val="2"/>
      <w:sz w:val="32"/>
      <w:szCs w:val="32"/>
      <w:lang w:val="en-US" w:eastAsia="zh-CN"/>
    </w:rPr>
  </w:style>
  <w:style w:type="character" w:customStyle="1" w:styleId="138">
    <w:name w:val="Char Char9"/>
    <w:qFormat/>
    <w:uiPriority w:val="0"/>
    <w:rPr>
      <w:rFonts w:eastAsia="宋体"/>
      <w:b/>
      <w:bCs/>
      <w:kern w:val="44"/>
      <w:sz w:val="44"/>
      <w:szCs w:val="44"/>
      <w:lang w:val="en-US" w:eastAsia="zh-CN"/>
    </w:rPr>
  </w:style>
  <w:style w:type="character" w:customStyle="1" w:styleId="139">
    <w:name w:val="Other|1_"/>
    <w:link w:val="140"/>
    <w:qFormat/>
    <w:uiPriority w:val="0"/>
    <w:rPr>
      <w:rFonts w:ascii="宋体" w:hAnsi="宋体" w:cs="宋体"/>
      <w:lang w:val="zh-CN" w:bidi="zh-CN"/>
    </w:rPr>
  </w:style>
  <w:style w:type="paragraph" w:customStyle="1" w:styleId="140">
    <w:name w:val="Other|1"/>
    <w:basedOn w:val="1"/>
    <w:link w:val="139"/>
    <w:qFormat/>
    <w:uiPriority w:val="0"/>
    <w:pPr>
      <w:spacing w:line="360" w:lineRule="auto"/>
      <w:ind w:firstLine="400"/>
      <w:jc w:val="left"/>
    </w:pPr>
    <w:rPr>
      <w:rFonts w:ascii="宋体" w:hAnsi="宋体" w:cs="宋体"/>
      <w:kern w:val="0"/>
      <w:sz w:val="20"/>
      <w:szCs w:val="20"/>
      <w:lang w:val="zh-CN" w:bidi="zh-CN"/>
    </w:rPr>
  </w:style>
  <w:style w:type="character" w:customStyle="1" w:styleId="141">
    <w:name w:val="标题 Char1"/>
    <w:qFormat/>
    <w:uiPriority w:val="99"/>
    <w:rPr>
      <w:rFonts w:ascii="Cambria" w:hAnsi="Cambria" w:eastAsia="宋体" w:cs="Cambria"/>
      <w:b/>
      <w:bCs/>
      <w:sz w:val="32"/>
      <w:szCs w:val="32"/>
    </w:rPr>
  </w:style>
  <w:style w:type="character" w:customStyle="1" w:styleId="142">
    <w:name w:val="正文文本缩进 3 字符"/>
    <w:basedOn w:val="48"/>
    <w:link w:val="38"/>
    <w:semiHidden/>
    <w:qFormat/>
    <w:uiPriority w:val="0"/>
    <w:rPr>
      <w:sz w:val="28"/>
    </w:rPr>
  </w:style>
  <w:style w:type="character" w:customStyle="1" w:styleId="143">
    <w:name w:val="Heading #4|1_"/>
    <w:link w:val="144"/>
    <w:qFormat/>
    <w:uiPriority w:val="0"/>
    <w:rPr>
      <w:rFonts w:ascii="宋体" w:hAnsi="宋体" w:cs="宋体"/>
      <w:lang w:val="zh-CN" w:bidi="zh-CN"/>
    </w:rPr>
  </w:style>
  <w:style w:type="paragraph" w:customStyle="1" w:styleId="144">
    <w:name w:val="Heading #4|1"/>
    <w:basedOn w:val="1"/>
    <w:link w:val="143"/>
    <w:qFormat/>
    <w:uiPriority w:val="0"/>
    <w:pPr>
      <w:spacing w:after="120"/>
      <w:jc w:val="left"/>
      <w:outlineLvl w:val="3"/>
    </w:pPr>
    <w:rPr>
      <w:rFonts w:ascii="宋体" w:hAnsi="宋体" w:cs="宋体"/>
      <w:kern w:val="0"/>
      <w:sz w:val="20"/>
      <w:szCs w:val="20"/>
      <w:lang w:val="zh-CN" w:bidi="zh-CN"/>
    </w:rPr>
  </w:style>
  <w:style w:type="character" w:customStyle="1" w:styleId="145">
    <w:name w:val="标题 5 字符"/>
    <w:link w:val="6"/>
    <w:qFormat/>
    <w:uiPriority w:val="99"/>
    <w:rPr>
      <w:rFonts w:ascii="Times New Roman" w:hAnsi="Times New Roman"/>
      <w:b/>
      <w:bCs/>
      <w:kern w:val="2"/>
      <w:sz w:val="28"/>
      <w:szCs w:val="28"/>
    </w:rPr>
  </w:style>
  <w:style w:type="character" w:customStyle="1" w:styleId="146">
    <w:name w:val="Char Char6"/>
    <w:qFormat/>
    <w:uiPriority w:val="99"/>
    <w:rPr>
      <w:rFonts w:eastAsia="宋体"/>
      <w:b/>
      <w:bCs/>
      <w:kern w:val="44"/>
      <w:sz w:val="44"/>
      <w:szCs w:val="44"/>
      <w:lang w:val="en-US" w:eastAsia="zh-CN"/>
    </w:rPr>
  </w:style>
  <w:style w:type="character" w:customStyle="1" w:styleId="147">
    <w:name w:val="文档结构图 Char1"/>
    <w:qFormat/>
    <w:uiPriority w:val="0"/>
    <w:rPr>
      <w:rFonts w:ascii="宋体" w:hAnsi="Times New Roman" w:eastAsia="宋体" w:cs="宋体"/>
      <w:sz w:val="18"/>
      <w:szCs w:val="18"/>
    </w:rPr>
  </w:style>
  <w:style w:type="character" w:customStyle="1" w:styleId="148">
    <w:name w:val="Char Char22"/>
    <w:qFormat/>
    <w:uiPriority w:val="99"/>
    <w:rPr>
      <w:rFonts w:ascii="Times New Roman" w:hAnsi="Times New Roman" w:eastAsia="宋体" w:cs="Times New Roman"/>
      <w:b/>
      <w:bCs/>
      <w:kern w:val="44"/>
      <w:sz w:val="44"/>
      <w:szCs w:val="44"/>
    </w:rPr>
  </w:style>
  <w:style w:type="character" w:customStyle="1" w:styleId="149">
    <w:name w:val="Comment Subject Char"/>
    <w:qFormat/>
    <w:uiPriority w:val="99"/>
    <w:rPr>
      <w:b/>
      <w:bCs/>
      <w:sz w:val="24"/>
      <w:szCs w:val="24"/>
    </w:rPr>
  </w:style>
  <w:style w:type="character" w:customStyle="1" w:styleId="150">
    <w:name w:val="！正文 Char Char"/>
    <w:link w:val="151"/>
    <w:qFormat/>
    <w:locked/>
    <w:uiPriority w:val="0"/>
    <w:rPr>
      <w:rFonts w:ascii="华文细黑" w:hAnsi="华文细黑" w:eastAsia="华文细黑"/>
      <w:sz w:val="24"/>
    </w:rPr>
  </w:style>
  <w:style w:type="paragraph" w:customStyle="1" w:styleId="151">
    <w:name w:val="！正文"/>
    <w:basedOn w:val="1"/>
    <w:link w:val="150"/>
    <w:qFormat/>
    <w:uiPriority w:val="0"/>
    <w:pPr>
      <w:spacing w:line="360" w:lineRule="auto"/>
      <w:ind w:firstLine="200" w:firstLineChars="200"/>
    </w:pPr>
    <w:rPr>
      <w:rFonts w:ascii="华文细黑" w:hAnsi="华文细黑" w:eastAsia="华文细黑"/>
      <w:kern w:val="0"/>
      <w:sz w:val="24"/>
      <w:szCs w:val="20"/>
    </w:rPr>
  </w:style>
  <w:style w:type="character" w:customStyle="1" w:styleId="152">
    <w:name w:val="Comment Text Char"/>
    <w:qFormat/>
    <w:uiPriority w:val="99"/>
    <w:rPr>
      <w:sz w:val="24"/>
      <w:szCs w:val="24"/>
    </w:rPr>
  </w:style>
  <w:style w:type="character" w:customStyle="1" w:styleId="153">
    <w:name w:val="正文2 Char Char"/>
    <w:link w:val="154"/>
    <w:qFormat/>
    <w:uiPriority w:val="0"/>
    <w:rPr>
      <w:kern w:val="2"/>
      <w:sz w:val="24"/>
    </w:rPr>
  </w:style>
  <w:style w:type="paragraph" w:customStyle="1" w:styleId="154">
    <w:name w:val="正文2"/>
    <w:basedOn w:val="1"/>
    <w:link w:val="153"/>
    <w:qFormat/>
    <w:uiPriority w:val="0"/>
    <w:pPr>
      <w:adjustRightInd w:val="0"/>
      <w:spacing w:before="156" w:line="360" w:lineRule="auto"/>
      <w:ind w:firstLine="510" w:firstLineChars="200"/>
    </w:pPr>
    <w:rPr>
      <w:sz w:val="24"/>
      <w:szCs w:val="20"/>
    </w:rPr>
  </w:style>
  <w:style w:type="character" w:customStyle="1" w:styleId="155">
    <w:name w:val="Table caption|1_"/>
    <w:link w:val="156"/>
    <w:qFormat/>
    <w:uiPriority w:val="0"/>
    <w:rPr>
      <w:rFonts w:ascii="宋体" w:hAnsi="宋体" w:cs="宋体"/>
      <w:lang w:val="zh-CN" w:bidi="zh-CN"/>
    </w:rPr>
  </w:style>
  <w:style w:type="paragraph" w:customStyle="1" w:styleId="156">
    <w:name w:val="Table caption|1"/>
    <w:basedOn w:val="1"/>
    <w:link w:val="155"/>
    <w:qFormat/>
    <w:uiPriority w:val="0"/>
    <w:pPr>
      <w:jc w:val="left"/>
    </w:pPr>
    <w:rPr>
      <w:rFonts w:ascii="宋体" w:hAnsi="宋体" w:cs="宋体"/>
      <w:kern w:val="0"/>
      <w:sz w:val="20"/>
      <w:szCs w:val="20"/>
      <w:lang w:val="zh-CN" w:bidi="zh-CN"/>
    </w:rPr>
  </w:style>
  <w:style w:type="character" w:customStyle="1" w:styleId="157">
    <w:name w:val="标题 4 字符"/>
    <w:basedOn w:val="48"/>
    <w:link w:val="5"/>
    <w:qFormat/>
    <w:uiPriority w:val="0"/>
    <w:rPr>
      <w:rFonts w:ascii="Arial" w:hAnsi="Arial"/>
      <w:b/>
      <w:bCs/>
      <w:kern w:val="2"/>
      <w:sz w:val="28"/>
      <w:szCs w:val="28"/>
    </w:rPr>
  </w:style>
  <w:style w:type="character" w:customStyle="1" w:styleId="158">
    <w:name w:val="明显引用 Char1"/>
    <w:qFormat/>
    <w:uiPriority w:val="99"/>
    <w:rPr>
      <w:rFonts w:ascii="Times New Roman" w:hAnsi="Times New Roman" w:eastAsia="宋体" w:cs="Times New Roman"/>
      <w:b/>
      <w:bCs/>
      <w:i/>
      <w:iCs/>
      <w:color w:val="4F81BD"/>
      <w:sz w:val="24"/>
      <w:szCs w:val="24"/>
    </w:rPr>
  </w:style>
  <w:style w:type="character" w:customStyle="1" w:styleId="15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60">
    <w:name w:val="页眉 Char1"/>
    <w:basedOn w:val="48"/>
    <w:semiHidden/>
    <w:qFormat/>
    <w:locked/>
    <w:uiPriority w:val="0"/>
    <w:rPr>
      <w:kern w:val="2"/>
      <w:sz w:val="18"/>
      <w:szCs w:val="18"/>
    </w:rPr>
  </w:style>
  <w:style w:type="character" w:customStyle="1" w:styleId="161">
    <w:name w:val="页眉 字符"/>
    <w:link w:val="32"/>
    <w:qFormat/>
    <w:uiPriority w:val="0"/>
    <w:rPr>
      <w:sz w:val="18"/>
      <w:szCs w:val="18"/>
    </w:rPr>
  </w:style>
  <w:style w:type="character" w:customStyle="1" w:styleId="162">
    <w:name w:val="Heading 4 Char"/>
    <w:qFormat/>
    <w:uiPriority w:val="99"/>
    <w:rPr>
      <w:rFonts w:ascii="Arial" w:hAnsi="Arial" w:eastAsia="宋体" w:cs="Arial"/>
      <w:b/>
      <w:bCs/>
      <w:kern w:val="2"/>
      <w:sz w:val="28"/>
      <w:szCs w:val="28"/>
      <w:lang w:val="en-US" w:eastAsia="zh-CN"/>
    </w:rPr>
  </w:style>
  <w:style w:type="character" w:customStyle="1" w:styleId="163">
    <w:name w:val="Char Char21"/>
    <w:qFormat/>
    <w:uiPriority w:val="99"/>
    <w:rPr>
      <w:rFonts w:ascii="Arial" w:hAnsi="Arial" w:eastAsia="黑体" w:cs="Arial"/>
      <w:b/>
      <w:bCs/>
      <w:sz w:val="32"/>
      <w:szCs w:val="32"/>
    </w:rPr>
  </w:style>
  <w:style w:type="character" w:customStyle="1" w:styleId="164">
    <w:name w:val="Header or footer|2_"/>
    <w:link w:val="165"/>
    <w:qFormat/>
    <w:uiPriority w:val="0"/>
    <w:rPr>
      <w:lang w:val="zh-CN" w:bidi="zh-CN"/>
    </w:rPr>
  </w:style>
  <w:style w:type="paragraph" w:customStyle="1" w:styleId="165">
    <w:name w:val="Header or footer|2"/>
    <w:basedOn w:val="1"/>
    <w:link w:val="164"/>
    <w:qFormat/>
    <w:uiPriority w:val="0"/>
    <w:pPr>
      <w:jc w:val="left"/>
    </w:pPr>
    <w:rPr>
      <w:kern w:val="0"/>
      <w:sz w:val="20"/>
      <w:szCs w:val="20"/>
      <w:lang w:val="zh-CN" w:bidi="zh-CN"/>
    </w:rPr>
  </w:style>
  <w:style w:type="character" w:customStyle="1" w:styleId="166">
    <w:name w:val="HTML 预设格式 字符"/>
    <w:basedOn w:val="48"/>
    <w:link w:val="41"/>
    <w:qFormat/>
    <w:uiPriority w:val="99"/>
    <w:rPr>
      <w:rFonts w:ascii="宋体" w:hAnsi="宋体"/>
      <w:sz w:val="24"/>
      <w:szCs w:val="24"/>
    </w:rPr>
  </w:style>
  <w:style w:type="character" w:customStyle="1" w:styleId="167">
    <w:name w:val="纯文本 字符"/>
    <w:qFormat/>
    <w:uiPriority w:val="0"/>
    <w:rPr>
      <w:rFonts w:ascii="宋体" w:hAnsi="Courier New" w:eastAsia="宋体" w:cs="Courier New"/>
      <w:szCs w:val="21"/>
    </w:rPr>
  </w:style>
  <w:style w:type="character" w:customStyle="1" w:styleId="168">
    <w:name w:val="正文文本 3 字符"/>
    <w:link w:val="18"/>
    <w:semiHidden/>
    <w:qFormat/>
    <w:uiPriority w:val="0"/>
    <w:rPr>
      <w:kern w:val="2"/>
      <w:sz w:val="16"/>
      <w:szCs w:val="16"/>
    </w:rPr>
  </w:style>
  <w:style w:type="character" w:customStyle="1" w:styleId="169">
    <w:name w:val="Heading 3 Char1"/>
    <w:qFormat/>
    <w:uiPriority w:val="99"/>
    <w:rPr>
      <w:rFonts w:eastAsia="宋体"/>
      <w:b/>
      <w:bCs/>
      <w:kern w:val="2"/>
      <w:sz w:val="32"/>
      <w:szCs w:val="32"/>
      <w:lang w:val="en-US" w:eastAsia="zh-CN"/>
    </w:rPr>
  </w:style>
  <w:style w:type="character" w:customStyle="1" w:styleId="170">
    <w:name w:val="日期 Char1"/>
    <w:qFormat/>
    <w:uiPriority w:val="0"/>
    <w:rPr>
      <w:rFonts w:ascii="Times New Roman" w:hAnsi="Times New Roman" w:eastAsia="宋体" w:cs="Times New Roman"/>
      <w:sz w:val="24"/>
      <w:szCs w:val="24"/>
    </w:rPr>
  </w:style>
  <w:style w:type="character" w:customStyle="1" w:styleId="171">
    <w:name w:val="Date Char"/>
    <w:qFormat/>
    <w:uiPriority w:val="99"/>
    <w:rPr>
      <w:rFonts w:eastAsia="宋体"/>
      <w:kern w:val="2"/>
      <w:sz w:val="24"/>
      <w:szCs w:val="24"/>
      <w:lang w:val="en-US" w:eastAsia="zh-CN"/>
    </w:rPr>
  </w:style>
  <w:style w:type="character" w:customStyle="1" w:styleId="172">
    <w:name w:val="Heading #1|1_"/>
    <w:link w:val="173"/>
    <w:qFormat/>
    <w:uiPriority w:val="0"/>
    <w:rPr>
      <w:rFonts w:ascii="宋体" w:hAnsi="宋体" w:cs="宋体"/>
      <w:sz w:val="38"/>
      <w:szCs w:val="38"/>
      <w:lang w:val="zh-CN" w:bidi="zh-CN"/>
    </w:rPr>
  </w:style>
  <w:style w:type="paragraph" w:customStyle="1" w:styleId="173">
    <w:name w:val="Heading #1|1"/>
    <w:basedOn w:val="1"/>
    <w:link w:val="172"/>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174">
    <w:name w:val="ca-31"/>
    <w:qFormat/>
    <w:uiPriority w:val="0"/>
    <w:rPr>
      <w:rFonts w:hint="eastAsia" w:ascii="宋体" w:hAnsi="宋体" w:eastAsia="宋体" w:cs="Times New Roman"/>
      <w:color w:val="000000"/>
      <w:sz w:val="24"/>
      <w:szCs w:val="24"/>
    </w:rPr>
  </w:style>
  <w:style w:type="character" w:customStyle="1" w:styleId="175">
    <w:name w:val="批注框文本 Char1"/>
    <w:qFormat/>
    <w:uiPriority w:val="0"/>
    <w:rPr>
      <w:rFonts w:ascii="Times New Roman" w:hAnsi="Times New Roman" w:eastAsia="宋体" w:cs="Times New Roman"/>
      <w:sz w:val="18"/>
      <w:szCs w:val="18"/>
    </w:rPr>
  </w:style>
  <w:style w:type="character" w:customStyle="1" w:styleId="176">
    <w:name w:val="批注主题 字符"/>
    <w:link w:val="45"/>
    <w:qFormat/>
    <w:uiPriority w:val="0"/>
    <w:rPr>
      <w:rFonts w:ascii="Times New Roman" w:hAnsi="Times New Roman"/>
      <w:b/>
      <w:bCs/>
      <w:kern w:val="2"/>
      <w:sz w:val="21"/>
      <w:szCs w:val="24"/>
    </w:rPr>
  </w:style>
  <w:style w:type="character" w:customStyle="1" w:styleId="177">
    <w:name w:val="标题 8 字符"/>
    <w:link w:val="10"/>
    <w:semiHidden/>
    <w:qFormat/>
    <w:uiPriority w:val="9"/>
    <w:rPr>
      <w:rFonts w:ascii="等线 Light" w:hAnsi="等线 Light" w:eastAsia="等线 Light" w:cs="Times New Roman"/>
      <w:kern w:val="2"/>
      <w:sz w:val="24"/>
      <w:szCs w:val="24"/>
    </w:rPr>
  </w:style>
  <w:style w:type="character" w:customStyle="1" w:styleId="178">
    <w:name w:val="脚注文本 字符"/>
    <w:basedOn w:val="48"/>
    <w:link w:val="36"/>
    <w:semiHidden/>
    <w:qFormat/>
    <w:uiPriority w:val="0"/>
    <w:rPr>
      <w:sz w:val="18"/>
      <w:szCs w:val="18"/>
    </w:rPr>
  </w:style>
  <w:style w:type="character" w:customStyle="1" w:styleId="179">
    <w:name w:val="Table of contents|1_"/>
    <w:link w:val="180"/>
    <w:qFormat/>
    <w:uiPriority w:val="0"/>
    <w:rPr>
      <w:rFonts w:ascii="宋体" w:hAnsi="宋体" w:cs="宋体"/>
      <w:lang w:val="zh-CN" w:bidi="zh-CN"/>
    </w:rPr>
  </w:style>
  <w:style w:type="paragraph" w:customStyle="1" w:styleId="180">
    <w:name w:val="Table of contents|1"/>
    <w:basedOn w:val="1"/>
    <w:link w:val="179"/>
    <w:qFormat/>
    <w:uiPriority w:val="0"/>
    <w:pPr>
      <w:spacing w:after="100"/>
      <w:ind w:firstLine="600"/>
      <w:jc w:val="left"/>
    </w:pPr>
    <w:rPr>
      <w:rFonts w:ascii="宋体" w:hAnsi="宋体" w:cs="宋体"/>
      <w:kern w:val="0"/>
      <w:sz w:val="20"/>
      <w:szCs w:val="20"/>
      <w:lang w:val="zh-CN" w:bidi="zh-CN"/>
    </w:rPr>
  </w:style>
  <w:style w:type="character" w:customStyle="1" w:styleId="181">
    <w:name w:val="Char Char181"/>
    <w:qFormat/>
    <w:uiPriority w:val="99"/>
    <w:rPr>
      <w:b/>
      <w:bCs/>
      <w:kern w:val="44"/>
      <w:sz w:val="44"/>
      <w:szCs w:val="44"/>
    </w:rPr>
  </w:style>
  <w:style w:type="character" w:customStyle="1" w:styleId="182">
    <w:name w:val="NormalCharacter"/>
    <w:qFormat/>
    <w:uiPriority w:val="0"/>
  </w:style>
  <w:style w:type="character" w:customStyle="1" w:styleId="183">
    <w:name w:val="标题 3 字符"/>
    <w:basedOn w:val="48"/>
    <w:link w:val="4"/>
    <w:qFormat/>
    <w:uiPriority w:val="0"/>
    <w:rPr>
      <w:b/>
      <w:bCs/>
      <w:kern w:val="2"/>
      <w:sz w:val="32"/>
      <w:szCs w:val="32"/>
    </w:rPr>
  </w:style>
  <w:style w:type="character" w:customStyle="1" w:styleId="184">
    <w:name w:val="Footer Char"/>
    <w:qFormat/>
    <w:uiPriority w:val="99"/>
    <w:rPr>
      <w:rFonts w:eastAsia="宋体"/>
      <w:kern w:val="2"/>
      <w:sz w:val="18"/>
      <w:szCs w:val="18"/>
      <w:lang w:val="en-US" w:eastAsia="zh-CN"/>
    </w:rPr>
  </w:style>
  <w:style w:type="character" w:customStyle="1" w:styleId="185">
    <w:name w:val="标题 6 字符"/>
    <w:basedOn w:val="48"/>
    <w:link w:val="8"/>
    <w:qFormat/>
    <w:uiPriority w:val="0"/>
    <w:rPr>
      <w:rFonts w:ascii="Cambria" w:hAnsi="Cambria"/>
      <w:b/>
      <w:bCs/>
      <w:sz w:val="24"/>
      <w:szCs w:val="24"/>
    </w:rPr>
  </w:style>
  <w:style w:type="character" w:customStyle="1" w:styleId="186">
    <w:name w:val="Body text|3_"/>
    <w:link w:val="187"/>
    <w:qFormat/>
    <w:uiPriority w:val="0"/>
    <w:rPr>
      <w:rFonts w:ascii="宋体" w:hAnsi="宋体" w:cs="宋体"/>
      <w:lang w:val="zh-CN" w:bidi="zh-CN"/>
    </w:rPr>
  </w:style>
  <w:style w:type="paragraph" w:customStyle="1" w:styleId="187">
    <w:name w:val="Body text|3"/>
    <w:basedOn w:val="1"/>
    <w:link w:val="186"/>
    <w:qFormat/>
    <w:uiPriority w:val="0"/>
    <w:pPr>
      <w:spacing w:after="340"/>
      <w:jc w:val="left"/>
    </w:pPr>
    <w:rPr>
      <w:rFonts w:ascii="宋体" w:hAnsi="宋体" w:cs="宋体"/>
      <w:kern w:val="0"/>
      <w:sz w:val="20"/>
      <w:szCs w:val="20"/>
      <w:lang w:val="zh-CN" w:bidi="zh-CN"/>
    </w:rPr>
  </w:style>
  <w:style w:type="character" w:customStyle="1" w:styleId="188">
    <w:name w:val="批注文字 Char"/>
    <w:qFormat/>
    <w:uiPriority w:val="0"/>
    <w:rPr>
      <w:rFonts w:ascii="Times New Roman" w:hAnsi="Times New Roman"/>
      <w:kern w:val="2"/>
      <w:sz w:val="21"/>
      <w:szCs w:val="24"/>
    </w:rPr>
  </w:style>
  <w:style w:type="character" w:customStyle="1" w:styleId="189">
    <w:name w:val="标题 2 字符"/>
    <w:link w:val="3"/>
    <w:qFormat/>
    <w:uiPriority w:val="9"/>
    <w:rPr>
      <w:rFonts w:ascii="Cambria" w:hAnsi="Cambria" w:eastAsia="宋体" w:cs="Times New Roman"/>
      <w:b/>
      <w:bCs/>
      <w:kern w:val="2"/>
      <w:sz w:val="32"/>
      <w:szCs w:val="32"/>
    </w:rPr>
  </w:style>
  <w:style w:type="character" w:customStyle="1" w:styleId="190">
    <w:name w:val="标题 9 字符"/>
    <w:basedOn w:val="48"/>
    <w:link w:val="11"/>
    <w:qFormat/>
    <w:uiPriority w:val="0"/>
    <w:rPr>
      <w:rFonts w:ascii="Cambria" w:hAnsi="Cambria"/>
      <w:szCs w:val="21"/>
    </w:rPr>
  </w:style>
  <w:style w:type="character" w:customStyle="1" w:styleId="191">
    <w:name w:val="正文文本缩进 字符"/>
    <w:link w:val="20"/>
    <w:qFormat/>
    <w:uiPriority w:val="0"/>
    <w:rPr>
      <w:rFonts w:ascii="仿宋_GB2312" w:hAnsi="Times New Roman" w:eastAsia="仿宋_GB2312" w:cs="Times New Roman"/>
      <w:sz w:val="32"/>
      <w:szCs w:val="20"/>
    </w:rPr>
  </w:style>
  <w:style w:type="character" w:customStyle="1" w:styleId="192">
    <w:name w:val="纯文本 Char"/>
    <w:qFormat/>
    <w:uiPriority w:val="0"/>
    <w:rPr>
      <w:rFonts w:ascii="宋体" w:hAnsi="Courier New" w:eastAsia="宋体" w:cs="Courier New"/>
      <w:szCs w:val="21"/>
    </w:rPr>
  </w:style>
  <w:style w:type="character" w:customStyle="1" w:styleId="193">
    <w:name w:val="Body text|4_"/>
    <w:link w:val="194"/>
    <w:qFormat/>
    <w:uiPriority w:val="0"/>
    <w:rPr>
      <w:rFonts w:ascii="宋体" w:hAnsi="宋体" w:cs="宋体"/>
      <w:b/>
      <w:bCs/>
      <w:sz w:val="17"/>
      <w:szCs w:val="17"/>
      <w:lang w:val="zh-CN" w:bidi="zh-CN"/>
    </w:rPr>
  </w:style>
  <w:style w:type="paragraph" w:customStyle="1" w:styleId="194">
    <w:name w:val="Body text|4"/>
    <w:basedOn w:val="1"/>
    <w:link w:val="193"/>
    <w:qFormat/>
    <w:uiPriority w:val="0"/>
    <w:pPr>
      <w:spacing w:line="281" w:lineRule="exact"/>
      <w:jc w:val="center"/>
    </w:pPr>
    <w:rPr>
      <w:rFonts w:ascii="宋体" w:hAnsi="宋体" w:cs="宋体"/>
      <w:b/>
      <w:bCs/>
      <w:kern w:val="0"/>
      <w:sz w:val="17"/>
      <w:szCs w:val="17"/>
      <w:lang w:val="zh-CN" w:bidi="zh-CN"/>
    </w:rPr>
  </w:style>
  <w:style w:type="character" w:customStyle="1" w:styleId="195">
    <w:name w:val="明显参考1"/>
    <w:qFormat/>
    <w:uiPriority w:val="99"/>
    <w:rPr>
      <w:b/>
      <w:bCs/>
      <w:smallCaps/>
      <w:color w:val="auto"/>
      <w:spacing w:val="5"/>
      <w:u w:val="single"/>
    </w:rPr>
  </w:style>
  <w:style w:type="character" w:customStyle="1" w:styleId="196">
    <w:name w:val="UserStyle_9"/>
    <w:link w:val="197"/>
    <w:qFormat/>
    <w:locked/>
    <w:uiPriority w:val="0"/>
    <w:rPr>
      <w:kern w:val="2"/>
      <w:sz w:val="21"/>
      <w:szCs w:val="24"/>
    </w:rPr>
  </w:style>
  <w:style w:type="paragraph" w:customStyle="1" w:styleId="197">
    <w:name w:val="AnnotationText"/>
    <w:basedOn w:val="1"/>
    <w:link w:val="196"/>
    <w:qFormat/>
    <w:uiPriority w:val="0"/>
    <w:pPr>
      <w:widowControl/>
      <w:jc w:val="left"/>
    </w:pPr>
  </w:style>
  <w:style w:type="character" w:customStyle="1" w:styleId="198">
    <w:name w:val="标题 字符"/>
    <w:basedOn w:val="48"/>
    <w:link w:val="44"/>
    <w:qFormat/>
    <w:uiPriority w:val="0"/>
    <w:rPr>
      <w:rFonts w:ascii="Cambria" w:hAnsi="Cambria"/>
      <w:b/>
      <w:bCs/>
      <w:kern w:val="2"/>
      <w:sz w:val="32"/>
      <w:szCs w:val="32"/>
    </w:rPr>
  </w:style>
  <w:style w:type="character" w:customStyle="1" w:styleId="199">
    <w:name w:val="标题 1 字符"/>
    <w:link w:val="2"/>
    <w:qFormat/>
    <w:uiPriority w:val="0"/>
    <w:rPr>
      <w:b/>
      <w:bCs/>
      <w:kern w:val="44"/>
      <w:sz w:val="44"/>
      <w:szCs w:val="44"/>
    </w:rPr>
  </w:style>
  <w:style w:type="character" w:customStyle="1" w:styleId="200">
    <w:name w:val="Char Char91"/>
    <w:qFormat/>
    <w:uiPriority w:val="99"/>
    <w:rPr>
      <w:rFonts w:eastAsia="宋体"/>
      <w:b/>
      <w:bCs/>
      <w:kern w:val="44"/>
      <w:sz w:val="44"/>
      <w:szCs w:val="44"/>
      <w:lang w:val="en-US" w:eastAsia="zh-CN"/>
    </w:rPr>
  </w:style>
  <w:style w:type="character" w:customStyle="1" w:styleId="201">
    <w:name w:val="明显引用 Char"/>
    <w:link w:val="202"/>
    <w:qFormat/>
    <w:locked/>
    <w:uiPriority w:val="99"/>
    <w:rPr>
      <w:b/>
      <w:bCs/>
      <w:i/>
      <w:iCs/>
      <w:color w:val="4F81BD"/>
    </w:rPr>
  </w:style>
  <w:style w:type="paragraph" w:customStyle="1" w:styleId="202">
    <w:name w:val="明显引用1"/>
    <w:basedOn w:val="1"/>
    <w:next w:val="1"/>
    <w:link w:val="201"/>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203">
    <w:name w:val="手改 Char Char"/>
    <w:qFormat/>
    <w:uiPriority w:val="0"/>
    <w:rPr>
      <w:rFonts w:hint="default" w:ascii="Times New Roman" w:hAnsi="Times New Roman" w:eastAsia="宋体" w:cs="Times New Roman"/>
      <w:sz w:val="24"/>
      <w:szCs w:val="24"/>
      <w:lang w:bidi="ar-SA"/>
    </w:rPr>
  </w:style>
  <w:style w:type="character" w:customStyle="1" w:styleId="204">
    <w:name w:val="日期 字符"/>
    <w:link w:val="28"/>
    <w:qFormat/>
    <w:uiPriority w:val="0"/>
    <w:rPr>
      <w:rFonts w:ascii="Times New Roman" w:hAnsi="Times New Roman"/>
      <w:kern w:val="2"/>
      <w:sz w:val="21"/>
      <w:szCs w:val="24"/>
    </w:rPr>
  </w:style>
  <w:style w:type="character" w:customStyle="1" w:styleId="205">
    <w:name w:val="标准文本 Char"/>
    <w:link w:val="206"/>
    <w:qFormat/>
    <w:locked/>
    <w:uiPriority w:val="0"/>
    <w:rPr>
      <w:kern w:val="2"/>
      <w:sz w:val="24"/>
    </w:rPr>
  </w:style>
  <w:style w:type="paragraph" w:customStyle="1" w:styleId="206">
    <w:name w:val="标准文本"/>
    <w:basedOn w:val="1"/>
    <w:link w:val="205"/>
    <w:qFormat/>
    <w:uiPriority w:val="0"/>
    <w:pPr>
      <w:spacing w:line="360" w:lineRule="auto"/>
      <w:ind w:firstLine="480" w:firstLineChars="200"/>
    </w:pPr>
    <w:rPr>
      <w:sz w:val="24"/>
      <w:szCs w:val="20"/>
    </w:rPr>
  </w:style>
  <w:style w:type="character" w:customStyle="1" w:styleId="207">
    <w:name w:val="段 Char"/>
    <w:link w:val="208"/>
    <w:qFormat/>
    <w:locked/>
    <w:uiPriority w:val="0"/>
    <w:rPr>
      <w:rFonts w:ascii="宋体" w:hAnsi="宋体"/>
      <w:lang w:val="en-US" w:eastAsia="zh-CN" w:bidi="ar-SA"/>
    </w:rPr>
  </w:style>
  <w:style w:type="paragraph" w:customStyle="1" w:styleId="208">
    <w:name w:val="段"/>
    <w:link w:val="207"/>
    <w:qFormat/>
    <w:uiPriority w:val="0"/>
    <w:pPr>
      <w:autoSpaceDE w:val="0"/>
      <w:autoSpaceDN w:val="0"/>
      <w:ind w:firstLine="200" w:firstLineChars="200"/>
      <w:jc w:val="both"/>
    </w:pPr>
    <w:rPr>
      <w:rFonts w:ascii="宋体" w:hAnsi="宋体" w:eastAsia="宋体" w:cs="Times New Roman"/>
      <w:lang w:val="en-US" w:eastAsia="zh-CN" w:bidi="ar-SA"/>
    </w:rPr>
  </w:style>
  <w:style w:type="character" w:customStyle="1" w:styleId="209">
    <w:name w:val="批注文字 字符"/>
    <w:qFormat/>
    <w:uiPriority w:val="0"/>
    <w:rPr>
      <w:rFonts w:ascii="Times New Roman" w:hAnsi="Times New Roman"/>
      <w:kern w:val="2"/>
      <w:sz w:val="21"/>
      <w:szCs w:val="24"/>
    </w:rPr>
  </w:style>
  <w:style w:type="character" w:customStyle="1" w:styleId="210">
    <w:name w:val="apple-style-span"/>
    <w:qFormat/>
    <w:uiPriority w:val="0"/>
  </w:style>
  <w:style w:type="character" w:customStyle="1" w:styleId="211">
    <w:name w:val="批注框文本 字符"/>
    <w:link w:val="30"/>
    <w:qFormat/>
    <w:locked/>
    <w:uiPriority w:val="0"/>
    <w:rPr>
      <w:kern w:val="2"/>
      <w:sz w:val="18"/>
      <w:szCs w:val="18"/>
    </w:rPr>
  </w:style>
  <w:style w:type="character" w:customStyle="1" w:styleId="212">
    <w:name w:val="纯文本 字符1"/>
    <w:qFormat/>
    <w:uiPriority w:val="0"/>
    <w:rPr>
      <w:rFonts w:ascii="宋体" w:hAnsi="Courier New"/>
    </w:rPr>
  </w:style>
  <w:style w:type="character" w:customStyle="1" w:styleId="213">
    <w:name w:val="文档结构图 字符"/>
    <w:basedOn w:val="48"/>
    <w:link w:val="16"/>
    <w:qFormat/>
    <w:uiPriority w:val="0"/>
    <w:rPr>
      <w:kern w:val="2"/>
      <w:sz w:val="24"/>
      <w:szCs w:val="24"/>
      <w:shd w:val="clear" w:color="auto" w:fill="000080"/>
    </w:rPr>
  </w:style>
  <w:style w:type="character" w:customStyle="1" w:styleId="214">
    <w:name w:val="Header or footer|1_"/>
    <w:link w:val="215"/>
    <w:qFormat/>
    <w:uiPriority w:val="0"/>
    <w:rPr>
      <w:sz w:val="17"/>
      <w:szCs w:val="17"/>
      <w:lang w:val="zh-CN" w:bidi="zh-CN"/>
    </w:rPr>
  </w:style>
  <w:style w:type="paragraph" w:customStyle="1" w:styleId="215">
    <w:name w:val="Header or footer|1"/>
    <w:basedOn w:val="1"/>
    <w:link w:val="214"/>
    <w:qFormat/>
    <w:uiPriority w:val="0"/>
    <w:pPr>
      <w:jc w:val="center"/>
    </w:pPr>
    <w:rPr>
      <w:kern w:val="0"/>
      <w:sz w:val="17"/>
      <w:szCs w:val="17"/>
      <w:lang w:val="zh-CN" w:bidi="zh-CN"/>
    </w:rPr>
  </w:style>
  <w:style w:type="character" w:customStyle="1" w:styleId="216">
    <w:name w:val="Body text|1_"/>
    <w:link w:val="217"/>
    <w:qFormat/>
    <w:uiPriority w:val="0"/>
    <w:rPr>
      <w:rFonts w:ascii="宋体" w:hAnsi="宋体" w:cs="宋体"/>
      <w:kern w:val="2"/>
      <w:sz w:val="21"/>
      <w:lang w:val="zh-CN" w:bidi="zh-CN"/>
    </w:rPr>
  </w:style>
  <w:style w:type="paragraph" w:customStyle="1" w:styleId="217">
    <w:name w:val="Body text|1"/>
    <w:basedOn w:val="1"/>
    <w:link w:val="216"/>
    <w:qFormat/>
    <w:uiPriority w:val="0"/>
    <w:pPr>
      <w:spacing w:line="360" w:lineRule="auto"/>
      <w:ind w:firstLine="400"/>
    </w:pPr>
    <w:rPr>
      <w:rFonts w:ascii="宋体" w:hAnsi="宋体" w:cs="宋体"/>
      <w:szCs w:val="20"/>
      <w:lang w:val="zh-CN" w:bidi="zh-CN"/>
    </w:rPr>
  </w:style>
  <w:style w:type="character" w:customStyle="1" w:styleId="218">
    <w:name w:val="Body Text Indent Char"/>
    <w:qFormat/>
    <w:uiPriority w:val="99"/>
    <w:rPr>
      <w:rFonts w:ascii="宋体" w:hAnsi="宋体" w:eastAsia="宋体" w:cs="宋体"/>
      <w:kern w:val="2"/>
      <w:sz w:val="21"/>
      <w:szCs w:val="21"/>
      <w:lang w:val="en-US" w:eastAsia="zh-CN"/>
    </w:rPr>
  </w:style>
  <w:style w:type="character" w:customStyle="1" w:styleId="219">
    <w:name w:val="Header Char"/>
    <w:qFormat/>
    <w:uiPriority w:val="99"/>
    <w:rPr>
      <w:rFonts w:eastAsia="宋体"/>
      <w:kern w:val="2"/>
      <w:sz w:val="18"/>
      <w:szCs w:val="18"/>
      <w:lang w:val="en-US" w:eastAsia="zh-CN"/>
    </w:rPr>
  </w:style>
  <w:style w:type="character" w:customStyle="1" w:styleId="220">
    <w:name w:val="标题4 Char Char"/>
    <w:link w:val="221"/>
    <w:qFormat/>
    <w:locked/>
    <w:uiPriority w:val="99"/>
    <w:rPr>
      <w:rFonts w:ascii="Arial" w:hAnsi="Arial" w:cs="Arial"/>
      <w:b/>
      <w:bCs/>
      <w:sz w:val="32"/>
      <w:szCs w:val="32"/>
    </w:rPr>
  </w:style>
  <w:style w:type="paragraph" w:customStyle="1" w:styleId="221">
    <w:name w:val="标题4"/>
    <w:basedOn w:val="3"/>
    <w:next w:val="23"/>
    <w:link w:val="220"/>
    <w:qFormat/>
    <w:uiPriority w:val="99"/>
    <w:pPr>
      <w:spacing w:before="60" w:after="60" w:line="413" w:lineRule="auto"/>
    </w:pPr>
    <w:rPr>
      <w:rFonts w:ascii="Arial" w:hAnsi="Arial"/>
      <w:kern w:val="0"/>
    </w:rPr>
  </w:style>
  <w:style w:type="paragraph" w:customStyle="1" w:styleId="222">
    <w:name w:val="xl61"/>
    <w:basedOn w:val="1"/>
    <w:qFormat/>
    <w:uiPriority w:val="0"/>
    <w:pPr>
      <w:widowControl/>
      <w:pBdr>
        <w:top w:val="single" w:color="0000FF" w:sz="4" w:space="0"/>
        <w:left w:val="single" w:color="0000FF" w:sz="4" w:space="0"/>
        <w:right w:val="single" w:color="0000FF" w:sz="4" w:space="0"/>
      </w:pBdr>
      <w:spacing w:before="100" w:beforeAutospacing="1" w:after="100" w:afterAutospacing="1"/>
      <w:jc w:val="center"/>
    </w:pPr>
    <w:rPr>
      <w:color w:val="000000"/>
      <w:kern w:val="0"/>
      <w:szCs w:val="21"/>
    </w:rPr>
  </w:style>
  <w:style w:type="paragraph" w:customStyle="1" w:styleId="223">
    <w:name w:val="Char Char1 Char Char Char Char Char Char Char Char Char Char"/>
    <w:basedOn w:val="1"/>
    <w:qFormat/>
    <w:uiPriority w:val="0"/>
    <w:pPr>
      <w:widowControl/>
      <w:spacing w:after="160" w:line="240" w:lineRule="exact"/>
      <w:jc w:val="left"/>
    </w:pPr>
    <w:rPr>
      <w:szCs w:val="20"/>
    </w:rPr>
  </w:style>
  <w:style w:type="paragraph" w:customStyle="1" w:styleId="224">
    <w:name w:val="正文 A"/>
    <w:qFormat/>
    <w:uiPriority w:val="0"/>
    <w:pPr>
      <w:widowControl w:val="0"/>
      <w:jc w:val="both"/>
    </w:pPr>
    <w:rPr>
      <w:rFonts w:ascii="Calibri" w:hAnsi="Calibri" w:eastAsia="宋体" w:cs="Calibri"/>
      <w:color w:val="000000"/>
      <w:kern w:val="2"/>
      <w:sz w:val="21"/>
      <w:szCs w:val="21"/>
      <w:u w:color="000000"/>
      <w:lang w:val="en-US" w:eastAsia="zh-CN" w:bidi="ar-SA"/>
    </w:rPr>
  </w:style>
  <w:style w:type="paragraph" w:customStyle="1" w:styleId="225">
    <w:name w:val="Char1 Char Char Char Char Char Char"/>
    <w:basedOn w:val="1"/>
    <w:qFormat/>
    <w:uiPriority w:val="0"/>
    <w:rPr>
      <w:rFonts w:ascii="Tahoma" w:hAnsi="Tahoma"/>
      <w:sz w:val="24"/>
      <w:szCs w:val="20"/>
    </w:rPr>
  </w:style>
  <w:style w:type="paragraph" w:customStyle="1" w:styleId="226">
    <w:name w:val="正正正正"/>
    <w:basedOn w:val="19"/>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27">
    <w:name w:val="表格文字"/>
    <w:basedOn w:val="1"/>
    <w:qFormat/>
    <w:uiPriority w:val="0"/>
    <w:pPr>
      <w:adjustRightInd w:val="0"/>
      <w:spacing w:line="420" w:lineRule="atLeast"/>
      <w:jc w:val="left"/>
    </w:pPr>
    <w:rPr>
      <w:kern w:val="0"/>
    </w:rPr>
  </w:style>
  <w:style w:type="paragraph" w:customStyle="1" w:styleId="22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9">
    <w:name w:val="正文_1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xl59"/>
    <w:basedOn w:val="1"/>
    <w:qFormat/>
    <w:uiPriority w:val="0"/>
    <w:pPr>
      <w:widowControl/>
      <w:pBdr>
        <w:top w:val="single" w:color="0000FF" w:sz="4" w:space="0"/>
        <w:left w:val="single" w:color="0000FF" w:sz="4" w:space="0"/>
        <w:right w:val="single" w:color="0000FF" w:sz="8" w:space="0"/>
      </w:pBdr>
      <w:shd w:val="clear" w:color="auto" w:fill="FFFFFF"/>
      <w:spacing w:before="100" w:beforeAutospacing="1" w:after="100" w:afterAutospacing="1"/>
      <w:jc w:val="center"/>
    </w:pPr>
    <w:rPr>
      <w:rFonts w:ascii="宋体" w:hAnsi="宋体"/>
      <w:kern w:val="0"/>
      <w:sz w:val="24"/>
    </w:rPr>
  </w:style>
  <w:style w:type="paragraph" w:customStyle="1" w:styleId="231">
    <w:name w:val="次小点说明 Char"/>
    <w:basedOn w:val="7"/>
    <w:qFormat/>
    <w:uiPriority w:val="0"/>
    <w:pPr>
      <w:ind w:firstLine="0"/>
    </w:pPr>
    <w:rPr>
      <w:sz w:val="24"/>
      <w:szCs w:val="24"/>
    </w:rPr>
  </w:style>
  <w:style w:type="paragraph" w:customStyle="1" w:styleId="232">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33">
    <w:name w:val="Char Char Char Char Char Char Char"/>
    <w:basedOn w:val="1"/>
    <w:qFormat/>
    <w:uiPriority w:val="99"/>
    <w:pPr>
      <w:widowControl/>
      <w:spacing w:after="160" w:line="240" w:lineRule="exact"/>
      <w:jc w:val="left"/>
    </w:pPr>
    <w:rPr>
      <w:szCs w:val="21"/>
    </w:rPr>
  </w:style>
  <w:style w:type="paragraph" w:customStyle="1" w:styleId="234">
    <w:name w:val="font0"/>
    <w:basedOn w:val="1"/>
    <w:qFormat/>
    <w:uiPriority w:val="0"/>
    <w:pPr>
      <w:widowControl/>
      <w:spacing w:before="100" w:beforeAutospacing="1" w:after="100" w:afterAutospacing="1"/>
      <w:jc w:val="left"/>
    </w:pPr>
    <w:rPr>
      <w:rFonts w:ascii="宋体" w:hAnsi="宋体"/>
      <w:kern w:val="0"/>
      <w:sz w:val="24"/>
    </w:rPr>
  </w:style>
  <w:style w:type="paragraph" w:customStyle="1" w:styleId="235">
    <w:name w:val="修订1"/>
    <w:qFormat/>
    <w:uiPriority w:val="99"/>
    <w:rPr>
      <w:rFonts w:ascii="Times New Roman" w:hAnsi="Times New Roman" w:eastAsia="宋体" w:cs="Times New Roman"/>
      <w:kern w:val="2"/>
      <w:sz w:val="21"/>
      <w:szCs w:val="21"/>
      <w:lang w:val="en-US" w:eastAsia="zh-CN" w:bidi="ar-SA"/>
    </w:rPr>
  </w:style>
  <w:style w:type="paragraph" w:customStyle="1" w:styleId="236">
    <w:name w:val="xl3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Cs w:val="21"/>
    </w:rPr>
  </w:style>
  <w:style w:type="paragraph" w:customStyle="1" w:styleId="23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8">
    <w:name w:val="样式1"/>
    <w:basedOn w:val="1"/>
    <w:next w:val="5"/>
    <w:qFormat/>
    <w:uiPriority w:val="99"/>
    <w:pPr>
      <w:spacing w:line="360" w:lineRule="auto"/>
      <w:ind w:firstLine="420" w:firstLineChars="200"/>
    </w:pPr>
    <w:rPr>
      <w:rFonts w:ascii="宋体" w:hAnsi="宋体" w:cs="宋体"/>
      <w:szCs w:val="21"/>
    </w:rPr>
  </w:style>
  <w:style w:type="paragraph" w:customStyle="1" w:styleId="239">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40">
    <w:name w:val="列出段落1"/>
    <w:basedOn w:val="1"/>
    <w:qFormat/>
    <w:uiPriority w:val="0"/>
    <w:pPr>
      <w:ind w:firstLine="420" w:firstLineChars="200"/>
    </w:pPr>
    <w:rPr>
      <w:rFonts w:ascii="Calibri" w:hAnsi="Calibri" w:cs="Calibri"/>
      <w:szCs w:val="21"/>
    </w:rPr>
  </w:style>
  <w:style w:type="paragraph" w:customStyle="1" w:styleId="241">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242">
    <w:name w:val="修订11"/>
    <w:qFormat/>
    <w:uiPriority w:val="99"/>
    <w:rPr>
      <w:rFonts w:ascii="Times New Roman" w:hAnsi="Times New Roman" w:eastAsia="宋体" w:cs="Times New Roman"/>
      <w:kern w:val="2"/>
      <w:sz w:val="21"/>
      <w:szCs w:val="21"/>
      <w:lang w:val="en-US" w:eastAsia="zh-CN" w:bidi="ar-SA"/>
    </w:rPr>
  </w:style>
  <w:style w:type="paragraph" w:customStyle="1" w:styleId="243">
    <w:name w:val="xl49"/>
    <w:basedOn w:val="1"/>
    <w:qFormat/>
    <w:uiPriority w:val="0"/>
    <w:pPr>
      <w:widowControl/>
      <w:pBdr>
        <w:top w:val="single" w:color="0000FF" w:sz="8" w:space="0"/>
        <w:left w:val="single" w:color="0000FF" w:sz="4"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244">
    <w:name w:val="xl3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b/>
      <w:bCs/>
      <w:kern w:val="0"/>
      <w:szCs w:val="21"/>
      <w:u w:val="single"/>
    </w:rPr>
  </w:style>
  <w:style w:type="paragraph" w:customStyle="1" w:styleId="245">
    <w:name w:val="p0"/>
    <w:basedOn w:val="1"/>
    <w:qFormat/>
    <w:uiPriority w:val="0"/>
    <w:pPr>
      <w:widowControl/>
    </w:pPr>
    <w:rPr>
      <w:rFonts w:ascii="Calibri" w:hAnsi="Calibri" w:cs="Calibri"/>
      <w:kern w:val="0"/>
      <w:szCs w:val="21"/>
    </w:rPr>
  </w:style>
  <w:style w:type="paragraph" w:customStyle="1" w:styleId="246">
    <w:name w:val="xl3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kern w:val="0"/>
      <w:szCs w:val="21"/>
    </w:rPr>
  </w:style>
  <w:style w:type="paragraph" w:customStyle="1" w:styleId="247">
    <w:name w:val="样式 标题 3 + (中文) 黑体 小四 非加粗 段前: 7.8 磅 段后: 0 磅 行距: 固定值 20 磅"/>
    <w:basedOn w:val="4"/>
    <w:qFormat/>
    <w:uiPriority w:val="99"/>
    <w:pPr>
      <w:spacing w:before="0" w:after="0" w:line="400" w:lineRule="exact"/>
    </w:pPr>
    <w:rPr>
      <w:rFonts w:eastAsia="黑体"/>
      <w:b w:val="0"/>
      <w:bCs w:val="0"/>
      <w:lang w:val="zh-CN"/>
    </w:rPr>
  </w:style>
  <w:style w:type="paragraph" w:customStyle="1" w:styleId="248">
    <w:name w:val="xl58"/>
    <w:basedOn w:val="1"/>
    <w:qFormat/>
    <w:uiPriority w:val="0"/>
    <w:pPr>
      <w:widowControl/>
      <w:pBdr>
        <w:top w:val="single" w:color="0000FF" w:sz="4" w:space="0"/>
        <w:left w:val="single" w:color="0000FF" w:sz="4" w:space="0"/>
        <w:bottom w:val="single" w:color="0000FF" w:sz="4" w:space="0"/>
        <w:right w:val="single" w:color="0000FF" w:sz="8" w:space="0"/>
      </w:pBdr>
      <w:spacing w:before="100" w:beforeAutospacing="1" w:after="100" w:afterAutospacing="1"/>
      <w:jc w:val="center"/>
    </w:pPr>
    <w:rPr>
      <w:kern w:val="0"/>
      <w:szCs w:val="21"/>
    </w:rPr>
  </w:style>
  <w:style w:type="paragraph" w:customStyle="1" w:styleId="249">
    <w:name w:val="_Style 1"/>
    <w:basedOn w:val="1"/>
    <w:qFormat/>
    <w:uiPriority w:val="1"/>
    <w:pPr>
      <w:ind w:firstLine="420" w:firstLineChars="200"/>
      <w:jc w:val="left"/>
    </w:pPr>
    <w:rPr>
      <w:rFonts w:ascii="Times New Roman)" w:hAnsi="Times New Roman)" w:eastAsia="宋体正文"/>
      <w:color w:val="000000"/>
      <w:kern w:val="0"/>
      <w:lang w:eastAsia="en-US" w:bidi="en-US"/>
    </w:rPr>
  </w:style>
  <w:style w:type="paragraph" w:customStyle="1" w:styleId="250">
    <w:name w:val="Char Char Char1"/>
    <w:basedOn w:val="1"/>
    <w:qFormat/>
    <w:uiPriority w:val="0"/>
    <w:rPr>
      <w:rFonts w:ascii="Tahoma" w:hAnsi="Tahoma"/>
      <w:sz w:val="24"/>
      <w:szCs w:val="20"/>
    </w:rPr>
  </w:style>
  <w:style w:type="paragraph" w:customStyle="1" w:styleId="251">
    <w:name w:val="xl46"/>
    <w:basedOn w:val="1"/>
    <w:qFormat/>
    <w:uiPriority w:val="0"/>
    <w:pPr>
      <w:widowControl/>
      <w:pBdr>
        <w:top w:val="single" w:color="0000FF" w:sz="8" w:space="0"/>
        <w:left w:val="single" w:color="0000FF" w:sz="8"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252">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253">
    <w:name w:val="Blockquote"/>
    <w:basedOn w:val="1"/>
    <w:qFormat/>
    <w:uiPriority w:val="0"/>
    <w:pPr>
      <w:autoSpaceDE w:val="0"/>
      <w:autoSpaceDN w:val="0"/>
      <w:adjustRightInd w:val="0"/>
      <w:spacing w:before="100" w:after="100" w:line="312" w:lineRule="atLeast"/>
      <w:ind w:left="360" w:right="360"/>
    </w:pPr>
    <w:rPr>
      <w:kern w:val="0"/>
      <w:sz w:val="24"/>
      <w:szCs w:val="20"/>
    </w:rPr>
  </w:style>
  <w:style w:type="paragraph" w:customStyle="1" w:styleId="254">
    <w:name w:val="TOC 标题1"/>
    <w:basedOn w:val="2"/>
    <w:next w:val="1"/>
    <w:qFormat/>
    <w:uiPriority w:val="99"/>
    <w:pPr>
      <w:spacing w:line="576" w:lineRule="auto"/>
      <w:outlineLvl w:val="9"/>
    </w:pPr>
    <w:rPr>
      <w:rFonts w:ascii="Calibri" w:hAnsi="Calibri" w:eastAsia="黑体" w:cs="Calibri"/>
      <w:lang w:val="zh-CN"/>
    </w:rPr>
  </w:style>
  <w:style w:type="paragraph" w:customStyle="1" w:styleId="255">
    <w:name w:val="列表段落1"/>
    <w:basedOn w:val="1"/>
    <w:qFormat/>
    <w:uiPriority w:val="34"/>
    <w:pPr>
      <w:ind w:firstLine="420" w:firstLineChars="200"/>
    </w:pPr>
    <w:rPr>
      <w:rFonts w:ascii="Calibri" w:hAnsi="Calibri"/>
      <w:szCs w:val="22"/>
    </w:rPr>
  </w:style>
  <w:style w:type="paragraph" w:customStyle="1" w:styleId="256">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57">
    <w:name w:val="xl57"/>
    <w:basedOn w:val="1"/>
    <w:qFormat/>
    <w:uiPriority w:val="0"/>
    <w:pPr>
      <w:widowControl/>
      <w:pBdr>
        <w:left w:val="single" w:color="0000FF" w:sz="4" w:space="0"/>
        <w:bottom w:val="single" w:color="0000FF" w:sz="4" w:space="0"/>
        <w:right w:val="single" w:color="0000FF" w:sz="4" w:space="0"/>
      </w:pBdr>
      <w:shd w:val="clear" w:color="auto" w:fill="FFFFFF"/>
      <w:spacing w:before="100" w:beforeAutospacing="1" w:after="100" w:afterAutospacing="1"/>
      <w:jc w:val="center"/>
    </w:pPr>
    <w:rPr>
      <w:rFonts w:ascii="宋体" w:hAnsi="宋体"/>
      <w:kern w:val="0"/>
      <w:sz w:val="24"/>
    </w:rPr>
  </w:style>
  <w:style w:type="paragraph" w:customStyle="1" w:styleId="258">
    <w:name w:val="xl51"/>
    <w:basedOn w:val="1"/>
    <w:qFormat/>
    <w:uiPriority w:val="0"/>
    <w:pPr>
      <w:widowControl/>
      <w:pBdr>
        <w:top w:val="single" w:color="0000FF" w:sz="4" w:space="0"/>
        <w:left w:val="single" w:color="0000FF" w:sz="4" w:space="0"/>
        <w:bottom w:val="single" w:color="0000FF" w:sz="8" w:space="0"/>
        <w:right w:val="single" w:color="0000FF" w:sz="4" w:space="0"/>
      </w:pBdr>
      <w:spacing w:before="100" w:beforeAutospacing="1" w:after="100" w:afterAutospacing="1"/>
      <w:jc w:val="center"/>
    </w:pPr>
    <w:rPr>
      <w:rFonts w:ascii="宋体" w:hAnsi="宋体"/>
      <w:kern w:val="0"/>
      <w:sz w:val="24"/>
    </w:rPr>
  </w:style>
  <w:style w:type="paragraph" w:customStyle="1" w:styleId="25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Cs w:val="21"/>
    </w:rPr>
  </w:style>
  <w:style w:type="paragraph" w:customStyle="1" w:styleId="260">
    <w:name w:val="xl45"/>
    <w:basedOn w:val="1"/>
    <w:qFormat/>
    <w:uiPriority w:val="0"/>
    <w:pPr>
      <w:widowControl/>
      <w:pBdr>
        <w:top w:val="single" w:color="0000FF" w:sz="4" w:space="0"/>
        <w:left w:val="single" w:color="0000FF" w:sz="4" w:space="0"/>
        <w:right w:val="single" w:color="0000FF" w:sz="4" w:space="0"/>
      </w:pBdr>
      <w:spacing w:before="100" w:beforeAutospacing="1" w:after="100" w:afterAutospacing="1"/>
      <w:jc w:val="left"/>
    </w:pPr>
    <w:rPr>
      <w:rFonts w:ascii="宋体" w:hAnsi="宋体"/>
      <w:kern w:val="0"/>
      <w:sz w:val="24"/>
    </w:rPr>
  </w:style>
  <w:style w:type="paragraph" w:customStyle="1" w:styleId="261">
    <w:name w:val="_Style 36"/>
    <w:basedOn w:val="1"/>
    <w:qFormat/>
    <w:uiPriority w:val="0"/>
    <w:rPr>
      <w:rFonts w:ascii="Tahoma" w:hAnsi="Tahoma"/>
      <w:sz w:val="24"/>
      <w:szCs w:val="20"/>
    </w:rPr>
  </w:style>
  <w:style w:type="paragraph" w:customStyle="1" w:styleId="262">
    <w:name w:val="xl54"/>
    <w:basedOn w:val="1"/>
    <w:qFormat/>
    <w:uiPriority w:val="0"/>
    <w:pPr>
      <w:widowControl/>
      <w:pBdr>
        <w:top w:val="single" w:color="0000FF" w:sz="4" w:space="0"/>
        <w:left w:val="single" w:color="0000FF" w:sz="8" w:space="0"/>
        <w:right w:val="single" w:color="0000FF" w:sz="4" w:space="0"/>
      </w:pBdr>
      <w:spacing w:before="100" w:beforeAutospacing="1" w:after="100" w:afterAutospacing="1"/>
      <w:jc w:val="center"/>
    </w:pPr>
    <w:rPr>
      <w:rFonts w:ascii="宋体" w:hAnsi="宋体"/>
      <w:color w:val="000000"/>
      <w:kern w:val="0"/>
      <w:szCs w:val="21"/>
    </w:rPr>
  </w:style>
  <w:style w:type="paragraph" w:customStyle="1" w:styleId="263">
    <w:name w:val="Char Char Char"/>
    <w:basedOn w:val="1"/>
    <w:qFormat/>
    <w:uiPriority w:val="0"/>
    <w:rPr>
      <w:rFonts w:ascii="Tahoma" w:hAnsi="Tahoma"/>
      <w:sz w:val="24"/>
      <w:szCs w:val="20"/>
    </w:rPr>
  </w:style>
  <w:style w:type="paragraph" w:customStyle="1" w:styleId="264">
    <w:name w:val="Char"/>
    <w:basedOn w:val="1"/>
    <w:qFormat/>
    <w:uiPriority w:val="0"/>
    <w:pPr>
      <w:widowControl/>
      <w:spacing w:after="160" w:line="240" w:lineRule="exact"/>
      <w:jc w:val="left"/>
    </w:pPr>
    <w:rPr>
      <w:szCs w:val="21"/>
    </w:rPr>
  </w:style>
  <w:style w:type="paragraph" w:customStyle="1" w:styleId="265">
    <w:name w:val="xl53"/>
    <w:basedOn w:val="1"/>
    <w:qFormat/>
    <w:uiPriority w:val="0"/>
    <w:pPr>
      <w:widowControl/>
      <w:pBdr>
        <w:top w:val="single" w:color="0000FF" w:sz="4" w:space="0"/>
        <w:left w:val="single" w:color="0000FF" w:sz="4" w:space="0"/>
        <w:bottom w:val="single" w:color="0000FF" w:sz="4" w:space="0"/>
        <w:right w:val="single" w:color="0000FF" w:sz="8" w:space="0"/>
      </w:pBdr>
      <w:spacing w:before="100" w:beforeAutospacing="1" w:after="100" w:afterAutospacing="1"/>
      <w:jc w:val="center"/>
    </w:pPr>
    <w:rPr>
      <w:rFonts w:ascii="宋体" w:hAnsi="宋体"/>
      <w:b/>
      <w:bCs/>
      <w:color w:val="000000"/>
      <w:kern w:val="0"/>
      <w:szCs w:val="21"/>
    </w:rPr>
  </w:style>
  <w:style w:type="paragraph" w:customStyle="1" w:styleId="266">
    <w:name w:val="font8"/>
    <w:basedOn w:val="1"/>
    <w:qFormat/>
    <w:uiPriority w:val="0"/>
    <w:pPr>
      <w:widowControl/>
      <w:spacing w:before="100" w:beforeAutospacing="1" w:after="100" w:afterAutospacing="1"/>
      <w:jc w:val="left"/>
    </w:pPr>
    <w:rPr>
      <w:rFonts w:ascii="宋体" w:hAnsi="宋体"/>
      <w:b/>
      <w:bCs/>
      <w:color w:val="000000"/>
      <w:kern w:val="0"/>
      <w:szCs w:val="21"/>
    </w:rPr>
  </w:style>
  <w:style w:type="paragraph" w:customStyle="1" w:styleId="267">
    <w:name w:val="xl2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68">
    <w:name w:val="正文呀2_0"/>
    <w:basedOn w:val="269"/>
    <w:qFormat/>
    <w:uiPriority w:val="0"/>
    <w:rPr>
      <w:rFonts w:ascii="Times New Roman" w:hAnsi="Times New Roman" w:eastAsia="宋体"/>
    </w:rPr>
  </w:style>
  <w:style w:type="paragraph" w:customStyle="1" w:styleId="269">
    <w:name w:val="正文呀_0"/>
    <w:basedOn w:val="270"/>
    <w:qFormat/>
    <w:uiPriority w:val="0"/>
    <w:pPr>
      <w:spacing w:line="420" w:lineRule="exact"/>
      <w:ind w:firstLine="420" w:firstLineChars="200"/>
    </w:pPr>
    <w:rPr>
      <w:rFonts w:ascii="宋体" w:hAnsi="宋体" w:eastAsia="等线"/>
    </w:rPr>
  </w:style>
  <w:style w:type="paragraph" w:customStyle="1" w:styleId="270">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1">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72">
    <w:name w:val="默认段落字体 Para Char Char Char Char Char Char Char Char Char1 Char Char Char Char"/>
    <w:basedOn w:val="1"/>
    <w:qFormat/>
    <w:uiPriority w:val="0"/>
    <w:rPr>
      <w:rFonts w:ascii="Tahoma" w:hAnsi="Tahoma"/>
      <w:sz w:val="24"/>
      <w:szCs w:val="20"/>
    </w:rPr>
  </w:style>
  <w:style w:type="paragraph" w:customStyle="1" w:styleId="273">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4">
    <w:name w:val="font6"/>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275">
    <w:name w:val="标题 3_0"/>
    <w:basedOn w:val="276"/>
    <w:next w:val="1"/>
    <w:qFormat/>
    <w:uiPriority w:val="0"/>
    <w:pPr>
      <w:keepNext/>
      <w:keepLines/>
      <w:spacing w:before="260" w:after="260" w:line="412" w:lineRule="auto"/>
      <w:jc w:val="left"/>
      <w:outlineLvl w:val="2"/>
    </w:pPr>
    <w:rPr>
      <w:b/>
    </w:rPr>
  </w:style>
  <w:style w:type="paragraph" w:customStyle="1" w:styleId="276">
    <w:name w:val="正文_0"/>
    <w:qFormat/>
    <w:uiPriority w:val="0"/>
    <w:pPr>
      <w:widowControl w:val="0"/>
      <w:spacing w:before="120" w:after="120"/>
      <w:jc w:val="both"/>
    </w:pPr>
    <w:rPr>
      <w:rFonts w:ascii="Calibri" w:hAnsi="Calibri" w:eastAsia="宋体" w:cs="Times New Roman"/>
      <w:kern w:val="2"/>
      <w:sz w:val="21"/>
      <w:szCs w:val="24"/>
      <w:lang w:val="en-US" w:eastAsia="zh-CN" w:bidi="ar-SA"/>
    </w:rPr>
  </w:style>
  <w:style w:type="paragraph" w:customStyle="1" w:styleId="277">
    <w:name w:val="font7"/>
    <w:basedOn w:val="1"/>
    <w:qFormat/>
    <w:uiPriority w:val="0"/>
    <w:pPr>
      <w:widowControl/>
      <w:spacing w:before="100" w:beforeAutospacing="1" w:after="100" w:afterAutospacing="1"/>
      <w:jc w:val="left"/>
    </w:pPr>
    <w:rPr>
      <w:kern w:val="0"/>
      <w:sz w:val="20"/>
      <w:szCs w:val="20"/>
    </w:rPr>
  </w:style>
  <w:style w:type="paragraph" w:customStyle="1" w:styleId="278">
    <w:name w:val="列出段落11"/>
    <w:qFormat/>
    <w:uiPriority w:val="34"/>
    <w:pPr>
      <w:widowControl w:val="0"/>
      <w:ind w:firstLine="420"/>
      <w:jc w:val="both"/>
    </w:pPr>
    <w:rPr>
      <w:rFonts w:ascii="Calibri" w:hAnsi="Calibri" w:eastAsia="宋体" w:cs="Calibri"/>
      <w:color w:val="000000"/>
      <w:kern w:val="2"/>
      <w:sz w:val="21"/>
      <w:szCs w:val="21"/>
      <w:u w:color="000000"/>
      <w:lang w:val="en-US" w:eastAsia="zh-CN" w:bidi="ar-SA"/>
    </w:rPr>
  </w:style>
  <w:style w:type="paragraph" w:customStyle="1" w:styleId="2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楷体_GB2312" w:hAnsi="宋体" w:eastAsia="楷体_GB2312"/>
      <w:kern w:val="0"/>
      <w:szCs w:val="21"/>
    </w:rPr>
  </w:style>
  <w:style w:type="paragraph" w:customStyle="1" w:styleId="280">
    <w:name w:val="xl50"/>
    <w:basedOn w:val="1"/>
    <w:qFormat/>
    <w:uiPriority w:val="0"/>
    <w:pPr>
      <w:widowControl/>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281">
    <w:name w:val="xl2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82">
    <w:name w:val="xl42"/>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楷体_GB2312" w:hAnsi="宋体" w:eastAsia="楷体_GB2312"/>
      <w:b/>
      <w:bCs/>
      <w:kern w:val="0"/>
      <w:sz w:val="20"/>
      <w:szCs w:val="20"/>
    </w:rPr>
  </w:style>
  <w:style w:type="paragraph" w:customStyle="1" w:styleId="28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Cs w:val="21"/>
      <w:u w:val="single"/>
    </w:rPr>
  </w:style>
  <w:style w:type="paragraph" w:customStyle="1" w:styleId="284">
    <w:name w:val="xl4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4"/>
      <w:szCs w:val="20"/>
    </w:rPr>
  </w:style>
  <w:style w:type="paragraph" w:customStyle="1" w:styleId="285">
    <w:name w:val="xl52"/>
    <w:basedOn w:val="1"/>
    <w:qFormat/>
    <w:uiPriority w:val="0"/>
    <w:pPr>
      <w:widowControl/>
      <w:pBdr>
        <w:top w:val="single" w:color="0000FF" w:sz="8" w:space="0"/>
        <w:left w:val="single" w:color="0000FF" w:sz="4" w:space="0"/>
        <w:bottom w:val="single" w:color="0000FF" w:sz="4" w:space="0"/>
        <w:right w:val="single" w:color="0000FF" w:sz="8" w:space="0"/>
      </w:pBdr>
      <w:spacing w:before="100" w:beforeAutospacing="1" w:after="100" w:afterAutospacing="1"/>
      <w:jc w:val="center"/>
    </w:pPr>
    <w:rPr>
      <w:rFonts w:ascii="宋体" w:hAnsi="宋体"/>
      <w:b/>
      <w:bCs/>
      <w:color w:val="000000"/>
      <w:kern w:val="0"/>
      <w:szCs w:val="21"/>
    </w:rPr>
  </w:style>
  <w:style w:type="paragraph" w:customStyle="1" w:styleId="286">
    <w:name w:val="列出段落2"/>
    <w:basedOn w:val="1"/>
    <w:qFormat/>
    <w:uiPriority w:val="99"/>
    <w:pPr>
      <w:ind w:firstLine="420" w:firstLineChars="200"/>
    </w:pPr>
    <w:rPr>
      <w:rFonts w:ascii="Calibri" w:hAnsi="Calibri" w:cs="Calibri"/>
      <w:szCs w:val="21"/>
    </w:rPr>
  </w:style>
  <w:style w:type="paragraph" w:customStyle="1" w:styleId="287">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288">
    <w:name w:val="标题 2_0"/>
    <w:basedOn w:val="1"/>
    <w:next w:val="1"/>
    <w:qFormat/>
    <w:uiPriority w:val="9"/>
    <w:pPr>
      <w:keepNext/>
      <w:keepLines/>
      <w:spacing w:before="260" w:after="260" w:line="412" w:lineRule="auto"/>
      <w:jc w:val="left"/>
      <w:outlineLvl w:val="1"/>
    </w:pPr>
    <w:rPr>
      <w:rFonts w:ascii="Arial" w:hAnsi="Arial"/>
      <w:b/>
    </w:rPr>
  </w:style>
  <w:style w:type="paragraph" w:customStyle="1" w:styleId="289">
    <w:name w:val="xl44"/>
    <w:basedOn w:val="1"/>
    <w:qFormat/>
    <w:uiPriority w:val="0"/>
    <w:pPr>
      <w:widowControl/>
      <w:pBdr>
        <w:top w:val="single" w:color="0000FF" w:sz="4" w:space="0"/>
        <w:left w:val="single" w:color="0000FF" w:sz="4" w:space="0"/>
        <w:right w:val="single" w:color="0000FF" w:sz="4" w:space="0"/>
      </w:pBdr>
      <w:shd w:val="clear" w:color="auto" w:fill="FFFFFF"/>
      <w:spacing w:before="100" w:beforeAutospacing="1" w:after="100" w:afterAutospacing="1"/>
      <w:jc w:val="center"/>
    </w:pPr>
    <w:rPr>
      <w:rFonts w:ascii="宋体" w:hAnsi="宋体"/>
      <w:kern w:val="0"/>
      <w:sz w:val="24"/>
    </w:rPr>
  </w:style>
  <w:style w:type="paragraph" w:customStyle="1" w:styleId="29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9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92">
    <w:name w:val="xl2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kern w:val="0"/>
      <w:szCs w:val="21"/>
    </w:rPr>
  </w:style>
  <w:style w:type="paragraph" w:customStyle="1" w:styleId="293">
    <w:name w:val="正文小四缩进"/>
    <w:next w:val="1"/>
    <w:qFormat/>
    <w:uiPriority w:val="0"/>
    <w:pPr>
      <w:widowControl w:val="0"/>
      <w:adjustRightInd w:val="0"/>
      <w:snapToGrid w:val="0"/>
      <w:spacing w:line="360" w:lineRule="auto"/>
      <w:ind w:firstLine="420" w:firstLineChars="200"/>
    </w:pPr>
    <w:rPr>
      <w:rFonts w:ascii="宋体" w:hAnsi="宋体" w:eastAsia="Times New Roman" w:cs="Times New Roman"/>
      <w:kern w:val="2"/>
      <w:sz w:val="21"/>
      <w:szCs w:val="21"/>
      <w:lang w:val="en-US" w:eastAsia="zh-CN" w:bidi="ar-SA"/>
    </w:rPr>
  </w:style>
  <w:style w:type="paragraph" w:customStyle="1" w:styleId="294">
    <w:name w:val="1"/>
    <w:basedOn w:val="1"/>
    <w:next w:val="26"/>
    <w:qFormat/>
    <w:uiPriority w:val="99"/>
    <w:rPr>
      <w:szCs w:val="21"/>
    </w:rPr>
  </w:style>
  <w:style w:type="paragraph" w:customStyle="1" w:styleId="295">
    <w:name w:val="Table Paragraph"/>
    <w:basedOn w:val="1"/>
    <w:qFormat/>
    <w:uiPriority w:val="1"/>
    <w:pPr>
      <w:jc w:val="left"/>
    </w:pPr>
    <w:rPr>
      <w:rFonts w:ascii="Calibri" w:hAnsi="Calibri"/>
      <w:kern w:val="0"/>
      <w:sz w:val="22"/>
      <w:szCs w:val="22"/>
      <w:lang w:eastAsia="en-US"/>
    </w:rPr>
  </w:style>
  <w:style w:type="paragraph" w:customStyle="1" w:styleId="296">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297">
    <w:name w:val="xl60"/>
    <w:basedOn w:val="1"/>
    <w:qFormat/>
    <w:uiPriority w:val="0"/>
    <w:pPr>
      <w:widowControl/>
      <w:pBdr>
        <w:left w:val="single" w:color="0000FF" w:sz="4" w:space="0"/>
        <w:bottom w:val="single" w:color="0000FF" w:sz="4" w:space="0"/>
        <w:right w:val="single" w:color="0000FF" w:sz="8" w:space="0"/>
      </w:pBdr>
      <w:shd w:val="clear" w:color="auto" w:fill="FFFFFF"/>
      <w:spacing w:before="100" w:beforeAutospacing="1" w:after="100" w:afterAutospacing="1"/>
      <w:jc w:val="center"/>
    </w:pPr>
    <w:rPr>
      <w:rFonts w:ascii="宋体" w:hAnsi="宋体"/>
      <w:kern w:val="0"/>
      <w:sz w:val="24"/>
    </w:rPr>
  </w:style>
  <w:style w:type="paragraph" w:customStyle="1" w:styleId="298">
    <w:name w:val="正文缩进1"/>
    <w:basedOn w:val="1"/>
    <w:next w:val="1"/>
    <w:qFormat/>
    <w:uiPriority w:val="0"/>
    <w:pPr>
      <w:widowControl/>
      <w:ind w:firstLine="420"/>
    </w:pPr>
    <w:rPr>
      <w:color w:val="000000"/>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楷体_GB2312" w:hAnsi="宋体" w:eastAsia="楷体_GB2312"/>
      <w:b/>
      <w:bCs/>
      <w:kern w:val="0"/>
      <w:szCs w:val="21"/>
    </w:rPr>
  </w:style>
  <w:style w:type="paragraph" w:customStyle="1" w:styleId="300">
    <w:name w:val="xl3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kern w:val="0"/>
      <w:szCs w:val="21"/>
    </w:rPr>
  </w:style>
  <w:style w:type="paragraph" w:customStyle="1" w:styleId="301">
    <w:name w:val="xl36"/>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楷体_GB2312" w:hAnsi="宋体" w:eastAsia="楷体_GB2312"/>
      <w:kern w:val="0"/>
      <w:szCs w:val="21"/>
    </w:rPr>
  </w:style>
  <w:style w:type="paragraph" w:customStyle="1" w:styleId="302">
    <w:name w:val="pa-1"/>
    <w:basedOn w:val="1"/>
    <w:qFormat/>
    <w:uiPriority w:val="0"/>
    <w:pPr>
      <w:widowControl/>
      <w:spacing w:line="384" w:lineRule="atLeast"/>
      <w:jc w:val="left"/>
    </w:pPr>
    <w:rPr>
      <w:rFonts w:ascii="宋体" w:hAnsi="宋体" w:cs="宋体"/>
      <w:kern w:val="0"/>
      <w:sz w:val="24"/>
    </w:rPr>
  </w:style>
  <w:style w:type="paragraph" w:customStyle="1" w:styleId="303">
    <w:name w:val="xl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pPr>
    <w:rPr>
      <w:rFonts w:ascii="楷体_GB2312" w:hAnsi="宋体" w:eastAsia="楷体_GB2312"/>
      <w:b/>
      <w:bCs/>
      <w:kern w:val="0"/>
      <w:szCs w:val="21"/>
    </w:rPr>
  </w:style>
  <w:style w:type="paragraph" w:customStyle="1" w:styleId="304">
    <w:name w:val="one"/>
    <w:basedOn w:val="1"/>
    <w:qFormat/>
    <w:uiPriority w:val="0"/>
    <w:pPr>
      <w:widowControl/>
      <w:jc w:val="left"/>
    </w:pPr>
    <w:rPr>
      <w:rFonts w:ascii="宋体" w:cs="宋体"/>
      <w:kern w:val="0"/>
      <w:sz w:val="24"/>
    </w:rPr>
  </w:style>
  <w:style w:type="paragraph" w:customStyle="1" w:styleId="305">
    <w:name w:val="Char1"/>
    <w:basedOn w:val="1"/>
    <w:qFormat/>
    <w:uiPriority w:val="99"/>
    <w:pPr>
      <w:widowControl/>
      <w:spacing w:after="160" w:line="240" w:lineRule="exact"/>
      <w:jc w:val="left"/>
    </w:pPr>
    <w:rPr>
      <w:szCs w:val="21"/>
    </w:rPr>
  </w:style>
  <w:style w:type="paragraph" w:customStyle="1" w:styleId="306">
    <w:name w:val="正文1"/>
    <w:basedOn w:val="1"/>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paragraph" w:customStyle="1" w:styleId="307">
    <w:name w:val="xl56"/>
    <w:basedOn w:val="1"/>
    <w:qFormat/>
    <w:uiPriority w:val="0"/>
    <w:pPr>
      <w:widowControl/>
      <w:pBdr>
        <w:top w:val="single" w:color="0000FF" w:sz="4" w:space="0"/>
        <w:left w:val="single" w:color="0000FF" w:sz="4" w:space="0"/>
        <w:right w:val="single" w:color="0000FF" w:sz="4" w:space="0"/>
      </w:pBdr>
      <w:shd w:val="clear" w:color="auto" w:fill="FFFFFF"/>
      <w:spacing w:before="100" w:beforeAutospacing="1" w:after="100" w:afterAutospacing="1"/>
      <w:jc w:val="center"/>
    </w:pPr>
    <w:rPr>
      <w:rFonts w:ascii="宋体" w:hAnsi="宋体"/>
      <w:kern w:val="0"/>
      <w:sz w:val="24"/>
    </w:rPr>
  </w:style>
  <w:style w:type="paragraph" w:customStyle="1" w:styleId="308">
    <w:name w:val="Char Char1 Char Char Char Char Char Char"/>
    <w:basedOn w:val="1"/>
    <w:qFormat/>
    <w:uiPriority w:val="0"/>
    <w:pPr>
      <w:widowControl/>
      <w:adjustRightInd w:val="0"/>
      <w:snapToGrid w:val="0"/>
      <w:spacing w:beforeLines="25" w:line="240" w:lineRule="exact"/>
      <w:ind w:firstLine="560" w:firstLineChars="192"/>
      <w:jc w:val="left"/>
    </w:pPr>
    <w:rPr>
      <w:szCs w:val="20"/>
    </w:rPr>
  </w:style>
  <w:style w:type="paragraph" w:customStyle="1" w:styleId="309">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10">
    <w:name w:val="font11"/>
    <w:basedOn w:val="1"/>
    <w:qFormat/>
    <w:uiPriority w:val="0"/>
    <w:pPr>
      <w:widowControl/>
      <w:spacing w:before="100" w:beforeAutospacing="1" w:after="100" w:afterAutospacing="1"/>
      <w:jc w:val="left"/>
    </w:pPr>
    <w:rPr>
      <w:rFonts w:ascii="宋体" w:hAnsi="宋体"/>
      <w:kern w:val="0"/>
      <w:szCs w:val="21"/>
    </w:rPr>
  </w:style>
  <w:style w:type="paragraph" w:customStyle="1" w:styleId="311">
    <w:name w:val="_Style 37"/>
    <w:basedOn w:val="1"/>
    <w:next w:val="1"/>
    <w:qFormat/>
    <w:uiPriority w:val="0"/>
    <w:rPr>
      <w:szCs w:val="21"/>
    </w:rPr>
  </w:style>
  <w:style w:type="paragraph" w:customStyle="1" w:styleId="312">
    <w:name w:val="xl47"/>
    <w:basedOn w:val="1"/>
    <w:qFormat/>
    <w:uiPriority w:val="0"/>
    <w:pPr>
      <w:widowControl/>
      <w:pBdr>
        <w:top w:val="single" w:color="0000FF" w:sz="4" w:space="0"/>
        <w:left w:val="single" w:color="0000FF" w:sz="8" w:space="0"/>
        <w:bottom w:val="single" w:color="0000FF" w:sz="4" w:space="0"/>
        <w:right w:val="single" w:color="0000FF" w:sz="4" w:space="0"/>
      </w:pBdr>
      <w:spacing w:before="100" w:beforeAutospacing="1" w:after="100" w:afterAutospacing="1"/>
      <w:jc w:val="center"/>
    </w:pPr>
    <w:rPr>
      <w:rFonts w:ascii="宋体" w:hAnsi="宋体"/>
      <w:kern w:val="0"/>
      <w:sz w:val="24"/>
    </w:rPr>
  </w:style>
  <w:style w:type="paragraph" w:customStyle="1" w:styleId="313">
    <w:name w:val="CM24"/>
    <w:basedOn w:val="1"/>
    <w:next w:val="1"/>
    <w:qFormat/>
    <w:uiPriority w:val="0"/>
    <w:pPr>
      <w:autoSpaceDE w:val="0"/>
      <w:autoSpaceDN w:val="0"/>
      <w:adjustRightInd w:val="0"/>
      <w:spacing w:after="298"/>
      <w:jc w:val="left"/>
    </w:pPr>
    <w:rPr>
      <w:rFonts w:ascii="楷体_GB2312" w:eastAsia="楷体_GB2312" w:cs="楷体_GB2312"/>
      <w:kern w:val="0"/>
      <w:sz w:val="24"/>
    </w:rPr>
  </w:style>
  <w:style w:type="paragraph" w:customStyle="1" w:styleId="314">
    <w:name w:val="font9"/>
    <w:basedOn w:val="1"/>
    <w:qFormat/>
    <w:uiPriority w:val="0"/>
    <w:pPr>
      <w:widowControl/>
      <w:spacing w:before="100" w:beforeAutospacing="1" w:after="100" w:afterAutospacing="1"/>
      <w:jc w:val="left"/>
    </w:pPr>
    <w:rPr>
      <w:b/>
      <w:bCs/>
      <w:color w:val="000000"/>
      <w:kern w:val="0"/>
      <w:szCs w:val="21"/>
    </w:rPr>
  </w:style>
  <w:style w:type="paragraph" w:customStyle="1" w:styleId="315">
    <w:name w:val="xl55"/>
    <w:basedOn w:val="1"/>
    <w:qFormat/>
    <w:uiPriority w:val="0"/>
    <w:pPr>
      <w:widowControl/>
      <w:pBdr>
        <w:left w:val="single" w:color="0000FF" w:sz="8" w:space="0"/>
        <w:bottom w:val="single" w:color="0000FF" w:sz="4" w:space="0"/>
        <w:right w:val="single" w:color="0000FF" w:sz="4" w:space="0"/>
      </w:pBdr>
      <w:spacing w:before="100" w:beforeAutospacing="1" w:after="100" w:afterAutospacing="1"/>
      <w:jc w:val="center"/>
    </w:pPr>
    <w:rPr>
      <w:rFonts w:ascii="宋体" w:hAnsi="宋体"/>
      <w:color w:val="000000"/>
      <w:kern w:val="0"/>
      <w:szCs w:val="21"/>
    </w:rPr>
  </w:style>
  <w:style w:type="paragraph" w:customStyle="1" w:styleId="316">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317">
    <w:name w:val="_Style 20"/>
    <w:basedOn w:val="1"/>
    <w:qFormat/>
    <w:uiPriority w:val="0"/>
    <w:rPr>
      <w:rFonts w:ascii="Tahoma" w:hAnsi="Tahoma"/>
      <w:sz w:val="24"/>
      <w:szCs w:val="20"/>
    </w:rPr>
  </w:style>
  <w:style w:type="paragraph" w:customStyle="1" w:styleId="318">
    <w:name w:val="font10"/>
    <w:basedOn w:val="1"/>
    <w:qFormat/>
    <w:uiPriority w:val="0"/>
    <w:pPr>
      <w:widowControl/>
      <w:spacing w:before="100" w:beforeAutospacing="1" w:after="100" w:afterAutospacing="1"/>
      <w:jc w:val="left"/>
    </w:pPr>
    <w:rPr>
      <w:rFonts w:ascii="宋体" w:hAnsi="宋体"/>
      <w:b/>
      <w:bCs/>
      <w:color w:val="000000"/>
      <w:kern w:val="0"/>
      <w:szCs w:val="21"/>
    </w:rPr>
  </w:style>
  <w:style w:type="paragraph" w:customStyle="1" w:styleId="319">
    <w:name w:val="xl4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kern w:val="0"/>
      <w:sz w:val="24"/>
      <w:szCs w:val="20"/>
    </w:rPr>
  </w:style>
  <w:style w:type="paragraph" w:customStyle="1" w:styleId="320">
    <w:name w:val="xl48"/>
    <w:basedOn w:val="1"/>
    <w:qFormat/>
    <w:uiPriority w:val="0"/>
    <w:pPr>
      <w:widowControl/>
      <w:pBdr>
        <w:top w:val="single" w:color="0000FF" w:sz="8" w:space="0"/>
        <w:left w:val="single" w:color="0000FF" w:sz="4"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321">
    <w:name w:val="正文小标题"/>
    <w:basedOn w:val="2"/>
    <w:qFormat/>
    <w:uiPriority w:val="0"/>
    <w:pPr>
      <w:spacing w:line="420" w:lineRule="exact"/>
    </w:pPr>
    <w:rPr>
      <w:rFonts w:hAnsi="宋体"/>
      <w:sz w:val="21"/>
      <w:szCs w:val="21"/>
    </w:rPr>
  </w:style>
  <w:style w:type="paragraph" w:customStyle="1" w:styleId="322">
    <w:name w:val="xl2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b/>
      <w:bCs/>
      <w:kern w:val="0"/>
      <w:szCs w:val="21"/>
    </w:rPr>
  </w:style>
  <w:style w:type="paragraph" w:customStyle="1" w:styleId="323">
    <w:name w:val="2-2ji"/>
    <w:basedOn w:val="3"/>
    <w:qFormat/>
    <w:uiPriority w:val="99"/>
    <w:pPr>
      <w:spacing w:before="0" w:after="0" w:line="360" w:lineRule="auto"/>
      <w:jc w:val="center"/>
    </w:pPr>
    <w:rPr>
      <w:rFonts w:ascii="宋体" w:hAnsi="宋体" w:cs="宋体"/>
      <w:sz w:val="36"/>
      <w:szCs w:val="36"/>
      <w:lang w:val="zh-CN"/>
    </w:rPr>
  </w:style>
  <w:style w:type="character" w:customStyle="1" w:styleId="324">
    <w:name w:val="未处理的提及1"/>
    <w:basedOn w:val="4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7.wmf"/><Relationship Id="rId23" Type="http://schemas.openxmlformats.org/officeDocument/2006/relationships/oleObject" Target="embeddings/oleObject5.bin"/><Relationship Id="rId22" Type="http://schemas.openxmlformats.org/officeDocument/2006/relationships/image" Target="media/image6.wmf"/><Relationship Id="rId21" Type="http://schemas.openxmlformats.org/officeDocument/2006/relationships/oleObject" Target="embeddings/oleObject4.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4.wmf"/><Relationship Id="rId17" Type="http://schemas.openxmlformats.org/officeDocument/2006/relationships/oleObject" Target="embeddings/oleObject2.bin"/><Relationship Id="rId16" Type="http://schemas.openxmlformats.org/officeDocument/2006/relationships/image" Target="media/image3.wmf"/><Relationship Id="rId15" Type="http://schemas.openxmlformats.org/officeDocument/2006/relationships/oleObject" Target="embeddings/oleObject1.bin"/><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174</Pages>
  <Words>17194</Words>
  <Characters>18386</Characters>
  <Lines>916</Lines>
  <Paragraphs>257</Paragraphs>
  <TotalTime>27</TotalTime>
  <ScaleCrop>false</ScaleCrop>
  <LinksUpToDate>false</LinksUpToDate>
  <CharactersWithSpaces>18794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2020-07-13T02:59:00Z</dcterms:created>
  <dc:creator>唐冰</dc:creator>
  <cp:lastModifiedBy>用户</cp:lastModifiedBy>
  <cp:lastPrinted>2024-07-27T11:48:00Z</cp:lastPrinted>
  <dcterms:modified xsi:type="dcterms:W3CDTF">2025-04-09T09:17:03Z</dcterms:modified>
  <dc:title>竞争性谈判文件规范</dc:title>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9C6FEB17B88E448288E3603493225B7B_13</vt:lpwstr>
  </property>
  <property fmtid="{D5CDD505-2E9C-101B-9397-08002B2CF9AE}" pid="4" name="KSOTemplateDocerSaveRecord">
    <vt:lpwstr>eyJoZGlkIjoiNjYxNGMxOWE1NmJmNjE2NWUxMWZiOTdlYWFjMjI2YjIiLCJ1c2VySWQiOiIyNDA5MzM3NzAifQ==</vt:lpwstr>
  </property>
</Properties>
</file>