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sz w:val="52"/>
          <w:szCs w:val="52"/>
        </w:rPr>
      </w:pPr>
      <w:r>
        <w:rPr>
          <w:rFonts w:hint="eastAsia" w:ascii="宋体" w:hAnsi="宋体" w:cs="宋体"/>
        </w:rPr>
        <w:drawing>
          <wp:inline distT="0" distB="0" distL="114300" distR="114300">
            <wp:extent cx="1302385" cy="1319530"/>
            <wp:effectExtent l="0" t="0" r="25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1302385" cy="1319530"/>
                    </a:xfrm>
                    <a:prstGeom prst="rect">
                      <a:avLst/>
                    </a:prstGeom>
                    <a:noFill/>
                    <a:ln>
                      <a:noFill/>
                    </a:ln>
                  </pic:spPr>
                </pic:pic>
              </a:graphicData>
            </a:graphic>
          </wp:inline>
        </w:drawing>
      </w:r>
    </w:p>
    <w:p>
      <w:pPr>
        <w:spacing w:before="165" w:beforeLines="50"/>
        <w:jc w:val="center"/>
        <w:rPr>
          <w:rFonts w:ascii="宋体" w:hAnsi="宋体" w:cs="宋体"/>
          <w:sz w:val="52"/>
          <w:szCs w:val="52"/>
        </w:rPr>
      </w:pPr>
      <w:r>
        <w:rPr>
          <w:rFonts w:hint="eastAsia" w:ascii="宋体" w:hAnsi="宋体" w:cs="宋体"/>
          <w:sz w:val="52"/>
          <w:szCs w:val="52"/>
        </w:rPr>
        <w:t>政府采购公开招标文件范本</w:t>
      </w:r>
    </w:p>
    <w:p>
      <w:pPr>
        <w:spacing w:before="165" w:beforeLines="50"/>
        <w:jc w:val="center"/>
        <w:rPr>
          <w:rFonts w:ascii="宋体" w:hAnsi="宋体" w:cs="宋体"/>
          <w:sz w:val="52"/>
          <w:szCs w:val="52"/>
        </w:rPr>
      </w:pPr>
      <w:r>
        <w:rPr>
          <w:rFonts w:hint="eastAsia" w:ascii="宋体" w:hAnsi="宋体" w:cs="宋体"/>
          <w:b/>
          <w:bCs/>
          <w:sz w:val="52"/>
          <w:szCs w:val="52"/>
        </w:rPr>
        <w:t>（服务类）</w:t>
      </w:r>
    </w:p>
    <w:p>
      <w:pPr>
        <w:jc w:val="center"/>
        <w:rPr>
          <w:rFonts w:ascii="宋体" w:hAnsi="宋体" w:cs="宋体"/>
          <w:b/>
          <w:sz w:val="48"/>
          <w:szCs w:val="48"/>
        </w:rPr>
      </w:pPr>
      <w:r>
        <w:rPr>
          <w:rFonts w:hint="eastAsia" w:ascii="宋体" w:hAnsi="宋体" w:cs="宋体"/>
          <w:b/>
          <w:sz w:val="48"/>
          <w:szCs w:val="48"/>
        </w:rPr>
        <w:t xml:space="preserve"> </w:t>
      </w:r>
    </w:p>
    <w:p>
      <w:pPr>
        <w:snapToGrid w:val="0"/>
        <w:spacing w:before="165" w:beforeLines="50"/>
        <w:jc w:val="center"/>
        <w:rPr>
          <w:rFonts w:ascii="宋体" w:hAnsi="宋体" w:cs="宋体"/>
          <w:sz w:val="120"/>
          <w:szCs w:val="120"/>
        </w:rPr>
      </w:pPr>
      <w:r>
        <w:rPr>
          <w:rFonts w:hint="eastAsia" w:ascii="宋体" w:hAnsi="宋体" w:cs="宋体"/>
          <w:sz w:val="120"/>
          <w:szCs w:val="120"/>
        </w:rPr>
        <w:t>招 标 文 件</w:t>
      </w:r>
    </w:p>
    <w:p>
      <w:pPr>
        <w:snapToGrid w:val="0"/>
        <w:spacing w:before="165" w:beforeLines="50"/>
        <w:jc w:val="center"/>
        <w:rPr>
          <w:rFonts w:ascii="宋体" w:hAnsi="宋体" w:cs="宋体"/>
          <w:b/>
          <w:sz w:val="48"/>
          <w:szCs w:val="48"/>
        </w:rPr>
      </w:pPr>
      <w:r>
        <w:rPr>
          <w:rFonts w:hint="eastAsia" w:ascii="宋体" w:hAnsi="宋体" w:cs="宋体"/>
          <w:b/>
          <w:sz w:val="48"/>
          <w:szCs w:val="48"/>
        </w:rPr>
        <w:t>（全流程电子化采购）</w:t>
      </w:r>
    </w:p>
    <w:p>
      <w:pPr>
        <w:pStyle w:val="25"/>
        <w:snapToGrid w:val="0"/>
        <w:spacing w:line="360" w:lineRule="auto"/>
        <w:rPr>
          <w:rFonts w:hAnsi="宋体" w:cs="宋体"/>
          <w:b/>
          <w:bCs/>
          <w:w w:val="95"/>
          <w:sz w:val="30"/>
          <w:szCs w:val="30"/>
        </w:rPr>
      </w:pPr>
    </w:p>
    <w:p>
      <w:pPr>
        <w:pStyle w:val="25"/>
        <w:snapToGrid w:val="0"/>
        <w:spacing w:line="360" w:lineRule="auto"/>
        <w:ind w:left="3544" w:leftChars="994" w:hanging="1457" w:hangingChars="509"/>
        <w:rPr>
          <w:rFonts w:hAnsi="宋体" w:cs="宋体"/>
          <w:b/>
          <w:bCs/>
          <w:w w:val="95"/>
          <w:sz w:val="30"/>
          <w:szCs w:val="30"/>
        </w:rPr>
      </w:pPr>
      <w:r>
        <w:rPr>
          <w:rFonts w:hint="eastAsia" w:hAnsi="宋体" w:cs="宋体"/>
          <w:b/>
          <w:bCs/>
          <w:w w:val="95"/>
          <w:sz w:val="30"/>
          <w:szCs w:val="30"/>
        </w:rPr>
        <w:t>项目名称：广西壮族自治区生殖医院PGT试剂配送服务</w:t>
      </w:r>
    </w:p>
    <w:p>
      <w:pPr>
        <w:pStyle w:val="25"/>
        <w:snapToGrid w:val="0"/>
        <w:spacing w:line="360" w:lineRule="auto"/>
        <w:ind w:firstLine="1977" w:firstLineChars="691"/>
        <w:rPr>
          <w:rFonts w:hAnsi="宋体" w:cs="宋体"/>
          <w:b/>
          <w:bCs/>
          <w:w w:val="95"/>
          <w:sz w:val="30"/>
          <w:szCs w:val="30"/>
        </w:rPr>
      </w:pPr>
      <w:r>
        <w:rPr>
          <w:rFonts w:hint="eastAsia" w:hAnsi="宋体" w:cs="宋体"/>
          <w:b/>
          <w:bCs/>
          <w:w w:val="95"/>
          <w:sz w:val="30"/>
          <w:szCs w:val="30"/>
        </w:rPr>
        <w:t>项目编号：GXZC2025-G3-000595-JGJD</w:t>
      </w:r>
    </w:p>
    <w:p>
      <w:pPr>
        <w:pStyle w:val="25"/>
        <w:snapToGrid w:val="0"/>
        <w:spacing w:line="360" w:lineRule="auto"/>
        <w:ind w:firstLine="1977" w:firstLineChars="691"/>
        <w:rPr>
          <w:rFonts w:hAnsi="宋体" w:cs="宋体"/>
          <w:b/>
          <w:bCs/>
          <w:w w:val="95"/>
          <w:sz w:val="30"/>
          <w:szCs w:val="30"/>
        </w:rPr>
      </w:pPr>
      <w:r>
        <w:rPr>
          <w:rFonts w:hint="eastAsia" w:hAnsi="宋体" w:cs="宋体"/>
          <w:b/>
          <w:bCs/>
          <w:w w:val="95"/>
          <w:sz w:val="30"/>
          <w:szCs w:val="30"/>
        </w:rPr>
        <w:t>采 购 人：广西壮族自治区生殖医院</w:t>
      </w:r>
    </w:p>
    <w:p>
      <w:pPr>
        <w:pStyle w:val="25"/>
        <w:snapToGrid w:val="0"/>
        <w:spacing w:line="360" w:lineRule="auto"/>
        <w:ind w:firstLine="1977" w:firstLineChars="691"/>
        <w:rPr>
          <w:rFonts w:hAnsi="宋体" w:cs="宋体"/>
          <w:b/>
          <w:bCs/>
          <w:w w:val="95"/>
          <w:sz w:val="30"/>
          <w:szCs w:val="30"/>
        </w:rPr>
      </w:pPr>
      <w:r>
        <w:rPr>
          <w:rFonts w:hint="eastAsia" w:hAnsi="宋体" w:cs="宋体"/>
          <w:b/>
          <w:bCs/>
          <w:w w:val="95"/>
          <w:sz w:val="30"/>
          <w:szCs w:val="30"/>
        </w:rPr>
        <w:t>采购代理机构：广西建设工程机电设备招标中心有限公司</w:t>
      </w:r>
    </w:p>
    <w:p>
      <w:pPr>
        <w:pStyle w:val="25"/>
        <w:snapToGrid w:val="0"/>
        <w:spacing w:line="360" w:lineRule="auto"/>
        <w:ind w:firstLine="1125" w:firstLineChars="393"/>
        <w:rPr>
          <w:rFonts w:hAnsi="宋体" w:cs="宋体"/>
          <w:b/>
          <w:bCs/>
          <w:w w:val="95"/>
          <w:sz w:val="30"/>
          <w:szCs w:val="30"/>
        </w:rPr>
      </w:pPr>
      <w:r>
        <w:rPr>
          <w:rFonts w:hint="eastAsia" w:hAnsi="宋体" w:cs="宋体"/>
          <w:b/>
          <w:bCs/>
          <w:w w:val="95"/>
          <w:sz w:val="30"/>
          <w:szCs w:val="30"/>
        </w:rPr>
        <w:t xml:space="preserve"> </w:t>
      </w:r>
      <w:bookmarkStart w:id="167" w:name="_GoBack"/>
      <w:bookmarkEnd w:id="167"/>
    </w:p>
    <w:p>
      <w:pPr>
        <w:pStyle w:val="25"/>
        <w:snapToGrid w:val="0"/>
        <w:spacing w:line="360" w:lineRule="auto"/>
        <w:jc w:val="center"/>
        <w:rPr>
          <w:rFonts w:hAnsi="宋体" w:cs="宋体"/>
          <w:color w:val="auto"/>
          <w:szCs w:val="20"/>
        </w:rPr>
      </w:pPr>
      <w:r>
        <w:rPr>
          <w:rFonts w:hint="eastAsia" w:hAnsi="宋体" w:cs="宋体"/>
          <w:b/>
          <w:bCs/>
          <w:color w:val="auto"/>
          <w:w w:val="95"/>
          <w:sz w:val="30"/>
          <w:szCs w:val="30"/>
        </w:rPr>
        <w:t>2025年</w:t>
      </w:r>
      <w:r>
        <w:rPr>
          <w:rFonts w:hint="eastAsia" w:hAnsi="宋体" w:cs="宋体"/>
          <w:b/>
          <w:bCs/>
          <w:color w:val="auto"/>
          <w:w w:val="95"/>
          <w:sz w:val="30"/>
          <w:szCs w:val="30"/>
          <w:lang w:val="en-US" w:eastAsia="zh-CN"/>
        </w:rPr>
        <w:t>4</w:t>
      </w:r>
      <w:r>
        <w:rPr>
          <w:rFonts w:hint="eastAsia" w:hAnsi="宋体" w:cs="宋体"/>
          <w:b/>
          <w:bCs/>
          <w:color w:val="auto"/>
          <w:w w:val="95"/>
          <w:sz w:val="30"/>
          <w:szCs w:val="30"/>
        </w:rPr>
        <w:t>月</w:t>
      </w:r>
      <w:r>
        <w:rPr>
          <w:rFonts w:hint="eastAsia" w:hAnsi="宋体" w:cs="宋体"/>
          <w:b/>
          <w:bCs/>
          <w:color w:val="auto"/>
          <w:w w:val="95"/>
          <w:sz w:val="30"/>
          <w:szCs w:val="30"/>
          <w:lang w:val="en-US" w:eastAsia="zh-CN"/>
        </w:rPr>
        <w:t>28</w:t>
      </w:r>
      <w:r>
        <w:rPr>
          <w:rFonts w:hint="eastAsia" w:hAnsi="宋体" w:cs="宋体"/>
          <w:b/>
          <w:bCs/>
          <w:color w:val="auto"/>
          <w:w w:val="95"/>
          <w:sz w:val="30"/>
          <w:szCs w:val="30"/>
        </w:rPr>
        <w:t>日</w:t>
      </w:r>
    </w:p>
    <w:p>
      <w:pPr>
        <w:pStyle w:val="19"/>
        <w:kinsoku w:val="0"/>
        <w:overflowPunct w:val="0"/>
        <w:rPr>
          <w:rFonts w:ascii="宋体" w:hAnsi="宋体" w:cs="宋体"/>
          <w:sz w:val="40"/>
        </w:rPr>
      </w:pPr>
    </w:p>
    <w:p>
      <w:pPr>
        <w:pStyle w:val="25"/>
        <w:spacing w:before="120" w:after="120" w:line="360" w:lineRule="auto"/>
        <w:jc w:val="center"/>
        <w:rPr>
          <w:rFonts w:ascii="仿宋_GB2312" w:hAnsi="宋体" w:eastAsia="仿宋_GB2312" w:cs="宋体"/>
        </w:rPr>
        <w:sectPr>
          <w:pgSz w:w="11906" w:h="16838"/>
          <w:pgMar w:top="1134" w:right="1134" w:bottom="1134" w:left="1134" w:header="720" w:footer="720" w:gutter="0"/>
          <w:cols w:space="720" w:num="1"/>
          <w:docGrid w:type="lines" w:linePitch="331" w:charSpace="0"/>
        </w:sectPr>
      </w:pPr>
    </w:p>
    <w:p>
      <w:pPr>
        <w:pStyle w:val="5"/>
        <w:rPr>
          <w:rFonts w:ascii="宋体" w:hAnsi="宋体" w:eastAsia="宋体" w:cs="宋体"/>
        </w:rPr>
      </w:pPr>
    </w:p>
    <w:p>
      <w:pPr>
        <w:spacing w:line="360" w:lineRule="auto"/>
        <w:jc w:val="center"/>
        <w:rPr>
          <w:rFonts w:ascii="宋体" w:hAnsi="宋体" w:cs="宋体"/>
          <w:b/>
          <w:sz w:val="44"/>
          <w:szCs w:val="44"/>
        </w:rPr>
      </w:pPr>
      <w:r>
        <w:rPr>
          <w:rFonts w:hint="eastAsia" w:ascii="宋体" w:hAnsi="宋体" w:cs="宋体"/>
          <w:b/>
          <w:sz w:val="44"/>
          <w:szCs w:val="44"/>
        </w:rPr>
        <w:t>目  录</w:t>
      </w:r>
    </w:p>
    <w:p>
      <w:pPr>
        <w:pStyle w:val="33"/>
        <w:rPr>
          <w:rFonts w:cs="宋体"/>
          <w:b w:val="0"/>
          <w:bCs w:val="0"/>
          <w:caps w:val="0"/>
          <w:sz w:val="21"/>
          <w:szCs w:val="22"/>
        </w:rPr>
      </w:pPr>
      <w:r>
        <w:rPr>
          <w:rFonts w:hint="eastAsia" w:cs="宋体"/>
          <w:b w:val="0"/>
        </w:rPr>
        <w:fldChar w:fldCharType="begin"/>
      </w:r>
      <w:r>
        <w:rPr>
          <w:rFonts w:hint="eastAsia" w:cs="宋体"/>
          <w:b w:val="0"/>
        </w:rPr>
        <w:instrText xml:space="preserve"> TOC \o "1-2" \h \z \u </w:instrText>
      </w:r>
      <w:r>
        <w:rPr>
          <w:rFonts w:hint="eastAsia" w:cs="宋体"/>
          <w:b w:val="0"/>
        </w:rPr>
        <w:fldChar w:fldCharType="separate"/>
      </w:r>
      <w:r>
        <w:fldChar w:fldCharType="begin"/>
      </w:r>
      <w:r>
        <w:instrText xml:space="preserve"> HYPERLINK \l "_Toc74320800" </w:instrText>
      </w:r>
      <w:r>
        <w:fldChar w:fldCharType="separate"/>
      </w:r>
      <w:r>
        <w:rPr>
          <w:rStyle w:val="54"/>
          <w:rFonts w:hint="eastAsia" w:cs="宋体"/>
          <w:color w:val="auto"/>
        </w:rPr>
        <w:t>第一章  招标公告</w:t>
      </w:r>
      <w:r>
        <w:rPr>
          <w:rFonts w:hint="eastAsia" w:cs="宋体"/>
        </w:rPr>
        <w:tab/>
      </w:r>
      <w:r>
        <w:rPr>
          <w:rFonts w:hint="eastAsia" w:cs="宋体"/>
        </w:rPr>
        <w:fldChar w:fldCharType="begin"/>
      </w:r>
      <w:r>
        <w:rPr>
          <w:rFonts w:hint="eastAsia" w:cs="宋体"/>
        </w:rPr>
        <w:instrText xml:space="preserve"> PAGEREF _Toc74320800 \h </w:instrText>
      </w:r>
      <w:r>
        <w:rPr>
          <w:rFonts w:hint="eastAsia" w:cs="宋体"/>
        </w:rPr>
        <w:fldChar w:fldCharType="separate"/>
      </w:r>
      <w:r>
        <w:rPr>
          <w:rFonts w:hint="eastAsia" w:cs="宋体"/>
        </w:rPr>
        <w:t>2</w:t>
      </w:r>
      <w:r>
        <w:rPr>
          <w:rFonts w:hint="eastAsia" w:cs="宋体"/>
        </w:rPr>
        <w:fldChar w:fldCharType="end"/>
      </w:r>
      <w:r>
        <w:rPr>
          <w:rFonts w:hint="eastAsia" w:cs="宋体"/>
        </w:rPr>
        <w:fldChar w:fldCharType="end"/>
      </w:r>
    </w:p>
    <w:p>
      <w:pPr>
        <w:pStyle w:val="33"/>
        <w:ind w:firstLine="241"/>
        <w:rPr>
          <w:rFonts w:cs="宋体"/>
          <w:b w:val="0"/>
          <w:bCs w:val="0"/>
          <w:caps w:val="0"/>
          <w:sz w:val="21"/>
          <w:szCs w:val="22"/>
        </w:rPr>
      </w:pPr>
      <w:r>
        <w:fldChar w:fldCharType="begin"/>
      </w:r>
      <w:r>
        <w:instrText xml:space="preserve"> HYPERLINK \l "_Toc74320801" </w:instrText>
      </w:r>
      <w:r>
        <w:fldChar w:fldCharType="separate"/>
      </w:r>
      <w:r>
        <w:rPr>
          <w:rStyle w:val="54"/>
          <w:rFonts w:hint="eastAsia" w:cs="宋体"/>
          <w:color w:val="auto"/>
        </w:rPr>
        <w:t>第二章  采购需求</w:t>
      </w:r>
      <w:r>
        <w:rPr>
          <w:rFonts w:hint="eastAsia" w:cs="宋体"/>
        </w:rPr>
        <w:tab/>
      </w:r>
      <w:r>
        <w:rPr>
          <w:rFonts w:hint="eastAsia" w:cs="宋体"/>
        </w:rPr>
        <w:fldChar w:fldCharType="begin"/>
      </w:r>
      <w:r>
        <w:rPr>
          <w:rFonts w:hint="eastAsia" w:cs="宋体"/>
        </w:rPr>
        <w:instrText xml:space="preserve"> PAGEREF _Toc74320801 \h </w:instrText>
      </w:r>
      <w:r>
        <w:rPr>
          <w:rFonts w:hint="eastAsia" w:cs="宋体"/>
        </w:rPr>
        <w:fldChar w:fldCharType="separate"/>
      </w:r>
      <w:r>
        <w:rPr>
          <w:rFonts w:hint="eastAsia" w:cs="宋体"/>
        </w:rPr>
        <w:t>6</w:t>
      </w:r>
      <w:r>
        <w:rPr>
          <w:rFonts w:hint="eastAsia" w:cs="宋体"/>
        </w:rPr>
        <w:fldChar w:fldCharType="end"/>
      </w:r>
      <w:r>
        <w:rPr>
          <w:rFonts w:hint="eastAsia" w:cs="宋体"/>
        </w:rPr>
        <w:fldChar w:fldCharType="end"/>
      </w:r>
    </w:p>
    <w:p>
      <w:pPr>
        <w:pStyle w:val="33"/>
        <w:ind w:firstLine="241"/>
        <w:rPr>
          <w:rFonts w:cs="宋体"/>
          <w:b w:val="0"/>
          <w:bCs w:val="0"/>
          <w:caps w:val="0"/>
          <w:sz w:val="21"/>
          <w:szCs w:val="22"/>
        </w:rPr>
      </w:pPr>
      <w:r>
        <w:fldChar w:fldCharType="begin"/>
      </w:r>
      <w:r>
        <w:instrText xml:space="preserve"> HYPERLINK \l "_Toc74320802" </w:instrText>
      </w:r>
      <w:r>
        <w:fldChar w:fldCharType="separate"/>
      </w:r>
      <w:r>
        <w:rPr>
          <w:rStyle w:val="54"/>
          <w:rFonts w:hint="eastAsia" w:cs="宋体"/>
          <w:color w:val="auto"/>
        </w:rPr>
        <w:t>第三章  投标人须</w:t>
      </w:r>
      <w:bookmarkStart w:id="0" w:name="_Hlt79572745"/>
      <w:bookmarkStart w:id="1" w:name="_Hlt79572744"/>
      <w:r>
        <w:rPr>
          <w:rStyle w:val="54"/>
          <w:rFonts w:hint="eastAsia" w:cs="宋体"/>
          <w:color w:val="auto"/>
        </w:rPr>
        <w:t>知</w:t>
      </w:r>
      <w:bookmarkEnd w:id="0"/>
      <w:bookmarkEnd w:id="1"/>
      <w:r>
        <w:rPr>
          <w:rFonts w:hint="eastAsia" w:cs="宋体"/>
        </w:rPr>
        <w:tab/>
      </w:r>
      <w:r>
        <w:rPr>
          <w:rFonts w:hint="eastAsia" w:cs="宋体"/>
        </w:rPr>
        <w:fldChar w:fldCharType="begin"/>
      </w:r>
      <w:r>
        <w:rPr>
          <w:rFonts w:hint="eastAsia" w:cs="宋体"/>
        </w:rPr>
        <w:instrText xml:space="preserve"> PAGEREF _Toc74320802 \h </w:instrText>
      </w:r>
      <w:r>
        <w:rPr>
          <w:rFonts w:hint="eastAsia" w:cs="宋体"/>
        </w:rPr>
        <w:fldChar w:fldCharType="separate"/>
      </w:r>
      <w:r>
        <w:rPr>
          <w:rFonts w:hint="eastAsia" w:cs="宋体"/>
        </w:rPr>
        <w:t>17</w:t>
      </w:r>
      <w:r>
        <w:rPr>
          <w:rFonts w:hint="eastAsia" w:cs="宋体"/>
        </w:rPr>
        <w:fldChar w:fldCharType="end"/>
      </w:r>
      <w:r>
        <w:rPr>
          <w:rFonts w:hint="eastAsia" w:cs="宋体"/>
        </w:rPr>
        <w:fldChar w:fldCharType="end"/>
      </w:r>
    </w:p>
    <w:p>
      <w:pPr>
        <w:pStyle w:val="33"/>
        <w:ind w:firstLine="241"/>
        <w:rPr>
          <w:rFonts w:cs="宋体"/>
          <w:b w:val="0"/>
          <w:bCs w:val="0"/>
          <w:caps w:val="0"/>
          <w:sz w:val="21"/>
          <w:szCs w:val="22"/>
        </w:rPr>
      </w:pPr>
      <w:r>
        <w:fldChar w:fldCharType="begin"/>
      </w:r>
      <w:r>
        <w:instrText xml:space="preserve"> HYPERLINK \l "_Toc74320803" </w:instrText>
      </w:r>
      <w:r>
        <w:fldChar w:fldCharType="separate"/>
      </w:r>
      <w:r>
        <w:rPr>
          <w:rStyle w:val="54"/>
          <w:rFonts w:hint="eastAsia" w:cs="宋体"/>
          <w:color w:val="auto"/>
        </w:rPr>
        <w:t>第四章  评标方</w:t>
      </w:r>
      <w:bookmarkStart w:id="2" w:name="_Hlt82186273"/>
      <w:bookmarkStart w:id="3" w:name="_Hlt82186274"/>
      <w:r>
        <w:rPr>
          <w:rStyle w:val="54"/>
          <w:rFonts w:hint="eastAsia" w:cs="宋体"/>
          <w:color w:val="auto"/>
        </w:rPr>
        <w:t>法</w:t>
      </w:r>
      <w:bookmarkEnd w:id="2"/>
      <w:bookmarkEnd w:id="3"/>
      <w:r>
        <w:rPr>
          <w:rStyle w:val="54"/>
          <w:rFonts w:hint="eastAsia" w:cs="宋体"/>
          <w:color w:val="auto"/>
        </w:rPr>
        <w:t>及评标标准</w:t>
      </w:r>
      <w:r>
        <w:rPr>
          <w:rFonts w:hint="eastAsia" w:cs="宋体"/>
        </w:rPr>
        <w:tab/>
      </w:r>
      <w:r>
        <w:rPr>
          <w:rFonts w:hint="eastAsia" w:cs="宋体"/>
        </w:rPr>
        <w:fldChar w:fldCharType="begin"/>
      </w:r>
      <w:r>
        <w:rPr>
          <w:rFonts w:hint="eastAsia" w:cs="宋体"/>
        </w:rPr>
        <w:instrText xml:space="preserve"> PAGEREF _Toc74320803 \h </w:instrText>
      </w:r>
      <w:r>
        <w:rPr>
          <w:rFonts w:hint="eastAsia" w:cs="宋体"/>
        </w:rPr>
        <w:fldChar w:fldCharType="separate"/>
      </w:r>
      <w:r>
        <w:rPr>
          <w:rFonts w:hint="eastAsia" w:cs="宋体"/>
        </w:rPr>
        <w:t>38</w:t>
      </w:r>
      <w:r>
        <w:rPr>
          <w:rFonts w:hint="eastAsia" w:cs="宋体"/>
        </w:rPr>
        <w:fldChar w:fldCharType="end"/>
      </w:r>
      <w:r>
        <w:rPr>
          <w:rFonts w:hint="eastAsia" w:cs="宋体"/>
        </w:rPr>
        <w:fldChar w:fldCharType="end"/>
      </w:r>
    </w:p>
    <w:p>
      <w:pPr>
        <w:pStyle w:val="33"/>
        <w:ind w:firstLine="241"/>
        <w:rPr>
          <w:rFonts w:cs="宋体"/>
          <w:b w:val="0"/>
          <w:bCs w:val="0"/>
          <w:caps w:val="0"/>
          <w:sz w:val="21"/>
          <w:szCs w:val="22"/>
        </w:rPr>
      </w:pPr>
      <w:r>
        <w:fldChar w:fldCharType="begin"/>
      </w:r>
      <w:r>
        <w:instrText xml:space="preserve"> HYPERLINK \l "_Toc74320804" </w:instrText>
      </w:r>
      <w:r>
        <w:fldChar w:fldCharType="separate"/>
      </w:r>
      <w:r>
        <w:rPr>
          <w:rStyle w:val="54"/>
          <w:rFonts w:hint="eastAsia" w:cs="宋体"/>
          <w:color w:val="auto"/>
        </w:rPr>
        <w:t>第五章  拟签订的合</w:t>
      </w:r>
      <w:bookmarkStart w:id="4" w:name="_Hlt193793276"/>
      <w:bookmarkStart w:id="5" w:name="_Hlt193793277"/>
      <w:r>
        <w:rPr>
          <w:rStyle w:val="54"/>
          <w:rFonts w:hint="eastAsia" w:cs="宋体"/>
          <w:color w:val="auto"/>
        </w:rPr>
        <w:t>同</w:t>
      </w:r>
      <w:bookmarkEnd w:id="4"/>
      <w:bookmarkEnd w:id="5"/>
      <w:r>
        <w:rPr>
          <w:rStyle w:val="54"/>
          <w:rFonts w:hint="eastAsia" w:cs="宋体"/>
          <w:color w:val="auto"/>
        </w:rPr>
        <w:t>文本</w:t>
      </w:r>
      <w:r>
        <w:rPr>
          <w:rFonts w:hint="eastAsia" w:cs="宋体"/>
        </w:rPr>
        <w:tab/>
      </w:r>
      <w:r>
        <w:rPr>
          <w:rFonts w:hint="eastAsia" w:cs="宋体"/>
        </w:rPr>
        <w:fldChar w:fldCharType="begin"/>
      </w:r>
      <w:r>
        <w:rPr>
          <w:rFonts w:hint="eastAsia" w:cs="宋体"/>
        </w:rPr>
        <w:instrText xml:space="preserve"> PAGEREF _Toc74320804 \h </w:instrText>
      </w:r>
      <w:r>
        <w:rPr>
          <w:rFonts w:hint="eastAsia" w:cs="宋体"/>
        </w:rPr>
        <w:fldChar w:fldCharType="separate"/>
      </w:r>
      <w:r>
        <w:rPr>
          <w:rFonts w:hint="eastAsia" w:cs="宋体"/>
        </w:rPr>
        <w:t>46</w:t>
      </w:r>
      <w:r>
        <w:rPr>
          <w:rFonts w:hint="eastAsia" w:cs="宋体"/>
        </w:rPr>
        <w:fldChar w:fldCharType="end"/>
      </w:r>
      <w:r>
        <w:rPr>
          <w:rFonts w:hint="eastAsia" w:cs="宋体"/>
        </w:rPr>
        <w:fldChar w:fldCharType="end"/>
      </w:r>
    </w:p>
    <w:p>
      <w:pPr>
        <w:pStyle w:val="33"/>
        <w:ind w:firstLine="241"/>
        <w:rPr>
          <w:rFonts w:cs="宋体"/>
          <w:b w:val="0"/>
          <w:bCs w:val="0"/>
          <w:caps w:val="0"/>
          <w:sz w:val="21"/>
          <w:szCs w:val="22"/>
        </w:rPr>
      </w:pPr>
      <w:r>
        <w:fldChar w:fldCharType="begin"/>
      </w:r>
      <w:r>
        <w:instrText xml:space="preserve"> HYPERLINK \l "_Toc74320805" </w:instrText>
      </w:r>
      <w:r>
        <w:fldChar w:fldCharType="separate"/>
      </w:r>
      <w:r>
        <w:rPr>
          <w:rStyle w:val="54"/>
          <w:rFonts w:hint="eastAsia" w:cs="宋体"/>
          <w:color w:val="auto"/>
        </w:rPr>
        <w:t>第六章　投标文件格式</w:t>
      </w:r>
      <w:r>
        <w:rPr>
          <w:rFonts w:hint="eastAsia" w:cs="宋体"/>
        </w:rPr>
        <w:tab/>
      </w:r>
      <w:r>
        <w:rPr>
          <w:rFonts w:hint="eastAsia" w:cs="宋体"/>
        </w:rPr>
        <w:fldChar w:fldCharType="begin"/>
      </w:r>
      <w:r>
        <w:rPr>
          <w:rFonts w:hint="eastAsia" w:cs="宋体"/>
        </w:rPr>
        <w:instrText xml:space="preserve"> PAGEREF _Toc74320805 \h </w:instrText>
      </w:r>
      <w:r>
        <w:rPr>
          <w:rFonts w:hint="eastAsia" w:cs="宋体"/>
        </w:rPr>
        <w:fldChar w:fldCharType="separate"/>
      </w:r>
      <w:r>
        <w:rPr>
          <w:rFonts w:hint="eastAsia" w:cs="宋体"/>
        </w:rPr>
        <w:t>55</w:t>
      </w:r>
      <w:r>
        <w:rPr>
          <w:rFonts w:hint="eastAsia" w:cs="宋体"/>
        </w:rPr>
        <w:fldChar w:fldCharType="end"/>
      </w:r>
      <w:r>
        <w:rPr>
          <w:rFonts w:hint="eastAsia" w:cs="宋体"/>
        </w:rPr>
        <w:fldChar w:fldCharType="end"/>
      </w:r>
    </w:p>
    <w:p>
      <w:pPr>
        <w:spacing w:before="165" w:beforeLines="50" w:line="480" w:lineRule="exact"/>
        <w:rPr>
          <w:rFonts w:ascii="宋体" w:hAnsi="宋体" w:cs="宋体"/>
          <w:sz w:val="24"/>
        </w:rPr>
      </w:pPr>
      <w:r>
        <w:rPr>
          <w:rFonts w:hint="eastAsia" w:ascii="宋体" w:hAnsi="宋体" w:cs="宋体"/>
          <w:b/>
          <w:sz w:val="24"/>
        </w:rPr>
        <w:fldChar w:fldCharType="end"/>
      </w:r>
    </w:p>
    <w:p>
      <w:pPr>
        <w:spacing w:before="165" w:beforeLines="50" w:line="480" w:lineRule="exact"/>
        <w:rPr>
          <w:rFonts w:ascii="宋体" w:hAnsi="宋体" w:cs="宋体"/>
          <w:sz w:val="30"/>
        </w:rPr>
      </w:pPr>
    </w:p>
    <w:p>
      <w:pPr>
        <w:rPr>
          <w:rFonts w:ascii="宋体" w:hAnsi="宋体" w:cs="宋体"/>
        </w:rPr>
      </w:pPr>
    </w:p>
    <w:p>
      <w:pPr>
        <w:spacing w:before="165" w:beforeLines="50" w:line="480" w:lineRule="exact"/>
        <w:rPr>
          <w:rFonts w:ascii="宋体" w:hAnsi="宋体" w:cs="宋体"/>
          <w:sz w:val="30"/>
        </w:rPr>
      </w:pPr>
    </w:p>
    <w:p>
      <w:pPr>
        <w:spacing w:before="165" w:beforeLines="50" w:line="480" w:lineRule="exact"/>
        <w:jc w:val="right"/>
        <w:rPr>
          <w:rFonts w:ascii="宋体" w:hAnsi="宋体" w:cs="宋体"/>
          <w:sz w:val="30"/>
        </w:rPr>
      </w:pPr>
    </w:p>
    <w:p>
      <w:pPr>
        <w:pStyle w:val="17"/>
        <w:rPr>
          <w:rFonts w:ascii="宋体" w:hAnsi="宋体" w:cs="宋体"/>
          <w:b/>
          <w:bCs/>
        </w:rPr>
      </w:pPr>
      <w:bookmarkStart w:id="6" w:name="_Toc254970489"/>
      <w:bookmarkStart w:id="7" w:name="_Toc254970630"/>
    </w:p>
    <w:p>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rPr>
      </w:pPr>
      <w:r>
        <w:rPr>
          <w:rFonts w:hint="eastAsia" w:ascii="宋体" w:hAnsi="宋体" w:cs="宋体"/>
          <w:b w:val="0"/>
          <w:bCs w:val="0"/>
        </w:rPr>
        <w:br w:type="page"/>
      </w:r>
      <w:bookmarkStart w:id="8" w:name="_Toc74320800"/>
      <w:r>
        <w:rPr>
          <w:rFonts w:hint="eastAsia" w:ascii="宋体" w:hAnsi="宋体" w:cs="宋体"/>
        </w:rPr>
        <w:t>第一章</w:t>
      </w:r>
      <w:bookmarkEnd w:id="6"/>
      <w:bookmarkEnd w:id="7"/>
      <w:bookmarkStart w:id="9" w:name="_Toc28359001"/>
      <w:bookmarkStart w:id="10" w:name="_Toc35393789"/>
      <w:r>
        <w:rPr>
          <w:rFonts w:hint="eastAsia" w:ascii="宋体" w:hAnsi="宋体" w:cs="宋体"/>
        </w:rPr>
        <w:t xml:space="preserve"> 招标公告</w:t>
      </w:r>
      <w:bookmarkEnd w:id="8"/>
      <w:bookmarkEnd w:id="9"/>
      <w:bookmarkEnd w:id="10"/>
    </w:p>
    <w:p>
      <w:pPr>
        <w:rPr>
          <w:rFonts w:ascii="宋体" w:hAnsi="宋体" w:cs="宋体"/>
        </w:rPr>
      </w:pPr>
    </w:p>
    <w:p>
      <w:pPr>
        <w:pStyle w:val="25"/>
        <w:spacing w:line="500" w:lineRule="exact"/>
        <w:jc w:val="center"/>
        <w:rPr>
          <w:rFonts w:hAnsi="宋体" w:cs="宋体"/>
          <w:b/>
          <w:sz w:val="36"/>
          <w:szCs w:val="36"/>
        </w:rPr>
      </w:pPr>
      <w:r>
        <w:rPr>
          <w:rFonts w:hint="eastAsia" w:hAnsi="宋体" w:cs="宋体"/>
          <w:b/>
          <w:sz w:val="36"/>
          <w:szCs w:val="36"/>
        </w:rPr>
        <w:t>广西建设工程机电设备招标中心有限公司</w:t>
      </w:r>
    </w:p>
    <w:p>
      <w:pPr>
        <w:pStyle w:val="2"/>
        <w:tabs>
          <w:tab w:val="left" w:pos="0"/>
          <w:tab w:val="left" w:pos="3165"/>
          <w:tab w:val="center" w:pos="4153"/>
        </w:tabs>
        <w:autoSpaceDE w:val="0"/>
        <w:autoSpaceDN w:val="0"/>
        <w:adjustRightInd w:val="0"/>
        <w:spacing w:before="0" w:after="0" w:line="500" w:lineRule="exact"/>
        <w:jc w:val="center"/>
        <w:rPr>
          <w:rFonts w:ascii="宋体" w:hAnsi="宋体" w:cs="宋体"/>
          <w:bCs w:val="0"/>
          <w:kern w:val="2"/>
          <w:sz w:val="36"/>
          <w:szCs w:val="36"/>
        </w:rPr>
      </w:pPr>
      <w:r>
        <w:rPr>
          <w:rFonts w:hint="eastAsia" w:ascii="宋体" w:hAnsi="宋体" w:cs="宋体"/>
          <w:bCs w:val="0"/>
          <w:kern w:val="2"/>
          <w:sz w:val="36"/>
          <w:szCs w:val="36"/>
        </w:rPr>
        <w:t>广西壮族自治区生殖医院PGT试剂配送服务</w:t>
      </w:r>
    </w:p>
    <w:p>
      <w:pPr>
        <w:pStyle w:val="2"/>
        <w:tabs>
          <w:tab w:val="left" w:pos="0"/>
          <w:tab w:val="left" w:pos="3165"/>
          <w:tab w:val="center" w:pos="4153"/>
        </w:tabs>
        <w:autoSpaceDE w:val="0"/>
        <w:autoSpaceDN w:val="0"/>
        <w:adjustRightInd w:val="0"/>
        <w:spacing w:before="0" w:after="0" w:line="500" w:lineRule="exact"/>
        <w:jc w:val="center"/>
        <w:rPr>
          <w:rFonts w:ascii="宋体" w:hAnsi="宋体" w:cs="宋体"/>
          <w:bCs w:val="0"/>
          <w:kern w:val="2"/>
          <w:sz w:val="36"/>
          <w:szCs w:val="36"/>
        </w:rPr>
      </w:pPr>
      <w:r>
        <w:rPr>
          <w:rFonts w:hint="eastAsia" w:ascii="宋体" w:hAnsi="宋体" w:cs="宋体"/>
          <w:bCs w:val="0"/>
          <w:kern w:val="2"/>
          <w:sz w:val="36"/>
          <w:szCs w:val="36"/>
        </w:rPr>
        <w:t>（GXZC2025-G3-000595-JGJD）</w:t>
      </w:r>
    </w:p>
    <w:p>
      <w:pPr>
        <w:pStyle w:val="2"/>
        <w:tabs>
          <w:tab w:val="left" w:pos="0"/>
          <w:tab w:val="left" w:pos="3165"/>
          <w:tab w:val="center" w:pos="4153"/>
        </w:tabs>
        <w:autoSpaceDE w:val="0"/>
        <w:autoSpaceDN w:val="0"/>
        <w:adjustRightInd w:val="0"/>
        <w:spacing w:before="0" w:after="0" w:line="500" w:lineRule="exact"/>
        <w:jc w:val="center"/>
        <w:rPr>
          <w:rFonts w:ascii="宋体" w:hAnsi="宋体" w:cs="宋体"/>
          <w:szCs w:val="21"/>
        </w:rPr>
      </w:pPr>
      <w:r>
        <w:rPr>
          <w:rFonts w:hint="eastAsia" w:ascii="宋体" w:hAnsi="宋体" w:cs="宋体"/>
          <w:bCs w:val="0"/>
          <w:kern w:val="2"/>
          <w:sz w:val="36"/>
          <w:szCs w:val="36"/>
        </w:rPr>
        <w:t>招标公告</w:t>
      </w:r>
    </w:p>
    <w:p>
      <w:pPr>
        <w:spacing w:line="360" w:lineRule="auto"/>
        <w:rPr>
          <w:rFonts w:ascii="宋体" w:hAnsi="宋体" w:cs="宋体"/>
          <w:szCs w:val="21"/>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u w:val="single"/>
        </w:rPr>
        <w:t>广西壮族自治区生殖医院PGT试剂配送服务</w:t>
      </w:r>
      <w:r>
        <w:rPr>
          <w:rFonts w:hint="eastAsia" w:ascii="宋体" w:hAnsi="宋体" w:cs="宋体"/>
          <w:szCs w:val="21"/>
        </w:rPr>
        <w:t>的潜在投标人应在</w:t>
      </w:r>
      <w:r>
        <w:rPr>
          <w:rFonts w:hint="eastAsia" w:ascii="宋体" w:hAnsi="宋体" w:cs="宋体"/>
          <w:szCs w:val="21"/>
          <w:u w:val="single"/>
        </w:rPr>
        <w:t>“广西政府采购云平台”（https://www.gcy.zfcg.gxzf.gov.cn/）</w:t>
      </w:r>
      <w:r>
        <w:rPr>
          <w:rFonts w:hint="eastAsia" w:ascii="宋体" w:hAnsi="宋体" w:cs="宋体"/>
          <w:szCs w:val="21"/>
        </w:rPr>
        <w:t>获取（下载）招标文件，并于</w:t>
      </w:r>
      <w:r>
        <w:rPr>
          <w:rFonts w:hint="eastAsia" w:ascii="宋体" w:hAnsi="宋体" w:cs="宋体"/>
          <w:color w:val="FF0000"/>
          <w:szCs w:val="21"/>
        </w:rPr>
        <w:t>2</w:t>
      </w:r>
      <w:r>
        <w:rPr>
          <w:rFonts w:hint="eastAsia" w:ascii="宋体" w:hAnsi="宋体" w:cs="宋体"/>
          <w:bCs/>
          <w:color w:val="FF0000"/>
          <w:szCs w:val="21"/>
        </w:rPr>
        <w:t>025年</w:t>
      </w:r>
      <w:r>
        <w:rPr>
          <w:rFonts w:hint="eastAsia" w:ascii="宋体" w:hAnsi="宋体" w:cs="宋体"/>
          <w:bCs/>
          <w:color w:val="FF0000"/>
          <w:szCs w:val="21"/>
          <w:lang w:val="en-US" w:eastAsia="zh-CN"/>
        </w:rPr>
        <w:t>5</w:t>
      </w:r>
      <w:r>
        <w:rPr>
          <w:rFonts w:hint="eastAsia" w:ascii="宋体" w:hAnsi="宋体" w:cs="宋体"/>
          <w:bCs/>
          <w:color w:val="FF0000"/>
          <w:szCs w:val="21"/>
        </w:rPr>
        <w:t>月</w:t>
      </w:r>
      <w:r>
        <w:rPr>
          <w:rFonts w:hint="eastAsia" w:ascii="宋体" w:hAnsi="宋体" w:cs="宋体"/>
          <w:bCs/>
          <w:color w:val="FF0000"/>
          <w:szCs w:val="21"/>
          <w:lang w:val="en-US" w:eastAsia="zh-CN"/>
        </w:rPr>
        <w:t>19</w:t>
      </w:r>
      <w:r>
        <w:rPr>
          <w:rFonts w:hint="eastAsia" w:ascii="宋体" w:hAnsi="宋体" w:cs="宋体"/>
          <w:bCs/>
          <w:color w:val="FF0000"/>
          <w:szCs w:val="21"/>
        </w:rPr>
        <w:t>日9时30分</w:t>
      </w:r>
      <w:r>
        <w:rPr>
          <w:rFonts w:hint="eastAsia" w:ascii="宋体" w:hAnsi="宋体" w:cs="宋体"/>
          <w:bCs/>
          <w:szCs w:val="21"/>
        </w:rPr>
        <w:t>（北京时间）前递交投标文件</w:t>
      </w:r>
      <w:r>
        <w:rPr>
          <w:rFonts w:hint="eastAsia" w:ascii="宋体" w:hAnsi="宋体" w:cs="宋体"/>
          <w:szCs w:val="21"/>
        </w:rPr>
        <w:t>。</w:t>
      </w:r>
    </w:p>
    <w:p>
      <w:pPr>
        <w:spacing w:line="360" w:lineRule="auto"/>
        <w:rPr>
          <w:rFonts w:ascii="宋体" w:hAnsi="宋体" w:cs="宋体"/>
          <w:szCs w:val="21"/>
        </w:rPr>
      </w:pPr>
    </w:p>
    <w:p>
      <w:pPr>
        <w:spacing w:line="360" w:lineRule="exact"/>
        <w:rPr>
          <w:rFonts w:ascii="宋体" w:hAnsi="宋体" w:cs="宋体"/>
          <w:b/>
          <w:bCs/>
          <w:sz w:val="24"/>
        </w:rPr>
      </w:pPr>
      <w:bookmarkStart w:id="11" w:name="_Toc35393790"/>
      <w:bookmarkStart w:id="12" w:name="_Toc28359079"/>
      <w:bookmarkStart w:id="13" w:name="_Toc35393621"/>
      <w:bookmarkStart w:id="14" w:name="_Toc28359002"/>
      <w:bookmarkStart w:id="15" w:name="_Hlk24379207"/>
      <w:r>
        <w:rPr>
          <w:rFonts w:hint="eastAsia" w:ascii="宋体" w:hAnsi="宋体" w:cs="宋体"/>
          <w:b/>
          <w:bCs/>
          <w:sz w:val="24"/>
        </w:rPr>
        <w:t>一、项目基本情况</w:t>
      </w:r>
      <w:bookmarkEnd w:id="11"/>
      <w:bookmarkEnd w:id="12"/>
      <w:bookmarkEnd w:id="13"/>
      <w:bookmarkEnd w:id="14"/>
    </w:p>
    <w:p>
      <w:pPr>
        <w:spacing w:line="360" w:lineRule="exact"/>
        <w:ind w:firstLine="420" w:firstLineChars="200"/>
        <w:rPr>
          <w:rFonts w:ascii="宋体" w:hAnsi="宋体" w:cs="宋体"/>
          <w:szCs w:val="21"/>
        </w:rPr>
      </w:pPr>
      <w:r>
        <w:rPr>
          <w:rFonts w:hint="eastAsia" w:ascii="宋体" w:hAnsi="宋体" w:cs="宋体"/>
          <w:szCs w:val="21"/>
        </w:rPr>
        <w:t>项目编号：GXZC2025-G3-000595-JGJD</w:t>
      </w:r>
    </w:p>
    <w:p>
      <w:pPr>
        <w:spacing w:line="360" w:lineRule="exact"/>
        <w:ind w:firstLine="420" w:firstLineChars="200"/>
        <w:rPr>
          <w:rFonts w:ascii="宋体" w:hAnsi="宋体" w:cs="宋体"/>
          <w:szCs w:val="21"/>
        </w:rPr>
      </w:pPr>
      <w:r>
        <w:rPr>
          <w:rFonts w:hint="eastAsia" w:ascii="宋体" w:hAnsi="宋体" w:cs="宋体"/>
          <w:szCs w:val="21"/>
        </w:rPr>
        <w:t>项目名称：</w:t>
      </w:r>
      <w:r>
        <w:rPr>
          <w:rFonts w:hint="eastAsia" w:ascii="宋体" w:hAnsi="宋体" w:cs="宋体"/>
          <w:bCs/>
          <w:szCs w:val="21"/>
        </w:rPr>
        <w:t>广西壮族自治区生殖医院PGT试剂配送服务</w:t>
      </w:r>
    </w:p>
    <w:bookmarkEnd w:id="15"/>
    <w:p>
      <w:pPr>
        <w:spacing w:line="360" w:lineRule="exact"/>
        <w:ind w:firstLine="420" w:firstLineChars="200"/>
        <w:rPr>
          <w:rFonts w:ascii="宋体" w:hAnsi="宋体" w:cs="宋体"/>
          <w:szCs w:val="21"/>
        </w:rPr>
      </w:pPr>
      <w:r>
        <w:rPr>
          <w:rFonts w:hint="eastAsia" w:ascii="宋体" w:hAnsi="宋体" w:cs="宋体"/>
          <w:szCs w:val="21"/>
        </w:rPr>
        <w:t>预算总金额：</w:t>
      </w:r>
      <w:r>
        <w:rPr>
          <w:rFonts w:hint="eastAsia" w:ascii="宋体" w:hAnsi="宋体" w:cs="宋体"/>
          <w:iCs/>
          <w:szCs w:val="21"/>
        </w:rPr>
        <w:t>720.00万元；</w:t>
      </w:r>
    </w:p>
    <w:p>
      <w:pPr>
        <w:spacing w:line="360" w:lineRule="exact"/>
        <w:ind w:firstLine="420" w:firstLineChars="200"/>
        <w:rPr>
          <w:rFonts w:ascii="宋体" w:hAnsi="宋体" w:cs="宋体"/>
          <w:szCs w:val="21"/>
        </w:rPr>
      </w:pPr>
      <w:r>
        <w:rPr>
          <w:rFonts w:hint="eastAsia" w:ascii="宋体" w:hAnsi="宋体" w:cs="宋体"/>
          <w:szCs w:val="21"/>
        </w:rPr>
        <w:t>最高限价：</w:t>
      </w:r>
      <w:r>
        <w:rPr>
          <w:rFonts w:hint="eastAsia" w:ascii="宋体" w:hAnsi="宋体" w:cs="宋体"/>
          <w:iCs/>
          <w:szCs w:val="21"/>
        </w:rPr>
        <w:t>720.00万元；</w:t>
      </w:r>
    </w:p>
    <w:p>
      <w:pPr>
        <w:spacing w:line="360" w:lineRule="exact"/>
        <w:ind w:firstLine="420" w:firstLineChars="200"/>
        <w:rPr>
          <w:rFonts w:ascii="宋体" w:hAnsi="宋体" w:cs="宋体"/>
          <w:szCs w:val="21"/>
        </w:rPr>
      </w:pPr>
      <w:r>
        <w:rPr>
          <w:rFonts w:hint="eastAsia" w:ascii="宋体" w:hAnsi="宋体" w:cs="宋体"/>
          <w:szCs w:val="21"/>
        </w:rPr>
        <w:t xml:space="preserve">采购需求： </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285"/>
        <w:gridCol w:w="1160"/>
        <w:gridCol w:w="1086"/>
        <w:gridCol w:w="4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s="宋体"/>
                <w:szCs w:val="21"/>
              </w:rPr>
            </w:pPr>
            <w:r>
              <w:rPr>
                <w:rFonts w:hint="eastAsia" w:ascii="宋体" w:hAnsi="宋体" w:cs="宋体"/>
                <w:szCs w:val="21"/>
              </w:rPr>
              <w:t>序号</w:t>
            </w:r>
          </w:p>
        </w:tc>
        <w:tc>
          <w:tcPr>
            <w:tcW w:w="1285"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s="宋体"/>
                <w:szCs w:val="21"/>
              </w:rPr>
            </w:pPr>
            <w:r>
              <w:rPr>
                <w:rFonts w:hint="eastAsia" w:ascii="宋体" w:hAnsi="宋体" w:cs="宋体"/>
                <w:szCs w:val="21"/>
              </w:rPr>
              <w:t>标的的名称</w:t>
            </w:r>
          </w:p>
        </w:tc>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s="宋体"/>
                <w:szCs w:val="21"/>
              </w:rPr>
            </w:pPr>
            <w:r>
              <w:rPr>
                <w:rFonts w:hint="eastAsia" w:ascii="宋体" w:hAnsi="宋体" w:cs="宋体"/>
                <w:szCs w:val="21"/>
              </w:rPr>
              <w:t>预估数量及</w:t>
            </w:r>
          </w:p>
          <w:p>
            <w:pPr>
              <w:snapToGrid w:val="0"/>
              <w:spacing w:line="380" w:lineRule="exact"/>
              <w:jc w:val="center"/>
              <w:rPr>
                <w:rFonts w:ascii="宋体" w:hAnsi="宋体" w:cs="宋体"/>
                <w:szCs w:val="21"/>
              </w:rPr>
            </w:pPr>
            <w:r>
              <w:rPr>
                <w:rFonts w:hint="eastAsia" w:ascii="宋体" w:hAnsi="宋体" w:cs="宋体"/>
                <w:szCs w:val="21"/>
              </w:rPr>
              <w:t>单位</w:t>
            </w:r>
          </w:p>
        </w:tc>
        <w:tc>
          <w:tcPr>
            <w:tcW w:w="108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s="宋体"/>
                <w:szCs w:val="21"/>
              </w:rPr>
            </w:pPr>
            <w:r>
              <w:rPr>
                <w:rFonts w:hint="eastAsia" w:ascii="宋体" w:hAnsi="宋体" w:cs="宋体"/>
                <w:szCs w:val="21"/>
              </w:rPr>
              <w:t>单价最高限价（元/次）</w:t>
            </w:r>
          </w:p>
        </w:tc>
        <w:tc>
          <w:tcPr>
            <w:tcW w:w="4977"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宋体" w:hAnsi="宋体" w:cs="宋体"/>
                <w:szCs w:val="21"/>
              </w:rPr>
            </w:pPr>
            <w:r>
              <w:rPr>
                <w:rFonts w:hint="eastAsia" w:ascii="宋体" w:hAnsi="宋体" w:cs="宋体"/>
                <w:szCs w:val="21"/>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1</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Cs w:val="21"/>
                <w:lang w:bidi="ar"/>
              </w:rPr>
              <w:t>PGT-A试剂</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Cs w:val="21"/>
              </w:rPr>
              <w:t>2500次</w:t>
            </w:r>
          </w:p>
        </w:tc>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Cs w:val="21"/>
              </w:rPr>
              <w:t>850</w:t>
            </w:r>
          </w:p>
        </w:tc>
        <w:tc>
          <w:tcPr>
            <w:tcW w:w="4977"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s="宋体"/>
                <w:szCs w:val="21"/>
              </w:rPr>
            </w:pPr>
            <w:r>
              <w:rPr>
                <w:rFonts w:hint="eastAsia" w:ascii="宋体" w:hAnsi="宋体" w:cs="宋体"/>
                <w:szCs w:val="21"/>
              </w:rPr>
              <w:t>▲1.测序原理：联合探针锚定聚合测序法；</w:t>
            </w:r>
          </w:p>
          <w:p>
            <w:pPr>
              <w:spacing w:line="380" w:lineRule="exact"/>
              <w:jc w:val="left"/>
              <w:rPr>
                <w:rFonts w:ascii="宋体" w:hAnsi="宋体" w:cs="宋体"/>
                <w:szCs w:val="21"/>
              </w:rPr>
            </w:pPr>
            <w:r>
              <w:rPr>
                <w:rFonts w:hint="eastAsia" w:ascii="宋体" w:hAnsi="宋体" w:cs="宋体"/>
                <w:szCs w:val="21"/>
              </w:rPr>
              <w:t>▲2.产品资质：获得Ⅰ类医疗器械备案证；</w:t>
            </w:r>
          </w:p>
          <w:p>
            <w:pPr>
              <w:spacing w:line="380" w:lineRule="exact"/>
              <w:jc w:val="left"/>
              <w:rPr>
                <w:rFonts w:ascii="宋体" w:hAnsi="宋体" w:cs="宋体"/>
                <w:szCs w:val="21"/>
              </w:rPr>
            </w:pPr>
            <w:r>
              <w:rPr>
                <w:rFonts w:hint="eastAsia" w:ascii="宋体" w:hAnsi="宋体" w:cs="宋体"/>
                <w:szCs w:val="21"/>
              </w:rPr>
              <w:t>3.主要组成成分：试剂盒由测序芯片单元、测序试剂单元2个单元组成；</w:t>
            </w:r>
          </w:p>
          <w:p>
            <w:pPr>
              <w:spacing w:line="380" w:lineRule="exact"/>
              <w:jc w:val="left"/>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2</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Cs w:val="21"/>
                <w:lang w:bidi="ar"/>
              </w:rPr>
              <w:t>PGT-A+PGT-M试剂</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Cs w:val="21"/>
              </w:rPr>
              <w:t>1280次</w:t>
            </w:r>
          </w:p>
        </w:tc>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Cs w:val="21"/>
              </w:rPr>
              <w:t>2045</w:t>
            </w:r>
          </w:p>
        </w:tc>
        <w:tc>
          <w:tcPr>
            <w:tcW w:w="4977"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s="宋体"/>
                <w:kern w:val="0"/>
                <w:szCs w:val="21"/>
              </w:rPr>
            </w:pPr>
            <w:r>
              <w:rPr>
                <w:rFonts w:hint="eastAsia" w:ascii="宋体" w:hAnsi="宋体" w:cs="宋体"/>
                <w:kern w:val="0"/>
                <w:szCs w:val="21"/>
              </w:rPr>
              <w:t>一、PGT-A胚胎植入前染色体非整倍体检测项目技术参数</w:t>
            </w:r>
          </w:p>
          <w:p>
            <w:pPr>
              <w:spacing w:line="380" w:lineRule="exact"/>
              <w:jc w:val="left"/>
              <w:rPr>
                <w:rFonts w:ascii="宋体" w:hAnsi="宋体" w:cs="宋体"/>
                <w:kern w:val="0"/>
                <w:szCs w:val="21"/>
              </w:rPr>
            </w:pPr>
            <w:r>
              <w:rPr>
                <w:rFonts w:hint="eastAsia" w:ascii="宋体" w:hAnsi="宋体" w:cs="宋体"/>
                <w:kern w:val="0"/>
                <w:szCs w:val="21"/>
              </w:rPr>
              <w:t>1.扩增优化：能够提供胚胎培养液因素导致特殊样本的扩增成功率低等问题的解决方案，并于医院成熟应用，且使用试剂具有医疗器械备案证；</w:t>
            </w:r>
          </w:p>
          <w:p>
            <w:pPr>
              <w:spacing w:line="380" w:lineRule="exact"/>
              <w:jc w:val="left"/>
              <w:rPr>
                <w:rFonts w:ascii="宋体" w:hAnsi="宋体" w:cs="宋体"/>
                <w:kern w:val="0"/>
                <w:szCs w:val="21"/>
              </w:rPr>
            </w:pPr>
            <w:r>
              <w:rPr>
                <w:rFonts w:hint="eastAsia" w:ascii="宋体" w:hAnsi="宋体" w:cs="宋体"/>
                <w:kern w:val="0"/>
                <w:szCs w:val="21"/>
              </w:rPr>
              <w:t>2.检测内容：一次性对23对染色体进行检测，可检测出染色体非整倍体、4Mb以上的缺失/重复；</w:t>
            </w:r>
          </w:p>
          <w:p>
            <w:pPr>
              <w:spacing w:line="380" w:lineRule="exact"/>
              <w:jc w:val="left"/>
              <w:rPr>
                <w:rFonts w:ascii="宋体" w:hAnsi="宋体" w:cs="宋体"/>
                <w:kern w:val="0"/>
                <w:szCs w:val="21"/>
              </w:rPr>
            </w:pPr>
            <w:r>
              <w:rPr>
                <w:rFonts w:hint="eastAsia" w:ascii="宋体" w:hAnsi="宋体" w:cs="宋体"/>
                <w:kern w:val="0"/>
                <w:szCs w:val="21"/>
              </w:rPr>
              <w:t>3.嵌合检出能力：能够检出4Mb以上、大于30%以上的胚胎嵌合体异常</w:t>
            </w:r>
          </w:p>
          <w:p>
            <w:pPr>
              <w:spacing w:line="380" w:lineRule="exact"/>
              <w:jc w:val="left"/>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0"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3</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Cs w:val="21"/>
                <w:lang w:bidi="ar"/>
              </w:rPr>
              <w:t>PGT-A+PGT-M+PGT-SR试剂</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Cs w:val="21"/>
              </w:rPr>
              <w:t>1200次</w:t>
            </w:r>
          </w:p>
        </w:tc>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Cs w:val="21"/>
              </w:rPr>
              <w:t>2045</w:t>
            </w:r>
          </w:p>
        </w:tc>
        <w:tc>
          <w:tcPr>
            <w:tcW w:w="4977"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s="宋体"/>
                <w:kern w:val="0"/>
                <w:szCs w:val="21"/>
              </w:rPr>
            </w:pPr>
            <w:r>
              <w:rPr>
                <w:rFonts w:hint="eastAsia" w:ascii="宋体" w:hAnsi="宋体" w:cs="宋体"/>
                <w:kern w:val="0"/>
                <w:szCs w:val="21"/>
              </w:rPr>
              <w:t>一、PGT-A试剂盒参数</w:t>
            </w:r>
          </w:p>
          <w:p>
            <w:pPr>
              <w:spacing w:line="380" w:lineRule="exact"/>
              <w:jc w:val="left"/>
              <w:rPr>
                <w:rFonts w:ascii="宋体" w:hAnsi="宋体" w:cs="宋体"/>
                <w:kern w:val="0"/>
                <w:szCs w:val="21"/>
              </w:rPr>
            </w:pPr>
            <w:r>
              <w:rPr>
                <w:rFonts w:hint="eastAsia" w:ascii="宋体" w:hAnsi="宋体" w:cs="宋体"/>
                <w:kern w:val="0"/>
                <w:szCs w:val="21"/>
              </w:rPr>
              <w:t>1.获得国家药监局颁发的Ⅲ类医疗器械注册证；</w:t>
            </w:r>
          </w:p>
          <w:p>
            <w:pPr>
              <w:spacing w:line="380" w:lineRule="exact"/>
              <w:jc w:val="left"/>
              <w:rPr>
                <w:rFonts w:ascii="宋体" w:hAnsi="宋体" w:cs="宋体"/>
                <w:kern w:val="0"/>
                <w:szCs w:val="21"/>
              </w:rPr>
            </w:pPr>
            <w:r>
              <w:rPr>
                <w:rFonts w:hint="eastAsia" w:ascii="宋体" w:hAnsi="宋体" w:cs="宋体"/>
                <w:kern w:val="0"/>
                <w:szCs w:val="21"/>
              </w:rPr>
              <w:t xml:space="preserve">2.PGT-A试剂盒开展临床试验阳性样本有完成FISH验证；           </w:t>
            </w:r>
          </w:p>
          <w:p>
            <w:pPr>
              <w:spacing w:line="380" w:lineRule="exact"/>
              <w:jc w:val="left"/>
              <w:rPr>
                <w:rFonts w:ascii="宋体" w:hAnsi="宋体" w:cs="宋体"/>
                <w:kern w:val="0"/>
                <w:szCs w:val="21"/>
              </w:rPr>
            </w:pPr>
            <w:r>
              <w:rPr>
                <w:rFonts w:hint="eastAsia" w:ascii="宋体" w:hAnsi="宋体" w:cs="宋体"/>
                <w:kern w:val="0"/>
                <w:szCs w:val="21"/>
              </w:rPr>
              <w:t>3.具备完善的防污染、防错体系及措施，扩增和建库过程少换管，防污染能力强，需设置外参物防错体系；</w:t>
            </w:r>
          </w:p>
          <w:p>
            <w:pPr>
              <w:spacing w:line="380" w:lineRule="exact"/>
              <w:jc w:val="left"/>
              <w:rPr>
                <w:rFonts w:ascii="宋体" w:hAnsi="宋体" w:cs="宋体"/>
              </w:rPr>
            </w:pPr>
            <w:r>
              <w:rPr>
                <w:rFonts w:hint="eastAsia" w:ascii="宋体" w:hAnsi="宋体" w:cs="宋体"/>
                <w:kern w:val="0"/>
                <w:szCs w:val="21"/>
              </w:rPr>
              <w:t>……</w:t>
            </w:r>
          </w:p>
        </w:tc>
      </w:tr>
    </w:tbl>
    <w:p>
      <w:pPr>
        <w:tabs>
          <w:tab w:val="left" w:pos="3780"/>
        </w:tabs>
        <w:spacing w:line="360" w:lineRule="exact"/>
        <w:rPr>
          <w:rFonts w:ascii="宋体" w:hAnsi="宋体" w:cs="宋体"/>
          <w:bCs/>
          <w:szCs w:val="21"/>
        </w:rPr>
      </w:pPr>
      <w:r>
        <w:rPr>
          <w:rFonts w:hint="eastAsia" w:ascii="宋体" w:hAnsi="宋体" w:cs="宋体"/>
          <w:bCs/>
          <w:szCs w:val="21"/>
        </w:rPr>
        <w:tab/>
      </w:r>
    </w:p>
    <w:p>
      <w:pPr>
        <w:spacing w:line="360" w:lineRule="exact"/>
        <w:rPr>
          <w:rFonts w:ascii="宋体" w:hAnsi="宋体" w:cs="宋体"/>
          <w:szCs w:val="21"/>
        </w:rPr>
      </w:pPr>
      <w:r>
        <w:rPr>
          <w:rFonts w:hint="eastAsia" w:ascii="宋体" w:hAnsi="宋体" w:cs="宋体"/>
          <w:bCs/>
          <w:szCs w:val="21"/>
        </w:rPr>
        <w:t xml:space="preserve">    </w:t>
      </w:r>
      <w:r>
        <w:rPr>
          <w:rFonts w:hint="eastAsia" w:ascii="宋体" w:hAnsi="宋体" w:cs="宋体"/>
          <w:szCs w:val="21"/>
        </w:rPr>
        <w:t>合同履行期限：自合同签订之日起一年，以合同约定的具体时间为准。</w:t>
      </w:r>
    </w:p>
    <w:p>
      <w:pPr>
        <w:spacing w:line="360" w:lineRule="exact"/>
        <w:ind w:firstLine="420" w:firstLineChars="200"/>
        <w:rPr>
          <w:rFonts w:ascii="宋体" w:hAnsi="宋体" w:cs="宋体"/>
          <w:szCs w:val="21"/>
        </w:rPr>
      </w:pPr>
      <w:r>
        <w:rPr>
          <w:rFonts w:hint="eastAsia" w:ascii="宋体" w:hAnsi="宋体" w:cs="宋体"/>
          <w:szCs w:val="21"/>
        </w:rPr>
        <w:t>本标项（否）接受联合体投标</w:t>
      </w:r>
    </w:p>
    <w:p>
      <w:pPr>
        <w:spacing w:line="360" w:lineRule="exact"/>
        <w:rPr>
          <w:rFonts w:ascii="宋体" w:hAnsi="宋体" w:cs="宋体"/>
          <w:b/>
          <w:bCs/>
          <w:sz w:val="24"/>
        </w:rPr>
      </w:pPr>
      <w:bookmarkStart w:id="16" w:name="_Toc28359003"/>
      <w:bookmarkStart w:id="17" w:name="_Toc35393622"/>
      <w:bookmarkStart w:id="18" w:name="_Toc28359080"/>
      <w:bookmarkStart w:id="19" w:name="_Toc35393791"/>
      <w:r>
        <w:rPr>
          <w:rFonts w:hint="eastAsia" w:ascii="宋体" w:hAnsi="宋体" w:cs="宋体"/>
          <w:b/>
          <w:bCs/>
          <w:sz w:val="24"/>
        </w:rPr>
        <w:t>二、申请人的资格要求：</w:t>
      </w:r>
      <w:bookmarkEnd w:id="16"/>
      <w:bookmarkEnd w:id="17"/>
      <w:bookmarkEnd w:id="18"/>
      <w:bookmarkEnd w:id="19"/>
    </w:p>
    <w:p>
      <w:pPr>
        <w:spacing w:line="360" w:lineRule="exact"/>
        <w:ind w:firstLine="420" w:firstLineChars="200"/>
        <w:rPr>
          <w:rFonts w:ascii="宋体" w:hAnsi="宋体" w:cs="宋体"/>
          <w:szCs w:val="21"/>
        </w:rPr>
      </w:pPr>
      <w:bookmarkStart w:id="20" w:name="_Hlk51746371"/>
      <w:r>
        <w:rPr>
          <w:rFonts w:hint="eastAsia" w:ascii="宋体" w:hAnsi="宋体" w:cs="宋体"/>
          <w:szCs w:val="21"/>
        </w:rPr>
        <w:t>1、满足《中华人民共和国政府采购法》第二十二条规定；</w:t>
      </w:r>
    </w:p>
    <w:p>
      <w:pPr>
        <w:spacing w:line="360" w:lineRule="exact"/>
        <w:ind w:firstLine="420" w:firstLineChars="200"/>
        <w:rPr>
          <w:rFonts w:ascii="宋体" w:hAnsi="宋体" w:cs="宋体"/>
          <w:szCs w:val="21"/>
        </w:rPr>
      </w:pPr>
      <w:bookmarkStart w:id="21" w:name="_Toc28359081"/>
      <w:bookmarkStart w:id="22" w:name="_Toc28359004"/>
      <w:r>
        <w:rPr>
          <w:rFonts w:hint="eastAsia" w:ascii="宋体" w:hAnsi="宋体" w:cs="宋体"/>
          <w:szCs w:val="21"/>
        </w:rPr>
        <w:t>2、落实政府采购政策需满足的资格要求：</w:t>
      </w:r>
    </w:p>
    <w:p>
      <w:pPr>
        <w:spacing w:line="360" w:lineRule="exact"/>
        <w:ind w:firstLine="420" w:firstLineChars="200"/>
        <w:rPr>
          <w:rFonts w:ascii="宋体" w:hAnsi="宋体" w:cs="宋体"/>
          <w:szCs w:val="21"/>
        </w:rPr>
      </w:pPr>
      <w:r>
        <w:rPr>
          <w:rFonts w:hint="eastAsia" w:ascii="宋体" w:hAnsi="宋体" w:cs="宋体"/>
          <w:szCs w:val="21"/>
        </w:rPr>
        <w:t>□专门面向中小企业采购的项目（供应商应为中小微企业、监狱企业、残疾人福利性单位)</w:t>
      </w:r>
    </w:p>
    <w:p>
      <w:pPr>
        <w:spacing w:line="360" w:lineRule="exact"/>
        <w:ind w:firstLine="420" w:firstLineChars="200"/>
        <w:rPr>
          <w:rFonts w:ascii="宋体" w:hAnsi="宋体" w:cs="宋体"/>
          <w:b/>
          <w:bCs/>
          <w:szCs w:val="21"/>
        </w:rPr>
      </w:pPr>
      <w:r>
        <w:rPr>
          <w:rFonts w:hint="eastAsia" w:ascii="宋体" w:hAnsi="宋体" w:cs="宋体"/>
          <w:szCs w:val="21"/>
        </w:rPr>
        <w:t>☑</w:t>
      </w:r>
      <w:r>
        <w:rPr>
          <w:rFonts w:hint="eastAsia" w:ascii="宋体" w:hAnsi="宋体" w:cs="宋体"/>
          <w:b/>
          <w:bCs/>
          <w:szCs w:val="21"/>
        </w:rPr>
        <w:t>非专门面向中小企业采购的项目</w:t>
      </w:r>
    </w:p>
    <w:p>
      <w:pPr>
        <w:spacing w:line="360" w:lineRule="exact"/>
        <w:ind w:firstLine="420" w:firstLineChars="200"/>
        <w:rPr>
          <w:rFonts w:ascii="宋体" w:hAnsi="宋体" w:cs="宋体"/>
          <w:szCs w:val="21"/>
        </w:rPr>
      </w:pPr>
      <w:r>
        <w:rPr>
          <w:rFonts w:hint="eastAsia" w:ascii="宋体" w:hAnsi="宋体" w:cs="宋体"/>
          <w:szCs w:val="21"/>
        </w:rPr>
        <w:t>其他要求：无</w:t>
      </w:r>
    </w:p>
    <w:p>
      <w:pPr>
        <w:spacing w:line="360" w:lineRule="exact"/>
        <w:ind w:firstLine="420" w:firstLineChars="200"/>
        <w:rPr>
          <w:rFonts w:ascii="宋体" w:hAnsi="宋体" w:cs="宋体"/>
          <w:b/>
          <w:bCs/>
          <w:szCs w:val="21"/>
        </w:rPr>
      </w:pPr>
      <w:r>
        <w:rPr>
          <w:rFonts w:hint="eastAsia" w:ascii="宋体" w:hAnsi="宋体" w:cs="宋体"/>
          <w:szCs w:val="21"/>
        </w:rPr>
        <w:t>3、本项目的特定资格要求：</w:t>
      </w:r>
      <w:r>
        <w:rPr>
          <w:rFonts w:hint="eastAsia" w:ascii="宋体" w:hAnsi="宋体" w:cs="宋体"/>
          <w:b/>
          <w:bCs/>
          <w:szCs w:val="21"/>
        </w:rPr>
        <w:t>投标人须按《医疗器械监督管理条例》（国务院令第739号）医疗器械分类管理要求具备有效的医疗器械生产许可证或经营许可证或者经营备案凭证（按《医疗器械监督管理条例》免于经营备案和无需办理医疗器械经营许可或者备案的情形除外），且经营范围必须包含采购标的[符合《医疗器械监督管理条例》第四十一条第二款规定的除外]；或者投标人具有《医疗器械监督管理条例》第四十三条规定的注册人凭证。</w:t>
      </w:r>
    </w:p>
    <w:p>
      <w:pPr>
        <w:spacing w:line="360" w:lineRule="exact"/>
        <w:ind w:firstLine="420" w:firstLineChars="200"/>
        <w:rPr>
          <w:rFonts w:ascii="宋体" w:hAnsi="宋体" w:cs="宋体"/>
          <w:szCs w:val="21"/>
        </w:rPr>
      </w:pPr>
      <w:r>
        <w:rPr>
          <w:rFonts w:hint="eastAsia" w:ascii="宋体" w:hAnsi="宋体" w:cs="宋体"/>
          <w:szCs w:val="21"/>
        </w:rPr>
        <w:t>4.本项目的特定条件：无</w:t>
      </w:r>
    </w:p>
    <w:bookmarkEnd w:id="20"/>
    <w:p>
      <w:pPr>
        <w:spacing w:line="360" w:lineRule="exact"/>
        <w:rPr>
          <w:rFonts w:ascii="宋体" w:hAnsi="宋体" w:cs="宋体"/>
          <w:b/>
          <w:bCs/>
          <w:sz w:val="24"/>
        </w:rPr>
      </w:pPr>
      <w:bookmarkStart w:id="23" w:name="_Toc35393623"/>
      <w:bookmarkStart w:id="24" w:name="_Toc35393792"/>
      <w:r>
        <w:rPr>
          <w:rFonts w:hint="eastAsia" w:ascii="宋体" w:hAnsi="宋体" w:cs="宋体"/>
          <w:b/>
          <w:bCs/>
          <w:sz w:val="24"/>
        </w:rPr>
        <w:t>三、获取招标文件</w:t>
      </w:r>
      <w:bookmarkEnd w:id="21"/>
      <w:bookmarkEnd w:id="22"/>
      <w:bookmarkEnd w:id="23"/>
      <w:bookmarkEnd w:id="24"/>
    </w:p>
    <w:p>
      <w:pPr>
        <w:spacing w:line="360" w:lineRule="exact"/>
        <w:ind w:firstLine="420" w:firstLineChars="200"/>
        <w:rPr>
          <w:rFonts w:ascii="宋体" w:hAnsi="宋体" w:cs="宋体"/>
          <w:bCs/>
          <w:kern w:val="0"/>
          <w:szCs w:val="21"/>
        </w:rPr>
      </w:pPr>
      <w:r>
        <w:rPr>
          <w:rFonts w:hint="eastAsia" w:ascii="宋体" w:hAnsi="宋体" w:cs="宋体"/>
          <w:bCs/>
          <w:kern w:val="0"/>
          <w:szCs w:val="21"/>
        </w:rPr>
        <w:t>时间：</w:t>
      </w:r>
      <w:r>
        <w:rPr>
          <w:rFonts w:hint="eastAsia" w:ascii="宋体" w:hAnsi="宋体" w:cs="宋体"/>
          <w:color w:val="FF0000"/>
        </w:rPr>
        <w:t>2025年</w:t>
      </w:r>
      <w:r>
        <w:rPr>
          <w:rFonts w:hint="eastAsia" w:ascii="宋体" w:hAnsi="宋体" w:cs="宋体"/>
          <w:color w:val="FF0000"/>
          <w:lang w:val="en-US" w:eastAsia="zh-CN"/>
        </w:rPr>
        <w:t>4</w:t>
      </w:r>
      <w:r>
        <w:rPr>
          <w:rFonts w:hint="eastAsia" w:ascii="宋体" w:hAnsi="宋体" w:cs="宋体"/>
          <w:color w:val="FF0000"/>
        </w:rPr>
        <w:t>月</w:t>
      </w:r>
      <w:r>
        <w:rPr>
          <w:rFonts w:hint="eastAsia" w:ascii="宋体" w:hAnsi="宋体" w:cs="宋体"/>
          <w:color w:val="FF0000"/>
          <w:lang w:val="en-US" w:eastAsia="zh-CN"/>
        </w:rPr>
        <w:t>28</w:t>
      </w:r>
      <w:r>
        <w:rPr>
          <w:rFonts w:hint="eastAsia" w:ascii="宋体" w:hAnsi="宋体" w:cs="宋体"/>
          <w:color w:val="FF0000"/>
        </w:rPr>
        <w:t>日</w:t>
      </w:r>
      <w:r>
        <w:rPr>
          <w:rFonts w:hint="eastAsia" w:ascii="宋体" w:hAnsi="宋体" w:cs="宋体"/>
          <w:color w:val="FF0000"/>
          <w:szCs w:val="21"/>
        </w:rPr>
        <w:t>至</w:t>
      </w:r>
      <w:r>
        <w:rPr>
          <w:rFonts w:hint="eastAsia" w:ascii="宋体" w:hAnsi="宋体" w:cs="宋体"/>
          <w:color w:val="FF0000"/>
        </w:rPr>
        <w:t>2025年</w:t>
      </w:r>
      <w:r>
        <w:rPr>
          <w:rFonts w:hint="eastAsia" w:ascii="宋体" w:hAnsi="宋体" w:cs="宋体"/>
          <w:color w:val="FF0000"/>
          <w:lang w:val="en-US" w:eastAsia="zh-CN"/>
        </w:rPr>
        <w:t>5</w:t>
      </w:r>
      <w:r>
        <w:rPr>
          <w:rFonts w:hint="eastAsia" w:ascii="宋体" w:hAnsi="宋体" w:cs="宋体"/>
          <w:color w:val="FF0000"/>
        </w:rPr>
        <w:t>月</w:t>
      </w:r>
      <w:r>
        <w:rPr>
          <w:rFonts w:hint="eastAsia" w:ascii="宋体" w:hAnsi="宋体" w:cs="宋体"/>
          <w:color w:val="FF0000"/>
          <w:lang w:val="en-US" w:eastAsia="zh-CN"/>
        </w:rPr>
        <w:t>8</w:t>
      </w:r>
      <w:r>
        <w:rPr>
          <w:rFonts w:hint="eastAsia" w:ascii="宋体" w:hAnsi="宋体" w:cs="宋体"/>
          <w:color w:val="FF0000"/>
        </w:rPr>
        <w:t>日</w:t>
      </w:r>
      <w:r>
        <w:rPr>
          <w:rFonts w:hint="eastAsia" w:ascii="宋体" w:hAnsi="宋体" w:cs="宋体"/>
          <w:szCs w:val="21"/>
        </w:rPr>
        <w:t>，每天上午00:00-12:00；下午1</w:t>
      </w:r>
      <w:r>
        <w:rPr>
          <w:rFonts w:hint="eastAsia" w:ascii="宋体" w:hAnsi="宋体" w:cs="宋体"/>
        </w:rPr>
        <w:t>2</w:t>
      </w:r>
      <w:r>
        <w:rPr>
          <w:rFonts w:hint="eastAsia" w:ascii="宋体" w:hAnsi="宋体" w:cs="宋体"/>
          <w:szCs w:val="21"/>
        </w:rPr>
        <w:t>:</w:t>
      </w:r>
      <w:r>
        <w:rPr>
          <w:rFonts w:hint="eastAsia" w:ascii="宋体" w:hAnsi="宋体" w:cs="宋体"/>
        </w:rPr>
        <w:t>00</w:t>
      </w:r>
      <w:r>
        <w:rPr>
          <w:rFonts w:hint="eastAsia" w:ascii="宋体" w:hAnsi="宋体" w:cs="宋体"/>
          <w:szCs w:val="21"/>
        </w:rPr>
        <w:t>-23:</w:t>
      </w:r>
      <w:r>
        <w:rPr>
          <w:rFonts w:hint="eastAsia" w:ascii="宋体" w:hAnsi="宋体" w:cs="宋体"/>
        </w:rPr>
        <w:t>59</w:t>
      </w:r>
      <w:r>
        <w:rPr>
          <w:rFonts w:hint="eastAsia" w:ascii="宋体" w:hAnsi="宋体" w:cs="宋体"/>
          <w:szCs w:val="21"/>
        </w:rPr>
        <w:t>（北京时间，法定节假日除外）。</w:t>
      </w:r>
    </w:p>
    <w:p>
      <w:pPr>
        <w:spacing w:line="360" w:lineRule="exact"/>
        <w:ind w:firstLine="420" w:firstLineChars="200"/>
        <w:rPr>
          <w:rFonts w:ascii="宋体" w:hAnsi="宋体" w:cs="宋体"/>
          <w:bCs/>
          <w:kern w:val="0"/>
          <w:szCs w:val="21"/>
        </w:rPr>
      </w:pPr>
      <w:r>
        <w:rPr>
          <w:rFonts w:hint="eastAsia" w:ascii="宋体" w:hAnsi="宋体" w:cs="宋体"/>
          <w:bCs/>
          <w:kern w:val="0"/>
          <w:szCs w:val="21"/>
        </w:rPr>
        <w:t>地点：广西政府采购云平台（https://www.gcy.zfcg.gxzf.gov.cn/）</w:t>
      </w:r>
    </w:p>
    <w:p>
      <w:pPr>
        <w:spacing w:line="360" w:lineRule="exact"/>
        <w:ind w:firstLine="420" w:firstLineChars="200"/>
        <w:rPr>
          <w:rFonts w:ascii="宋体" w:hAnsi="宋体" w:cs="宋体"/>
          <w:bCs/>
          <w:kern w:val="0"/>
          <w:szCs w:val="21"/>
        </w:rPr>
      </w:pPr>
      <w:r>
        <w:rPr>
          <w:rFonts w:hint="eastAsia" w:ascii="宋体" w:hAnsi="宋体" w:cs="宋体"/>
          <w:bCs/>
          <w:kern w:val="0"/>
          <w:szCs w:val="21"/>
        </w:rPr>
        <w:t>方式：网上下载。本项目不提供纸质文件，潜在供应商需使用账号登录或者使用CA登录“广西政府采购云平台”平台（https://www.gcy.zfcg.gxzf.gov.cn/）-进入“项目采购”应用，在获取采购文件菜单中选择项目并获取招标文件（或在“广西政府采购云平台电子投标客户端-获取采购文件”跳转到广西政府采购云平台系统获取）。各供应商需下载使用新版客户端，新版客户端下载路径：广西政府采购网（访问地址http://zfcg.gxzf.gov.cn/）—办事服务—下载专区。原在政采云注册的临时供应商需在新平台启用后重新注册登记。</w:t>
      </w:r>
      <w:r>
        <w:rPr>
          <w:rFonts w:hint="eastAsia" w:ascii="宋体" w:hAnsi="宋体" w:cs="宋体"/>
          <w:szCs w:val="21"/>
        </w:rPr>
        <w:t>电子投标文件制作需要基于“</w:t>
      </w:r>
      <w:r>
        <w:rPr>
          <w:rFonts w:hint="eastAsia" w:ascii="宋体" w:hAnsi="宋体" w:cs="宋体"/>
          <w:bCs/>
          <w:kern w:val="0"/>
          <w:szCs w:val="21"/>
        </w:rPr>
        <w:t>广西政府采购云平台</w:t>
      </w:r>
      <w:r>
        <w:rPr>
          <w:rFonts w:hint="eastAsia" w:ascii="宋体" w:hAnsi="宋体" w:cs="宋体"/>
          <w:szCs w:val="21"/>
        </w:rPr>
        <w:t>”获取的招标文件编制，</w:t>
      </w:r>
      <w:r>
        <w:rPr>
          <w:rFonts w:hint="eastAsia" w:ascii="宋体" w:hAnsi="宋体" w:cs="宋体"/>
          <w:bCs/>
          <w:kern w:val="0"/>
          <w:szCs w:val="21"/>
        </w:rPr>
        <w:t>通过其他方式获取招标文件的，将有可能导致供应商无法在广西政府采购云平台编制及上传投标文件。</w:t>
      </w:r>
    </w:p>
    <w:p>
      <w:pPr>
        <w:spacing w:line="360" w:lineRule="exact"/>
        <w:ind w:firstLine="420" w:firstLineChars="200"/>
        <w:rPr>
          <w:rFonts w:ascii="宋体" w:hAnsi="宋体" w:cs="宋体"/>
          <w:szCs w:val="21"/>
        </w:rPr>
      </w:pPr>
      <w:r>
        <w:rPr>
          <w:rFonts w:hint="eastAsia" w:ascii="宋体" w:hAnsi="宋体" w:cs="宋体"/>
          <w:bCs/>
          <w:kern w:val="0"/>
          <w:szCs w:val="21"/>
        </w:rPr>
        <w:t>售价：0元。</w:t>
      </w:r>
    </w:p>
    <w:p>
      <w:pPr>
        <w:spacing w:line="360" w:lineRule="exact"/>
        <w:rPr>
          <w:rFonts w:ascii="宋体" w:hAnsi="宋体" w:cs="宋体"/>
          <w:b/>
          <w:bCs/>
          <w:sz w:val="24"/>
        </w:rPr>
      </w:pPr>
      <w:bookmarkStart w:id="25" w:name="_Toc28359082"/>
      <w:bookmarkStart w:id="26" w:name="_Toc28359005"/>
      <w:bookmarkStart w:id="27" w:name="_Toc35393793"/>
      <w:bookmarkStart w:id="28" w:name="_Toc35393624"/>
      <w:r>
        <w:rPr>
          <w:rFonts w:hint="eastAsia" w:ascii="宋体" w:hAnsi="宋体" w:cs="宋体"/>
          <w:b/>
          <w:bCs/>
          <w:sz w:val="24"/>
        </w:rPr>
        <w:t>四、提交投标文件</w:t>
      </w:r>
      <w:bookmarkEnd w:id="25"/>
      <w:bookmarkEnd w:id="26"/>
      <w:r>
        <w:rPr>
          <w:rFonts w:hint="eastAsia" w:ascii="宋体" w:hAnsi="宋体" w:cs="宋体"/>
          <w:b/>
          <w:bCs/>
          <w:sz w:val="24"/>
        </w:rPr>
        <w:t>截止时间、开标时间和地点</w:t>
      </w:r>
      <w:bookmarkEnd w:id="27"/>
      <w:bookmarkEnd w:id="28"/>
    </w:p>
    <w:p>
      <w:pPr>
        <w:spacing w:line="360" w:lineRule="exact"/>
        <w:ind w:firstLine="420" w:firstLineChars="200"/>
        <w:rPr>
          <w:rFonts w:ascii="宋体" w:hAnsi="宋体" w:cs="宋体"/>
          <w:color w:val="FF0000"/>
          <w:szCs w:val="21"/>
        </w:rPr>
      </w:pPr>
      <w:bookmarkStart w:id="29" w:name="_Toc35393794"/>
      <w:bookmarkStart w:id="30" w:name="_Toc28359007"/>
      <w:bookmarkStart w:id="31" w:name="_Toc35393625"/>
      <w:bookmarkStart w:id="32" w:name="_Toc28359084"/>
      <w:r>
        <w:rPr>
          <w:rFonts w:hint="eastAsia" w:ascii="宋体" w:hAnsi="宋体" w:cs="宋体"/>
          <w:szCs w:val="21"/>
        </w:rPr>
        <w:t>1、提交投标文件截止时间：</w:t>
      </w:r>
      <w:r>
        <w:rPr>
          <w:rFonts w:hint="eastAsia" w:ascii="宋体" w:hAnsi="宋体" w:cs="宋体"/>
          <w:color w:val="FF0000"/>
          <w:szCs w:val="21"/>
        </w:rPr>
        <w:t>2025年</w:t>
      </w:r>
      <w:r>
        <w:rPr>
          <w:rFonts w:hint="eastAsia" w:ascii="宋体" w:hAnsi="宋体" w:cs="宋体"/>
          <w:color w:val="FF0000"/>
          <w:szCs w:val="21"/>
          <w:lang w:val="en-US" w:eastAsia="zh-CN"/>
        </w:rPr>
        <w:t>5</w:t>
      </w:r>
      <w:r>
        <w:rPr>
          <w:rFonts w:hint="eastAsia" w:ascii="宋体" w:hAnsi="宋体" w:cs="宋体"/>
          <w:color w:val="FF0000"/>
          <w:szCs w:val="21"/>
        </w:rPr>
        <w:t>月</w:t>
      </w:r>
      <w:r>
        <w:rPr>
          <w:rFonts w:hint="eastAsia" w:ascii="宋体" w:hAnsi="宋体" w:cs="宋体"/>
          <w:color w:val="FF0000"/>
          <w:szCs w:val="21"/>
          <w:lang w:val="en-US" w:eastAsia="zh-CN"/>
        </w:rPr>
        <w:t>19</w:t>
      </w:r>
      <w:r>
        <w:rPr>
          <w:rFonts w:hint="eastAsia" w:ascii="宋体" w:hAnsi="宋体" w:cs="宋体"/>
          <w:color w:val="FF0000"/>
          <w:szCs w:val="21"/>
        </w:rPr>
        <w:t>日9时30分（北京时间）</w:t>
      </w:r>
    </w:p>
    <w:p>
      <w:pPr>
        <w:spacing w:line="360" w:lineRule="exact"/>
        <w:ind w:firstLine="420" w:firstLineChars="200"/>
        <w:rPr>
          <w:rFonts w:ascii="宋体" w:hAnsi="宋体" w:cs="宋体"/>
          <w:szCs w:val="21"/>
        </w:rPr>
      </w:pPr>
      <w:r>
        <w:rPr>
          <w:rFonts w:hint="eastAsia" w:ascii="宋体" w:hAnsi="宋体" w:cs="宋体"/>
          <w:szCs w:val="21"/>
        </w:rPr>
        <w:t>2、投标地点（网址）：本项目为全流程电子化政府采购项目，通过广西政府采购云平台（https://www.gcy.zfcg.gxzf.gov.cn/）实行在线电子投标。</w:t>
      </w:r>
    </w:p>
    <w:p>
      <w:pPr>
        <w:spacing w:line="360" w:lineRule="exact"/>
        <w:ind w:firstLine="420" w:firstLineChars="200"/>
        <w:rPr>
          <w:rFonts w:ascii="宋体" w:hAnsi="宋体" w:cs="宋体"/>
          <w:color w:val="FF0000"/>
          <w:szCs w:val="21"/>
        </w:rPr>
      </w:pPr>
      <w:r>
        <w:rPr>
          <w:rFonts w:hint="eastAsia" w:ascii="宋体" w:hAnsi="宋体" w:cs="宋体"/>
          <w:szCs w:val="21"/>
        </w:rPr>
        <w:t>3、开标时间：</w:t>
      </w:r>
      <w:r>
        <w:rPr>
          <w:rFonts w:hint="eastAsia" w:ascii="宋体" w:hAnsi="宋体" w:cs="宋体"/>
          <w:color w:val="FF0000"/>
          <w:szCs w:val="21"/>
        </w:rPr>
        <w:t>2025年</w:t>
      </w:r>
      <w:r>
        <w:rPr>
          <w:rFonts w:hint="eastAsia" w:ascii="宋体" w:hAnsi="宋体" w:cs="宋体"/>
          <w:color w:val="FF0000"/>
          <w:szCs w:val="21"/>
          <w:lang w:val="en-US" w:eastAsia="zh-CN"/>
        </w:rPr>
        <w:t>5</w:t>
      </w:r>
      <w:r>
        <w:rPr>
          <w:rFonts w:hint="eastAsia" w:ascii="宋体" w:hAnsi="宋体" w:cs="宋体"/>
          <w:color w:val="FF0000"/>
          <w:szCs w:val="21"/>
        </w:rPr>
        <w:t>月</w:t>
      </w:r>
      <w:r>
        <w:rPr>
          <w:rFonts w:hint="eastAsia" w:ascii="宋体" w:hAnsi="宋体" w:cs="宋体"/>
          <w:color w:val="FF0000"/>
          <w:szCs w:val="21"/>
          <w:lang w:val="en-US" w:eastAsia="zh-CN"/>
        </w:rPr>
        <w:t>19</w:t>
      </w:r>
      <w:r>
        <w:rPr>
          <w:rFonts w:hint="eastAsia" w:ascii="宋体" w:hAnsi="宋体" w:cs="宋体"/>
          <w:color w:val="FF0000"/>
          <w:szCs w:val="21"/>
        </w:rPr>
        <w:t>日9时30分</w:t>
      </w:r>
    </w:p>
    <w:p>
      <w:pPr>
        <w:spacing w:line="360" w:lineRule="exact"/>
        <w:ind w:firstLine="420" w:firstLineChars="200"/>
        <w:rPr>
          <w:rFonts w:ascii="宋体" w:hAnsi="宋体" w:cs="宋体"/>
          <w:szCs w:val="21"/>
        </w:rPr>
      </w:pPr>
      <w:r>
        <w:rPr>
          <w:rFonts w:hint="eastAsia" w:ascii="宋体" w:hAnsi="宋体" w:cs="宋体"/>
          <w:szCs w:val="21"/>
        </w:rPr>
        <w:t>4、开标地点：</w:t>
      </w:r>
      <w:r>
        <w:rPr>
          <w:rFonts w:hint="eastAsia" w:ascii="宋体" w:hAnsi="宋体" w:cs="宋体"/>
          <w:szCs w:val="21"/>
          <w:lang w:bidi="ar"/>
        </w:rPr>
        <w:t>本项目将在“广西政府采购云平台”电子开标大厅解密、开标。</w:t>
      </w:r>
    </w:p>
    <w:p>
      <w:pPr>
        <w:spacing w:line="360" w:lineRule="exact"/>
        <w:rPr>
          <w:rFonts w:ascii="宋体" w:hAnsi="宋体" w:cs="宋体"/>
          <w:b/>
          <w:bCs/>
          <w:sz w:val="24"/>
        </w:rPr>
      </w:pPr>
      <w:r>
        <w:rPr>
          <w:rFonts w:hint="eastAsia" w:ascii="宋体" w:hAnsi="宋体" w:cs="宋体"/>
          <w:b/>
          <w:bCs/>
          <w:sz w:val="24"/>
        </w:rPr>
        <w:t>五、公告期限</w:t>
      </w:r>
      <w:bookmarkEnd w:id="29"/>
      <w:bookmarkEnd w:id="30"/>
      <w:bookmarkEnd w:id="31"/>
      <w:bookmarkEnd w:id="32"/>
    </w:p>
    <w:p>
      <w:pPr>
        <w:spacing w:line="36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pacing w:line="360" w:lineRule="exact"/>
        <w:rPr>
          <w:rFonts w:ascii="宋体" w:hAnsi="宋体" w:cs="宋体"/>
          <w:b/>
          <w:bCs/>
          <w:sz w:val="24"/>
        </w:rPr>
      </w:pPr>
      <w:bookmarkStart w:id="33" w:name="_Toc35393795"/>
      <w:bookmarkStart w:id="34" w:name="_Toc35393626"/>
      <w:r>
        <w:rPr>
          <w:rFonts w:hint="eastAsia" w:ascii="宋体" w:hAnsi="宋体" w:cs="宋体"/>
          <w:b/>
          <w:bCs/>
          <w:sz w:val="24"/>
        </w:rPr>
        <w:t>六、其他补充事宜</w:t>
      </w:r>
      <w:bookmarkEnd w:id="33"/>
      <w:bookmarkEnd w:id="34"/>
    </w:p>
    <w:p>
      <w:pPr>
        <w:spacing w:line="360" w:lineRule="exact"/>
        <w:ind w:firstLine="420" w:firstLineChars="200"/>
        <w:rPr>
          <w:rFonts w:ascii="宋体" w:hAnsi="宋体" w:cs="宋体"/>
          <w:szCs w:val="21"/>
        </w:rPr>
      </w:pPr>
      <w:bookmarkStart w:id="35" w:name="_Hlk37429674"/>
      <w:r>
        <w:rPr>
          <w:rFonts w:hint="eastAsia" w:ascii="宋体" w:hAnsi="宋体" w:cs="宋体"/>
          <w:kern w:val="0"/>
          <w:szCs w:val="21"/>
        </w:rPr>
        <w:t>1、投标保证金（人民币）：</w:t>
      </w:r>
      <w:r>
        <w:rPr>
          <w:rFonts w:hint="eastAsia" w:ascii="宋体" w:hAnsi="宋体" w:cs="宋体"/>
          <w:b/>
          <w:bCs/>
          <w:szCs w:val="21"/>
        </w:rPr>
        <w:t>70000.00元</w:t>
      </w:r>
      <w:r>
        <w:rPr>
          <w:rFonts w:hint="eastAsia" w:ascii="宋体" w:hAnsi="宋体" w:cs="宋体"/>
          <w:szCs w:val="21"/>
        </w:rPr>
        <w:t>。</w:t>
      </w:r>
    </w:p>
    <w:p>
      <w:pPr>
        <w:spacing w:line="360" w:lineRule="exact"/>
        <w:ind w:firstLine="420" w:firstLineChars="200"/>
        <w:rPr>
          <w:rFonts w:ascii="宋体" w:hAnsi="宋体" w:cs="宋体"/>
          <w:kern w:val="0"/>
          <w:szCs w:val="21"/>
        </w:rPr>
      </w:pPr>
      <w:r>
        <w:rPr>
          <w:rFonts w:hint="eastAsia" w:ascii="宋体" w:hAnsi="宋体" w:cs="宋体"/>
          <w:kern w:val="0"/>
          <w:szCs w:val="2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exact"/>
        <w:ind w:firstLine="420" w:firstLineChars="200"/>
        <w:rPr>
          <w:rFonts w:ascii="宋体" w:hAnsi="宋体" w:cs="宋体"/>
          <w:kern w:val="0"/>
          <w:szCs w:val="21"/>
        </w:rPr>
      </w:pPr>
      <w:r>
        <w:rPr>
          <w:rFonts w:hint="eastAsia" w:ascii="宋体" w:hAnsi="宋体" w:cs="宋体"/>
          <w:kern w:val="0"/>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420" w:firstLineChars="200"/>
        <w:rPr>
          <w:rFonts w:ascii="宋体" w:hAnsi="宋体" w:cs="宋体"/>
          <w:kern w:val="0"/>
          <w:szCs w:val="21"/>
        </w:rPr>
      </w:pPr>
      <w:r>
        <w:rPr>
          <w:rFonts w:hint="eastAsia" w:ascii="宋体" w:hAnsi="宋体" w:cs="宋体"/>
          <w:kern w:val="0"/>
          <w:szCs w:val="21"/>
        </w:rPr>
        <w:t>4、网上查询地址：http://www.ccgp.gov.cn(中国政府采购网)，http://zfcg.gxzf.gov.cn(广西政府采购网)，http://gxggzy.gxzf.gov.cn/（广西壮族自治区公共资源交易中心）http://www.guangxibid.com.cn/（广西招标网）。</w:t>
      </w:r>
    </w:p>
    <w:p>
      <w:pPr>
        <w:spacing w:line="360" w:lineRule="exact"/>
        <w:ind w:firstLine="420" w:firstLineChars="200"/>
        <w:rPr>
          <w:rFonts w:ascii="宋体" w:hAnsi="宋体" w:cs="宋体"/>
          <w:kern w:val="0"/>
          <w:szCs w:val="21"/>
        </w:rPr>
      </w:pPr>
      <w:r>
        <w:rPr>
          <w:rFonts w:hint="eastAsia" w:ascii="宋体" w:hAnsi="宋体" w:cs="宋体"/>
          <w:kern w:val="0"/>
          <w:szCs w:val="21"/>
        </w:rPr>
        <w:t>5、本项目需要落实的政府采购政策：</w:t>
      </w:r>
    </w:p>
    <w:p>
      <w:pPr>
        <w:spacing w:line="360" w:lineRule="exact"/>
        <w:ind w:firstLine="420" w:firstLineChars="200"/>
        <w:rPr>
          <w:rFonts w:ascii="宋体" w:hAnsi="宋体" w:cs="宋体"/>
          <w:kern w:val="0"/>
          <w:szCs w:val="21"/>
        </w:rPr>
      </w:pPr>
      <w:r>
        <w:rPr>
          <w:rFonts w:hint="eastAsia" w:ascii="宋体" w:hAnsi="宋体" w:cs="宋体"/>
          <w:kern w:val="0"/>
          <w:szCs w:val="21"/>
        </w:rPr>
        <w:t>（1）政府采购促进中小企业发展。</w:t>
      </w:r>
    </w:p>
    <w:p>
      <w:pPr>
        <w:spacing w:line="360" w:lineRule="exact"/>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pPr>
        <w:spacing w:line="360" w:lineRule="exact"/>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pPr>
        <w:spacing w:line="360" w:lineRule="exact"/>
        <w:ind w:firstLine="420" w:firstLineChars="200"/>
        <w:rPr>
          <w:rFonts w:ascii="宋体" w:hAnsi="宋体" w:cs="宋体"/>
          <w:kern w:val="0"/>
          <w:szCs w:val="21"/>
        </w:rPr>
      </w:pPr>
      <w:r>
        <w:rPr>
          <w:rFonts w:hint="eastAsia" w:ascii="宋体" w:hAnsi="宋体" w:cs="宋体"/>
          <w:kern w:val="0"/>
          <w:szCs w:val="21"/>
        </w:rPr>
        <w:t>（4）政府采购促进残疾人就业政策。</w:t>
      </w:r>
    </w:p>
    <w:p>
      <w:pPr>
        <w:spacing w:line="360" w:lineRule="exact"/>
        <w:ind w:firstLine="420" w:firstLineChars="200"/>
        <w:rPr>
          <w:rFonts w:ascii="宋体" w:hAnsi="宋体" w:cs="宋体"/>
          <w:kern w:val="0"/>
          <w:szCs w:val="21"/>
        </w:rPr>
      </w:pPr>
      <w:r>
        <w:rPr>
          <w:rFonts w:hint="eastAsia" w:ascii="宋体" w:hAnsi="宋体" w:cs="宋体"/>
          <w:kern w:val="0"/>
          <w:szCs w:val="21"/>
        </w:rPr>
        <w:t>（5）政府采购支持监狱企业发展。</w:t>
      </w:r>
    </w:p>
    <w:p>
      <w:pPr>
        <w:spacing w:line="360" w:lineRule="exact"/>
        <w:ind w:firstLine="420" w:firstLineChars="200"/>
        <w:rPr>
          <w:rFonts w:ascii="宋体" w:hAnsi="宋体" w:cs="宋体"/>
          <w:kern w:val="0"/>
          <w:szCs w:val="21"/>
        </w:rPr>
      </w:pPr>
      <w:r>
        <w:rPr>
          <w:rFonts w:hint="eastAsia" w:ascii="宋体" w:hAnsi="宋体" w:cs="宋体"/>
          <w:kern w:val="0"/>
          <w:szCs w:val="21"/>
        </w:rPr>
        <w:t>（6）扶持不发达地区和少数民族地区政策</w:t>
      </w:r>
    </w:p>
    <w:p>
      <w:pPr>
        <w:widowControl/>
        <w:spacing w:line="360" w:lineRule="exact"/>
        <w:ind w:firstLine="420" w:firstLineChars="200"/>
        <w:rPr>
          <w:rFonts w:ascii="宋体" w:hAnsi="宋体" w:cs="宋体"/>
          <w:szCs w:val="21"/>
          <w:lang w:bidi="ar"/>
        </w:rPr>
      </w:pPr>
      <w:r>
        <w:rPr>
          <w:rFonts w:hint="eastAsia" w:ascii="宋体" w:hAnsi="宋体" w:cs="宋体"/>
          <w:szCs w:val="21"/>
          <w:lang w:bidi="ar"/>
        </w:rPr>
        <w:t>6、投标注意事项：</w:t>
      </w:r>
    </w:p>
    <w:bookmarkEnd w:id="35"/>
    <w:p>
      <w:pPr>
        <w:widowControl/>
        <w:spacing w:line="360" w:lineRule="exact"/>
        <w:ind w:firstLine="420" w:firstLineChars="200"/>
        <w:jc w:val="left"/>
        <w:rPr>
          <w:rFonts w:ascii="宋体" w:hAnsi="宋体" w:cs="宋体"/>
          <w:szCs w:val="21"/>
        </w:rPr>
      </w:pPr>
      <w:bookmarkStart w:id="36" w:name="_Toc28359085"/>
      <w:bookmarkStart w:id="37" w:name="_Toc35393796"/>
      <w:bookmarkStart w:id="38" w:name="_Toc35393627"/>
      <w:bookmarkStart w:id="39" w:name="_Toc28359008"/>
      <w:r>
        <w:rPr>
          <w:rFonts w:hint="eastAsia" w:ascii="宋体" w:hAnsi="宋体" w:cs="宋体"/>
          <w:szCs w:val="21"/>
        </w:rPr>
        <w:t>（1）本项目为全流程电子化采购项目，通过“广西政府采购云平台（https://www.gcy.zfcg.gxzf.gov.cn/）”实行在线电子投标，投标人需</w:t>
      </w:r>
      <w:r>
        <w:rPr>
          <w:rFonts w:hint="eastAsia" w:ascii="宋体" w:hAnsi="宋体" w:cs="宋体"/>
          <w:bCs/>
          <w:kern w:val="0"/>
          <w:szCs w:val="21"/>
        </w:rPr>
        <w:t>下载使用新版客户端，新版客户端下载路径：广西政府采购网（访问地址http://zfcg.gxzf.gov.cn/）—办事服务—下载专区</w:t>
      </w:r>
      <w:r>
        <w:rPr>
          <w:rFonts w:hint="eastAsia" w:ascii="宋体" w:hAnsi="宋体" w:cs="宋体"/>
          <w:szCs w:val="21"/>
        </w:rPr>
        <w:t>，并按照本项目招标文件和“广西政府采购云平台”的要求编制、加密后在投标截止时间前通过网络上传至 “广西政府采购云平台”，</w:t>
      </w:r>
      <w:r>
        <w:rPr>
          <w:rFonts w:hint="eastAsia" w:ascii="宋体" w:hAnsi="宋体" w:cs="宋体"/>
          <w:b/>
          <w:szCs w:val="21"/>
        </w:rPr>
        <w:t>投标人在“广西政府采购云平台”提交电子投标文件时，请填写参加远程开标活动经办人联系方式。</w:t>
      </w:r>
      <w:r>
        <w:rPr>
          <w:rFonts w:hint="eastAsia" w:ascii="宋体" w:hAnsi="宋体" w:cs="宋体"/>
          <w:szCs w:val="21"/>
        </w:rPr>
        <w:t>投标人登录“广西政府采购云平台”，依次进入“服务中心-项目采购-操作流程-电子招投标-</w:t>
      </w:r>
      <w:r>
        <w:rPr>
          <w:rFonts w:hint="eastAsia" w:ascii="宋体" w:hAnsi="宋体" w:cs="宋体"/>
        </w:rPr>
        <w:t>政府采购项目电子交易管理操作指南-供应商</w:t>
      </w:r>
      <w:r>
        <w:rPr>
          <w:rFonts w:hint="eastAsia" w:ascii="宋体" w:hAnsi="宋体" w:cs="宋体"/>
          <w:szCs w:val="21"/>
        </w:rPr>
        <w:t>”查看电子投标具体操作流程。</w:t>
      </w:r>
    </w:p>
    <w:p>
      <w:pPr>
        <w:widowControl/>
        <w:spacing w:line="360" w:lineRule="exact"/>
        <w:ind w:firstLine="420" w:firstLineChars="200"/>
        <w:jc w:val="left"/>
        <w:rPr>
          <w:rFonts w:ascii="宋体" w:hAnsi="宋体" w:cs="宋体"/>
          <w:szCs w:val="21"/>
        </w:rPr>
      </w:pPr>
      <w:r>
        <w:rPr>
          <w:rFonts w:hint="eastAsia" w:ascii="宋体" w:hAnsi="宋体" w:cs="宋体"/>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hint="eastAsia" w:ascii="宋体" w:hAnsi="宋体" w:cs="宋体"/>
          <w:kern w:val="0"/>
          <w:szCs w:val="21"/>
        </w:rPr>
        <w:t>“</w:t>
      </w:r>
      <w:r>
        <w:rPr>
          <w:rFonts w:hint="eastAsia" w:ascii="宋体" w:hAnsi="宋体" w:cs="宋体"/>
          <w:szCs w:val="21"/>
        </w:rPr>
        <w:t>广西政府采购云平台</w:t>
      </w:r>
      <w:r>
        <w:rPr>
          <w:rFonts w:hint="eastAsia" w:ascii="宋体" w:hAnsi="宋体" w:cs="宋体"/>
          <w:kern w:val="0"/>
          <w:szCs w:val="21"/>
        </w:rPr>
        <w:t>”，</w:t>
      </w:r>
      <w:r>
        <w:rPr>
          <w:rFonts w:hint="eastAsia" w:ascii="宋体" w:hAnsi="宋体" w:cs="宋体"/>
          <w:szCs w:val="21"/>
        </w:rPr>
        <w:t>依次进入“服务中心-入驻与配置”中查看CA数字证书办理操作流程。</w:t>
      </w:r>
      <w:r>
        <w:rPr>
          <w:rFonts w:hint="eastAsia" w:ascii="宋体" w:hAnsi="宋体" w:cs="宋体"/>
          <w:bCs/>
          <w:kern w:val="0"/>
          <w:szCs w:val="21"/>
        </w:rPr>
        <w:t>如在操作过程中遇到问题或者需要技术支持，请致电</w:t>
      </w:r>
      <w:r>
        <w:rPr>
          <w:rFonts w:hint="eastAsia" w:ascii="宋体" w:hAnsi="宋体" w:cs="宋体"/>
          <w:szCs w:val="21"/>
        </w:rPr>
        <w:t>广西政府采购云平台</w:t>
      </w:r>
      <w:r>
        <w:rPr>
          <w:rFonts w:hint="eastAsia" w:ascii="宋体" w:hAnsi="宋体" w:cs="宋体"/>
          <w:bCs/>
          <w:kern w:val="0"/>
          <w:szCs w:val="21"/>
        </w:rPr>
        <w:t>客服热线：95763</w:t>
      </w:r>
      <w:r>
        <w:rPr>
          <w:rFonts w:hint="eastAsia" w:ascii="宋体" w:hAnsi="宋体" w:cs="宋体"/>
          <w:szCs w:val="21"/>
        </w:rPr>
        <w:t>）。</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（3）CA证书在线解密：投标人投标时，需凭制作投标文件时用来加密的有效数字证书（CA认证）登录“</w:t>
      </w:r>
      <w:r>
        <w:rPr>
          <w:rFonts w:hint="eastAsia" w:ascii="宋体" w:hAnsi="宋体" w:cs="宋体"/>
          <w:szCs w:val="21"/>
        </w:rPr>
        <w:t>广西政府采购云平台</w:t>
      </w:r>
      <w:r>
        <w:rPr>
          <w:rFonts w:hint="eastAsia" w:ascii="宋体" w:hAnsi="宋体" w:cs="宋体"/>
          <w:kern w:val="0"/>
          <w:szCs w:val="21"/>
        </w:rPr>
        <w:t>”电子开标大厅现场按规定时间对加密的投标文件进行解密，否则后果自负。</w:t>
      </w:r>
    </w:p>
    <w:p>
      <w:pPr>
        <w:widowControl/>
        <w:spacing w:line="360" w:lineRule="exact"/>
        <w:ind w:firstLine="420" w:firstLineChars="200"/>
        <w:jc w:val="left"/>
        <w:rPr>
          <w:rFonts w:ascii="宋体" w:hAnsi="宋体" w:cs="宋体"/>
          <w:szCs w:val="21"/>
        </w:rPr>
      </w:pPr>
      <w:r>
        <w:rPr>
          <w:rFonts w:hint="eastAsia" w:ascii="宋体" w:hAnsi="宋体" w:cs="宋体"/>
          <w:szCs w:val="21"/>
        </w:rPr>
        <w:t>注：1）为确保网上操作合法、有效和安全，请投标人确保在电子投标过程中能够对相关数据电文进行加密和使用电子签章，妥善保管CA数字证书并使用有效的CA数字证书参与整个招标活动。</w:t>
      </w:r>
    </w:p>
    <w:p>
      <w:pPr>
        <w:widowControl/>
        <w:spacing w:line="360" w:lineRule="exact"/>
        <w:ind w:firstLine="420" w:firstLineChars="200"/>
        <w:jc w:val="left"/>
        <w:rPr>
          <w:rFonts w:ascii="宋体" w:hAnsi="宋体" w:cs="宋体"/>
          <w:bCs/>
          <w:szCs w:val="21"/>
        </w:rPr>
      </w:pPr>
      <w:r>
        <w:rPr>
          <w:rFonts w:hint="eastAsia" w:ascii="宋体" w:hAnsi="宋体" w:cs="宋体"/>
          <w:szCs w:val="21"/>
        </w:rPr>
        <w:t>2）</w:t>
      </w:r>
      <w:r>
        <w:rPr>
          <w:rFonts w:hint="eastAsia" w:ascii="宋体" w:hAnsi="宋体" w:cs="宋体"/>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s="宋体"/>
          <w:szCs w:val="21"/>
        </w:rPr>
        <w:t>广西政府采购云平台</w:t>
      </w:r>
      <w:r>
        <w:rPr>
          <w:rFonts w:hint="eastAsia" w:ascii="宋体" w:hAnsi="宋体" w:cs="宋体"/>
          <w:bCs/>
          <w:szCs w:val="21"/>
        </w:rPr>
        <w:t>”将予以拒收。</w:t>
      </w:r>
    </w:p>
    <w:p>
      <w:pPr>
        <w:spacing w:line="360" w:lineRule="exact"/>
        <w:rPr>
          <w:rFonts w:ascii="宋体" w:hAnsi="宋体" w:cs="宋体"/>
          <w:b/>
          <w:bCs/>
          <w:sz w:val="24"/>
        </w:rPr>
      </w:pPr>
      <w:r>
        <w:rPr>
          <w:rFonts w:hint="eastAsia" w:ascii="宋体" w:hAnsi="宋体" w:cs="宋体"/>
          <w:b/>
          <w:bCs/>
          <w:sz w:val="24"/>
        </w:rPr>
        <w:t>七、对本次招标提出询问，请按以下方式联系。</w:t>
      </w:r>
      <w:bookmarkEnd w:id="36"/>
      <w:bookmarkEnd w:id="37"/>
      <w:bookmarkEnd w:id="38"/>
      <w:bookmarkEnd w:id="39"/>
    </w:p>
    <w:p>
      <w:pPr>
        <w:spacing w:line="360" w:lineRule="exact"/>
        <w:ind w:firstLine="567" w:firstLineChars="270"/>
        <w:rPr>
          <w:rFonts w:ascii="宋体" w:hAnsi="宋体" w:cs="宋体"/>
          <w:szCs w:val="21"/>
        </w:rPr>
      </w:pPr>
      <w:bookmarkStart w:id="40" w:name="_Toc28359010"/>
      <w:bookmarkStart w:id="41" w:name="_Toc28359087"/>
      <w:r>
        <w:rPr>
          <w:rFonts w:hint="eastAsia" w:ascii="宋体" w:hAnsi="宋体" w:cs="宋体"/>
          <w:szCs w:val="21"/>
        </w:rPr>
        <w:t>1.采购人信息</w:t>
      </w:r>
    </w:p>
    <w:p>
      <w:pPr>
        <w:spacing w:line="360" w:lineRule="exact"/>
        <w:ind w:firstLine="567" w:firstLineChars="270"/>
        <w:rPr>
          <w:rFonts w:ascii="宋体" w:hAnsi="宋体" w:cs="宋体"/>
          <w:szCs w:val="21"/>
        </w:rPr>
      </w:pPr>
      <w:r>
        <w:rPr>
          <w:rFonts w:hint="eastAsia" w:ascii="宋体" w:hAnsi="宋体" w:cs="宋体"/>
          <w:szCs w:val="21"/>
        </w:rPr>
        <w:t>名称：广西壮族自治区生殖医院</w:t>
      </w:r>
    </w:p>
    <w:p>
      <w:pPr>
        <w:spacing w:line="360" w:lineRule="exact"/>
        <w:ind w:firstLine="567" w:firstLineChars="270"/>
        <w:rPr>
          <w:rFonts w:ascii="宋体" w:hAnsi="宋体" w:cs="宋体"/>
          <w:szCs w:val="21"/>
        </w:rPr>
      </w:pPr>
      <w:r>
        <w:rPr>
          <w:rFonts w:hint="eastAsia" w:ascii="宋体" w:hAnsi="宋体" w:cs="宋体"/>
          <w:szCs w:val="21"/>
        </w:rPr>
        <w:t>地址：南宁市青秀区龙源路3号</w:t>
      </w:r>
    </w:p>
    <w:p>
      <w:pPr>
        <w:spacing w:line="360" w:lineRule="exact"/>
        <w:ind w:firstLine="567" w:firstLineChars="270"/>
        <w:rPr>
          <w:rFonts w:ascii="宋体" w:hAnsi="宋体" w:cs="宋体"/>
          <w:szCs w:val="21"/>
        </w:rPr>
      </w:pPr>
      <w:r>
        <w:rPr>
          <w:rFonts w:hint="eastAsia" w:ascii="宋体" w:hAnsi="宋体" w:cs="宋体"/>
          <w:szCs w:val="21"/>
        </w:rPr>
        <w:t xml:space="preserve">项目联系人：覃老师  </w:t>
      </w:r>
    </w:p>
    <w:p>
      <w:pPr>
        <w:spacing w:line="360" w:lineRule="exact"/>
        <w:ind w:firstLine="567" w:firstLineChars="270"/>
        <w:rPr>
          <w:rFonts w:ascii="宋体" w:hAnsi="宋体" w:cs="宋体"/>
          <w:szCs w:val="21"/>
        </w:rPr>
      </w:pPr>
      <w:r>
        <w:rPr>
          <w:rFonts w:hint="eastAsia" w:ascii="宋体" w:hAnsi="宋体" w:cs="宋体"/>
          <w:szCs w:val="21"/>
        </w:rPr>
        <w:t>项目联系方式：0771-2239975</w:t>
      </w:r>
    </w:p>
    <w:p>
      <w:pPr>
        <w:spacing w:line="360" w:lineRule="exact"/>
        <w:ind w:firstLine="567" w:firstLineChars="270"/>
        <w:rPr>
          <w:rFonts w:ascii="宋体" w:hAnsi="宋体" w:cs="宋体"/>
          <w:szCs w:val="21"/>
        </w:rPr>
      </w:pPr>
      <w:r>
        <w:rPr>
          <w:rFonts w:hint="eastAsia" w:ascii="宋体" w:hAnsi="宋体" w:cs="宋体"/>
          <w:szCs w:val="21"/>
        </w:rPr>
        <w:t>2.采购代理机构信息</w:t>
      </w:r>
    </w:p>
    <w:p>
      <w:pPr>
        <w:spacing w:line="360" w:lineRule="exact"/>
        <w:ind w:firstLine="567" w:firstLineChars="270"/>
        <w:rPr>
          <w:rFonts w:ascii="宋体" w:hAnsi="宋体" w:cs="宋体"/>
          <w:szCs w:val="21"/>
        </w:rPr>
      </w:pPr>
      <w:r>
        <w:rPr>
          <w:rFonts w:hint="eastAsia" w:ascii="宋体" w:hAnsi="宋体" w:cs="宋体"/>
          <w:szCs w:val="21"/>
        </w:rPr>
        <w:t>名称：广西建设工程机电设备招标中心有限公司</w:t>
      </w:r>
    </w:p>
    <w:p>
      <w:pPr>
        <w:spacing w:line="360" w:lineRule="exact"/>
        <w:ind w:firstLine="567" w:firstLineChars="270"/>
        <w:rPr>
          <w:rFonts w:ascii="宋体" w:hAnsi="宋体" w:cs="宋体"/>
          <w:szCs w:val="21"/>
        </w:rPr>
      </w:pPr>
      <w:r>
        <w:rPr>
          <w:rFonts w:hint="eastAsia" w:ascii="宋体" w:hAnsi="宋体" w:cs="宋体"/>
          <w:szCs w:val="21"/>
        </w:rPr>
        <w:t>地址：南宁市青秀区枫林路18号宏桂大厦裙楼三层办公室</w:t>
      </w:r>
    </w:p>
    <w:p>
      <w:pPr>
        <w:spacing w:line="360" w:lineRule="exact"/>
        <w:ind w:firstLine="567" w:firstLineChars="270"/>
        <w:rPr>
          <w:rFonts w:ascii="宋体" w:hAnsi="宋体" w:cs="宋体"/>
          <w:szCs w:val="21"/>
        </w:rPr>
      </w:pPr>
      <w:r>
        <w:rPr>
          <w:rFonts w:hint="eastAsia" w:ascii="宋体" w:hAnsi="宋体" w:cs="宋体"/>
          <w:szCs w:val="21"/>
        </w:rPr>
        <w:t>项目联系人：陈有弟、韦吉、庞雄庆</w:t>
      </w:r>
    </w:p>
    <w:p>
      <w:pPr>
        <w:spacing w:line="360" w:lineRule="exact"/>
        <w:ind w:firstLine="567" w:firstLineChars="270"/>
        <w:rPr>
          <w:rFonts w:ascii="宋体" w:hAnsi="宋体" w:cs="宋体"/>
          <w:szCs w:val="21"/>
        </w:rPr>
      </w:pPr>
      <w:r>
        <w:rPr>
          <w:rFonts w:hint="eastAsia" w:ascii="宋体" w:hAnsi="宋体" w:cs="宋体"/>
          <w:szCs w:val="21"/>
        </w:rPr>
        <w:t>项目联系方式：0771-2869912</w:t>
      </w:r>
    </w:p>
    <w:bookmarkEnd w:id="40"/>
    <w:bookmarkEnd w:id="41"/>
    <w:p>
      <w:pPr>
        <w:spacing w:line="380" w:lineRule="exact"/>
        <w:ind w:firstLine="6195" w:firstLineChars="2950"/>
        <w:rPr>
          <w:rFonts w:ascii="宋体" w:hAnsi="宋体" w:cs="宋体"/>
          <w:szCs w:val="21"/>
        </w:rPr>
      </w:pPr>
    </w:p>
    <w:p>
      <w:pPr>
        <w:spacing w:line="380" w:lineRule="exact"/>
        <w:ind w:firstLine="5460" w:firstLineChars="2600"/>
        <w:rPr>
          <w:rFonts w:ascii="宋体" w:hAnsi="宋体" w:cs="宋体"/>
          <w:szCs w:val="21"/>
        </w:rPr>
      </w:pPr>
      <w:r>
        <w:rPr>
          <w:rFonts w:hint="eastAsia" w:ascii="宋体" w:hAnsi="宋体" w:cs="宋体"/>
          <w:szCs w:val="21"/>
        </w:rPr>
        <w:t>广西建设工程机电设备招标中心有限公司</w:t>
      </w:r>
    </w:p>
    <w:p>
      <w:pPr>
        <w:snapToGrid w:val="0"/>
        <w:spacing w:line="380" w:lineRule="exact"/>
        <w:ind w:left="238"/>
        <w:rPr>
          <w:rFonts w:ascii="宋体" w:hAnsi="宋体" w:cs="宋体"/>
        </w:rPr>
      </w:pPr>
      <w:r>
        <w:rPr>
          <w:rFonts w:hint="eastAsia" w:ascii="宋体" w:hAnsi="宋体" w:cs="宋体"/>
        </w:rPr>
        <w:t xml:space="preserve">                                                              </w:t>
      </w:r>
      <w:r>
        <w:rPr>
          <w:rFonts w:hint="eastAsia" w:ascii="宋体" w:hAnsi="宋体" w:cs="宋体"/>
          <w:color w:val="FF0000"/>
        </w:rPr>
        <w:t>2025年</w:t>
      </w:r>
      <w:r>
        <w:rPr>
          <w:rFonts w:hint="eastAsia" w:ascii="宋体" w:hAnsi="宋体" w:cs="宋体"/>
          <w:color w:val="FF0000"/>
          <w:lang w:val="en-US" w:eastAsia="zh-CN"/>
        </w:rPr>
        <w:t>4</w:t>
      </w:r>
      <w:r>
        <w:rPr>
          <w:rFonts w:hint="eastAsia" w:ascii="宋体" w:hAnsi="宋体" w:cs="宋体"/>
          <w:color w:val="FF0000"/>
        </w:rPr>
        <w:t>月</w:t>
      </w:r>
      <w:r>
        <w:rPr>
          <w:rFonts w:hint="eastAsia" w:ascii="宋体" w:hAnsi="宋体" w:cs="宋体"/>
          <w:color w:val="FF0000"/>
          <w:lang w:val="en-US" w:eastAsia="zh-CN"/>
        </w:rPr>
        <w:t>28</w:t>
      </w:r>
      <w:r>
        <w:rPr>
          <w:rFonts w:hint="eastAsia" w:ascii="宋体" w:hAnsi="宋体" w:cs="宋体"/>
          <w:color w:val="FF0000"/>
        </w:rPr>
        <w:t>日</w:t>
      </w:r>
    </w:p>
    <w:p>
      <w:pPr>
        <w:pStyle w:val="2"/>
        <w:jc w:val="center"/>
        <w:rPr>
          <w:rFonts w:ascii="宋体" w:hAnsi="宋体" w:cs="宋体"/>
        </w:rPr>
      </w:pPr>
      <w:bookmarkStart w:id="42" w:name="_Toc74320801"/>
      <w:r>
        <w:rPr>
          <w:rFonts w:hint="eastAsia" w:ascii="宋体" w:hAnsi="宋体" w:cs="宋体"/>
        </w:rPr>
        <w:br w:type="page"/>
      </w:r>
      <w:r>
        <w:rPr>
          <w:rFonts w:hint="eastAsia" w:ascii="宋体" w:hAnsi="宋体" w:cs="宋体"/>
        </w:rPr>
        <w:t>第二章  采购需求</w:t>
      </w:r>
      <w:bookmarkEnd w:id="42"/>
    </w:p>
    <w:p>
      <w:pPr>
        <w:spacing w:line="360" w:lineRule="auto"/>
        <w:jc w:val="left"/>
        <w:rPr>
          <w:rFonts w:ascii="宋体" w:hAnsi="宋体" w:cs="宋体"/>
          <w:b/>
          <w:szCs w:val="21"/>
        </w:rPr>
      </w:pPr>
      <w:bookmarkStart w:id="43" w:name="_Toc254970490"/>
      <w:bookmarkStart w:id="44" w:name="_Toc254970631"/>
      <w:r>
        <w:rPr>
          <w:rFonts w:hint="eastAsia" w:ascii="宋体" w:hAnsi="宋体" w:cs="宋体"/>
          <w:b/>
          <w:szCs w:val="21"/>
        </w:rPr>
        <w:t>说明：</w:t>
      </w:r>
    </w:p>
    <w:p>
      <w:pPr>
        <w:spacing w:line="360" w:lineRule="exact"/>
        <w:ind w:left="-10" w:leftChars="-5" w:right="2" w:rightChars="1" w:firstLine="420" w:firstLineChars="200"/>
        <w:rPr>
          <w:rFonts w:ascii="宋体" w:hAnsi="宋体" w:cs="宋体"/>
        </w:rPr>
      </w:pPr>
      <w:r>
        <w:rPr>
          <w:rFonts w:hint="eastAsia" w:ascii="宋体" w:hAnsi="宋体" w:cs="宋体"/>
        </w:rPr>
        <w:t>1、</w:t>
      </w:r>
      <w:bookmarkStart w:id="45" w:name="_Hlk54774389"/>
      <w:r>
        <w:rPr>
          <w:rFonts w:hint="eastAsia" w:ascii="宋体" w:hAnsi="宋体" w:cs="宋体"/>
        </w:rPr>
        <w:t>服务项目中伴随货物的，</w:t>
      </w:r>
      <w:bookmarkEnd w:id="45"/>
      <w:r>
        <w:rPr>
          <w:rFonts w:hint="eastAsia" w:ascii="宋体" w:hAnsi="宋体" w:cs="宋体"/>
        </w:rPr>
        <w:t>采购需求中如出现品牌、型号或者生产厂家等均仅起参考作用，不属于指定品牌、型号或者生产厂家的情形，投标人可参照或者选用其他相当的品牌、型号或者生产供应商替代。但投标人的产品实质上应相当于或优于本需求中的技术要求。</w:t>
      </w:r>
    </w:p>
    <w:p>
      <w:pPr>
        <w:spacing w:line="360" w:lineRule="exact"/>
        <w:ind w:left="-10" w:leftChars="-5" w:right="2" w:rightChars="1" w:firstLine="420" w:firstLineChars="200"/>
        <w:rPr>
          <w:rFonts w:ascii="宋体" w:hAnsi="宋体" w:cs="宋体"/>
        </w:rPr>
      </w:pPr>
      <w:r>
        <w:rPr>
          <w:rFonts w:hint="eastAsia" w:ascii="宋体" w:hAnsi="宋体" w:cs="宋体"/>
        </w:rPr>
        <w:t>2、凡在“技术要求”中表述为“标配”或“标准配置”的设备，投标人应在投标货物性能配置清单中将其标配参数详细列明。</w:t>
      </w:r>
    </w:p>
    <w:p>
      <w:pPr>
        <w:spacing w:line="360" w:lineRule="exact"/>
        <w:ind w:left="-10" w:leftChars="-5" w:right="2" w:rightChars="1" w:firstLine="420" w:firstLineChars="200"/>
        <w:rPr>
          <w:rFonts w:ascii="宋体" w:hAnsi="宋体" w:cs="宋体"/>
        </w:rPr>
      </w:pPr>
      <w:r>
        <w:rPr>
          <w:rFonts w:hint="eastAsia" w:ascii="宋体" w:hAnsi="宋体" w:cs="宋体"/>
        </w:rPr>
        <w:t>3、根据《财政部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号）的规定，采购需求中的产品属于节能产品政府采购品目清单内标注“★”的（详见本章后附的节能产品政府采购品目清单），投标人的投标货物必须使用政府强制采购的节能产品，否则投标文件作无效处理。</w:t>
      </w:r>
    </w:p>
    <w:p>
      <w:pPr>
        <w:spacing w:line="360" w:lineRule="exact"/>
        <w:ind w:left="-10" w:leftChars="-5" w:right="2" w:rightChars="1" w:firstLine="420" w:firstLineChars="200"/>
        <w:rPr>
          <w:rFonts w:ascii="宋体" w:hAnsi="宋体" w:cs="宋体"/>
        </w:rPr>
      </w:pPr>
      <w:r>
        <w:rPr>
          <w:rFonts w:hint="eastAsia" w:ascii="宋体" w:hAnsi="宋体" w:cs="宋体"/>
        </w:rPr>
        <w:t>4、如投标人投标产品存在侵犯他人的知识产权或者专利成果行为的，由投标人自行承担相应法律责任。</w:t>
      </w:r>
    </w:p>
    <w:p>
      <w:pPr>
        <w:spacing w:line="360" w:lineRule="exact"/>
        <w:ind w:left="-10" w:leftChars="-5" w:right="2" w:rightChars="1" w:firstLine="422" w:firstLineChars="200"/>
        <w:rPr>
          <w:rFonts w:ascii="宋体" w:hAnsi="宋体" w:cs="宋体"/>
          <w:b/>
          <w:bCs/>
        </w:rPr>
      </w:pPr>
      <w:r>
        <w:rPr>
          <w:rFonts w:hint="eastAsia" w:ascii="宋体" w:hAnsi="宋体" w:cs="宋体"/>
          <w:b/>
          <w:bCs/>
        </w:rPr>
        <w:t>5、“实质性要求”是指招标文件中已经指明不满足则投标无效的条款，或者不能负偏离的条款，或者采购需求中带“▲”的条款。</w:t>
      </w:r>
    </w:p>
    <w:p>
      <w:pPr>
        <w:spacing w:line="360" w:lineRule="exact"/>
        <w:ind w:left="-10" w:leftChars="-5" w:right="2" w:rightChars="1" w:firstLine="422" w:firstLineChars="200"/>
        <w:rPr>
          <w:rFonts w:ascii="宋体" w:hAnsi="宋体" w:cs="宋体"/>
          <w:b/>
          <w:bCs/>
        </w:rPr>
      </w:pPr>
      <w:r>
        <w:rPr>
          <w:rFonts w:hint="eastAsia" w:ascii="宋体" w:hAnsi="宋体" w:cs="宋体"/>
          <w:b/>
          <w:bCs/>
        </w:rPr>
        <w:t>6.本项目所属行业：其他未列明行业。</w:t>
      </w:r>
    </w:p>
    <w:tbl>
      <w:tblPr>
        <w:tblStyle w:val="47"/>
        <w:tblpPr w:leftFromText="180" w:rightFromText="180" w:vertAnchor="text" w:horzAnchor="page" w:tblpX="1145" w:tblpY="353"/>
        <w:tblOverlap w:val="never"/>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081"/>
        <w:gridCol w:w="172"/>
        <w:gridCol w:w="6"/>
        <w:gridCol w:w="648"/>
        <w:gridCol w:w="599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80" w:type="dxa"/>
            <w:gridSpan w:val="7"/>
            <w:vAlign w:val="center"/>
          </w:tcPr>
          <w:p>
            <w:pPr>
              <w:widowControl/>
              <w:spacing w:line="360" w:lineRule="auto"/>
              <w:jc w:val="left"/>
              <w:textAlignment w:val="center"/>
              <w:rPr>
                <w:rFonts w:ascii="宋体" w:hAnsi="宋体" w:cs="宋体"/>
                <w:bCs/>
                <w:kern w:val="0"/>
                <w:szCs w:val="21"/>
                <w:lang w:bidi="ar"/>
              </w:rPr>
            </w:pPr>
            <w:r>
              <w:rPr>
                <w:rFonts w:hint="eastAsia" w:ascii="宋体" w:hAnsi="宋体" w:cs="宋体"/>
                <w:b/>
                <w:bCs/>
                <w:szCs w:val="21"/>
              </w:rPr>
              <w:t>一、技术要求表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431" w:type="dxa"/>
            <w:vAlign w:val="center"/>
          </w:tcPr>
          <w:p>
            <w:pPr>
              <w:widowControl/>
              <w:spacing w:line="360" w:lineRule="auto"/>
              <w:jc w:val="center"/>
              <w:textAlignment w:val="center"/>
              <w:rPr>
                <w:rFonts w:ascii="宋体" w:hAnsi="宋体" w:cs="宋体"/>
                <w:b/>
                <w:szCs w:val="21"/>
                <w:u w:val="single"/>
              </w:rPr>
            </w:pPr>
            <w:r>
              <w:rPr>
                <w:rFonts w:hint="eastAsia" w:ascii="宋体" w:hAnsi="宋体" w:cs="宋体"/>
                <w:bCs/>
                <w:kern w:val="0"/>
                <w:szCs w:val="21"/>
                <w:lang w:bidi="ar"/>
              </w:rPr>
              <w:t>项号</w:t>
            </w:r>
          </w:p>
        </w:tc>
        <w:tc>
          <w:tcPr>
            <w:tcW w:w="1081" w:type="dxa"/>
            <w:vAlign w:val="center"/>
          </w:tcPr>
          <w:p>
            <w:pPr>
              <w:widowControl/>
              <w:spacing w:line="360" w:lineRule="auto"/>
              <w:jc w:val="center"/>
              <w:textAlignment w:val="center"/>
              <w:rPr>
                <w:rFonts w:ascii="宋体" w:hAnsi="宋体" w:cs="宋体"/>
                <w:b/>
                <w:szCs w:val="21"/>
                <w:u w:val="single"/>
              </w:rPr>
            </w:pPr>
            <w:r>
              <w:rPr>
                <w:rFonts w:hint="eastAsia" w:ascii="宋体" w:hAnsi="宋体" w:cs="宋体"/>
                <w:bCs/>
                <w:kern w:val="0"/>
                <w:szCs w:val="21"/>
                <w:lang w:bidi="ar"/>
              </w:rPr>
              <w:t>所需试剂耗材名称</w:t>
            </w:r>
          </w:p>
        </w:tc>
        <w:tc>
          <w:tcPr>
            <w:tcW w:w="826" w:type="dxa"/>
            <w:gridSpan w:val="3"/>
            <w:vAlign w:val="center"/>
          </w:tcPr>
          <w:p>
            <w:pPr>
              <w:widowControl/>
              <w:spacing w:line="360" w:lineRule="auto"/>
              <w:jc w:val="center"/>
              <w:textAlignment w:val="center"/>
              <w:rPr>
                <w:rFonts w:ascii="宋体" w:hAnsi="宋体" w:cs="宋体"/>
                <w:bCs/>
                <w:kern w:val="0"/>
                <w:szCs w:val="21"/>
                <w:lang w:bidi="ar"/>
              </w:rPr>
            </w:pPr>
            <w:r>
              <w:rPr>
                <w:rFonts w:hint="eastAsia" w:ascii="宋体" w:hAnsi="宋体" w:cs="宋体"/>
                <w:bCs/>
                <w:kern w:val="0"/>
                <w:szCs w:val="21"/>
                <w:lang w:bidi="ar"/>
              </w:rPr>
              <w:t>预估数量及</w:t>
            </w:r>
          </w:p>
          <w:p>
            <w:pPr>
              <w:widowControl/>
              <w:spacing w:line="360" w:lineRule="auto"/>
              <w:jc w:val="center"/>
              <w:textAlignment w:val="center"/>
              <w:rPr>
                <w:rFonts w:ascii="宋体" w:hAnsi="宋体" w:cs="宋体"/>
                <w:b/>
                <w:szCs w:val="21"/>
                <w:u w:val="single"/>
              </w:rPr>
            </w:pPr>
            <w:r>
              <w:rPr>
                <w:rFonts w:hint="eastAsia" w:ascii="宋体" w:hAnsi="宋体" w:cs="宋体"/>
                <w:bCs/>
                <w:kern w:val="0"/>
                <w:szCs w:val="21"/>
                <w:lang w:bidi="ar"/>
              </w:rPr>
              <w:t>单位</w:t>
            </w:r>
          </w:p>
        </w:tc>
        <w:tc>
          <w:tcPr>
            <w:tcW w:w="5998" w:type="dxa"/>
            <w:vAlign w:val="center"/>
          </w:tcPr>
          <w:p>
            <w:pPr>
              <w:widowControl/>
              <w:spacing w:line="360" w:lineRule="auto"/>
              <w:jc w:val="center"/>
              <w:textAlignment w:val="center"/>
              <w:rPr>
                <w:rFonts w:ascii="宋体" w:hAnsi="宋体" w:cs="宋体"/>
                <w:b/>
                <w:szCs w:val="21"/>
                <w:u w:val="single"/>
              </w:rPr>
            </w:pPr>
            <w:r>
              <w:rPr>
                <w:rFonts w:hint="eastAsia" w:ascii="宋体" w:hAnsi="宋体" w:cs="宋体"/>
                <w:bCs/>
                <w:kern w:val="0"/>
                <w:szCs w:val="21"/>
                <w:lang w:bidi="ar"/>
              </w:rPr>
              <w:t>项目要求及技术需求</w:t>
            </w:r>
          </w:p>
        </w:tc>
        <w:tc>
          <w:tcPr>
            <w:tcW w:w="1644" w:type="dxa"/>
            <w:vAlign w:val="center"/>
          </w:tcPr>
          <w:p>
            <w:pPr>
              <w:widowControl/>
              <w:spacing w:line="360" w:lineRule="auto"/>
              <w:jc w:val="center"/>
              <w:textAlignment w:val="center"/>
              <w:rPr>
                <w:rFonts w:ascii="宋体" w:hAnsi="宋体" w:cs="宋体"/>
                <w:b/>
                <w:szCs w:val="21"/>
                <w:u w:val="single"/>
              </w:rPr>
            </w:pPr>
            <w:r>
              <w:rPr>
                <w:rFonts w:hint="eastAsia" w:ascii="宋体" w:hAnsi="宋体" w:cs="宋体"/>
                <w:b/>
                <w:szCs w:val="21"/>
              </w:rPr>
              <w:t>单价最高限价（元/次）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431" w:type="dxa"/>
            <w:vAlign w:val="center"/>
          </w:tcPr>
          <w:p>
            <w:pPr>
              <w:spacing w:line="360" w:lineRule="auto"/>
              <w:jc w:val="center"/>
              <w:rPr>
                <w:rFonts w:ascii="宋体" w:hAnsi="宋体" w:cs="宋体"/>
                <w:b/>
                <w:szCs w:val="21"/>
                <w:u w:val="single"/>
              </w:rPr>
            </w:pPr>
            <w:r>
              <w:rPr>
                <w:rFonts w:hint="eastAsia" w:ascii="宋体" w:hAnsi="宋体" w:cs="宋体"/>
                <w:szCs w:val="21"/>
              </w:rPr>
              <w:t>1</w:t>
            </w:r>
          </w:p>
        </w:tc>
        <w:tc>
          <w:tcPr>
            <w:tcW w:w="1081" w:type="dxa"/>
            <w:vAlign w:val="center"/>
          </w:tcPr>
          <w:p>
            <w:pPr>
              <w:pStyle w:val="123"/>
              <w:spacing w:before="69" w:line="360" w:lineRule="auto"/>
              <w:ind w:left="91" w:right="90" w:firstLine="49"/>
              <w:jc w:val="center"/>
              <w:rPr>
                <w:b/>
                <w:u w:val="single"/>
              </w:rPr>
            </w:pPr>
            <w:r>
              <w:rPr>
                <w:rFonts w:hint="eastAsia"/>
                <w:lang w:eastAsia="zh-CN" w:bidi="ar"/>
              </w:rPr>
              <w:t>PGT-A试剂</w:t>
            </w:r>
          </w:p>
        </w:tc>
        <w:tc>
          <w:tcPr>
            <w:tcW w:w="826" w:type="dxa"/>
            <w:gridSpan w:val="3"/>
            <w:vAlign w:val="center"/>
          </w:tcPr>
          <w:p>
            <w:pPr>
              <w:pStyle w:val="123"/>
              <w:spacing w:before="68" w:line="360" w:lineRule="auto"/>
              <w:ind w:right="145"/>
              <w:jc w:val="center"/>
              <w:rPr>
                <w:b/>
                <w:u w:val="single"/>
              </w:rPr>
            </w:pPr>
            <w:r>
              <w:rPr>
                <w:rFonts w:hint="eastAsia"/>
                <w:lang w:eastAsia="zh-CN"/>
              </w:rPr>
              <w:t>2500</w:t>
            </w:r>
            <w:r>
              <w:rPr>
                <w:rFonts w:hint="eastAsia"/>
              </w:rPr>
              <w:t>次</w:t>
            </w:r>
          </w:p>
        </w:tc>
        <w:tc>
          <w:tcPr>
            <w:tcW w:w="5998" w:type="dxa"/>
          </w:tcPr>
          <w:p>
            <w:pPr>
              <w:spacing w:line="360" w:lineRule="auto"/>
              <w:jc w:val="left"/>
              <w:rPr>
                <w:rFonts w:ascii="宋体" w:hAnsi="宋体" w:cs="宋体"/>
                <w:szCs w:val="21"/>
              </w:rPr>
            </w:pPr>
            <w:r>
              <w:rPr>
                <w:rFonts w:hint="eastAsia" w:ascii="宋体" w:hAnsi="宋体" w:cs="宋体"/>
                <w:szCs w:val="21"/>
              </w:rPr>
              <w:t>1.▲测序原理：联合探针锚定聚合测序法；</w:t>
            </w:r>
          </w:p>
          <w:p>
            <w:pPr>
              <w:spacing w:line="360" w:lineRule="auto"/>
              <w:jc w:val="left"/>
              <w:rPr>
                <w:rFonts w:ascii="宋体" w:hAnsi="宋体" w:cs="宋体"/>
                <w:szCs w:val="21"/>
              </w:rPr>
            </w:pPr>
            <w:r>
              <w:rPr>
                <w:rFonts w:hint="eastAsia" w:ascii="宋体" w:hAnsi="宋体" w:cs="宋体"/>
                <w:szCs w:val="21"/>
              </w:rPr>
              <w:t>2.▲产品资质：获得Ⅰ类医疗器械备案证</w:t>
            </w:r>
            <w:r>
              <w:rPr>
                <w:rFonts w:hint="eastAsia" w:ascii="宋体" w:hAnsi="宋体" w:cs="宋体"/>
                <w:b/>
                <w:bCs/>
                <w:szCs w:val="21"/>
              </w:rPr>
              <w:t>（投标时，须提供相关有效备案证明材料）；</w:t>
            </w:r>
          </w:p>
          <w:p>
            <w:pPr>
              <w:spacing w:line="360" w:lineRule="auto"/>
              <w:jc w:val="left"/>
              <w:rPr>
                <w:rFonts w:ascii="宋体" w:hAnsi="宋体" w:cs="宋体"/>
                <w:szCs w:val="21"/>
              </w:rPr>
            </w:pPr>
            <w:r>
              <w:rPr>
                <w:rFonts w:hint="eastAsia" w:ascii="宋体" w:hAnsi="宋体" w:cs="宋体"/>
                <w:szCs w:val="21"/>
              </w:rPr>
              <w:t>3.主要组成成分：试剂盒由测序芯片单元、测序试剂单元2个单元组成；</w:t>
            </w:r>
          </w:p>
          <w:p>
            <w:pPr>
              <w:spacing w:line="360" w:lineRule="auto"/>
              <w:jc w:val="left"/>
              <w:rPr>
                <w:rFonts w:ascii="宋体" w:hAnsi="宋体" w:cs="宋体"/>
                <w:szCs w:val="21"/>
              </w:rPr>
            </w:pPr>
            <w:r>
              <w:rPr>
                <w:rFonts w:hint="eastAsia" w:ascii="宋体" w:hAnsi="宋体" w:cs="宋体"/>
                <w:szCs w:val="21"/>
              </w:rPr>
              <w:t>4.准确度：检测参考品，测序所得序列信息与已知参考序列信息的符合率应≥99%；</w:t>
            </w:r>
          </w:p>
          <w:p>
            <w:pPr>
              <w:spacing w:line="360" w:lineRule="auto"/>
              <w:jc w:val="left"/>
              <w:rPr>
                <w:rFonts w:ascii="宋体" w:hAnsi="宋体" w:cs="宋体"/>
                <w:szCs w:val="21"/>
              </w:rPr>
            </w:pPr>
            <w:r>
              <w:rPr>
                <w:rFonts w:hint="eastAsia" w:ascii="宋体" w:hAnsi="宋体" w:cs="宋体"/>
                <w:szCs w:val="21"/>
              </w:rPr>
              <w:t>5.重复性：重复检测参考品3次，每次测序所得序列信息与已知参考序列信息的符合率应≥99%。且测序所得序列信息与已知参考序列信息的符合率的CV值不大于5%；</w:t>
            </w:r>
          </w:p>
          <w:p>
            <w:pPr>
              <w:spacing w:line="360" w:lineRule="auto"/>
              <w:jc w:val="left"/>
              <w:rPr>
                <w:rFonts w:ascii="宋体" w:hAnsi="宋体" w:cs="宋体"/>
                <w:szCs w:val="21"/>
              </w:rPr>
            </w:pPr>
            <w:r>
              <w:rPr>
                <w:rFonts w:hint="eastAsia" w:ascii="宋体" w:hAnsi="宋体" w:cs="宋体"/>
                <w:szCs w:val="21"/>
              </w:rPr>
              <w:t>6.试剂盒有效期≥6个月；</w:t>
            </w:r>
          </w:p>
          <w:p>
            <w:pPr>
              <w:spacing w:line="360" w:lineRule="auto"/>
              <w:jc w:val="left"/>
              <w:rPr>
                <w:rFonts w:ascii="宋体" w:hAnsi="宋体" w:cs="宋体"/>
                <w:szCs w:val="21"/>
              </w:rPr>
            </w:pPr>
            <w:r>
              <w:rPr>
                <w:rFonts w:hint="eastAsia" w:ascii="宋体" w:hAnsi="宋体" w:cs="宋体"/>
                <w:szCs w:val="21"/>
              </w:rPr>
              <w:t>7.扩增方式：采用SurePlex扩增方式，MAPD≤0.24；</w:t>
            </w:r>
          </w:p>
          <w:p>
            <w:pPr>
              <w:spacing w:line="360" w:lineRule="auto"/>
              <w:jc w:val="left"/>
              <w:rPr>
                <w:rFonts w:ascii="宋体" w:hAnsi="宋体" w:cs="宋体"/>
                <w:szCs w:val="21"/>
              </w:rPr>
            </w:pPr>
            <w:r>
              <w:rPr>
                <w:rFonts w:hint="eastAsia" w:ascii="宋体" w:hAnsi="宋体" w:cs="宋体"/>
                <w:szCs w:val="21"/>
              </w:rPr>
              <w:t>8.试剂盒检测流程：单细胞扩增与文库构建分开进行，能够保留单细胞扩增产物，保证样本可进行回顾性分析；</w:t>
            </w:r>
          </w:p>
          <w:p>
            <w:pPr>
              <w:spacing w:line="360" w:lineRule="auto"/>
              <w:jc w:val="left"/>
              <w:rPr>
                <w:rFonts w:ascii="宋体" w:hAnsi="宋体" w:cs="宋体"/>
                <w:szCs w:val="21"/>
              </w:rPr>
            </w:pPr>
            <w:r>
              <w:rPr>
                <w:rFonts w:hint="eastAsia" w:ascii="宋体" w:hAnsi="宋体" w:cs="宋体"/>
                <w:szCs w:val="21"/>
              </w:rPr>
              <w:t>9.试剂盒检测内容：可检测23对染色体非整倍体异常、4Mb以上未知的缺失或重复、1Mb以上已知的缺失或重复、10Mb以上且比例大于30%的胚胎嵌合体异常、三倍体异常及整体染色体的ROH；</w:t>
            </w:r>
          </w:p>
          <w:p>
            <w:pPr>
              <w:spacing w:line="360" w:lineRule="auto"/>
              <w:jc w:val="left"/>
              <w:rPr>
                <w:rFonts w:ascii="宋体" w:hAnsi="宋体" w:cs="宋体"/>
                <w:szCs w:val="21"/>
              </w:rPr>
            </w:pPr>
            <w:r>
              <w:rPr>
                <w:rFonts w:hint="eastAsia" w:ascii="宋体" w:hAnsi="宋体" w:cs="宋体"/>
                <w:szCs w:val="21"/>
              </w:rPr>
              <w:t>10.检测要求：单个样本测序数据量不少于10M；</w:t>
            </w:r>
          </w:p>
          <w:p>
            <w:pPr>
              <w:spacing w:line="360" w:lineRule="auto"/>
              <w:jc w:val="left"/>
              <w:rPr>
                <w:rFonts w:ascii="宋体" w:hAnsi="宋体" w:cs="宋体"/>
                <w:szCs w:val="21"/>
              </w:rPr>
            </w:pPr>
            <w:r>
              <w:rPr>
                <w:rFonts w:hint="eastAsia" w:ascii="宋体" w:hAnsi="宋体" w:cs="宋体"/>
                <w:szCs w:val="21"/>
              </w:rPr>
              <w:t>11.分析软件：胚胎植入前染色体非整倍体分析软件获得国家药监局颁发的Ⅱ类医疗器械注册证</w:t>
            </w:r>
            <w:r>
              <w:rPr>
                <w:rFonts w:hint="eastAsia" w:ascii="宋体" w:hAnsi="宋体" w:cs="宋体"/>
                <w:b/>
                <w:bCs/>
                <w:szCs w:val="21"/>
              </w:rPr>
              <w:t>（投标时，须提供有效的注册证复印件）</w:t>
            </w:r>
            <w:r>
              <w:rPr>
                <w:rFonts w:hint="eastAsia" w:ascii="宋体" w:hAnsi="宋体" w:cs="宋体"/>
                <w:szCs w:val="21"/>
              </w:rPr>
              <w:t>；</w:t>
            </w:r>
          </w:p>
          <w:p>
            <w:pPr>
              <w:spacing w:line="360" w:lineRule="auto"/>
              <w:jc w:val="left"/>
              <w:rPr>
                <w:rFonts w:ascii="宋体" w:hAnsi="宋体" w:cs="宋体"/>
                <w:b/>
                <w:bCs/>
                <w:szCs w:val="21"/>
              </w:rPr>
            </w:pPr>
            <w:r>
              <w:rPr>
                <w:rFonts w:hint="eastAsia" w:ascii="宋体" w:hAnsi="宋体" w:cs="宋体"/>
                <w:szCs w:val="21"/>
              </w:rPr>
              <w:t>12.试剂盒厂家可为使用该试剂盒检测的受检者提供高达40万元的保险；</w:t>
            </w:r>
            <w:r>
              <w:rPr>
                <w:rFonts w:hint="eastAsia" w:ascii="宋体" w:hAnsi="宋体" w:cs="宋体"/>
                <w:b/>
                <w:bCs/>
                <w:szCs w:val="21"/>
              </w:rPr>
              <w:t>（投标时，须提供相关有效证明材料）</w:t>
            </w:r>
          </w:p>
          <w:p>
            <w:pPr>
              <w:spacing w:line="360" w:lineRule="auto"/>
              <w:jc w:val="left"/>
              <w:rPr>
                <w:rFonts w:ascii="宋体" w:hAnsi="宋体" w:cs="宋体"/>
                <w:szCs w:val="21"/>
              </w:rPr>
            </w:pPr>
            <w:r>
              <w:rPr>
                <w:rFonts w:hint="eastAsia" w:ascii="宋体" w:hAnsi="宋体" w:cs="宋体"/>
                <w:szCs w:val="21"/>
              </w:rPr>
              <w:t>13.提供质控方案和质控指标；</w:t>
            </w:r>
          </w:p>
          <w:p>
            <w:pPr>
              <w:spacing w:line="360" w:lineRule="auto"/>
              <w:jc w:val="left"/>
              <w:rPr>
                <w:rFonts w:ascii="宋体" w:hAnsi="宋体" w:cs="宋体"/>
                <w:szCs w:val="21"/>
              </w:rPr>
            </w:pPr>
            <w:r>
              <w:rPr>
                <w:rFonts w:hint="eastAsia" w:ascii="宋体" w:hAnsi="宋体" w:cs="宋体"/>
                <w:szCs w:val="21"/>
              </w:rPr>
              <w:t>14.▲提供进行 PGT-A 检测必要的配套试剂及耗材等，以完成胚胎植入前染色体非整倍体检测；</w:t>
            </w:r>
          </w:p>
          <w:p>
            <w:pPr>
              <w:pStyle w:val="123"/>
              <w:spacing w:line="360" w:lineRule="auto"/>
              <w:ind w:right="283"/>
              <w:rPr>
                <w:b/>
                <w:u w:val="single"/>
                <w:lang w:eastAsia="zh-CN"/>
              </w:rPr>
            </w:pPr>
            <w:r>
              <w:rPr>
                <w:rFonts w:hint="eastAsia"/>
                <w:lang w:eastAsia="zh-CN"/>
              </w:rPr>
              <w:t>15.本地化能力：可协助医院实现本地化检测分析，并提供技术支持、遗传咨询培训及实验室体系管理培训等；</w:t>
            </w:r>
          </w:p>
        </w:tc>
        <w:tc>
          <w:tcPr>
            <w:tcW w:w="1644" w:type="dxa"/>
            <w:vAlign w:val="center"/>
          </w:tcPr>
          <w:p>
            <w:pPr>
              <w:spacing w:line="360" w:lineRule="auto"/>
              <w:jc w:val="center"/>
              <w:rPr>
                <w:rFonts w:ascii="宋体" w:hAnsi="宋体" w:cs="宋体"/>
                <w:b/>
                <w:szCs w:val="21"/>
                <w:u w:val="single"/>
              </w:rPr>
            </w:pPr>
            <w:r>
              <w:rPr>
                <w:rFonts w:hint="eastAsia" w:ascii="宋体" w:hAnsi="宋体" w:cs="宋体"/>
                <w:szCs w:val="21"/>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1" w:hRule="atLeast"/>
        </w:trPr>
        <w:tc>
          <w:tcPr>
            <w:tcW w:w="431"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081" w:type="dxa"/>
            <w:vAlign w:val="center"/>
          </w:tcPr>
          <w:p>
            <w:pPr>
              <w:pStyle w:val="123"/>
              <w:spacing w:before="69" w:line="360" w:lineRule="auto"/>
              <w:ind w:left="91" w:right="90" w:firstLine="49"/>
              <w:jc w:val="center"/>
              <w:rPr>
                <w:b/>
                <w:u w:val="single"/>
              </w:rPr>
            </w:pPr>
            <w:r>
              <w:rPr>
                <w:rFonts w:hint="eastAsia"/>
                <w:lang w:eastAsia="zh-CN" w:bidi="ar"/>
              </w:rPr>
              <w:t>PGT-A+PGT-M试剂</w:t>
            </w:r>
          </w:p>
        </w:tc>
        <w:tc>
          <w:tcPr>
            <w:tcW w:w="826" w:type="dxa"/>
            <w:gridSpan w:val="3"/>
            <w:vAlign w:val="center"/>
          </w:tcPr>
          <w:p>
            <w:pPr>
              <w:pStyle w:val="123"/>
              <w:spacing w:before="68" w:line="360" w:lineRule="auto"/>
              <w:ind w:right="145"/>
              <w:jc w:val="center"/>
            </w:pPr>
            <w:r>
              <w:rPr>
                <w:rFonts w:hint="eastAsia"/>
                <w:lang w:eastAsia="zh-CN"/>
              </w:rPr>
              <w:t>1280</w:t>
            </w:r>
            <w:r>
              <w:rPr>
                <w:rFonts w:hint="eastAsia"/>
              </w:rPr>
              <w:t>次</w:t>
            </w:r>
          </w:p>
        </w:tc>
        <w:tc>
          <w:tcPr>
            <w:tcW w:w="5998" w:type="dxa"/>
          </w:tcPr>
          <w:p>
            <w:pPr>
              <w:spacing w:line="360" w:lineRule="auto"/>
              <w:jc w:val="left"/>
              <w:rPr>
                <w:rFonts w:ascii="宋体" w:hAnsi="宋体" w:cs="宋体"/>
                <w:b/>
                <w:bCs/>
                <w:szCs w:val="21"/>
              </w:rPr>
            </w:pPr>
            <w:r>
              <w:rPr>
                <w:rFonts w:hint="eastAsia" w:ascii="宋体" w:hAnsi="宋体" w:cs="宋体"/>
                <w:b/>
                <w:bCs/>
                <w:szCs w:val="21"/>
              </w:rPr>
              <w:t>一、PGT-A胚胎植入前染色体非整倍体检测项目技术参数</w:t>
            </w:r>
          </w:p>
          <w:p>
            <w:pPr>
              <w:spacing w:line="360" w:lineRule="auto"/>
              <w:jc w:val="left"/>
              <w:rPr>
                <w:rFonts w:ascii="宋体" w:hAnsi="宋体" w:cs="宋体"/>
                <w:szCs w:val="21"/>
              </w:rPr>
            </w:pPr>
            <w:r>
              <w:rPr>
                <w:rFonts w:hint="eastAsia" w:ascii="宋体" w:hAnsi="宋体" w:cs="宋体"/>
                <w:szCs w:val="21"/>
              </w:rPr>
              <w:t>1.扩增优化：能够提供胚胎培养液因素导致特殊样本的扩增成功率低等问题的解决方案，并于医院成熟应用，且使用试剂具有医疗器械备案证；</w:t>
            </w:r>
            <w:r>
              <w:rPr>
                <w:rFonts w:hint="eastAsia" w:ascii="宋体" w:hAnsi="宋体" w:cs="宋体"/>
                <w:b/>
                <w:bCs/>
                <w:szCs w:val="21"/>
              </w:rPr>
              <w:t>（投标时，须提供相关有效</w:t>
            </w:r>
            <w:r>
              <w:rPr>
                <w:rFonts w:hint="eastAsia" w:ascii="宋体" w:hAnsi="宋体" w:cs="宋体"/>
                <w:b/>
                <w:bCs/>
              </w:rPr>
              <w:t>备案</w:t>
            </w:r>
            <w:r>
              <w:rPr>
                <w:rFonts w:hint="eastAsia" w:ascii="宋体" w:hAnsi="宋体" w:cs="宋体"/>
                <w:b/>
                <w:bCs/>
                <w:szCs w:val="21"/>
              </w:rPr>
              <w:t>证明材料）</w:t>
            </w:r>
          </w:p>
          <w:p>
            <w:pPr>
              <w:spacing w:line="360" w:lineRule="auto"/>
              <w:jc w:val="left"/>
              <w:rPr>
                <w:rFonts w:ascii="宋体" w:hAnsi="宋体" w:cs="宋体"/>
                <w:szCs w:val="21"/>
              </w:rPr>
            </w:pPr>
            <w:r>
              <w:rPr>
                <w:rFonts w:hint="eastAsia" w:ascii="宋体" w:hAnsi="宋体" w:cs="宋体"/>
                <w:szCs w:val="21"/>
              </w:rPr>
              <w:t>2.检测内容：一次性对23对染色体进行检测，可检测出染色体非整倍体、4Mb以上的缺失/重复；</w:t>
            </w:r>
          </w:p>
          <w:p>
            <w:pPr>
              <w:spacing w:line="360" w:lineRule="auto"/>
              <w:jc w:val="left"/>
              <w:rPr>
                <w:rFonts w:ascii="宋体" w:hAnsi="宋体" w:cs="宋体"/>
                <w:szCs w:val="21"/>
              </w:rPr>
            </w:pPr>
            <w:r>
              <w:rPr>
                <w:rFonts w:hint="eastAsia" w:ascii="宋体" w:hAnsi="宋体" w:cs="宋体"/>
                <w:szCs w:val="21"/>
              </w:rPr>
              <w:t>3.嵌合检出能力：能够检出4Mb以上、大于30%以上的胚胎嵌合体异常；</w:t>
            </w:r>
          </w:p>
          <w:p>
            <w:pPr>
              <w:spacing w:line="360" w:lineRule="auto"/>
              <w:jc w:val="left"/>
              <w:rPr>
                <w:rFonts w:ascii="宋体" w:hAnsi="宋体" w:cs="宋体"/>
                <w:szCs w:val="21"/>
              </w:rPr>
            </w:pPr>
            <w:r>
              <w:rPr>
                <w:rFonts w:hint="eastAsia" w:ascii="宋体" w:hAnsi="宋体" w:cs="宋体"/>
                <w:szCs w:val="21"/>
              </w:rPr>
              <w:t>4.▲能够提供线粒体拷贝数指标作为胚胎评级参考；</w:t>
            </w:r>
          </w:p>
          <w:p>
            <w:pPr>
              <w:spacing w:line="360" w:lineRule="auto"/>
              <w:jc w:val="left"/>
              <w:rPr>
                <w:rFonts w:ascii="宋体" w:hAnsi="宋体" w:cs="宋体"/>
                <w:szCs w:val="21"/>
              </w:rPr>
            </w:pPr>
            <w:r>
              <w:rPr>
                <w:rFonts w:hint="eastAsia" w:ascii="宋体" w:hAnsi="宋体" w:cs="宋体"/>
                <w:szCs w:val="21"/>
              </w:rPr>
              <w:t>5.可提供胚胎染色体CNV分析1M分辨率方案，以解决常见的小CNV（1M&lt;小CNV&lt;4M）的胚胎筛选问题；</w:t>
            </w:r>
          </w:p>
          <w:p>
            <w:pPr>
              <w:spacing w:line="360" w:lineRule="auto"/>
              <w:jc w:val="left"/>
              <w:rPr>
                <w:rFonts w:ascii="宋体" w:hAnsi="宋体" w:cs="宋体"/>
                <w:szCs w:val="21"/>
              </w:rPr>
            </w:pPr>
            <w:r>
              <w:rPr>
                <w:rFonts w:hint="eastAsia" w:ascii="宋体" w:hAnsi="宋体" w:cs="宋体"/>
                <w:szCs w:val="21"/>
              </w:rPr>
              <w:t>6.能够同时提供本地化单机版和云端云平台分析软件；</w:t>
            </w:r>
          </w:p>
          <w:p>
            <w:pPr>
              <w:spacing w:line="360" w:lineRule="auto"/>
              <w:jc w:val="left"/>
              <w:rPr>
                <w:rFonts w:ascii="宋体" w:hAnsi="宋体" w:cs="宋体"/>
                <w:szCs w:val="21"/>
              </w:rPr>
            </w:pPr>
            <w:r>
              <w:rPr>
                <w:rFonts w:hint="eastAsia" w:ascii="宋体" w:hAnsi="宋体" w:cs="宋体"/>
                <w:szCs w:val="21"/>
              </w:rPr>
              <w:t>7.检测质控：检测流程有明确、详细、可行的质控方案和指标。</w:t>
            </w:r>
          </w:p>
          <w:p>
            <w:pPr>
              <w:spacing w:line="360" w:lineRule="auto"/>
              <w:jc w:val="left"/>
              <w:rPr>
                <w:rFonts w:ascii="宋体" w:hAnsi="宋体" w:cs="宋体"/>
                <w:szCs w:val="21"/>
              </w:rPr>
            </w:pPr>
            <w:r>
              <w:rPr>
                <w:rFonts w:hint="eastAsia" w:ascii="宋体" w:hAnsi="宋体" w:cs="宋体"/>
                <w:szCs w:val="21"/>
              </w:rPr>
              <w:t>8. 本地化能力：可协助医院实现本地化检测分析，并提供技术支持、遗传咨询培训及实验室体系管理培训等。</w:t>
            </w:r>
          </w:p>
          <w:p>
            <w:pPr>
              <w:spacing w:line="360" w:lineRule="auto"/>
              <w:jc w:val="left"/>
              <w:rPr>
                <w:rFonts w:ascii="宋体" w:hAnsi="宋体" w:cs="宋体"/>
                <w:szCs w:val="21"/>
              </w:rPr>
            </w:pPr>
            <w:r>
              <w:rPr>
                <w:rFonts w:hint="eastAsia" w:ascii="宋体" w:hAnsi="宋体" w:cs="宋体"/>
                <w:szCs w:val="21"/>
              </w:rPr>
              <w:t>9.▲提供进行 PGT-A 检测必要的配套试剂及耗材等。</w:t>
            </w:r>
          </w:p>
          <w:p>
            <w:pPr>
              <w:spacing w:line="360" w:lineRule="auto"/>
              <w:jc w:val="left"/>
              <w:rPr>
                <w:rFonts w:ascii="宋体" w:hAnsi="宋体" w:cs="宋体"/>
                <w:b/>
                <w:bCs/>
                <w:szCs w:val="21"/>
              </w:rPr>
            </w:pPr>
            <w:r>
              <w:rPr>
                <w:rFonts w:hint="eastAsia" w:ascii="宋体" w:hAnsi="宋体" w:cs="宋体"/>
                <w:b/>
                <w:bCs/>
                <w:szCs w:val="21"/>
              </w:rPr>
              <w:t>二、PGT-M胚胎植入前单基因病检测项目技术参数</w:t>
            </w:r>
          </w:p>
          <w:p>
            <w:pPr>
              <w:spacing w:line="360" w:lineRule="auto"/>
              <w:jc w:val="left"/>
              <w:rPr>
                <w:rFonts w:ascii="宋体" w:hAnsi="宋体" w:cs="宋体"/>
                <w:szCs w:val="21"/>
              </w:rPr>
            </w:pPr>
            <w:r>
              <w:rPr>
                <w:rFonts w:hint="eastAsia" w:ascii="宋体" w:hAnsi="宋体" w:cs="宋体"/>
                <w:szCs w:val="21"/>
              </w:rPr>
              <w:t>1.扩增优化：能够提供胚胎培养液因素导致特殊样本的扩增成功率低等问题的解决方案，并于医院成熟应用，且使用试剂具有医疗器械备案证；</w:t>
            </w:r>
            <w:r>
              <w:rPr>
                <w:rFonts w:hint="eastAsia" w:ascii="宋体" w:hAnsi="宋体" w:cs="宋体"/>
                <w:b/>
                <w:bCs/>
                <w:szCs w:val="21"/>
              </w:rPr>
              <w:t>（投标时，须提供相关有效</w:t>
            </w:r>
            <w:r>
              <w:rPr>
                <w:rFonts w:hint="eastAsia" w:ascii="宋体" w:hAnsi="宋体" w:cs="宋体"/>
                <w:b/>
                <w:bCs/>
              </w:rPr>
              <w:t>备案</w:t>
            </w:r>
            <w:r>
              <w:rPr>
                <w:rFonts w:hint="eastAsia" w:ascii="宋体" w:hAnsi="宋体" w:cs="宋体"/>
                <w:b/>
                <w:bCs/>
                <w:szCs w:val="21"/>
              </w:rPr>
              <w:t>证明材料）</w:t>
            </w:r>
          </w:p>
          <w:p>
            <w:pPr>
              <w:spacing w:line="360" w:lineRule="auto"/>
              <w:jc w:val="left"/>
              <w:rPr>
                <w:rFonts w:ascii="宋体" w:hAnsi="宋体" w:cs="宋体"/>
                <w:szCs w:val="21"/>
              </w:rPr>
            </w:pPr>
            <w:r>
              <w:rPr>
                <w:rFonts w:hint="eastAsia" w:ascii="宋体" w:hAnsi="宋体" w:cs="宋体"/>
                <w:szCs w:val="21"/>
              </w:rPr>
              <w:t>2.检测方案：能够利用高通量测序技术，可一次进行单基因病致病位点直接检测和单体型构建两种方法同时检测，保障目标基因检测准确性；</w:t>
            </w:r>
          </w:p>
          <w:p>
            <w:pPr>
              <w:spacing w:line="360" w:lineRule="auto"/>
              <w:jc w:val="left"/>
              <w:rPr>
                <w:rFonts w:ascii="宋体" w:hAnsi="宋体" w:cs="宋体"/>
                <w:szCs w:val="21"/>
              </w:rPr>
            </w:pPr>
            <w:r>
              <w:rPr>
                <w:rFonts w:hint="eastAsia" w:ascii="宋体" w:hAnsi="宋体" w:cs="宋体"/>
                <w:szCs w:val="21"/>
              </w:rPr>
              <w:t>3.针对特殊单基因疾病的家系能够提供有效解决方案，如：可提供无先证者案例单基因病PGT-M诊断方案、可提供生殖腺嵌合/子代新发突变家系解决方案、可提供单精子/极体PGT-M解决方案；</w:t>
            </w:r>
          </w:p>
          <w:p>
            <w:pPr>
              <w:spacing w:line="360" w:lineRule="auto"/>
              <w:jc w:val="left"/>
              <w:rPr>
                <w:rFonts w:ascii="宋体" w:hAnsi="宋体" w:cs="宋体"/>
                <w:b/>
                <w:bCs/>
                <w:szCs w:val="21"/>
              </w:rPr>
            </w:pPr>
            <w:r>
              <w:rPr>
                <w:rFonts w:hint="eastAsia" w:ascii="宋体" w:hAnsi="宋体" w:cs="宋体"/>
                <w:szCs w:val="21"/>
              </w:rPr>
              <w:t>4.针对基因位于着丝粒附近或染色体末端的特殊常见疾病，如α地贫、甲型血友病F8，可提供SNP+STR双标记等技术方法，需提供至少3种基因应用该方法进行PGT-M检测的报告；</w:t>
            </w:r>
            <w:r>
              <w:rPr>
                <w:rFonts w:hint="eastAsia" w:ascii="宋体" w:hAnsi="宋体" w:cs="宋体"/>
                <w:b/>
                <w:bCs/>
                <w:szCs w:val="21"/>
              </w:rPr>
              <w:t>（投标时，提供</w:t>
            </w:r>
            <w:r>
              <w:rPr>
                <w:rFonts w:hint="eastAsia" w:ascii="宋体" w:hAnsi="宋体" w:cs="宋体"/>
                <w:b/>
                <w:bCs/>
              </w:rPr>
              <w:t>检测报告或产品彩页内容</w:t>
            </w:r>
            <w:r>
              <w:rPr>
                <w:rFonts w:hint="eastAsia" w:ascii="宋体" w:hAnsi="宋体" w:cs="宋体"/>
                <w:b/>
                <w:bCs/>
                <w:szCs w:val="21"/>
              </w:rPr>
              <w:t>等相关证明材料）</w:t>
            </w:r>
          </w:p>
          <w:p>
            <w:pPr>
              <w:spacing w:line="360" w:lineRule="auto"/>
              <w:jc w:val="left"/>
              <w:rPr>
                <w:rFonts w:ascii="宋体" w:hAnsi="宋体" w:cs="宋体"/>
                <w:szCs w:val="21"/>
              </w:rPr>
            </w:pPr>
            <w:r>
              <w:rPr>
                <w:rFonts w:hint="eastAsia" w:ascii="宋体" w:hAnsi="宋体" w:cs="宋体"/>
                <w:szCs w:val="21"/>
              </w:rPr>
              <w:t>5.针对中国人群高发的、易发生重组的单基因病，在常规进行SNP位点设计时增加SNP数量，需满足：CYP21A2基因SNP总数量需大于430个，HLA基因SNP总数量需大于430个，HBA基因SNP总数量需大于400个；</w:t>
            </w:r>
          </w:p>
          <w:p>
            <w:pPr>
              <w:spacing w:line="360" w:lineRule="auto"/>
              <w:jc w:val="left"/>
              <w:rPr>
                <w:rFonts w:ascii="宋体" w:hAnsi="宋体" w:cs="宋体"/>
                <w:b/>
                <w:bCs/>
                <w:szCs w:val="21"/>
              </w:rPr>
            </w:pPr>
            <w:r>
              <w:rPr>
                <w:rFonts w:hint="eastAsia" w:ascii="宋体" w:hAnsi="宋体" w:cs="宋体"/>
                <w:szCs w:val="21"/>
              </w:rPr>
              <w:t>6.可提供多种遗传病相关的 HLA 单体型分析，可至少提供5种疾病的检测案例报告；</w:t>
            </w:r>
            <w:r>
              <w:rPr>
                <w:rFonts w:hint="eastAsia" w:ascii="宋体" w:hAnsi="宋体" w:cs="宋体"/>
                <w:b/>
                <w:bCs/>
                <w:szCs w:val="21"/>
              </w:rPr>
              <w:t>（投标时，提供</w:t>
            </w:r>
            <w:r>
              <w:rPr>
                <w:rFonts w:hint="eastAsia" w:ascii="宋体" w:hAnsi="宋体" w:cs="宋体"/>
                <w:b/>
                <w:bCs/>
              </w:rPr>
              <w:t>检测报告或产品彩页内容</w:t>
            </w:r>
            <w:r>
              <w:rPr>
                <w:rFonts w:hint="eastAsia" w:ascii="宋体" w:hAnsi="宋体" w:cs="宋体"/>
                <w:b/>
                <w:bCs/>
                <w:szCs w:val="21"/>
              </w:rPr>
              <w:t>等相关证明材料）</w:t>
            </w:r>
          </w:p>
          <w:p>
            <w:pPr>
              <w:spacing w:line="360" w:lineRule="auto"/>
              <w:jc w:val="left"/>
              <w:rPr>
                <w:rFonts w:ascii="宋体" w:hAnsi="宋体" w:cs="宋体"/>
                <w:szCs w:val="21"/>
              </w:rPr>
            </w:pPr>
            <w:r>
              <w:rPr>
                <w:rFonts w:hint="eastAsia" w:ascii="宋体" w:hAnsi="宋体" w:cs="宋体"/>
                <w:szCs w:val="21"/>
              </w:rPr>
              <w:t>7、能够同时提供本地化单机版和云端云平台分析软件，供医院根据实际情况灵活选用；</w:t>
            </w:r>
          </w:p>
          <w:p>
            <w:pPr>
              <w:spacing w:line="360" w:lineRule="auto"/>
              <w:jc w:val="left"/>
              <w:rPr>
                <w:rFonts w:ascii="宋体" w:hAnsi="宋体" w:cs="宋体"/>
                <w:b/>
                <w:bCs/>
                <w:szCs w:val="21"/>
                <w:highlight w:val="none"/>
              </w:rPr>
            </w:pPr>
            <w:r>
              <w:rPr>
                <w:rFonts w:hint="eastAsia" w:ascii="宋体" w:hAnsi="宋体" w:cs="宋体"/>
                <w:szCs w:val="21"/>
              </w:rPr>
              <w:t>8.▲至少已完成1000种单基因遗传病的阻断经验</w:t>
            </w:r>
            <w:r>
              <w:rPr>
                <w:rFonts w:hint="eastAsia" w:ascii="宋体" w:hAnsi="宋体" w:cs="宋体"/>
                <w:szCs w:val="21"/>
                <w:highlight w:val="none"/>
              </w:rPr>
              <w:t>；</w:t>
            </w:r>
            <w:r>
              <w:rPr>
                <w:rFonts w:hint="eastAsia" w:ascii="宋体" w:hAnsi="宋体" w:cs="宋体"/>
                <w:b/>
                <w:bCs/>
                <w:szCs w:val="21"/>
                <w:highlight w:val="none"/>
              </w:rPr>
              <w:t>（投标时，提供相关基因列表等相关支撑材料）</w:t>
            </w:r>
          </w:p>
          <w:p>
            <w:pPr>
              <w:spacing w:line="360" w:lineRule="auto"/>
              <w:jc w:val="left"/>
              <w:rPr>
                <w:rFonts w:ascii="宋体" w:hAnsi="宋体" w:cs="宋体"/>
                <w:szCs w:val="21"/>
              </w:rPr>
            </w:pPr>
            <w:r>
              <w:rPr>
                <w:rFonts w:hint="eastAsia" w:ascii="宋体" w:hAnsi="宋体" w:cs="宋体"/>
                <w:szCs w:val="21"/>
              </w:rPr>
              <w:t>9.可提供公益项目援助方案：针对贫困的PGT患者通过公募基金会的公益项目进行援助；</w:t>
            </w:r>
          </w:p>
          <w:p>
            <w:pPr>
              <w:spacing w:line="360" w:lineRule="auto"/>
              <w:jc w:val="left"/>
              <w:rPr>
                <w:rFonts w:ascii="宋体" w:hAnsi="宋体" w:cs="宋体"/>
                <w:szCs w:val="21"/>
              </w:rPr>
            </w:pPr>
            <w:r>
              <w:rPr>
                <w:rFonts w:hint="eastAsia" w:ascii="宋体" w:hAnsi="宋体" w:cs="宋体"/>
                <w:szCs w:val="21"/>
              </w:rPr>
              <w:t>10.检测质控：检测流程有明确、详细、可行的质控方案和指标；</w:t>
            </w:r>
          </w:p>
          <w:p>
            <w:pPr>
              <w:spacing w:line="360" w:lineRule="auto"/>
              <w:jc w:val="left"/>
              <w:rPr>
                <w:rFonts w:ascii="宋体" w:hAnsi="宋体" w:cs="宋体"/>
                <w:szCs w:val="21"/>
              </w:rPr>
            </w:pPr>
            <w:r>
              <w:rPr>
                <w:rFonts w:hint="eastAsia" w:ascii="宋体" w:hAnsi="宋体" w:cs="宋体"/>
                <w:szCs w:val="21"/>
              </w:rPr>
              <w:t>11. 本地化能力：可协助医院实现本地化检测分析，并提供技术支持、遗传咨询培训及实验室体系管理培训等；</w:t>
            </w:r>
          </w:p>
          <w:p>
            <w:pPr>
              <w:spacing w:line="360" w:lineRule="auto"/>
              <w:jc w:val="left"/>
              <w:rPr>
                <w:rFonts w:ascii="宋体" w:hAnsi="宋体" w:cs="宋体"/>
                <w:b/>
                <w:szCs w:val="21"/>
                <w:u w:val="single"/>
              </w:rPr>
            </w:pPr>
            <w:r>
              <w:rPr>
                <w:rFonts w:hint="eastAsia" w:ascii="宋体" w:hAnsi="宋体" w:cs="宋体"/>
                <w:szCs w:val="21"/>
              </w:rPr>
              <w:t>12.▲提供进行 PGT-M 检测必要的配套试剂及耗材等。</w:t>
            </w:r>
          </w:p>
        </w:tc>
        <w:tc>
          <w:tcPr>
            <w:tcW w:w="1644" w:type="dxa"/>
            <w:vAlign w:val="center"/>
          </w:tcPr>
          <w:p>
            <w:pPr>
              <w:spacing w:line="360" w:lineRule="auto"/>
              <w:jc w:val="center"/>
              <w:rPr>
                <w:rFonts w:ascii="宋体" w:hAnsi="宋体" w:cs="宋体"/>
                <w:b/>
                <w:szCs w:val="21"/>
                <w:u w:val="single"/>
              </w:rPr>
            </w:pPr>
            <w:r>
              <w:rPr>
                <w:rFonts w:hint="eastAsia" w:ascii="宋体" w:hAnsi="宋体" w:cs="宋体"/>
                <w:szCs w:val="21"/>
              </w:rPr>
              <w:t>2045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9" w:hRule="atLeast"/>
        </w:trPr>
        <w:tc>
          <w:tcPr>
            <w:tcW w:w="431"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081" w:type="dxa"/>
            <w:vAlign w:val="center"/>
          </w:tcPr>
          <w:p>
            <w:pPr>
              <w:pStyle w:val="123"/>
              <w:spacing w:before="69" w:line="360" w:lineRule="auto"/>
              <w:ind w:left="91" w:right="90" w:firstLine="49"/>
              <w:jc w:val="center"/>
              <w:rPr>
                <w:b/>
                <w:u w:val="single"/>
              </w:rPr>
            </w:pPr>
            <w:r>
              <w:rPr>
                <w:rFonts w:hint="eastAsia"/>
                <w:lang w:eastAsia="zh-CN" w:bidi="ar"/>
              </w:rPr>
              <w:t>PGT-A+PGT-M+PGT-SR试剂</w:t>
            </w:r>
          </w:p>
        </w:tc>
        <w:tc>
          <w:tcPr>
            <w:tcW w:w="826" w:type="dxa"/>
            <w:gridSpan w:val="3"/>
            <w:vAlign w:val="center"/>
          </w:tcPr>
          <w:p>
            <w:pPr>
              <w:pStyle w:val="123"/>
              <w:spacing w:before="68" w:line="360" w:lineRule="auto"/>
              <w:ind w:right="145"/>
              <w:jc w:val="center"/>
            </w:pPr>
            <w:r>
              <w:rPr>
                <w:rFonts w:hint="eastAsia"/>
              </w:rPr>
              <w:t>1200次</w:t>
            </w:r>
          </w:p>
        </w:tc>
        <w:tc>
          <w:tcPr>
            <w:tcW w:w="5998" w:type="dxa"/>
          </w:tcPr>
          <w:p>
            <w:pPr>
              <w:spacing w:line="360" w:lineRule="auto"/>
              <w:jc w:val="left"/>
              <w:rPr>
                <w:rFonts w:ascii="宋体" w:hAnsi="宋体" w:cs="宋体"/>
                <w:b/>
                <w:bCs/>
                <w:szCs w:val="21"/>
              </w:rPr>
            </w:pPr>
            <w:r>
              <w:rPr>
                <w:rFonts w:hint="eastAsia" w:ascii="宋体" w:hAnsi="宋体" w:cs="宋体"/>
                <w:b/>
                <w:bCs/>
                <w:szCs w:val="21"/>
              </w:rPr>
              <w:t>一、PGT-A试剂盒参数</w:t>
            </w:r>
          </w:p>
          <w:p>
            <w:pPr>
              <w:spacing w:line="360" w:lineRule="auto"/>
              <w:jc w:val="left"/>
              <w:rPr>
                <w:rFonts w:ascii="宋体" w:hAnsi="宋体" w:cs="宋体"/>
                <w:b/>
                <w:bCs/>
                <w:szCs w:val="21"/>
              </w:rPr>
            </w:pPr>
            <w:r>
              <w:rPr>
                <w:rFonts w:hint="eastAsia" w:ascii="宋体" w:hAnsi="宋体" w:cs="宋体"/>
                <w:szCs w:val="21"/>
              </w:rPr>
              <w:t>1.获得国家药监局颁发的Ⅲ类医疗器械注册证</w:t>
            </w:r>
            <w:r>
              <w:rPr>
                <w:rFonts w:hint="eastAsia" w:ascii="宋体" w:hAnsi="宋体" w:cs="宋体"/>
                <w:b/>
                <w:bCs/>
                <w:szCs w:val="21"/>
              </w:rPr>
              <w:t>（投标时，须提供有效的注册证复印件）；</w:t>
            </w:r>
          </w:p>
          <w:p>
            <w:pPr>
              <w:spacing w:line="360" w:lineRule="auto"/>
              <w:jc w:val="left"/>
              <w:rPr>
                <w:rFonts w:ascii="宋体" w:hAnsi="宋体" w:cs="宋体"/>
                <w:szCs w:val="21"/>
              </w:rPr>
            </w:pPr>
            <w:r>
              <w:rPr>
                <w:rFonts w:hint="eastAsia" w:ascii="宋体" w:hAnsi="宋体" w:cs="宋体"/>
                <w:szCs w:val="21"/>
              </w:rPr>
              <w:t>2.</w:t>
            </w:r>
            <w:bookmarkStart w:id="46" w:name="OLE_LINK1"/>
            <w:r>
              <w:rPr>
                <w:rFonts w:hint="eastAsia" w:ascii="宋体" w:hAnsi="宋体" w:cs="宋体"/>
                <w:szCs w:val="21"/>
              </w:rPr>
              <w:t>PGT-A试剂盒开展临床试验阳性样本有完成FISH验证</w:t>
            </w:r>
            <w:r>
              <w:rPr>
                <w:rFonts w:hint="eastAsia" w:ascii="宋体" w:hAnsi="宋体" w:cs="宋体"/>
                <w:b/>
                <w:bCs/>
                <w:szCs w:val="21"/>
              </w:rPr>
              <w:t>（投标时，须提供相关证明材料）；</w:t>
            </w:r>
            <w:r>
              <w:rPr>
                <w:rFonts w:hint="eastAsia" w:ascii="宋体" w:hAnsi="宋体" w:cs="宋体"/>
                <w:szCs w:val="21"/>
              </w:rPr>
              <w:t xml:space="preserve"> </w:t>
            </w:r>
            <w:bookmarkEnd w:id="46"/>
            <w:r>
              <w:rPr>
                <w:rFonts w:hint="eastAsia" w:ascii="宋体" w:hAnsi="宋体" w:cs="宋体"/>
                <w:szCs w:val="21"/>
              </w:rPr>
              <w:t xml:space="preserve">          </w:t>
            </w:r>
          </w:p>
          <w:p>
            <w:pPr>
              <w:spacing w:line="360" w:lineRule="auto"/>
              <w:jc w:val="left"/>
              <w:rPr>
                <w:rFonts w:ascii="宋体" w:hAnsi="宋体" w:cs="宋体"/>
                <w:szCs w:val="21"/>
              </w:rPr>
            </w:pPr>
            <w:r>
              <w:rPr>
                <w:rFonts w:hint="eastAsia" w:ascii="宋体" w:hAnsi="宋体" w:cs="宋体"/>
                <w:szCs w:val="21"/>
              </w:rPr>
              <w:t>3.具备完善的防污染、防错体系及措施，扩增和建库过程少换管，防污染能力强，需设置外参物防错体系</w:t>
            </w:r>
            <w:r>
              <w:rPr>
                <w:rFonts w:hint="eastAsia" w:ascii="宋体" w:hAnsi="宋体" w:cs="宋体"/>
                <w:b/>
                <w:bCs/>
                <w:szCs w:val="21"/>
              </w:rPr>
              <w:t>（投标时，须提供相关证明文件）；</w:t>
            </w:r>
          </w:p>
          <w:p>
            <w:pPr>
              <w:spacing w:line="360" w:lineRule="auto"/>
              <w:jc w:val="left"/>
              <w:rPr>
                <w:rFonts w:ascii="宋体" w:hAnsi="宋体" w:cs="宋体"/>
                <w:szCs w:val="21"/>
              </w:rPr>
            </w:pPr>
            <w:r>
              <w:rPr>
                <w:rFonts w:hint="eastAsia" w:ascii="宋体" w:hAnsi="宋体" w:cs="宋体"/>
                <w:szCs w:val="21"/>
              </w:rPr>
              <w:t>4.▲检测内容：能够发现胚胎染色体非整倍体以及≥4Mb的染色体缺失/重复；可检出&gt;10Mb及&gt;30%的胚胎嵌合体异常；</w:t>
            </w:r>
          </w:p>
          <w:p>
            <w:pPr>
              <w:spacing w:line="360" w:lineRule="auto"/>
              <w:jc w:val="left"/>
              <w:rPr>
                <w:rFonts w:ascii="宋体" w:hAnsi="宋体" w:cs="宋体"/>
                <w:szCs w:val="21"/>
              </w:rPr>
            </w:pPr>
            <w:r>
              <w:rPr>
                <w:rFonts w:hint="eastAsia" w:ascii="宋体" w:hAnsi="宋体" w:cs="宋体"/>
                <w:szCs w:val="21"/>
              </w:rPr>
              <w:t xml:space="preserve">5.单细胞全基因扩增技术为自主研发，采用国产扩增试剂盒。  </w:t>
            </w:r>
          </w:p>
          <w:p>
            <w:pPr>
              <w:spacing w:line="360" w:lineRule="auto"/>
              <w:jc w:val="left"/>
              <w:rPr>
                <w:rFonts w:ascii="宋体" w:hAnsi="宋体" w:cs="宋体"/>
                <w:szCs w:val="21"/>
              </w:rPr>
            </w:pPr>
            <w:r>
              <w:rPr>
                <w:rFonts w:hint="eastAsia" w:ascii="宋体" w:hAnsi="宋体" w:cs="宋体"/>
                <w:szCs w:val="21"/>
              </w:rPr>
              <w:t>6.可通过测序平台完成对样本异常染色体片段（含嵌合）进行父母源来源区别，并对异常染色体片段进行有丝分裂或减数分裂来源区分（</w:t>
            </w:r>
            <w:r>
              <w:rPr>
                <w:rFonts w:hint="eastAsia" w:ascii="宋体" w:hAnsi="宋体" w:cs="宋体"/>
                <w:b/>
                <w:bCs/>
                <w:szCs w:val="21"/>
              </w:rPr>
              <w:t xml:space="preserve">投标时，须提供分析证明文件）； </w:t>
            </w:r>
          </w:p>
          <w:p>
            <w:pPr>
              <w:spacing w:line="360" w:lineRule="auto"/>
              <w:jc w:val="left"/>
              <w:rPr>
                <w:rFonts w:ascii="宋体" w:hAnsi="宋体" w:cs="宋体"/>
                <w:szCs w:val="21"/>
              </w:rPr>
            </w:pPr>
            <w:r>
              <w:rPr>
                <w:rFonts w:hint="eastAsia" w:ascii="宋体" w:hAnsi="宋体" w:cs="宋体"/>
                <w:szCs w:val="21"/>
              </w:rPr>
              <w:t>7.本地化能力：可协助医院实现本地化检测分析，并提供技术支持、遗传咨询培训及实验室体系管理培训等；</w:t>
            </w:r>
          </w:p>
          <w:p>
            <w:pPr>
              <w:spacing w:line="360" w:lineRule="auto"/>
              <w:jc w:val="left"/>
              <w:rPr>
                <w:rFonts w:ascii="宋体" w:hAnsi="宋体" w:cs="宋体"/>
                <w:szCs w:val="21"/>
              </w:rPr>
            </w:pPr>
            <w:r>
              <w:rPr>
                <w:rFonts w:hint="eastAsia" w:ascii="宋体" w:hAnsi="宋体" w:cs="宋体"/>
                <w:szCs w:val="21"/>
              </w:rPr>
              <w:t xml:space="preserve">8.▲提供进行 PGT-A 检测必要的配套试剂及耗材等。                                                                 </w:t>
            </w:r>
          </w:p>
          <w:p>
            <w:pPr>
              <w:spacing w:line="360" w:lineRule="auto"/>
              <w:jc w:val="left"/>
              <w:rPr>
                <w:rFonts w:ascii="宋体" w:hAnsi="宋体" w:cs="宋体"/>
                <w:b/>
                <w:bCs/>
                <w:szCs w:val="21"/>
              </w:rPr>
            </w:pPr>
            <w:r>
              <w:rPr>
                <w:rFonts w:hint="eastAsia" w:ascii="宋体" w:hAnsi="宋体" w:cs="宋体"/>
                <w:b/>
                <w:bCs/>
                <w:szCs w:val="21"/>
              </w:rPr>
              <w:t>二、PGT-M试剂盒参数</w:t>
            </w:r>
          </w:p>
          <w:p>
            <w:pPr>
              <w:spacing w:line="360" w:lineRule="auto"/>
              <w:jc w:val="left"/>
              <w:rPr>
                <w:rFonts w:ascii="宋体" w:hAnsi="宋体" w:cs="宋体"/>
                <w:b/>
                <w:bCs/>
                <w:szCs w:val="21"/>
              </w:rPr>
            </w:pPr>
            <w:r>
              <w:rPr>
                <w:rFonts w:hint="eastAsia" w:ascii="宋体" w:hAnsi="宋体" w:cs="宋体"/>
                <w:szCs w:val="21"/>
              </w:rPr>
              <w:t>1.具备完善的防污染、防错体系及措施，扩增和建库过程少换管，防污染能力强，需设置外参物防错体系</w:t>
            </w:r>
            <w:r>
              <w:rPr>
                <w:rFonts w:hint="eastAsia" w:ascii="宋体" w:hAnsi="宋体" w:cs="宋体"/>
                <w:b/>
                <w:bCs/>
                <w:szCs w:val="21"/>
              </w:rPr>
              <w:t>（投标时，须提供证明文件）；</w:t>
            </w:r>
          </w:p>
          <w:p>
            <w:pPr>
              <w:spacing w:line="360" w:lineRule="auto"/>
              <w:jc w:val="left"/>
              <w:rPr>
                <w:rFonts w:ascii="宋体" w:hAnsi="宋体" w:cs="宋体"/>
                <w:szCs w:val="21"/>
              </w:rPr>
            </w:pPr>
            <w:r>
              <w:rPr>
                <w:rFonts w:hint="eastAsia" w:ascii="宋体" w:hAnsi="宋体" w:cs="宋体"/>
                <w:szCs w:val="21"/>
              </w:rPr>
              <w:t>2.▲检测内容：能够利用二代测序技术对胚胎23对染色体进行检测，能够发现胚胎染色体非整倍体，针对已知异常染色体分析≥1Mb的染色体缺失/重复，其他染色体≥4Mb的染色体缺失/重复异常；能够报出10Mb以上且≥30%的嵌合；能够采用Sanger/PCR等方法对胚胎致病基因位点进行直接检测；能够采用SNP连锁分析的方法对胚胎的致病基因位点携带情况进行间接分析，避免脱扣导致的假阴性，确保结果的准确性；</w:t>
            </w:r>
          </w:p>
          <w:p>
            <w:pPr>
              <w:spacing w:line="360" w:lineRule="auto"/>
              <w:jc w:val="left"/>
              <w:rPr>
                <w:rFonts w:ascii="宋体" w:hAnsi="宋体" w:cs="宋体"/>
                <w:szCs w:val="21"/>
              </w:rPr>
            </w:pPr>
            <w:r>
              <w:rPr>
                <w:rFonts w:hint="eastAsia" w:ascii="宋体" w:hAnsi="宋体" w:cs="宋体"/>
                <w:szCs w:val="21"/>
              </w:rPr>
              <w:t>3.▲具有配套的胚胎植入前染色体非整倍体分析软件，无需专业生信人员即可完成整个检测项目；</w:t>
            </w:r>
          </w:p>
          <w:p>
            <w:pPr>
              <w:spacing w:line="360" w:lineRule="auto"/>
              <w:jc w:val="left"/>
              <w:rPr>
                <w:rFonts w:ascii="宋体" w:hAnsi="宋体" w:cs="宋体"/>
                <w:szCs w:val="21"/>
              </w:rPr>
            </w:pPr>
            <w:r>
              <w:rPr>
                <w:rFonts w:hint="eastAsia" w:ascii="宋体" w:hAnsi="宋体" w:cs="宋体"/>
                <w:szCs w:val="21"/>
              </w:rPr>
              <w:t>4.提供配套的PGT实验室管理系统，具备样本信息管理、实验全流程数据管理、自动化数据分析、可视化数据分析、个性化报告定制、试剂耗材管理与本地知识库的本地化系统；</w:t>
            </w:r>
          </w:p>
          <w:p>
            <w:pPr>
              <w:spacing w:line="360" w:lineRule="auto"/>
              <w:jc w:val="left"/>
              <w:rPr>
                <w:rFonts w:ascii="宋体" w:hAnsi="宋体" w:cs="宋体"/>
                <w:szCs w:val="21"/>
              </w:rPr>
            </w:pPr>
            <w:r>
              <w:rPr>
                <w:rFonts w:hint="eastAsia" w:ascii="宋体" w:hAnsi="宋体" w:cs="宋体"/>
                <w:szCs w:val="21"/>
              </w:rPr>
              <w:t>5.服务经验丰富，应用于临床样本数超过30000例；完成不少于1200种单基因遗传病的阻断</w:t>
            </w:r>
            <w:r>
              <w:rPr>
                <w:rFonts w:hint="eastAsia" w:ascii="宋体" w:hAnsi="宋体" w:cs="宋体"/>
                <w:b/>
                <w:bCs/>
                <w:szCs w:val="21"/>
              </w:rPr>
              <w:t>（投标时，投标文件中须提供相关疾病名单)；</w:t>
            </w:r>
          </w:p>
          <w:p>
            <w:pPr>
              <w:spacing w:line="360" w:lineRule="auto"/>
              <w:jc w:val="left"/>
              <w:rPr>
                <w:rFonts w:ascii="宋体" w:hAnsi="宋体" w:cs="宋体"/>
                <w:szCs w:val="21"/>
              </w:rPr>
            </w:pPr>
            <w:r>
              <w:rPr>
                <w:rFonts w:hint="eastAsia" w:ascii="宋体" w:hAnsi="宋体" w:cs="宋体"/>
                <w:szCs w:val="21"/>
              </w:rPr>
              <w:t>6. 本地化能力：可协助医院实现本地化检测分析，并提供技术支持、遗传咨询培训及实验室体系管理培训等；</w:t>
            </w:r>
          </w:p>
          <w:p>
            <w:pPr>
              <w:spacing w:line="360" w:lineRule="auto"/>
              <w:jc w:val="left"/>
              <w:rPr>
                <w:rFonts w:ascii="宋体" w:hAnsi="宋体" w:cs="宋体"/>
                <w:szCs w:val="21"/>
              </w:rPr>
            </w:pPr>
            <w:r>
              <w:rPr>
                <w:rFonts w:hint="eastAsia" w:ascii="宋体" w:hAnsi="宋体" w:cs="宋体"/>
                <w:szCs w:val="21"/>
              </w:rPr>
              <w:t>7.▲提供进行 PGT-M 检测必要的配套试剂及耗材等。</w:t>
            </w:r>
          </w:p>
          <w:p>
            <w:pPr>
              <w:spacing w:line="360" w:lineRule="auto"/>
              <w:jc w:val="left"/>
              <w:rPr>
                <w:rFonts w:ascii="宋体" w:hAnsi="宋体" w:cs="宋体"/>
                <w:b/>
                <w:bCs/>
                <w:szCs w:val="21"/>
              </w:rPr>
            </w:pPr>
            <w:r>
              <w:rPr>
                <w:rFonts w:hint="eastAsia" w:ascii="宋体" w:hAnsi="宋体" w:cs="宋体"/>
                <w:b/>
                <w:bCs/>
                <w:szCs w:val="21"/>
              </w:rPr>
              <w:t>三、PGT-SR参数</w:t>
            </w:r>
          </w:p>
          <w:p>
            <w:pPr>
              <w:spacing w:line="360" w:lineRule="auto"/>
              <w:jc w:val="left"/>
              <w:rPr>
                <w:rFonts w:ascii="宋体" w:hAnsi="宋体" w:cs="宋体"/>
                <w:szCs w:val="21"/>
              </w:rPr>
            </w:pPr>
            <w:r>
              <w:rPr>
                <w:rFonts w:hint="eastAsia" w:ascii="宋体" w:hAnsi="宋体" w:cs="宋体"/>
                <w:szCs w:val="21"/>
              </w:rPr>
              <w:t>1.具备完善的防污染、防错体系及措施，扩增和建库过程少换管，防污染能力强，需设置外参物防错体系</w:t>
            </w:r>
            <w:r>
              <w:rPr>
                <w:rFonts w:hint="eastAsia" w:ascii="宋体" w:hAnsi="宋体" w:cs="宋体"/>
                <w:b/>
                <w:bCs/>
                <w:szCs w:val="21"/>
              </w:rPr>
              <w:t>（投标时，须提供证明文件）</w:t>
            </w:r>
            <w:r>
              <w:rPr>
                <w:rFonts w:hint="eastAsia" w:ascii="宋体" w:hAnsi="宋体" w:cs="宋体"/>
                <w:szCs w:val="21"/>
              </w:rPr>
              <w:t xml:space="preserve">；                                           </w:t>
            </w:r>
          </w:p>
          <w:p>
            <w:pPr>
              <w:spacing w:line="360" w:lineRule="auto"/>
              <w:jc w:val="left"/>
              <w:rPr>
                <w:rFonts w:ascii="宋体" w:hAnsi="宋体" w:cs="宋体"/>
                <w:szCs w:val="21"/>
              </w:rPr>
            </w:pPr>
            <w:r>
              <w:rPr>
                <w:rFonts w:hint="eastAsia" w:ascii="宋体" w:hAnsi="宋体" w:cs="宋体"/>
                <w:szCs w:val="21"/>
              </w:rPr>
              <w:t>2.▲检测内容：能够利用二代测序技术对胚胎23对染色体进行检测，能够发现胚胎染色体非整倍体，≥4Mb的染色体缺失/重复异常；能够报出10Mb以上且≥30%的嵌合;能够进行携带者区分；</w:t>
            </w:r>
          </w:p>
          <w:p>
            <w:pPr>
              <w:spacing w:line="360" w:lineRule="auto"/>
              <w:jc w:val="left"/>
              <w:rPr>
                <w:rFonts w:ascii="宋体" w:hAnsi="宋体" w:cs="宋体"/>
                <w:szCs w:val="21"/>
              </w:rPr>
            </w:pPr>
            <w:r>
              <w:rPr>
                <w:rFonts w:hint="eastAsia" w:ascii="宋体" w:hAnsi="宋体" w:cs="宋体"/>
                <w:szCs w:val="21"/>
              </w:rPr>
              <w:t>3.▲具有配套的胚胎植入前染色体非整倍体分析软件，无需专业生信人员即可完成整个检测项目；</w:t>
            </w:r>
          </w:p>
          <w:p>
            <w:pPr>
              <w:spacing w:line="360" w:lineRule="auto"/>
              <w:jc w:val="left"/>
              <w:rPr>
                <w:rFonts w:ascii="宋体" w:hAnsi="宋体" w:cs="宋体"/>
                <w:szCs w:val="21"/>
              </w:rPr>
            </w:pPr>
            <w:r>
              <w:rPr>
                <w:rFonts w:hint="eastAsia" w:ascii="宋体" w:hAnsi="宋体" w:cs="宋体"/>
                <w:szCs w:val="21"/>
              </w:rPr>
              <w:t>4.罗氏易位患者家系不全且无反推胚的情况下，仅提供携带者外周血就能实现携带胚胎区分；</w:t>
            </w:r>
          </w:p>
          <w:p>
            <w:pPr>
              <w:spacing w:line="360" w:lineRule="auto"/>
              <w:jc w:val="left"/>
              <w:rPr>
                <w:rFonts w:ascii="宋体" w:hAnsi="宋体" w:cs="宋体"/>
                <w:szCs w:val="21"/>
              </w:rPr>
            </w:pPr>
            <w:r>
              <w:rPr>
                <w:rFonts w:hint="eastAsia" w:ascii="宋体" w:hAnsi="宋体" w:cs="宋体"/>
                <w:szCs w:val="21"/>
              </w:rPr>
              <w:t>5.可提供自主研发且不同扩增方式的单细胞全基因扩增技术，且被专家共识收录</w:t>
            </w:r>
            <w:r>
              <w:rPr>
                <w:rFonts w:hint="eastAsia" w:ascii="宋体" w:hAnsi="宋体" w:cs="宋体"/>
                <w:b/>
                <w:bCs/>
                <w:szCs w:val="21"/>
              </w:rPr>
              <w:t>（投标时，提供试剂盒说明书及专家共识收录证明）；</w:t>
            </w:r>
          </w:p>
          <w:p>
            <w:pPr>
              <w:spacing w:line="360" w:lineRule="auto"/>
              <w:jc w:val="left"/>
              <w:rPr>
                <w:rFonts w:ascii="宋体" w:hAnsi="宋体" w:cs="宋体"/>
                <w:szCs w:val="21"/>
              </w:rPr>
            </w:pPr>
            <w:r>
              <w:rPr>
                <w:rFonts w:hint="eastAsia" w:ascii="宋体" w:hAnsi="宋体" w:cs="宋体"/>
                <w:szCs w:val="21"/>
              </w:rPr>
              <w:t>6.可通过测序平台完成对样本异常染色体片段（含嵌合）进行父母源来源区别，并对异常染色体片段进行有丝分裂或减数分裂来源区分</w:t>
            </w:r>
            <w:r>
              <w:rPr>
                <w:rFonts w:hint="eastAsia" w:ascii="宋体" w:hAnsi="宋体" w:cs="宋体"/>
                <w:b/>
                <w:bCs/>
                <w:szCs w:val="21"/>
              </w:rPr>
              <w:t>（投标时，提供分析证明）</w:t>
            </w:r>
            <w:r>
              <w:rPr>
                <w:rFonts w:hint="eastAsia" w:ascii="宋体" w:hAnsi="宋体" w:cs="宋体"/>
                <w:szCs w:val="21"/>
              </w:rPr>
              <w:t>；</w:t>
            </w:r>
          </w:p>
          <w:p>
            <w:pPr>
              <w:pStyle w:val="123"/>
              <w:spacing w:line="360" w:lineRule="auto"/>
              <w:ind w:right="283"/>
              <w:rPr>
                <w:lang w:eastAsia="zh-CN"/>
              </w:rPr>
            </w:pPr>
            <w:r>
              <w:rPr>
                <w:rFonts w:hint="eastAsia"/>
                <w:lang w:eastAsia="zh-CN"/>
              </w:rPr>
              <w:t>7.本地化能力：可协助医院实现本地化检测分析，并提供技术支持、遗传咨询培训及实验室体系管理培训等；</w:t>
            </w:r>
          </w:p>
          <w:p>
            <w:pPr>
              <w:spacing w:line="360" w:lineRule="auto"/>
              <w:jc w:val="left"/>
              <w:rPr>
                <w:rFonts w:ascii="宋体" w:hAnsi="宋体" w:cs="宋体"/>
                <w:szCs w:val="21"/>
              </w:rPr>
            </w:pPr>
            <w:r>
              <w:rPr>
                <w:rFonts w:hint="eastAsia" w:ascii="宋体" w:hAnsi="宋体" w:cs="宋体"/>
              </w:rPr>
              <w:t>8.</w:t>
            </w:r>
            <w:r>
              <w:rPr>
                <w:rFonts w:hint="eastAsia" w:ascii="宋体" w:hAnsi="宋体" w:cs="宋体"/>
                <w:szCs w:val="21"/>
              </w:rPr>
              <w:t>▲提供进行 PGT-SR 检测必要的配套试剂及耗材等。</w:t>
            </w:r>
          </w:p>
          <w:p>
            <w:pPr>
              <w:pStyle w:val="123"/>
              <w:spacing w:line="360" w:lineRule="auto"/>
              <w:ind w:right="283"/>
              <w:rPr>
                <w:b/>
                <w:u w:val="single"/>
                <w:lang w:eastAsia="zh-CN"/>
              </w:rPr>
            </w:pPr>
          </w:p>
        </w:tc>
        <w:tc>
          <w:tcPr>
            <w:tcW w:w="1644" w:type="dxa"/>
            <w:vAlign w:val="center"/>
          </w:tcPr>
          <w:p>
            <w:pPr>
              <w:spacing w:line="360" w:lineRule="auto"/>
              <w:jc w:val="center"/>
              <w:rPr>
                <w:rFonts w:ascii="宋体" w:hAnsi="宋体" w:cs="宋体"/>
                <w:b/>
                <w:szCs w:val="21"/>
                <w:u w:val="single"/>
              </w:rPr>
            </w:pPr>
            <w:r>
              <w:rPr>
                <w:rFonts w:hint="eastAsia" w:ascii="宋体" w:hAnsi="宋体" w:cs="宋体"/>
                <w:szCs w:val="21"/>
              </w:rPr>
              <w:t>2045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80" w:type="dxa"/>
            <w:gridSpan w:val="7"/>
            <w:vAlign w:val="center"/>
          </w:tcPr>
          <w:p>
            <w:pPr>
              <w:spacing w:line="360" w:lineRule="auto"/>
              <w:jc w:val="center"/>
              <w:rPr>
                <w:rFonts w:ascii="宋体" w:hAnsi="宋体" w:cs="宋体"/>
                <w:szCs w:val="21"/>
              </w:rPr>
            </w:pPr>
            <w:r>
              <w:rPr>
                <w:rFonts w:hint="eastAsia" w:ascii="宋体" w:hAnsi="宋体" w:cs="宋体"/>
                <w:b/>
                <w:bCs/>
                <w:szCs w:val="21"/>
              </w:rPr>
              <w:t>▲备注：以上检测次数为预估数量，具体数量以实际检测次数为准。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980" w:type="dxa"/>
            <w:gridSpan w:val="7"/>
            <w:vAlign w:val="center"/>
          </w:tcPr>
          <w:p>
            <w:pPr>
              <w:spacing w:line="360" w:lineRule="auto"/>
              <w:jc w:val="left"/>
              <w:rPr>
                <w:rFonts w:ascii="宋体" w:hAnsi="宋体" w:cs="宋体"/>
                <w:b/>
                <w:szCs w:val="21"/>
                <w:u w:val="single"/>
              </w:rPr>
            </w:pPr>
            <w:r>
              <w:rPr>
                <w:rFonts w:hint="eastAsia" w:ascii="宋体" w:hAnsi="宋体" w:cs="宋体"/>
                <w:b/>
                <w:szCs w:val="21"/>
              </w:rPr>
              <w:t>二、商务要求表（商务条款）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12" w:type="dxa"/>
            <w:gridSpan w:val="2"/>
            <w:vAlign w:val="center"/>
          </w:tcPr>
          <w:p>
            <w:pPr>
              <w:spacing w:line="360" w:lineRule="auto"/>
              <w:jc w:val="left"/>
              <w:rPr>
                <w:rFonts w:ascii="宋体" w:hAnsi="宋体" w:cs="宋体"/>
                <w:b/>
                <w:szCs w:val="21"/>
                <w:u w:val="single"/>
              </w:rPr>
            </w:pPr>
            <w:r>
              <w:rPr>
                <w:rFonts w:hint="eastAsia" w:ascii="宋体" w:hAnsi="宋体" w:cs="宋体"/>
                <w:szCs w:val="21"/>
              </w:rPr>
              <w:t>合同签订时间</w:t>
            </w:r>
          </w:p>
        </w:tc>
        <w:tc>
          <w:tcPr>
            <w:tcW w:w="8468" w:type="dxa"/>
            <w:gridSpan w:val="5"/>
            <w:vAlign w:val="center"/>
          </w:tcPr>
          <w:p>
            <w:pPr>
              <w:spacing w:line="360" w:lineRule="auto"/>
              <w:jc w:val="left"/>
              <w:rPr>
                <w:rFonts w:ascii="宋体" w:hAnsi="宋体" w:cs="宋体"/>
                <w:b/>
                <w:szCs w:val="21"/>
                <w:u w:val="single"/>
              </w:rPr>
            </w:pPr>
            <w:r>
              <w:rPr>
                <w:rFonts w:hint="eastAsia" w:ascii="宋体" w:hAnsi="宋体" w:cs="宋体"/>
                <w:szCs w:val="21"/>
              </w:rPr>
              <w:t>自中标通知书发出之日起 25 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512" w:type="dxa"/>
            <w:gridSpan w:val="2"/>
            <w:vAlign w:val="center"/>
          </w:tcPr>
          <w:p>
            <w:pPr>
              <w:snapToGrid w:val="0"/>
              <w:spacing w:line="360" w:lineRule="auto"/>
              <w:jc w:val="center"/>
              <w:rPr>
                <w:rFonts w:ascii="宋体" w:hAnsi="宋体" w:cs="宋体"/>
                <w:b/>
                <w:szCs w:val="21"/>
                <w:u w:val="single"/>
              </w:rPr>
            </w:pPr>
            <w:r>
              <w:rPr>
                <w:rFonts w:hint="eastAsia" w:ascii="宋体" w:hAnsi="宋体" w:cs="宋体"/>
                <w:szCs w:val="21"/>
              </w:rPr>
              <w:t>服务时间及地点</w:t>
            </w:r>
          </w:p>
        </w:tc>
        <w:tc>
          <w:tcPr>
            <w:tcW w:w="8468" w:type="dxa"/>
            <w:gridSpan w:val="5"/>
          </w:tcPr>
          <w:p>
            <w:pPr>
              <w:spacing w:line="360" w:lineRule="auto"/>
              <w:rPr>
                <w:rFonts w:ascii="宋体" w:hAnsi="宋体" w:cs="宋体"/>
                <w:szCs w:val="21"/>
              </w:rPr>
            </w:pPr>
            <w:r>
              <w:rPr>
                <w:rFonts w:hint="eastAsia" w:ascii="宋体" w:hAnsi="宋体" w:cs="宋体"/>
                <w:szCs w:val="21"/>
              </w:rPr>
              <w:t>1、 服务期限：自合同签订之日起一年，以合同约定的具体时间为准。</w:t>
            </w:r>
          </w:p>
          <w:p>
            <w:pPr>
              <w:spacing w:line="360" w:lineRule="auto"/>
              <w:rPr>
                <w:rFonts w:ascii="宋体" w:hAnsi="宋体" w:cs="宋体"/>
                <w:szCs w:val="21"/>
              </w:rPr>
            </w:pPr>
            <w:r>
              <w:rPr>
                <w:rFonts w:hint="eastAsia" w:ascii="宋体" w:hAnsi="宋体" w:cs="宋体"/>
                <w:szCs w:val="21"/>
              </w:rPr>
              <w:t>2、 配送时间：分批次交货，中标供应商收到采购人通知后，5 天内按采购人要求将货送到指定地点，急需耗材的送货时间以科室届时实际要求为准；服务期限内，中标供应商逾期送货累计超过 2 次（不含本数），采购人有权单方解除合同并按合同约定追究中标供应商的违约责任。</w:t>
            </w:r>
          </w:p>
          <w:p>
            <w:pPr>
              <w:spacing w:line="360" w:lineRule="auto"/>
              <w:ind w:left="2"/>
              <w:rPr>
                <w:rFonts w:ascii="宋体" w:hAnsi="宋体" w:cs="宋体"/>
                <w:b/>
                <w:szCs w:val="21"/>
                <w:u w:val="single"/>
              </w:rPr>
            </w:pPr>
            <w:r>
              <w:rPr>
                <w:rFonts w:hint="eastAsia" w:ascii="宋体" w:hAnsi="宋体" w:cs="宋体"/>
                <w:szCs w:val="21"/>
              </w:rPr>
              <w:t>3、配送地点：采购人指定地点。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512" w:type="dxa"/>
            <w:gridSpan w:val="2"/>
            <w:vAlign w:val="center"/>
          </w:tcPr>
          <w:p>
            <w:pPr>
              <w:snapToGrid w:val="0"/>
              <w:spacing w:line="360" w:lineRule="auto"/>
              <w:jc w:val="center"/>
              <w:rPr>
                <w:rFonts w:ascii="宋体" w:hAnsi="宋体" w:cs="宋体"/>
                <w:b/>
                <w:szCs w:val="21"/>
                <w:u w:val="single"/>
              </w:rPr>
            </w:pPr>
            <w:r>
              <w:rPr>
                <w:rFonts w:hint="eastAsia" w:ascii="宋体" w:hAnsi="宋体" w:cs="宋体"/>
                <w:szCs w:val="21"/>
              </w:rPr>
              <w:t xml:space="preserve">质保期 </w:t>
            </w:r>
          </w:p>
        </w:tc>
        <w:tc>
          <w:tcPr>
            <w:tcW w:w="8468" w:type="dxa"/>
            <w:gridSpan w:val="5"/>
          </w:tcPr>
          <w:p>
            <w:pPr>
              <w:spacing w:line="360" w:lineRule="auto"/>
              <w:ind w:left="2"/>
              <w:rPr>
                <w:rFonts w:ascii="宋体" w:hAnsi="宋体" w:cs="宋体"/>
                <w:b/>
                <w:szCs w:val="21"/>
                <w:u w:val="single"/>
              </w:rPr>
            </w:pPr>
            <w:r>
              <w:rPr>
                <w:rFonts w:hint="eastAsia" w:ascii="宋体" w:hAnsi="宋体" w:cs="宋体"/>
                <w:szCs w:val="21"/>
              </w:rPr>
              <w:t>按国家有关产品“三包”规定执行“三包”，除特别说明外，质保期为不得少于 1 年，自产品验收合格并能正常使用之日算起。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1" w:hRule="atLeast"/>
        </w:trPr>
        <w:tc>
          <w:tcPr>
            <w:tcW w:w="1512" w:type="dxa"/>
            <w:gridSpan w:val="2"/>
            <w:vAlign w:val="center"/>
          </w:tcPr>
          <w:p>
            <w:pPr>
              <w:snapToGrid w:val="0"/>
              <w:spacing w:line="360" w:lineRule="auto"/>
              <w:jc w:val="center"/>
              <w:rPr>
                <w:rFonts w:ascii="宋体" w:hAnsi="宋体" w:cs="宋体"/>
                <w:b/>
                <w:szCs w:val="21"/>
                <w:u w:val="single"/>
              </w:rPr>
            </w:pPr>
            <w:r>
              <w:rPr>
                <w:rFonts w:hint="eastAsia" w:ascii="宋体" w:hAnsi="宋体" w:cs="宋体"/>
                <w:szCs w:val="21"/>
              </w:rPr>
              <w:t>售后服务要求</w:t>
            </w:r>
          </w:p>
        </w:tc>
        <w:tc>
          <w:tcPr>
            <w:tcW w:w="8468" w:type="dxa"/>
            <w:gridSpan w:val="5"/>
          </w:tcPr>
          <w:p>
            <w:pPr>
              <w:spacing w:line="360" w:lineRule="auto"/>
              <w:rPr>
                <w:rFonts w:ascii="宋体" w:hAnsi="宋体" w:cs="宋体"/>
                <w:szCs w:val="21"/>
              </w:rPr>
            </w:pPr>
            <w:r>
              <w:rPr>
                <w:rFonts w:hint="eastAsia" w:ascii="宋体" w:hAnsi="宋体" w:cs="宋体"/>
                <w:szCs w:val="21"/>
              </w:rPr>
              <w:t>1、免费送货上门，因送货时间延长累计超过 2 次，采购人有权终止合同；</w:t>
            </w:r>
          </w:p>
          <w:p>
            <w:pPr>
              <w:spacing w:line="360" w:lineRule="auto"/>
              <w:rPr>
                <w:rFonts w:ascii="宋体" w:hAnsi="宋体" w:cs="宋体"/>
                <w:szCs w:val="21"/>
              </w:rPr>
            </w:pPr>
            <w:r>
              <w:rPr>
                <w:rFonts w:hint="eastAsia" w:ascii="宋体" w:hAnsi="宋体" w:cs="宋体"/>
                <w:szCs w:val="21"/>
              </w:rPr>
              <w:t>2、试剂在使用过程中，如有任何质量问题，在接到电话通知后，2 小时内做出响应，24 小时内到达现场。遇到突发情况，须在 1 小时内到达现场。一般问题应在 24 小时内解决，重大问题或其它无法迅速解决的问题应在五个工作日内解决，否则须在采购人允许的迅速解决的问题的期限后二个工作日内提供与原试剂参数要求相同或高于原试剂参数要求的备用产品，以保证采购人的正常工作。</w:t>
            </w:r>
          </w:p>
          <w:p>
            <w:pPr>
              <w:spacing w:line="360" w:lineRule="auto"/>
              <w:rPr>
                <w:rFonts w:ascii="宋体" w:hAnsi="宋体" w:cs="宋体"/>
                <w:szCs w:val="21"/>
              </w:rPr>
            </w:pPr>
            <w:r>
              <w:rPr>
                <w:rFonts w:hint="eastAsia" w:ascii="宋体" w:hAnsi="宋体" w:cs="宋体"/>
                <w:szCs w:val="21"/>
              </w:rPr>
              <w:t>3、配送的产品必须是全新、未使用过的产品。产品包装必须是未经使用的全新的合格产品，并按照原厂标准包装规格供货，不接受散装或拆包装件。所有货物都提供使用说明书和详细装箱清单及质量合格证，如确定有质量问题，按照正常程序退货；</w:t>
            </w:r>
          </w:p>
          <w:p>
            <w:pPr>
              <w:spacing w:line="360" w:lineRule="auto"/>
              <w:rPr>
                <w:rFonts w:ascii="宋体" w:hAnsi="宋体" w:cs="宋体"/>
                <w:szCs w:val="21"/>
              </w:rPr>
            </w:pPr>
            <w:r>
              <w:rPr>
                <w:rFonts w:hint="eastAsia" w:ascii="宋体" w:hAnsi="宋体" w:cs="宋体"/>
                <w:szCs w:val="21"/>
              </w:rPr>
              <w:t>4、开箱如有缺货、错装、损坏或质量问题，供应商承担全部责任，到货后，货物及其附属物品与合同规定的数量和质量不符，由此造成的货物退换过程的一切费用供应商承担。</w:t>
            </w:r>
          </w:p>
          <w:p>
            <w:pPr>
              <w:spacing w:line="360" w:lineRule="auto"/>
              <w:rPr>
                <w:rFonts w:ascii="宋体" w:hAnsi="宋体" w:cs="宋体"/>
                <w:szCs w:val="21"/>
              </w:rPr>
            </w:pPr>
            <w:r>
              <w:rPr>
                <w:rFonts w:hint="eastAsia" w:ascii="宋体" w:hAnsi="宋体" w:cs="宋体"/>
                <w:szCs w:val="21"/>
              </w:rPr>
              <w:t>5、响应文件中提供可行的售后服务承诺书：`</w:t>
            </w:r>
          </w:p>
          <w:p>
            <w:pPr>
              <w:spacing w:line="360" w:lineRule="auto"/>
              <w:rPr>
                <w:rFonts w:ascii="宋体" w:hAnsi="宋体" w:cs="宋体"/>
                <w:szCs w:val="21"/>
              </w:rPr>
            </w:pPr>
            <w:r>
              <w:rPr>
                <w:rFonts w:hint="eastAsia" w:ascii="宋体" w:hAnsi="宋体" w:cs="宋体"/>
                <w:szCs w:val="21"/>
              </w:rPr>
              <w:t>6、成交供应商要在供货数量达到合同签订数量70%后，及时主动联系采购人告知已送货数量。</w:t>
            </w:r>
          </w:p>
          <w:p>
            <w:pPr>
              <w:spacing w:line="360" w:lineRule="auto"/>
              <w:rPr>
                <w:rFonts w:ascii="宋体" w:hAnsi="宋体" w:cs="宋体"/>
                <w:szCs w:val="21"/>
              </w:rPr>
            </w:pPr>
            <w:r>
              <w:rPr>
                <w:rFonts w:hint="eastAsia" w:ascii="宋体" w:hAnsi="宋体" w:cs="宋体"/>
                <w:szCs w:val="21"/>
              </w:rPr>
              <w:t>7、保证货物在合同期限内有相关产品授权，不得以授权到期为由申请转配送或逾期不供货。</w:t>
            </w:r>
          </w:p>
          <w:p>
            <w:pPr>
              <w:spacing w:line="360" w:lineRule="auto"/>
              <w:rPr>
                <w:rFonts w:ascii="宋体" w:hAnsi="宋体" w:cs="宋体"/>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7" w:hRule="atLeast"/>
        </w:trPr>
        <w:tc>
          <w:tcPr>
            <w:tcW w:w="1512" w:type="dxa"/>
            <w:gridSpan w:val="2"/>
            <w:vAlign w:val="center"/>
          </w:tcPr>
          <w:p>
            <w:pPr>
              <w:snapToGrid w:val="0"/>
              <w:spacing w:line="360" w:lineRule="auto"/>
              <w:jc w:val="center"/>
              <w:rPr>
                <w:rFonts w:ascii="宋体" w:hAnsi="宋体" w:cs="宋体"/>
                <w:b/>
                <w:szCs w:val="21"/>
                <w:u w:val="single"/>
              </w:rPr>
            </w:pPr>
            <w:r>
              <w:rPr>
                <w:rFonts w:hint="eastAsia" w:ascii="宋体" w:hAnsi="宋体" w:cs="宋体"/>
                <w:szCs w:val="21"/>
              </w:rPr>
              <w:t>付款方式</w:t>
            </w:r>
          </w:p>
        </w:tc>
        <w:tc>
          <w:tcPr>
            <w:tcW w:w="8468" w:type="dxa"/>
            <w:gridSpan w:val="5"/>
          </w:tcPr>
          <w:p>
            <w:pPr>
              <w:spacing w:line="360" w:lineRule="auto"/>
              <w:rPr>
                <w:rFonts w:ascii="宋体" w:hAnsi="宋体" w:cs="宋体"/>
                <w:szCs w:val="21"/>
              </w:rPr>
            </w:pPr>
            <w:r>
              <w:rPr>
                <w:rFonts w:hint="eastAsia" w:ascii="宋体" w:hAnsi="宋体" w:cs="宋体"/>
                <w:szCs w:val="21"/>
              </w:rPr>
              <w:t>1、中标供应商送货验收合格后，采购人每月根据实际配送产品数量进行结算，结算时，按实际供货数量×中标供应商的中标单价结算。中标供应商据此开具发票（发票必须由中标供应商自行验证真伪随同发票一并提供），采购人于收到发票并验收合格后120日内付款。</w:t>
            </w:r>
          </w:p>
          <w:p>
            <w:pPr>
              <w:spacing w:line="360" w:lineRule="auto"/>
              <w:rPr>
                <w:rFonts w:ascii="宋体" w:hAnsi="宋体" w:cs="宋体"/>
                <w:szCs w:val="21"/>
              </w:rPr>
            </w:pPr>
            <w:r>
              <w:rPr>
                <w:rFonts w:hint="eastAsia" w:ascii="宋体" w:hAnsi="宋体" w:cs="宋体"/>
                <w:szCs w:val="21"/>
              </w:rPr>
              <w:t>2、本合同配送的产品为单价，在合同期内需适时调整。若遇市场（包括但不限于中标供应商及其总代、厂家、政府等）价格下调，中标供应商应主动及时向采购人提交降价函，于次月执行。</w:t>
            </w:r>
          </w:p>
          <w:p>
            <w:pPr>
              <w:pStyle w:val="25"/>
              <w:snapToGrid w:val="0"/>
              <w:spacing w:line="360" w:lineRule="auto"/>
              <w:outlineLvl w:val="0"/>
              <w:rPr>
                <w:rFonts w:hAnsi="宋体" w:cs="宋体"/>
                <w:b/>
                <w:sz w:val="21"/>
                <w:u w:val="single"/>
              </w:rPr>
            </w:pPr>
            <w:r>
              <w:rPr>
                <w:rFonts w:hint="eastAsia" w:hAnsi="宋体" w:cs="宋体"/>
                <w:sz w:val="21"/>
              </w:rPr>
              <w:t>3、中标供应商保证产品价格不高于广西地区同级别公立医疗机构实际供货的最低价格，否则采购人有权终止合同，且未供货的产品的费用从已供货产品货款进行抵扣结算。合同期内中标供应商不得擅自上调供货价格。若特殊原因需要调价，须经采购人书面同意，并按有关程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8" w:hRule="atLeast"/>
        </w:trPr>
        <w:tc>
          <w:tcPr>
            <w:tcW w:w="1512" w:type="dxa"/>
            <w:gridSpan w:val="2"/>
            <w:vAlign w:val="center"/>
          </w:tcPr>
          <w:p>
            <w:pPr>
              <w:snapToGrid w:val="0"/>
              <w:spacing w:line="360" w:lineRule="auto"/>
              <w:jc w:val="center"/>
              <w:rPr>
                <w:rFonts w:ascii="宋体" w:hAnsi="宋体" w:cs="宋体"/>
                <w:b/>
                <w:szCs w:val="21"/>
                <w:u w:val="single"/>
              </w:rPr>
            </w:pPr>
            <w:r>
              <w:rPr>
                <w:rFonts w:hint="eastAsia" w:ascii="宋体" w:hAnsi="宋体" w:cs="宋体"/>
                <w:szCs w:val="21"/>
              </w:rPr>
              <w:t>验收标准、验收方法</w:t>
            </w:r>
          </w:p>
        </w:tc>
        <w:tc>
          <w:tcPr>
            <w:tcW w:w="8468" w:type="dxa"/>
            <w:gridSpan w:val="5"/>
          </w:tcPr>
          <w:p>
            <w:pPr>
              <w:spacing w:line="360" w:lineRule="auto"/>
              <w:rPr>
                <w:rFonts w:ascii="宋体" w:hAnsi="宋体" w:cs="宋体"/>
                <w:szCs w:val="21"/>
              </w:rPr>
            </w:pPr>
            <w:r>
              <w:rPr>
                <w:rFonts w:hint="eastAsia" w:ascii="宋体" w:hAnsi="宋体" w:cs="宋体"/>
                <w:szCs w:val="21"/>
              </w:rPr>
              <w:t>1、中标供应商提供不符合公告规定的、采购文件、投标文件承诺的或本合同规定的货物，采购人有权拒绝接受。</w:t>
            </w:r>
          </w:p>
          <w:p>
            <w:pPr>
              <w:spacing w:line="360" w:lineRule="auto"/>
              <w:rPr>
                <w:rFonts w:ascii="宋体" w:hAnsi="宋体" w:cs="宋体"/>
                <w:szCs w:val="21"/>
              </w:rPr>
            </w:pPr>
            <w:r>
              <w:rPr>
                <w:rFonts w:hint="eastAsia" w:ascii="宋体" w:hAnsi="宋体" w:cs="宋体"/>
                <w:szCs w:val="21"/>
              </w:rPr>
              <w:t>2、中标供应商应将所提供货物的装箱清单、用户手册、合格证明等交付给采购人，如有缺失应在采购人要求的期限内及时补齐，否则视为逾期配送。</w:t>
            </w:r>
          </w:p>
          <w:p>
            <w:pPr>
              <w:spacing w:line="360" w:lineRule="auto"/>
              <w:rPr>
                <w:rFonts w:ascii="宋体" w:hAnsi="宋体" w:cs="宋体"/>
                <w:szCs w:val="21"/>
              </w:rPr>
            </w:pPr>
            <w:r>
              <w:rPr>
                <w:rFonts w:hint="eastAsia" w:ascii="宋体" w:hAnsi="宋体" w:cs="宋体"/>
                <w:szCs w:val="21"/>
              </w:rPr>
              <w:t>3、产品到达现场后，中标人应在招标单位人员在场情况下当面开箱，共同清点、检查外观，作出开箱记录，双方签字确认。中标人应保证货物到达采购人所在地完好无损，如有缺漏、损坏，由中标人负责调换、补齐或赔偿。</w:t>
            </w:r>
          </w:p>
          <w:p>
            <w:pPr>
              <w:spacing w:line="360" w:lineRule="auto"/>
              <w:rPr>
                <w:rFonts w:ascii="宋体" w:hAnsi="宋体" w:cs="宋体"/>
                <w:szCs w:val="21"/>
              </w:rPr>
            </w:pPr>
            <w:r>
              <w:rPr>
                <w:rFonts w:hint="eastAsia" w:ascii="宋体" w:hAnsi="宋体" w:cs="宋体"/>
                <w:szCs w:val="21"/>
              </w:rPr>
              <w:t>4、采购人对验收有异议的，在验收后以书面形式向中标供应商提出，中标供应商应自收到采购人书面异议后五日内及时予以解决，中标供应商不予答复或未予以实质解决的，视为认可采购人异议及处置意见。</w:t>
            </w:r>
          </w:p>
          <w:p>
            <w:pPr>
              <w:spacing w:line="360" w:lineRule="auto"/>
              <w:rPr>
                <w:rFonts w:ascii="宋体" w:hAnsi="宋体" w:cs="宋体"/>
                <w:szCs w:val="21"/>
              </w:rPr>
            </w:pPr>
            <w:r>
              <w:rPr>
                <w:rFonts w:hint="eastAsia" w:ascii="宋体" w:hAnsi="宋体" w:cs="宋体"/>
                <w:szCs w:val="21"/>
              </w:rPr>
              <w:t>5、若采购人委托第三方组织的验收项目，其验收时间以该项目验收方案确定的验收时间为准，验收结果以该项目验收报告结论为准。在验收过程中发现中标供应商有违约问题，可暂缓资金结算，待违约问题解决后，方可办理资金结算事宜，在此期间，采购人不承担逾期付款责任。</w:t>
            </w:r>
          </w:p>
          <w:p>
            <w:pPr>
              <w:spacing w:line="360" w:lineRule="auto"/>
              <w:rPr>
                <w:rFonts w:ascii="宋体" w:hAnsi="宋体" w:cs="宋体"/>
                <w:szCs w:val="21"/>
              </w:rPr>
            </w:pPr>
            <w:r>
              <w:rPr>
                <w:rFonts w:hint="eastAsia" w:ascii="宋体" w:hAnsi="宋体" w:cs="宋体"/>
                <w:szCs w:val="21"/>
              </w:rPr>
              <w:t>6、其他未尽事宜应严格按照《关于印发广西壮族自治区政府采购项目履约验收管理办法的通知》[桂财采〔2015〕22 号]以及《财政部关于进一步加强政府采购需求和履约验收管理的指导意见》[财库〔2016〕205 号]规定执行。</w:t>
            </w:r>
          </w:p>
          <w:p>
            <w:pPr>
              <w:pStyle w:val="25"/>
              <w:snapToGrid w:val="0"/>
              <w:spacing w:line="360" w:lineRule="auto"/>
              <w:outlineLvl w:val="0"/>
              <w:rPr>
                <w:rFonts w:hAnsi="宋体" w:cs="宋体"/>
                <w:b/>
                <w:sz w:val="21"/>
                <w:u w:val="single"/>
              </w:rPr>
            </w:pPr>
            <w:r>
              <w:rPr>
                <w:rFonts w:hint="eastAsia" w:hAnsi="宋体" w:cs="宋体"/>
                <w:sz w:val="21"/>
              </w:rPr>
              <w:t>7、验收过程中所产生的一切费用均由中标人承担，包括中标人邀请第三方检测机构出具检测报告的费用、邀请第三方验收代理机构组织验收的费用以及因检测或验收不合格导致开展再次检测或验收所产生的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4" w:hRule="atLeast"/>
        </w:trPr>
        <w:tc>
          <w:tcPr>
            <w:tcW w:w="1512" w:type="dxa"/>
            <w:gridSpan w:val="2"/>
            <w:vAlign w:val="center"/>
          </w:tcPr>
          <w:p>
            <w:pPr>
              <w:snapToGrid w:val="0"/>
              <w:spacing w:line="360" w:lineRule="auto"/>
              <w:jc w:val="center"/>
              <w:rPr>
                <w:rFonts w:ascii="宋体" w:hAnsi="宋体" w:cs="宋体"/>
                <w:b/>
                <w:szCs w:val="21"/>
                <w:u w:val="single"/>
              </w:rPr>
            </w:pPr>
            <w:r>
              <w:rPr>
                <w:rFonts w:hint="eastAsia" w:ascii="宋体" w:hAnsi="宋体" w:cs="宋体"/>
                <w:szCs w:val="21"/>
              </w:rPr>
              <w:t>投标报价要求</w:t>
            </w:r>
          </w:p>
        </w:tc>
        <w:tc>
          <w:tcPr>
            <w:tcW w:w="8468" w:type="dxa"/>
            <w:gridSpan w:val="5"/>
          </w:tcPr>
          <w:p>
            <w:pPr>
              <w:pStyle w:val="17"/>
              <w:rPr>
                <w:rFonts w:ascii="宋体" w:hAnsi="宋体" w:cs="宋体"/>
                <w:szCs w:val="21"/>
              </w:rPr>
            </w:pPr>
            <w:r>
              <w:rPr>
                <w:rFonts w:hint="eastAsia" w:ascii="宋体" w:hAnsi="宋体" w:cs="宋体"/>
                <w:szCs w:val="21"/>
              </w:rPr>
              <w:t>1、</w:t>
            </w:r>
            <w:r>
              <w:rPr>
                <w:rFonts w:hint="eastAsia" w:ascii="宋体" w:hAnsi="宋体" w:cs="宋体"/>
              </w:rPr>
              <w:t>采购预算总价</w:t>
            </w:r>
            <w:r>
              <w:rPr>
                <w:rFonts w:hint="eastAsia" w:ascii="宋体" w:hAnsi="宋体" w:cs="宋体"/>
                <w:szCs w:val="21"/>
              </w:rPr>
              <w:t>仅作为合同暂定总价，本项目实行单价合同进行采购，根据实际供货数量*中标供应商的中标单价结算，最终结算金额不得超过预算总价720万元。最终结算金额包括但不限于：完成项目所有服务所需的费用，包含配送的试剂耗材、采购的全部费用、产品指定交货地点的各种费用、售后服务、税金、利息及其它所有成本费用的总和，合同履约期间采购人不再支付其他费用。</w:t>
            </w:r>
          </w:p>
          <w:p>
            <w:pPr>
              <w:spacing w:line="360" w:lineRule="auto"/>
              <w:rPr>
                <w:rFonts w:ascii="宋体" w:hAnsi="宋体" w:cs="宋体"/>
                <w:szCs w:val="21"/>
              </w:rPr>
            </w:pPr>
            <w:r>
              <w:rPr>
                <w:rFonts w:hint="eastAsia" w:ascii="宋体" w:hAnsi="宋体" w:cs="宋体"/>
                <w:szCs w:val="21"/>
              </w:rPr>
              <w:t>2、本项目只确定每个品种耗材的“配送单价”，配送服务费=“配送单价”×实际数量。投标人需按“开标一览表”格式完整填写每个品种耗材的“配送单价”，并填写“单价合计总价”，“单价合计总价”将做为价格分的评审依据。</w:t>
            </w:r>
          </w:p>
          <w:p>
            <w:pPr>
              <w:spacing w:line="360" w:lineRule="auto"/>
              <w:rPr>
                <w:rFonts w:ascii="宋体" w:hAnsi="宋体" w:cs="宋体"/>
                <w:szCs w:val="21"/>
              </w:rPr>
            </w:pPr>
            <w:r>
              <w:rPr>
                <w:rFonts w:hint="eastAsia" w:ascii="宋体" w:hAnsi="宋体" w:cs="宋体"/>
                <w:szCs w:val="21"/>
              </w:rPr>
              <w:t>3、结算时，按实际供货数量*中标供应商的中标单价结算，如在合同期内调整过单价的，按双方确认调整后的单价进行计算。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4" w:hRule="atLeast"/>
        </w:trPr>
        <w:tc>
          <w:tcPr>
            <w:tcW w:w="1512" w:type="dxa"/>
            <w:gridSpan w:val="2"/>
            <w:vAlign w:val="center"/>
          </w:tcPr>
          <w:p>
            <w:pPr>
              <w:snapToGrid w:val="0"/>
              <w:spacing w:line="360" w:lineRule="auto"/>
              <w:jc w:val="center"/>
              <w:rPr>
                <w:rFonts w:ascii="宋体" w:hAnsi="宋体" w:cs="宋体"/>
                <w:b/>
                <w:szCs w:val="21"/>
                <w:u w:val="single"/>
              </w:rPr>
            </w:pPr>
            <w:r>
              <w:rPr>
                <w:rFonts w:hint="eastAsia" w:ascii="宋体" w:hAnsi="宋体" w:cs="宋体"/>
                <w:szCs w:val="21"/>
              </w:rPr>
              <w:t>其他要求</w:t>
            </w:r>
          </w:p>
        </w:tc>
        <w:tc>
          <w:tcPr>
            <w:tcW w:w="8468" w:type="dxa"/>
            <w:gridSpan w:val="5"/>
          </w:tcPr>
          <w:p>
            <w:pPr>
              <w:spacing w:line="360" w:lineRule="auto"/>
              <w:rPr>
                <w:rFonts w:ascii="宋体" w:hAnsi="宋体" w:cs="宋体"/>
                <w:szCs w:val="21"/>
              </w:rPr>
            </w:pPr>
            <w:r>
              <w:rPr>
                <w:rFonts w:hint="eastAsia" w:ascii="宋体" w:hAnsi="宋体" w:cs="宋体"/>
                <w:szCs w:val="21"/>
              </w:rPr>
              <w:t>1、中标供应商配送时必须向采购人提供原厂生产的全新合格产品，同时提供产品的全套资料，包含但不限于：“医疗器械生产企业许可证”、“医疗器械经营许可/备案证”、“中华人民共和国医疗器械注册证和注册登记表”、“一次性医疗用品质量跟踪卡”、“产品合格证”、“同批次产品检验报告”。</w:t>
            </w:r>
          </w:p>
          <w:p>
            <w:pPr>
              <w:spacing w:line="360" w:lineRule="auto"/>
              <w:rPr>
                <w:rFonts w:ascii="宋体" w:hAnsi="宋体" w:cs="宋体"/>
                <w:szCs w:val="21"/>
              </w:rPr>
            </w:pPr>
            <w:r>
              <w:rPr>
                <w:rFonts w:hint="eastAsia" w:ascii="宋体" w:hAnsi="宋体" w:cs="宋体"/>
                <w:szCs w:val="21"/>
              </w:rPr>
              <w:t>2、中标供应商按合同附件要求的品牌型号、规格、价格提供产品，所提供的产品与医疗器械注册证和注册登记表完全相符。如与采购人计划不符或达不到合同约定的，采购人可要求中标供应商立即退货、换货、补货。未经采购人书面同意，中标供应商不得更换产品品牌、型号，否则采购人有权终止合同。</w:t>
            </w:r>
          </w:p>
          <w:p>
            <w:pPr>
              <w:spacing w:line="360" w:lineRule="auto"/>
              <w:rPr>
                <w:rFonts w:ascii="宋体" w:hAnsi="宋体" w:cs="宋体"/>
                <w:szCs w:val="21"/>
              </w:rPr>
            </w:pPr>
            <w:r>
              <w:rPr>
                <w:rFonts w:hint="eastAsia" w:ascii="宋体" w:hAnsi="宋体" w:cs="宋体"/>
                <w:szCs w:val="21"/>
              </w:rPr>
              <w:t>3、对不符合质量要求或不符合无菌转运要求的产品，采购人有权拒绝接收，中标供应商应对相应产品及时进行更换，不得影响采购人的临床应用。本规定的执行不免除中标供应商因产品质量产生的其他责任。</w:t>
            </w:r>
          </w:p>
          <w:p>
            <w:pPr>
              <w:spacing w:line="360" w:lineRule="auto"/>
              <w:rPr>
                <w:rFonts w:ascii="宋体" w:hAnsi="宋体" w:cs="宋体"/>
                <w:szCs w:val="21"/>
              </w:rPr>
            </w:pPr>
            <w:r>
              <w:rPr>
                <w:rFonts w:hint="eastAsia" w:ascii="宋体" w:hAnsi="宋体" w:cs="宋体"/>
                <w:szCs w:val="21"/>
              </w:rPr>
              <w:t>4、中标供应商要保证供应最新批号的产品。</w:t>
            </w:r>
          </w:p>
          <w:p>
            <w:pPr>
              <w:spacing w:line="360" w:lineRule="auto"/>
              <w:rPr>
                <w:rFonts w:ascii="宋体" w:hAnsi="宋体" w:cs="宋体"/>
                <w:szCs w:val="21"/>
              </w:rPr>
            </w:pPr>
            <w:r>
              <w:rPr>
                <w:rFonts w:hint="eastAsia" w:ascii="宋体" w:hAnsi="宋体" w:cs="宋体"/>
                <w:szCs w:val="21"/>
              </w:rPr>
              <w:t>5、供应商配送的试剂耗材进入医院后，应接受国家、省、市有关行业主管部门的抽查或检验。在抽查或检验过程中由于中标供应商产品的证照、标识、质量等问题而导致的罚没款项均由中标供应商承担相应的法律责任。</w:t>
            </w:r>
          </w:p>
          <w:p>
            <w:pPr>
              <w:spacing w:line="360" w:lineRule="auto"/>
              <w:rPr>
                <w:rFonts w:ascii="宋体" w:hAnsi="宋体" w:cs="宋体"/>
                <w:szCs w:val="21"/>
              </w:rPr>
            </w:pPr>
            <w:r>
              <w:rPr>
                <w:rFonts w:hint="eastAsia" w:ascii="宋体" w:hAnsi="宋体" w:cs="宋体"/>
                <w:szCs w:val="21"/>
              </w:rPr>
              <w:t>6、服务期限内</w:t>
            </w:r>
            <w:r>
              <w:rPr>
                <w:rFonts w:hint="eastAsia" w:ascii="宋体" w:hAnsi="宋体" w:cs="宋体"/>
                <w:szCs w:val="21"/>
                <w:lang w:val="zh-CN"/>
              </w:rPr>
              <w:t>如遇国家、自治区出台新的政策文件，涉及本品种采购和使用要求则按国家、自治区政策文件要求执行包括但不限于停止采购、限价、限量，成交供应商自行承担采购政策变化带来的风险。</w:t>
            </w:r>
            <w:r>
              <w:rPr>
                <w:rFonts w:hint="eastAsia" w:ascii="宋体" w:hAnsi="宋体" w:cs="宋体"/>
                <w:szCs w:val="21"/>
              </w:rPr>
              <w:t>如本合同不符合新政策规定导致不能继续履行的，采购人有权终止合同。</w:t>
            </w:r>
          </w:p>
          <w:p>
            <w:pPr>
              <w:spacing w:line="360" w:lineRule="auto"/>
              <w:rPr>
                <w:rFonts w:ascii="宋体" w:hAnsi="宋体" w:cs="宋体"/>
                <w:szCs w:val="21"/>
              </w:rPr>
            </w:pPr>
            <w:r>
              <w:rPr>
                <w:rFonts w:hint="eastAsia" w:ascii="宋体" w:hAnsi="宋体" w:cs="宋体"/>
                <w:b/>
                <w:bCs/>
                <w:szCs w:val="21"/>
              </w:rPr>
              <w:t>▲</w:t>
            </w:r>
            <w:r>
              <w:rPr>
                <w:rFonts w:hint="eastAsia" w:ascii="宋体" w:hAnsi="宋体" w:cs="宋体"/>
                <w:szCs w:val="21"/>
              </w:rPr>
              <w:t>7、医疗器械注册证：以上配送清单供应商配送的产品如属医疗器械管理范畴的，配送产品属第二、三类医疗器械产品的，投标文件中须按《医疗器械注册与备案管理办法》 (国家市场监督管理总局令第 47 号)提供该设备有效的医疗器械注册证复印件加盖投标单位公章，否则投标无效。</w:t>
            </w:r>
          </w:p>
          <w:p>
            <w:pPr>
              <w:spacing w:line="360" w:lineRule="auto"/>
              <w:rPr>
                <w:rFonts w:ascii="宋体" w:hAnsi="宋体" w:cs="宋体"/>
                <w:szCs w:val="21"/>
              </w:rPr>
            </w:pPr>
            <w:r>
              <w:rPr>
                <w:rFonts w:hint="eastAsia" w:ascii="宋体" w:hAnsi="宋体" w:cs="宋体"/>
                <w:szCs w:val="21"/>
              </w:rPr>
              <w:t>8、服务期内，产品因厂家停产等情况导致无法正常供货的，供应商应提交书面说明，经采购人同意，双方就替代产品另行协商并签订补充协议。</w:t>
            </w:r>
          </w:p>
          <w:p>
            <w:pPr>
              <w:spacing w:line="360" w:lineRule="auto"/>
              <w:rPr>
                <w:rFonts w:ascii="宋体" w:hAnsi="宋体" w:cs="宋体"/>
                <w:szCs w:val="21"/>
              </w:rPr>
            </w:pPr>
            <w:r>
              <w:rPr>
                <w:rFonts w:hint="eastAsia" w:ascii="宋体" w:hAnsi="宋体" w:cs="宋体"/>
                <w:szCs w:val="21"/>
              </w:rPr>
              <w:t>9、供应商必须向采购人提供合同约定产品，因供应商供应的产品证照、质量、售后服务等瑕疵而引发的医疗事故或纠纷给采购人造成的全部经济损失（包括但不限于诊疗费用、手术费用、材料费用、赔偿病人或其亲属的因人身损害赔偿的全部费用）均由供应商全部承担；采购人有权要求供应商退换已用产品，并追究供应商追究违约责任，同时采购人有权终止合同。</w:t>
            </w:r>
          </w:p>
          <w:p>
            <w:pPr>
              <w:spacing w:line="360" w:lineRule="auto"/>
              <w:rPr>
                <w:rFonts w:ascii="宋体" w:hAnsi="宋体" w:cs="宋体"/>
                <w:szCs w:val="21"/>
              </w:rPr>
            </w:pPr>
            <w:r>
              <w:rPr>
                <w:rFonts w:hint="eastAsia" w:ascii="宋体" w:hAnsi="宋体" w:cs="宋体"/>
                <w:b/>
                <w:bCs/>
                <w:szCs w:val="21"/>
              </w:rPr>
              <w:t>▲</w:t>
            </w:r>
            <w:r>
              <w:rPr>
                <w:rFonts w:hint="eastAsia" w:ascii="宋体" w:hAnsi="宋体" w:cs="宋体"/>
                <w:szCs w:val="21"/>
              </w:rPr>
              <w:t>10、中标供应商在配送产品时必须提供所配送产品生产厂家合法授权的厂家代理商出具的授权书，原件备查。</w:t>
            </w:r>
          </w:p>
          <w:p>
            <w:pPr>
              <w:spacing w:line="360" w:lineRule="auto"/>
              <w:rPr>
                <w:rFonts w:ascii="宋体" w:hAnsi="宋体" w:cs="宋体"/>
                <w:szCs w:val="21"/>
              </w:rPr>
            </w:pPr>
            <w:r>
              <w:rPr>
                <w:rFonts w:hint="eastAsia" w:ascii="宋体" w:hAnsi="宋体" w:cs="宋体"/>
                <w:szCs w:val="21"/>
              </w:rPr>
              <w:t>11、技术支持资料：不限于对外公开的产品彩页或说明书或检测报告或用户手册证明材料等（体现技术参数，可以是从生产厂家网页下载的 PDF 或 HTM 文件或在食品药品监督管理部门备案的技术参数或检测报告或生产厂家盖章的技术参数证明材料），以供评标时核对。当投标文件提供的参数与该货物生产商提供的性能参数不符合时，以后者为准。</w:t>
            </w:r>
          </w:p>
          <w:p>
            <w:pPr>
              <w:spacing w:line="360" w:lineRule="auto"/>
              <w:rPr>
                <w:rFonts w:ascii="宋体" w:hAnsi="宋体" w:cs="宋体"/>
                <w:b/>
                <w:szCs w:val="21"/>
                <w:u w:val="single"/>
              </w:rPr>
            </w:pPr>
            <w:r>
              <w:rPr>
                <w:rFonts w:hint="eastAsia" w:ascii="宋体" w:hAnsi="宋体" w:cs="宋体"/>
                <w:szCs w:val="21"/>
              </w:rPr>
              <w:t>12、投标人如有请提供与本项目需求相关的项目实施方案、管理制度方案、配送车辆、售后服务方案、信誉业绩等资料。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80" w:type="dxa"/>
            <w:gridSpan w:val="7"/>
          </w:tcPr>
          <w:p>
            <w:pPr>
              <w:spacing w:line="360" w:lineRule="auto"/>
              <w:rPr>
                <w:rFonts w:ascii="宋体" w:hAnsi="宋体" w:cs="宋体"/>
                <w:szCs w:val="21"/>
              </w:rPr>
            </w:pPr>
            <w:r>
              <w:rPr>
                <w:rFonts w:hint="eastAsia" w:ascii="宋体" w:hAnsi="宋体" w:cs="宋体"/>
                <w:b/>
                <w:bCs/>
                <w:szCs w:val="21"/>
              </w:rPr>
              <w:t>三、与实现项目目标相关的其他要求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80" w:type="dxa"/>
            <w:gridSpan w:val="7"/>
          </w:tcPr>
          <w:p>
            <w:pPr>
              <w:spacing w:line="360" w:lineRule="auto"/>
              <w:rPr>
                <w:rFonts w:ascii="宋体" w:hAnsi="宋体" w:cs="宋体"/>
                <w:szCs w:val="21"/>
              </w:rPr>
            </w:pPr>
            <w:r>
              <w:rPr>
                <w:rFonts w:hint="eastAsia" w:ascii="宋体" w:hAnsi="宋体" w:cs="宋体"/>
                <w:b/>
                <w:szCs w:val="21"/>
              </w:rPr>
              <w:t>（一）投标人的履约能力要求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84" w:type="dxa"/>
            <w:gridSpan w:val="3"/>
            <w:vAlign w:val="center"/>
          </w:tcPr>
          <w:p>
            <w:pPr>
              <w:spacing w:line="400" w:lineRule="exact"/>
              <w:rPr>
                <w:rFonts w:ascii="宋体" w:hAnsi="宋体" w:cs="宋体"/>
                <w:szCs w:val="21"/>
              </w:rPr>
            </w:pPr>
            <w:r>
              <w:rPr>
                <w:rFonts w:hint="eastAsia" w:ascii="宋体" w:hAnsi="宋体" w:cs="宋体"/>
                <w:szCs w:val="21"/>
              </w:rPr>
              <w:t>质量管理、企业信用要求</w:t>
            </w:r>
          </w:p>
        </w:tc>
        <w:tc>
          <w:tcPr>
            <w:tcW w:w="8296" w:type="dxa"/>
            <w:gridSpan w:val="4"/>
          </w:tcPr>
          <w:p>
            <w:pPr>
              <w:spacing w:line="400" w:lineRule="exact"/>
              <w:rPr>
                <w:rFonts w:ascii="宋体" w:hAnsi="宋体" w:cs="宋体"/>
                <w:szCs w:val="21"/>
              </w:rPr>
            </w:pPr>
            <w:r>
              <w:rPr>
                <w:rFonts w:hint="eastAsia" w:ascii="宋体" w:hAnsi="宋体" w:cs="宋体"/>
                <w:szCs w:val="21"/>
              </w:rPr>
              <w:t>详见《第四章评标办法及评分标准》。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684" w:type="dxa"/>
            <w:gridSpan w:val="3"/>
            <w:vAlign w:val="center"/>
          </w:tcPr>
          <w:p>
            <w:pPr>
              <w:spacing w:line="400" w:lineRule="exact"/>
              <w:rPr>
                <w:rFonts w:ascii="宋体" w:hAnsi="宋体" w:cs="宋体"/>
                <w:szCs w:val="21"/>
              </w:rPr>
            </w:pPr>
            <w:r>
              <w:rPr>
                <w:rFonts w:hint="eastAsia" w:ascii="宋体" w:hAnsi="宋体" w:cs="宋体"/>
                <w:szCs w:val="21"/>
              </w:rPr>
              <w:t>能力或者业绩</w:t>
            </w:r>
          </w:p>
          <w:p>
            <w:pPr>
              <w:spacing w:line="400" w:lineRule="exact"/>
              <w:rPr>
                <w:rFonts w:ascii="宋体" w:hAnsi="宋体" w:cs="宋体"/>
                <w:szCs w:val="21"/>
              </w:rPr>
            </w:pPr>
            <w:r>
              <w:rPr>
                <w:rFonts w:hint="eastAsia" w:ascii="宋体" w:hAnsi="宋体" w:cs="宋体"/>
                <w:szCs w:val="21"/>
              </w:rPr>
              <w:t>要  求</w:t>
            </w:r>
          </w:p>
        </w:tc>
        <w:tc>
          <w:tcPr>
            <w:tcW w:w="8296" w:type="dxa"/>
            <w:gridSpan w:val="4"/>
          </w:tcPr>
          <w:p>
            <w:pPr>
              <w:spacing w:line="400" w:lineRule="exact"/>
              <w:rPr>
                <w:rFonts w:ascii="宋体" w:hAnsi="宋体" w:cs="宋体"/>
                <w:szCs w:val="21"/>
              </w:rPr>
            </w:pPr>
            <w:r>
              <w:rPr>
                <w:rFonts w:hint="eastAsia" w:ascii="宋体" w:hAnsi="宋体" w:cs="宋体"/>
                <w:szCs w:val="21"/>
              </w:rPr>
              <w:t>详见《第四章评标办法及评分标准》。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980" w:type="dxa"/>
            <w:gridSpan w:val="7"/>
          </w:tcPr>
          <w:p>
            <w:pPr>
              <w:spacing w:line="360" w:lineRule="auto"/>
              <w:rPr>
                <w:rFonts w:ascii="宋体" w:hAnsi="宋体" w:cs="宋体"/>
                <w:b/>
                <w:szCs w:val="21"/>
              </w:rPr>
            </w:pPr>
            <w:r>
              <w:rPr>
                <w:rFonts w:hint="eastAsia" w:ascii="宋体" w:hAnsi="宋体" w:cs="宋体"/>
                <w:b/>
                <w:szCs w:val="21"/>
              </w:rPr>
              <w:t>（二）政策性加分条件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980" w:type="dxa"/>
            <w:gridSpan w:val="7"/>
          </w:tcPr>
          <w:p>
            <w:pPr>
              <w:spacing w:line="400" w:lineRule="exact"/>
              <w:rPr>
                <w:rFonts w:ascii="宋体" w:hAnsi="宋体" w:cs="宋体"/>
                <w:szCs w:val="21"/>
              </w:rPr>
            </w:pPr>
            <w:r>
              <w:rPr>
                <w:rFonts w:hint="eastAsia" w:ascii="宋体" w:hAnsi="宋体" w:cs="宋体"/>
                <w:szCs w:val="21"/>
              </w:rPr>
              <w:t>符合节能环保等国家政策要求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980" w:type="dxa"/>
            <w:gridSpan w:val="7"/>
          </w:tcPr>
          <w:p>
            <w:pPr>
              <w:spacing w:line="400" w:lineRule="exact"/>
              <w:rPr>
                <w:rFonts w:ascii="宋体" w:hAnsi="宋体" w:cs="宋体"/>
                <w:szCs w:val="21"/>
              </w:rPr>
            </w:pPr>
            <w:r>
              <w:rPr>
                <w:rFonts w:hint="eastAsia" w:ascii="宋体" w:hAnsi="宋体" w:cs="宋体"/>
                <w:b/>
                <w:szCs w:val="21"/>
              </w:rPr>
              <w:t>（三）进口产品说明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690" w:type="dxa"/>
            <w:gridSpan w:val="4"/>
            <w:vAlign w:val="center"/>
          </w:tcPr>
          <w:p>
            <w:pPr>
              <w:spacing w:line="360" w:lineRule="auto"/>
              <w:rPr>
                <w:rFonts w:ascii="宋体" w:hAnsi="宋体" w:cs="宋体"/>
                <w:szCs w:val="21"/>
              </w:rPr>
            </w:pPr>
            <w:r>
              <w:rPr>
                <w:rFonts w:hint="eastAsia" w:ascii="宋体" w:hAnsi="宋体" w:cs="宋体"/>
                <w:szCs w:val="21"/>
              </w:rPr>
              <w:t>进口产品说明</w:t>
            </w:r>
          </w:p>
        </w:tc>
        <w:tc>
          <w:tcPr>
            <w:tcW w:w="8290" w:type="dxa"/>
            <w:gridSpan w:val="3"/>
          </w:tcPr>
          <w:p>
            <w:pPr>
              <w:spacing w:line="360" w:lineRule="auto"/>
              <w:rPr>
                <w:rFonts w:ascii="宋体" w:hAnsi="宋体" w:cs="宋体"/>
                <w:szCs w:val="21"/>
              </w:rPr>
            </w:pPr>
            <w:r>
              <w:rPr>
                <w:rFonts w:hint="eastAsia" w:ascii="宋体" w:hAnsi="宋体" w:cs="宋体"/>
                <w:szCs w:val="21"/>
              </w:rPr>
              <w:t>本表货物不接受进口产品（即通过中国海关报关验放进入中国境内且产自关境外的产品）参与投标，如有进口产品参与投标的作无效标处理。</w:t>
            </w:r>
          </w:p>
        </w:tc>
      </w:tr>
    </w:tbl>
    <w:p>
      <w:pPr>
        <w:spacing w:line="360" w:lineRule="exact"/>
        <w:ind w:left="-10" w:leftChars="-5" w:right="2" w:rightChars="1" w:firstLine="422" w:firstLineChars="200"/>
        <w:rPr>
          <w:rFonts w:ascii="宋体" w:hAnsi="宋体" w:cs="宋体"/>
          <w:b/>
          <w:bCs/>
        </w:rPr>
      </w:pPr>
    </w:p>
    <w:p>
      <w:pPr>
        <w:spacing w:line="360" w:lineRule="exact"/>
        <w:ind w:left="-10" w:leftChars="-5" w:right="2" w:rightChars="1" w:firstLine="422" w:firstLineChars="200"/>
        <w:rPr>
          <w:rFonts w:ascii="宋体" w:hAnsi="宋体" w:cs="宋体"/>
          <w:b/>
          <w:bCs/>
        </w:rPr>
      </w:pPr>
    </w:p>
    <w:p>
      <w:pPr>
        <w:spacing w:line="360" w:lineRule="exact"/>
        <w:ind w:left="-10" w:leftChars="-5" w:right="2" w:rightChars="1" w:firstLine="422" w:firstLineChars="200"/>
        <w:rPr>
          <w:rFonts w:ascii="宋体" w:hAnsi="宋体" w:cs="宋体"/>
          <w:b/>
          <w:bCs/>
        </w:rPr>
      </w:pPr>
    </w:p>
    <w:p>
      <w:pPr>
        <w:spacing w:line="360" w:lineRule="exact"/>
        <w:ind w:left="-10" w:leftChars="-5" w:right="2" w:rightChars="1" w:firstLine="422" w:firstLineChars="200"/>
        <w:rPr>
          <w:rFonts w:ascii="宋体" w:hAnsi="宋体" w:cs="宋体"/>
          <w:b/>
          <w:bCs/>
        </w:rPr>
      </w:pPr>
    </w:p>
    <w:p>
      <w:pPr>
        <w:spacing w:line="360" w:lineRule="exact"/>
        <w:ind w:left="-10" w:leftChars="-5" w:right="2" w:rightChars="1" w:firstLine="422" w:firstLineChars="200"/>
        <w:rPr>
          <w:rFonts w:ascii="宋体" w:hAnsi="宋体" w:cs="宋体"/>
          <w:b/>
          <w:bCs/>
        </w:rPr>
      </w:pPr>
    </w:p>
    <w:p>
      <w:pPr>
        <w:spacing w:line="360" w:lineRule="exact"/>
        <w:ind w:left="-10" w:leftChars="-5" w:right="2" w:rightChars="1" w:firstLine="422" w:firstLineChars="200"/>
        <w:rPr>
          <w:rFonts w:ascii="宋体" w:hAnsi="宋体" w:cs="宋体"/>
          <w:b/>
          <w:bCs/>
        </w:rPr>
      </w:pPr>
    </w:p>
    <w:p>
      <w:pPr>
        <w:spacing w:line="320" w:lineRule="exact"/>
        <w:rPr>
          <w:rFonts w:ascii="宋体" w:hAnsi="宋体" w:cs="宋体"/>
          <w:sz w:val="32"/>
          <w:szCs w:val="32"/>
        </w:rPr>
      </w:pPr>
      <w:r>
        <w:rPr>
          <w:rFonts w:hint="eastAsia" w:ascii="宋体" w:hAnsi="宋体" w:cs="宋体"/>
          <w:b/>
          <w:bCs/>
        </w:rPr>
        <w:br w:type="page"/>
      </w:r>
      <w:bookmarkEnd w:id="43"/>
      <w:bookmarkEnd w:id="44"/>
      <w:r>
        <w:rPr>
          <w:rFonts w:hint="eastAsia" w:ascii="宋体" w:hAnsi="宋体" w:cs="宋体"/>
          <w:sz w:val="32"/>
          <w:szCs w:val="32"/>
        </w:rPr>
        <w:t>附件1：</w:t>
      </w:r>
    </w:p>
    <w:p>
      <w:pPr>
        <w:spacing w:line="528" w:lineRule="exact"/>
        <w:jc w:val="center"/>
        <w:rPr>
          <w:rFonts w:ascii="宋体" w:hAnsi="宋体" w:cs="宋体"/>
          <w:sz w:val="32"/>
          <w:szCs w:val="32"/>
        </w:rPr>
      </w:pPr>
      <w:r>
        <w:rPr>
          <w:rFonts w:hint="eastAsia" w:ascii="宋体" w:hAnsi="宋体" w:cs="宋体"/>
          <w:sz w:val="32"/>
          <w:szCs w:val="32"/>
        </w:rPr>
        <w:t>节能产品政府采购品目清单</w:t>
      </w:r>
    </w:p>
    <w:tbl>
      <w:tblPr>
        <w:tblStyle w:val="47"/>
        <w:tblW w:w="10205" w:type="dxa"/>
        <w:jc w:val="center"/>
        <w:tblLayout w:type="fixed"/>
        <w:tblCellMar>
          <w:top w:w="0" w:type="dxa"/>
          <w:left w:w="0" w:type="dxa"/>
          <w:bottom w:w="0" w:type="dxa"/>
          <w:right w:w="0" w:type="dxa"/>
        </w:tblCellMar>
      </w:tblPr>
      <w:tblGrid>
        <w:gridCol w:w="716"/>
        <w:gridCol w:w="1590"/>
        <w:gridCol w:w="1981"/>
        <w:gridCol w:w="6"/>
        <w:gridCol w:w="2002"/>
        <w:gridCol w:w="3903"/>
        <w:gridCol w:w="7"/>
      </w:tblGrid>
      <w:tr>
        <w:tblPrEx>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b/>
                <w:bCs/>
                <w:sz w:val="24"/>
                <w:szCs w:val="24"/>
              </w:rPr>
            </w:pPr>
            <w:r>
              <w:rPr>
                <w:rFonts w:hint="eastAsia" w:ascii="宋体" w:hAnsi="宋体" w:cs="宋体"/>
                <w:b/>
                <w:bCs/>
                <w:sz w:val="24"/>
                <w:szCs w:val="24"/>
              </w:rPr>
              <w:t>品目序号</w:t>
            </w:r>
          </w:p>
        </w:tc>
        <w:tc>
          <w:tcPr>
            <w:tcW w:w="5579" w:type="dxa"/>
            <w:gridSpan w:val="4"/>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b/>
                <w:bCs/>
                <w:sz w:val="24"/>
                <w:szCs w:val="24"/>
              </w:rPr>
            </w:pPr>
            <w:r>
              <w:rPr>
                <w:rFonts w:hint="eastAsia" w:ascii="宋体" w:hAnsi="宋体" w:cs="宋体"/>
                <w:b/>
                <w:bCs/>
                <w:sz w:val="24"/>
                <w:szCs w:val="24"/>
              </w:rPr>
              <w:t>名称</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b/>
                <w:bCs/>
                <w:sz w:val="24"/>
                <w:szCs w:val="24"/>
              </w:rPr>
            </w:pPr>
            <w:r>
              <w:rPr>
                <w:rFonts w:hint="eastAsia" w:ascii="宋体" w:hAnsi="宋体" w:cs="宋体"/>
                <w:b/>
                <w:bCs/>
                <w:sz w:val="24"/>
                <w:szCs w:val="24"/>
              </w:rPr>
              <w:t>依据的标准</w:t>
            </w:r>
          </w:p>
        </w:tc>
      </w:tr>
      <w:tr>
        <w:tblPrEx>
          <w:tblCellMar>
            <w:top w:w="0" w:type="dxa"/>
            <w:left w:w="0" w:type="dxa"/>
            <w:bottom w:w="0" w:type="dxa"/>
            <w:right w:w="0" w:type="dxa"/>
          </w:tblCellMar>
        </w:tblPrEx>
        <w:trPr>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1</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A020101计算机设备</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★A02010104台式计算机</w:t>
            </w:r>
          </w:p>
        </w:tc>
        <w:tc>
          <w:tcPr>
            <w:tcW w:w="2002"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《微型计算机能效限定值及能效等级》（GB28380）</w:t>
            </w:r>
          </w:p>
        </w:tc>
      </w:tr>
      <w:tr>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108"/>
              <w:spacing w:before="44" w:line="283" w:lineRule="auto"/>
              <w:ind w:left="7" w:right="5"/>
              <w:jc w:val="center"/>
              <w:rPr>
                <w:rFonts w:ascii="宋体" w:hAnsi="宋体" w:cs="宋体"/>
                <w:sz w:val="21"/>
                <w:szCs w:val="21"/>
              </w:rPr>
            </w:pPr>
            <w:r>
              <w:rPr>
                <w:rFonts w:hint="eastAsia" w:ascii="宋体" w:hAnsi="宋体" w:cs="宋体"/>
                <w:sz w:val="21"/>
                <w:szCs w:val="21"/>
              </w:rPr>
              <w:t>★A02010105便携式计算机</w:t>
            </w:r>
          </w:p>
        </w:tc>
        <w:tc>
          <w:tcPr>
            <w:tcW w:w="20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lang w:eastAsia="en-US"/>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4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《微型计算机能效限定值及能效等级》（GB28380）</w:t>
            </w:r>
          </w:p>
        </w:tc>
      </w:tr>
      <w:tr>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108"/>
              <w:spacing w:before="64" w:line="283" w:lineRule="auto"/>
              <w:ind w:left="7" w:right="5"/>
              <w:jc w:val="center"/>
              <w:rPr>
                <w:rFonts w:ascii="宋体" w:hAnsi="宋体" w:cs="宋体"/>
                <w:sz w:val="21"/>
                <w:szCs w:val="21"/>
                <w:lang w:eastAsia="zh-CN"/>
              </w:rPr>
            </w:pPr>
            <w:r>
              <w:rPr>
                <w:rFonts w:hint="eastAsia" w:ascii="宋体" w:hAnsi="宋体" w:cs="宋体"/>
                <w:sz w:val="21"/>
                <w:szCs w:val="21"/>
                <w:lang w:eastAsia="zh-CN"/>
              </w:rPr>
              <w:t>★A02010107平板式微型计算机</w:t>
            </w:r>
          </w:p>
        </w:tc>
        <w:tc>
          <w:tcPr>
            <w:tcW w:w="20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6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《微型计算机能效限定值及能效等级》（GB28380）</w:t>
            </w:r>
          </w:p>
        </w:tc>
      </w:tr>
      <w:tr>
        <w:tblPrEx>
          <w:tblCellMar>
            <w:top w:w="0" w:type="dxa"/>
            <w:left w:w="0" w:type="dxa"/>
            <w:bottom w:w="0" w:type="dxa"/>
            <w:right w:w="0" w:type="dxa"/>
          </w:tblCellMar>
        </w:tblPrEx>
        <w:trPr>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2</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A020106输入输出设备</w:t>
            </w:r>
          </w:p>
        </w:tc>
        <w:tc>
          <w:tcPr>
            <w:tcW w:w="1987" w:type="dxa"/>
            <w:gridSpan w:val="2"/>
            <w:vMerge w:val="restart"/>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A02010601打印设备</w:t>
            </w:r>
          </w:p>
        </w:tc>
        <w:tc>
          <w:tcPr>
            <w:tcW w:w="2002"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A0201060101喷墨打</w:t>
            </w:r>
          </w:p>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印机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《复印机、打印机和传真机能效限定值及能效等级》（GB21521）</w:t>
            </w:r>
          </w:p>
        </w:tc>
      </w:tr>
      <w:tr>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08"/>
              <w:spacing w:before="52"/>
              <w:ind w:left="7"/>
              <w:jc w:val="center"/>
              <w:rPr>
                <w:rFonts w:ascii="宋体" w:hAnsi="宋体" w:cs="宋体"/>
                <w:sz w:val="21"/>
                <w:szCs w:val="21"/>
              </w:rPr>
            </w:pPr>
            <w:r>
              <w:rPr>
                <w:rFonts w:hint="eastAsia" w:ascii="宋体" w:hAnsi="宋体" w:cs="宋体"/>
                <w:sz w:val="21"/>
                <w:szCs w:val="21"/>
              </w:rPr>
              <w:t>★A0201060102激光</w:t>
            </w:r>
          </w:p>
          <w:p>
            <w:pPr>
              <w:pStyle w:val="108"/>
              <w:spacing w:before="50"/>
              <w:ind w:left="7"/>
              <w:jc w:val="center"/>
              <w:rPr>
                <w:rFonts w:ascii="宋体" w:hAnsi="宋体" w:cs="宋体"/>
                <w:sz w:val="21"/>
                <w:szCs w:val="21"/>
              </w:rPr>
            </w:pPr>
            <w:r>
              <w:rPr>
                <w:rFonts w:hint="eastAsia" w:ascii="宋体" w:hAnsi="宋体" w:cs="宋体"/>
                <w:sz w:val="21"/>
                <w:szCs w:val="21"/>
              </w:rPr>
              <w:t>打印机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52"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《复印机、打印机和传真机能效限定值及能效等级》（GB21521）</w:t>
            </w:r>
          </w:p>
        </w:tc>
      </w:tr>
      <w:tr>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08"/>
              <w:spacing w:before="52"/>
              <w:ind w:left="7"/>
              <w:jc w:val="center"/>
              <w:rPr>
                <w:rFonts w:ascii="宋体" w:hAnsi="宋体" w:cs="宋体"/>
                <w:sz w:val="21"/>
                <w:szCs w:val="21"/>
              </w:rPr>
            </w:pPr>
            <w:r>
              <w:rPr>
                <w:rFonts w:hint="eastAsia" w:ascii="宋体" w:hAnsi="宋体" w:cs="宋体"/>
                <w:sz w:val="21"/>
                <w:szCs w:val="21"/>
              </w:rPr>
              <w:t>★A0201060104针式</w:t>
            </w:r>
          </w:p>
          <w:p>
            <w:pPr>
              <w:pStyle w:val="108"/>
              <w:spacing w:before="50"/>
              <w:ind w:left="7"/>
              <w:jc w:val="center"/>
              <w:rPr>
                <w:rFonts w:ascii="宋体" w:hAnsi="宋体" w:cs="宋体"/>
                <w:sz w:val="21"/>
                <w:szCs w:val="21"/>
              </w:rPr>
            </w:pPr>
            <w:r>
              <w:rPr>
                <w:rFonts w:hint="eastAsia" w:ascii="宋体" w:hAnsi="宋体" w:cs="宋体"/>
                <w:sz w:val="21"/>
                <w:szCs w:val="21"/>
              </w:rPr>
              <w:t>打印机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52"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《复印机、打印机和传真机能效限定值及能效等级》（GB21521）</w:t>
            </w:r>
          </w:p>
        </w:tc>
      </w:tr>
      <w:tr>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108"/>
              <w:jc w:val="center"/>
              <w:rPr>
                <w:rFonts w:ascii="宋体" w:hAnsi="宋体" w:cs="宋体"/>
                <w:sz w:val="21"/>
                <w:szCs w:val="21"/>
              </w:rPr>
            </w:pPr>
            <w:r>
              <w:rPr>
                <w:rFonts w:hint="eastAsia" w:ascii="宋体" w:hAnsi="宋体" w:cs="宋体"/>
                <w:sz w:val="21"/>
                <w:szCs w:val="21"/>
              </w:rPr>
              <w:t>A02010604显示设备</w:t>
            </w:r>
          </w:p>
        </w:tc>
        <w:tc>
          <w:tcPr>
            <w:tcW w:w="2002" w:type="dxa"/>
            <w:tcBorders>
              <w:top w:val="single" w:color="auto" w:sz="4" w:space="0"/>
              <w:left w:val="single" w:color="auto" w:sz="4" w:space="0"/>
              <w:bottom w:val="single" w:color="auto" w:sz="4" w:space="0"/>
              <w:right w:val="single" w:color="auto" w:sz="4" w:space="0"/>
            </w:tcBorders>
            <w:vAlign w:val="center"/>
          </w:tcPr>
          <w:p>
            <w:pPr>
              <w:pStyle w:val="108"/>
              <w:spacing w:before="68"/>
              <w:ind w:left="7"/>
              <w:jc w:val="center"/>
              <w:rPr>
                <w:rFonts w:ascii="宋体" w:hAnsi="宋体" w:cs="宋体"/>
                <w:sz w:val="21"/>
                <w:szCs w:val="21"/>
              </w:rPr>
            </w:pPr>
            <w:r>
              <w:rPr>
                <w:rFonts w:hint="eastAsia" w:ascii="宋体" w:hAnsi="宋体" w:cs="宋体"/>
                <w:sz w:val="21"/>
                <w:szCs w:val="21"/>
              </w:rPr>
              <w:t>★A0201060401液晶</w:t>
            </w:r>
          </w:p>
          <w:p>
            <w:pPr>
              <w:pStyle w:val="108"/>
              <w:spacing w:before="50"/>
              <w:ind w:left="7"/>
              <w:jc w:val="center"/>
              <w:rPr>
                <w:rFonts w:ascii="宋体" w:hAnsi="宋体" w:cs="宋体"/>
                <w:sz w:val="21"/>
                <w:szCs w:val="21"/>
              </w:rPr>
            </w:pPr>
            <w:r>
              <w:rPr>
                <w:rFonts w:hint="eastAsia" w:ascii="宋体" w:hAnsi="宋体" w:cs="宋体"/>
                <w:sz w:val="21"/>
                <w:szCs w:val="21"/>
              </w:rPr>
              <w:t>显示器</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68" w:line="283" w:lineRule="auto"/>
              <w:ind w:left="7" w:right="4"/>
              <w:jc w:val="center"/>
              <w:rPr>
                <w:rFonts w:ascii="宋体" w:hAnsi="宋体" w:cs="宋体"/>
                <w:sz w:val="21"/>
                <w:szCs w:val="21"/>
                <w:lang w:eastAsia="zh-CN"/>
              </w:rPr>
            </w:pPr>
            <w:r>
              <w:rPr>
                <w:rFonts w:hint="eastAsia" w:ascii="宋体" w:hAnsi="宋体" w:cs="宋体"/>
                <w:sz w:val="21"/>
                <w:szCs w:val="21"/>
                <w:lang w:eastAsia="zh-CN"/>
              </w:rPr>
              <w:t>《计算机显示器能效限定值及能效等级》（GB21520）</w:t>
            </w:r>
          </w:p>
        </w:tc>
      </w:tr>
      <w:tr>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108"/>
              <w:spacing w:line="283" w:lineRule="auto"/>
              <w:ind w:right="5"/>
              <w:jc w:val="center"/>
              <w:rPr>
                <w:rFonts w:ascii="宋体" w:hAnsi="宋体" w:cs="宋体"/>
                <w:sz w:val="21"/>
                <w:szCs w:val="21"/>
              </w:rPr>
            </w:pPr>
            <w:r>
              <w:rPr>
                <w:rFonts w:hint="eastAsia" w:ascii="宋体" w:hAnsi="宋体" w:cs="宋体"/>
                <w:sz w:val="21"/>
                <w:szCs w:val="21"/>
              </w:rPr>
              <w:t>A02010609图形图像输入设备</w:t>
            </w:r>
          </w:p>
        </w:tc>
        <w:tc>
          <w:tcPr>
            <w:tcW w:w="2002" w:type="dxa"/>
            <w:tcBorders>
              <w:top w:val="single" w:color="auto" w:sz="4" w:space="0"/>
              <w:left w:val="single" w:color="auto" w:sz="4" w:space="0"/>
              <w:bottom w:val="single" w:color="auto" w:sz="4" w:space="0"/>
              <w:right w:val="single" w:color="auto" w:sz="4" w:space="0"/>
            </w:tcBorders>
            <w:vAlign w:val="center"/>
          </w:tcPr>
          <w:p>
            <w:pPr>
              <w:pStyle w:val="108"/>
              <w:jc w:val="center"/>
              <w:rPr>
                <w:rFonts w:ascii="宋体" w:hAnsi="宋体" w:cs="宋体"/>
                <w:sz w:val="21"/>
                <w:szCs w:val="21"/>
              </w:rPr>
            </w:pPr>
            <w:r>
              <w:rPr>
                <w:rFonts w:hint="eastAsia" w:ascii="宋体" w:hAnsi="宋体" w:cs="宋体"/>
                <w:sz w:val="21"/>
                <w:szCs w:val="21"/>
              </w:rPr>
              <w:t>A0201060901扫描仪</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49"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参照《复印机、打印机和传真机能效限定值及能效等级》（GB21521</w:t>
            </w:r>
          </w:p>
          <w:p>
            <w:pPr>
              <w:pStyle w:val="108"/>
              <w:spacing w:before="12" w:line="283" w:lineRule="auto"/>
              <w:ind w:left="7" w:right="5"/>
              <w:jc w:val="center"/>
              <w:rPr>
                <w:rFonts w:ascii="宋体" w:hAnsi="宋体" w:cs="宋体"/>
                <w:sz w:val="21"/>
                <w:szCs w:val="21"/>
                <w:lang w:eastAsia="zh-CN"/>
              </w:rPr>
            </w:pPr>
            <w:r>
              <w:rPr>
                <w:rFonts w:hint="eastAsia" w:ascii="宋体" w:hAnsi="宋体" w:cs="宋体"/>
                <w:sz w:val="21"/>
                <w:szCs w:val="21"/>
                <w:lang w:eastAsia="zh-CN"/>
              </w:rPr>
              <w:t>中打印速度为15页/分的针式打印机相关要求</w:t>
            </w:r>
          </w:p>
        </w:tc>
      </w:tr>
      <w:tr>
        <w:tblPrEx>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3</w:t>
            </w:r>
          </w:p>
        </w:tc>
        <w:tc>
          <w:tcPr>
            <w:tcW w:w="1590"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A020202投影仪</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《投影机能效限定值及能效等级</w:t>
            </w:r>
          </w:p>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（GB32028）</w:t>
            </w:r>
          </w:p>
        </w:tc>
      </w:tr>
      <w:tr>
        <w:tblPrEx>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4</w:t>
            </w:r>
          </w:p>
        </w:tc>
        <w:tc>
          <w:tcPr>
            <w:tcW w:w="1590"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A020204多功能一体机</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《复印机、打印机和传真机能效限定值及能效等级》（GB21521）</w:t>
            </w:r>
          </w:p>
        </w:tc>
      </w:tr>
      <w:tr>
        <w:tblPrEx>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5</w:t>
            </w:r>
          </w:p>
        </w:tc>
        <w:tc>
          <w:tcPr>
            <w:tcW w:w="1590"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A020519泵</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A02051901离心泵</w:t>
            </w:r>
          </w:p>
        </w:tc>
        <w:tc>
          <w:tcPr>
            <w:tcW w:w="2002"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《清水离心泵能效限定值及节能评价值》（GB19762）</w:t>
            </w:r>
          </w:p>
        </w:tc>
      </w:tr>
      <w:tr>
        <w:tblPrEx>
          <w:tblCellMar>
            <w:top w:w="0" w:type="dxa"/>
            <w:left w:w="0" w:type="dxa"/>
            <w:bottom w:w="0" w:type="dxa"/>
            <w:right w:w="0" w:type="dxa"/>
          </w:tblCellMar>
        </w:tblPrEx>
        <w:trPr>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6</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A020523制冷空调设备</w:t>
            </w:r>
          </w:p>
        </w:tc>
        <w:tc>
          <w:tcPr>
            <w:tcW w:w="1987" w:type="dxa"/>
            <w:gridSpan w:val="2"/>
            <w:vMerge w:val="restart"/>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★A02052301制冷压缩机</w:t>
            </w:r>
          </w:p>
        </w:tc>
        <w:tc>
          <w:tcPr>
            <w:tcW w:w="2002"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冷水机组</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《冷水机组能效限定值及能效等级》（GB19577），《低环境温度空气源热泵（冷水）机组能效限定值及能效等级》（GB37480）</w:t>
            </w:r>
          </w:p>
        </w:tc>
      </w:tr>
      <w:tr>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08"/>
              <w:jc w:val="center"/>
              <w:rPr>
                <w:rFonts w:ascii="宋体" w:hAnsi="宋体" w:cs="宋体"/>
                <w:sz w:val="21"/>
                <w:szCs w:val="21"/>
              </w:rPr>
            </w:pPr>
            <w:r>
              <w:rPr>
                <w:rFonts w:hint="eastAsia" w:ascii="宋体" w:hAnsi="宋体" w:cs="宋体"/>
                <w:sz w:val="21"/>
                <w:szCs w:val="21"/>
              </w:rPr>
              <w:t>水源热泵机组</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52" w:line="283" w:lineRule="auto"/>
              <w:ind w:left="7" w:right="7"/>
              <w:jc w:val="center"/>
              <w:rPr>
                <w:rFonts w:ascii="宋体" w:hAnsi="宋体" w:cs="宋体"/>
                <w:sz w:val="21"/>
                <w:szCs w:val="21"/>
                <w:lang w:eastAsia="zh-CN"/>
              </w:rPr>
            </w:pPr>
            <w:r>
              <w:rPr>
                <w:rFonts w:hint="eastAsia" w:ascii="宋体" w:hAnsi="宋体" w:cs="宋体"/>
                <w:sz w:val="21"/>
                <w:szCs w:val="21"/>
                <w:lang w:eastAsia="zh-CN"/>
              </w:rPr>
              <w:t>《水（地）源热泵机组能效限定值及能效等级》（GB30721）</w:t>
            </w:r>
          </w:p>
        </w:tc>
      </w:tr>
      <w:tr>
        <w:tblPrEx>
          <w:tblCellMar>
            <w:top w:w="0" w:type="dxa"/>
            <w:left w:w="0" w:type="dxa"/>
            <w:bottom w:w="0" w:type="dxa"/>
            <w:right w:w="0" w:type="dxa"/>
          </w:tblCellMar>
        </w:tblPrEx>
        <w:trPr>
          <w:trHeight w:val="647"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08"/>
              <w:spacing w:before="93"/>
              <w:ind w:left="7"/>
              <w:jc w:val="center"/>
              <w:rPr>
                <w:rFonts w:ascii="宋体" w:hAnsi="宋体" w:cs="宋体"/>
                <w:sz w:val="21"/>
                <w:szCs w:val="21"/>
                <w:lang w:eastAsia="zh-CN"/>
              </w:rPr>
            </w:pPr>
            <w:r>
              <w:rPr>
                <w:rFonts w:hint="eastAsia" w:ascii="宋体" w:hAnsi="宋体" w:cs="宋体"/>
                <w:sz w:val="21"/>
                <w:szCs w:val="21"/>
                <w:lang w:eastAsia="zh-CN"/>
              </w:rPr>
              <w:t>溴化锂吸收式冷水机组</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93"/>
              <w:ind w:left="7"/>
              <w:jc w:val="center"/>
              <w:rPr>
                <w:rFonts w:ascii="宋体" w:hAnsi="宋体" w:cs="宋体"/>
                <w:sz w:val="21"/>
                <w:szCs w:val="21"/>
                <w:lang w:eastAsia="zh-CN"/>
              </w:rPr>
            </w:pPr>
            <w:r>
              <w:rPr>
                <w:rFonts w:hint="eastAsia" w:ascii="宋体" w:hAnsi="宋体" w:cs="宋体"/>
                <w:sz w:val="21"/>
                <w:szCs w:val="21"/>
                <w:lang w:eastAsia="zh-CN"/>
              </w:rPr>
              <w:t>《溴化锂吸收式冷水机组能效限定值及能效等级》（GB29540）</w:t>
            </w:r>
          </w:p>
        </w:tc>
      </w:tr>
      <w:tr>
        <w:tblPrEx>
          <w:tblCellMar>
            <w:top w:w="0" w:type="dxa"/>
            <w:left w:w="0" w:type="dxa"/>
            <w:bottom w:w="0" w:type="dxa"/>
            <w:right w:w="0" w:type="dxa"/>
          </w:tblCellMar>
        </w:tblPrEx>
        <w:trPr>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987" w:type="dxa"/>
            <w:gridSpan w:val="2"/>
            <w:vMerge w:val="restart"/>
            <w:tcBorders>
              <w:top w:val="single" w:color="auto" w:sz="4" w:space="0"/>
              <w:left w:val="single" w:color="auto" w:sz="4" w:space="0"/>
              <w:bottom w:val="single" w:color="auto" w:sz="4" w:space="0"/>
              <w:right w:val="single" w:color="auto" w:sz="4" w:space="0"/>
            </w:tcBorders>
            <w:vAlign w:val="center"/>
          </w:tcPr>
          <w:p>
            <w:pPr>
              <w:pStyle w:val="108"/>
              <w:spacing w:line="283" w:lineRule="auto"/>
              <w:ind w:right="5"/>
              <w:jc w:val="center"/>
              <w:rPr>
                <w:rFonts w:ascii="宋体" w:hAnsi="宋体" w:cs="宋体"/>
                <w:sz w:val="21"/>
                <w:szCs w:val="21"/>
              </w:rPr>
            </w:pPr>
            <w:r>
              <w:rPr>
                <w:rFonts w:hint="eastAsia" w:ascii="宋体" w:hAnsi="宋体" w:cs="宋体"/>
                <w:sz w:val="21"/>
                <w:szCs w:val="21"/>
              </w:rPr>
              <w:t>★A02052305空调机组</w:t>
            </w:r>
          </w:p>
        </w:tc>
        <w:tc>
          <w:tcPr>
            <w:tcW w:w="2002" w:type="dxa"/>
            <w:tcBorders>
              <w:top w:val="single" w:color="auto" w:sz="4" w:space="0"/>
              <w:left w:val="single" w:color="auto" w:sz="4" w:space="0"/>
              <w:bottom w:val="single" w:color="auto" w:sz="4" w:space="0"/>
              <w:right w:val="single" w:color="auto" w:sz="4" w:space="0"/>
            </w:tcBorders>
            <w:vAlign w:val="center"/>
          </w:tcPr>
          <w:p>
            <w:pPr>
              <w:pStyle w:val="108"/>
              <w:spacing w:before="4"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多联式空调（热泵）机组(制冷量&gt;14000W)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60"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《多联式空调（热泵）机组能效限定值及能源效率等级》（GB21454</w:t>
            </w:r>
          </w:p>
        </w:tc>
      </w:tr>
      <w:tr>
        <w:tblPrEx>
          <w:tblCellMar>
            <w:top w:w="0" w:type="dxa"/>
            <w:left w:w="0" w:type="dxa"/>
            <w:bottom w:w="0" w:type="dxa"/>
            <w:right w:w="0" w:type="dxa"/>
          </w:tblCellMar>
        </w:tblPrEx>
        <w:trPr>
          <w:trHeight w:val="241" w:hRule="atLeast"/>
          <w:jc w:val="center"/>
        </w:trPr>
        <w:tc>
          <w:tcPr>
            <w:tcW w:w="716"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p>
        </w:tc>
        <w:tc>
          <w:tcPr>
            <w:tcW w:w="1590"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002" w:type="dxa"/>
            <w:tcBorders>
              <w:top w:val="single" w:color="auto" w:sz="4" w:space="0"/>
              <w:left w:val="single" w:color="auto" w:sz="4" w:space="0"/>
              <w:right w:val="single" w:color="auto" w:sz="4" w:space="0"/>
            </w:tcBorders>
            <w:vAlign w:val="center"/>
          </w:tcPr>
          <w:p>
            <w:pPr>
              <w:pStyle w:val="108"/>
              <w:jc w:val="center"/>
              <w:rPr>
                <w:rFonts w:ascii="宋体" w:hAnsi="宋体" w:cs="宋体"/>
                <w:sz w:val="21"/>
                <w:szCs w:val="21"/>
                <w:lang w:eastAsia="zh-CN"/>
              </w:rPr>
            </w:pPr>
            <w:r>
              <w:rPr>
                <w:rFonts w:hint="eastAsia" w:ascii="宋体" w:hAnsi="宋体" w:cs="宋体"/>
                <w:sz w:val="21"/>
                <w:szCs w:val="21"/>
                <w:lang w:eastAsia="zh-CN"/>
              </w:rPr>
              <w:t>单元式空气调节机</w:t>
            </w:r>
          </w:p>
          <w:p>
            <w:pPr>
              <w:pStyle w:val="108"/>
              <w:spacing w:line="256" w:lineRule="exact"/>
              <w:ind w:left="7"/>
              <w:jc w:val="center"/>
              <w:rPr>
                <w:rFonts w:ascii="宋体" w:hAnsi="宋体" w:cs="宋体"/>
                <w:sz w:val="21"/>
                <w:szCs w:val="21"/>
                <w:lang w:eastAsia="zh-CN"/>
              </w:rPr>
            </w:pPr>
            <w:r>
              <w:rPr>
                <w:rFonts w:hint="eastAsia" w:ascii="宋体" w:hAnsi="宋体" w:cs="宋体"/>
                <w:sz w:val="21"/>
                <w:szCs w:val="21"/>
                <w:lang w:eastAsia="zh-CN"/>
              </w:rPr>
              <w:t>(制冷量&gt;14000W)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9"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《单元式空气调节机能效限定值及能效等级》（GB19576）《风管送风式空调机组能效限定值及能效等级》（GB37479）</w:t>
            </w:r>
          </w:p>
        </w:tc>
      </w:tr>
      <w:tr>
        <w:tblPrEx>
          <w:tblCellMar>
            <w:top w:w="0" w:type="dxa"/>
            <w:left w:w="0" w:type="dxa"/>
            <w:bottom w:w="0" w:type="dxa"/>
            <w:right w:w="0" w:type="dxa"/>
          </w:tblCellMar>
        </w:tblPrEx>
        <w:trPr>
          <w:trHeight w:val="637" w:hRule="atLeast"/>
          <w:jc w:val="center"/>
        </w:trPr>
        <w:tc>
          <w:tcPr>
            <w:tcW w:w="716"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590"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987" w:type="dxa"/>
            <w:gridSpan w:val="2"/>
            <w:tcBorders>
              <w:top w:val="single" w:color="auto" w:sz="4" w:space="0"/>
              <w:left w:val="single" w:color="auto" w:sz="4" w:space="0"/>
              <w:right w:val="single" w:color="auto" w:sz="4" w:space="0"/>
            </w:tcBorders>
            <w:vAlign w:val="center"/>
          </w:tcPr>
          <w:p>
            <w:pPr>
              <w:pStyle w:val="108"/>
              <w:spacing w:before="83"/>
              <w:ind w:left="7"/>
              <w:jc w:val="center"/>
              <w:rPr>
                <w:rFonts w:ascii="宋体" w:hAnsi="宋体" w:cs="宋体"/>
                <w:sz w:val="21"/>
                <w:szCs w:val="21"/>
                <w:lang w:eastAsia="zh-CN"/>
              </w:rPr>
            </w:pPr>
            <w:r>
              <w:rPr>
                <w:rFonts w:hint="eastAsia" w:ascii="宋体" w:hAnsi="宋体" w:cs="宋体"/>
                <w:sz w:val="21"/>
                <w:szCs w:val="21"/>
                <w:lang w:eastAsia="zh-CN"/>
              </w:rPr>
              <w:t>★A02052309专用制冷、空调设备</w:t>
            </w:r>
          </w:p>
        </w:tc>
        <w:tc>
          <w:tcPr>
            <w:tcW w:w="2002" w:type="dxa"/>
            <w:tcBorders>
              <w:top w:val="single" w:color="auto" w:sz="4" w:space="0"/>
              <w:left w:val="single" w:color="auto" w:sz="4" w:space="0"/>
              <w:bottom w:val="single" w:color="auto" w:sz="4" w:space="0"/>
              <w:right w:val="single" w:color="auto" w:sz="4" w:space="0"/>
            </w:tcBorders>
            <w:vAlign w:val="center"/>
          </w:tcPr>
          <w:p>
            <w:pPr>
              <w:pStyle w:val="108"/>
              <w:jc w:val="center"/>
              <w:rPr>
                <w:rFonts w:ascii="宋体" w:hAnsi="宋体" w:cs="宋体"/>
                <w:sz w:val="21"/>
                <w:szCs w:val="21"/>
              </w:rPr>
            </w:pPr>
            <w:r>
              <w:rPr>
                <w:rFonts w:hint="eastAsia" w:ascii="宋体" w:hAnsi="宋体" w:cs="宋体"/>
                <w:sz w:val="21"/>
                <w:szCs w:val="21"/>
              </w:rPr>
              <w:t>机房空调</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83"/>
              <w:ind w:left="7"/>
              <w:jc w:val="center"/>
              <w:rPr>
                <w:rFonts w:ascii="宋体" w:hAnsi="宋体" w:cs="宋体"/>
                <w:sz w:val="21"/>
                <w:szCs w:val="21"/>
                <w:lang w:eastAsia="zh-CN"/>
              </w:rPr>
            </w:pPr>
            <w:r>
              <w:rPr>
                <w:rFonts w:hint="eastAsia" w:ascii="宋体" w:hAnsi="宋体" w:cs="宋体"/>
                <w:sz w:val="21"/>
                <w:szCs w:val="21"/>
                <w:lang w:eastAsia="zh-CN"/>
              </w:rPr>
              <w:t>《单元式空气调节机能效限定值及能效等级》（GB19576）</w:t>
            </w:r>
          </w:p>
        </w:tc>
      </w:tr>
      <w:tr>
        <w:tblPrEx>
          <w:tblCellMar>
            <w:top w:w="0" w:type="dxa"/>
            <w:left w:w="0" w:type="dxa"/>
            <w:bottom w:w="0" w:type="dxa"/>
            <w:right w:w="0" w:type="dxa"/>
          </w:tblCellMar>
        </w:tblPrEx>
        <w:trPr>
          <w:trHeight w:val="1070" w:hRule="atLeast"/>
          <w:jc w:val="center"/>
        </w:trPr>
        <w:tc>
          <w:tcPr>
            <w:tcW w:w="716"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590"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987" w:type="dxa"/>
            <w:gridSpan w:val="2"/>
            <w:tcBorders>
              <w:top w:val="single" w:color="auto" w:sz="4" w:space="0"/>
              <w:left w:val="single" w:color="auto" w:sz="4" w:space="0"/>
              <w:right w:val="single" w:color="auto" w:sz="4" w:space="0"/>
            </w:tcBorders>
            <w:vAlign w:val="center"/>
          </w:tcPr>
          <w:p>
            <w:pPr>
              <w:pStyle w:val="108"/>
              <w:jc w:val="center"/>
              <w:rPr>
                <w:rFonts w:ascii="宋体" w:hAnsi="宋体" w:cs="宋体"/>
                <w:sz w:val="21"/>
                <w:szCs w:val="21"/>
              </w:rPr>
            </w:pPr>
            <w:r>
              <w:rPr>
                <w:rFonts w:hint="eastAsia" w:ascii="宋体" w:hAnsi="宋体" w:cs="宋体"/>
                <w:sz w:val="21"/>
                <w:szCs w:val="21"/>
              </w:rPr>
              <w:t>A02052399其他制冷空调设备</w:t>
            </w:r>
          </w:p>
        </w:tc>
        <w:tc>
          <w:tcPr>
            <w:tcW w:w="2002" w:type="dxa"/>
            <w:tcBorders>
              <w:top w:val="single" w:color="auto" w:sz="4" w:space="0"/>
              <w:left w:val="single" w:color="auto" w:sz="4" w:space="0"/>
              <w:bottom w:val="single" w:color="auto" w:sz="4" w:space="0"/>
              <w:right w:val="single" w:color="auto" w:sz="4" w:space="0"/>
            </w:tcBorders>
            <w:vAlign w:val="center"/>
          </w:tcPr>
          <w:p>
            <w:pPr>
              <w:pStyle w:val="108"/>
              <w:spacing w:before="164"/>
              <w:jc w:val="center"/>
              <w:rPr>
                <w:rFonts w:ascii="宋体" w:hAnsi="宋体" w:cs="宋体"/>
                <w:sz w:val="21"/>
                <w:szCs w:val="21"/>
              </w:rPr>
            </w:pPr>
            <w:r>
              <w:rPr>
                <w:rFonts w:hint="eastAsia" w:ascii="宋体" w:hAnsi="宋体" w:cs="宋体"/>
                <w:sz w:val="21"/>
                <w:szCs w:val="21"/>
              </w:rPr>
              <w:t>冷却塔</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jc w:val="center"/>
              <w:rPr>
                <w:rFonts w:ascii="宋体" w:hAnsi="宋体" w:cs="宋体"/>
                <w:sz w:val="21"/>
                <w:szCs w:val="21"/>
                <w:lang w:eastAsia="zh-CN"/>
              </w:rPr>
            </w:pPr>
            <w:r>
              <w:rPr>
                <w:rFonts w:hint="eastAsia" w:ascii="宋体" w:hAnsi="宋体" w:cs="宋体"/>
                <w:sz w:val="21"/>
                <w:szCs w:val="21"/>
                <w:lang w:eastAsia="zh-CN"/>
              </w:rPr>
              <w:t>《机械通风冷却塔第1部分：中小型开式冷却塔》（GB/T7190.1）</w:t>
            </w:r>
          </w:p>
          <w:p>
            <w:pPr>
              <w:pStyle w:val="108"/>
              <w:spacing w:line="256" w:lineRule="exact"/>
              <w:ind w:left="7"/>
              <w:jc w:val="center"/>
              <w:rPr>
                <w:rFonts w:ascii="宋体" w:hAnsi="宋体" w:cs="宋体"/>
                <w:sz w:val="21"/>
                <w:szCs w:val="21"/>
                <w:lang w:eastAsia="zh-CN"/>
              </w:rPr>
            </w:pPr>
            <w:r>
              <w:rPr>
                <w:rFonts w:hint="eastAsia" w:ascii="宋体" w:hAnsi="宋体" w:cs="宋体"/>
                <w:sz w:val="21"/>
                <w:szCs w:val="21"/>
                <w:lang w:eastAsia="zh-CN"/>
              </w:rPr>
              <w:t>《机械通风冷却塔第2部分：大型开式冷却塔》（GB/T7190.2</w:t>
            </w:r>
          </w:p>
        </w:tc>
      </w:tr>
      <w:tr>
        <w:tblPrEx>
          <w:tblCellMar>
            <w:top w:w="0" w:type="dxa"/>
            <w:left w:w="0" w:type="dxa"/>
            <w:bottom w:w="0" w:type="dxa"/>
            <w:right w:w="0"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7</w:t>
            </w:r>
          </w:p>
        </w:tc>
        <w:tc>
          <w:tcPr>
            <w:tcW w:w="1590"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A020601电机</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《中小型三相异步电动机能效限定值及能效等级》（GB18613）</w:t>
            </w:r>
          </w:p>
        </w:tc>
      </w:tr>
      <w:tr>
        <w:tblPrEx>
          <w:tblCellMar>
            <w:top w:w="0" w:type="dxa"/>
            <w:left w:w="0" w:type="dxa"/>
            <w:bottom w:w="0" w:type="dxa"/>
            <w:right w:w="0" w:type="dxa"/>
          </w:tblCellMar>
        </w:tblPrEx>
        <w:trPr>
          <w:trHeight w:val="558"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8</w:t>
            </w:r>
          </w:p>
        </w:tc>
        <w:tc>
          <w:tcPr>
            <w:tcW w:w="1590" w:type="dxa"/>
            <w:tcBorders>
              <w:top w:val="single" w:color="auto" w:sz="4" w:space="0"/>
              <w:left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A020602变压器</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配电变压器</w:t>
            </w:r>
          </w:p>
        </w:tc>
        <w:tc>
          <w:tcPr>
            <w:tcW w:w="2002"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《三相配电变压器能效限定值及能效等级》（GB20052）</w:t>
            </w:r>
          </w:p>
        </w:tc>
      </w:tr>
      <w:tr>
        <w:tblPrEx>
          <w:tblCellMar>
            <w:top w:w="0" w:type="dxa"/>
            <w:left w:w="0" w:type="dxa"/>
            <w:bottom w:w="0" w:type="dxa"/>
            <w:right w:w="0"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9</w:t>
            </w:r>
          </w:p>
        </w:tc>
        <w:tc>
          <w:tcPr>
            <w:tcW w:w="1590" w:type="dxa"/>
            <w:tcBorders>
              <w:top w:val="single" w:color="auto" w:sz="4" w:space="0"/>
              <w:left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★A020609镇流器</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管型荧光灯镇流器</w:t>
            </w:r>
          </w:p>
        </w:tc>
        <w:tc>
          <w:tcPr>
            <w:tcW w:w="2002"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《管形荧光灯镇流器能效限定值及能效等级》（GB17896）</w:t>
            </w:r>
          </w:p>
        </w:tc>
      </w:tr>
      <w:tr>
        <w:tblPrEx>
          <w:tblCellMar>
            <w:top w:w="0" w:type="dxa"/>
            <w:left w:w="0" w:type="dxa"/>
            <w:bottom w:w="0" w:type="dxa"/>
            <w:right w:w="0" w:type="dxa"/>
          </w:tblCellMar>
        </w:tblPrEx>
        <w:trPr>
          <w:trHeight w:val="562" w:hRule="atLeast"/>
          <w:jc w:val="center"/>
        </w:trPr>
        <w:tc>
          <w:tcPr>
            <w:tcW w:w="716" w:type="dxa"/>
            <w:vMerge w:val="restart"/>
            <w:tcBorders>
              <w:top w:val="single" w:color="auto" w:sz="4" w:space="0"/>
              <w:left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10</w:t>
            </w:r>
          </w:p>
        </w:tc>
        <w:tc>
          <w:tcPr>
            <w:tcW w:w="1590" w:type="dxa"/>
            <w:vMerge w:val="restart"/>
            <w:tcBorders>
              <w:top w:val="single" w:color="auto" w:sz="4" w:space="0"/>
              <w:left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A020618生活用电器</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A0206180101电冰箱</w:t>
            </w:r>
          </w:p>
        </w:tc>
        <w:tc>
          <w:tcPr>
            <w:tcW w:w="2002"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《家用电冰箱耗电量限定值及能效等级》（GB12021.2）</w:t>
            </w:r>
          </w:p>
        </w:tc>
      </w:tr>
      <w:tr>
        <w:tblPrEx>
          <w:tblCellMar>
            <w:top w:w="0" w:type="dxa"/>
            <w:left w:w="0" w:type="dxa"/>
            <w:bottom w:w="0" w:type="dxa"/>
            <w:right w:w="0" w:type="dxa"/>
          </w:tblCellMar>
        </w:tblPrEx>
        <w:trPr>
          <w:trHeight w:val="1496" w:hRule="atLeast"/>
          <w:jc w:val="center"/>
        </w:trPr>
        <w:tc>
          <w:tcPr>
            <w:tcW w:w="716"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590"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987" w:type="dxa"/>
            <w:gridSpan w:val="2"/>
            <w:vMerge w:val="restart"/>
            <w:tcBorders>
              <w:top w:val="single" w:color="auto" w:sz="4" w:space="0"/>
              <w:left w:val="single" w:color="auto" w:sz="4" w:space="0"/>
              <w:bottom w:val="single" w:color="auto" w:sz="4" w:space="0"/>
              <w:right w:val="single" w:color="auto" w:sz="4" w:space="0"/>
            </w:tcBorders>
            <w:vAlign w:val="center"/>
          </w:tcPr>
          <w:p>
            <w:pPr>
              <w:pStyle w:val="108"/>
              <w:spacing w:before="171"/>
              <w:jc w:val="center"/>
              <w:rPr>
                <w:rFonts w:ascii="宋体" w:hAnsi="宋体" w:cs="宋体"/>
                <w:sz w:val="21"/>
                <w:szCs w:val="21"/>
              </w:rPr>
            </w:pPr>
            <w:r>
              <w:rPr>
                <w:rFonts w:hint="eastAsia" w:ascii="宋体" w:hAnsi="宋体" w:cs="宋体"/>
                <w:sz w:val="21"/>
                <w:szCs w:val="21"/>
              </w:rPr>
              <w:t>★A0206180203空调</w:t>
            </w:r>
          </w:p>
          <w:p>
            <w:pPr>
              <w:pStyle w:val="108"/>
              <w:spacing w:before="50"/>
              <w:ind w:left="7"/>
              <w:jc w:val="center"/>
              <w:rPr>
                <w:rFonts w:ascii="宋体" w:hAnsi="宋体" w:cs="宋体"/>
                <w:sz w:val="21"/>
                <w:szCs w:val="21"/>
              </w:rPr>
            </w:pPr>
            <w:r>
              <w:rPr>
                <w:rFonts w:hint="eastAsia" w:ascii="宋体" w:hAnsi="宋体" w:cs="宋体"/>
                <w:sz w:val="21"/>
                <w:szCs w:val="21"/>
              </w:rPr>
              <w:t>机</w:t>
            </w:r>
          </w:p>
        </w:tc>
        <w:tc>
          <w:tcPr>
            <w:tcW w:w="2002" w:type="dxa"/>
            <w:tcBorders>
              <w:top w:val="single" w:color="auto" w:sz="4" w:space="0"/>
              <w:left w:val="single" w:color="auto" w:sz="4" w:space="0"/>
              <w:bottom w:val="single" w:color="auto" w:sz="4" w:space="0"/>
              <w:right w:val="single" w:color="auto" w:sz="4" w:space="0"/>
            </w:tcBorders>
            <w:vAlign w:val="center"/>
          </w:tcPr>
          <w:p>
            <w:pPr>
              <w:pStyle w:val="108"/>
              <w:jc w:val="center"/>
              <w:rPr>
                <w:rFonts w:ascii="宋体" w:hAnsi="宋体" w:cs="宋体"/>
                <w:sz w:val="21"/>
                <w:szCs w:val="21"/>
              </w:rPr>
            </w:pPr>
            <w:r>
              <w:rPr>
                <w:rFonts w:hint="eastAsia" w:ascii="宋体" w:hAnsi="宋体" w:cs="宋体"/>
                <w:sz w:val="21"/>
                <w:szCs w:val="21"/>
              </w:rPr>
              <w:t>房间空气调节器</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4"/>
              <w:ind w:left="7"/>
              <w:jc w:val="center"/>
              <w:rPr>
                <w:rFonts w:ascii="宋体" w:hAnsi="宋体" w:cs="宋体"/>
                <w:sz w:val="21"/>
                <w:szCs w:val="21"/>
                <w:lang w:eastAsia="zh-CN"/>
              </w:rPr>
            </w:pPr>
            <w:r>
              <w:rPr>
                <w:rFonts w:hint="eastAsia" w:ascii="宋体" w:hAnsi="宋体" w:cs="宋体"/>
                <w:sz w:val="21"/>
                <w:szCs w:val="21"/>
                <w:lang w:eastAsia="zh-CN"/>
              </w:rPr>
              <w:t>《转速可控型房间空气调节器能效限定值及能效等级》（GB21455-2013），待2019年修订发布后，按《房间空气调节器能效限定值及能效等级》（GB21455-2019）实施。</w:t>
            </w:r>
          </w:p>
        </w:tc>
      </w:tr>
      <w:tr>
        <w:tblPrEx>
          <w:tblCellMar>
            <w:top w:w="0" w:type="dxa"/>
            <w:left w:w="0" w:type="dxa"/>
            <w:bottom w:w="0" w:type="dxa"/>
            <w:right w:w="0" w:type="dxa"/>
          </w:tblCellMar>
        </w:tblPrEx>
        <w:trPr>
          <w:jc w:val="center"/>
        </w:trPr>
        <w:tc>
          <w:tcPr>
            <w:tcW w:w="716"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590"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08"/>
              <w:spacing w:before="4"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多联式空调（热泵）机组（制冷量≤14000W）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60"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《多联式空调（热泵）机组能效限定值及能源效率等级》（GB21454</w:t>
            </w:r>
          </w:p>
        </w:tc>
      </w:tr>
      <w:tr>
        <w:tblPrEx>
          <w:tblCellMar>
            <w:top w:w="0" w:type="dxa"/>
            <w:left w:w="0" w:type="dxa"/>
            <w:bottom w:w="0" w:type="dxa"/>
            <w:right w:w="0" w:type="dxa"/>
          </w:tblCellMar>
        </w:tblPrEx>
        <w:trPr>
          <w:trHeight w:val="512" w:hRule="atLeast"/>
          <w:jc w:val="center"/>
        </w:trPr>
        <w:tc>
          <w:tcPr>
            <w:tcW w:w="716"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590"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08"/>
              <w:jc w:val="center"/>
              <w:rPr>
                <w:rFonts w:ascii="宋体" w:hAnsi="宋体" w:cs="宋体"/>
                <w:sz w:val="21"/>
                <w:szCs w:val="21"/>
              </w:rPr>
            </w:pPr>
            <w:r>
              <w:rPr>
                <w:rFonts w:hint="eastAsia" w:ascii="宋体" w:hAnsi="宋体" w:cs="宋体"/>
                <w:sz w:val="21"/>
                <w:szCs w:val="21"/>
              </w:rPr>
              <w:t>单元式空气调节机</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4"/>
              <w:ind w:left="7"/>
              <w:jc w:val="center"/>
              <w:rPr>
                <w:rFonts w:ascii="宋体" w:hAnsi="宋体" w:cs="宋体"/>
                <w:sz w:val="21"/>
                <w:szCs w:val="21"/>
                <w:lang w:eastAsia="zh-CN"/>
              </w:rPr>
            </w:pPr>
            <w:r>
              <w:rPr>
                <w:rFonts w:hint="eastAsia" w:ascii="宋体" w:hAnsi="宋体" w:cs="宋体"/>
                <w:sz w:val="21"/>
                <w:szCs w:val="21"/>
                <w:lang w:eastAsia="zh-CN"/>
              </w:rPr>
              <w:t>《单元式空气调节机能效限定值及能源效率等级》（GB19576）《风</w:t>
            </w:r>
          </w:p>
        </w:tc>
      </w:tr>
      <w:tr>
        <w:tblPrEx>
          <w:tblCellMar>
            <w:top w:w="0" w:type="dxa"/>
            <w:left w:w="0" w:type="dxa"/>
            <w:bottom w:w="0" w:type="dxa"/>
            <w:right w:w="0" w:type="dxa"/>
          </w:tblCellMar>
        </w:tblPrEx>
        <w:trPr>
          <w:trHeight w:val="492" w:hRule="atLeast"/>
          <w:jc w:val="center"/>
        </w:trPr>
        <w:tc>
          <w:tcPr>
            <w:tcW w:w="716"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590"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9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08"/>
              <w:spacing w:line="256" w:lineRule="exact"/>
              <w:ind w:left="7"/>
              <w:jc w:val="center"/>
              <w:rPr>
                <w:rFonts w:ascii="宋体" w:hAnsi="宋体" w:cs="宋体"/>
                <w:sz w:val="21"/>
                <w:szCs w:val="21"/>
              </w:rPr>
            </w:pPr>
            <w:r>
              <w:rPr>
                <w:rFonts w:hint="eastAsia" w:ascii="宋体" w:hAnsi="宋体" w:cs="宋体"/>
                <w:sz w:val="21"/>
                <w:szCs w:val="21"/>
              </w:rPr>
              <w:t>(制冷量≤14000W)</w:t>
            </w: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line="256" w:lineRule="exact"/>
              <w:ind w:left="7"/>
              <w:jc w:val="center"/>
              <w:rPr>
                <w:rFonts w:ascii="宋体" w:hAnsi="宋体" w:cs="宋体"/>
                <w:sz w:val="21"/>
                <w:szCs w:val="21"/>
                <w:lang w:eastAsia="zh-CN"/>
              </w:rPr>
            </w:pPr>
            <w:r>
              <w:rPr>
                <w:rFonts w:hint="eastAsia" w:ascii="宋体" w:hAnsi="宋体" w:cs="宋体"/>
                <w:sz w:val="21"/>
                <w:szCs w:val="21"/>
                <w:lang w:eastAsia="zh-CN"/>
              </w:rPr>
              <w:t>管送风式空调机组能效限定值及能效等级》（GB37479）</w:t>
            </w:r>
          </w:p>
        </w:tc>
      </w:tr>
      <w:tr>
        <w:tblPrEx>
          <w:tblCellMar>
            <w:top w:w="0" w:type="dxa"/>
            <w:left w:w="0" w:type="dxa"/>
            <w:bottom w:w="0" w:type="dxa"/>
            <w:right w:w="0" w:type="dxa"/>
          </w:tblCellMar>
        </w:tblPrEx>
        <w:trPr>
          <w:jc w:val="center"/>
        </w:trPr>
        <w:tc>
          <w:tcPr>
            <w:tcW w:w="716"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590"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987"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62"/>
              <w:ind w:left="7"/>
              <w:jc w:val="center"/>
              <w:rPr>
                <w:rFonts w:ascii="宋体" w:hAnsi="宋体" w:cs="宋体"/>
                <w:sz w:val="21"/>
                <w:szCs w:val="21"/>
              </w:rPr>
            </w:pPr>
            <w:r>
              <w:rPr>
                <w:rFonts w:hint="eastAsia" w:ascii="宋体" w:hAnsi="宋体" w:cs="宋体"/>
                <w:sz w:val="21"/>
                <w:szCs w:val="21"/>
              </w:rPr>
              <w:t>A0206180301洗衣机</w:t>
            </w:r>
          </w:p>
        </w:tc>
        <w:tc>
          <w:tcPr>
            <w:tcW w:w="20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lang w:eastAsia="en-US"/>
              </w:rPr>
            </w:pPr>
          </w:p>
        </w:tc>
        <w:tc>
          <w:tcPr>
            <w:tcW w:w="3910" w:type="dxa"/>
            <w:gridSpan w:val="2"/>
            <w:tcBorders>
              <w:top w:val="single" w:color="auto" w:sz="4" w:space="0"/>
              <w:left w:val="single" w:color="auto" w:sz="4" w:space="0"/>
              <w:bottom w:val="single" w:color="auto" w:sz="4" w:space="0"/>
              <w:right w:val="single" w:color="auto" w:sz="4" w:space="0"/>
            </w:tcBorders>
            <w:vAlign w:val="center"/>
          </w:tcPr>
          <w:p>
            <w:pPr>
              <w:pStyle w:val="108"/>
              <w:spacing w:before="6" w:line="283" w:lineRule="auto"/>
              <w:ind w:left="7" w:right="4"/>
              <w:jc w:val="center"/>
              <w:rPr>
                <w:rFonts w:ascii="宋体" w:hAnsi="宋体" w:cs="宋体"/>
                <w:sz w:val="21"/>
                <w:szCs w:val="21"/>
                <w:lang w:eastAsia="zh-CN"/>
              </w:rPr>
            </w:pPr>
            <w:r>
              <w:rPr>
                <w:rFonts w:hint="eastAsia" w:ascii="宋体" w:hAnsi="宋体" w:cs="宋体"/>
                <w:sz w:val="21"/>
                <w:szCs w:val="21"/>
                <w:lang w:eastAsia="zh-CN"/>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1590" w:type="dxa"/>
            <w:vMerge w:val="continue"/>
            <w:tcBorders>
              <w:left w:val="single" w:color="auto" w:sz="4" w:space="0"/>
              <w:right w:val="single" w:color="auto" w:sz="4" w:space="0"/>
            </w:tcBorders>
            <w:vAlign w:val="center"/>
          </w:tcPr>
          <w:p>
            <w:pPr>
              <w:jc w:val="center"/>
              <w:rPr>
                <w:rFonts w:ascii="宋体" w:hAnsi="宋体" w:cs="宋体"/>
                <w:kern w:val="0"/>
                <w:szCs w:val="21"/>
              </w:rPr>
            </w:pPr>
          </w:p>
        </w:tc>
        <w:tc>
          <w:tcPr>
            <w:tcW w:w="1981" w:type="dxa"/>
            <w:vMerge w:val="restart"/>
            <w:tcBorders>
              <w:top w:val="single" w:color="auto" w:sz="4" w:space="0"/>
              <w:left w:val="single" w:color="auto" w:sz="4" w:space="0"/>
              <w:bottom w:val="single" w:color="auto" w:sz="4" w:space="0"/>
              <w:right w:val="single" w:color="auto" w:sz="4" w:space="0"/>
            </w:tcBorders>
            <w:vAlign w:val="center"/>
          </w:tcPr>
          <w:p>
            <w:pPr>
              <w:pStyle w:val="108"/>
              <w:spacing w:before="161"/>
              <w:jc w:val="center"/>
              <w:rPr>
                <w:rFonts w:ascii="宋体" w:hAnsi="宋体" w:cs="宋体"/>
                <w:sz w:val="21"/>
                <w:szCs w:val="21"/>
              </w:rPr>
            </w:pPr>
            <w:r>
              <w:rPr>
                <w:rFonts w:hint="eastAsia" w:ascii="宋体" w:hAnsi="宋体" w:cs="宋体"/>
                <w:sz w:val="21"/>
                <w:szCs w:val="21"/>
              </w:rPr>
              <w:t>A02061808热水器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108"/>
              <w:jc w:val="center"/>
              <w:rPr>
                <w:rFonts w:ascii="宋体" w:hAnsi="宋体" w:cs="宋体"/>
                <w:sz w:val="21"/>
                <w:szCs w:val="21"/>
              </w:rPr>
            </w:pPr>
            <w:r>
              <w:rPr>
                <w:rFonts w:hint="eastAsia" w:ascii="宋体" w:hAnsi="宋体" w:cs="宋体"/>
                <w:sz w:val="21"/>
                <w:szCs w:val="21"/>
              </w:rPr>
              <w:t>★电热水器</w:t>
            </w:r>
          </w:p>
        </w:tc>
        <w:tc>
          <w:tcPr>
            <w:tcW w:w="3903" w:type="dxa"/>
            <w:tcBorders>
              <w:top w:val="single" w:color="auto" w:sz="4" w:space="0"/>
              <w:left w:val="single" w:color="auto" w:sz="4" w:space="0"/>
              <w:bottom w:val="single" w:color="auto" w:sz="4" w:space="0"/>
              <w:right w:val="single" w:color="auto" w:sz="4" w:space="0"/>
            </w:tcBorders>
            <w:vAlign w:val="center"/>
          </w:tcPr>
          <w:p>
            <w:pPr>
              <w:pStyle w:val="108"/>
              <w:tabs>
                <w:tab w:val="left" w:pos="1608"/>
              </w:tabs>
              <w:spacing w:before="52"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590"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9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108"/>
              <w:jc w:val="center"/>
              <w:rPr>
                <w:rFonts w:ascii="宋体" w:hAnsi="宋体" w:cs="宋体"/>
                <w:sz w:val="21"/>
                <w:szCs w:val="21"/>
              </w:rPr>
            </w:pPr>
            <w:r>
              <w:rPr>
                <w:rFonts w:hint="eastAsia" w:ascii="宋体" w:hAnsi="宋体" w:cs="宋体"/>
                <w:sz w:val="21"/>
                <w:szCs w:val="21"/>
              </w:rPr>
              <w:t>燃气热水器</w:t>
            </w:r>
          </w:p>
        </w:tc>
        <w:tc>
          <w:tcPr>
            <w:tcW w:w="3903" w:type="dxa"/>
            <w:tcBorders>
              <w:top w:val="single" w:color="auto" w:sz="4" w:space="0"/>
              <w:left w:val="single" w:color="auto" w:sz="4" w:space="0"/>
              <w:bottom w:val="single" w:color="auto" w:sz="4" w:space="0"/>
              <w:right w:val="single" w:color="auto" w:sz="4" w:space="0"/>
            </w:tcBorders>
            <w:vAlign w:val="center"/>
          </w:tcPr>
          <w:p>
            <w:pPr>
              <w:pStyle w:val="108"/>
              <w:spacing w:before="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《家用燃气快速热水器和燃气采暖热水炉能效限定值及能效等级》</w:t>
            </w:r>
          </w:p>
          <w:p>
            <w:pPr>
              <w:pStyle w:val="108"/>
              <w:spacing w:before="12"/>
              <w:ind w:left="7"/>
              <w:jc w:val="center"/>
              <w:rPr>
                <w:rFonts w:ascii="宋体" w:hAnsi="宋体" w:cs="宋体"/>
                <w:sz w:val="21"/>
                <w:szCs w:val="21"/>
              </w:rPr>
            </w:pPr>
            <w:r>
              <w:rPr>
                <w:rFonts w:hint="eastAsia" w:ascii="宋体" w:hAnsi="宋体" w:cs="宋体"/>
                <w:sz w:val="21"/>
                <w:szCs w:val="21"/>
              </w:rPr>
              <w:t>（GB20665）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right w:val="single" w:color="auto" w:sz="4" w:space="0"/>
            </w:tcBorders>
            <w:vAlign w:val="center"/>
          </w:tcPr>
          <w:p>
            <w:pPr>
              <w:widowControl/>
              <w:jc w:val="center"/>
              <w:rPr>
                <w:rFonts w:ascii="宋体" w:hAnsi="宋体" w:cs="宋体"/>
                <w:kern w:val="0"/>
                <w:szCs w:val="21"/>
                <w:lang w:eastAsia="en-US"/>
              </w:rPr>
            </w:pPr>
          </w:p>
        </w:tc>
        <w:tc>
          <w:tcPr>
            <w:tcW w:w="1590" w:type="dxa"/>
            <w:vMerge w:val="continue"/>
            <w:tcBorders>
              <w:left w:val="single" w:color="auto" w:sz="4" w:space="0"/>
              <w:right w:val="single" w:color="auto" w:sz="4" w:space="0"/>
            </w:tcBorders>
            <w:vAlign w:val="center"/>
          </w:tcPr>
          <w:p>
            <w:pPr>
              <w:widowControl/>
              <w:jc w:val="center"/>
              <w:rPr>
                <w:rFonts w:ascii="宋体" w:hAnsi="宋体" w:cs="宋体"/>
                <w:kern w:val="0"/>
                <w:szCs w:val="21"/>
                <w:lang w:eastAsia="en-US"/>
              </w:rPr>
            </w:pPr>
          </w:p>
        </w:tc>
        <w:tc>
          <w:tcPr>
            <w:tcW w:w="19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lang w:eastAsia="en-US"/>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108"/>
              <w:jc w:val="center"/>
              <w:rPr>
                <w:rFonts w:ascii="宋体" w:hAnsi="宋体" w:cs="宋体"/>
                <w:sz w:val="21"/>
                <w:szCs w:val="21"/>
              </w:rPr>
            </w:pPr>
            <w:r>
              <w:rPr>
                <w:rFonts w:hint="eastAsia" w:ascii="宋体" w:hAnsi="宋体" w:cs="宋体"/>
                <w:sz w:val="21"/>
                <w:szCs w:val="21"/>
              </w:rPr>
              <w:t>热泵热水器</w:t>
            </w:r>
          </w:p>
        </w:tc>
        <w:tc>
          <w:tcPr>
            <w:tcW w:w="3903" w:type="dxa"/>
            <w:tcBorders>
              <w:top w:val="single" w:color="auto" w:sz="4" w:space="0"/>
              <w:left w:val="single" w:color="auto" w:sz="4" w:space="0"/>
              <w:bottom w:val="single" w:color="auto" w:sz="4" w:space="0"/>
              <w:right w:val="single" w:color="auto" w:sz="4" w:space="0"/>
            </w:tcBorders>
            <w:vAlign w:val="center"/>
          </w:tcPr>
          <w:p>
            <w:pPr>
              <w:pStyle w:val="108"/>
              <w:spacing w:before="93" w:line="283" w:lineRule="auto"/>
              <w:ind w:left="7" w:right="7"/>
              <w:jc w:val="center"/>
              <w:rPr>
                <w:rFonts w:ascii="宋体" w:hAnsi="宋体" w:cs="宋体"/>
                <w:sz w:val="21"/>
                <w:szCs w:val="21"/>
                <w:lang w:eastAsia="zh-CN"/>
              </w:rPr>
            </w:pPr>
            <w:r>
              <w:rPr>
                <w:rFonts w:hint="eastAsia" w:ascii="宋体" w:hAnsi="宋体" w:cs="宋体"/>
                <w:sz w:val="21"/>
                <w:szCs w:val="21"/>
                <w:lang w:eastAsia="zh-CN"/>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9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9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108"/>
              <w:jc w:val="center"/>
              <w:rPr>
                <w:rFonts w:ascii="宋体" w:hAnsi="宋体" w:cs="宋体"/>
                <w:sz w:val="21"/>
                <w:szCs w:val="21"/>
              </w:rPr>
            </w:pPr>
            <w:r>
              <w:rPr>
                <w:rFonts w:hint="eastAsia" w:ascii="宋体" w:hAnsi="宋体" w:cs="宋体"/>
                <w:sz w:val="21"/>
                <w:szCs w:val="21"/>
              </w:rPr>
              <w:t>太阳能热水系统</w:t>
            </w:r>
          </w:p>
        </w:tc>
        <w:tc>
          <w:tcPr>
            <w:tcW w:w="3903" w:type="dxa"/>
            <w:tcBorders>
              <w:top w:val="single" w:color="auto" w:sz="4" w:space="0"/>
              <w:left w:val="single" w:color="auto" w:sz="4" w:space="0"/>
              <w:bottom w:val="single" w:color="auto" w:sz="4" w:space="0"/>
              <w:right w:val="single" w:color="auto" w:sz="4" w:space="0"/>
            </w:tcBorders>
            <w:vAlign w:val="center"/>
          </w:tcPr>
          <w:p>
            <w:pPr>
              <w:pStyle w:val="108"/>
              <w:spacing w:before="52"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11</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A020619照明设备</w:t>
            </w:r>
          </w:p>
        </w:tc>
        <w:tc>
          <w:tcPr>
            <w:tcW w:w="1981"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★普通照明用双端荧光灯</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981" w:type="dxa"/>
            <w:tcBorders>
              <w:top w:val="single" w:color="auto" w:sz="4" w:space="0"/>
              <w:left w:val="single" w:color="auto" w:sz="4" w:space="0"/>
              <w:bottom w:val="single" w:color="auto" w:sz="4" w:space="0"/>
              <w:right w:val="single" w:color="auto" w:sz="4" w:space="0"/>
            </w:tcBorders>
            <w:vAlign w:val="center"/>
          </w:tcPr>
          <w:p>
            <w:pPr>
              <w:pStyle w:val="108"/>
              <w:spacing w:before="92" w:line="283" w:lineRule="auto"/>
              <w:ind w:left="7" w:right="2"/>
              <w:jc w:val="center"/>
              <w:rPr>
                <w:rFonts w:ascii="宋体" w:hAnsi="宋体" w:cs="宋体"/>
                <w:sz w:val="21"/>
                <w:szCs w:val="21"/>
              </w:rPr>
            </w:pPr>
            <w:r>
              <w:rPr>
                <w:rFonts w:hint="eastAsia" w:ascii="宋体" w:hAnsi="宋体" w:cs="宋体"/>
                <w:sz w:val="21"/>
                <w:szCs w:val="21"/>
              </w:rPr>
              <w:t>LED道路/隧道照明产品</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108"/>
              <w:spacing w:before="92" w:line="283" w:lineRule="auto"/>
              <w:ind w:left="7" w:right="7"/>
              <w:jc w:val="center"/>
              <w:rPr>
                <w:rFonts w:ascii="宋体" w:hAnsi="宋体" w:cs="宋体"/>
                <w:sz w:val="21"/>
                <w:szCs w:val="21"/>
                <w:lang w:eastAsia="zh-CN"/>
              </w:rPr>
            </w:pPr>
            <w:r>
              <w:rPr>
                <w:rFonts w:hint="eastAsia" w:ascii="宋体" w:hAnsi="宋体" w:cs="宋体"/>
                <w:sz w:val="21"/>
                <w:szCs w:val="21"/>
                <w:lang w:eastAsia="zh-CN"/>
              </w:rPr>
              <w:t>《道路和隧道照明用LED灯具能效限定值及能效等级》（GB37478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981" w:type="dxa"/>
            <w:tcBorders>
              <w:top w:val="single" w:color="auto" w:sz="4" w:space="0"/>
              <w:left w:val="single" w:color="auto" w:sz="4" w:space="0"/>
              <w:bottom w:val="single" w:color="auto" w:sz="4" w:space="0"/>
              <w:right w:val="single" w:color="auto" w:sz="4" w:space="0"/>
            </w:tcBorders>
            <w:vAlign w:val="center"/>
          </w:tcPr>
          <w:p>
            <w:pPr>
              <w:pStyle w:val="108"/>
              <w:jc w:val="center"/>
              <w:rPr>
                <w:rFonts w:ascii="宋体" w:hAnsi="宋体" w:cs="宋体"/>
                <w:sz w:val="21"/>
                <w:szCs w:val="21"/>
              </w:rPr>
            </w:pPr>
            <w:r>
              <w:rPr>
                <w:rFonts w:hint="eastAsia" w:ascii="宋体" w:hAnsi="宋体" w:cs="宋体"/>
                <w:sz w:val="21"/>
                <w:szCs w:val="21"/>
              </w:rPr>
              <w:t>LED筒灯</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108"/>
              <w:spacing w:before="83"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981" w:type="dxa"/>
            <w:tcBorders>
              <w:top w:val="single" w:color="auto" w:sz="4" w:space="0"/>
              <w:left w:val="single" w:color="auto" w:sz="4" w:space="0"/>
              <w:bottom w:val="single" w:color="auto" w:sz="4" w:space="0"/>
              <w:right w:val="single" w:color="auto" w:sz="4" w:space="0"/>
            </w:tcBorders>
            <w:vAlign w:val="center"/>
          </w:tcPr>
          <w:p>
            <w:pPr>
              <w:pStyle w:val="108"/>
              <w:spacing w:line="283" w:lineRule="auto"/>
              <w:ind w:right="7"/>
              <w:jc w:val="center"/>
              <w:rPr>
                <w:rFonts w:ascii="宋体" w:hAnsi="宋体" w:cs="宋体"/>
                <w:sz w:val="21"/>
                <w:szCs w:val="21"/>
                <w:lang w:eastAsia="zh-CN"/>
              </w:rPr>
            </w:pPr>
            <w:r>
              <w:rPr>
                <w:rFonts w:hint="eastAsia" w:ascii="宋体" w:hAnsi="宋体" w:cs="宋体"/>
                <w:sz w:val="21"/>
                <w:szCs w:val="21"/>
                <w:lang w:eastAsia="zh-CN"/>
              </w:rPr>
              <w:t>普通照明用非定向自镇流LED灯</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108"/>
              <w:spacing w:line="283" w:lineRule="auto"/>
              <w:ind w:right="7"/>
              <w:jc w:val="center"/>
              <w:rPr>
                <w:rFonts w:ascii="宋体" w:hAnsi="宋体" w:cs="宋体"/>
                <w:sz w:val="21"/>
                <w:szCs w:val="21"/>
                <w:lang w:eastAsia="zh-CN"/>
              </w:rPr>
            </w:pPr>
            <w:r>
              <w:rPr>
                <w:rFonts w:hint="eastAsia" w:ascii="宋体" w:hAnsi="宋体" w:cs="宋体"/>
                <w:sz w:val="21"/>
                <w:szCs w:val="21"/>
                <w:lang w:eastAsia="zh-CN"/>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12</w:t>
            </w:r>
          </w:p>
        </w:tc>
        <w:tc>
          <w:tcPr>
            <w:tcW w:w="1590"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★A020910电视设备</w:t>
            </w:r>
          </w:p>
        </w:tc>
        <w:tc>
          <w:tcPr>
            <w:tcW w:w="1981"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A02091001普通电视设备（电视机）</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13</w:t>
            </w:r>
          </w:p>
        </w:tc>
        <w:tc>
          <w:tcPr>
            <w:tcW w:w="1590"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★A020911视频设备</w:t>
            </w:r>
          </w:p>
        </w:tc>
        <w:tc>
          <w:tcPr>
            <w:tcW w:w="1981"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A02091107视频监控设备</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监视器</w:t>
            </w:r>
          </w:p>
        </w:tc>
        <w:tc>
          <w:tcPr>
            <w:tcW w:w="3903"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14</w:t>
            </w:r>
          </w:p>
        </w:tc>
        <w:tc>
          <w:tcPr>
            <w:tcW w:w="1590"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A031210饮食炊事机械</w:t>
            </w:r>
          </w:p>
        </w:tc>
        <w:tc>
          <w:tcPr>
            <w:tcW w:w="1981"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商用燃气灶具</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15</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★A060805便器</w:t>
            </w:r>
          </w:p>
        </w:tc>
        <w:tc>
          <w:tcPr>
            <w:tcW w:w="1981"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坐便器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《坐便器水效限定值及水效等级》</w:t>
            </w:r>
          </w:p>
          <w:p>
            <w:pPr>
              <w:pStyle w:val="108"/>
              <w:spacing w:before="124" w:line="283" w:lineRule="auto"/>
              <w:ind w:left="7" w:right="4"/>
              <w:jc w:val="center"/>
              <w:rPr>
                <w:rFonts w:ascii="宋体" w:hAnsi="宋体" w:cs="宋体"/>
                <w:sz w:val="21"/>
                <w:szCs w:val="21"/>
              </w:rPr>
            </w:pPr>
            <w:r>
              <w:rPr>
                <w:rFonts w:hint="eastAsia" w:ascii="宋体" w:hAnsi="宋体" w:cs="宋体"/>
                <w:sz w:val="21"/>
                <w:szCs w:val="21"/>
              </w:rPr>
              <w:t>（GB25502）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lang w:eastAsia="en-US"/>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lang w:eastAsia="en-US"/>
              </w:rPr>
            </w:pPr>
          </w:p>
        </w:tc>
        <w:tc>
          <w:tcPr>
            <w:tcW w:w="1981" w:type="dxa"/>
            <w:tcBorders>
              <w:top w:val="single" w:color="auto" w:sz="4" w:space="0"/>
              <w:left w:val="single" w:color="auto" w:sz="4" w:space="0"/>
              <w:bottom w:val="single" w:color="auto" w:sz="4" w:space="0"/>
              <w:right w:val="single" w:color="auto" w:sz="4" w:space="0"/>
            </w:tcBorders>
            <w:vAlign w:val="center"/>
          </w:tcPr>
          <w:p>
            <w:pPr>
              <w:pStyle w:val="108"/>
              <w:jc w:val="center"/>
              <w:rPr>
                <w:rFonts w:ascii="宋体" w:hAnsi="宋体" w:cs="宋体"/>
                <w:sz w:val="21"/>
                <w:szCs w:val="21"/>
              </w:rPr>
            </w:pPr>
            <w:r>
              <w:rPr>
                <w:rFonts w:hint="eastAsia" w:ascii="宋体" w:hAnsi="宋体" w:cs="宋体"/>
                <w:sz w:val="21"/>
                <w:szCs w:val="21"/>
              </w:rPr>
              <w:t>蹲便器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7" w:type="dxa"/>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981" w:type="dxa"/>
            <w:tcBorders>
              <w:top w:val="single" w:color="auto" w:sz="4" w:space="0"/>
              <w:left w:val="single" w:color="auto" w:sz="4" w:space="0"/>
              <w:bottom w:val="single" w:color="auto" w:sz="4" w:space="0"/>
              <w:right w:val="single" w:color="auto" w:sz="4" w:space="0"/>
            </w:tcBorders>
            <w:vAlign w:val="center"/>
          </w:tcPr>
          <w:p>
            <w:pPr>
              <w:pStyle w:val="108"/>
              <w:jc w:val="center"/>
              <w:rPr>
                <w:rFonts w:ascii="宋体" w:hAnsi="宋体" w:cs="宋体"/>
                <w:sz w:val="21"/>
                <w:szCs w:val="21"/>
              </w:rPr>
            </w:pPr>
            <w:r>
              <w:rPr>
                <w:rFonts w:hint="eastAsia" w:ascii="宋体" w:hAnsi="宋体" w:cs="宋体"/>
                <w:sz w:val="21"/>
                <w:szCs w:val="21"/>
              </w:rPr>
              <w:t>小便器</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lang w:eastAsia="en-US"/>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《小便器用水效率限定值及用水效率等级》（GB28377）</w:t>
            </w:r>
          </w:p>
        </w:tc>
      </w:tr>
      <w:tr>
        <w:tblPrEx>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16</w:t>
            </w:r>
          </w:p>
        </w:tc>
        <w:tc>
          <w:tcPr>
            <w:tcW w:w="1590"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★A060806水嘴</w:t>
            </w:r>
          </w:p>
        </w:tc>
        <w:tc>
          <w:tcPr>
            <w:tcW w:w="1981"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《水嘴用水效率限定值及用水效率等级》（GB 25501）</w:t>
            </w:r>
          </w:p>
        </w:tc>
      </w:tr>
      <w:tr>
        <w:tblPrEx>
          <w:tblCellMar>
            <w:top w:w="0" w:type="dxa"/>
            <w:left w:w="0" w:type="dxa"/>
            <w:bottom w:w="0" w:type="dxa"/>
            <w:right w:w="0" w:type="dxa"/>
          </w:tblCellMar>
        </w:tblPrEx>
        <w:trPr>
          <w:gridAfter w:val="1"/>
          <w:wAfter w:w="7" w:type="dxa"/>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17</w:t>
            </w:r>
          </w:p>
        </w:tc>
        <w:tc>
          <w:tcPr>
            <w:tcW w:w="1590"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A060807便器冲洗阀</w:t>
            </w:r>
          </w:p>
        </w:tc>
        <w:tc>
          <w:tcPr>
            <w:tcW w:w="1981"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《便器冲洗阀用水效率限定值及用水效率等级》（GB28379）</w:t>
            </w:r>
          </w:p>
        </w:tc>
      </w:tr>
      <w:tr>
        <w:tblPrEx>
          <w:tblCellMar>
            <w:top w:w="0" w:type="dxa"/>
            <w:left w:w="0" w:type="dxa"/>
            <w:bottom w:w="0" w:type="dxa"/>
            <w:right w:w="0" w:type="dxa"/>
          </w:tblCellMar>
        </w:tblPrEx>
        <w:trPr>
          <w:gridAfter w:val="1"/>
          <w:wAfter w:w="7" w:type="dxa"/>
          <w:trHeight w:val="902" w:hRule="exact"/>
          <w:jc w:val="center"/>
        </w:trPr>
        <w:tc>
          <w:tcPr>
            <w:tcW w:w="716"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18</w:t>
            </w:r>
          </w:p>
        </w:tc>
        <w:tc>
          <w:tcPr>
            <w:tcW w:w="1590"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A060810淋浴器</w:t>
            </w:r>
          </w:p>
        </w:tc>
        <w:tc>
          <w:tcPr>
            <w:tcW w:w="1981"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rPr>
            </w:pPr>
          </w:p>
        </w:tc>
        <w:tc>
          <w:tcPr>
            <w:tcW w:w="3903" w:type="dxa"/>
            <w:tcBorders>
              <w:top w:val="single" w:color="auto" w:sz="4" w:space="0"/>
              <w:left w:val="single" w:color="auto" w:sz="4" w:space="0"/>
              <w:bottom w:val="single" w:color="auto" w:sz="4" w:space="0"/>
              <w:right w:val="single" w:color="auto" w:sz="4" w:space="0"/>
            </w:tcBorders>
            <w:vAlign w:val="center"/>
          </w:tcPr>
          <w:p>
            <w:pPr>
              <w:pStyle w:val="108"/>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《淋浴器用水效率限定值及用水效率等级》（GB28378）</w:t>
            </w:r>
          </w:p>
        </w:tc>
      </w:tr>
    </w:tbl>
    <w:p>
      <w:pPr>
        <w:pStyle w:val="19"/>
        <w:spacing w:line="240" w:lineRule="auto"/>
        <w:rPr>
          <w:rFonts w:ascii="宋体" w:hAnsi="宋体" w:cs="宋体"/>
          <w:sz w:val="21"/>
          <w:szCs w:val="21"/>
        </w:rPr>
      </w:pPr>
      <w:r>
        <w:rPr>
          <w:rFonts w:hint="eastAsia" w:ascii="宋体" w:hAnsi="宋体" w:cs="宋体"/>
          <w:spacing w:val="-3"/>
          <w:sz w:val="21"/>
          <w:szCs w:val="21"/>
        </w:rPr>
        <w:t>注：1.节能产品认证应依据相关国家标准的最新版本，依据国家标准中二级能效（水效）</w:t>
      </w:r>
      <w:r>
        <w:rPr>
          <w:rFonts w:hint="eastAsia" w:ascii="宋体" w:hAnsi="宋体" w:cs="宋体"/>
          <w:sz w:val="21"/>
          <w:szCs w:val="21"/>
        </w:rPr>
        <w:t>指标。</w:t>
      </w:r>
    </w:p>
    <w:p>
      <w:pPr>
        <w:snapToGrid w:val="0"/>
        <w:jc w:val="left"/>
        <w:rPr>
          <w:rFonts w:ascii="宋体" w:hAnsi="宋体" w:cs="宋体"/>
          <w:szCs w:val="21"/>
        </w:rPr>
      </w:pPr>
      <w:r>
        <w:rPr>
          <w:rFonts w:hint="eastAsia" w:ascii="宋体" w:hAnsi="宋体" w:cs="宋体"/>
          <w:szCs w:val="21"/>
        </w:rPr>
        <w:t xml:space="preserve">    2.以“★”标注的为政府强制采购产品。</w:t>
      </w:r>
    </w:p>
    <w:p>
      <w:pPr>
        <w:spacing w:line="428" w:lineRule="exact"/>
        <w:rPr>
          <w:rFonts w:ascii="宋体" w:hAnsi="宋体" w:cs="宋体"/>
          <w:sz w:val="20"/>
          <w:szCs w:val="20"/>
        </w:rPr>
      </w:pPr>
    </w:p>
    <w:p>
      <w:pPr>
        <w:jc w:val="left"/>
        <w:rPr>
          <w:rFonts w:ascii="宋体" w:hAnsi="宋体" w:cs="宋体"/>
          <w:kern w:val="0"/>
          <w:sz w:val="32"/>
          <w:szCs w:val="32"/>
        </w:rPr>
      </w:pPr>
      <w:bookmarkStart w:id="47" w:name="_Toc74320802"/>
      <w:r>
        <w:rPr>
          <w:rFonts w:hint="eastAsia" w:ascii="宋体" w:hAnsi="宋体" w:cs="宋体"/>
        </w:rPr>
        <w:br w:type="page"/>
      </w:r>
      <w:r>
        <w:rPr>
          <w:rFonts w:hint="eastAsia" w:ascii="宋体" w:hAnsi="宋体" w:cs="宋体"/>
          <w:kern w:val="0"/>
          <w:sz w:val="32"/>
          <w:szCs w:val="32"/>
        </w:rPr>
        <w:t>附件2：</w:t>
      </w:r>
    </w:p>
    <w:p>
      <w:pPr>
        <w:spacing w:line="528" w:lineRule="exact"/>
        <w:jc w:val="center"/>
        <w:rPr>
          <w:rFonts w:ascii="宋体" w:hAnsi="宋体" w:cs="宋体"/>
          <w:sz w:val="32"/>
          <w:szCs w:val="32"/>
        </w:rPr>
      </w:pPr>
      <w:r>
        <w:rPr>
          <w:rFonts w:hint="eastAsia" w:ascii="宋体" w:hAnsi="宋体" w:cs="宋体"/>
          <w:sz w:val="32"/>
          <w:szCs w:val="32"/>
        </w:rPr>
        <w:t>中小微企业划型标准</w:t>
      </w:r>
    </w:p>
    <w:tbl>
      <w:tblPr>
        <w:tblStyle w:val="47"/>
        <w:tblW w:w="9052" w:type="dxa"/>
        <w:jc w:val="center"/>
        <w:tblLayout w:type="fixed"/>
        <w:tblCellMar>
          <w:top w:w="0" w:type="dxa"/>
          <w:left w:w="108" w:type="dxa"/>
          <w:bottom w:w="0" w:type="dxa"/>
          <w:right w:w="108" w:type="dxa"/>
        </w:tblCellMar>
      </w:tblPr>
      <w:tblGrid>
        <w:gridCol w:w="1904"/>
        <w:gridCol w:w="1384"/>
        <w:gridCol w:w="913"/>
        <w:gridCol w:w="1966"/>
        <w:gridCol w:w="1743"/>
        <w:gridCol w:w="1142"/>
      </w:tblGrid>
      <w:tr>
        <w:tblPrEx>
          <w:tblCellMar>
            <w:top w:w="0" w:type="dxa"/>
            <w:left w:w="108" w:type="dxa"/>
            <w:bottom w:w="0" w:type="dxa"/>
            <w:right w:w="108" w:type="dxa"/>
          </w:tblCellMar>
        </w:tblPrEx>
        <w:trPr>
          <w:trHeight w:val="285" w:hRule="atLeast"/>
          <w:jc w:val="center"/>
        </w:trPr>
        <w:tc>
          <w:tcPr>
            <w:tcW w:w="19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计量单位</w:t>
            </w:r>
          </w:p>
        </w:tc>
        <w:tc>
          <w:tcPr>
            <w:tcW w:w="196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中型</w:t>
            </w:r>
          </w:p>
        </w:tc>
        <w:tc>
          <w:tcPr>
            <w:tcW w:w="17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小型</w:t>
            </w:r>
          </w:p>
        </w:tc>
        <w:tc>
          <w:tcPr>
            <w:tcW w:w="11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微型</w:t>
            </w:r>
          </w:p>
        </w:tc>
      </w:tr>
      <w:tr>
        <w:tblPrEx>
          <w:tblCellMar>
            <w:top w:w="0" w:type="dxa"/>
            <w:left w:w="108" w:type="dxa"/>
            <w:bottom w:w="0" w:type="dxa"/>
            <w:right w:w="108" w:type="dxa"/>
          </w:tblCellMar>
        </w:tblPrEx>
        <w:trPr>
          <w:trHeight w:val="225" w:hRule="atLeast"/>
          <w:jc w:val="center"/>
        </w:trPr>
        <w:tc>
          <w:tcPr>
            <w:tcW w:w="19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农、林、牧、渔</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500≤Y＜20000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50≤Y＜500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Y＜50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工业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300≤X＜1000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20≤X＜300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X＜20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2000≤Y＜40000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300≤Y＜2000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Y＜300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建筑业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6000≤Y＜80000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300≤Y＜6000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Y＜300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资产总额（Z）</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5000≤Z＜80000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300≤Z＜5000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Z＜300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批发业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20≤X＜200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5≤X＜20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X＜5</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5000≤Y＜40000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1000≤Y＜5000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Y＜1000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零售业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50≤X＜300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10≤X＜50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X＜10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500≤Y＜20000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100≤Y＜500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Y＜100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交通运输业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300≤X＜1000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20≤X＜300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X＜20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3000≤Y＜30000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200≤Y＜3000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Y＜200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仓储业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100≤X＜200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20≤X＜100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X＜20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1000≤Y＜30000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100≤Y＜1000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Y＜100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邮政业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300≤X＜1000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20≤X＜300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X＜20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2000≤Y＜30000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100≤Y＜2000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Y＜100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住宿业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100≤X＜300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10≤X＜100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X＜10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2000≤Y＜10000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100≤Y＜2000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Y＜100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餐饮业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100≤X＜300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10≤X＜100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X＜10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2000≤Y＜10000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100≤Y＜2000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Y＜100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信息传输业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100≤X＜2000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10≤X＜100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X＜10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1000≤Y＜100000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100≤Y＜1000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Y＜100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软件和信息技术服务业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100≤X＜300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10≤X＜100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X＜10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1000≤Y＜10000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50≤Y＜1000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Y＜50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房地产开发经营</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1000≤Y＜200000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100≤X＜1000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X＜100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资产总额（Z）</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5000≤Z＜10000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2000≤Y＜5000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Y＜2000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物业管理</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300≤X＜1000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100≤X＜300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X＜100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1000≤Y＜5000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500≤Y＜1000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Y＜500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租赁和商务服务业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100≤X＜300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10≤X＜100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X＜10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资产总额（Z）</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8000≤Z＜120000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100≤Z＜8000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Y＜100</w:t>
            </w:r>
          </w:p>
        </w:tc>
      </w:tr>
      <w:tr>
        <w:tblPrEx>
          <w:tblCellMar>
            <w:top w:w="0" w:type="dxa"/>
            <w:left w:w="108" w:type="dxa"/>
            <w:bottom w:w="0" w:type="dxa"/>
            <w:right w:w="108" w:type="dxa"/>
          </w:tblCellMar>
        </w:tblPrEx>
        <w:trPr>
          <w:trHeight w:val="225" w:hRule="atLeast"/>
          <w:jc w:val="center"/>
        </w:trPr>
        <w:tc>
          <w:tcPr>
            <w:tcW w:w="19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其他未列明行业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100≤X＜300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10≤X＜100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X＜10</w:t>
            </w:r>
          </w:p>
        </w:tc>
      </w:tr>
    </w:tbl>
    <w:p>
      <w:pPr>
        <w:spacing w:line="360" w:lineRule="auto"/>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pPr>
        <w:spacing w:line="560" w:lineRule="exact"/>
        <w:ind w:firstLine="500" w:firstLineChars="250"/>
        <w:rPr>
          <w:rFonts w:ascii="宋体" w:hAnsi="宋体" w:cs="宋体"/>
          <w:kern w:val="0"/>
          <w:sz w:val="20"/>
          <w:szCs w:val="21"/>
        </w:rPr>
        <w:sectPr>
          <w:footerReference r:id="rId3" w:type="default"/>
          <w:pgSz w:w="11906" w:h="16838"/>
          <w:pgMar w:top="1134" w:right="1134" w:bottom="1134" w:left="1134" w:header="720" w:footer="720" w:gutter="0"/>
          <w:pgNumType w:start="1"/>
          <w:cols w:space="720" w:num="1"/>
          <w:docGrid w:type="lines" w:linePitch="331" w:charSpace="0"/>
        </w:sectPr>
      </w:pPr>
    </w:p>
    <w:p>
      <w:pPr>
        <w:pStyle w:val="2"/>
        <w:jc w:val="center"/>
        <w:rPr>
          <w:rFonts w:ascii="宋体" w:hAnsi="宋体" w:cs="宋体"/>
        </w:rPr>
      </w:pPr>
      <w:r>
        <w:rPr>
          <w:rFonts w:hint="eastAsia" w:ascii="宋体" w:hAnsi="宋体" w:cs="宋体"/>
        </w:rPr>
        <w:t>第三章  投标人须知</w:t>
      </w:r>
      <w:bookmarkEnd w:id="47"/>
    </w:p>
    <w:p>
      <w:pPr>
        <w:jc w:val="center"/>
        <w:rPr>
          <w:rFonts w:ascii="宋体" w:hAnsi="宋体" w:cs="宋体"/>
          <w:sz w:val="36"/>
          <w:szCs w:val="36"/>
        </w:rPr>
      </w:pPr>
      <w:bookmarkStart w:id="48" w:name="_Toc254970667"/>
      <w:bookmarkStart w:id="49" w:name="_Toc254970526"/>
      <w:r>
        <w:rPr>
          <w:rFonts w:hint="eastAsia" w:ascii="宋体" w:hAnsi="宋体" w:cs="宋体"/>
          <w:sz w:val="36"/>
          <w:szCs w:val="36"/>
        </w:rPr>
        <w:t>投标人须知前附表</w:t>
      </w:r>
      <w:bookmarkEnd w:id="48"/>
      <w:bookmarkEnd w:id="49"/>
    </w:p>
    <w:p>
      <w:pPr>
        <w:jc w:val="center"/>
        <w:rPr>
          <w:rFonts w:ascii="宋体" w:hAnsi="宋体" w:cs="宋体"/>
          <w:sz w:val="36"/>
          <w:szCs w:val="36"/>
        </w:rPr>
      </w:pPr>
    </w:p>
    <w:tbl>
      <w:tblPr>
        <w:tblStyle w:val="47"/>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szCs w:val="21"/>
              </w:rPr>
            </w:pPr>
            <w:r>
              <w:rPr>
                <w:rFonts w:hint="eastAsia" w:ascii="宋体" w:hAnsi="宋体" w:cs="宋体"/>
                <w:szCs w:val="21"/>
              </w:rPr>
              <w:t>条款号</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szCs w:val="21"/>
              </w:rPr>
            </w:pPr>
            <w:r>
              <w:rPr>
                <w:rFonts w:hint="eastAsia" w:ascii="宋体" w:hAnsi="宋体" w:cs="宋体"/>
                <w:szCs w:val="21"/>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50" w:name="_9.2"/>
            <w:bookmarkEnd w:id="50"/>
            <w:bookmarkStart w:id="51" w:name="_8.1"/>
            <w:bookmarkEnd w:id="51"/>
            <w:bookmarkStart w:id="52" w:name="_5"/>
            <w:bookmarkEnd w:id="52"/>
            <w:r>
              <w:rPr>
                <w:rFonts w:hint="eastAsia" w:ascii="宋体" w:hAnsi="宋体" w:cs="宋体"/>
                <w:szCs w:val="21"/>
              </w:rPr>
              <w:t>6.1</w:t>
            </w:r>
          </w:p>
        </w:tc>
        <w:tc>
          <w:tcPr>
            <w:tcW w:w="8708"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ascii="宋体" w:hAnsi="宋体" w:cs="宋体"/>
                <w:szCs w:val="21"/>
              </w:rPr>
            </w:pPr>
            <w:r>
              <w:rPr>
                <w:rFonts w:hint="eastAsia" w:ascii="宋体" w:hAnsi="宋体" w:cs="宋体"/>
                <w:szCs w:val="21"/>
              </w:rPr>
              <w:t>本项目是否接受联合体投标：</w:t>
            </w:r>
            <w:r>
              <w:rPr>
                <w:rFonts w:hint="eastAsia" w:ascii="宋体" w:hAnsi="宋体" w:cs="宋体"/>
                <w:szCs w:val="21"/>
              </w:rPr>
              <w:sym w:font="Wingdings 2" w:char="00A3"/>
            </w:r>
            <w:r>
              <w:rPr>
                <w:rFonts w:hint="eastAsia" w:ascii="宋体" w:hAnsi="宋体" w:cs="宋体"/>
                <w:szCs w:val="21"/>
              </w:rPr>
              <w:t>是/●</w:t>
            </w:r>
            <w:r>
              <w:rPr>
                <w:rFonts w:hint="eastAsia" w:ascii="宋体" w:hAnsi="宋体" w:cs="宋体"/>
                <w:b/>
                <w:bCs/>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6.2</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联合体投标要求：无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7.2</w:t>
            </w:r>
          </w:p>
        </w:tc>
        <w:tc>
          <w:tcPr>
            <w:tcW w:w="8708" w:type="dxa"/>
            <w:tcBorders>
              <w:top w:val="single" w:color="auto" w:sz="4" w:space="0"/>
              <w:left w:val="single" w:color="auto" w:sz="4" w:space="0"/>
              <w:bottom w:val="single" w:color="auto" w:sz="4" w:space="0"/>
              <w:right w:val="single" w:color="auto" w:sz="4" w:space="0"/>
            </w:tcBorders>
            <w:vAlign w:val="center"/>
          </w:tcPr>
          <w:p>
            <w:pPr>
              <w:pStyle w:val="17"/>
              <w:spacing w:line="400" w:lineRule="exact"/>
              <w:rPr>
                <w:rFonts w:ascii="宋体" w:hAnsi="宋体" w:cs="宋体"/>
                <w:b/>
                <w:bCs/>
                <w:szCs w:val="21"/>
              </w:rPr>
            </w:pPr>
            <w:r>
              <w:rPr>
                <w:rFonts w:hint="eastAsia" w:ascii="宋体" w:hAnsi="宋体" w:cs="宋体"/>
                <w:szCs w:val="21"/>
              </w:rPr>
              <w:t>●</w:t>
            </w:r>
            <w:r>
              <w:rPr>
                <w:rFonts w:hint="eastAsia" w:ascii="宋体" w:hAnsi="宋体" w:cs="宋体"/>
                <w:b/>
                <w:bCs/>
                <w:szCs w:val="21"/>
              </w:rPr>
              <w:t>本项目不允许分包。</w:t>
            </w:r>
          </w:p>
          <w:p>
            <w:pPr>
              <w:pStyle w:val="17"/>
              <w:spacing w:line="400" w:lineRule="exact"/>
              <w:rPr>
                <w:rFonts w:ascii="宋体" w:hAnsi="宋体" w:cs="宋体"/>
                <w:szCs w:val="21"/>
              </w:rPr>
            </w:pPr>
            <w:r>
              <w:rPr>
                <w:rFonts w:hint="eastAsia" w:ascii="宋体" w:hAnsi="宋体" w:cs="宋体"/>
                <w:szCs w:val="21"/>
              </w:rPr>
              <w:sym w:font="Wingdings 2" w:char="00A3"/>
            </w:r>
            <w:r>
              <w:rPr>
                <w:rFonts w:hint="eastAsia" w:ascii="宋体" w:hAnsi="宋体" w:cs="宋体"/>
                <w:szCs w:val="21"/>
              </w:rPr>
              <w:t>本项目允许分包：</w:t>
            </w:r>
          </w:p>
          <w:p>
            <w:pPr>
              <w:pStyle w:val="17"/>
              <w:spacing w:line="400" w:lineRule="exact"/>
              <w:rPr>
                <w:rFonts w:ascii="宋体" w:hAnsi="宋体" w:cs="宋体"/>
                <w:szCs w:val="21"/>
                <w:u w:val="single"/>
              </w:rPr>
            </w:pPr>
            <w:r>
              <w:rPr>
                <w:rFonts w:hint="eastAsia" w:ascii="宋体" w:hAnsi="宋体" w:cs="宋体"/>
                <w:szCs w:val="21"/>
              </w:rPr>
              <w:t>分包内容：</w:t>
            </w:r>
            <w:r>
              <w:rPr>
                <w:rFonts w:hint="eastAsia" w:ascii="宋体" w:hAnsi="宋体" w:cs="宋体"/>
                <w:szCs w:val="21"/>
                <w:u w:val="single"/>
              </w:rPr>
              <w:t>/。</w:t>
            </w:r>
          </w:p>
          <w:p>
            <w:pPr>
              <w:pStyle w:val="17"/>
              <w:spacing w:line="400" w:lineRule="exact"/>
              <w:jc w:val="both"/>
              <w:rPr>
                <w:rFonts w:ascii="宋体" w:hAnsi="宋体" w:cs="宋体"/>
                <w:szCs w:val="21"/>
                <w:u w:val="single"/>
              </w:rPr>
            </w:pPr>
            <w:r>
              <w:rPr>
                <w:rFonts w:hint="eastAsia" w:ascii="宋体" w:hAnsi="宋体" w:cs="宋体"/>
                <w:szCs w:val="21"/>
              </w:rPr>
              <w:t>分包金额或者比例：</w:t>
            </w:r>
            <w:r>
              <w:rPr>
                <w:rFonts w:hint="eastAsia" w:ascii="宋体" w:hAnsi="宋体" w:cs="宋体"/>
                <w:szCs w:val="21"/>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11.5</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b/>
                <w:bCs/>
                <w:szCs w:val="21"/>
              </w:rPr>
            </w:pPr>
            <w:r>
              <w:rPr>
                <w:rFonts w:hint="eastAsia" w:ascii="宋体" w:hAnsi="宋体" w:cs="宋体"/>
                <w:szCs w:val="21"/>
              </w:rPr>
              <w:t>●</w:t>
            </w:r>
            <w:r>
              <w:rPr>
                <w:rFonts w:hint="eastAsia" w:ascii="宋体" w:hAnsi="宋体" w:cs="宋体"/>
                <w:b/>
                <w:bCs/>
                <w:szCs w:val="21"/>
              </w:rPr>
              <w:t>本项目不组织现场考察。</w:t>
            </w:r>
          </w:p>
          <w:p>
            <w:pPr>
              <w:snapToGrid w:val="0"/>
              <w:spacing w:line="400" w:lineRule="exact"/>
              <w:rPr>
                <w:rFonts w:ascii="宋体" w:hAnsi="宋体" w:cs="宋体"/>
                <w:szCs w:val="21"/>
              </w:rPr>
            </w:pPr>
            <w:r>
              <w:rPr>
                <w:rFonts w:hint="eastAsia" w:ascii="宋体" w:hAnsi="宋体" w:cs="宋体"/>
                <w:szCs w:val="21"/>
              </w:rPr>
              <w:sym w:font="Wingdings 2" w:char="00A3"/>
            </w:r>
            <w:r>
              <w:rPr>
                <w:rFonts w:hint="eastAsia" w:ascii="宋体" w:hAnsi="宋体" w:cs="宋体"/>
                <w:szCs w:val="21"/>
              </w:rPr>
              <w:t>本项目组织现场考察：</w:t>
            </w:r>
          </w:p>
          <w:p>
            <w:pPr>
              <w:snapToGrid w:val="0"/>
              <w:spacing w:line="400" w:lineRule="exact"/>
              <w:rPr>
                <w:rFonts w:ascii="宋体" w:hAnsi="宋体" w:cs="宋体"/>
                <w:szCs w:val="21"/>
                <w:u w:val="single"/>
              </w:rPr>
            </w:pPr>
            <w:r>
              <w:rPr>
                <w:rFonts w:hint="eastAsia" w:ascii="宋体" w:hAnsi="宋体" w:cs="宋体"/>
                <w:szCs w:val="21"/>
              </w:rPr>
              <w:t>集中时间：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分</w:t>
            </w:r>
            <w:r>
              <w:rPr>
                <w:rFonts w:hint="eastAsia" w:ascii="宋体" w:hAnsi="宋体" w:cs="宋体"/>
                <w:szCs w:val="21"/>
              </w:rPr>
              <w:t>，逾期后果自负。集中地点：</w:t>
            </w:r>
            <w:r>
              <w:rPr>
                <w:rFonts w:hint="eastAsia" w:ascii="宋体" w:hAnsi="宋体" w:cs="宋体"/>
                <w:szCs w:val="21"/>
                <w:u w:val="single"/>
              </w:rPr>
              <w:t xml:space="preserve">              </w:t>
            </w:r>
          </w:p>
          <w:p>
            <w:pPr>
              <w:snapToGrid w:val="0"/>
              <w:spacing w:line="400" w:lineRule="exact"/>
              <w:rPr>
                <w:rFonts w:ascii="宋体" w:hAnsi="宋体" w:cs="宋体"/>
                <w:szCs w:val="21"/>
              </w:rPr>
            </w:pP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b/>
                <w:bCs/>
                <w:szCs w:val="21"/>
              </w:rPr>
            </w:pPr>
            <w:r>
              <w:rPr>
                <w:rFonts w:hint="eastAsia" w:ascii="宋体" w:hAnsi="宋体" w:cs="宋体"/>
                <w:szCs w:val="21"/>
              </w:rPr>
              <w:t>●</w:t>
            </w:r>
            <w:r>
              <w:rPr>
                <w:rFonts w:hint="eastAsia" w:ascii="宋体" w:hAnsi="宋体" w:cs="宋体"/>
                <w:b/>
                <w:bCs/>
                <w:szCs w:val="21"/>
              </w:rPr>
              <w:t>本项目不组织召开开标前答疑会</w:t>
            </w:r>
          </w:p>
          <w:p>
            <w:pPr>
              <w:snapToGrid w:val="0"/>
              <w:spacing w:line="400" w:lineRule="exact"/>
              <w:rPr>
                <w:rFonts w:ascii="宋体" w:hAnsi="宋体" w:cs="宋体"/>
                <w:szCs w:val="21"/>
              </w:rPr>
            </w:pPr>
            <w:r>
              <w:rPr>
                <w:rFonts w:hint="eastAsia" w:ascii="宋体" w:hAnsi="宋体" w:cs="宋体"/>
                <w:szCs w:val="21"/>
              </w:rPr>
              <w:sym w:font="Wingdings 2" w:char="00A3"/>
            </w:r>
            <w:r>
              <w:rPr>
                <w:rFonts w:hint="eastAsia" w:ascii="宋体" w:hAnsi="宋体" w:cs="宋体"/>
                <w:szCs w:val="21"/>
              </w:rPr>
              <w:t>组织召开开标前答疑会</w:t>
            </w:r>
          </w:p>
          <w:p>
            <w:pPr>
              <w:snapToGrid w:val="0"/>
              <w:spacing w:line="400" w:lineRule="exact"/>
              <w:rPr>
                <w:rFonts w:ascii="宋体" w:hAnsi="宋体" w:cs="宋体"/>
                <w:szCs w:val="21"/>
                <w:u w:val="single"/>
              </w:rPr>
            </w:pPr>
            <w:r>
              <w:rPr>
                <w:rFonts w:hint="eastAsia" w:ascii="宋体" w:hAnsi="宋体" w:cs="宋体"/>
                <w:szCs w:val="21"/>
              </w:rPr>
              <w:t>会议开始时间：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分</w:t>
            </w:r>
            <w:r>
              <w:rPr>
                <w:rFonts w:hint="eastAsia" w:ascii="宋体" w:hAnsi="宋体" w:cs="宋体"/>
                <w:szCs w:val="21"/>
              </w:rPr>
              <w:t>，逾期后果自负。会议地点：</w:t>
            </w:r>
            <w:r>
              <w:rPr>
                <w:rFonts w:hint="eastAsia" w:ascii="宋体" w:hAnsi="宋体" w:cs="宋体"/>
                <w:szCs w:val="21"/>
                <w:u w:val="single"/>
              </w:rPr>
              <w:t xml:space="preserve">              </w:t>
            </w:r>
          </w:p>
          <w:p>
            <w:pPr>
              <w:snapToGrid w:val="0"/>
              <w:spacing w:line="400" w:lineRule="exact"/>
              <w:rPr>
                <w:rFonts w:ascii="宋体" w:hAnsi="宋体" w:cs="宋体"/>
                <w:szCs w:val="21"/>
              </w:rPr>
            </w:pP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bookmarkStart w:id="53" w:name="_13.1"/>
            <w:bookmarkEnd w:id="53"/>
            <w:r>
              <w:rPr>
                <w:rFonts w:hint="eastAsia" w:ascii="宋体" w:hAnsi="宋体" w:cs="宋体"/>
                <w:szCs w:val="21"/>
              </w:rPr>
              <w:t>13.</w:t>
            </w:r>
            <w:bookmarkStart w:id="54" w:name="_Hlt19632543"/>
            <w:r>
              <w:rPr>
                <w:rFonts w:hint="eastAsia" w:ascii="宋体" w:hAnsi="宋体" w:cs="宋体"/>
                <w:szCs w:val="21"/>
              </w:rPr>
              <w:t>1</w:t>
            </w:r>
            <w:bookmarkEnd w:id="54"/>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b/>
                <w:szCs w:val="21"/>
              </w:rPr>
            </w:pPr>
            <w:r>
              <w:rPr>
                <w:rFonts w:hint="eastAsia" w:ascii="宋体" w:hAnsi="宋体" w:cs="宋体"/>
                <w:b/>
                <w:szCs w:val="21"/>
              </w:rPr>
              <w:t>报价文件：</w:t>
            </w:r>
          </w:p>
          <w:p>
            <w:pPr>
              <w:tabs>
                <w:tab w:val="left" w:pos="459"/>
              </w:tabs>
              <w:snapToGrid w:val="0"/>
              <w:spacing w:line="400" w:lineRule="exact"/>
              <w:jc w:val="left"/>
              <w:rPr>
                <w:rFonts w:ascii="宋体" w:hAnsi="宋体" w:cs="宋体"/>
                <w:szCs w:val="21"/>
              </w:rPr>
            </w:pPr>
            <w:r>
              <w:rPr>
                <w:rFonts w:hint="eastAsia" w:ascii="宋体" w:hAnsi="宋体" w:cs="宋体"/>
                <w:szCs w:val="21"/>
              </w:rPr>
              <w:t>1、投标函（格式后附）；</w:t>
            </w:r>
            <w:r>
              <w:rPr>
                <w:rFonts w:hint="eastAsia" w:ascii="宋体" w:hAnsi="宋体" w:cs="宋体"/>
                <w:b/>
                <w:szCs w:val="21"/>
              </w:rPr>
              <w:t>（必须提供，否则按无效投标处理）</w:t>
            </w:r>
          </w:p>
          <w:p>
            <w:pPr>
              <w:tabs>
                <w:tab w:val="left" w:pos="459"/>
              </w:tabs>
              <w:snapToGrid w:val="0"/>
              <w:spacing w:line="400" w:lineRule="exact"/>
              <w:jc w:val="left"/>
              <w:rPr>
                <w:rFonts w:ascii="宋体" w:hAnsi="宋体" w:cs="宋体"/>
                <w:szCs w:val="21"/>
              </w:rPr>
            </w:pPr>
            <w:bookmarkStart w:id="55" w:name="_Hlk71299233"/>
            <w:r>
              <w:rPr>
                <w:rFonts w:hint="eastAsia" w:ascii="宋体" w:hAnsi="宋体" w:cs="宋体"/>
                <w:szCs w:val="21"/>
              </w:rPr>
              <w:t>2、开标一览表</w:t>
            </w:r>
            <w:bookmarkEnd w:id="55"/>
            <w:r>
              <w:rPr>
                <w:rFonts w:hint="eastAsia" w:ascii="宋体" w:hAnsi="宋体" w:cs="宋体"/>
                <w:szCs w:val="21"/>
              </w:rPr>
              <w:t>（格式后附）； （</w:t>
            </w:r>
            <w:r>
              <w:rPr>
                <w:rFonts w:hint="eastAsia" w:ascii="宋体" w:hAnsi="宋体" w:cs="宋体"/>
                <w:b/>
                <w:szCs w:val="21"/>
              </w:rPr>
              <w:t>必须提供，否则按无效投标处理</w:t>
            </w:r>
            <w:r>
              <w:rPr>
                <w:rFonts w:hint="eastAsia" w:ascii="宋体" w:hAnsi="宋体" w:cs="宋体"/>
                <w:szCs w:val="21"/>
              </w:rPr>
              <w:t>）</w:t>
            </w:r>
          </w:p>
          <w:p>
            <w:pPr>
              <w:tabs>
                <w:tab w:val="left" w:pos="459"/>
              </w:tabs>
              <w:snapToGrid w:val="0"/>
              <w:spacing w:line="380" w:lineRule="exact"/>
              <w:ind w:left="-2" w:leftChars="-1"/>
              <w:jc w:val="left"/>
              <w:rPr>
                <w:rFonts w:ascii="宋体" w:hAnsi="宋体" w:cs="宋体"/>
                <w:szCs w:val="21"/>
              </w:rPr>
            </w:pPr>
            <w:r>
              <w:rPr>
                <w:rFonts w:hint="eastAsia" w:ascii="宋体" w:hAnsi="宋体" w:cs="宋体"/>
                <w:szCs w:val="21"/>
              </w:rPr>
              <w:t>3、投标人针对报价需要说明的其他文件和说明；如中小企业声明函或残疾人福利性单位声明函或监狱企业证明文件。</w:t>
            </w:r>
            <w:r>
              <w:rPr>
                <w:rFonts w:hint="eastAsia" w:ascii="宋体" w:hAnsi="宋体" w:cs="宋体"/>
                <w:b/>
                <w:bCs/>
                <w:szCs w:val="21"/>
              </w:rPr>
              <w:t>（如有请提供）</w:t>
            </w:r>
          </w:p>
          <w:p>
            <w:pPr>
              <w:snapToGrid w:val="0"/>
              <w:spacing w:line="400" w:lineRule="exact"/>
              <w:ind w:firstLine="420"/>
              <w:jc w:val="left"/>
              <w:rPr>
                <w:rFonts w:ascii="宋体" w:hAnsi="宋体" w:cs="宋体"/>
                <w:szCs w:val="21"/>
              </w:rPr>
            </w:pPr>
            <w:r>
              <w:rPr>
                <w:rFonts w:hint="eastAsia" w:ascii="宋体" w:hAnsi="宋体" w:cs="宋体"/>
                <w:b/>
                <w:bCs/>
                <w:szCs w:val="21"/>
              </w:rPr>
              <w:t>注：投标函、开标一览表必须由法定代表人或者委托代理人在规定签章处逐一签字并加盖投标人公章，否则按无效投标</w:t>
            </w:r>
            <w:r>
              <w:rPr>
                <w:rFonts w:hint="eastAsia" w:ascii="宋体" w:hAnsi="宋体" w:cs="宋体"/>
                <w:b/>
                <w:szCs w:val="21"/>
              </w:rPr>
              <w:t>处理</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pPr>
              <w:spacing w:line="400" w:lineRule="exact"/>
              <w:rPr>
                <w:rFonts w:ascii="宋体" w:hAnsi="宋体" w:cs="宋体"/>
                <w:szCs w:val="21"/>
              </w:rPr>
            </w:pPr>
            <w:bookmarkStart w:id="56" w:name="_13.2"/>
            <w:bookmarkEnd w:id="56"/>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b/>
                <w:szCs w:val="21"/>
              </w:rPr>
            </w:pPr>
            <w:r>
              <w:rPr>
                <w:rFonts w:hint="eastAsia" w:ascii="宋体" w:hAnsi="宋体" w:cs="宋体"/>
                <w:b/>
                <w:szCs w:val="21"/>
              </w:rPr>
              <w:t>资格证明文件：</w:t>
            </w:r>
          </w:p>
          <w:p>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1、供应商为法人或者其他组织的，证明文件为其营业执照复印件（如营业执照或者事业单位法人证书或者执业许可证等）；供应商为自然人的，证明文件为其身份证复印件；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szCs w:val="21"/>
              </w:rPr>
              <w:t>（必须提供，否则投标文件按无效响应处理）</w:t>
            </w:r>
          </w:p>
          <w:p>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2、投标人依法缴纳税收的相关材料（2024年9月至2025年3月内任意连续3个月的依法缴纳税收的凭据扫描件；依法免税的供应商，必须提供相应文件证明其依法免税。从成立之日起到投标文件提交截止时间止不足要求月数的，只需提供从成立之日起的依法缴纳税收相应证明文件）；</w:t>
            </w:r>
            <w:r>
              <w:rPr>
                <w:rFonts w:hint="eastAsia" w:ascii="宋体" w:hAnsi="宋体" w:cs="宋体"/>
                <w:b/>
                <w:szCs w:val="21"/>
              </w:rPr>
              <w:t>（必须提供，否则按无效投标处理）</w:t>
            </w:r>
          </w:p>
          <w:p>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3、投标人依法缴纳社会保障资金的相关材料[2024年9月至2025年3月内任意连续3个月的依法缴纳社会保障资金的缴费凭证（专用收据或者社会保险缴纳清单）扫描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cs="宋体"/>
                <w:b/>
                <w:szCs w:val="21"/>
              </w:rPr>
              <w:t>（必须提供，否则按无效投标处理）</w:t>
            </w:r>
          </w:p>
          <w:p>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4、投标人财务状况报告（</w:t>
            </w:r>
            <w:r>
              <w:rPr>
                <w:rFonts w:hint="eastAsia" w:ascii="宋体" w:hAnsi="宋体" w:cs="宋体"/>
                <w:b/>
                <w:bCs/>
                <w:szCs w:val="21"/>
              </w:rPr>
              <w:t>2023</w:t>
            </w:r>
            <w:r>
              <w:rPr>
                <w:rFonts w:hint="eastAsia" w:ascii="宋体" w:hAnsi="宋体" w:cs="宋体"/>
                <w:szCs w:val="21"/>
              </w:rPr>
              <w:t>年度财务报表复印件或者银行出具的资信证明；投标人属于成立时间在规定年度之后的法人或其他组织，需提供成立之日起至投标截止时间前半年内连续3个月的月报表或银行出具的资信证明；资信证明应在有效期内，未注明有效期的，银行出具时间至投标截止时间不超过一年）；</w:t>
            </w:r>
            <w:r>
              <w:rPr>
                <w:rFonts w:hint="eastAsia" w:ascii="宋体" w:hAnsi="宋体" w:cs="宋体"/>
                <w:b/>
                <w:szCs w:val="21"/>
              </w:rPr>
              <w:t>（除自然人外必须提供，否则按无效投标处理）</w:t>
            </w:r>
          </w:p>
          <w:p>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5、投标人直接控股、管理关系信息表（格式后附）；</w:t>
            </w:r>
            <w:r>
              <w:rPr>
                <w:rFonts w:hint="eastAsia" w:ascii="宋体" w:hAnsi="宋体" w:cs="宋体"/>
                <w:b/>
                <w:szCs w:val="21"/>
              </w:rPr>
              <w:t>（必须提供，否则按无效投标处理）</w:t>
            </w:r>
          </w:p>
          <w:p>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6、投标声明（格式后附）；</w:t>
            </w:r>
            <w:r>
              <w:rPr>
                <w:rFonts w:hint="eastAsia" w:ascii="宋体" w:hAnsi="宋体" w:cs="宋体"/>
                <w:b/>
                <w:szCs w:val="21"/>
              </w:rPr>
              <w:t>（必须提供，否则按无效投标处理）</w:t>
            </w:r>
          </w:p>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7、本项目的特定资格要求：</w:t>
            </w:r>
            <w:r>
              <w:rPr>
                <w:rFonts w:hint="eastAsia" w:ascii="宋体" w:hAnsi="宋体" w:cs="宋体"/>
                <w:b/>
                <w:bCs/>
                <w:szCs w:val="21"/>
              </w:rPr>
              <w:t>投标人须按《医疗器械监督管理条例》（国务院令第739号）医疗器械分类管理要求具备有效的医疗器械生产许可证或经营许可证或者经营备案凭证（按《医疗器械监督管理条例》免于经营备案和无需办理医疗器械经营许可或者备案的情形除外），且经营范围必须包含采购标的[符合《医疗器械监督管理条例》第四十一条第二款规定的除外]；或者投标人具有《医疗器械监督管理条例》第四十三条规定的注册人凭证；</w:t>
            </w:r>
            <w:r>
              <w:rPr>
                <w:rFonts w:hint="eastAsia" w:ascii="宋体" w:hAnsi="宋体" w:cs="宋体"/>
                <w:b/>
                <w:szCs w:val="21"/>
              </w:rPr>
              <w:t>（必须提供，否则按无效投标处理）</w:t>
            </w:r>
          </w:p>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8、除招标文件规定必须提供以外，投标人认为需要提供的其他证明材料。</w:t>
            </w:r>
            <w:r>
              <w:rPr>
                <w:rFonts w:hint="eastAsia" w:ascii="宋体" w:hAnsi="宋体" w:cs="宋体"/>
                <w:b/>
                <w:bCs/>
                <w:szCs w:val="21"/>
              </w:rPr>
              <w:t>（如有请提供）</w:t>
            </w:r>
          </w:p>
          <w:p>
            <w:pPr>
              <w:snapToGrid w:val="0"/>
              <w:spacing w:line="400" w:lineRule="exact"/>
              <w:ind w:firstLine="422" w:firstLineChars="200"/>
              <w:jc w:val="left"/>
              <w:rPr>
                <w:rFonts w:ascii="宋体" w:hAnsi="宋体" w:cs="宋体"/>
                <w:b/>
                <w:bCs/>
                <w:szCs w:val="21"/>
              </w:rPr>
            </w:pPr>
            <w:r>
              <w:rPr>
                <w:rFonts w:hint="eastAsia" w:ascii="宋体" w:hAnsi="宋体" w:cs="宋体"/>
                <w:b/>
                <w:bCs/>
                <w:szCs w:val="21"/>
              </w:rPr>
              <w:t>注：</w:t>
            </w:r>
          </w:p>
          <w:p>
            <w:pPr>
              <w:snapToGrid w:val="0"/>
              <w:spacing w:line="400" w:lineRule="exact"/>
              <w:ind w:firstLine="422" w:firstLineChars="200"/>
              <w:jc w:val="left"/>
              <w:rPr>
                <w:rFonts w:ascii="宋体" w:hAnsi="宋体" w:cs="宋体"/>
                <w:b/>
                <w:szCs w:val="21"/>
              </w:rPr>
            </w:pPr>
            <w:r>
              <w:rPr>
                <w:rFonts w:hint="eastAsia" w:ascii="宋体" w:hAnsi="宋体" w:cs="宋体"/>
                <w:b/>
                <w:bCs/>
                <w:szCs w:val="21"/>
              </w:rPr>
              <w:t>1、以上标明“必须提供”的材料属于复印件的，必须加盖投标人公章，否则按无效投标</w:t>
            </w:r>
            <w:r>
              <w:rPr>
                <w:rFonts w:hint="eastAsia" w:ascii="宋体" w:hAnsi="宋体" w:cs="宋体"/>
                <w:b/>
                <w:szCs w:val="21"/>
              </w:rPr>
              <w:t>处理。</w:t>
            </w:r>
          </w:p>
          <w:p>
            <w:pPr>
              <w:snapToGrid w:val="0"/>
              <w:spacing w:line="400" w:lineRule="exact"/>
              <w:ind w:firstLine="422" w:firstLineChars="200"/>
              <w:jc w:val="left"/>
              <w:rPr>
                <w:rFonts w:ascii="宋体" w:hAnsi="宋体" w:cs="宋体"/>
                <w:b/>
                <w:bCs/>
                <w:szCs w:val="21"/>
              </w:rPr>
            </w:pPr>
            <w:r>
              <w:rPr>
                <w:rFonts w:hint="eastAsia" w:ascii="宋体" w:hAnsi="宋体" w:cs="宋体"/>
                <w:b/>
                <w:szCs w:val="21"/>
              </w:rPr>
              <w:t>2、</w:t>
            </w:r>
            <w:r>
              <w:rPr>
                <w:rFonts w:hint="eastAsia" w:ascii="宋体" w:hAnsi="宋体" w:cs="宋体"/>
                <w:b/>
                <w:bCs/>
                <w:szCs w:val="21"/>
              </w:rPr>
              <w:t>投标声明必须由法定代表人在规定签章处签字并加盖投标人公章，否则按无效投标处理。</w:t>
            </w:r>
          </w:p>
          <w:p>
            <w:pPr>
              <w:snapToGrid w:val="0"/>
              <w:spacing w:line="400" w:lineRule="exact"/>
              <w:ind w:firstLine="422" w:firstLineChars="200"/>
              <w:jc w:val="left"/>
              <w:rPr>
                <w:rFonts w:ascii="宋体" w:hAnsi="宋体" w:cs="宋体"/>
                <w:b/>
                <w:bCs/>
                <w:szCs w:val="21"/>
              </w:rPr>
            </w:pPr>
            <w:r>
              <w:rPr>
                <w:rFonts w:hint="eastAsia" w:ascii="宋体" w:hAnsi="宋体" w:cs="宋体"/>
                <w:b/>
                <w:bCs/>
                <w:szCs w:val="21"/>
              </w:rPr>
              <w:t>3、投标人直接控股、管理关系信息表必须由法定代表人或者委托代理人在规定签章处签字并加盖投标人公章，否则按无效投标</w:t>
            </w:r>
            <w:r>
              <w:rPr>
                <w:rFonts w:hint="eastAsia" w:ascii="宋体" w:hAnsi="宋体" w:cs="宋体"/>
                <w:b/>
                <w:szCs w:val="21"/>
              </w:rPr>
              <w:t>处理</w:t>
            </w:r>
            <w:r>
              <w:rPr>
                <w:rFonts w:hint="eastAsia" w:ascii="宋体" w:hAnsi="宋体" w:cs="宋体"/>
                <w:b/>
                <w:bCs/>
                <w:szCs w:val="21"/>
              </w:rPr>
              <w:t>。</w:t>
            </w:r>
          </w:p>
          <w:p>
            <w:pPr>
              <w:snapToGrid w:val="0"/>
              <w:spacing w:line="400" w:lineRule="exact"/>
              <w:ind w:firstLine="422" w:firstLineChars="200"/>
              <w:jc w:val="left"/>
              <w:rPr>
                <w:rFonts w:ascii="宋体" w:hAnsi="宋体" w:cs="宋体"/>
                <w:b/>
                <w:bCs/>
                <w:szCs w:val="21"/>
              </w:rPr>
            </w:pPr>
            <w:r>
              <w:rPr>
                <w:rFonts w:hint="eastAsia" w:ascii="宋体" w:hAnsi="宋体" w:cs="宋体"/>
                <w:b/>
                <w:bCs/>
                <w:szCs w:val="21"/>
              </w:rPr>
              <w:t>4、联合体投标时，第1-5项资格证明文件联合体各方均必须分别提供，联合体各方分别盖章和签字，否则按无效投标</w:t>
            </w:r>
            <w:r>
              <w:rPr>
                <w:rFonts w:hint="eastAsia" w:ascii="宋体" w:hAnsi="宋体" w:cs="宋体"/>
                <w:b/>
                <w:szCs w:val="21"/>
              </w:rPr>
              <w:t>处理</w:t>
            </w:r>
            <w:r>
              <w:rPr>
                <w:rFonts w:hint="eastAsia" w:ascii="宋体" w:hAnsi="宋体" w:cs="宋体"/>
                <w:b/>
                <w:bCs/>
                <w:szCs w:val="21"/>
              </w:rPr>
              <w:t>。</w:t>
            </w:r>
          </w:p>
          <w:p>
            <w:pPr>
              <w:snapToGrid w:val="0"/>
              <w:spacing w:line="400" w:lineRule="exact"/>
              <w:ind w:firstLine="422" w:firstLineChars="200"/>
              <w:jc w:val="left"/>
              <w:rPr>
                <w:rFonts w:ascii="宋体" w:hAnsi="宋体" w:cs="宋体"/>
                <w:b/>
                <w:bCs/>
                <w:szCs w:val="21"/>
              </w:rPr>
            </w:pPr>
            <w:r>
              <w:rPr>
                <w:rFonts w:hint="eastAsia" w:ascii="宋体" w:hAnsi="宋体" w:cs="宋体"/>
                <w:b/>
                <w:bCs/>
                <w:szCs w:val="21"/>
              </w:rPr>
              <w:t>5、分公司参加投标的，应当取得总公司授权，否则按无效投标</w:t>
            </w:r>
            <w:r>
              <w:rPr>
                <w:rFonts w:hint="eastAsia" w:ascii="宋体" w:hAnsi="宋体" w:cs="宋体"/>
                <w:b/>
                <w:szCs w:val="21"/>
              </w:rPr>
              <w:t>处理</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pPr>
              <w:spacing w:line="400" w:lineRule="exact"/>
              <w:rPr>
                <w:rFonts w:ascii="宋体" w:hAnsi="宋体" w:cs="宋体"/>
                <w:szCs w:val="21"/>
              </w:rPr>
            </w:pPr>
            <w:bookmarkStart w:id="57" w:name="_13.3"/>
            <w:bookmarkEnd w:id="57"/>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b/>
                <w:szCs w:val="21"/>
              </w:rPr>
            </w:pPr>
            <w:r>
              <w:rPr>
                <w:rFonts w:hint="eastAsia" w:ascii="宋体" w:hAnsi="宋体" w:cs="宋体"/>
                <w:b/>
                <w:szCs w:val="21"/>
              </w:rPr>
              <w:t>商务文件：</w:t>
            </w:r>
          </w:p>
          <w:p>
            <w:pPr>
              <w:snapToGrid w:val="0"/>
              <w:spacing w:line="400" w:lineRule="exact"/>
              <w:jc w:val="left"/>
              <w:rPr>
                <w:rFonts w:ascii="宋体" w:hAnsi="宋体" w:cs="宋体"/>
                <w:szCs w:val="21"/>
              </w:rPr>
            </w:pPr>
            <w:r>
              <w:rPr>
                <w:rFonts w:hint="eastAsia" w:ascii="宋体" w:hAnsi="宋体" w:cs="宋体"/>
                <w:szCs w:val="21"/>
              </w:rPr>
              <w:t>1、无串通投标行为的承诺函（格式后附）；（</w:t>
            </w:r>
            <w:r>
              <w:rPr>
                <w:rFonts w:hint="eastAsia" w:ascii="宋体" w:hAnsi="宋体" w:cs="宋体"/>
                <w:b/>
                <w:szCs w:val="21"/>
              </w:rPr>
              <w:t>必须提供，否则按无效投标处理</w:t>
            </w:r>
            <w:r>
              <w:rPr>
                <w:rFonts w:hint="eastAsia" w:ascii="宋体" w:hAnsi="宋体" w:cs="宋体"/>
                <w:szCs w:val="21"/>
              </w:rPr>
              <w:t>）</w:t>
            </w:r>
          </w:p>
          <w:p>
            <w:pPr>
              <w:snapToGrid w:val="0"/>
              <w:spacing w:line="400" w:lineRule="exact"/>
              <w:jc w:val="left"/>
              <w:rPr>
                <w:rFonts w:ascii="宋体" w:hAnsi="宋体" w:cs="宋体"/>
                <w:szCs w:val="21"/>
              </w:rPr>
            </w:pPr>
            <w:r>
              <w:rPr>
                <w:rFonts w:hint="eastAsia" w:ascii="宋体" w:hAnsi="宋体" w:cs="宋体"/>
                <w:szCs w:val="21"/>
              </w:rPr>
              <w:t>2、投标保证金提交凭证；（</w:t>
            </w:r>
            <w:r>
              <w:rPr>
                <w:rFonts w:hint="eastAsia" w:ascii="宋体" w:hAnsi="宋体" w:cs="宋体"/>
                <w:b/>
                <w:bCs/>
              </w:rPr>
              <w:t>必须提供</w:t>
            </w:r>
            <w:r>
              <w:rPr>
                <w:rFonts w:hint="eastAsia" w:ascii="宋体" w:hAnsi="宋体" w:cs="宋体"/>
                <w:b/>
                <w:szCs w:val="21"/>
              </w:rPr>
              <w:t>，否则按无效投标处理</w:t>
            </w:r>
            <w:r>
              <w:rPr>
                <w:rFonts w:hint="eastAsia" w:ascii="宋体" w:hAnsi="宋体" w:cs="宋体"/>
                <w:szCs w:val="21"/>
              </w:rPr>
              <w:t>）</w:t>
            </w:r>
          </w:p>
          <w:p>
            <w:pPr>
              <w:snapToGrid w:val="0"/>
              <w:spacing w:line="400" w:lineRule="exact"/>
              <w:jc w:val="left"/>
              <w:rPr>
                <w:rFonts w:ascii="宋体" w:hAnsi="宋体" w:cs="宋体"/>
                <w:szCs w:val="21"/>
              </w:rPr>
            </w:pPr>
            <w:r>
              <w:rPr>
                <w:rFonts w:hint="eastAsia" w:ascii="宋体" w:hAnsi="宋体" w:cs="宋体"/>
                <w:szCs w:val="21"/>
              </w:rPr>
              <w:t>3、法定代表人身份证明及法定代表人有效身份证正反面复印件（格式后附）；（</w:t>
            </w:r>
            <w:r>
              <w:rPr>
                <w:rFonts w:hint="eastAsia" w:ascii="宋体" w:hAnsi="宋体" w:cs="宋体"/>
                <w:b/>
                <w:bCs/>
                <w:szCs w:val="21"/>
              </w:rPr>
              <w:t>除自然人投标外</w:t>
            </w:r>
            <w:r>
              <w:rPr>
                <w:rFonts w:hint="eastAsia" w:ascii="宋体" w:hAnsi="宋体" w:cs="宋体"/>
                <w:b/>
                <w:szCs w:val="21"/>
              </w:rPr>
              <w:t>必须提供，否则按无效投标处理</w:t>
            </w:r>
            <w:r>
              <w:rPr>
                <w:rFonts w:hint="eastAsia" w:ascii="宋体" w:hAnsi="宋体" w:cs="宋体"/>
                <w:szCs w:val="21"/>
              </w:rPr>
              <w:t>）</w:t>
            </w:r>
          </w:p>
          <w:p>
            <w:pPr>
              <w:snapToGrid w:val="0"/>
              <w:spacing w:line="400" w:lineRule="exact"/>
              <w:jc w:val="left"/>
              <w:rPr>
                <w:rFonts w:ascii="宋体" w:hAnsi="宋体" w:cs="宋体"/>
                <w:szCs w:val="21"/>
              </w:rPr>
            </w:pPr>
            <w:r>
              <w:rPr>
                <w:rFonts w:hint="eastAsia" w:ascii="宋体" w:hAnsi="宋体" w:cs="宋体"/>
                <w:szCs w:val="21"/>
              </w:rPr>
              <w:t>4、授权委托书及委托代理人有效身份证正反面复印件（格式后附）；（</w:t>
            </w:r>
            <w:r>
              <w:rPr>
                <w:rFonts w:hint="eastAsia" w:ascii="宋体" w:hAnsi="宋体" w:cs="宋体"/>
                <w:b/>
                <w:szCs w:val="21"/>
              </w:rPr>
              <w:t>委托时必须提供，否则按无效投标处理</w:t>
            </w:r>
            <w:r>
              <w:rPr>
                <w:rFonts w:hint="eastAsia" w:ascii="宋体" w:hAnsi="宋体" w:cs="宋体"/>
                <w:szCs w:val="21"/>
              </w:rPr>
              <w:t>）</w:t>
            </w:r>
          </w:p>
          <w:p>
            <w:pPr>
              <w:snapToGrid w:val="0"/>
              <w:spacing w:line="400" w:lineRule="exact"/>
              <w:jc w:val="left"/>
              <w:rPr>
                <w:rFonts w:ascii="宋体" w:hAnsi="宋体" w:cs="宋体"/>
                <w:szCs w:val="21"/>
              </w:rPr>
            </w:pPr>
            <w:r>
              <w:rPr>
                <w:rFonts w:hint="eastAsia" w:ascii="宋体" w:hAnsi="宋体" w:cs="宋体"/>
                <w:szCs w:val="21"/>
              </w:rPr>
              <w:t>5、商务要求偏离表（格式后附）；（</w:t>
            </w:r>
            <w:r>
              <w:rPr>
                <w:rFonts w:hint="eastAsia" w:ascii="宋体" w:hAnsi="宋体" w:cs="宋体"/>
                <w:b/>
                <w:szCs w:val="21"/>
              </w:rPr>
              <w:t>必须提供，否则按无效投标处理</w:t>
            </w:r>
            <w:r>
              <w:rPr>
                <w:rFonts w:hint="eastAsia" w:ascii="宋体" w:hAnsi="宋体" w:cs="宋体"/>
                <w:szCs w:val="21"/>
              </w:rPr>
              <w:t>）</w:t>
            </w:r>
          </w:p>
          <w:p>
            <w:pPr>
              <w:snapToGrid w:val="0"/>
              <w:spacing w:line="400" w:lineRule="exact"/>
              <w:jc w:val="left"/>
              <w:rPr>
                <w:rFonts w:ascii="宋体" w:hAnsi="宋体" w:cs="宋体"/>
                <w:szCs w:val="21"/>
              </w:rPr>
            </w:pPr>
            <w:r>
              <w:rPr>
                <w:rFonts w:hint="eastAsia" w:ascii="宋体" w:hAnsi="宋体" w:cs="宋体"/>
                <w:szCs w:val="21"/>
              </w:rPr>
              <w:t>6、售后服务承诺（格式自拟）；（</w:t>
            </w:r>
            <w:r>
              <w:rPr>
                <w:rFonts w:hint="eastAsia" w:ascii="宋体" w:hAnsi="宋体" w:cs="宋体"/>
                <w:b/>
                <w:szCs w:val="21"/>
              </w:rPr>
              <w:t>必须提供，否则按无效投标处理</w:t>
            </w:r>
            <w:r>
              <w:rPr>
                <w:rFonts w:hint="eastAsia" w:ascii="宋体" w:hAnsi="宋体" w:cs="宋体"/>
                <w:szCs w:val="21"/>
              </w:rPr>
              <w:t>）</w:t>
            </w:r>
          </w:p>
          <w:p>
            <w:pPr>
              <w:snapToGrid w:val="0"/>
              <w:spacing w:line="400" w:lineRule="exact"/>
              <w:jc w:val="left"/>
              <w:rPr>
                <w:rFonts w:ascii="宋体" w:hAnsi="宋体" w:cs="宋体"/>
                <w:b/>
                <w:bCs/>
                <w:szCs w:val="21"/>
              </w:rPr>
            </w:pPr>
            <w:r>
              <w:rPr>
                <w:rFonts w:hint="eastAsia" w:ascii="宋体" w:hAnsi="宋体" w:cs="宋体"/>
                <w:szCs w:val="21"/>
              </w:rPr>
              <w:t>7、项目保证事项承诺书；</w:t>
            </w:r>
            <w:r>
              <w:rPr>
                <w:rFonts w:hint="eastAsia" w:ascii="宋体" w:hAnsi="宋体" w:cs="宋体"/>
                <w:b/>
                <w:bCs/>
                <w:szCs w:val="21"/>
              </w:rPr>
              <w:t>（必须提供</w:t>
            </w:r>
            <w:r>
              <w:rPr>
                <w:rFonts w:hint="eastAsia" w:ascii="宋体" w:hAnsi="宋体" w:cs="宋体"/>
                <w:b/>
                <w:szCs w:val="21"/>
              </w:rPr>
              <w:t>，否则按无效投标处理</w:t>
            </w:r>
            <w:r>
              <w:rPr>
                <w:rFonts w:hint="eastAsia" w:ascii="宋体" w:hAnsi="宋体" w:cs="宋体"/>
                <w:b/>
                <w:bCs/>
                <w:szCs w:val="21"/>
              </w:rPr>
              <w:t>）</w:t>
            </w:r>
          </w:p>
          <w:p>
            <w:pPr>
              <w:snapToGrid w:val="0"/>
              <w:spacing w:line="400" w:lineRule="exact"/>
              <w:jc w:val="left"/>
              <w:rPr>
                <w:rFonts w:ascii="宋体" w:hAnsi="宋体" w:cs="宋体"/>
                <w:strike/>
                <w:szCs w:val="21"/>
              </w:rPr>
            </w:pPr>
            <w:r>
              <w:rPr>
                <w:rFonts w:hint="eastAsia" w:ascii="宋体" w:hAnsi="宋体" w:cs="宋体"/>
                <w:szCs w:val="21"/>
              </w:rPr>
              <w:t>8、投标人情况介绍（格式自拟）；</w:t>
            </w:r>
            <w:r>
              <w:rPr>
                <w:rFonts w:hint="eastAsia" w:ascii="宋体" w:hAnsi="宋体" w:cs="宋体"/>
                <w:b/>
                <w:bCs/>
                <w:szCs w:val="21"/>
              </w:rPr>
              <w:t>（如有请提供）</w:t>
            </w:r>
          </w:p>
          <w:p>
            <w:pPr>
              <w:snapToGrid w:val="0"/>
              <w:spacing w:line="400" w:lineRule="exact"/>
              <w:jc w:val="left"/>
              <w:rPr>
                <w:rFonts w:ascii="宋体" w:hAnsi="宋体" w:cs="宋体"/>
                <w:b/>
                <w:bCs/>
                <w:szCs w:val="21"/>
              </w:rPr>
            </w:pPr>
            <w:r>
              <w:rPr>
                <w:rFonts w:hint="eastAsia" w:ascii="宋体" w:hAnsi="宋体" w:cs="宋体"/>
                <w:szCs w:val="21"/>
              </w:rPr>
              <w:t>9、除招标文件规定必须提供以外，投标人认为需要提供的其他证明材料（格式自拟）。（投标人根据“第二章 采购需求”及“第四章 评标方法及评标标准”提供有关证明材料）。</w:t>
            </w:r>
            <w:r>
              <w:rPr>
                <w:rFonts w:hint="eastAsia" w:ascii="宋体" w:hAnsi="宋体" w:cs="宋体"/>
                <w:b/>
                <w:bCs/>
                <w:szCs w:val="21"/>
              </w:rPr>
              <w:t>（如有请提供）</w:t>
            </w:r>
          </w:p>
          <w:p>
            <w:pPr>
              <w:snapToGrid w:val="0"/>
              <w:spacing w:line="400" w:lineRule="exact"/>
              <w:ind w:firstLine="422" w:firstLineChars="200"/>
              <w:jc w:val="left"/>
              <w:rPr>
                <w:rFonts w:ascii="宋体" w:hAnsi="宋体" w:cs="宋体"/>
                <w:szCs w:val="21"/>
              </w:rPr>
            </w:pPr>
            <w:r>
              <w:rPr>
                <w:rFonts w:hint="eastAsia" w:ascii="宋体" w:hAnsi="宋体" w:cs="宋体"/>
                <w:b/>
                <w:bCs/>
                <w:szCs w:val="21"/>
              </w:rPr>
              <w:t>注：以上标明“必须提供”的材料属于复印件的，必须加盖投标人公章，否则按无效投标</w:t>
            </w:r>
            <w:r>
              <w:rPr>
                <w:rFonts w:hint="eastAsia" w:ascii="宋体" w:hAnsi="宋体" w:cs="宋体"/>
                <w:b/>
                <w:szCs w:val="21"/>
              </w:rPr>
              <w:t>处理</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pPr>
              <w:spacing w:line="400" w:lineRule="exact"/>
              <w:rPr>
                <w:rFonts w:ascii="宋体" w:hAnsi="宋体" w:cs="宋体"/>
                <w:szCs w:val="21"/>
              </w:rPr>
            </w:pPr>
            <w:bookmarkStart w:id="58" w:name="_13.4"/>
            <w:bookmarkEnd w:id="58"/>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b/>
                <w:szCs w:val="21"/>
              </w:rPr>
            </w:pPr>
            <w:r>
              <w:rPr>
                <w:rFonts w:hint="eastAsia" w:ascii="宋体" w:hAnsi="宋体" w:cs="宋体"/>
                <w:b/>
                <w:szCs w:val="21"/>
              </w:rPr>
              <w:t>技术文件：</w:t>
            </w:r>
          </w:p>
          <w:p>
            <w:pPr>
              <w:snapToGrid w:val="0"/>
              <w:spacing w:line="400" w:lineRule="exact"/>
              <w:jc w:val="left"/>
              <w:rPr>
                <w:rFonts w:ascii="宋体" w:hAnsi="宋体" w:cs="宋体"/>
                <w:szCs w:val="21"/>
              </w:rPr>
            </w:pPr>
            <w:r>
              <w:rPr>
                <w:rFonts w:hint="eastAsia" w:ascii="宋体" w:hAnsi="宋体" w:cs="宋体"/>
                <w:szCs w:val="21"/>
              </w:rPr>
              <w:t>1、项目要求及技术需求偏离表（格式后附）；（</w:t>
            </w:r>
            <w:r>
              <w:rPr>
                <w:rFonts w:hint="eastAsia" w:ascii="宋体" w:hAnsi="宋体" w:cs="宋体"/>
                <w:b/>
                <w:szCs w:val="21"/>
              </w:rPr>
              <w:t>必须提供，否则按无效投标处理</w:t>
            </w:r>
            <w:r>
              <w:rPr>
                <w:rFonts w:hint="eastAsia" w:ascii="宋体" w:hAnsi="宋体" w:cs="宋体"/>
                <w:szCs w:val="21"/>
              </w:rPr>
              <w:t>）</w:t>
            </w:r>
          </w:p>
          <w:p>
            <w:pPr>
              <w:snapToGrid w:val="0"/>
              <w:spacing w:line="400" w:lineRule="exact"/>
              <w:jc w:val="left"/>
              <w:rPr>
                <w:rFonts w:ascii="宋体" w:hAnsi="宋体" w:cs="宋体"/>
                <w:szCs w:val="21"/>
              </w:rPr>
            </w:pPr>
            <w:r>
              <w:rPr>
                <w:rFonts w:hint="eastAsia" w:ascii="宋体" w:hAnsi="宋体" w:cs="宋体"/>
                <w:szCs w:val="21"/>
              </w:rPr>
              <w:t>2、项目实施方案、管理制度方案、质量保证措施等（格式自拟）；</w:t>
            </w:r>
            <w:r>
              <w:rPr>
                <w:rFonts w:hint="eastAsia" w:ascii="宋体" w:hAnsi="宋体" w:cs="宋体"/>
                <w:b/>
                <w:bCs/>
                <w:szCs w:val="21"/>
              </w:rPr>
              <w:t>（如有，请提供）</w:t>
            </w:r>
          </w:p>
          <w:p>
            <w:pPr>
              <w:snapToGrid w:val="0"/>
              <w:spacing w:line="400" w:lineRule="exact"/>
              <w:jc w:val="left"/>
              <w:rPr>
                <w:rFonts w:ascii="宋体" w:hAnsi="宋体" w:cs="宋体"/>
                <w:szCs w:val="21"/>
              </w:rPr>
            </w:pPr>
            <w:r>
              <w:rPr>
                <w:rFonts w:hint="eastAsia" w:ascii="宋体" w:hAnsi="宋体" w:cs="宋体"/>
                <w:szCs w:val="21"/>
              </w:rPr>
              <w:t>3、对本项目系统总体要求的理解。包括：功能说明、性能指标及设备选型说明（质量、性能、价格、外观、体积等方面进行比较和选择的理由及过程，格式自拟）；</w:t>
            </w:r>
            <w:r>
              <w:rPr>
                <w:rFonts w:hint="eastAsia" w:ascii="宋体" w:hAnsi="宋体" w:cs="宋体"/>
                <w:b/>
                <w:bCs/>
                <w:szCs w:val="21"/>
              </w:rPr>
              <w:t>（如有请提供）</w:t>
            </w:r>
          </w:p>
          <w:p>
            <w:pPr>
              <w:snapToGrid w:val="0"/>
              <w:spacing w:line="400" w:lineRule="exact"/>
              <w:jc w:val="left"/>
              <w:rPr>
                <w:rFonts w:ascii="宋体" w:hAnsi="宋体" w:cs="宋体"/>
                <w:szCs w:val="21"/>
              </w:rPr>
            </w:pPr>
            <w:r>
              <w:rPr>
                <w:rFonts w:hint="eastAsia" w:ascii="宋体" w:hAnsi="宋体" w:cs="宋体"/>
                <w:szCs w:val="21"/>
              </w:rPr>
              <w:t>4、产品出厂标准、质量检测报告[其中有精度要求的仪器设备类政府采购项目，应当要求投标人提供精度数据（</w:t>
            </w:r>
            <w:r>
              <w:rPr>
                <w:rFonts w:hint="eastAsia" w:ascii="宋体" w:hAnsi="宋体" w:cs="宋体"/>
              </w:rPr>
              <w:t>国家认可的有资质的第三方检测机构出具的检测报告复印件</w:t>
            </w:r>
            <w:r>
              <w:rPr>
                <w:rFonts w:hint="eastAsia" w:ascii="宋体" w:hAnsi="宋体" w:cs="宋体"/>
                <w:szCs w:val="21"/>
              </w:rPr>
              <w:t>或者由采购人在投标前组织的实测获得）]；</w:t>
            </w:r>
            <w:r>
              <w:rPr>
                <w:rFonts w:hint="eastAsia" w:ascii="宋体" w:hAnsi="宋体" w:cs="宋体"/>
                <w:b/>
                <w:bCs/>
                <w:szCs w:val="21"/>
              </w:rPr>
              <w:t>（如有请提供）</w:t>
            </w:r>
          </w:p>
          <w:p>
            <w:pPr>
              <w:snapToGrid w:val="0"/>
              <w:spacing w:line="400" w:lineRule="exact"/>
              <w:jc w:val="left"/>
              <w:rPr>
                <w:rFonts w:ascii="宋体" w:hAnsi="宋体" w:cs="宋体"/>
                <w:szCs w:val="21"/>
              </w:rPr>
            </w:pPr>
            <w:r>
              <w:rPr>
                <w:rFonts w:hint="eastAsia" w:ascii="宋体" w:hAnsi="宋体" w:cs="宋体"/>
                <w:szCs w:val="21"/>
              </w:rPr>
              <w:t>5、投标人对本项目的合理化建议和改进措施（格式自拟）；</w:t>
            </w:r>
            <w:r>
              <w:rPr>
                <w:rFonts w:hint="eastAsia" w:ascii="宋体" w:hAnsi="宋体" w:cs="宋体"/>
                <w:b/>
                <w:bCs/>
                <w:szCs w:val="21"/>
              </w:rPr>
              <w:t>（如有请提供）</w:t>
            </w:r>
          </w:p>
          <w:p>
            <w:pPr>
              <w:snapToGrid w:val="0"/>
              <w:spacing w:line="400" w:lineRule="exact"/>
              <w:jc w:val="left"/>
              <w:rPr>
                <w:rFonts w:ascii="宋体" w:hAnsi="宋体" w:cs="宋体"/>
                <w:bCs/>
                <w:szCs w:val="21"/>
              </w:rPr>
            </w:pPr>
            <w:r>
              <w:rPr>
                <w:rFonts w:hint="eastAsia" w:ascii="宋体" w:hAnsi="宋体" w:cs="宋体"/>
                <w:szCs w:val="21"/>
              </w:rPr>
              <w:t>6、除招标文件规定必须提供以外，投标人需要说明的其他文件和说明（格式自拟）。</w:t>
            </w:r>
            <w:r>
              <w:rPr>
                <w:rFonts w:hint="eastAsia" w:ascii="宋体" w:hAnsi="宋体" w:cs="宋体"/>
                <w:b/>
                <w:bCs/>
                <w:szCs w:val="21"/>
              </w:rPr>
              <w:t>（如有请提供）</w:t>
            </w:r>
          </w:p>
          <w:p>
            <w:pPr>
              <w:snapToGrid w:val="0"/>
              <w:spacing w:line="400" w:lineRule="exact"/>
              <w:ind w:firstLine="422" w:firstLineChars="200"/>
              <w:jc w:val="left"/>
              <w:rPr>
                <w:rFonts w:ascii="宋体" w:hAnsi="宋体" w:cs="宋体"/>
                <w:b/>
                <w:bCs/>
                <w:szCs w:val="21"/>
              </w:rPr>
            </w:pPr>
            <w:r>
              <w:rPr>
                <w:rFonts w:hint="eastAsia" w:ascii="宋体" w:hAnsi="宋体" w:cs="宋体"/>
                <w:b/>
                <w:bCs/>
                <w:szCs w:val="21"/>
              </w:rPr>
              <w:t>注：以上标明“必须提供”的材料属于复印件的，必须加盖投标人公章，否则按无效投标</w:t>
            </w:r>
            <w:r>
              <w:rPr>
                <w:rFonts w:hint="eastAsia" w:ascii="宋体" w:hAnsi="宋体" w:cs="宋体"/>
                <w:b/>
                <w:szCs w:val="21"/>
              </w:rPr>
              <w:t>处理</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59" w:name="_13.5"/>
            <w:bookmarkEnd w:id="59"/>
            <w:bookmarkStart w:id="60" w:name="_16.2"/>
            <w:bookmarkEnd w:id="60"/>
            <w:r>
              <w:rPr>
                <w:rFonts w:hint="eastAsia" w:ascii="宋体" w:hAnsi="宋体" w:cs="宋体"/>
                <w:szCs w:val="21"/>
              </w:rPr>
              <w:t>16</w:t>
            </w:r>
            <w:bookmarkStart w:id="61" w:name="_Hlt19194067"/>
            <w:bookmarkStart w:id="62" w:name="_Hlt19693758"/>
            <w:bookmarkStart w:id="63" w:name="_Hlt19194066"/>
            <w:bookmarkStart w:id="64" w:name="_Hlt19693759"/>
            <w:r>
              <w:rPr>
                <w:rFonts w:hint="eastAsia" w:ascii="宋体" w:hAnsi="宋体" w:cs="宋体"/>
                <w:szCs w:val="21"/>
              </w:rPr>
              <w:t>.</w:t>
            </w:r>
            <w:bookmarkEnd w:id="61"/>
            <w:bookmarkEnd w:id="62"/>
            <w:bookmarkEnd w:id="63"/>
            <w:bookmarkEnd w:id="64"/>
            <w:r>
              <w:rPr>
                <w:rFonts w:hint="eastAsia" w:ascii="宋体" w:hAnsi="宋体" w:cs="宋体"/>
                <w:szCs w:val="21"/>
              </w:rPr>
              <w:t>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投标报价是履行合同的最终价格，必须包含满足本次投标全部采购需求所应提供的服务；包含投标服务、货物、工程的成本、运输（含保险）、安装（如有）、调试、检验、技术服务、培训、税费等所有费用。（</w:t>
            </w:r>
            <w:r>
              <w:rPr>
                <w:rFonts w:hint="eastAsia" w:ascii="宋体" w:hAnsi="宋体" w:cs="宋体"/>
                <w:b/>
                <w:szCs w:val="21"/>
              </w:rPr>
              <w:t>本招标文件第二章“采购需求”另有约定的，从其约定；投标报价范围如有不完整，投标文件按无效投标处理）</w:t>
            </w:r>
          </w:p>
          <w:p>
            <w:pPr>
              <w:snapToGrid w:val="0"/>
              <w:spacing w:line="360" w:lineRule="auto"/>
              <w:rPr>
                <w:rFonts w:ascii="宋体" w:hAnsi="宋体" w:cs="宋体"/>
                <w:b/>
                <w:szCs w:val="21"/>
              </w:rPr>
            </w:pPr>
            <w:r>
              <w:rPr>
                <w:rFonts w:hint="eastAsia" w:ascii="宋体" w:hAnsi="宋体" w:cs="宋体"/>
                <w:b/>
                <w:szCs w:val="21"/>
              </w:rPr>
              <w:t>☑投标报价包含验收费用</w:t>
            </w:r>
          </w:p>
          <w:p>
            <w:pPr>
              <w:pStyle w:val="5"/>
              <w:jc w:val="both"/>
              <w:rPr>
                <w:rFonts w:ascii="宋体" w:hAnsi="宋体" w:eastAsia="宋体" w:cs="宋体"/>
              </w:rPr>
            </w:pPr>
            <w:r>
              <w:rPr>
                <w:rFonts w:hint="eastAsia" w:ascii="宋体" w:hAnsi="宋体" w:eastAsia="宋体" w:cs="宋体"/>
                <w:b/>
                <w:sz w:val="21"/>
                <w:szCs w:val="21"/>
              </w:rPr>
              <w:t>□投标报价不包含验收费用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65" w:name="_17.1"/>
            <w:bookmarkEnd w:id="65"/>
            <w:r>
              <w:rPr>
                <w:rFonts w:hint="eastAsia" w:ascii="宋体" w:hAnsi="宋体" w:cs="宋体"/>
                <w:szCs w:val="21"/>
              </w:rPr>
              <w:t>17.2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投标有效期：投标截止之日起60天内。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66" w:name="_18"/>
            <w:bookmarkEnd w:id="66"/>
            <w:r>
              <w:rPr>
                <w:rFonts w:hint="eastAsia" w:ascii="宋体" w:hAnsi="宋体" w:cs="宋体"/>
                <w:szCs w:val="21"/>
              </w:rPr>
              <w:t>18.1</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本项目收取投标保证金，具体规定如下：</w:t>
            </w:r>
          </w:p>
          <w:p>
            <w:pPr>
              <w:snapToGrid w:val="0"/>
              <w:spacing w:line="400" w:lineRule="exact"/>
              <w:rPr>
                <w:rFonts w:ascii="宋体" w:hAnsi="宋体" w:cs="宋体"/>
                <w:kern w:val="0"/>
                <w:szCs w:val="21"/>
              </w:rPr>
            </w:pPr>
            <w:r>
              <w:rPr>
                <w:rFonts w:hint="eastAsia" w:ascii="宋体" w:hAnsi="宋体" w:cs="宋体"/>
                <w:kern w:val="0"/>
                <w:szCs w:val="21"/>
              </w:rPr>
              <w:t>标投标保证金：</w:t>
            </w:r>
            <w:r>
              <w:rPr>
                <w:rFonts w:hint="eastAsia" w:ascii="宋体" w:hAnsi="宋体" w:cs="宋体"/>
                <w:b/>
                <w:bCs/>
                <w:szCs w:val="21"/>
              </w:rPr>
              <w:t>70000.00元</w:t>
            </w:r>
            <w:r>
              <w:rPr>
                <w:rFonts w:hint="eastAsia" w:ascii="宋体" w:hAnsi="宋体" w:cs="宋体"/>
                <w:kern w:val="0"/>
                <w:szCs w:val="21"/>
              </w:rPr>
              <w:t>。</w:t>
            </w:r>
          </w:p>
          <w:p>
            <w:pPr>
              <w:snapToGrid w:val="0"/>
              <w:spacing w:line="400" w:lineRule="exact"/>
              <w:rPr>
                <w:rFonts w:ascii="宋体" w:hAnsi="宋体" w:cs="宋体"/>
                <w:kern w:val="0"/>
                <w:szCs w:val="21"/>
              </w:rPr>
            </w:pPr>
            <w:r>
              <w:rPr>
                <w:rFonts w:hint="eastAsia" w:ascii="宋体" w:hAnsi="宋体" w:cs="宋体"/>
                <w:kern w:val="0"/>
                <w:szCs w:val="21"/>
              </w:rPr>
              <w:t>投标保证金的交纳方式：银行转账、支票、汇票、本票或者金融、担保机构出具的保函，禁止采用现钞方式。采用银行转账方式的，在投标截止时间前交至指定账户并且到账；采用支票、汇票、本票或者保函等方式的，在投标截止时间前，投标人必须递交支票、汇票、本票或者保函原件。否则视为无效投标保证金。</w:t>
            </w:r>
          </w:p>
          <w:p>
            <w:pPr>
              <w:pStyle w:val="25"/>
              <w:snapToGrid w:val="0"/>
              <w:spacing w:line="400" w:lineRule="exact"/>
              <w:rPr>
                <w:rFonts w:hAnsi="宋体" w:cs="宋体"/>
                <w:b/>
                <w:bCs/>
              </w:rPr>
            </w:pPr>
            <w:r>
              <w:rPr>
                <w:rFonts w:hint="eastAsia" w:hAnsi="宋体" w:cs="宋体"/>
                <w:b/>
                <w:bCs/>
              </w:rPr>
              <w:t>标投标保证金账户：</w:t>
            </w:r>
          </w:p>
          <w:p>
            <w:pPr>
              <w:pStyle w:val="25"/>
              <w:snapToGrid w:val="0"/>
              <w:spacing w:line="400" w:lineRule="exact"/>
              <w:rPr>
                <w:rFonts w:hAnsi="宋体" w:cs="宋体"/>
                <w:b/>
                <w:bCs/>
                <w:sz w:val="21"/>
              </w:rPr>
            </w:pPr>
            <w:r>
              <w:rPr>
                <w:rFonts w:hint="eastAsia" w:hAnsi="宋体" w:cs="宋体"/>
                <w:b/>
                <w:bCs/>
                <w:sz w:val="21"/>
              </w:rPr>
              <w:t>账户名称：广西建设工程机电设备招标中心有限公司</w:t>
            </w:r>
          </w:p>
          <w:p>
            <w:pPr>
              <w:pStyle w:val="25"/>
              <w:snapToGrid w:val="0"/>
              <w:spacing w:line="400" w:lineRule="exact"/>
              <w:rPr>
                <w:rFonts w:hAnsi="宋体" w:cs="宋体"/>
                <w:b/>
                <w:bCs/>
                <w:sz w:val="21"/>
              </w:rPr>
            </w:pPr>
            <w:r>
              <w:rPr>
                <w:rFonts w:hint="eastAsia" w:hAnsi="宋体" w:cs="宋体"/>
                <w:b/>
                <w:bCs/>
                <w:sz w:val="21"/>
              </w:rPr>
              <w:t>开户银行：招商银行南宁分行营业部</w:t>
            </w:r>
          </w:p>
          <w:p>
            <w:pPr>
              <w:snapToGrid w:val="0"/>
              <w:spacing w:line="400" w:lineRule="exact"/>
              <w:rPr>
                <w:rFonts w:ascii="宋体" w:hAnsi="宋体" w:cs="宋体"/>
                <w:b/>
                <w:bCs/>
              </w:rPr>
            </w:pPr>
            <w:r>
              <w:rPr>
                <w:rFonts w:hint="eastAsia" w:ascii="宋体" w:hAnsi="宋体" w:cs="宋体"/>
                <w:b/>
                <w:bCs/>
              </w:rPr>
              <w:t>银行账号：7719 0142 3310 201</w:t>
            </w:r>
          </w:p>
          <w:p>
            <w:pPr>
              <w:snapToGrid w:val="0"/>
              <w:spacing w:line="400" w:lineRule="exact"/>
              <w:rPr>
                <w:rFonts w:ascii="宋体" w:hAnsi="宋体" w:cs="宋体"/>
                <w:szCs w:val="21"/>
              </w:rPr>
            </w:pPr>
            <w:r>
              <w:rPr>
                <w:rFonts w:hint="eastAsia" w:ascii="宋体" w:hAnsi="宋体" w:cs="宋体"/>
                <w:szCs w:val="21"/>
              </w:rPr>
              <w:t>相关要求：</w:t>
            </w:r>
          </w:p>
          <w:p>
            <w:pPr>
              <w:pStyle w:val="17"/>
              <w:spacing w:line="400" w:lineRule="exact"/>
              <w:rPr>
                <w:rFonts w:ascii="宋体" w:hAnsi="宋体" w:cs="宋体"/>
                <w:szCs w:val="21"/>
              </w:rPr>
            </w:pPr>
            <w:r>
              <w:rPr>
                <w:rFonts w:hint="eastAsia" w:ascii="宋体" w:hAnsi="宋体" w:cs="宋体"/>
                <w:szCs w:val="21"/>
              </w:rPr>
              <w:t>1、投标保证金采用银行转账交纳方式的，投标人转帐时请在银行转账底单备注“项目名称+分标+用途”，在投标截止时间前交至指定账户并且到账，投标人应将银行转账底单的复印件作为投标保证金提交凭证，放置于商务文件中，</w:t>
            </w:r>
            <w:r>
              <w:rPr>
                <w:rFonts w:hint="eastAsia" w:ascii="宋体" w:hAnsi="宋体" w:cs="宋体"/>
                <w:b/>
                <w:szCs w:val="21"/>
              </w:rPr>
              <w:t>否则投标无效</w:t>
            </w:r>
            <w:r>
              <w:rPr>
                <w:rFonts w:hint="eastAsia" w:ascii="宋体" w:hAnsi="宋体" w:cs="宋体"/>
                <w:szCs w:val="21"/>
              </w:rPr>
              <w:t>。</w:t>
            </w:r>
          </w:p>
          <w:p>
            <w:pPr>
              <w:snapToGrid w:val="0"/>
              <w:spacing w:line="400" w:lineRule="exact"/>
              <w:rPr>
                <w:rFonts w:ascii="宋体" w:hAnsi="宋体" w:cs="宋体"/>
                <w:szCs w:val="21"/>
              </w:rPr>
            </w:pPr>
            <w:r>
              <w:rPr>
                <w:rFonts w:hint="eastAsia" w:ascii="宋体" w:hAnsi="宋体" w:cs="宋体"/>
                <w:szCs w:val="21"/>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cs="宋体"/>
                <w:b/>
                <w:szCs w:val="21"/>
              </w:rPr>
              <w:t>否则投标无效</w:t>
            </w:r>
            <w:r>
              <w:rPr>
                <w:rFonts w:hint="eastAsia" w:ascii="宋体" w:hAnsi="宋体" w:cs="宋体"/>
                <w:szCs w:val="21"/>
              </w:rPr>
              <w:t>。</w:t>
            </w:r>
            <w:r>
              <w:rPr>
                <w:rFonts w:hint="eastAsia" w:ascii="宋体" w:hAnsi="宋体" w:cs="宋体"/>
                <w:b/>
                <w:szCs w:val="21"/>
              </w:rPr>
              <w:t>投标人必须在投标截止时间前将支票、汇票、本票或者金融、担保机构出具的保函原件提交给采购代理机构，由采购代理机构向投标人出具回执，并妥善保管。</w:t>
            </w:r>
          </w:p>
          <w:p>
            <w:pPr>
              <w:snapToGrid w:val="0"/>
              <w:spacing w:line="400" w:lineRule="exact"/>
              <w:rPr>
                <w:rFonts w:ascii="宋体" w:hAnsi="宋体" w:cs="宋体"/>
                <w:szCs w:val="21"/>
              </w:rPr>
            </w:pPr>
            <w:r>
              <w:rPr>
                <w:rFonts w:hint="eastAsia" w:ascii="宋体" w:hAnsi="宋体" w:cs="宋体"/>
                <w:szCs w:val="21"/>
              </w:rPr>
              <w:t>3、投标人为联合体的，可以由联合体中的一方或者多方共同交纳投标保证金，其交纳的保证金对联合体各方均具有约束力。</w:t>
            </w:r>
          </w:p>
          <w:p>
            <w:pPr>
              <w:snapToGrid w:val="0"/>
              <w:spacing w:line="400" w:lineRule="exact"/>
              <w:rPr>
                <w:rFonts w:ascii="宋体" w:hAnsi="宋体" w:cs="宋体"/>
                <w:b/>
                <w:szCs w:val="21"/>
              </w:rPr>
            </w:pPr>
            <w:r>
              <w:rPr>
                <w:rFonts w:hint="eastAsia" w:ascii="宋体" w:hAnsi="宋体" w:cs="宋体"/>
                <w:b/>
                <w:szCs w:val="21"/>
              </w:rPr>
              <w:t xml:space="preserve">备注： </w:t>
            </w:r>
          </w:p>
          <w:p>
            <w:pPr>
              <w:snapToGrid w:val="0"/>
              <w:spacing w:line="400" w:lineRule="exact"/>
              <w:rPr>
                <w:rFonts w:ascii="宋体" w:hAnsi="宋体" w:cs="宋体"/>
                <w:b/>
                <w:szCs w:val="21"/>
              </w:rPr>
            </w:pPr>
            <w:r>
              <w:rPr>
                <w:rFonts w:hint="eastAsia" w:ascii="宋体" w:hAnsi="宋体" w:cs="宋体"/>
                <w:b/>
                <w:szCs w:val="21"/>
              </w:rPr>
              <w:t>1、投标保证金在投标截止时间后提交的，或者不按规定交纳方式交纳的，或者未足额交纳的（包含保函额度不足的），视为无效投标保证金。</w:t>
            </w:r>
          </w:p>
          <w:p>
            <w:pPr>
              <w:snapToGrid w:val="0"/>
              <w:spacing w:line="400" w:lineRule="exact"/>
              <w:rPr>
                <w:rFonts w:ascii="宋体" w:hAnsi="宋体" w:cs="宋体"/>
                <w:b/>
                <w:szCs w:val="21"/>
              </w:rPr>
            </w:pPr>
            <w:r>
              <w:rPr>
                <w:rFonts w:hint="eastAsia" w:ascii="宋体" w:hAnsi="宋体" w:cs="宋体"/>
                <w:b/>
                <w:szCs w:val="21"/>
              </w:rPr>
              <w:t>2、投标人采用现钞方式或者从个人账户（自然人投标除外）转出的投标保证金，视为无效投标保证金。</w:t>
            </w:r>
          </w:p>
          <w:p>
            <w:pPr>
              <w:snapToGrid w:val="0"/>
              <w:spacing w:line="400" w:lineRule="exact"/>
              <w:rPr>
                <w:rFonts w:ascii="宋体" w:hAnsi="宋体" w:cs="宋体"/>
                <w:b/>
                <w:szCs w:val="21"/>
              </w:rPr>
            </w:pPr>
            <w:r>
              <w:rPr>
                <w:rFonts w:hint="eastAsia" w:ascii="宋体" w:hAnsi="宋体" w:cs="宋体"/>
                <w:b/>
                <w:szCs w:val="21"/>
              </w:rPr>
              <w:t>3、支票、汇票或者本票出现无效或者背书情形的，视为无效投标保证金。</w:t>
            </w:r>
          </w:p>
          <w:p>
            <w:pPr>
              <w:snapToGrid w:val="0"/>
              <w:spacing w:line="400" w:lineRule="exact"/>
              <w:rPr>
                <w:rFonts w:ascii="宋体" w:hAnsi="宋体" w:cs="宋体"/>
                <w:b/>
                <w:szCs w:val="21"/>
              </w:rPr>
            </w:pPr>
            <w:r>
              <w:rPr>
                <w:rFonts w:hint="eastAsia" w:ascii="宋体" w:hAnsi="宋体" w:cs="宋体"/>
                <w:b/>
                <w:szCs w:val="21"/>
              </w:rPr>
              <w:t>4、保函有效期低于投标有效期的，视为无效投标保证金。</w:t>
            </w:r>
          </w:p>
          <w:p>
            <w:pPr>
              <w:snapToGrid w:val="0"/>
              <w:spacing w:line="400" w:lineRule="exact"/>
              <w:rPr>
                <w:rFonts w:ascii="宋体" w:hAnsi="宋体" w:cs="宋体"/>
                <w:b/>
                <w:szCs w:val="21"/>
              </w:rPr>
            </w:pPr>
            <w:r>
              <w:rPr>
                <w:rFonts w:hint="eastAsia" w:ascii="宋体" w:hAnsi="宋体" w:cs="宋体"/>
                <w:b/>
                <w:szCs w:val="21"/>
              </w:rPr>
              <w:t>5、采用金融、担保机构出具保函的，必须为无条件保函，否则视为无效投标保证金。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67" w:name="_19.2"/>
            <w:bookmarkEnd w:id="67"/>
            <w:r>
              <w:rPr>
                <w:rFonts w:hint="eastAsia" w:ascii="宋体" w:hAnsi="宋体" w:cs="宋体"/>
                <w:szCs w:val="21"/>
              </w:rPr>
              <w:t>19.2</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投标文件应按</w:t>
            </w:r>
            <w:r>
              <w:rPr>
                <w:rFonts w:hint="eastAsia" w:ascii="宋体" w:hAnsi="宋体" w:cs="宋体"/>
                <w:b/>
                <w:bCs/>
                <w:szCs w:val="21"/>
              </w:rPr>
              <w:t>报价文件、资格证明文件、商务文件、技术文件</w:t>
            </w:r>
            <w:r>
              <w:rPr>
                <w:rFonts w:hint="eastAsia" w:ascii="宋体" w:hAnsi="宋体" w:cs="宋体"/>
                <w:szCs w:val="21"/>
              </w:rPr>
              <w:t>分别编制，</w:t>
            </w:r>
            <w:r>
              <w:rPr>
                <w:rFonts w:hint="eastAsia" w:ascii="宋体" w:hAnsi="宋体" w:cs="宋体"/>
                <w:szCs w:val="21"/>
                <w:lang w:bidi="ar"/>
              </w:rPr>
              <w:t>并按“广西政府采购云平台”的要求编制、加密、上传。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20.1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电子投标文件应在制作完成后，投标人应按</w:t>
            </w:r>
            <w:r>
              <w:rPr>
                <w:rFonts w:hint="eastAsia" w:ascii="宋体" w:hAnsi="宋体" w:cs="宋体"/>
                <w:szCs w:val="21"/>
                <w:lang w:bidi="ar"/>
              </w:rPr>
              <w:t>“广西政府采购云平台”</w:t>
            </w:r>
            <w:r>
              <w:rPr>
                <w:rFonts w:hint="eastAsia" w:ascii="宋体" w:hAnsi="宋体" w:cs="宋体"/>
                <w:szCs w:val="21"/>
              </w:rPr>
              <w:t>的要求进行加密，并在规定时间内解密，否则，由此产生的后果由投标人自行负责。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68" w:name="_21.1"/>
            <w:bookmarkEnd w:id="68"/>
            <w:r>
              <w:rPr>
                <w:rFonts w:hint="eastAsia" w:ascii="宋体" w:hAnsi="宋体" w:cs="宋体"/>
                <w:szCs w:val="21"/>
              </w:rPr>
              <w:t>21.1</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u w:val="single"/>
              </w:rPr>
            </w:pPr>
            <w:r>
              <w:rPr>
                <w:rFonts w:hint="eastAsia" w:ascii="宋体" w:hAnsi="宋体" w:cs="宋体"/>
                <w:szCs w:val="21"/>
              </w:rPr>
              <w:t>1、投标截止时间：详见招标公告</w:t>
            </w:r>
          </w:p>
          <w:p>
            <w:pPr>
              <w:snapToGrid w:val="0"/>
              <w:spacing w:line="400" w:lineRule="exact"/>
              <w:rPr>
                <w:rFonts w:ascii="宋体" w:hAnsi="宋体" w:cs="宋体"/>
                <w:szCs w:val="21"/>
              </w:rPr>
            </w:pPr>
            <w:r>
              <w:rPr>
                <w:rFonts w:hint="eastAsia" w:ascii="宋体" w:hAnsi="宋体" w:cs="宋体"/>
                <w:szCs w:val="21"/>
              </w:rPr>
              <w:t>2、投标地点：详见招标公告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69" w:name="_23"/>
            <w:bookmarkEnd w:id="69"/>
            <w:r>
              <w:rPr>
                <w:rFonts w:hint="eastAsia" w:ascii="宋体" w:hAnsi="宋体" w:cs="宋体"/>
                <w:szCs w:val="21"/>
              </w:rPr>
              <w:t>23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1、开标时间：详见招标公告</w:t>
            </w:r>
          </w:p>
          <w:p>
            <w:pPr>
              <w:snapToGrid w:val="0"/>
              <w:spacing w:line="400" w:lineRule="exact"/>
              <w:rPr>
                <w:rFonts w:ascii="宋体" w:hAnsi="宋体" w:cs="宋体"/>
                <w:szCs w:val="21"/>
              </w:rPr>
            </w:pPr>
            <w:r>
              <w:rPr>
                <w:rFonts w:hint="eastAsia" w:ascii="宋体" w:hAnsi="宋体" w:cs="宋体"/>
                <w:szCs w:val="21"/>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bCs/>
                <w:szCs w:val="21"/>
              </w:rPr>
              <w:t>24.2</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cs="宋体"/>
                <w:szCs w:val="21"/>
              </w:rPr>
            </w:pPr>
            <w:r>
              <w:rPr>
                <w:rFonts w:hint="eastAsia" w:ascii="宋体" w:hAnsi="宋体" w:cs="宋体"/>
                <w:szCs w:val="21"/>
                <w:lang w:bidi="ar"/>
              </w:rPr>
              <w:t>“广西政府采购云平台”</w:t>
            </w:r>
            <w:r>
              <w:rPr>
                <w:rFonts w:hint="eastAsia" w:ascii="宋体" w:hAnsi="宋体" w:cs="宋体"/>
                <w:bCs/>
                <w:szCs w:val="21"/>
              </w:rPr>
              <w:t>按开标时间自动提取所有投标文件。采购代理机构依托</w:t>
            </w:r>
            <w:r>
              <w:rPr>
                <w:rFonts w:hint="eastAsia" w:ascii="宋体" w:hAnsi="宋体" w:cs="宋体"/>
                <w:szCs w:val="21"/>
                <w:lang w:bidi="ar"/>
              </w:rPr>
              <w:t>“广西政府采购云平台”</w:t>
            </w:r>
            <w:r>
              <w:rPr>
                <w:rFonts w:hint="eastAsia" w:ascii="宋体" w:hAnsi="宋体" w:cs="宋体"/>
                <w:bCs/>
                <w:szCs w:val="21"/>
              </w:rPr>
              <w:t>向各投标人发出电子加密投标文件【开始解密】通知，由投标人进行投标文件解密。</w:t>
            </w:r>
            <w:r>
              <w:rPr>
                <w:rFonts w:hint="eastAsia" w:ascii="宋体" w:hAnsi="宋体" w:cs="宋体"/>
                <w:b/>
                <w:bCs/>
                <w:szCs w:val="21"/>
              </w:rPr>
              <w:t>投标人的法定代表人或其委托代理人须携带加密时所用的CA锁准时登录到“广西政府采购云平台”电子开标大厅签到</w:t>
            </w:r>
            <w:r>
              <w:rPr>
                <w:rFonts w:hint="eastAsia" w:ascii="宋体" w:hAnsi="宋体" w:cs="宋体"/>
                <w:b/>
                <w:szCs w:val="21"/>
              </w:rPr>
              <w:t>并在发起解密</w:t>
            </w:r>
            <w:r>
              <w:rPr>
                <w:rFonts w:hint="eastAsia" w:ascii="宋体" w:hAnsi="宋体" w:cs="宋体"/>
                <w:b/>
                <w:bCs/>
                <w:szCs w:val="21"/>
              </w:rPr>
              <w:t>通知</w:t>
            </w:r>
            <w:r>
              <w:rPr>
                <w:rFonts w:hint="eastAsia" w:ascii="宋体" w:hAnsi="宋体" w:cs="宋体"/>
                <w:b/>
                <w:szCs w:val="21"/>
              </w:rPr>
              <w:t>之时起30分钟内完成</w:t>
            </w:r>
            <w:r>
              <w:rPr>
                <w:rFonts w:hint="eastAsia" w:ascii="宋体" w:hAnsi="宋体" w:cs="宋体"/>
                <w:b/>
                <w:bCs/>
                <w:szCs w:val="21"/>
              </w:rPr>
              <w:t>对电子投标文件解密。投标文件未按时解密的，视为无效投标。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70" w:name="_25.3"/>
            <w:bookmarkEnd w:id="70"/>
            <w:r>
              <w:rPr>
                <w:rFonts w:hint="eastAsia" w:ascii="宋体" w:hAnsi="宋体" w:cs="宋体"/>
                <w:szCs w:val="21"/>
              </w:rPr>
              <w:t>25.3（3）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采购人或者采购代理机构在资格审查结束前，对投标人进行信用查询。</w:t>
            </w:r>
          </w:p>
          <w:p>
            <w:pPr>
              <w:snapToGrid w:val="0"/>
              <w:spacing w:line="400" w:lineRule="exact"/>
              <w:rPr>
                <w:rFonts w:ascii="宋体" w:hAnsi="宋体" w:cs="宋体"/>
                <w:szCs w:val="21"/>
              </w:rPr>
            </w:pPr>
            <w:r>
              <w:rPr>
                <w:rFonts w:hint="eastAsia" w:ascii="宋体" w:hAnsi="宋体" w:cs="宋体"/>
                <w:szCs w:val="21"/>
              </w:rPr>
              <w:t>查询渠道：“信用中国”网站（www.creditchina.gov.cn）、中国政府采购网（</w:t>
            </w:r>
            <w:r>
              <w:fldChar w:fldCharType="begin"/>
            </w:r>
            <w:r>
              <w:instrText xml:space="preserve"> HYPERLINK "http://www.ccgp.gov.cn" </w:instrText>
            </w:r>
            <w:r>
              <w:fldChar w:fldCharType="separate"/>
            </w:r>
            <w:r>
              <w:rPr>
                <w:rStyle w:val="54"/>
                <w:rFonts w:hint="eastAsia" w:ascii="宋体" w:hAnsi="宋体" w:cs="宋体"/>
                <w:color w:val="auto"/>
                <w:szCs w:val="21"/>
              </w:rPr>
              <w:t>www.ccgp.gov.cn</w:t>
            </w:r>
            <w:r>
              <w:rPr>
                <w:rStyle w:val="54"/>
                <w:rFonts w:hint="eastAsia" w:ascii="宋体" w:hAnsi="宋体" w:cs="宋体"/>
                <w:color w:val="auto"/>
                <w:szCs w:val="21"/>
              </w:rPr>
              <w:fldChar w:fldCharType="end"/>
            </w:r>
            <w:r>
              <w:rPr>
                <w:rFonts w:hint="eastAsia" w:ascii="宋体" w:hAnsi="宋体" w:cs="宋体"/>
                <w:szCs w:val="21"/>
              </w:rPr>
              <w:t>）。</w:t>
            </w:r>
          </w:p>
          <w:p>
            <w:pPr>
              <w:snapToGrid w:val="0"/>
              <w:spacing w:line="400" w:lineRule="exact"/>
              <w:rPr>
                <w:rFonts w:ascii="宋体" w:hAnsi="宋体" w:cs="宋体"/>
                <w:szCs w:val="21"/>
              </w:rPr>
            </w:pPr>
            <w:r>
              <w:rPr>
                <w:rFonts w:hint="eastAsia" w:ascii="宋体" w:hAnsi="宋体" w:cs="宋体"/>
                <w:szCs w:val="21"/>
              </w:rPr>
              <w:t>信用查询截止时点：资格审查结束前。</w:t>
            </w:r>
          </w:p>
          <w:p>
            <w:pPr>
              <w:snapToGrid w:val="0"/>
              <w:spacing w:line="400" w:lineRule="exact"/>
              <w:rPr>
                <w:rFonts w:ascii="宋体" w:hAnsi="宋体" w:cs="宋体"/>
                <w:szCs w:val="21"/>
              </w:rPr>
            </w:pPr>
            <w:r>
              <w:rPr>
                <w:rFonts w:hint="eastAsia" w:ascii="宋体" w:hAnsi="宋体" w:cs="宋体"/>
                <w:szCs w:val="21"/>
              </w:rPr>
              <w:t>查询记录和证据留存方式：将查询网站中的查询记录截图并作为评审资料保存。</w:t>
            </w:r>
          </w:p>
          <w:p>
            <w:pPr>
              <w:snapToGrid w:val="0"/>
              <w:spacing w:line="400" w:lineRule="exact"/>
              <w:rPr>
                <w:rFonts w:ascii="宋体" w:hAnsi="宋体" w:cs="宋体"/>
                <w:b/>
                <w:szCs w:val="21"/>
              </w:rPr>
            </w:pPr>
            <w:r>
              <w:rPr>
                <w:rFonts w:hint="eastAsia" w:ascii="宋体" w:hAnsi="宋体" w:cs="宋体"/>
                <w:szCs w:val="21"/>
              </w:rPr>
              <w:t>信用信息使用规则：根据财政部《关于在政府采购活动中查询及使用信用记录有关问题的通知》（财库〔2016〕125号）的规定，</w:t>
            </w:r>
            <w:r>
              <w:rPr>
                <w:rFonts w:hint="eastAsia" w:ascii="宋体" w:hAnsi="宋体" w:cs="宋体"/>
                <w:szCs w:val="21"/>
                <w:lang w:bidi="ar"/>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71" w:name="_26"/>
            <w:bookmarkEnd w:id="71"/>
            <w:bookmarkStart w:id="72" w:name="_28.3"/>
            <w:bookmarkEnd w:id="72"/>
            <w:r>
              <w:rPr>
                <w:rFonts w:hint="eastAsia" w:ascii="宋体" w:hAnsi="宋体" w:cs="宋体"/>
                <w:szCs w:val="21"/>
              </w:rPr>
              <w:t>29.1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评标方法：综合评分法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73" w:name="_29.2.2（2）"/>
            <w:bookmarkEnd w:id="73"/>
            <w:r>
              <w:rPr>
                <w:rFonts w:hint="eastAsia" w:ascii="宋体" w:hAnsi="宋体" w:cs="宋体"/>
                <w:szCs w:val="21"/>
              </w:rPr>
              <w:t>29.2</w:t>
            </w:r>
          </w:p>
        </w:tc>
        <w:tc>
          <w:tcPr>
            <w:tcW w:w="8708"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rPr>
              <w:t>中标候选人推荐数量：3家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b/>
                <w:bCs/>
                <w:szCs w:val="21"/>
              </w:rPr>
              <w:t>允许负偏离项</w:t>
            </w:r>
          </w:p>
        </w:tc>
        <w:tc>
          <w:tcPr>
            <w:tcW w:w="8708"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商务要求评审中允许负偏离的条款数为</w:t>
            </w:r>
            <w:r>
              <w:rPr>
                <w:rFonts w:hint="eastAsia" w:ascii="宋体" w:hAnsi="宋体" w:cs="宋体"/>
                <w:szCs w:val="21"/>
                <w:u w:val="single"/>
              </w:rPr>
              <w:t>0</w:t>
            </w:r>
            <w:r>
              <w:rPr>
                <w:rFonts w:hint="eastAsia" w:ascii="宋体" w:hAnsi="宋体" w:cs="宋体"/>
                <w:szCs w:val="21"/>
              </w:rPr>
              <w:t>项。</w:t>
            </w:r>
          </w:p>
          <w:p>
            <w:pPr>
              <w:snapToGrid w:val="0"/>
              <w:spacing w:line="400" w:lineRule="exact"/>
              <w:rPr>
                <w:rFonts w:ascii="宋体" w:hAnsi="宋体" w:cs="宋体"/>
                <w:szCs w:val="21"/>
              </w:rPr>
            </w:pPr>
            <w:r>
              <w:rPr>
                <w:rFonts w:hint="eastAsia" w:ascii="宋体" w:hAnsi="宋体" w:cs="宋体"/>
                <w:szCs w:val="21"/>
              </w:rPr>
              <w:t>技术要求评审中允许负偏离的条款数为</w:t>
            </w:r>
            <w:r>
              <w:rPr>
                <w:rFonts w:hint="eastAsia" w:ascii="宋体" w:hAnsi="宋体" w:cs="宋体"/>
                <w:szCs w:val="21"/>
                <w:u w:val="single"/>
              </w:rPr>
              <w:t>3</w:t>
            </w:r>
            <w:r>
              <w:rPr>
                <w:rFonts w:hint="eastAsia" w:ascii="宋体" w:hAnsi="宋体" w:cs="宋体"/>
                <w:szCs w:val="21"/>
              </w:rPr>
              <w:t>项（注：带▲的为实质性条款，不允许负偏离）。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895"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30.1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采用综合评分法的采购项目，采购人确定中标人时，出现中标候选人并列的情形，采购人按以下的方式确定中标人：按综合评分中技术分、商务分得分高低依次确定。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74" w:name="_39.1"/>
            <w:bookmarkEnd w:id="74"/>
            <w:r>
              <w:rPr>
                <w:rFonts w:hint="eastAsia" w:ascii="宋体" w:hAnsi="宋体" w:cs="宋体"/>
                <w:szCs w:val="21"/>
              </w:rPr>
              <w:t>35.1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本项目收取履约保证金，具体规定如下：</w:t>
            </w:r>
          </w:p>
          <w:p>
            <w:pPr>
              <w:pStyle w:val="17"/>
              <w:spacing w:line="400" w:lineRule="exact"/>
              <w:rPr>
                <w:rFonts w:ascii="宋体" w:hAnsi="宋体" w:cs="宋体"/>
                <w:szCs w:val="21"/>
              </w:rPr>
            </w:pPr>
            <w:r>
              <w:rPr>
                <w:rFonts w:hint="eastAsia" w:ascii="宋体" w:hAnsi="宋体" w:cs="宋体"/>
                <w:szCs w:val="21"/>
              </w:rPr>
              <w:t>履约保证金金额：按项目中标金额的</w:t>
            </w:r>
            <w:r>
              <w:rPr>
                <w:rFonts w:hint="eastAsia" w:ascii="宋体" w:hAnsi="宋体" w:cs="宋体"/>
                <w:szCs w:val="21"/>
                <w:u w:val="single"/>
              </w:rPr>
              <w:t xml:space="preserve"> 5 </w:t>
            </w:r>
            <w:r>
              <w:rPr>
                <w:rFonts w:hint="eastAsia" w:ascii="宋体" w:hAnsi="宋体" w:cs="宋体"/>
                <w:szCs w:val="21"/>
              </w:rPr>
              <w:t>%（注：履约保证金不超过</w:t>
            </w:r>
            <w:r>
              <w:rPr>
                <w:rFonts w:hint="eastAsia" w:ascii="宋体" w:hAnsi="宋体" w:cs="宋体"/>
              </w:rPr>
              <w:t>政府采购合同金额的5</w:t>
            </w:r>
            <w:r>
              <w:rPr>
                <w:rFonts w:hint="eastAsia" w:ascii="宋体" w:hAnsi="宋体" w:cs="宋体"/>
                <w:szCs w:val="21"/>
              </w:rPr>
              <w:t>%，中标人为中小微企业时为2%）。</w:t>
            </w:r>
          </w:p>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履约保证金递交方式：银行转账、支票、汇票、本票或者金融、担保机构出具的保函等非现金方式（参照投标保证金）</w:t>
            </w:r>
          </w:p>
          <w:p>
            <w:pPr>
              <w:autoSpaceDE w:val="0"/>
              <w:autoSpaceDN w:val="0"/>
              <w:snapToGrid w:val="0"/>
              <w:spacing w:line="400" w:lineRule="exact"/>
              <w:textAlignment w:val="bottom"/>
              <w:rPr>
                <w:rFonts w:ascii="宋体" w:hAnsi="宋体" w:cs="宋体"/>
                <w:szCs w:val="21"/>
                <w:u w:val="single"/>
              </w:rPr>
            </w:pPr>
            <w:r>
              <w:rPr>
                <w:rFonts w:hint="eastAsia" w:ascii="宋体" w:hAnsi="宋体" w:cs="宋体"/>
                <w:szCs w:val="21"/>
              </w:rPr>
              <w:t>履约保证金退付方式、时间及条件：</w:t>
            </w:r>
            <w:r>
              <w:rPr>
                <w:rFonts w:hint="eastAsia" w:ascii="宋体" w:hAnsi="宋体" w:cs="宋体"/>
                <w:b/>
                <w:szCs w:val="21"/>
                <w:u w:val="single"/>
              </w:rPr>
              <w:t>由中标人向履约保证金收取单位提供《广西壮族自治区政府采购项目合同验收书》（详见桂财采〔2015〕22号），保证金收取单位在收到合格材料后办理退还手续（不计利息）</w:t>
            </w:r>
            <w:r>
              <w:rPr>
                <w:rFonts w:hint="eastAsia" w:ascii="宋体" w:hAnsi="宋体" w:cs="宋体"/>
                <w:szCs w:val="21"/>
              </w:rPr>
              <w:t>。</w:t>
            </w:r>
          </w:p>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履约保证金指定账户：</w:t>
            </w:r>
          </w:p>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开户名称：广西壮族自治区生殖医院</w:t>
            </w:r>
          </w:p>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开户银行：建设银行南宁医科大支行</w:t>
            </w:r>
          </w:p>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银行账号：45001604560059888888</w:t>
            </w:r>
          </w:p>
          <w:p>
            <w:pPr>
              <w:spacing w:line="400" w:lineRule="exact"/>
              <w:jc w:val="left"/>
              <w:rPr>
                <w:rFonts w:ascii="宋体" w:hAnsi="宋体" w:cs="宋体"/>
                <w:szCs w:val="21"/>
              </w:rPr>
            </w:pPr>
            <w:r>
              <w:rPr>
                <w:rFonts w:hint="eastAsia" w:ascii="宋体" w:hAnsi="宋体" w:cs="宋体"/>
                <w:szCs w:val="21"/>
              </w:rPr>
              <w:t>备注：</w:t>
            </w:r>
          </w:p>
          <w:p>
            <w:pPr>
              <w:spacing w:line="400" w:lineRule="exact"/>
              <w:jc w:val="left"/>
              <w:rPr>
                <w:rFonts w:ascii="宋体" w:hAnsi="宋体" w:cs="宋体"/>
                <w:b/>
                <w:color w:val="000000"/>
                <w:szCs w:val="21"/>
              </w:rPr>
            </w:pPr>
            <w:bookmarkStart w:id="75" w:name="_Hlk54170335"/>
            <w:r>
              <w:rPr>
                <w:rFonts w:hint="eastAsia" w:ascii="宋体" w:hAnsi="宋体" w:cs="宋体"/>
                <w:b/>
                <w:szCs w:val="21"/>
              </w:rPr>
              <w:t>1.采购人在与中小微企业签订政府采购合同时，减少或免于收取履约保证金，有必要收取履约保证金的，收取的履约保证金不得超过政府采购合同金额的2%</w:t>
            </w:r>
            <w:r>
              <w:rPr>
                <w:rFonts w:hint="eastAsia" w:ascii="宋体" w:hAnsi="宋体" w:cs="宋体"/>
                <w:b/>
                <w:color w:val="000000"/>
                <w:szCs w:val="21"/>
              </w:rPr>
              <w:t>。</w:t>
            </w:r>
            <w:bookmarkEnd w:id="75"/>
          </w:p>
          <w:p>
            <w:pPr>
              <w:spacing w:line="400" w:lineRule="exact"/>
              <w:jc w:val="left"/>
              <w:rPr>
                <w:rFonts w:ascii="宋体" w:hAnsi="宋体" w:cs="宋体"/>
                <w:b/>
                <w:color w:val="000000"/>
                <w:szCs w:val="21"/>
              </w:rPr>
            </w:pPr>
            <w:r>
              <w:rPr>
                <w:rFonts w:hint="eastAsia" w:ascii="宋体" w:hAnsi="宋体" w:cs="宋体"/>
                <w:b/>
                <w:color w:val="000000"/>
                <w:szCs w:val="21"/>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400" w:lineRule="exact"/>
              <w:jc w:val="left"/>
              <w:rPr>
                <w:rFonts w:ascii="宋体" w:hAnsi="宋体" w:cs="宋体"/>
                <w:b/>
                <w:color w:val="000000"/>
                <w:szCs w:val="21"/>
              </w:rPr>
            </w:pPr>
            <w:r>
              <w:rPr>
                <w:rFonts w:hint="eastAsia" w:ascii="宋体" w:hAnsi="宋体" w:cs="宋体"/>
                <w:b/>
                <w:color w:val="000000"/>
                <w:szCs w:val="21"/>
              </w:rPr>
              <w:t>3、采用金融、担保机构出具的保函的，必须为无条件保函，否则不予签订合同。</w:t>
            </w:r>
          </w:p>
          <w:p>
            <w:pPr>
              <w:autoSpaceDE w:val="0"/>
              <w:autoSpaceDN w:val="0"/>
              <w:snapToGrid w:val="0"/>
              <w:spacing w:line="400" w:lineRule="exact"/>
              <w:textAlignment w:val="bottom"/>
              <w:rPr>
                <w:rFonts w:ascii="宋体" w:hAnsi="宋体" w:cs="宋体"/>
                <w:szCs w:val="21"/>
              </w:rPr>
            </w:pPr>
            <w:r>
              <w:rPr>
                <w:rFonts w:hint="eastAsia" w:ascii="宋体" w:hAnsi="宋体" w:cs="宋体"/>
                <w:b/>
                <w:color w:val="000000"/>
                <w:szCs w:val="21"/>
              </w:rPr>
              <w:t>4、投标人为联合体的，由联合体其中一方按规定提交的履约保证金，视为有效履约保证金。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76" w:name="_40.1"/>
            <w:bookmarkEnd w:id="76"/>
            <w:r>
              <w:rPr>
                <w:rFonts w:hint="eastAsia" w:ascii="宋体" w:hAnsi="宋体" w:cs="宋体"/>
                <w:szCs w:val="21"/>
              </w:rPr>
              <w:t>36.1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 xml:space="preserve">签订合同携带的证明材料： </w:t>
            </w:r>
          </w:p>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1、委托代理人负责签订合同的，须携带授权委托书及委托代理人身份证原件等其他资格证件。</w:t>
            </w:r>
          </w:p>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2、法定代表人负责签订合同的，须携带法定代表人身份证明原件及身份证原件等其他证明材料。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38.2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接收质疑函方式：以书面形式</w:t>
            </w:r>
          </w:p>
          <w:p>
            <w:pPr>
              <w:snapToGrid w:val="0"/>
              <w:spacing w:line="400" w:lineRule="exact"/>
              <w:rPr>
                <w:rFonts w:ascii="宋体" w:hAnsi="宋体" w:cs="宋体"/>
                <w:szCs w:val="21"/>
              </w:rPr>
            </w:pPr>
            <w:r>
              <w:rPr>
                <w:rFonts w:hint="eastAsia" w:ascii="宋体" w:hAnsi="宋体" w:cs="宋体"/>
                <w:szCs w:val="21"/>
              </w:rPr>
              <w:t>质疑联系部门及联系方式：广西建设工程机电设备招标中心有限公司，质疑联系人：陈有弟、韦吉，联系电话：0771-2869912，通讯地址：南宁市青秀区枫林路18号宏桂大厦裙楼三层办公室</w:t>
            </w:r>
          </w:p>
          <w:p>
            <w:pPr>
              <w:autoSpaceDE w:val="0"/>
              <w:autoSpaceDN w:val="0"/>
              <w:snapToGrid w:val="0"/>
              <w:spacing w:line="400" w:lineRule="exact"/>
              <w:textAlignment w:val="bottom"/>
              <w:rPr>
                <w:rFonts w:ascii="宋体" w:hAnsi="宋体" w:cs="宋体"/>
                <w:szCs w:val="21"/>
              </w:rPr>
            </w:pPr>
            <w:r>
              <w:rPr>
                <w:rFonts w:hint="eastAsia" w:ascii="宋体" w:hAnsi="宋体" w:cs="宋体"/>
              </w:rPr>
              <w:t>现场提交质疑办理业务时间：工作日，</w:t>
            </w:r>
            <w:r>
              <w:rPr>
                <w:rFonts w:hint="eastAsia" w:ascii="宋体" w:hAnsi="宋体" w:cs="宋体"/>
                <w:szCs w:val="21"/>
              </w:rPr>
              <w:t>上午8:30-12:00；下午1</w:t>
            </w:r>
            <w:r>
              <w:rPr>
                <w:rFonts w:hint="eastAsia" w:ascii="宋体" w:hAnsi="宋体" w:cs="宋体"/>
              </w:rPr>
              <w:t>5</w:t>
            </w:r>
            <w:r>
              <w:rPr>
                <w:rFonts w:hint="eastAsia" w:ascii="宋体" w:hAnsi="宋体" w:cs="宋体"/>
                <w:szCs w:val="21"/>
              </w:rPr>
              <w:t>:</w:t>
            </w:r>
            <w:r>
              <w:rPr>
                <w:rFonts w:hint="eastAsia" w:ascii="宋体" w:hAnsi="宋体" w:cs="宋体"/>
              </w:rPr>
              <w:t>00</w:t>
            </w:r>
            <w:r>
              <w:rPr>
                <w:rFonts w:hint="eastAsia" w:ascii="宋体" w:hAnsi="宋体" w:cs="宋体"/>
                <w:szCs w:val="21"/>
              </w:rPr>
              <w:t>-1</w:t>
            </w:r>
            <w:r>
              <w:rPr>
                <w:rFonts w:hint="eastAsia" w:ascii="宋体" w:hAnsi="宋体" w:cs="宋体"/>
              </w:rPr>
              <w:t>8</w:t>
            </w:r>
            <w:r>
              <w:rPr>
                <w:rFonts w:hint="eastAsia" w:ascii="宋体" w:hAnsi="宋体" w:cs="宋体"/>
                <w:szCs w:val="21"/>
              </w:rPr>
              <w:t>:</w:t>
            </w:r>
            <w:r>
              <w:rPr>
                <w:rFonts w:hint="eastAsia" w:ascii="宋体" w:hAnsi="宋体" w:cs="宋体"/>
              </w:rPr>
              <w:t>0</w:t>
            </w:r>
            <w:r>
              <w:rPr>
                <w:rFonts w:hint="eastAsia" w:ascii="宋体" w:hAnsi="宋体" w:cs="宋体"/>
                <w:szCs w:val="21"/>
              </w:rPr>
              <w:t>0（北京时间）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77" w:name="_41"/>
            <w:bookmarkEnd w:id="77"/>
            <w:bookmarkStart w:id="78" w:name="_42"/>
            <w:bookmarkEnd w:id="78"/>
            <w:bookmarkStart w:id="79" w:name="_Hlt17709148"/>
            <w:r>
              <w:rPr>
                <w:rFonts w:hint="eastAsia" w:ascii="宋体" w:hAnsi="宋体" w:cs="宋体"/>
                <w:szCs w:val="21"/>
              </w:rPr>
              <w:t>3</w:t>
            </w:r>
            <w:bookmarkEnd w:id="79"/>
            <w:r>
              <w:rPr>
                <w:rFonts w:hint="eastAsia" w:ascii="宋体" w:hAnsi="宋体" w:cs="宋体"/>
                <w:szCs w:val="21"/>
              </w:rPr>
              <w:t>9.1</w:t>
            </w:r>
          </w:p>
        </w:tc>
        <w:tc>
          <w:tcPr>
            <w:tcW w:w="8708" w:type="dxa"/>
            <w:tcBorders>
              <w:top w:val="single" w:color="auto" w:sz="4" w:space="0"/>
              <w:left w:val="single" w:color="auto" w:sz="4" w:space="0"/>
              <w:bottom w:val="single" w:color="auto" w:sz="4" w:space="0"/>
              <w:right w:val="single" w:color="auto" w:sz="4" w:space="0"/>
            </w:tcBorders>
            <w:vAlign w:val="center"/>
          </w:tcPr>
          <w:p>
            <w:pPr>
              <w:pStyle w:val="25"/>
              <w:snapToGrid w:val="0"/>
              <w:spacing w:line="400" w:lineRule="exact"/>
              <w:rPr>
                <w:rFonts w:hAnsi="宋体" w:cs="宋体"/>
                <w:sz w:val="21"/>
              </w:rPr>
            </w:pPr>
            <w:r>
              <w:rPr>
                <w:rFonts w:hint="eastAsia" w:hAnsi="宋体" w:cs="宋体"/>
                <w:sz w:val="21"/>
              </w:rPr>
              <w:t>1、是否收取采购代理费：</w:t>
            </w:r>
          </w:p>
          <w:p>
            <w:pPr>
              <w:pStyle w:val="25"/>
              <w:snapToGrid w:val="0"/>
              <w:spacing w:line="400" w:lineRule="exact"/>
              <w:rPr>
                <w:rFonts w:hAnsi="宋体" w:cs="宋体"/>
                <w:sz w:val="21"/>
              </w:rPr>
            </w:pPr>
            <w:r>
              <w:rPr>
                <w:rFonts w:hint="eastAsia" w:hAnsi="宋体" w:cs="宋体"/>
                <w:sz w:val="21"/>
              </w:rPr>
              <w:t xml:space="preserve">☑ </w:t>
            </w:r>
            <w:r>
              <w:rPr>
                <w:rFonts w:hint="eastAsia" w:hAnsi="宋体" w:cs="宋体"/>
                <w:b/>
                <w:bCs/>
                <w:sz w:val="21"/>
              </w:rPr>
              <w:t xml:space="preserve">是 </w:t>
            </w:r>
            <w:r>
              <w:rPr>
                <w:rFonts w:hint="eastAsia" w:hAnsi="宋体" w:cs="宋体"/>
                <w:sz w:val="21"/>
              </w:rPr>
              <w:t xml:space="preserve">   □ 否</w:t>
            </w:r>
          </w:p>
          <w:p>
            <w:pPr>
              <w:pStyle w:val="25"/>
              <w:snapToGrid w:val="0"/>
              <w:spacing w:line="400" w:lineRule="exact"/>
              <w:rPr>
                <w:rFonts w:hAnsi="宋体" w:cs="宋体"/>
                <w:sz w:val="21"/>
              </w:rPr>
            </w:pPr>
            <w:r>
              <w:rPr>
                <w:rFonts w:hint="eastAsia" w:hAnsi="宋体" w:cs="宋体"/>
                <w:sz w:val="21"/>
              </w:rPr>
              <w:t>2、采购代理服务费支付方式：</w:t>
            </w:r>
            <w:r>
              <w:rPr>
                <w:rFonts w:hint="eastAsia" w:hAnsi="宋体" w:cs="宋体"/>
              </w:rPr>
              <w:t>本项目的招标代理服务费按以下收费标准向中标人收取，领取中标通知书前，中标人应向采购代理机构一次付清招标代理服务费，否则采购代理机构有权不予以办理。</w:t>
            </w:r>
          </w:p>
          <w:p>
            <w:pPr>
              <w:pStyle w:val="25"/>
              <w:snapToGrid w:val="0"/>
              <w:spacing w:line="400" w:lineRule="exact"/>
              <w:rPr>
                <w:rFonts w:hAnsi="宋体" w:cs="宋体"/>
                <w:sz w:val="21"/>
              </w:rPr>
            </w:pPr>
            <w:r>
              <w:rPr>
                <w:rFonts w:hint="eastAsia" w:hAnsi="宋体" w:cs="宋体"/>
                <w:sz w:val="21"/>
              </w:rPr>
              <w:t>3、采购代理服务费收取标准：</w:t>
            </w:r>
          </w:p>
          <w:p>
            <w:pPr>
              <w:pStyle w:val="25"/>
              <w:snapToGrid w:val="0"/>
              <w:spacing w:line="400" w:lineRule="exact"/>
              <w:rPr>
                <w:rFonts w:hAnsi="宋体" w:cs="宋体"/>
                <w:sz w:val="21"/>
              </w:rPr>
            </w:pPr>
            <w:r>
              <w:rPr>
                <w:rFonts w:hint="eastAsia" w:hAnsi="宋体" w:cs="宋体"/>
                <w:b/>
                <w:bCs/>
                <w:sz w:val="21"/>
              </w:rPr>
              <w:t>●以分标</w:t>
            </w:r>
            <w:r>
              <w:rPr>
                <w:rFonts w:hint="eastAsia" w:hAnsi="宋体" w:cs="宋体"/>
                <w:sz w:val="21"/>
              </w:rPr>
              <w:t>（</w:t>
            </w:r>
            <w:r>
              <w:rPr>
                <w:rFonts w:hint="eastAsia" w:hAnsi="宋体" w:cs="宋体"/>
                <w:b/>
                <w:bCs/>
                <w:sz w:val="21"/>
              </w:rPr>
              <w:t>●中标金额</w:t>
            </w:r>
            <w:r>
              <w:rPr>
                <w:rFonts w:hint="eastAsia" w:hAnsi="宋体" w:cs="宋体"/>
                <w:sz w:val="21"/>
              </w:rPr>
              <w:t>/</w:t>
            </w:r>
            <w:r>
              <w:rPr>
                <w:rFonts w:hint="eastAsia" w:hAnsi="宋体" w:cs="宋体"/>
                <w:sz w:val="21"/>
              </w:rPr>
              <w:sym w:font="Wingdings 2" w:char="00A3"/>
            </w:r>
            <w:r>
              <w:rPr>
                <w:rFonts w:hint="eastAsia" w:hAnsi="宋体" w:cs="宋体"/>
                <w:sz w:val="21"/>
              </w:rPr>
              <w:t>采购预算/）为计费额，按本须知正文第39.2条规定的收费计算标准（</w:t>
            </w:r>
            <w:r>
              <w:rPr>
                <w:rFonts w:hint="eastAsia" w:hAnsi="宋体" w:cs="宋体"/>
                <w:sz w:val="21"/>
              </w:rPr>
              <w:sym w:font="Wingdings 2" w:char="00A3"/>
            </w:r>
            <w:r>
              <w:rPr>
                <w:rFonts w:hint="eastAsia" w:hAnsi="宋体" w:cs="宋体"/>
                <w:sz w:val="21"/>
              </w:rPr>
              <w:t>货物招标/●服务招标/</w:t>
            </w:r>
            <w:r>
              <w:rPr>
                <w:rFonts w:hint="eastAsia" w:hAnsi="宋体" w:cs="宋体"/>
                <w:sz w:val="21"/>
              </w:rPr>
              <w:sym w:font="Wingdings 2" w:char="00A3"/>
            </w:r>
            <w:r>
              <w:rPr>
                <w:rFonts w:hint="eastAsia" w:hAnsi="宋体" w:cs="宋体"/>
                <w:sz w:val="21"/>
              </w:rPr>
              <w:t>工程招标）采用差额定率累进法计算出收费基准价格，采购代理服务费收费以（</w:t>
            </w:r>
            <w:r>
              <w:rPr>
                <w:rFonts w:hint="eastAsia" w:hAnsi="宋体" w:cs="宋体"/>
                <w:sz w:val="21"/>
              </w:rPr>
              <w:sym w:font="Wingdings 2" w:char="00A3"/>
            </w:r>
            <w:r>
              <w:rPr>
                <w:rFonts w:hint="eastAsia" w:hAnsi="宋体" w:cs="宋体"/>
                <w:sz w:val="21"/>
              </w:rPr>
              <w:t>收费基准价格/</w:t>
            </w:r>
            <w:r>
              <w:rPr>
                <w:rFonts w:hint="eastAsia" w:hAnsi="宋体" w:cs="宋体"/>
                <w:b/>
                <w:bCs/>
                <w:sz w:val="21"/>
              </w:rPr>
              <w:t>●收费基准价格下浮</w:t>
            </w:r>
            <w:r>
              <w:rPr>
                <w:rFonts w:hint="eastAsia" w:hAnsi="宋体" w:cs="宋体"/>
                <w:b/>
                <w:bCs/>
                <w:sz w:val="21"/>
                <w:u w:val="single"/>
              </w:rPr>
              <w:t>30%</w:t>
            </w:r>
            <w:r>
              <w:rPr>
                <w:rFonts w:hint="eastAsia" w:hAnsi="宋体" w:cs="宋体"/>
                <w:sz w:val="21"/>
              </w:rPr>
              <w:t>/</w:t>
            </w:r>
            <w:r>
              <w:rPr>
                <w:rFonts w:hint="eastAsia" w:hAnsi="宋体" w:cs="宋体"/>
                <w:sz w:val="21"/>
              </w:rPr>
              <w:sym w:font="Wingdings 2" w:char="00A3"/>
            </w:r>
            <w:r>
              <w:rPr>
                <w:rFonts w:hint="eastAsia" w:hAnsi="宋体" w:cs="宋体"/>
                <w:sz w:val="21"/>
              </w:rPr>
              <w:t>收费基准价格上浮</w:t>
            </w:r>
            <w:r>
              <w:rPr>
                <w:rFonts w:hint="eastAsia" w:hAnsi="宋体" w:cs="宋体"/>
                <w:sz w:val="21"/>
                <w:u w:val="single"/>
              </w:rPr>
              <w:t xml:space="preserve">   %</w:t>
            </w:r>
            <w:r>
              <w:rPr>
                <w:rFonts w:hint="eastAsia" w:hAnsi="宋体" w:cs="宋体"/>
                <w:sz w:val="21"/>
              </w:rPr>
              <w:t>）收取。</w:t>
            </w:r>
          </w:p>
          <w:p>
            <w:pPr>
              <w:pStyle w:val="25"/>
              <w:snapToGrid w:val="0"/>
              <w:spacing w:line="400" w:lineRule="exact"/>
              <w:rPr>
                <w:rFonts w:hAnsi="宋体" w:cs="宋体"/>
                <w:sz w:val="21"/>
                <w:u w:val="single"/>
              </w:rPr>
            </w:pPr>
            <w:r>
              <w:rPr>
                <w:rFonts w:hint="eastAsia" w:hAnsi="宋体" w:cs="宋体"/>
                <w:sz w:val="21"/>
              </w:rPr>
              <w:t>固定采购代理收费</w:t>
            </w:r>
            <w:r>
              <w:rPr>
                <w:rFonts w:hint="eastAsia" w:hAnsi="宋体" w:cs="宋体"/>
                <w:sz w:val="21"/>
                <w:u w:val="single"/>
              </w:rPr>
              <w:t xml:space="preserve">     。</w:t>
            </w:r>
          </w:p>
          <w:p>
            <w:pPr>
              <w:pStyle w:val="25"/>
              <w:snapToGrid w:val="0"/>
              <w:spacing w:line="400" w:lineRule="exact"/>
              <w:rPr>
                <w:rFonts w:hAnsi="宋体" w:cs="宋体"/>
                <w:sz w:val="21"/>
              </w:rPr>
            </w:pPr>
            <w:r>
              <w:rPr>
                <w:rFonts w:hint="eastAsia" w:hAnsi="宋体" w:cs="宋体"/>
                <w:sz w:val="21"/>
              </w:rPr>
              <w:t>4、采购代理费收取银行账户</w:t>
            </w:r>
          </w:p>
          <w:p>
            <w:pPr>
              <w:pStyle w:val="25"/>
              <w:snapToGrid w:val="0"/>
              <w:spacing w:line="400" w:lineRule="exact"/>
              <w:rPr>
                <w:rFonts w:hAnsi="宋体" w:cs="宋体"/>
                <w:sz w:val="21"/>
              </w:rPr>
            </w:pPr>
            <w:r>
              <w:rPr>
                <w:rFonts w:hint="eastAsia" w:hAnsi="宋体" w:cs="宋体"/>
                <w:sz w:val="21"/>
              </w:rPr>
              <w:t>账户名称：广西建设工程机电设备招标中心有限公司</w:t>
            </w:r>
          </w:p>
          <w:p>
            <w:pPr>
              <w:pStyle w:val="25"/>
              <w:snapToGrid w:val="0"/>
              <w:spacing w:line="400" w:lineRule="exact"/>
              <w:rPr>
                <w:rFonts w:hAnsi="宋体" w:cs="宋体"/>
                <w:sz w:val="21"/>
              </w:rPr>
            </w:pPr>
            <w:r>
              <w:rPr>
                <w:rFonts w:hint="eastAsia" w:hAnsi="宋体" w:cs="宋体"/>
                <w:sz w:val="21"/>
              </w:rPr>
              <w:t>开户银行：招商银行南宁分行营业部</w:t>
            </w:r>
          </w:p>
          <w:p>
            <w:pPr>
              <w:pStyle w:val="25"/>
              <w:snapToGrid w:val="0"/>
              <w:spacing w:line="400" w:lineRule="exact"/>
              <w:rPr>
                <w:rFonts w:hAnsi="宋体" w:cs="宋体"/>
                <w:sz w:val="21"/>
              </w:rPr>
            </w:pPr>
            <w:r>
              <w:rPr>
                <w:rFonts w:hint="eastAsia" w:hAnsi="宋体" w:cs="宋体"/>
                <w:sz w:val="21"/>
              </w:rPr>
              <w:t>银行账号：7719 0142 3310 201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40.1</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40.2</w:t>
            </w:r>
          </w:p>
        </w:tc>
        <w:tc>
          <w:tcPr>
            <w:tcW w:w="8708" w:type="dxa"/>
            <w:tcBorders>
              <w:top w:val="single" w:color="auto" w:sz="4" w:space="0"/>
              <w:left w:val="single" w:color="auto" w:sz="4" w:space="0"/>
              <w:bottom w:val="single" w:color="auto" w:sz="4" w:space="0"/>
              <w:right w:val="single" w:color="auto" w:sz="4" w:space="0"/>
            </w:tcBorders>
            <w:vAlign w:val="center"/>
          </w:tcPr>
          <w:p>
            <w:pPr>
              <w:pStyle w:val="25"/>
              <w:snapToGrid w:val="0"/>
              <w:spacing w:line="400" w:lineRule="exact"/>
              <w:rPr>
                <w:rFonts w:hAnsi="宋体" w:cs="宋体"/>
                <w:bCs/>
                <w:sz w:val="21"/>
              </w:rPr>
            </w:pPr>
            <w:r>
              <w:rPr>
                <w:rFonts w:hint="eastAsia" w:hAnsi="宋体" w:cs="宋体"/>
                <w:bCs/>
                <w:sz w:val="21"/>
              </w:rPr>
              <w:t>1、本招标文件中描述投标人的“公章”是指根据我国对公章的管理规定，用投标人法定主体行为名称制作的印章</w:t>
            </w:r>
            <w:r>
              <w:rPr>
                <w:rFonts w:hint="eastAsia" w:hAnsi="宋体" w:cs="宋体"/>
                <w:sz w:val="21"/>
              </w:rPr>
              <w:t>（含电子印章）</w:t>
            </w:r>
            <w:r>
              <w:rPr>
                <w:rFonts w:hint="eastAsia" w:hAnsi="宋体" w:cs="宋体"/>
                <w:bCs/>
                <w:sz w:val="21"/>
              </w:rPr>
              <w:t>，除本招标文件有特殊规定外，投标人的财务章、部门章、分公司章、工会章、合同章、投标专用章、业务专用章及银行的转账章、现金收讫章、现金付讫章等其他形式印章均不能代替公章。</w:t>
            </w:r>
          </w:p>
          <w:p>
            <w:pPr>
              <w:pStyle w:val="25"/>
              <w:snapToGrid w:val="0"/>
              <w:spacing w:line="400" w:lineRule="exact"/>
              <w:rPr>
                <w:rFonts w:hAnsi="宋体" w:cs="宋体"/>
                <w:bCs/>
                <w:sz w:val="21"/>
              </w:rPr>
            </w:pPr>
            <w:r>
              <w:rPr>
                <w:rFonts w:hint="eastAsia" w:hAnsi="宋体" w:cs="宋体"/>
                <w:bCs/>
                <w:sz w:val="21"/>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25"/>
              <w:snapToGrid w:val="0"/>
              <w:spacing w:line="400" w:lineRule="exact"/>
              <w:rPr>
                <w:rFonts w:hAnsi="宋体" w:cs="宋体"/>
                <w:bCs/>
                <w:sz w:val="21"/>
              </w:rPr>
            </w:pPr>
            <w:r>
              <w:rPr>
                <w:rFonts w:hint="eastAsia" w:hAnsi="宋体" w:cs="宋体"/>
                <w:bCs/>
                <w:sz w:val="21"/>
              </w:rPr>
              <w:t>3、本招标文件中描述投标人的“签字”是指投标人的法定代表人或者委托代理人</w:t>
            </w:r>
            <w:r>
              <w:rPr>
                <w:rFonts w:hint="eastAsia" w:hAnsi="宋体" w:cs="宋体"/>
                <w:sz w:val="21"/>
              </w:rPr>
              <w:t>在文件规定签署处签名（含电子签名）的行为，私章、印鉴等其他形式均不能代替签字</w:t>
            </w:r>
            <w:r>
              <w:rPr>
                <w:rFonts w:hint="eastAsia" w:hAnsi="宋体" w:cs="宋体"/>
                <w:bCs/>
                <w:sz w:val="21"/>
              </w:rPr>
              <w:t>。</w:t>
            </w:r>
          </w:p>
          <w:p>
            <w:pPr>
              <w:pStyle w:val="25"/>
              <w:snapToGrid w:val="0"/>
              <w:spacing w:line="400" w:lineRule="exact"/>
              <w:rPr>
                <w:rFonts w:hAnsi="宋体" w:cs="宋体"/>
                <w:bCs/>
                <w:sz w:val="21"/>
              </w:rPr>
            </w:pPr>
            <w:r>
              <w:rPr>
                <w:rFonts w:hint="eastAsia" w:hAnsi="宋体" w:cs="宋体"/>
                <w:bCs/>
                <w:sz w:val="21"/>
              </w:rPr>
              <w:t>4、自然人投标的，招标文件规定盖公章处由自然人摁手指指印。</w:t>
            </w:r>
          </w:p>
          <w:p>
            <w:pPr>
              <w:spacing w:line="400" w:lineRule="exact"/>
              <w:jc w:val="left"/>
              <w:rPr>
                <w:rFonts w:ascii="宋体" w:hAnsi="宋体" w:cs="宋体"/>
                <w:szCs w:val="21"/>
              </w:rPr>
            </w:pPr>
            <w:r>
              <w:rPr>
                <w:rFonts w:hint="eastAsia" w:ascii="宋体" w:hAnsi="宋体" w:cs="宋体"/>
                <w:bCs/>
                <w:szCs w:val="21"/>
              </w:rPr>
              <w:t>5、本招标文件所称的“以上”“以下”“以内”“届满”，包括本数；所称的“不满”“超过”“以外”，不包括本数。</w:t>
            </w:r>
          </w:p>
        </w:tc>
      </w:tr>
    </w:tbl>
    <w:p>
      <w:pPr>
        <w:snapToGrid w:val="0"/>
        <w:rPr>
          <w:rFonts w:ascii="宋体" w:hAnsi="宋体" w:cs="宋体"/>
          <w:sz w:val="24"/>
          <w:szCs w:val="20"/>
        </w:rPr>
      </w:pPr>
    </w:p>
    <w:p>
      <w:pPr>
        <w:snapToGrid w:val="0"/>
        <w:rPr>
          <w:rFonts w:ascii="宋体" w:hAnsi="宋体" w:cs="宋体"/>
          <w:sz w:val="24"/>
          <w:szCs w:val="20"/>
        </w:rPr>
      </w:pPr>
    </w:p>
    <w:p>
      <w:pPr>
        <w:pStyle w:val="4"/>
        <w:keepNext w:val="0"/>
        <w:keepLines w:val="0"/>
        <w:jc w:val="center"/>
        <w:rPr>
          <w:rFonts w:ascii="宋体" w:hAnsi="宋体" w:cs="宋体"/>
        </w:rPr>
      </w:pPr>
      <w:r>
        <w:rPr>
          <w:rFonts w:hint="eastAsia" w:ascii="宋体" w:hAnsi="宋体" w:cs="宋体"/>
        </w:rPr>
        <w:br w:type="page"/>
      </w:r>
      <w:r>
        <w:rPr>
          <w:rFonts w:hint="eastAsia" w:ascii="宋体" w:hAnsi="宋体" w:cs="宋体"/>
        </w:rPr>
        <w:t>投标人须知正文</w:t>
      </w:r>
    </w:p>
    <w:p>
      <w:pPr>
        <w:pStyle w:val="4"/>
        <w:keepNext w:val="0"/>
        <w:keepLines w:val="0"/>
        <w:jc w:val="center"/>
        <w:rPr>
          <w:rFonts w:ascii="宋体" w:hAnsi="宋体" w:cs="宋体"/>
        </w:rPr>
      </w:pPr>
      <w:r>
        <w:rPr>
          <w:rFonts w:hint="eastAsia" w:ascii="宋体" w:hAnsi="宋体" w:cs="宋体"/>
        </w:rPr>
        <w:t>一、总  则</w:t>
      </w:r>
    </w:p>
    <w:p>
      <w:pPr>
        <w:pStyle w:val="6"/>
        <w:keepNext w:val="0"/>
        <w:keepLines w:val="0"/>
        <w:spacing w:before="0" w:after="0" w:line="360" w:lineRule="auto"/>
        <w:ind w:left="420" w:leftChars="200"/>
        <w:rPr>
          <w:rFonts w:ascii="宋体" w:hAnsi="宋体" w:cs="宋体"/>
          <w:sz w:val="24"/>
        </w:rPr>
      </w:pPr>
      <w:bookmarkStart w:id="80" w:name="_Toc254970527"/>
      <w:bookmarkStart w:id="81" w:name="_Toc254970668"/>
      <w:r>
        <w:rPr>
          <w:rFonts w:hint="eastAsia" w:ascii="宋体" w:hAnsi="宋体" w:cs="宋体"/>
          <w:sz w:val="24"/>
        </w:rPr>
        <w:t>1.适用范围</w:t>
      </w:r>
      <w:bookmarkEnd w:id="80"/>
      <w:bookmarkEnd w:id="81"/>
    </w:p>
    <w:p>
      <w:pPr>
        <w:snapToGrid w:val="0"/>
        <w:spacing w:line="360" w:lineRule="auto"/>
        <w:ind w:firstLine="420" w:firstLineChars="200"/>
        <w:jc w:val="left"/>
        <w:rPr>
          <w:rFonts w:ascii="宋体" w:hAnsi="宋体" w:cs="宋体"/>
          <w:szCs w:val="21"/>
        </w:rPr>
      </w:pPr>
      <w:r>
        <w:rPr>
          <w:rFonts w:hint="eastAsia" w:ascii="宋体" w:hAnsi="宋体" w:cs="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ascii="宋体" w:hAnsi="宋体" w:cs="宋体"/>
          <w:szCs w:val="21"/>
        </w:rPr>
      </w:pPr>
      <w:r>
        <w:rPr>
          <w:rFonts w:hint="eastAsia" w:ascii="宋体" w:hAnsi="宋体" w:cs="宋体"/>
          <w:szCs w:val="21"/>
        </w:rPr>
        <w:t>1.2本招标文件</w:t>
      </w:r>
      <w:r>
        <w:rPr>
          <w:rFonts w:hint="eastAsia" w:ascii="宋体" w:hAnsi="宋体" w:cs="宋体"/>
          <w:spacing w:val="-6"/>
          <w:szCs w:val="21"/>
        </w:rPr>
        <w:t>适用于本项目的所有采购程序和环节（法律、法规另有规定的，从其规定）。</w:t>
      </w:r>
    </w:p>
    <w:p>
      <w:pPr>
        <w:pStyle w:val="6"/>
        <w:keepNext w:val="0"/>
        <w:keepLines w:val="0"/>
        <w:spacing w:before="0" w:after="0" w:line="360" w:lineRule="auto"/>
        <w:ind w:left="420" w:leftChars="200"/>
        <w:rPr>
          <w:rFonts w:ascii="宋体" w:hAnsi="宋体" w:cs="宋体"/>
          <w:sz w:val="24"/>
        </w:rPr>
      </w:pPr>
      <w:bookmarkStart w:id="82" w:name="_Toc254970528"/>
      <w:bookmarkStart w:id="83" w:name="_Toc254970669"/>
      <w:r>
        <w:rPr>
          <w:rFonts w:hint="eastAsia" w:ascii="宋体" w:hAnsi="宋体" w:cs="宋体"/>
          <w:sz w:val="24"/>
        </w:rPr>
        <w:t>2.定义</w:t>
      </w:r>
      <w:bookmarkEnd w:id="82"/>
      <w:bookmarkEnd w:id="83"/>
    </w:p>
    <w:p>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2.1“采购人”是指依法进行政府采购的国家机关、事业单位、团体组织。</w:t>
      </w:r>
    </w:p>
    <w:p>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2.2“采购代理机构”是指政府采购集中采购机构和集中采购机构以外的采购代理机构。</w:t>
      </w:r>
    </w:p>
    <w:p>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2.3“供应商”是指向采购人提供货物、工程或者服务的法人、其他组织或者自然人。</w:t>
      </w:r>
    </w:p>
    <w:p>
      <w:pPr>
        <w:pStyle w:val="7"/>
        <w:spacing w:line="360" w:lineRule="auto"/>
        <w:rPr>
          <w:rFonts w:ascii="宋体" w:hAnsi="宋体" w:cs="宋体"/>
          <w:szCs w:val="21"/>
        </w:rPr>
      </w:pPr>
      <w:r>
        <w:rPr>
          <w:rFonts w:hint="eastAsia" w:ascii="宋体" w:hAnsi="宋体" w:cs="宋体"/>
          <w:szCs w:val="21"/>
        </w:rPr>
        <w:t>2.4“投标人”是指响应招标、参加投标竞争的法人、其他组织或者自然人。</w:t>
      </w:r>
    </w:p>
    <w:p>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2.5“货物”是指各种形态和种类的物品，包括原材料、燃料、设备、产品等。</w:t>
      </w:r>
    </w:p>
    <w:p>
      <w:pPr>
        <w:pStyle w:val="7"/>
        <w:spacing w:line="360" w:lineRule="auto"/>
        <w:rPr>
          <w:rFonts w:ascii="宋体" w:hAnsi="宋体" w:cs="宋体"/>
          <w:szCs w:val="21"/>
        </w:rPr>
      </w:pPr>
      <w:r>
        <w:rPr>
          <w:rFonts w:hint="eastAsia" w:ascii="宋体" w:hAnsi="宋体" w:cs="宋体"/>
          <w:szCs w:val="21"/>
        </w:rPr>
        <w:t>2.6“服务”是指除货物和工程以外的其他政府采购对象。</w:t>
      </w:r>
    </w:p>
    <w:p>
      <w:pPr>
        <w:pStyle w:val="7"/>
        <w:spacing w:line="360" w:lineRule="auto"/>
        <w:rPr>
          <w:rFonts w:ascii="宋体" w:hAnsi="宋体" w:cs="宋体"/>
          <w:szCs w:val="21"/>
        </w:rPr>
      </w:pPr>
      <w:r>
        <w:rPr>
          <w:rFonts w:hint="eastAsia" w:ascii="宋体" w:hAnsi="宋体" w:cs="宋体"/>
          <w:szCs w:val="21"/>
        </w:rPr>
        <w:t>2.7“售后服务” 是指商品出售以后所提供的各种服务，包含但不限于投标人须承担的备品备件、包装、运输、装卸、保险、货到就位以及安装、调试、培训、保修以及其他各种服务。</w:t>
      </w:r>
    </w:p>
    <w:p>
      <w:pPr>
        <w:pStyle w:val="7"/>
        <w:spacing w:line="360" w:lineRule="auto"/>
        <w:rPr>
          <w:rFonts w:ascii="宋体" w:hAnsi="宋体" w:cs="宋体"/>
          <w:szCs w:val="21"/>
        </w:rPr>
      </w:pPr>
      <w:r>
        <w:rPr>
          <w:rFonts w:hint="eastAsia" w:ascii="宋体" w:hAnsi="宋体" w:cs="宋体"/>
          <w:szCs w:val="21"/>
        </w:rPr>
        <w:t>2.8“书面形式”是指合同书、信件和数据电文（包括电报、电传、传真、电子数据交换和电子邮件）等可以有形地表现所载内容的形式。</w:t>
      </w:r>
    </w:p>
    <w:p>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2.9“实质性要求”是指招标文件中已经指明不满足则投标无效的条款，或者不能负偏离的条款，或者采购需求中带“▲”的条款。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szCs w:val="21"/>
        </w:rPr>
      </w:pPr>
      <w:r>
        <w:rPr>
          <w:rFonts w:hint="eastAsia" w:ascii="宋体" w:hAnsi="宋体" w:cs="宋体"/>
          <w:szCs w:val="21"/>
        </w:rPr>
        <w:t>2.10 “正偏离”，是指投标文件对招标文件“采购需求”中有关条款作出的响应优于条款要求并有利于采购人的情形。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szCs w:val="21"/>
        </w:rPr>
      </w:pPr>
      <w:r>
        <w:rPr>
          <w:rFonts w:hint="eastAsia" w:ascii="宋体" w:hAnsi="宋体" w:cs="宋体"/>
          <w:szCs w:val="21"/>
        </w:rPr>
        <w:t>2.11“负偏离”，是指投标文件对招标文件“采购需求”中有关条款作出的响应不满足条款要求，导致采购人要求不能得到满足的情形。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szCs w:val="21"/>
        </w:rPr>
      </w:pPr>
      <w:r>
        <w:rPr>
          <w:rFonts w:hint="eastAsia" w:ascii="宋体" w:hAnsi="宋体" w:cs="宋体"/>
          <w:szCs w:val="21"/>
        </w:rPr>
        <w:t>2.12“允许负偏离的条款”是指采购需求中的不属于“实质性要求”的条款。</w:t>
      </w:r>
      <w:bookmarkStart w:id="84" w:name="_Toc254970670"/>
      <w:bookmarkStart w:id="85" w:name="_Toc254970529"/>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3.</w:t>
      </w:r>
      <w:bookmarkEnd w:id="84"/>
      <w:bookmarkEnd w:id="85"/>
      <w:r>
        <w:rPr>
          <w:rFonts w:hint="eastAsia" w:ascii="宋体" w:hAnsi="宋体" w:cs="宋体"/>
          <w:sz w:val="24"/>
        </w:rPr>
        <w:t>投标人的资格要求</w:t>
      </w:r>
    </w:p>
    <w:p>
      <w:pPr>
        <w:snapToGrid w:val="0"/>
        <w:spacing w:line="360" w:lineRule="auto"/>
        <w:ind w:firstLine="420" w:firstLineChars="200"/>
        <w:jc w:val="left"/>
        <w:rPr>
          <w:rFonts w:ascii="宋体" w:hAnsi="宋体" w:cs="宋体"/>
          <w:szCs w:val="21"/>
        </w:rPr>
      </w:pPr>
      <w:r>
        <w:rPr>
          <w:rFonts w:hint="eastAsia" w:ascii="宋体" w:hAnsi="宋体" w:cs="宋体"/>
          <w:szCs w:val="21"/>
        </w:rPr>
        <w:t>投标人的资格要求详见“投标人须知前附表”。</w:t>
      </w:r>
    </w:p>
    <w:p>
      <w:pPr>
        <w:pStyle w:val="6"/>
        <w:keepNext w:val="0"/>
        <w:keepLines w:val="0"/>
        <w:spacing w:before="0" w:after="0" w:line="360" w:lineRule="auto"/>
        <w:ind w:left="420" w:leftChars="200"/>
        <w:rPr>
          <w:rFonts w:ascii="宋体" w:hAnsi="宋体" w:cs="宋体"/>
          <w:sz w:val="24"/>
        </w:rPr>
      </w:pPr>
      <w:bookmarkStart w:id="86" w:name="_Toc254970530"/>
      <w:bookmarkStart w:id="87" w:name="_Toc254970671"/>
      <w:r>
        <w:rPr>
          <w:rFonts w:hint="eastAsia" w:ascii="宋体" w:hAnsi="宋体" w:cs="宋体"/>
          <w:sz w:val="24"/>
        </w:rPr>
        <w:t>4.投标委托</w:t>
      </w:r>
      <w:bookmarkEnd w:id="86"/>
      <w:bookmarkEnd w:id="87"/>
    </w:p>
    <w:p>
      <w:pPr>
        <w:snapToGrid w:val="0"/>
        <w:spacing w:line="360" w:lineRule="auto"/>
        <w:ind w:firstLine="420" w:firstLineChars="200"/>
        <w:jc w:val="left"/>
        <w:rPr>
          <w:rFonts w:ascii="宋体" w:hAnsi="宋体" w:cs="宋体"/>
          <w:szCs w:val="21"/>
        </w:rPr>
      </w:pPr>
      <w:r>
        <w:rPr>
          <w:rFonts w:hint="eastAsia" w:ascii="宋体" w:hAnsi="宋体" w:cs="宋体"/>
          <w:szCs w:val="21"/>
        </w:rPr>
        <w:t>投标人代表参加投标活动过程中必须携带个人有效身份证件。如投标人代表不是法定代表人，须持有授权委托书（按第六章要求格式填写）。</w:t>
      </w:r>
    </w:p>
    <w:p>
      <w:pPr>
        <w:pStyle w:val="6"/>
        <w:keepNext w:val="0"/>
        <w:keepLines w:val="0"/>
        <w:spacing w:before="0" w:after="0" w:line="360" w:lineRule="auto"/>
        <w:ind w:left="420" w:leftChars="200"/>
        <w:rPr>
          <w:rFonts w:ascii="宋体" w:hAnsi="宋体" w:cs="宋体"/>
          <w:sz w:val="24"/>
        </w:rPr>
      </w:pPr>
      <w:bookmarkStart w:id="88" w:name="_5.投标费用"/>
      <w:bookmarkEnd w:id="88"/>
      <w:bookmarkStart w:id="89" w:name="_Toc254970531"/>
      <w:bookmarkStart w:id="90" w:name="_Toc254970672"/>
      <w:r>
        <w:rPr>
          <w:rFonts w:hint="eastAsia" w:ascii="宋体" w:hAnsi="宋体" w:cs="宋体"/>
          <w:sz w:val="24"/>
        </w:rPr>
        <w:t>5.投标费用</w:t>
      </w:r>
      <w:bookmarkEnd w:id="89"/>
      <w:bookmarkEnd w:id="90"/>
    </w:p>
    <w:p>
      <w:pPr>
        <w:snapToGrid w:val="0"/>
        <w:spacing w:line="360" w:lineRule="auto"/>
        <w:ind w:firstLine="420" w:firstLineChars="200"/>
        <w:jc w:val="left"/>
        <w:rPr>
          <w:rFonts w:ascii="宋体" w:hAnsi="宋体" w:cs="宋体"/>
          <w:szCs w:val="21"/>
        </w:rPr>
      </w:pPr>
      <w:r>
        <w:rPr>
          <w:rFonts w:hint="eastAsia" w:ascii="宋体" w:hAnsi="宋体" w:cs="宋体"/>
          <w:szCs w:val="21"/>
        </w:rPr>
        <w:t>投标费用：投标人应承担参与本次采购活动有关的所有费用，包括但不限于获取招标文件、勘查现场、编制和提交投标文件、参加澄清说明、签订合同等，不论投标结果如何，均应自行承担。</w:t>
      </w:r>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6.联合体投标</w:t>
      </w:r>
    </w:p>
    <w:p>
      <w:pPr>
        <w:snapToGrid w:val="0"/>
        <w:spacing w:line="360" w:lineRule="auto"/>
        <w:ind w:firstLine="420" w:firstLineChars="200"/>
        <w:jc w:val="left"/>
        <w:rPr>
          <w:rFonts w:ascii="宋体" w:hAnsi="宋体" w:cs="宋体"/>
          <w:szCs w:val="21"/>
        </w:rPr>
      </w:pPr>
      <w:r>
        <w:rPr>
          <w:rFonts w:hint="eastAsia" w:ascii="宋体" w:hAnsi="宋体" w:cs="宋体"/>
          <w:szCs w:val="21"/>
        </w:rPr>
        <w:t>6.1本项目是否接受联合体投标，详见“投标人须知前附表”。</w:t>
      </w:r>
    </w:p>
    <w:p>
      <w:pPr>
        <w:snapToGrid w:val="0"/>
        <w:spacing w:line="360" w:lineRule="auto"/>
        <w:ind w:firstLine="420" w:firstLineChars="200"/>
        <w:jc w:val="left"/>
        <w:rPr>
          <w:rFonts w:ascii="宋体" w:hAnsi="宋体" w:cs="宋体"/>
          <w:bCs/>
          <w:szCs w:val="21"/>
        </w:rPr>
      </w:pPr>
      <w:r>
        <w:rPr>
          <w:rFonts w:hint="eastAsia" w:ascii="宋体" w:hAnsi="宋体" w:cs="宋体"/>
          <w:bCs/>
          <w:szCs w:val="21"/>
        </w:rPr>
        <w:t>6.2如接受联合体投标，联合体投标要求详见“投标人须知前附表”。</w:t>
      </w:r>
    </w:p>
    <w:p>
      <w:pPr>
        <w:pStyle w:val="6"/>
        <w:keepNext w:val="0"/>
        <w:keepLines w:val="0"/>
        <w:spacing w:before="0" w:after="0" w:line="360" w:lineRule="auto"/>
        <w:ind w:firstLine="424" w:firstLineChars="202"/>
        <w:rPr>
          <w:rFonts w:ascii="宋体" w:hAnsi="宋体" w:cs="宋体"/>
          <w:sz w:val="24"/>
        </w:rPr>
      </w:pPr>
      <w:r>
        <w:rPr>
          <w:rFonts w:hint="eastAsia" w:ascii="宋体" w:hAnsi="宋体" w:cs="宋体"/>
          <w:b w:val="0"/>
          <w:bCs/>
          <w:sz w:val="21"/>
          <w:szCs w:val="21"/>
        </w:rPr>
        <w:t xml:space="preserve">6.3 </w:t>
      </w:r>
      <w:bookmarkStart w:id="91" w:name="_Hlk65857072"/>
      <w:r>
        <w:rPr>
          <w:rFonts w:hint="eastAsia" w:ascii="宋体" w:hAnsi="宋体" w:cs="宋体"/>
          <w:b w:val="0"/>
          <w:bCs/>
          <w:sz w:val="21"/>
          <w:szCs w:val="21"/>
        </w:rPr>
        <w:t>根据《政府采购促进中小企业发展管理办法》（财库〔2020〕46号）第九条第二款的和桂财采〔2022〕30号 广西壮族自治区财政厅关于进一步发挥政府采购政策功能促进企业发展的通知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w:t>
      </w:r>
      <w:bookmarkEnd w:id="91"/>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 xml:space="preserve">7.转包与分包             </w:t>
      </w:r>
    </w:p>
    <w:p>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7.1本项目不允许转包。</w:t>
      </w:r>
    </w:p>
    <w:p>
      <w:pPr>
        <w:pStyle w:val="6"/>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6"/>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6"/>
        <w:keepNext w:val="0"/>
        <w:keepLines w:val="0"/>
        <w:spacing w:before="0" w:after="0" w:line="360" w:lineRule="auto"/>
        <w:ind w:left="420" w:leftChars="200"/>
        <w:rPr>
          <w:rFonts w:ascii="宋体" w:hAnsi="宋体" w:cs="宋体"/>
          <w:sz w:val="24"/>
        </w:rPr>
      </w:pPr>
      <w:bookmarkStart w:id="92" w:name="_Toc254970532"/>
      <w:bookmarkStart w:id="93" w:name="_Toc254970673"/>
      <w:r>
        <w:rPr>
          <w:rFonts w:hint="eastAsia" w:ascii="宋体" w:hAnsi="宋体" w:cs="宋体"/>
          <w:sz w:val="24"/>
        </w:rPr>
        <w:t>8.特别说明</w:t>
      </w:r>
      <w:bookmarkEnd w:id="92"/>
      <w:bookmarkEnd w:id="93"/>
    </w:p>
    <w:p>
      <w:pPr>
        <w:pStyle w:val="6"/>
        <w:keepNext w:val="0"/>
        <w:keepLines w:val="0"/>
        <w:spacing w:before="0" w:after="0" w:line="360" w:lineRule="auto"/>
        <w:ind w:firstLine="367" w:firstLineChars="175"/>
        <w:rPr>
          <w:rFonts w:ascii="宋体" w:hAnsi="宋体" w:cs="宋体"/>
          <w:b w:val="0"/>
          <w:sz w:val="21"/>
          <w:szCs w:val="21"/>
        </w:rPr>
      </w:pPr>
      <w:bookmarkStart w:id="94" w:name="_8.1提供相同品牌产品且通过资格审查、符合性审查的不同投标人参加同一合"/>
      <w:bookmarkEnd w:id="94"/>
      <w:r>
        <w:rPr>
          <w:rFonts w:hint="eastAsia" w:ascii="宋体" w:hAnsi="宋体" w:cs="宋体"/>
          <w:b w:val="0"/>
          <w:sz w:val="21"/>
          <w:szCs w:val="21"/>
        </w:rPr>
        <w:t xml:space="preserve"> 8.1如果本招标文件要求提供投标人或制造商的资格、信誉、荣誉、业绩与企业认证等材料的，资格、信誉、荣誉、业绩与企业认证等必须为投标人或者制造商所拥有或自身获得 。</w:t>
      </w:r>
    </w:p>
    <w:p>
      <w:pPr>
        <w:pStyle w:val="6"/>
        <w:keepNext w:val="0"/>
        <w:keepLines w:val="0"/>
        <w:spacing w:before="0" w:after="0" w:line="360" w:lineRule="auto"/>
        <w:ind w:firstLine="367" w:firstLineChars="175"/>
        <w:rPr>
          <w:rFonts w:ascii="宋体" w:hAnsi="宋体" w:cs="宋体"/>
          <w:b w:val="0"/>
          <w:sz w:val="21"/>
          <w:szCs w:val="21"/>
        </w:rPr>
      </w:pPr>
      <w:r>
        <w:rPr>
          <w:rFonts w:hint="eastAsia" w:ascii="宋体" w:hAnsi="宋体" w:cs="宋体"/>
          <w:b w:val="0"/>
          <w:sz w:val="21"/>
          <w:szCs w:val="21"/>
        </w:rPr>
        <w:t xml:space="preserve"> 8.2投标人应仔细阅读招标文件的所有内容，按照招标文件的要求提交投标文件，并对所提供的全部资料的真实性承担法律责任。</w:t>
      </w:r>
    </w:p>
    <w:p>
      <w:pPr>
        <w:pStyle w:val="6"/>
        <w:keepNext w:val="0"/>
        <w:keepLines w:val="0"/>
        <w:spacing w:before="0" w:after="0" w:line="360" w:lineRule="auto"/>
        <w:ind w:firstLine="367" w:firstLineChars="175"/>
        <w:rPr>
          <w:rFonts w:ascii="宋体" w:hAnsi="宋体" w:cs="宋体"/>
          <w:b w:val="0"/>
          <w:sz w:val="21"/>
          <w:szCs w:val="21"/>
        </w:rPr>
      </w:pPr>
      <w:r>
        <w:rPr>
          <w:rFonts w:hint="eastAsia" w:ascii="宋体" w:hAnsi="宋体" w:cs="宋体"/>
          <w:b w:val="0"/>
          <w:sz w:val="21"/>
          <w:szCs w:val="21"/>
        </w:rPr>
        <w:t xml:space="preserve"> 8.3投标人在投标活动中提供任何虚假材料，将报监管部门查处；中标后发现的，中标人须依法赔偿采购人，且民事赔偿并不免除违法投标人的行政与刑事责任。</w:t>
      </w:r>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9.回避与串通投标</w:t>
      </w:r>
    </w:p>
    <w:p>
      <w:pPr>
        <w:pStyle w:val="6"/>
        <w:keepNext w:val="0"/>
        <w:keepLines w:val="0"/>
        <w:spacing w:before="0" w:after="0" w:line="360" w:lineRule="auto"/>
        <w:ind w:firstLine="367" w:firstLineChars="175"/>
        <w:rPr>
          <w:rFonts w:ascii="宋体" w:hAnsi="宋体" w:cs="宋体"/>
          <w:b w:val="0"/>
          <w:sz w:val="21"/>
          <w:szCs w:val="21"/>
        </w:rPr>
      </w:pPr>
      <w:r>
        <w:rPr>
          <w:rFonts w:hint="eastAsia" w:ascii="宋体" w:hAnsi="宋体" w:cs="宋体"/>
          <w:b w:val="0"/>
          <w:sz w:val="21"/>
          <w:szCs w:val="21"/>
        </w:rPr>
        <w:t>9.1在政府采购活动中，采购人员及相关人员与供应商有下列利害关系之一的，应当回避：</w:t>
      </w:r>
    </w:p>
    <w:p>
      <w:pPr>
        <w:pStyle w:val="25"/>
        <w:snapToGrid w:val="0"/>
        <w:spacing w:line="360" w:lineRule="auto"/>
        <w:ind w:left="2" w:leftChars="1" w:firstLine="420" w:firstLineChars="200"/>
        <w:rPr>
          <w:rFonts w:hAnsi="宋体" w:cs="宋体"/>
          <w:kern w:val="2"/>
          <w:sz w:val="21"/>
        </w:rPr>
      </w:pPr>
      <w:r>
        <w:rPr>
          <w:rFonts w:hint="eastAsia" w:hAnsi="宋体" w:cs="宋体"/>
          <w:kern w:val="2"/>
          <w:sz w:val="21"/>
        </w:rPr>
        <w:t>（1）参加采购活动前3年内与供应商存在劳动关系；</w:t>
      </w:r>
    </w:p>
    <w:p>
      <w:pPr>
        <w:pStyle w:val="25"/>
        <w:snapToGrid w:val="0"/>
        <w:spacing w:line="360" w:lineRule="auto"/>
        <w:ind w:left="2" w:leftChars="1" w:firstLine="420" w:firstLineChars="200"/>
        <w:rPr>
          <w:rFonts w:hAnsi="宋体" w:cs="宋体"/>
          <w:kern w:val="2"/>
          <w:sz w:val="21"/>
        </w:rPr>
      </w:pPr>
      <w:r>
        <w:rPr>
          <w:rFonts w:hint="eastAsia" w:hAnsi="宋体" w:cs="宋体"/>
          <w:kern w:val="2"/>
          <w:sz w:val="21"/>
        </w:rPr>
        <w:t>（2）参加采购活动前3年内担任供应商的董事、监事；</w:t>
      </w:r>
    </w:p>
    <w:p>
      <w:pPr>
        <w:pStyle w:val="25"/>
        <w:snapToGrid w:val="0"/>
        <w:spacing w:line="360" w:lineRule="auto"/>
        <w:ind w:left="2" w:leftChars="1" w:firstLine="420" w:firstLineChars="200"/>
        <w:rPr>
          <w:rFonts w:hAnsi="宋体" w:cs="宋体"/>
          <w:kern w:val="2"/>
          <w:sz w:val="21"/>
        </w:rPr>
      </w:pPr>
      <w:r>
        <w:rPr>
          <w:rFonts w:hint="eastAsia" w:hAnsi="宋体" w:cs="宋体"/>
          <w:kern w:val="2"/>
          <w:sz w:val="21"/>
        </w:rPr>
        <w:t>（3）参加采购活动前3年内是供应商的控股股东或者实际控制人；</w:t>
      </w:r>
    </w:p>
    <w:p>
      <w:pPr>
        <w:pStyle w:val="25"/>
        <w:snapToGrid w:val="0"/>
        <w:spacing w:line="360" w:lineRule="auto"/>
        <w:ind w:left="2" w:leftChars="1" w:firstLine="420" w:firstLineChars="200"/>
        <w:rPr>
          <w:rFonts w:hAnsi="宋体" w:cs="宋体"/>
          <w:kern w:val="2"/>
          <w:sz w:val="21"/>
        </w:rPr>
      </w:pPr>
      <w:r>
        <w:rPr>
          <w:rFonts w:hint="eastAsia" w:hAnsi="宋体" w:cs="宋体"/>
          <w:kern w:val="2"/>
          <w:sz w:val="21"/>
        </w:rPr>
        <w:t>（4）与供应商的法定代表人或者负责人有夫妻、直系血亲、三代以内旁系血亲或者近姻亲关系；</w:t>
      </w:r>
    </w:p>
    <w:p>
      <w:pPr>
        <w:pStyle w:val="25"/>
        <w:snapToGrid w:val="0"/>
        <w:spacing w:line="360" w:lineRule="auto"/>
        <w:ind w:left="2" w:leftChars="1" w:firstLine="420" w:firstLineChars="200"/>
        <w:rPr>
          <w:rFonts w:hAnsi="宋体" w:cs="宋体"/>
          <w:kern w:val="2"/>
          <w:sz w:val="21"/>
        </w:rPr>
      </w:pPr>
      <w:r>
        <w:rPr>
          <w:rFonts w:hint="eastAsia" w:hAnsi="宋体" w:cs="宋体"/>
          <w:kern w:val="2"/>
          <w:sz w:val="21"/>
        </w:rPr>
        <w:t>（5）与供应商有其他可能影响政府采购活动公平、公正进行的关系。</w:t>
      </w:r>
    </w:p>
    <w:p>
      <w:pPr>
        <w:pStyle w:val="25"/>
        <w:snapToGrid w:val="0"/>
        <w:spacing w:line="360" w:lineRule="auto"/>
        <w:ind w:left="2" w:leftChars="1" w:firstLine="420" w:firstLineChars="200"/>
        <w:rPr>
          <w:rFonts w:hAnsi="宋体" w:cs="宋体"/>
          <w:kern w:val="2"/>
          <w:sz w:val="21"/>
        </w:rPr>
      </w:pPr>
      <w:r>
        <w:rPr>
          <w:rFonts w:hint="eastAsia" w:hAnsi="宋体" w:cs="宋体"/>
          <w:kern w:val="2"/>
          <w:sz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6"/>
        <w:keepNext w:val="0"/>
        <w:keepLines w:val="0"/>
        <w:spacing w:before="0" w:after="0" w:line="360" w:lineRule="auto"/>
        <w:ind w:left="420" w:leftChars="200"/>
        <w:rPr>
          <w:rFonts w:ascii="宋体" w:hAnsi="宋体" w:cs="宋体"/>
          <w:sz w:val="21"/>
          <w:szCs w:val="21"/>
        </w:rPr>
      </w:pPr>
      <w:r>
        <w:rPr>
          <w:rFonts w:hint="eastAsia" w:ascii="宋体" w:hAnsi="宋体" w:cs="宋体"/>
          <w:sz w:val="21"/>
          <w:szCs w:val="21"/>
        </w:rPr>
        <w:t>9.2有下列情形之一的视为投标人相互串通投标，投标文件将被视为无效：</w:t>
      </w:r>
    </w:p>
    <w:p>
      <w:pPr>
        <w:pStyle w:val="25"/>
        <w:snapToGrid w:val="0"/>
        <w:spacing w:line="360" w:lineRule="auto"/>
        <w:ind w:left="2" w:leftChars="1" w:firstLine="422" w:firstLineChars="200"/>
        <w:rPr>
          <w:rFonts w:hAnsi="宋体" w:cs="宋体"/>
          <w:b/>
          <w:kern w:val="2"/>
          <w:sz w:val="21"/>
        </w:rPr>
      </w:pPr>
      <w:r>
        <w:rPr>
          <w:rFonts w:hint="eastAsia" w:hAnsi="宋体" w:cs="宋体"/>
          <w:b/>
          <w:kern w:val="2"/>
          <w:sz w:val="21"/>
        </w:rPr>
        <w:t xml:space="preserve">（1）不同投标人的投标文件由同一单位或者个人编制； </w:t>
      </w:r>
    </w:p>
    <w:p>
      <w:pPr>
        <w:pStyle w:val="25"/>
        <w:snapToGrid w:val="0"/>
        <w:spacing w:line="360" w:lineRule="auto"/>
        <w:ind w:left="2" w:leftChars="1" w:firstLine="422" w:firstLineChars="200"/>
        <w:rPr>
          <w:rFonts w:hAnsi="宋体" w:cs="宋体"/>
          <w:b/>
          <w:kern w:val="2"/>
          <w:sz w:val="21"/>
        </w:rPr>
      </w:pPr>
      <w:r>
        <w:rPr>
          <w:rFonts w:hint="eastAsia" w:hAnsi="宋体" w:cs="宋体"/>
          <w:b/>
          <w:kern w:val="2"/>
          <w:sz w:val="21"/>
        </w:rPr>
        <w:t>（2）不同投标人委托同一单位或者个人办理投标事宜；</w:t>
      </w:r>
    </w:p>
    <w:p>
      <w:pPr>
        <w:pStyle w:val="25"/>
        <w:snapToGrid w:val="0"/>
        <w:spacing w:line="360" w:lineRule="auto"/>
        <w:ind w:left="2" w:leftChars="1" w:firstLine="422" w:firstLineChars="200"/>
        <w:rPr>
          <w:rFonts w:hAnsi="宋体" w:cs="宋体"/>
          <w:b/>
          <w:kern w:val="2"/>
          <w:sz w:val="21"/>
        </w:rPr>
      </w:pPr>
      <w:r>
        <w:rPr>
          <w:rFonts w:hint="eastAsia" w:hAnsi="宋体" w:cs="宋体"/>
          <w:b/>
          <w:kern w:val="2"/>
          <w:sz w:val="21"/>
        </w:rPr>
        <w:t>（3）不同的投标人的投标文件载明的项目管理员为同一个人；</w:t>
      </w:r>
    </w:p>
    <w:p>
      <w:pPr>
        <w:pStyle w:val="25"/>
        <w:snapToGrid w:val="0"/>
        <w:spacing w:line="360" w:lineRule="auto"/>
        <w:ind w:left="2" w:leftChars="1" w:firstLine="422" w:firstLineChars="200"/>
        <w:rPr>
          <w:rFonts w:hAnsi="宋体" w:cs="宋体"/>
          <w:b/>
          <w:kern w:val="2"/>
          <w:sz w:val="21"/>
        </w:rPr>
      </w:pPr>
      <w:r>
        <w:rPr>
          <w:rFonts w:hint="eastAsia" w:hAnsi="宋体" w:cs="宋体"/>
          <w:b/>
          <w:kern w:val="2"/>
          <w:sz w:val="21"/>
        </w:rPr>
        <w:t>（4）不同投标人的投标文件异常一致或者投标报价呈规律性差异；</w:t>
      </w:r>
    </w:p>
    <w:p>
      <w:pPr>
        <w:pStyle w:val="25"/>
        <w:snapToGrid w:val="0"/>
        <w:spacing w:line="360" w:lineRule="auto"/>
        <w:ind w:left="2" w:leftChars="1" w:firstLine="422" w:firstLineChars="200"/>
        <w:rPr>
          <w:rFonts w:hAnsi="宋体" w:cs="宋体"/>
          <w:b/>
          <w:kern w:val="2"/>
          <w:sz w:val="21"/>
        </w:rPr>
      </w:pPr>
      <w:r>
        <w:rPr>
          <w:rFonts w:hint="eastAsia" w:hAnsi="宋体" w:cs="宋体"/>
          <w:b/>
          <w:kern w:val="2"/>
          <w:sz w:val="21"/>
        </w:rPr>
        <w:t>（5）不同投标人的投标文件相互混装；</w:t>
      </w:r>
    </w:p>
    <w:p>
      <w:pPr>
        <w:pStyle w:val="25"/>
        <w:snapToGrid w:val="0"/>
        <w:spacing w:line="360" w:lineRule="auto"/>
        <w:ind w:left="2" w:leftChars="1" w:firstLine="422" w:firstLineChars="200"/>
        <w:rPr>
          <w:rFonts w:hAnsi="宋体" w:cs="宋体"/>
          <w:b/>
          <w:kern w:val="2"/>
          <w:sz w:val="21"/>
        </w:rPr>
      </w:pPr>
      <w:r>
        <w:rPr>
          <w:rFonts w:hint="eastAsia" w:hAnsi="宋体" w:cs="宋体"/>
          <w:b/>
          <w:kern w:val="2"/>
          <w:sz w:val="21"/>
        </w:rPr>
        <w:t>（6）不同投标人的投标保证金从同一单位或者个人账户转出。</w:t>
      </w:r>
    </w:p>
    <w:p>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9.3供应商有下列情形之一的，属于恶意串通行为，将报同级监督管理部门：</w:t>
      </w:r>
    </w:p>
    <w:p>
      <w:pPr>
        <w:pStyle w:val="25"/>
        <w:snapToGrid w:val="0"/>
        <w:spacing w:line="360" w:lineRule="auto"/>
        <w:ind w:left="2" w:leftChars="1" w:firstLine="420" w:firstLineChars="200"/>
        <w:rPr>
          <w:rFonts w:hAnsi="宋体" w:cs="宋体"/>
          <w:kern w:val="2"/>
          <w:sz w:val="21"/>
        </w:rPr>
      </w:pPr>
      <w:r>
        <w:rPr>
          <w:rFonts w:hint="eastAsia" w:hAnsi="宋体" w:cs="宋体"/>
          <w:kern w:val="2"/>
          <w:sz w:val="21"/>
        </w:rPr>
        <w:t>（1）供应商直接或者间接从采购人或者采购代理机构处获得其他供应商的相关信息并修改其投标文件或者响应文件；</w:t>
      </w:r>
    </w:p>
    <w:p>
      <w:pPr>
        <w:pStyle w:val="25"/>
        <w:snapToGrid w:val="0"/>
        <w:spacing w:line="360" w:lineRule="auto"/>
        <w:ind w:left="2" w:leftChars="1" w:firstLine="420" w:firstLineChars="200"/>
        <w:rPr>
          <w:rFonts w:hAnsi="宋体" w:cs="宋体"/>
          <w:kern w:val="2"/>
          <w:sz w:val="21"/>
        </w:rPr>
      </w:pPr>
      <w:r>
        <w:rPr>
          <w:rFonts w:hint="eastAsia" w:hAnsi="宋体" w:cs="宋体"/>
          <w:kern w:val="2"/>
          <w:sz w:val="21"/>
        </w:rPr>
        <w:t>（2）供应商按照采购人或者采购代理机构的授意撤换、修改投标文件或者响应文件；</w:t>
      </w:r>
    </w:p>
    <w:p>
      <w:pPr>
        <w:pStyle w:val="25"/>
        <w:snapToGrid w:val="0"/>
        <w:spacing w:line="360" w:lineRule="auto"/>
        <w:ind w:left="2" w:leftChars="1" w:firstLine="420" w:firstLineChars="200"/>
        <w:rPr>
          <w:rFonts w:hAnsi="宋体" w:cs="宋体"/>
          <w:kern w:val="2"/>
          <w:sz w:val="21"/>
        </w:rPr>
      </w:pPr>
      <w:r>
        <w:rPr>
          <w:rFonts w:hint="eastAsia" w:hAnsi="宋体" w:cs="宋体"/>
          <w:kern w:val="2"/>
          <w:sz w:val="21"/>
        </w:rPr>
        <w:t>（3）供应商之间协商报价、技术方案等投标文件或者响应文件的实质性内容；</w:t>
      </w:r>
    </w:p>
    <w:p>
      <w:pPr>
        <w:pStyle w:val="25"/>
        <w:snapToGrid w:val="0"/>
        <w:spacing w:line="360" w:lineRule="auto"/>
        <w:ind w:left="2" w:leftChars="1" w:firstLine="420" w:firstLineChars="200"/>
        <w:rPr>
          <w:rFonts w:hAnsi="宋体" w:cs="宋体"/>
          <w:kern w:val="2"/>
          <w:sz w:val="21"/>
        </w:rPr>
      </w:pPr>
      <w:r>
        <w:rPr>
          <w:rFonts w:hint="eastAsia" w:hAnsi="宋体" w:cs="宋体"/>
          <w:kern w:val="2"/>
          <w:sz w:val="21"/>
        </w:rPr>
        <w:t>（4）属于同一集团、协会、商会等组织成员的供应商按照该组织要求协同参加政府采购活动；</w:t>
      </w:r>
    </w:p>
    <w:p>
      <w:pPr>
        <w:pStyle w:val="25"/>
        <w:snapToGrid w:val="0"/>
        <w:spacing w:line="360" w:lineRule="auto"/>
        <w:ind w:left="2" w:leftChars="1" w:firstLine="420" w:firstLineChars="200"/>
        <w:rPr>
          <w:rFonts w:hAnsi="宋体" w:cs="宋体"/>
          <w:kern w:val="2"/>
          <w:sz w:val="21"/>
        </w:rPr>
      </w:pPr>
      <w:r>
        <w:rPr>
          <w:rFonts w:hint="eastAsia" w:hAnsi="宋体" w:cs="宋体"/>
          <w:kern w:val="2"/>
          <w:sz w:val="21"/>
        </w:rPr>
        <w:t>（5）供应商之间事先约定一致抬高或者压低投标报价，或者在招标项目中事先约定轮流以高价位或者低价位中标，或者事先约定由某一特定供应商中标，然后再参加投标；</w:t>
      </w:r>
    </w:p>
    <w:p>
      <w:pPr>
        <w:pStyle w:val="25"/>
        <w:snapToGrid w:val="0"/>
        <w:spacing w:line="360" w:lineRule="auto"/>
        <w:ind w:left="2" w:leftChars="1" w:firstLine="420" w:firstLineChars="200"/>
        <w:rPr>
          <w:rFonts w:hAnsi="宋体" w:cs="宋体"/>
          <w:kern w:val="2"/>
          <w:sz w:val="21"/>
        </w:rPr>
      </w:pPr>
      <w:r>
        <w:rPr>
          <w:rFonts w:hint="eastAsia" w:hAnsi="宋体" w:cs="宋体"/>
          <w:kern w:val="2"/>
          <w:sz w:val="21"/>
        </w:rPr>
        <w:t>（6）供应商之间商定部分供应商放弃参加政府采购活动或者放弃中标；</w:t>
      </w:r>
    </w:p>
    <w:p>
      <w:pPr>
        <w:pStyle w:val="25"/>
        <w:snapToGrid w:val="0"/>
        <w:spacing w:line="360" w:lineRule="auto"/>
        <w:ind w:left="2" w:leftChars="1" w:firstLine="420" w:firstLineChars="200"/>
        <w:rPr>
          <w:rFonts w:hAnsi="宋体" w:cs="宋体"/>
          <w:kern w:val="2"/>
          <w:sz w:val="21"/>
        </w:rPr>
      </w:pPr>
      <w:r>
        <w:rPr>
          <w:rFonts w:hint="eastAsia" w:hAnsi="宋体" w:cs="宋体"/>
          <w:kern w:val="2"/>
          <w:sz w:val="21"/>
        </w:rPr>
        <w:t>（7）供应商与采购人或者采购代理机构之间、供应商相互之间，为谋求特定供应商中标或者排斥其他供应商的其他串通行为。</w:t>
      </w:r>
    </w:p>
    <w:p>
      <w:pPr>
        <w:pStyle w:val="25"/>
        <w:snapToGrid w:val="0"/>
        <w:spacing w:line="360" w:lineRule="auto"/>
        <w:ind w:left="2" w:leftChars="1" w:firstLine="422" w:firstLineChars="200"/>
        <w:rPr>
          <w:rFonts w:hAnsi="宋体" w:cs="宋体"/>
          <w:b/>
          <w:kern w:val="2"/>
          <w:sz w:val="21"/>
        </w:rPr>
      </w:pPr>
    </w:p>
    <w:p>
      <w:pPr>
        <w:pStyle w:val="4"/>
        <w:keepNext w:val="0"/>
        <w:keepLines w:val="0"/>
        <w:jc w:val="center"/>
        <w:rPr>
          <w:rFonts w:ascii="宋体" w:hAnsi="宋体" w:cs="宋体"/>
        </w:rPr>
      </w:pPr>
      <w:bookmarkStart w:id="95" w:name="_Toc254970675"/>
      <w:bookmarkStart w:id="96" w:name="_Toc254970534"/>
      <w:r>
        <w:rPr>
          <w:rFonts w:hint="eastAsia" w:ascii="宋体" w:hAnsi="宋体" w:cs="宋体"/>
        </w:rPr>
        <w:t>二、招标文件</w:t>
      </w:r>
      <w:bookmarkEnd w:id="95"/>
      <w:bookmarkEnd w:id="96"/>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10.招标文件的组成</w:t>
      </w:r>
    </w:p>
    <w:p>
      <w:pPr>
        <w:snapToGrid w:val="0"/>
        <w:spacing w:line="360" w:lineRule="auto"/>
        <w:ind w:firstLine="420"/>
        <w:jc w:val="left"/>
        <w:rPr>
          <w:rFonts w:ascii="宋体" w:hAnsi="宋体" w:cs="宋体"/>
          <w:szCs w:val="21"/>
        </w:rPr>
      </w:pPr>
      <w:r>
        <w:rPr>
          <w:rFonts w:hint="eastAsia" w:ascii="宋体" w:hAnsi="宋体" w:cs="宋体"/>
          <w:szCs w:val="21"/>
        </w:rPr>
        <w:t>（1）招标公告；</w:t>
      </w:r>
    </w:p>
    <w:p>
      <w:pPr>
        <w:snapToGrid w:val="0"/>
        <w:spacing w:line="360" w:lineRule="auto"/>
        <w:ind w:firstLine="420"/>
        <w:jc w:val="left"/>
        <w:rPr>
          <w:rFonts w:ascii="宋体" w:hAnsi="宋体" w:cs="宋体"/>
          <w:szCs w:val="21"/>
        </w:rPr>
      </w:pPr>
      <w:r>
        <w:rPr>
          <w:rFonts w:hint="eastAsia" w:ascii="宋体" w:hAnsi="宋体" w:cs="宋体"/>
          <w:szCs w:val="21"/>
        </w:rPr>
        <w:t xml:space="preserve">（2）采购需求； </w:t>
      </w:r>
    </w:p>
    <w:p>
      <w:pPr>
        <w:snapToGrid w:val="0"/>
        <w:spacing w:line="360" w:lineRule="auto"/>
        <w:ind w:firstLine="420"/>
        <w:jc w:val="left"/>
        <w:rPr>
          <w:rFonts w:ascii="宋体" w:hAnsi="宋体" w:cs="宋体"/>
          <w:szCs w:val="21"/>
        </w:rPr>
      </w:pPr>
      <w:r>
        <w:rPr>
          <w:rFonts w:hint="eastAsia" w:ascii="宋体" w:hAnsi="宋体" w:cs="宋体"/>
          <w:szCs w:val="21"/>
        </w:rPr>
        <w:t>（3）投标人须知；</w:t>
      </w:r>
    </w:p>
    <w:p>
      <w:pPr>
        <w:snapToGrid w:val="0"/>
        <w:spacing w:line="360" w:lineRule="auto"/>
        <w:ind w:firstLine="420"/>
        <w:jc w:val="left"/>
        <w:rPr>
          <w:rFonts w:ascii="宋体" w:hAnsi="宋体" w:cs="宋体"/>
          <w:szCs w:val="21"/>
        </w:rPr>
      </w:pPr>
      <w:r>
        <w:rPr>
          <w:rFonts w:hint="eastAsia" w:ascii="宋体" w:hAnsi="宋体" w:cs="宋体"/>
          <w:szCs w:val="21"/>
        </w:rPr>
        <w:t>（4）评标方法及评标标准；</w:t>
      </w:r>
    </w:p>
    <w:p>
      <w:pPr>
        <w:snapToGrid w:val="0"/>
        <w:spacing w:line="360" w:lineRule="auto"/>
        <w:ind w:firstLine="420"/>
        <w:jc w:val="left"/>
        <w:rPr>
          <w:rFonts w:ascii="宋体" w:hAnsi="宋体" w:cs="宋体"/>
          <w:szCs w:val="21"/>
        </w:rPr>
      </w:pPr>
      <w:r>
        <w:rPr>
          <w:rFonts w:hint="eastAsia" w:ascii="宋体" w:hAnsi="宋体" w:cs="宋体"/>
          <w:szCs w:val="21"/>
        </w:rPr>
        <w:t>（5）拟签订的合同文本；</w:t>
      </w:r>
    </w:p>
    <w:p>
      <w:pPr>
        <w:snapToGrid w:val="0"/>
        <w:spacing w:line="360" w:lineRule="auto"/>
        <w:ind w:firstLine="420"/>
        <w:jc w:val="left"/>
        <w:rPr>
          <w:rFonts w:ascii="宋体" w:hAnsi="宋体" w:cs="宋体"/>
          <w:szCs w:val="21"/>
        </w:rPr>
      </w:pPr>
      <w:r>
        <w:rPr>
          <w:rFonts w:hint="eastAsia" w:ascii="宋体" w:hAnsi="宋体" w:cs="宋体"/>
          <w:szCs w:val="21"/>
        </w:rPr>
        <w:t>（6）投标文件格式。</w:t>
      </w:r>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11.招标文件的澄清、修改 、现场考察和答疑会</w:t>
      </w:r>
    </w:p>
    <w:p>
      <w:pPr>
        <w:pStyle w:val="6"/>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pPr>
        <w:pStyle w:val="6"/>
        <w:keepNext w:val="0"/>
        <w:keepLines w:val="0"/>
        <w:numPr>
          <w:ilvl w:val="0"/>
          <w:numId w:val="0"/>
        </w:numPr>
        <w:spacing w:before="0" w:after="0" w:line="360" w:lineRule="auto"/>
        <w:ind w:firstLine="420" w:firstLineChars="200"/>
        <w:rPr>
          <w:rFonts w:ascii="宋体" w:hAnsi="宋体" w:cs="宋体"/>
        </w:rPr>
      </w:pPr>
      <w:r>
        <w:rPr>
          <w:rFonts w:hint="eastAsia" w:ascii="宋体" w:hAnsi="宋体" w:cs="宋体"/>
          <w:b w:val="0"/>
          <w:sz w:val="21"/>
          <w:szCs w:val="21"/>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pPr>
        <w:spacing w:line="360" w:lineRule="auto"/>
        <w:ind w:firstLine="420" w:firstLineChars="200"/>
        <w:rPr>
          <w:rFonts w:ascii="宋体" w:hAnsi="宋体" w:cs="宋体"/>
          <w:szCs w:val="21"/>
        </w:rPr>
      </w:pPr>
      <w:r>
        <w:rPr>
          <w:rFonts w:hint="eastAsia" w:ascii="宋体" w:hAnsi="宋体" w:cs="宋体"/>
        </w:rPr>
        <w:t>11.3采购人和采购代理机构可以视采购具体情况，变更投标截止时间和开标时间，并</w:t>
      </w:r>
      <w:r>
        <w:rPr>
          <w:rFonts w:hint="eastAsia" w:ascii="宋体" w:hAnsi="宋体" w:cs="宋体"/>
          <w:szCs w:val="21"/>
        </w:rPr>
        <w:t>在原公告发布媒体上发布更正公告。</w:t>
      </w:r>
    </w:p>
    <w:p>
      <w:pPr>
        <w:spacing w:line="360" w:lineRule="auto"/>
        <w:ind w:firstLine="420" w:firstLineChars="200"/>
        <w:rPr>
          <w:rFonts w:ascii="宋体" w:hAnsi="宋体" w:cs="宋体"/>
        </w:rPr>
      </w:pPr>
      <w:r>
        <w:rPr>
          <w:rFonts w:hint="eastAsia" w:ascii="宋体" w:hAnsi="宋体" w:cs="宋体"/>
          <w:szCs w:val="21"/>
        </w:rPr>
        <w:t>11.4招标文件澄清、答复、修改、补充的内容为招标文件的组成部分。</w:t>
      </w:r>
      <w:r>
        <w:rPr>
          <w:rFonts w:hint="eastAsia" w:ascii="宋体" w:hAnsi="宋体" w:cs="宋体"/>
          <w:b/>
          <w:szCs w:val="21"/>
        </w:rPr>
        <w:t>当招标文件与招标文件的澄清、答复、修改、补充通知就同一内容的表述不一致时，以最后发出的文件为准。</w:t>
      </w:r>
    </w:p>
    <w:p>
      <w:pPr>
        <w:pStyle w:val="25"/>
        <w:snapToGrid w:val="0"/>
        <w:spacing w:line="360" w:lineRule="auto"/>
        <w:ind w:firstLine="420" w:firstLineChars="200"/>
        <w:rPr>
          <w:rFonts w:hAnsi="宋体" w:cs="宋体"/>
          <w:sz w:val="21"/>
        </w:rPr>
      </w:pPr>
      <w:r>
        <w:rPr>
          <w:rFonts w:hint="eastAsia" w:hAnsi="宋体" w:cs="宋体"/>
          <w:sz w:val="21"/>
        </w:rPr>
        <w:t>11.</w:t>
      </w:r>
      <w:bookmarkStart w:id="97" w:name="_Hlk53134511"/>
      <w:r>
        <w:rPr>
          <w:rFonts w:hint="eastAsia" w:hAnsi="宋体" w:cs="宋体"/>
          <w:sz w:val="21"/>
        </w:rPr>
        <w:t>5采购人或者采购代理机构可以在招标文件提供期限截止后，组织已获取招标文件的潜在投标人现场考察或者召开开标前答疑会，具体详见“投标人须知前附表”。</w:t>
      </w:r>
    </w:p>
    <w:p>
      <w:pPr>
        <w:pStyle w:val="25"/>
        <w:snapToGrid w:val="0"/>
        <w:spacing w:line="360" w:lineRule="auto"/>
        <w:ind w:firstLine="420" w:firstLineChars="200"/>
        <w:rPr>
          <w:rFonts w:hAnsi="宋体" w:cs="宋体"/>
          <w:sz w:val="21"/>
        </w:rPr>
      </w:pPr>
    </w:p>
    <w:bookmarkEnd w:id="97"/>
    <w:p>
      <w:pPr>
        <w:pStyle w:val="4"/>
        <w:keepNext w:val="0"/>
        <w:keepLines w:val="0"/>
        <w:jc w:val="center"/>
        <w:rPr>
          <w:rFonts w:ascii="宋体" w:hAnsi="宋体" w:cs="宋体"/>
        </w:rPr>
      </w:pPr>
      <w:bookmarkStart w:id="98" w:name="_Toc254970535"/>
      <w:bookmarkStart w:id="99" w:name="_Toc254970676"/>
      <w:r>
        <w:rPr>
          <w:rFonts w:hint="eastAsia" w:ascii="宋体" w:hAnsi="宋体" w:cs="宋体"/>
        </w:rPr>
        <w:t>三、投标文件的编制</w:t>
      </w:r>
      <w:bookmarkEnd w:id="98"/>
      <w:bookmarkEnd w:id="99"/>
    </w:p>
    <w:p>
      <w:pPr>
        <w:pStyle w:val="6"/>
        <w:keepNext w:val="0"/>
        <w:keepLines w:val="0"/>
        <w:spacing w:before="0" w:after="0" w:line="360" w:lineRule="auto"/>
        <w:ind w:left="420" w:leftChars="200"/>
        <w:rPr>
          <w:rFonts w:ascii="宋体" w:hAnsi="宋体" w:cs="宋体"/>
          <w:sz w:val="24"/>
        </w:rPr>
      </w:pPr>
      <w:bookmarkStart w:id="100" w:name="_Toc254970677"/>
      <w:bookmarkStart w:id="101" w:name="_Toc254970536"/>
      <w:r>
        <w:rPr>
          <w:rFonts w:hint="eastAsia" w:ascii="宋体" w:hAnsi="宋体" w:cs="宋体"/>
          <w:sz w:val="24"/>
        </w:rPr>
        <w:t>12.投标文件的编制原则</w:t>
      </w:r>
    </w:p>
    <w:p>
      <w:pPr>
        <w:snapToGrid w:val="0"/>
        <w:spacing w:line="360" w:lineRule="auto"/>
        <w:ind w:firstLine="420"/>
        <w:jc w:val="left"/>
        <w:rPr>
          <w:rFonts w:ascii="宋体" w:hAnsi="宋体" w:cs="宋体"/>
          <w:szCs w:val="21"/>
        </w:rPr>
      </w:pPr>
      <w:r>
        <w:rPr>
          <w:rFonts w:hint="eastAsia" w:ascii="宋体" w:hAnsi="宋体" w:cs="宋体"/>
          <w:szCs w:val="21"/>
        </w:rPr>
        <w:t>投标人必须按照招标文件的要求编制投标文件。投标文件必须对招标文件提出的要求和条件作出明确响应。</w:t>
      </w:r>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13.投标文件的组成</w:t>
      </w:r>
      <w:bookmarkEnd w:id="100"/>
      <w:bookmarkEnd w:id="101"/>
    </w:p>
    <w:p>
      <w:pPr>
        <w:snapToGrid w:val="0"/>
        <w:spacing w:line="360" w:lineRule="auto"/>
        <w:ind w:firstLine="420" w:firstLineChars="200"/>
        <w:jc w:val="left"/>
        <w:rPr>
          <w:rFonts w:ascii="宋体" w:hAnsi="宋体" w:cs="宋体"/>
          <w:szCs w:val="21"/>
        </w:rPr>
      </w:pPr>
      <w:r>
        <w:rPr>
          <w:rFonts w:hint="eastAsia" w:ascii="宋体" w:hAnsi="宋体" w:cs="宋体"/>
          <w:szCs w:val="21"/>
        </w:rPr>
        <w:t>13.1投标文件由报价文件、资格证明文件、商务文件、技术文件四部分组成。</w:t>
      </w:r>
    </w:p>
    <w:p>
      <w:pPr>
        <w:pStyle w:val="6"/>
        <w:keepNext w:val="0"/>
        <w:keepLines w:val="0"/>
        <w:spacing w:before="0" w:after="0" w:line="360" w:lineRule="auto"/>
        <w:ind w:left="420" w:leftChars="200"/>
        <w:rPr>
          <w:rFonts w:ascii="宋体" w:hAnsi="宋体" w:cs="宋体"/>
          <w:b w:val="0"/>
          <w:sz w:val="21"/>
          <w:szCs w:val="21"/>
        </w:rPr>
      </w:pPr>
      <w:bookmarkStart w:id="102" w:name="_13.1报价文件:_具体材料见“投标人须知前附表”。"/>
      <w:bookmarkEnd w:id="102"/>
      <w:r>
        <w:rPr>
          <w:rFonts w:hint="eastAsia" w:ascii="宋体" w:hAnsi="宋体" w:cs="宋体"/>
          <w:b w:val="0"/>
          <w:sz w:val="21"/>
          <w:szCs w:val="21"/>
        </w:rPr>
        <w:t>（1）报价文件： 具体材料见“投标人须知前附表”。</w:t>
      </w:r>
    </w:p>
    <w:p>
      <w:pPr>
        <w:pStyle w:val="6"/>
        <w:keepNext w:val="0"/>
        <w:keepLines w:val="0"/>
        <w:spacing w:before="0" w:after="0" w:line="360" w:lineRule="auto"/>
        <w:ind w:left="420" w:leftChars="200"/>
        <w:rPr>
          <w:rFonts w:ascii="宋体" w:hAnsi="宋体" w:cs="宋体"/>
          <w:b w:val="0"/>
          <w:sz w:val="21"/>
          <w:szCs w:val="21"/>
        </w:rPr>
      </w:pPr>
      <w:bookmarkStart w:id="103" w:name="_13.2资格证明文件：具体材料见“投标人须知前附表”。"/>
      <w:bookmarkEnd w:id="103"/>
      <w:r>
        <w:rPr>
          <w:rFonts w:hint="eastAsia" w:ascii="宋体" w:hAnsi="宋体" w:cs="宋体"/>
          <w:b w:val="0"/>
          <w:sz w:val="21"/>
          <w:szCs w:val="21"/>
        </w:rPr>
        <w:t>（2）资格证明文件：具体材料见“投标人须知前附表”。</w:t>
      </w:r>
    </w:p>
    <w:p>
      <w:pPr>
        <w:pStyle w:val="6"/>
        <w:keepNext w:val="0"/>
        <w:keepLines w:val="0"/>
        <w:spacing w:before="0" w:after="0" w:line="360" w:lineRule="auto"/>
        <w:ind w:left="420" w:leftChars="200"/>
        <w:rPr>
          <w:rFonts w:ascii="宋体" w:hAnsi="宋体" w:cs="宋体"/>
          <w:b w:val="0"/>
          <w:sz w:val="21"/>
          <w:szCs w:val="21"/>
        </w:rPr>
      </w:pPr>
      <w:bookmarkStart w:id="104" w:name="_13.3商务文件:_具体材料见“投标人须知前附表”。"/>
      <w:bookmarkEnd w:id="104"/>
      <w:r>
        <w:rPr>
          <w:rFonts w:hint="eastAsia" w:ascii="宋体" w:hAnsi="宋体" w:cs="宋体"/>
          <w:b w:val="0"/>
          <w:sz w:val="21"/>
          <w:szCs w:val="21"/>
        </w:rPr>
        <w:t>（3）商务文件：具体材料见“投标人须知前附表”。</w:t>
      </w:r>
    </w:p>
    <w:p>
      <w:pPr>
        <w:pStyle w:val="6"/>
        <w:keepNext w:val="0"/>
        <w:keepLines w:val="0"/>
        <w:spacing w:before="0" w:after="0" w:line="360" w:lineRule="auto"/>
        <w:ind w:left="420" w:leftChars="200"/>
        <w:rPr>
          <w:rFonts w:ascii="宋体" w:hAnsi="宋体" w:cs="宋体"/>
          <w:b w:val="0"/>
          <w:sz w:val="21"/>
          <w:szCs w:val="21"/>
        </w:rPr>
      </w:pPr>
      <w:bookmarkStart w:id="105" w:name="_13.4技术文件：具体材料见“投标人须知前附表”。"/>
      <w:bookmarkEnd w:id="105"/>
      <w:r>
        <w:rPr>
          <w:rFonts w:hint="eastAsia" w:ascii="宋体" w:hAnsi="宋体" w:cs="宋体"/>
          <w:b w:val="0"/>
          <w:sz w:val="21"/>
          <w:szCs w:val="21"/>
        </w:rPr>
        <w:t>（4）技术文件：具体材料见“投标人须知前附表”。</w:t>
      </w:r>
      <w:bookmarkStart w:id="106" w:name="_13.5投标文件电子版：具体材料见“投标人须知前附表”。"/>
      <w:bookmarkEnd w:id="106"/>
    </w:p>
    <w:p>
      <w:pPr>
        <w:pStyle w:val="6"/>
        <w:keepNext w:val="0"/>
        <w:keepLines w:val="0"/>
        <w:spacing w:before="0" w:after="0" w:line="360" w:lineRule="auto"/>
        <w:ind w:left="420" w:leftChars="200"/>
        <w:rPr>
          <w:rFonts w:ascii="宋体" w:hAnsi="宋体" w:cs="宋体"/>
          <w:sz w:val="24"/>
        </w:rPr>
      </w:pPr>
      <w:bookmarkStart w:id="107" w:name="_Toc254970537"/>
      <w:bookmarkStart w:id="108" w:name="_Toc254970678"/>
      <w:r>
        <w:rPr>
          <w:rFonts w:hint="eastAsia" w:ascii="宋体" w:hAnsi="宋体" w:cs="宋体"/>
          <w:sz w:val="24"/>
        </w:rPr>
        <w:t>14.投标文件的语言及计量</w:t>
      </w:r>
      <w:bookmarkEnd w:id="107"/>
      <w:bookmarkEnd w:id="108"/>
    </w:p>
    <w:p>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14.1语言文字</w:t>
      </w:r>
    </w:p>
    <w:p>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14.2投标计量单位</w:t>
      </w:r>
    </w:p>
    <w:p>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招标文件已有明确规定的，使用招标文件规定的计量单位；招标文件没有规定的，应采用中华人民共和国法定计量单位，货币种类为人民币，否则视同未响应。</w:t>
      </w:r>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15.投标的风险</w:t>
      </w:r>
    </w:p>
    <w:p>
      <w:pPr>
        <w:pStyle w:val="25"/>
        <w:snapToGrid w:val="0"/>
        <w:spacing w:line="360" w:lineRule="auto"/>
        <w:ind w:firstLine="420" w:firstLineChars="200"/>
        <w:jc w:val="left"/>
        <w:rPr>
          <w:rFonts w:hAnsi="宋体" w:cs="宋体"/>
          <w:sz w:val="21"/>
        </w:rPr>
      </w:pPr>
      <w:r>
        <w:rPr>
          <w:rFonts w:hint="eastAsia" w:hAnsi="宋体" w:cs="宋体"/>
          <w:sz w:val="21"/>
        </w:rPr>
        <w:t>投标人没有按照招标文件要求提供全部资料，或者投标人没有对招标文件作出实质性响应是投标人的风险，并可能导致其投标被拒绝。</w:t>
      </w:r>
    </w:p>
    <w:p>
      <w:pPr>
        <w:pStyle w:val="6"/>
        <w:keepNext w:val="0"/>
        <w:keepLines w:val="0"/>
        <w:spacing w:before="0" w:after="0" w:line="360" w:lineRule="auto"/>
        <w:ind w:left="420" w:leftChars="200"/>
        <w:rPr>
          <w:rFonts w:ascii="宋体" w:hAnsi="宋体" w:cs="宋体"/>
          <w:sz w:val="24"/>
        </w:rPr>
      </w:pPr>
      <w:bookmarkStart w:id="109" w:name="_Toc254970679"/>
      <w:bookmarkStart w:id="110" w:name="_Toc254970538"/>
      <w:r>
        <w:rPr>
          <w:rFonts w:hint="eastAsia" w:ascii="宋体" w:hAnsi="宋体" w:cs="宋体"/>
          <w:sz w:val="24"/>
        </w:rPr>
        <w:t>16.投标报价</w:t>
      </w:r>
      <w:bookmarkEnd w:id="109"/>
      <w:bookmarkEnd w:id="110"/>
    </w:p>
    <w:p>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16.1投标报价应按“第六章　投标文件格式”中“开标一览表”格式填写。</w:t>
      </w:r>
    </w:p>
    <w:p>
      <w:pPr>
        <w:pStyle w:val="6"/>
        <w:keepNext w:val="0"/>
        <w:keepLines w:val="0"/>
        <w:spacing w:before="0" w:after="0" w:line="360" w:lineRule="auto"/>
        <w:ind w:left="420" w:leftChars="200"/>
        <w:rPr>
          <w:rFonts w:ascii="宋体" w:hAnsi="宋体" w:cs="宋体"/>
          <w:b w:val="0"/>
          <w:sz w:val="21"/>
          <w:szCs w:val="21"/>
        </w:rPr>
      </w:pPr>
      <w:bookmarkStart w:id="111" w:name="_16.2投标报价具体定义见投标人须知前附表。"/>
      <w:bookmarkEnd w:id="111"/>
      <w:r>
        <w:rPr>
          <w:rFonts w:hint="eastAsia" w:ascii="宋体" w:hAnsi="宋体" w:cs="宋体"/>
          <w:b w:val="0"/>
          <w:sz w:val="21"/>
          <w:szCs w:val="21"/>
        </w:rPr>
        <w:t>16.2投标报价具体包括内容详见“投标人须知前附表”。</w:t>
      </w:r>
    </w:p>
    <w:p>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16.3投标人必须就所投每个分标的全部内容分别作完整唯一总价报价，不得存在漏项报价；投标人必须就所投分标的单项内容作唯一报价。</w:t>
      </w:r>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17.投标有效期</w:t>
      </w:r>
    </w:p>
    <w:p>
      <w:pPr>
        <w:pStyle w:val="6"/>
        <w:keepNext w:val="0"/>
        <w:keepLines w:val="0"/>
        <w:spacing w:before="0" w:after="0" w:line="360" w:lineRule="auto"/>
        <w:ind w:firstLine="420" w:firstLineChars="200"/>
        <w:rPr>
          <w:rFonts w:ascii="宋体" w:hAnsi="宋体" w:cs="宋体"/>
          <w:b w:val="0"/>
          <w:sz w:val="21"/>
          <w:szCs w:val="21"/>
        </w:rPr>
      </w:pPr>
      <w:bookmarkStart w:id="112" w:name="_17.1投标有效期应按“投标人须知中的前附表”规定的期限。"/>
      <w:bookmarkEnd w:id="112"/>
      <w:r>
        <w:rPr>
          <w:rFonts w:hint="eastAsia" w:ascii="宋体" w:hAnsi="宋体" w:cs="宋体"/>
          <w:b w:val="0"/>
          <w:sz w:val="21"/>
          <w:szCs w:val="21"/>
        </w:rPr>
        <w:t>17.1投标有效期是指为保证采购人有足够的时间在开标后完成评标、定标、合同签订等工作而要求投标人提交的投标文件在一定时间内保持有效的期限。</w:t>
      </w:r>
    </w:p>
    <w:p>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17.2</w:t>
      </w:r>
      <w:bookmarkStart w:id="113" w:name="_Toc254970540"/>
      <w:bookmarkStart w:id="114" w:name="_Toc254970681"/>
      <w:r>
        <w:rPr>
          <w:rFonts w:hint="eastAsia" w:ascii="宋体" w:hAnsi="宋体" w:cs="宋体"/>
          <w:b w:val="0"/>
          <w:sz w:val="21"/>
          <w:szCs w:val="21"/>
        </w:rPr>
        <w:t xml:space="preserve"> 投标有效期应按规定的期限作出承诺，具体详见“投标人须知前附表”。</w:t>
      </w:r>
    </w:p>
    <w:p>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17.3投标人的投标文件在投标有效期内均保持有效。</w:t>
      </w:r>
      <w:bookmarkEnd w:id="113"/>
      <w:bookmarkEnd w:id="114"/>
    </w:p>
    <w:p>
      <w:pPr>
        <w:pStyle w:val="6"/>
        <w:keepNext w:val="0"/>
        <w:keepLines w:val="0"/>
        <w:spacing w:before="0" w:after="0" w:line="360" w:lineRule="auto"/>
        <w:ind w:left="420" w:leftChars="200"/>
        <w:rPr>
          <w:rFonts w:ascii="宋体" w:hAnsi="宋体" w:cs="宋体"/>
          <w:sz w:val="24"/>
        </w:rPr>
      </w:pPr>
      <w:bookmarkStart w:id="115" w:name="_18.投标保证金"/>
      <w:bookmarkEnd w:id="115"/>
      <w:bookmarkStart w:id="116" w:name="_Toc254970682"/>
      <w:bookmarkStart w:id="117" w:name="_Toc254970541"/>
      <w:r>
        <w:rPr>
          <w:rFonts w:hint="eastAsia" w:ascii="宋体" w:hAnsi="宋体" w:cs="宋体"/>
          <w:sz w:val="24"/>
        </w:rPr>
        <w:t>18.投标保证金</w:t>
      </w:r>
      <w:bookmarkEnd w:id="116"/>
      <w:bookmarkEnd w:id="117"/>
    </w:p>
    <w:p>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18.1投标人须按“投标人须知前附表” 的规定提交投标保证金。</w:t>
      </w:r>
    </w:p>
    <w:p>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18.2投标保证金的退还</w:t>
      </w:r>
    </w:p>
    <w:p>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 xml:space="preserve">未中标人的投标保证金自中标通知书发出之日起5个工作日内退还；中标人的投标保证金自政府采购合同签订之日起5个工作日内退还。 </w:t>
      </w:r>
    </w:p>
    <w:p>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18.3除逾期退还投标保证金和终止招标的情形以外，投标保证金不计息。</w:t>
      </w:r>
    </w:p>
    <w:p>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 xml:space="preserve">18.4投标人有下列情形之一的，投标保证金将不予退还： </w:t>
      </w:r>
    </w:p>
    <w:p>
      <w:pPr>
        <w:snapToGrid w:val="0"/>
        <w:spacing w:line="360" w:lineRule="auto"/>
        <w:ind w:firstLine="411" w:firstLineChars="196"/>
        <w:jc w:val="left"/>
        <w:rPr>
          <w:rFonts w:ascii="宋体" w:hAnsi="宋体" w:cs="宋体"/>
          <w:szCs w:val="21"/>
        </w:rPr>
      </w:pPr>
      <w:r>
        <w:rPr>
          <w:rFonts w:hint="eastAsia" w:ascii="宋体" w:hAnsi="宋体" w:cs="宋体"/>
          <w:szCs w:val="21"/>
        </w:rPr>
        <w:t>（1）投标人在投标有效期内撤销投标文件的；</w:t>
      </w:r>
    </w:p>
    <w:p>
      <w:pPr>
        <w:snapToGrid w:val="0"/>
        <w:spacing w:line="360" w:lineRule="auto"/>
        <w:ind w:firstLine="411" w:firstLineChars="196"/>
        <w:jc w:val="left"/>
        <w:rPr>
          <w:rFonts w:ascii="宋体" w:hAnsi="宋体" w:cs="宋体"/>
          <w:szCs w:val="21"/>
        </w:rPr>
      </w:pPr>
      <w:r>
        <w:rPr>
          <w:rFonts w:hint="eastAsia" w:ascii="宋体" w:hAnsi="宋体" w:cs="宋体"/>
          <w:szCs w:val="21"/>
        </w:rPr>
        <w:t>（2）未按规定提交履约保证金的；</w:t>
      </w:r>
    </w:p>
    <w:p>
      <w:pPr>
        <w:snapToGrid w:val="0"/>
        <w:spacing w:line="360" w:lineRule="auto"/>
        <w:ind w:firstLine="411" w:firstLineChars="196"/>
        <w:jc w:val="left"/>
        <w:rPr>
          <w:rFonts w:ascii="宋体" w:hAnsi="宋体" w:cs="宋体"/>
          <w:szCs w:val="21"/>
        </w:rPr>
      </w:pPr>
      <w:r>
        <w:rPr>
          <w:rFonts w:hint="eastAsia" w:ascii="宋体" w:hAnsi="宋体" w:cs="宋体"/>
          <w:szCs w:val="21"/>
        </w:rPr>
        <w:t>（3）投标人在投标过程中弄虚作假，提供虚假材料的；</w:t>
      </w:r>
    </w:p>
    <w:p>
      <w:pPr>
        <w:snapToGrid w:val="0"/>
        <w:spacing w:line="360" w:lineRule="auto"/>
        <w:ind w:firstLine="411" w:firstLineChars="196"/>
        <w:rPr>
          <w:rFonts w:ascii="宋体" w:hAnsi="宋体" w:cs="宋体"/>
          <w:szCs w:val="21"/>
        </w:rPr>
      </w:pPr>
      <w:r>
        <w:rPr>
          <w:rFonts w:hint="eastAsia" w:ascii="宋体" w:hAnsi="宋体" w:cs="宋体"/>
          <w:szCs w:val="21"/>
        </w:rPr>
        <w:t>（4）中标人无正当理由不与采购人签订合同的；</w:t>
      </w:r>
    </w:p>
    <w:p>
      <w:pPr>
        <w:snapToGrid w:val="0"/>
        <w:spacing w:line="360" w:lineRule="auto"/>
        <w:ind w:firstLine="420" w:firstLineChars="200"/>
        <w:rPr>
          <w:rFonts w:ascii="宋体" w:hAnsi="宋体" w:cs="宋体"/>
          <w:szCs w:val="21"/>
        </w:rPr>
      </w:pPr>
      <w:r>
        <w:rPr>
          <w:rFonts w:hint="eastAsia" w:ascii="宋体" w:hAnsi="宋体" w:cs="宋体"/>
          <w:szCs w:val="21"/>
        </w:rPr>
        <w:t>（5）投标人出现本章第9.2、9.3情形的；</w:t>
      </w:r>
    </w:p>
    <w:p>
      <w:pPr>
        <w:snapToGrid w:val="0"/>
        <w:spacing w:line="360" w:lineRule="auto"/>
        <w:ind w:firstLine="420" w:firstLineChars="200"/>
        <w:rPr>
          <w:rFonts w:ascii="宋体" w:hAnsi="宋体" w:cs="宋体"/>
          <w:szCs w:val="21"/>
        </w:rPr>
      </w:pPr>
      <w:r>
        <w:rPr>
          <w:rFonts w:hint="eastAsia" w:ascii="宋体" w:hAnsi="宋体" w:cs="宋体"/>
          <w:szCs w:val="21"/>
        </w:rPr>
        <w:t>（6）法律法规规定的其他情形。</w:t>
      </w:r>
    </w:p>
    <w:p>
      <w:pPr>
        <w:pStyle w:val="6"/>
        <w:keepNext w:val="0"/>
        <w:keepLines w:val="0"/>
        <w:spacing w:before="0" w:after="0" w:line="360" w:lineRule="auto"/>
        <w:ind w:left="420" w:leftChars="200"/>
        <w:rPr>
          <w:rFonts w:ascii="宋体" w:hAnsi="宋体" w:cs="宋体"/>
          <w:sz w:val="24"/>
        </w:rPr>
      </w:pPr>
      <w:bookmarkStart w:id="118" w:name="_Toc254970683"/>
      <w:bookmarkStart w:id="119" w:name="_Toc254970542"/>
      <w:r>
        <w:rPr>
          <w:rFonts w:hint="eastAsia" w:ascii="宋体" w:hAnsi="宋体" w:cs="宋体"/>
          <w:sz w:val="24"/>
        </w:rPr>
        <w:t>19.投标文件的</w:t>
      </w:r>
      <w:bookmarkEnd w:id="118"/>
      <w:bookmarkEnd w:id="119"/>
      <w:r>
        <w:rPr>
          <w:rFonts w:hint="eastAsia" w:ascii="宋体" w:hAnsi="宋体" w:cs="宋体"/>
          <w:sz w:val="24"/>
        </w:rPr>
        <w:t>编制</w:t>
      </w:r>
    </w:p>
    <w:p>
      <w:pPr>
        <w:pStyle w:val="6"/>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w:t>
      </w:r>
    </w:p>
    <w:p>
      <w:pPr>
        <w:pStyle w:val="6"/>
        <w:keepNext w:val="0"/>
        <w:keepLines w:val="0"/>
        <w:numPr>
          <w:ilvl w:val="0"/>
          <w:numId w:val="0"/>
        </w:numPr>
        <w:spacing w:before="0" w:after="0" w:line="360" w:lineRule="auto"/>
        <w:ind w:firstLine="420" w:firstLineChars="200"/>
        <w:rPr>
          <w:rFonts w:ascii="宋体" w:hAnsi="宋体" w:cs="宋体"/>
          <w:b w:val="0"/>
          <w:sz w:val="21"/>
          <w:szCs w:val="21"/>
        </w:rPr>
      </w:pPr>
      <w:bookmarkStart w:id="120" w:name="_19.2投标文件应按报价文件、资格证明文件、商务文件、技术文件分别编制"/>
      <w:bookmarkEnd w:id="120"/>
      <w:r>
        <w:rPr>
          <w:rFonts w:hint="eastAsia" w:ascii="宋体" w:hAnsi="宋体" w:cs="宋体"/>
          <w:b w:val="0"/>
          <w:sz w:val="21"/>
          <w:szCs w:val="21"/>
        </w:rPr>
        <w:t>19.2投标文件应按报价文件、资格证明文件、商务文件、技术文件分别编制电子文件，并按“广西政府采购云平台”的要求编制、加密、上传。</w:t>
      </w:r>
    </w:p>
    <w:p>
      <w:pPr>
        <w:pStyle w:val="6"/>
        <w:keepNext w:val="0"/>
        <w:keepLines w:val="0"/>
        <w:numPr>
          <w:ilvl w:val="0"/>
          <w:numId w:val="0"/>
        </w:numPr>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19.</w:t>
      </w:r>
      <w:bookmarkStart w:id="121" w:name="_Hlk65832616"/>
      <w:r>
        <w:rPr>
          <w:rFonts w:hint="eastAsia" w:ascii="宋体" w:hAnsi="宋体" w:cs="宋体"/>
          <w:b w:val="0"/>
          <w:sz w:val="21"/>
          <w:szCs w:val="21"/>
        </w:rPr>
        <w:t>3投标文件须由投标人在规定位置盖公章并签字</w:t>
      </w:r>
      <w:bookmarkStart w:id="122" w:name="_Hlk65832569"/>
      <w:r>
        <w:rPr>
          <w:rFonts w:hint="eastAsia" w:ascii="宋体" w:hAnsi="宋体" w:cs="宋体"/>
          <w:b w:val="0"/>
          <w:sz w:val="21"/>
          <w:szCs w:val="21"/>
        </w:rPr>
        <w:t>（具体以投标人须知前附表或投标文件格式规定为准）</w:t>
      </w:r>
      <w:bookmarkEnd w:id="121"/>
      <w:bookmarkEnd w:id="122"/>
      <w:r>
        <w:rPr>
          <w:rFonts w:hint="eastAsia" w:ascii="宋体" w:hAnsi="宋体" w:cs="宋体"/>
          <w:b w:val="0"/>
          <w:sz w:val="21"/>
          <w:szCs w:val="21"/>
        </w:rPr>
        <w:t>，</w:t>
      </w:r>
      <w:r>
        <w:rPr>
          <w:rFonts w:hint="eastAsia" w:ascii="宋体" w:hAnsi="宋体" w:cs="宋体"/>
          <w:bCs/>
          <w:sz w:val="21"/>
          <w:szCs w:val="21"/>
        </w:rPr>
        <w:t>否则按无效投标处理</w:t>
      </w:r>
      <w:r>
        <w:rPr>
          <w:rFonts w:hint="eastAsia" w:ascii="宋体" w:hAnsi="宋体" w:cs="宋体"/>
          <w:b w:val="0"/>
          <w:sz w:val="21"/>
          <w:szCs w:val="21"/>
        </w:rPr>
        <w:t>。</w:t>
      </w:r>
    </w:p>
    <w:p>
      <w:pPr>
        <w:pStyle w:val="6"/>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 19.4投标文件中标注的投标人名称应与主体资格证明（如营业执照、事业单位法人证书、执业许可证、自然人身份证等）及公章一致，</w:t>
      </w:r>
      <w:r>
        <w:rPr>
          <w:rFonts w:hint="eastAsia" w:ascii="宋体" w:hAnsi="宋体" w:cs="宋体"/>
          <w:sz w:val="21"/>
          <w:szCs w:val="21"/>
        </w:rPr>
        <w:t>否则按无效投标处理</w:t>
      </w:r>
      <w:r>
        <w:rPr>
          <w:rFonts w:hint="eastAsia" w:ascii="宋体" w:hAnsi="宋体" w:cs="宋体"/>
          <w:b w:val="0"/>
          <w:sz w:val="21"/>
          <w:szCs w:val="21"/>
        </w:rPr>
        <w:t>。</w:t>
      </w:r>
    </w:p>
    <w:p>
      <w:pPr>
        <w:pStyle w:val="6"/>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20.投标文件的加密、解密</w:t>
      </w:r>
    </w:p>
    <w:p>
      <w:pPr>
        <w:pStyle w:val="6"/>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 20.1电子投标文件编制完成后，投标人应按“广西政府采购云平台”的要求进行加密，并在规定时间内解密，否则，由此产生的后果由投标人自行负责。</w:t>
      </w:r>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21.投标文件的提交</w:t>
      </w:r>
    </w:p>
    <w:p>
      <w:pPr>
        <w:pStyle w:val="6"/>
        <w:keepNext w:val="0"/>
        <w:keepLines w:val="0"/>
        <w:numPr>
          <w:ilvl w:val="0"/>
          <w:numId w:val="0"/>
        </w:numPr>
        <w:spacing w:before="0" w:after="0" w:line="360" w:lineRule="auto"/>
        <w:ind w:firstLine="420" w:firstLineChars="200"/>
        <w:rPr>
          <w:rFonts w:ascii="宋体" w:hAnsi="宋体" w:cs="宋体"/>
          <w:b w:val="0"/>
          <w:sz w:val="21"/>
          <w:szCs w:val="21"/>
        </w:rPr>
      </w:pPr>
      <w:bookmarkStart w:id="123" w:name="_21.1投标人必须在“投标人须知中的前附表”规定的投标文件接收时间和投"/>
      <w:bookmarkEnd w:id="123"/>
      <w:r>
        <w:rPr>
          <w:rFonts w:hint="eastAsia" w:ascii="宋体" w:hAnsi="宋体" w:cs="宋体"/>
          <w:b w:val="0"/>
          <w:sz w:val="21"/>
          <w:szCs w:val="21"/>
        </w:rPr>
        <w:t>21.1投标人必须在“投标人须知前附表”规定的投标文件接收时间和投标地点提交投标文件。</w:t>
      </w:r>
    </w:p>
    <w:p>
      <w:pPr>
        <w:pStyle w:val="6"/>
        <w:keepNext w:val="0"/>
        <w:keepLines w:val="0"/>
        <w:numPr>
          <w:ilvl w:val="0"/>
          <w:numId w:val="0"/>
        </w:numPr>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pPr>
        <w:pStyle w:val="6"/>
        <w:keepNext w:val="0"/>
        <w:keepLines w:val="0"/>
        <w:numPr>
          <w:ilvl w:val="0"/>
          <w:numId w:val="0"/>
        </w:numPr>
        <w:spacing w:before="0" w:after="0" w:line="360" w:lineRule="auto"/>
        <w:ind w:firstLine="420" w:firstLineChars="200"/>
        <w:jc w:val="left"/>
        <w:rPr>
          <w:rFonts w:ascii="宋体" w:hAnsi="宋体" w:cs="宋体"/>
          <w:b w:val="0"/>
          <w:sz w:val="21"/>
          <w:szCs w:val="21"/>
        </w:rPr>
      </w:pPr>
      <w:r>
        <w:rPr>
          <w:rFonts w:hint="eastAsia" w:ascii="宋体" w:hAnsi="宋体" w:cs="宋体"/>
          <w:b w:val="0"/>
          <w:sz w:val="21"/>
          <w:szCs w:val="21"/>
        </w:rPr>
        <w:t>21.3未在规定时间内上传或者未按“广西政府采购云平台”的要求编制、加密的电子投标文件，“广西政府采购云平台”将拒收。</w:t>
      </w:r>
    </w:p>
    <w:p>
      <w:pPr>
        <w:pStyle w:val="7"/>
        <w:rPr>
          <w:rFonts w:ascii="宋体" w:hAnsi="宋体" w:cs="宋体"/>
        </w:rPr>
      </w:pPr>
      <w:r>
        <w:rPr>
          <w:rFonts w:hint="eastAsia" w:ascii="宋体" w:hAnsi="宋体" w:cs="宋体"/>
          <w:szCs w:val="21"/>
        </w:rPr>
        <w:t>21.4电子投标文件提交方式见“招标公告”中“四、提交投标文件截止时间、开标时间和地点”</w:t>
      </w:r>
    </w:p>
    <w:p>
      <w:pPr>
        <w:pStyle w:val="7"/>
        <w:rPr>
          <w:rFonts w:ascii="宋体" w:hAnsi="宋体" w:cs="宋体"/>
        </w:rPr>
      </w:pPr>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22. 投标文件的补充、修改、撤回与退回</w:t>
      </w:r>
    </w:p>
    <w:p>
      <w:pPr>
        <w:snapToGrid w:val="0"/>
        <w:spacing w:line="360" w:lineRule="auto"/>
        <w:ind w:firstLine="420"/>
        <w:jc w:val="left"/>
        <w:rPr>
          <w:rFonts w:ascii="宋体" w:hAnsi="宋体" w:cs="宋体"/>
          <w:szCs w:val="21"/>
        </w:rPr>
      </w:pPr>
      <w:bookmarkStart w:id="124" w:name="_Toc254970543"/>
      <w:bookmarkStart w:id="125" w:name="_Toc254970684"/>
      <w:r>
        <w:rPr>
          <w:rFonts w:hint="eastAsia" w:ascii="宋体" w:hAnsi="宋体" w:cs="宋体"/>
          <w:szCs w:val="21"/>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24"/>
    <w:bookmarkEnd w:id="125"/>
    <w:p>
      <w:pPr>
        <w:snapToGrid w:val="0"/>
        <w:spacing w:line="360" w:lineRule="auto"/>
        <w:ind w:firstLine="420"/>
        <w:jc w:val="left"/>
        <w:rPr>
          <w:rFonts w:ascii="宋体" w:hAnsi="宋体" w:cs="宋体"/>
          <w:szCs w:val="21"/>
        </w:rPr>
      </w:pPr>
      <w:r>
        <w:rPr>
          <w:rFonts w:hint="eastAsia" w:ascii="宋体" w:hAnsi="宋体" w:cs="宋体"/>
          <w:szCs w:val="21"/>
        </w:rPr>
        <w:t>22.2在投标截止时间止提交投标文件的投标人不足3家时，不得开标，采购代理机构将根据“广西政府采购云平台”的操作将电子版投标文件退回，除此之外采购人和采购代理机构对已提交的投标文件概不退回。</w:t>
      </w:r>
    </w:p>
    <w:p>
      <w:pPr>
        <w:spacing w:line="360" w:lineRule="auto"/>
        <w:ind w:firstLine="420" w:firstLineChars="200"/>
        <w:rPr>
          <w:rFonts w:ascii="宋体" w:hAnsi="宋体" w:cs="宋体"/>
          <w:szCs w:val="21"/>
        </w:rPr>
      </w:pPr>
      <w:r>
        <w:rPr>
          <w:rFonts w:hint="eastAsia" w:ascii="宋体" w:hAnsi="宋体" w:cs="宋体"/>
          <w:szCs w:val="21"/>
        </w:rPr>
        <w:t>22.3 投标人在投标截止时间后书面通知采购人、采购代理机构撤销投标文件的，将根据本须知正文18.4的规定不予退还其投标保证金。</w:t>
      </w:r>
    </w:p>
    <w:p>
      <w:pPr>
        <w:pStyle w:val="20"/>
        <w:snapToGrid w:val="0"/>
        <w:spacing w:line="360" w:lineRule="auto"/>
        <w:ind w:firstLine="739"/>
        <w:rPr>
          <w:rFonts w:ascii="宋体" w:hAnsi="宋体" w:eastAsia="宋体" w:cs="宋体"/>
          <w:snapToGrid w:val="0"/>
          <w:sz w:val="21"/>
          <w:szCs w:val="21"/>
        </w:rPr>
      </w:pPr>
    </w:p>
    <w:p>
      <w:pPr>
        <w:pStyle w:val="4"/>
        <w:keepNext w:val="0"/>
        <w:keepLines w:val="0"/>
        <w:jc w:val="center"/>
        <w:rPr>
          <w:rFonts w:ascii="宋体" w:hAnsi="宋体" w:cs="宋体"/>
        </w:rPr>
      </w:pPr>
      <w:bookmarkStart w:id="126" w:name="_Toc254970685"/>
      <w:bookmarkStart w:id="127" w:name="_Toc254970544"/>
      <w:r>
        <w:rPr>
          <w:rFonts w:hint="eastAsia" w:ascii="宋体" w:hAnsi="宋体" w:cs="宋体"/>
        </w:rPr>
        <w:t>四、开    标</w:t>
      </w:r>
      <w:bookmarkEnd w:id="126"/>
      <w:bookmarkEnd w:id="127"/>
    </w:p>
    <w:p>
      <w:pPr>
        <w:pStyle w:val="6"/>
        <w:keepNext w:val="0"/>
        <w:keepLines w:val="0"/>
        <w:spacing w:before="0" w:after="0" w:line="360" w:lineRule="auto"/>
        <w:ind w:left="420" w:leftChars="200"/>
        <w:rPr>
          <w:rFonts w:ascii="宋体" w:hAnsi="宋体" w:cs="宋体"/>
          <w:sz w:val="24"/>
        </w:rPr>
      </w:pPr>
      <w:bookmarkStart w:id="128" w:name="_23.开标时间和地点"/>
      <w:bookmarkEnd w:id="128"/>
      <w:r>
        <w:rPr>
          <w:rFonts w:hint="eastAsia" w:ascii="宋体" w:hAnsi="宋体" w:cs="宋体"/>
          <w:sz w:val="24"/>
        </w:rPr>
        <w:t>23.开标时间和地点</w:t>
      </w:r>
    </w:p>
    <w:p>
      <w:pPr>
        <w:snapToGrid w:val="0"/>
        <w:spacing w:line="360" w:lineRule="auto"/>
        <w:ind w:firstLine="420"/>
        <w:jc w:val="left"/>
        <w:rPr>
          <w:rFonts w:ascii="宋体" w:hAnsi="宋体" w:cs="宋体"/>
          <w:szCs w:val="21"/>
        </w:rPr>
      </w:pPr>
      <w:r>
        <w:rPr>
          <w:rFonts w:hint="eastAsia" w:ascii="宋体" w:hAnsi="宋体" w:cs="宋体"/>
          <w:szCs w:val="21"/>
        </w:rPr>
        <w:t>23.1开标时间及地点详见“投标人须知前附表”</w:t>
      </w:r>
    </w:p>
    <w:p>
      <w:pPr>
        <w:snapToGrid w:val="0"/>
        <w:spacing w:line="360" w:lineRule="auto"/>
        <w:ind w:firstLine="420"/>
        <w:jc w:val="left"/>
        <w:rPr>
          <w:rFonts w:ascii="宋体" w:hAnsi="宋体" w:cs="宋体"/>
          <w:szCs w:val="21"/>
        </w:rPr>
      </w:pPr>
      <w:r>
        <w:rPr>
          <w:rFonts w:hint="eastAsia" w:ascii="宋体" w:hAnsi="宋体" w:cs="宋体"/>
          <w:szCs w:val="21"/>
        </w:rPr>
        <w:t>23.2如投标人成功解密投标文件，但未在“广西政府采购云平台”电子开标大厅参加开标的，视同认可开标过程和结果，由此产生的后果由投标人自行负责。成功解密投标文件的投标人不足3家的，不得开标。</w:t>
      </w:r>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24.开标程序</w:t>
      </w:r>
    </w:p>
    <w:p>
      <w:pPr>
        <w:autoSpaceDE w:val="0"/>
        <w:autoSpaceDN w:val="0"/>
        <w:adjustRightInd w:val="0"/>
        <w:spacing w:line="440" w:lineRule="exact"/>
        <w:ind w:firstLine="420" w:firstLineChars="200"/>
        <w:rPr>
          <w:rFonts w:ascii="宋体" w:hAnsi="宋体" w:cs="宋体"/>
          <w:kern w:val="0"/>
          <w:szCs w:val="21"/>
        </w:rPr>
      </w:pPr>
      <w:r>
        <w:rPr>
          <w:rFonts w:hint="eastAsia" w:ascii="宋体" w:hAnsi="宋体" w:cs="宋体"/>
          <w:bCs/>
          <w:szCs w:val="21"/>
        </w:rPr>
        <w:t>24.1</w:t>
      </w:r>
      <w:r>
        <w:rPr>
          <w:rFonts w:hint="eastAsia" w:ascii="宋体" w:hAnsi="宋体" w:cs="宋体"/>
          <w:kern w:val="0"/>
          <w:szCs w:val="21"/>
        </w:rPr>
        <w:t>开标形式：</w:t>
      </w:r>
    </w:p>
    <w:p>
      <w:pPr>
        <w:autoSpaceDE w:val="0"/>
        <w:autoSpaceDN w:val="0"/>
        <w:adjustRightInd w:val="0"/>
        <w:spacing w:line="440" w:lineRule="exact"/>
        <w:ind w:firstLine="420" w:firstLineChars="200"/>
        <w:rPr>
          <w:rFonts w:ascii="宋体" w:hAnsi="宋体" w:cs="宋体"/>
          <w:bCs/>
          <w:szCs w:val="21"/>
        </w:rPr>
      </w:pPr>
      <w:r>
        <w:rPr>
          <w:rFonts w:hint="eastAsia" w:ascii="宋体" w:hAnsi="宋体" w:cs="宋体"/>
          <w:bCs/>
          <w:szCs w:val="21"/>
        </w:rPr>
        <w:t>采购代理机构将按照招标文件规定的时间通过</w:t>
      </w:r>
      <w:r>
        <w:rPr>
          <w:rFonts w:hint="eastAsia" w:ascii="宋体" w:hAnsi="宋体" w:cs="宋体"/>
          <w:szCs w:val="21"/>
        </w:rPr>
        <w:t>“广西政府采购云平台”</w:t>
      </w:r>
      <w:r>
        <w:rPr>
          <w:rFonts w:hint="eastAsia" w:ascii="宋体" w:hAnsi="宋体" w:cs="宋体"/>
          <w:bCs/>
          <w:szCs w:val="21"/>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440" w:lineRule="exact"/>
        <w:ind w:firstLine="420" w:firstLineChars="200"/>
        <w:rPr>
          <w:rFonts w:ascii="宋体" w:hAnsi="宋体" w:cs="宋体"/>
          <w:bCs/>
          <w:szCs w:val="21"/>
        </w:rPr>
      </w:pPr>
      <w:r>
        <w:rPr>
          <w:rFonts w:hint="eastAsia" w:ascii="宋体" w:hAnsi="宋体" w:cs="宋体"/>
          <w:bCs/>
          <w:szCs w:val="21"/>
        </w:rPr>
        <w:t>24.2开标程序：</w:t>
      </w:r>
    </w:p>
    <w:p>
      <w:pPr>
        <w:autoSpaceDE w:val="0"/>
        <w:autoSpaceDN w:val="0"/>
        <w:adjustRightInd w:val="0"/>
        <w:spacing w:line="440" w:lineRule="exact"/>
        <w:ind w:firstLine="420" w:firstLineChars="200"/>
        <w:rPr>
          <w:rFonts w:ascii="宋体" w:hAnsi="宋体" w:cs="宋体"/>
          <w:bCs/>
          <w:szCs w:val="21"/>
        </w:rPr>
      </w:pPr>
      <w:r>
        <w:rPr>
          <w:rFonts w:hint="eastAsia" w:ascii="宋体" w:hAnsi="宋体" w:cs="宋体"/>
          <w:bCs/>
          <w:szCs w:val="21"/>
        </w:rPr>
        <w:t>（1）解密电子投标文件。</w:t>
      </w:r>
      <w:r>
        <w:rPr>
          <w:rFonts w:hint="eastAsia" w:ascii="宋体" w:hAnsi="宋体" w:cs="宋体"/>
          <w:szCs w:val="21"/>
        </w:rPr>
        <w:t>“广西政府采购云平台”</w:t>
      </w:r>
      <w:r>
        <w:rPr>
          <w:rFonts w:hint="eastAsia" w:ascii="宋体" w:hAnsi="宋体" w:cs="宋体"/>
          <w:bCs/>
          <w:szCs w:val="21"/>
        </w:rPr>
        <w:t>按开标时间自动提取所有投标文件。采购代理机构依托</w:t>
      </w:r>
      <w:r>
        <w:rPr>
          <w:rFonts w:hint="eastAsia" w:ascii="宋体" w:hAnsi="宋体" w:cs="宋体"/>
          <w:szCs w:val="21"/>
        </w:rPr>
        <w:t>“广西政府采购云平台”</w:t>
      </w:r>
      <w:r>
        <w:rPr>
          <w:rFonts w:hint="eastAsia" w:ascii="宋体" w:hAnsi="宋体" w:cs="宋体"/>
          <w:bCs/>
          <w:szCs w:val="21"/>
        </w:rPr>
        <w:t>向各投标人发出电子加密投标文件【开始解密】通知，由投标人进行投标文件解密。</w:t>
      </w:r>
      <w:r>
        <w:rPr>
          <w:rFonts w:hint="eastAsia" w:ascii="宋体" w:hAnsi="宋体" w:cs="宋体"/>
          <w:b/>
          <w:bCs/>
          <w:szCs w:val="21"/>
        </w:rPr>
        <w:t>投标人的法定代表人或其委托代理人须携带加密时所用的CA锁准时登录到“广西政府采购云平台”电子开标大厅签到</w:t>
      </w:r>
      <w:r>
        <w:rPr>
          <w:rFonts w:hint="eastAsia" w:ascii="宋体" w:hAnsi="宋体" w:cs="宋体"/>
          <w:b/>
          <w:szCs w:val="21"/>
        </w:rPr>
        <w:t>并在发起解密</w:t>
      </w:r>
      <w:r>
        <w:rPr>
          <w:rFonts w:hint="eastAsia" w:ascii="宋体" w:hAnsi="宋体" w:cs="宋体"/>
          <w:b/>
          <w:bCs/>
          <w:szCs w:val="21"/>
        </w:rPr>
        <w:t>通知</w:t>
      </w:r>
      <w:r>
        <w:rPr>
          <w:rFonts w:hint="eastAsia" w:ascii="宋体" w:hAnsi="宋体" w:cs="宋体"/>
          <w:b/>
          <w:szCs w:val="21"/>
        </w:rPr>
        <w:t>之时起30分钟内完成</w:t>
      </w:r>
      <w:r>
        <w:rPr>
          <w:rFonts w:hint="eastAsia" w:ascii="宋体" w:hAnsi="宋体" w:cs="宋体"/>
          <w:b/>
          <w:bCs/>
          <w:szCs w:val="21"/>
        </w:rPr>
        <w:t>对电子投标文件解密。投标文件未按时解密的，视为无效投标。</w:t>
      </w:r>
      <w:r>
        <w:rPr>
          <w:rFonts w:hint="eastAsia" w:ascii="宋体" w:hAnsi="宋体" w:cs="宋体"/>
          <w:bCs/>
          <w:szCs w:val="21"/>
        </w:rPr>
        <w:t>（解密异常情况处理：详见本章29.4 电子交易活动的中止。）</w:t>
      </w:r>
    </w:p>
    <w:p>
      <w:pPr>
        <w:autoSpaceDE w:val="0"/>
        <w:autoSpaceDN w:val="0"/>
        <w:adjustRightInd w:val="0"/>
        <w:spacing w:line="440" w:lineRule="exact"/>
        <w:ind w:firstLine="420" w:firstLineChars="200"/>
        <w:rPr>
          <w:rFonts w:ascii="宋体" w:hAnsi="宋体" w:cs="宋体"/>
          <w:bCs/>
          <w:szCs w:val="21"/>
        </w:rPr>
      </w:pPr>
      <w:r>
        <w:rPr>
          <w:rFonts w:hint="eastAsia" w:ascii="宋体" w:hAnsi="宋体" w:cs="宋体"/>
          <w:bCs/>
          <w:szCs w:val="21"/>
        </w:rPr>
        <w:t>（2）电子唱标。投标文件解密结束，各投标供应商报价均在“广西政府采购云平台”远程不见面开标大厅展示；</w:t>
      </w:r>
    </w:p>
    <w:p>
      <w:pPr>
        <w:autoSpaceDE w:val="0"/>
        <w:autoSpaceDN w:val="0"/>
        <w:adjustRightInd w:val="0"/>
        <w:spacing w:line="440" w:lineRule="exact"/>
        <w:ind w:firstLine="420" w:firstLineChars="200"/>
        <w:rPr>
          <w:rFonts w:ascii="宋体" w:hAnsi="宋体" w:cs="宋体"/>
          <w:bCs/>
          <w:szCs w:val="21"/>
        </w:rPr>
      </w:pPr>
      <w:r>
        <w:rPr>
          <w:rFonts w:hint="eastAsia" w:ascii="宋体" w:hAnsi="宋体" w:cs="宋体"/>
          <w:bCs/>
          <w:szCs w:val="21"/>
        </w:rPr>
        <w:t>（3）签署电子《政府采购活动现场确认声明书》。通过邮件形式在远程不见面开标大厅发送各投标人签署电子《政府采购活动现场确认声明书》。</w:t>
      </w:r>
    </w:p>
    <w:p>
      <w:pPr>
        <w:autoSpaceDE w:val="0"/>
        <w:autoSpaceDN w:val="0"/>
        <w:adjustRightInd w:val="0"/>
        <w:spacing w:line="440" w:lineRule="exact"/>
        <w:ind w:firstLine="420" w:firstLineChars="200"/>
        <w:rPr>
          <w:rFonts w:ascii="宋体" w:hAnsi="宋体" w:cs="宋体"/>
          <w:bCs/>
          <w:szCs w:val="21"/>
        </w:rPr>
      </w:pPr>
      <w:r>
        <w:rPr>
          <w:rFonts w:hint="eastAsia" w:ascii="宋体" w:hAnsi="宋体" w:cs="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pPr>
        <w:autoSpaceDE w:val="0"/>
        <w:autoSpaceDN w:val="0"/>
        <w:adjustRightInd w:val="0"/>
        <w:spacing w:line="440" w:lineRule="exact"/>
        <w:ind w:firstLine="420" w:firstLineChars="200"/>
        <w:rPr>
          <w:rFonts w:ascii="宋体" w:hAnsi="宋体" w:cs="宋体"/>
          <w:bCs/>
          <w:szCs w:val="21"/>
        </w:rPr>
      </w:pPr>
      <w:r>
        <w:rPr>
          <w:rFonts w:hint="eastAsia" w:ascii="宋体" w:hAnsi="宋体" w:cs="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autoSpaceDE w:val="0"/>
        <w:autoSpaceDN w:val="0"/>
        <w:adjustRightInd w:val="0"/>
        <w:spacing w:line="440" w:lineRule="exact"/>
        <w:ind w:firstLine="420" w:firstLineChars="200"/>
        <w:rPr>
          <w:rFonts w:ascii="宋体" w:hAnsi="宋体" w:cs="宋体"/>
          <w:bCs/>
          <w:szCs w:val="21"/>
        </w:rPr>
      </w:pPr>
      <w:r>
        <w:rPr>
          <w:rFonts w:hint="eastAsia" w:ascii="宋体" w:hAnsi="宋体" w:cs="宋体"/>
          <w:bCs/>
          <w:szCs w:val="21"/>
        </w:rPr>
        <w:t>（6）开标结束。</w:t>
      </w:r>
    </w:p>
    <w:p>
      <w:pPr>
        <w:autoSpaceDE w:val="0"/>
        <w:autoSpaceDN w:val="0"/>
        <w:adjustRightInd w:val="0"/>
        <w:spacing w:line="440" w:lineRule="exact"/>
        <w:ind w:firstLine="422" w:firstLineChars="200"/>
        <w:rPr>
          <w:rFonts w:ascii="宋体" w:hAnsi="宋体" w:cs="宋体"/>
          <w:b/>
          <w:bCs/>
          <w:szCs w:val="21"/>
        </w:rPr>
      </w:pPr>
      <w:r>
        <w:rPr>
          <w:rFonts w:hint="eastAsia" w:ascii="宋体" w:hAnsi="宋体" w:cs="宋体"/>
          <w:b/>
          <w:bCs/>
          <w:szCs w:val="21"/>
        </w:rPr>
        <w:t>特别说明：如遇“广西政府采购云平台”电子化开标或评审程序调整的，按调整后执行。</w:t>
      </w:r>
    </w:p>
    <w:p>
      <w:pPr>
        <w:pStyle w:val="25"/>
        <w:snapToGrid w:val="0"/>
        <w:spacing w:line="360" w:lineRule="auto"/>
        <w:ind w:left="689" w:leftChars="228" w:hanging="210" w:hangingChars="100"/>
        <w:rPr>
          <w:rFonts w:hAnsi="宋体" w:cs="宋体"/>
          <w:sz w:val="21"/>
        </w:rPr>
      </w:pPr>
    </w:p>
    <w:p>
      <w:pPr>
        <w:pStyle w:val="4"/>
        <w:keepNext w:val="0"/>
        <w:keepLines w:val="0"/>
        <w:jc w:val="center"/>
        <w:rPr>
          <w:rFonts w:ascii="宋体" w:hAnsi="宋体" w:cs="宋体"/>
        </w:rPr>
      </w:pPr>
      <w:r>
        <w:rPr>
          <w:rFonts w:hint="eastAsia" w:ascii="宋体" w:hAnsi="宋体" w:cs="宋体"/>
        </w:rPr>
        <w:t>五、资格审查</w:t>
      </w:r>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25.资格审查</w:t>
      </w:r>
    </w:p>
    <w:p>
      <w:pPr>
        <w:pStyle w:val="6"/>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 25.1开标结束后，采购人或者采购代理机构依法对投标人的资格进行审查。</w:t>
      </w:r>
    </w:p>
    <w:p>
      <w:pPr>
        <w:pStyle w:val="6"/>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 25.2资格审查标准为本招标文件中载明对投标人资格要求的条件。本项目资格审查采用合格制，凡符合招标文件规定的投标人资格要求的投标人均通过资格审查。</w:t>
      </w:r>
    </w:p>
    <w:p>
      <w:pPr>
        <w:pStyle w:val="6"/>
        <w:keepNext w:val="0"/>
        <w:keepLines w:val="0"/>
        <w:numPr>
          <w:ilvl w:val="0"/>
          <w:numId w:val="0"/>
        </w:numPr>
        <w:spacing w:before="0" w:after="0" w:line="360" w:lineRule="auto"/>
        <w:ind w:firstLine="422" w:firstLineChars="200"/>
        <w:rPr>
          <w:rFonts w:ascii="宋体" w:hAnsi="宋体" w:cs="宋体"/>
          <w:sz w:val="21"/>
          <w:szCs w:val="21"/>
        </w:rPr>
      </w:pPr>
      <w:bookmarkStart w:id="129" w:name="_25.3_投标人有下列情形之一的，资格审查不通过而导致其投标无效："/>
      <w:bookmarkEnd w:id="129"/>
      <w:r>
        <w:rPr>
          <w:rFonts w:hint="eastAsia" w:ascii="宋体" w:hAnsi="宋体" w:cs="宋体"/>
          <w:sz w:val="21"/>
          <w:szCs w:val="21"/>
        </w:rPr>
        <w:t>25.3 投标人有下列情形之一的，资格审查不通过，作无效投标处理：</w:t>
      </w:r>
    </w:p>
    <w:p>
      <w:pPr>
        <w:pStyle w:val="25"/>
        <w:snapToGrid w:val="0"/>
        <w:spacing w:line="360" w:lineRule="auto"/>
        <w:ind w:firstLine="422" w:firstLineChars="200"/>
        <w:rPr>
          <w:rFonts w:hAnsi="宋体" w:cs="宋体"/>
          <w:b/>
          <w:sz w:val="21"/>
        </w:rPr>
      </w:pPr>
      <w:r>
        <w:rPr>
          <w:rFonts w:hint="eastAsia" w:hAnsi="宋体" w:cs="宋体"/>
          <w:b/>
          <w:sz w:val="21"/>
        </w:rPr>
        <w:t>（1）未按招标文件规定的方式获取本招标文件的投标人；</w:t>
      </w:r>
    </w:p>
    <w:p>
      <w:pPr>
        <w:pStyle w:val="25"/>
        <w:snapToGrid w:val="0"/>
        <w:spacing w:line="360" w:lineRule="auto"/>
        <w:ind w:firstLine="422" w:firstLineChars="200"/>
        <w:rPr>
          <w:rFonts w:hAnsi="宋体" w:cs="宋体"/>
          <w:b/>
          <w:sz w:val="21"/>
        </w:rPr>
      </w:pPr>
      <w:r>
        <w:rPr>
          <w:rFonts w:hint="eastAsia" w:hAnsi="宋体" w:cs="宋体"/>
          <w:b/>
          <w:sz w:val="21"/>
        </w:rPr>
        <w:t>（2）不具备招标文件中规定的资格要求的；</w:t>
      </w:r>
    </w:p>
    <w:p>
      <w:pPr>
        <w:pStyle w:val="25"/>
        <w:snapToGrid w:val="0"/>
        <w:spacing w:line="360" w:lineRule="auto"/>
        <w:ind w:firstLine="422" w:firstLineChars="200"/>
        <w:rPr>
          <w:rFonts w:hAnsi="宋体" w:cs="宋体"/>
          <w:b/>
          <w:sz w:val="21"/>
        </w:rPr>
      </w:pPr>
      <w:r>
        <w:rPr>
          <w:rFonts w:hint="eastAsia" w:hAnsi="宋体" w:cs="宋体"/>
          <w:b/>
          <w:sz w:val="21"/>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pPr>
        <w:pStyle w:val="25"/>
        <w:snapToGrid w:val="0"/>
        <w:spacing w:line="360" w:lineRule="auto"/>
        <w:ind w:firstLine="422" w:firstLineChars="200"/>
        <w:rPr>
          <w:rFonts w:hAnsi="宋体" w:cs="宋体"/>
          <w:b/>
          <w:sz w:val="21"/>
        </w:rPr>
      </w:pPr>
      <w:r>
        <w:rPr>
          <w:rFonts w:hint="eastAsia" w:hAnsi="宋体" w:cs="宋体"/>
          <w:b/>
          <w:sz w:val="21"/>
        </w:rPr>
        <w:t>（4）同一合同项下的不同投标人，单位负责人为同一人或者存在直接控股、管理关系的；为本项目提供过整体设计、规范编制或者项目管理、监理、检测等服务的供应商，再参加该采购项目的其他采购活动的；</w:t>
      </w:r>
    </w:p>
    <w:p>
      <w:pPr>
        <w:pStyle w:val="25"/>
        <w:snapToGrid w:val="0"/>
        <w:spacing w:line="360" w:lineRule="auto"/>
        <w:ind w:firstLine="422" w:firstLineChars="200"/>
        <w:rPr>
          <w:rFonts w:hAnsi="宋体" w:cs="宋体"/>
          <w:b/>
          <w:sz w:val="21"/>
        </w:rPr>
      </w:pPr>
      <w:r>
        <w:rPr>
          <w:rFonts w:hint="eastAsia" w:hAnsi="宋体" w:cs="宋体"/>
          <w:b/>
          <w:sz w:val="21"/>
        </w:rPr>
        <w:t>（5）投标文件中的资格证明文件缺少任一项“投标人须知前附表”资格证明文件规定“必须提供”的文件资料的；</w:t>
      </w:r>
    </w:p>
    <w:p>
      <w:pPr>
        <w:pStyle w:val="25"/>
        <w:snapToGrid w:val="0"/>
        <w:spacing w:line="360" w:lineRule="auto"/>
        <w:ind w:firstLine="422" w:firstLineChars="200"/>
        <w:rPr>
          <w:rFonts w:hAnsi="宋体" w:cs="宋体"/>
          <w:b/>
          <w:sz w:val="21"/>
        </w:rPr>
      </w:pPr>
      <w:r>
        <w:rPr>
          <w:rFonts w:hint="eastAsia" w:hAnsi="宋体" w:cs="宋体"/>
          <w:b/>
          <w:sz w:val="21"/>
        </w:rPr>
        <w:t>（6）投标文件中的资格证明文件出现任一项不符合“投标人须知前附表”资格证明文件规定“必须提供”的文件资料要求或者无效的。</w:t>
      </w:r>
    </w:p>
    <w:p>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sz w:val="21"/>
          <w:szCs w:val="21"/>
        </w:rPr>
        <w:t>25.4合格投标人不足3家的，不得评标。</w:t>
      </w:r>
    </w:p>
    <w:p>
      <w:pPr>
        <w:pStyle w:val="25"/>
        <w:snapToGrid w:val="0"/>
        <w:spacing w:line="360" w:lineRule="auto"/>
        <w:ind w:left="689" w:leftChars="228" w:hanging="210" w:hangingChars="100"/>
        <w:rPr>
          <w:rFonts w:hAnsi="宋体" w:cs="宋体"/>
          <w:sz w:val="21"/>
        </w:rPr>
      </w:pPr>
    </w:p>
    <w:p>
      <w:pPr>
        <w:pStyle w:val="4"/>
        <w:keepNext w:val="0"/>
        <w:keepLines w:val="0"/>
        <w:jc w:val="center"/>
        <w:rPr>
          <w:rFonts w:ascii="宋体" w:hAnsi="宋体" w:cs="宋体"/>
        </w:rPr>
      </w:pPr>
      <w:r>
        <w:rPr>
          <w:rFonts w:hint="eastAsia" w:ascii="宋体" w:hAnsi="宋体" w:cs="宋体"/>
        </w:rPr>
        <w:t>六、评   标</w:t>
      </w:r>
    </w:p>
    <w:p>
      <w:pPr>
        <w:pStyle w:val="6"/>
        <w:keepNext w:val="0"/>
        <w:keepLines w:val="0"/>
        <w:spacing w:before="0" w:after="0" w:line="360" w:lineRule="auto"/>
        <w:ind w:left="420" w:leftChars="200"/>
        <w:rPr>
          <w:rFonts w:ascii="宋体" w:hAnsi="宋体" w:cs="宋体"/>
          <w:sz w:val="24"/>
        </w:rPr>
      </w:pPr>
      <w:bookmarkStart w:id="130" w:name="_26.组建评标委员会"/>
      <w:bookmarkEnd w:id="130"/>
      <w:r>
        <w:rPr>
          <w:rFonts w:hint="eastAsia" w:ascii="宋体" w:hAnsi="宋体" w:cs="宋体"/>
          <w:sz w:val="24"/>
        </w:rPr>
        <w:t>26.组建评标委员会</w:t>
      </w:r>
    </w:p>
    <w:p>
      <w:pPr>
        <w:spacing w:line="360" w:lineRule="auto"/>
        <w:ind w:firstLine="420" w:firstLineChars="200"/>
        <w:rPr>
          <w:rFonts w:ascii="宋体" w:hAnsi="宋体" w:cs="宋体"/>
        </w:rPr>
      </w:pPr>
      <w:r>
        <w:rPr>
          <w:rFonts w:hint="eastAsia" w:ascii="宋体" w:hAnsi="宋体" w:cs="宋体"/>
        </w:rPr>
        <w:t>评标委员会由采购人代表和评审专家组成，人数为5人以上单数，其中评审专家不得少于成员总数的三分之二。</w:t>
      </w:r>
    </w:p>
    <w:p>
      <w:pPr>
        <w:pStyle w:val="25"/>
        <w:snapToGrid w:val="0"/>
        <w:spacing w:line="360" w:lineRule="auto"/>
        <w:ind w:left="2" w:leftChars="1" w:firstLine="420" w:firstLineChars="200"/>
        <w:rPr>
          <w:rFonts w:hAnsi="宋体" w:cs="宋体"/>
          <w:sz w:val="21"/>
        </w:rPr>
      </w:pPr>
      <w:r>
        <w:rPr>
          <w:rFonts w:hint="eastAsia" w:hAnsi="宋体" w:cs="宋体"/>
          <w:sz w:val="21"/>
        </w:rPr>
        <w:t>参加过采购项目前期咨询论证的专家，不得参加该采购项目的评审活动。</w:t>
      </w:r>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27.评标的依据</w:t>
      </w:r>
    </w:p>
    <w:p>
      <w:pPr>
        <w:pStyle w:val="25"/>
        <w:snapToGrid w:val="0"/>
        <w:spacing w:line="360" w:lineRule="auto"/>
        <w:ind w:firstLine="420" w:firstLineChars="200"/>
        <w:rPr>
          <w:rFonts w:hAnsi="宋体" w:cs="宋体"/>
          <w:sz w:val="21"/>
        </w:rPr>
      </w:pPr>
      <w:r>
        <w:rPr>
          <w:rFonts w:hint="eastAsia" w:hAnsi="宋体" w:cs="宋体"/>
          <w:sz w:val="21"/>
        </w:rPr>
        <w:t>评标委员会以“第四章 评标方法和评标标准”为依据对投标文件进行评审，没有规定的方法、评审因素和标准，不作为评标依据。</w:t>
      </w:r>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28.评标原则</w:t>
      </w:r>
    </w:p>
    <w:p>
      <w:pPr>
        <w:pStyle w:val="25"/>
        <w:snapToGrid w:val="0"/>
        <w:spacing w:line="360" w:lineRule="auto"/>
        <w:ind w:firstLine="420" w:firstLineChars="200"/>
        <w:rPr>
          <w:rFonts w:hAnsi="宋体" w:cs="宋体"/>
          <w:sz w:val="21"/>
        </w:rPr>
      </w:pPr>
      <w:r>
        <w:rPr>
          <w:rFonts w:hint="eastAsia" w:hAnsi="宋体" w:cs="宋体"/>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25"/>
        <w:snapToGrid w:val="0"/>
        <w:spacing w:line="360" w:lineRule="auto"/>
        <w:ind w:firstLine="420" w:firstLineChars="200"/>
        <w:rPr>
          <w:rFonts w:hAnsi="宋体" w:cs="宋体"/>
          <w:sz w:val="21"/>
        </w:rPr>
      </w:pPr>
      <w:r>
        <w:rPr>
          <w:rFonts w:hint="eastAsia" w:hAnsi="宋体" w:cs="宋体"/>
          <w:sz w:val="21"/>
        </w:rPr>
        <w:t>28.2</w:t>
      </w:r>
      <w:bookmarkStart w:id="131" w:name="_28.3评标方法。本项目将按须知前附表规定的评标办法进行评标，具体评标"/>
      <w:bookmarkEnd w:id="131"/>
      <w:r>
        <w:rPr>
          <w:rFonts w:hint="eastAsia" w:hAnsi="宋体" w:cs="宋体"/>
          <w:sz w:val="21"/>
        </w:rPr>
        <w:t>评委表决。评标委员会成员对需要共同认定的事项存在争议的，应当按照少数服从多数的原则作出结论。</w:t>
      </w:r>
    </w:p>
    <w:p>
      <w:pPr>
        <w:pStyle w:val="25"/>
        <w:snapToGrid w:val="0"/>
        <w:spacing w:line="360" w:lineRule="auto"/>
        <w:ind w:firstLine="420" w:firstLineChars="200"/>
        <w:rPr>
          <w:rFonts w:hAnsi="宋体" w:cs="宋体"/>
          <w:sz w:val="21"/>
        </w:rPr>
      </w:pPr>
      <w:r>
        <w:rPr>
          <w:rFonts w:hint="eastAsia" w:hAnsi="宋体" w:cs="宋体"/>
          <w:sz w:val="21"/>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5"/>
        <w:snapToGrid w:val="0"/>
        <w:spacing w:line="360" w:lineRule="auto"/>
        <w:ind w:firstLine="420" w:firstLineChars="200"/>
        <w:rPr>
          <w:rFonts w:hAnsi="宋体" w:cs="宋体"/>
          <w:sz w:val="21"/>
        </w:rPr>
      </w:pPr>
      <w:r>
        <w:rPr>
          <w:rFonts w:hint="eastAsia" w:hAnsi="宋体" w:cs="宋体"/>
          <w:sz w:val="21"/>
        </w:rPr>
        <w:t>28.4评标过程的监控。本项目评标过程实行全程录音、录像监控，</w:t>
      </w:r>
      <w:r>
        <w:rPr>
          <w:rFonts w:hint="eastAsia" w:hAnsi="宋体" w:cs="宋体"/>
          <w:b/>
          <w:bCs/>
          <w:sz w:val="21"/>
        </w:rPr>
        <w:t>投标人在评标过程中所进行的试图影响评标结果的不公正活动，可能导致其投标无效</w:t>
      </w:r>
      <w:r>
        <w:rPr>
          <w:rFonts w:hint="eastAsia" w:hAnsi="宋体" w:cs="宋体"/>
          <w:sz w:val="21"/>
        </w:rPr>
        <w:t>。</w:t>
      </w:r>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29.评标方法及中标候选人推荐</w:t>
      </w:r>
    </w:p>
    <w:p>
      <w:pPr>
        <w:pStyle w:val="25"/>
        <w:snapToGrid w:val="0"/>
        <w:spacing w:line="360" w:lineRule="auto"/>
        <w:ind w:firstLine="420" w:firstLineChars="200"/>
        <w:rPr>
          <w:rFonts w:hAnsi="宋体" w:cs="宋体"/>
          <w:sz w:val="21"/>
        </w:rPr>
      </w:pPr>
      <w:r>
        <w:rPr>
          <w:rFonts w:hint="eastAsia" w:hAnsi="宋体" w:cs="宋体"/>
          <w:sz w:val="21"/>
        </w:rPr>
        <w:t>29.1本项目的评标方法详见“投标人须知前附表”。</w:t>
      </w:r>
    </w:p>
    <w:p>
      <w:pPr>
        <w:pStyle w:val="25"/>
        <w:snapToGrid w:val="0"/>
        <w:spacing w:line="360" w:lineRule="auto"/>
        <w:ind w:firstLine="420" w:firstLineChars="200"/>
        <w:rPr>
          <w:rFonts w:hAnsi="宋体" w:cs="宋体"/>
          <w:sz w:val="21"/>
        </w:rPr>
      </w:pPr>
      <w:r>
        <w:rPr>
          <w:rFonts w:hint="eastAsia" w:hAnsi="宋体" w:cs="宋体"/>
          <w:sz w:val="21"/>
        </w:rPr>
        <w:t>29.2 中标候选人推荐数量详见“投标人须知前附表”。</w:t>
      </w:r>
    </w:p>
    <w:p>
      <w:pPr>
        <w:pStyle w:val="25"/>
        <w:snapToGrid w:val="0"/>
        <w:spacing w:line="360" w:lineRule="auto"/>
        <w:ind w:firstLine="420" w:firstLineChars="200"/>
        <w:rPr>
          <w:rFonts w:hAnsi="宋体" w:cs="宋体"/>
          <w:sz w:val="21"/>
        </w:rPr>
      </w:pPr>
      <w:r>
        <w:rPr>
          <w:rFonts w:hint="eastAsia" w:hAnsi="宋体" w:cs="宋体"/>
          <w:sz w:val="21"/>
        </w:rPr>
        <w:t>29.3评标委员会将按照“第四章 评标方法和评标标准”规定的方法、评审因素、标准和程序对投标文件进行评审。</w:t>
      </w:r>
    </w:p>
    <w:p>
      <w:pPr>
        <w:pStyle w:val="25"/>
        <w:snapToGrid w:val="0"/>
        <w:spacing w:line="360" w:lineRule="auto"/>
        <w:ind w:firstLine="420" w:firstLineChars="200"/>
        <w:rPr>
          <w:rFonts w:hAnsi="宋体" w:cs="宋体"/>
          <w:sz w:val="21"/>
        </w:rPr>
      </w:pPr>
      <w:r>
        <w:rPr>
          <w:rFonts w:hint="eastAsia" w:hAnsi="宋体" w:cs="宋体"/>
          <w:sz w:val="21"/>
        </w:rPr>
        <w:t>29.4电子交易活动的中止。采购过程中出现以下情形，导致电子交易平台无法正常运行，或者无法保证电子交易的公平、公正和安全时，采购代理机构可中止电子交易活动：</w:t>
      </w:r>
    </w:p>
    <w:p>
      <w:pPr>
        <w:pStyle w:val="25"/>
        <w:snapToGrid w:val="0"/>
        <w:spacing w:line="360" w:lineRule="auto"/>
        <w:ind w:firstLine="420" w:firstLineChars="200"/>
        <w:rPr>
          <w:rFonts w:hAnsi="宋体" w:cs="宋体"/>
          <w:sz w:val="21"/>
        </w:rPr>
      </w:pPr>
      <w:r>
        <w:rPr>
          <w:rFonts w:hint="eastAsia" w:hAnsi="宋体" w:cs="宋体"/>
          <w:sz w:val="21"/>
        </w:rPr>
        <w:t xml:space="preserve">（1）电子交易平台发生故障而无法登录访问的； </w:t>
      </w:r>
    </w:p>
    <w:p>
      <w:pPr>
        <w:pStyle w:val="25"/>
        <w:snapToGrid w:val="0"/>
        <w:spacing w:line="360" w:lineRule="auto"/>
        <w:ind w:firstLine="420" w:firstLineChars="200"/>
        <w:rPr>
          <w:rFonts w:hAnsi="宋体" w:cs="宋体"/>
          <w:sz w:val="21"/>
        </w:rPr>
      </w:pPr>
      <w:r>
        <w:rPr>
          <w:rFonts w:hint="eastAsia" w:hAnsi="宋体" w:cs="宋体"/>
          <w:sz w:val="21"/>
        </w:rPr>
        <w:t>（2）电子交易平台应用或数据库出现错误，不能进行正常操作的；</w:t>
      </w:r>
    </w:p>
    <w:p>
      <w:pPr>
        <w:pStyle w:val="25"/>
        <w:snapToGrid w:val="0"/>
        <w:spacing w:line="360" w:lineRule="auto"/>
        <w:ind w:firstLine="420" w:firstLineChars="200"/>
        <w:rPr>
          <w:rFonts w:hAnsi="宋体" w:cs="宋体"/>
          <w:sz w:val="21"/>
        </w:rPr>
      </w:pPr>
      <w:r>
        <w:rPr>
          <w:rFonts w:hint="eastAsia" w:hAnsi="宋体" w:cs="宋体"/>
          <w:sz w:val="21"/>
        </w:rPr>
        <w:t>（3）电子交易平台发现严重安全漏洞，有潜在泄密危险的；</w:t>
      </w:r>
    </w:p>
    <w:p>
      <w:pPr>
        <w:pStyle w:val="25"/>
        <w:snapToGrid w:val="0"/>
        <w:spacing w:line="360" w:lineRule="auto"/>
        <w:ind w:firstLine="420" w:firstLineChars="200"/>
        <w:rPr>
          <w:rFonts w:hAnsi="宋体" w:cs="宋体"/>
          <w:sz w:val="21"/>
        </w:rPr>
      </w:pPr>
      <w:r>
        <w:rPr>
          <w:rFonts w:hint="eastAsia" w:hAnsi="宋体" w:cs="宋体"/>
          <w:sz w:val="21"/>
        </w:rPr>
        <w:t xml:space="preserve">（4）病毒发作导致不能进行正常操作的； </w:t>
      </w:r>
    </w:p>
    <w:p>
      <w:pPr>
        <w:pStyle w:val="25"/>
        <w:snapToGrid w:val="0"/>
        <w:spacing w:line="360" w:lineRule="auto"/>
        <w:ind w:firstLine="420" w:firstLineChars="200"/>
        <w:rPr>
          <w:rFonts w:hAnsi="宋体" w:cs="宋体"/>
          <w:sz w:val="21"/>
        </w:rPr>
      </w:pPr>
      <w:r>
        <w:rPr>
          <w:rFonts w:hint="eastAsia" w:hAnsi="宋体" w:cs="宋体"/>
          <w:sz w:val="21"/>
        </w:rPr>
        <w:t>（5）其他无法保证电子交易的公平、公正和安全的情况。</w:t>
      </w:r>
    </w:p>
    <w:p>
      <w:pPr>
        <w:pStyle w:val="25"/>
        <w:snapToGrid w:val="0"/>
        <w:spacing w:line="360" w:lineRule="auto"/>
        <w:ind w:firstLine="420" w:firstLineChars="200"/>
        <w:rPr>
          <w:rFonts w:hAnsi="宋体" w:cs="宋体"/>
          <w:sz w:val="21"/>
        </w:rPr>
      </w:pPr>
      <w:r>
        <w:rPr>
          <w:rFonts w:hint="eastAsia" w:hAnsi="宋体" w:cs="宋体"/>
          <w:sz w:val="21"/>
        </w:rPr>
        <w:t>29.5出现以上情形，不影响采购公平、公正性的，采购代理机构可以待上述情形消除后继续组织电子交易活动；影响或可能影响采购公平、公正性的，经采购代理机构确认后，应当重新采购。</w:t>
      </w:r>
    </w:p>
    <w:p>
      <w:pPr>
        <w:pStyle w:val="25"/>
        <w:snapToGrid w:val="0"/>
        <w:spacing w:line="360" w:lineRule="auto"/>
        <w:rPr>
          <w:rFonts w:hAnsi="宋体" w:cs="宋体"/>
          <w:sz w:val="21"/>
        </w:rPr>
      </w:pPr>
    </w:p>
    <w:p>
      <w:pPr>
        <w:pStyle w:val="4"/>
        <w:keepNext w:val="0"/>
        <w:keepLines w:val="0"/>
        <w:jc w:val="center"/>
        <w:rPr>
          <w:rFonts w:ascii="宋体" w:hAnsi="宋体" w:cs="宋体"/>
        </w:rPr>
      </w:pPr>
      <w:bookmarkStart w:id="132" w:name="_Toc254970546"/>
      <w:bookmarkStart w:id="133" w:name="_Toc254970687"/>
      <w:r>
        <w:rPr>
          <w:rFonts w:hint="eastAsia" w:ascii="宋体" w:hAnsi="宋体" w:cs="宋体"/>
        </w:rPr>
        <w:t>七、</w:t>
      </w:r>
      <w:bookmarkEnd w:id="132"/>
      <w:bookmarkEnd w:id="133"/>
      <w:r>
        <w:rPr>
          <w:rFonts w:hint="eastAsia" w:ascii="宋体" w:hAnsi="宋体" w:cs="宋体"/>
        </w:rPr>
        <w:t>中标和合同</w:t>
      </w:r>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30 确定中标人</w:t>
      </w:r>
    </w:p>
    <w:p>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ascii="宋体" w:hAnsi="宋体" w:cs="宋体"/>
          <w:szCs w:val="21"/>
        </w:rPr>
      </w:pPr>
      <w:r>
        <w:rPr>
          <w:rFonts w:hint="eastAsia" w:ascii="宋体" w:hAnsi="宋体" w:cs="宋体"/>
          <w:szCs w:val="21"/>
        </w:rPr>
        <w:t>30.2采购人在收到评标报告5个工作日内未按评标报告推荐的中标候选人顺序确定中标人，又不能说明合法理由的，视同按评标报告推荐的顺序确定排名第一的中标候选人为中标人。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ascii="宋体" w:hAnsi="宋体" w:cs="宋体"/>
          <w:szCs w:val="21"/>
        </w:rPr>
      </w:pPr>
      <w:r>
        <w:rPr>
          <w:rFonts w:hint="eastAsia" w:ascii="宋体" w:hAnsi="宋体" w:cs="宋体"/>
          <w:szCs w:val="21"/>
        </w:rPr>
        <w:t>30.3出现下列情形之一的，应予废标：</w:t>
      </w:r>
    </w:p>
    <w:p>
      <w:pPr>
        <w:snapToGrid w:val="0"/>
        <w:spacing w:line="360" w:lineRule="auto"/>
        <w:ind w:firstLine="420" w:firstLineChars="200"/>
        <w:rPr>
          <w:rFonts w:ascii="宋体" w:hAnsi="宋体" w:cs="宋体"/>
          <w:szCs w:val="21"/>
        </w:rPr>
      </w:pPr>
      <w:r>
        <w:rPr>
          <w:rFonts w:hint="eastAsia" w:ascii="宋体" w:hAnsi="宋体" w:cs="宋体"/>
          <w:szCs w:val="21"/>
        </w:rPr>
        <w:t>（1）符合专业条件的供应商或者对招标文件作实质响应的供应商不足三家的；</w:t>
      </w:r>
    </w:p>
    <w:p>
      <w:pPr>
        <w:snapToGrid w:val="0"/>
        <w:spacing w:line="360" w:lineRule="auto"/>
        <w:ind w:firstLine="420" w:firstLineChars="200"/>
        <w:rPr>
          <w:rFonts w:ascii="宋体" w:hAnsi="宋体" w:cs="宋体"/>
          <w:szCs w:val="21"/>
        </w:rPr>
      </w:pPr>
      <w:r>
        <w:rPr>
          <w:rFonts w:hint="eastAsia" w:ascii="宋体" w:hAnsi="宋体" w:cs="宋体"/>
          <w:szCs w:val="21"/>
        </w:rPr>
        <w:t>（2）出现影响采购公正的违法、违规行为的；</w:t>
      </w:r>
    </w:p>
    <w:p>
      <w:pPr>
        <w:snapToGrid w:val="0"/>
        <w:spacing w:line="360" w:lineRule="auto"/>
        <w:ind w:firstLine="420" w:firstLineChars="200"/>
        <w:rPr>
          <w:rFonts w:ascii="宋体" w:hAnsi="宋体" w:cs="宋体"/>
          <w:szCs w:val="21"/>
        </w:rPr>
      </w:pPr>
      <w:r>
        <w:rPr>
          <w:rFonts w:hint="eastAsia" w:ascii="宋体" w:hAnsi="宋体" w:cs="宋体"/>
          <w:szCs w:val="21"/>
        </w:rPr>
        <w:t>（3）投标人的报价均超过了采购预算，采购人不能支付的；</w:t>
      </w:r>
    </w:p>
    <w:p>
      <w:pPr>
        <w:snapToGrid w:val="0"/>
        <w:spacing w:line="360" w:lineRule="auto"/>
        <w:ind w:firstLine="420" w:firstLineChars="200"/>
        <w:rPr>
          <w:rFonts w:ascii="宋体" w:hAnsi="宋体" w:cs="宋体"/>
          <w:szCs w:val="21"/>
        </w:rPr>
      </w:pPr>
      <w:r>
        <w:rPr>
          <w:rFonts w:hint="eastAsia" w:ascii="宋体" w:hAnsi="宋体" w:cs="宋体"/>
          <w:szCs w:val="21"/>
        </w:rPr>
        <w:t>（4）因重大变故，采购任务取消的。</w:t>
      </w:r>
    </w:p>
    <w:p>
      <w:pPr>
        <w:snapToGrid w:val="0"/>
        <w:spacing w:line="360" w:lineRule="auto"/>
        <w:ind w:firstLine="420" w:firstLineChars="200"/>
        <w:rPr>
          <w:rFonts w:ascii="宋体" w:hAnsi="宋体" w:cs="宋体"/>
          <w:szCs w:val="21"/>
        </w:rPr>
      </w:pPr>
      <w:r>
        <w:rPr>
          <w:rFonts w:hint="eastAsia" w:ascii="宋体" w:hAnsi="宋体" w:cs="宋体"/>
          <w:szCs w:val="21"/>
        </w:rPr>
        <w:t>废标后，采购人应当将废标理由通知所有投标人。</w:t>
      </w:r>
    </w:p>
    <w:p>
      <w:pPr>
        <w:snapToGrid w:val="0"/>
        <w:spacing w:line="360" w:lineRule="auto"/>
        <w:ind w:firstLine="420" w:firstLineChars="200"/>
        <w:rPr>
          <w:rFonts w:ascii="宋体" w:hAnsi="宋体" w:cs="宋体"/>
          <w:szCs w:val="21"/>
        </w:rPr>
      </w:pPr>
      <w:r>
        <w:rPr>
          <w:rFonts w:hint="eastAsia" w:ascii="宋体" w:hAnsi="宋体" w:cs="宋体"/>
          <w:szCs w:val="21"/>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31. 结果公告</w:t>
      </w:r>
    </w:p>
    <w:p>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31.1采购人或者采购代理机构应当自中标人确定之日起2个工作日内，在省级以上财政部门指定的媒体上公告中标结果，招标文件应当随中标结果同时公告。</w:t>
      </w:r>
      <w:r>
        <w:rPr>
          <w:rFonts w:hint="eastAsia" w:ascii="宋体" w:hAnsi="宋体" w:cs="宋体"/>
          <w:sz w:val="21"/>
          <w:szCs w:val="21"/>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b w:val="0"/>
          <w:sz w:val="21"/>
          <w:szCs w:val="21"/>
        </w:rPr>
        <w:t>排名第二的中标候选人因前款规定的同样原因被取消中标资格的，采购人可以确定排名第三的中标候选人为中标人，以此类推。以上信息查询记录及相关证据与采购文件一并保存。</w:t>
      </w:r>
    </w:p>
    <w:p>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31.2中标供应商享受《政府采购促进中小企业发展管理办法》（财库〔2020〕46号）规定的中小企业扶持政策的，采购人、采购代理机构应当随中标结果公开中标供应商的《中小企业声明函》。</w:t>
      </w:r>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32.发出中标通知书</w:t>
      </w:r>
    </w:p>
    <w:p>
      <w:pPr>
        <w:pStyle w:val="6"/>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在公告中标结果的同时，采购代理机构向中标人发出中标通知书。对未通过资格审查的投标人，应当告知其未通过的原因；采用综合评分办法评审的，还应当告知未中标人本人的评审得分与排序。</w:t>
      </w:r>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33. 无义务解释未中标原因</w:t>
      </w:r>
    </w:p>
    <w:p>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采购代理机构无义务向未中标的投标人解释未中标原因和退还投标文件。</w:t>
      </w:r>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34.合同授予标准</w:t>
      </w:r>
    </w:p>
    <w:p>
      <w:pPr>
        <w:snapToGrid w:val="0"/>
        <w:spacing w:line="360" w:lineRule="auto"/>
        <w:ind w:firstLine="420" w:firstLineChars="200"/>
        <w:rPr>
          <w:rFonts w:ascii="宋体" w:hAnsi="宋体" w:cs="宋体"/>
          <w:szCs w:val="21"/>
        </w:rPr>
      </w:pPr>
      <w:r>
        <w:rPr>
          <w:rFonts w:hint="eastAsia" w:ascii="宋体" w:hAnsi="宋体" w:cs="宋体"/>
          <w:szCs w:val="21"/>
        </w:rPr>
        <w:t>合同将授予被确定实质上响应招标文件要求，具备履行合同能力的中标人。</w:t>
      </w:r>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35.履约保证金</w:t>
      </w:r>
    </w:p>
    <w:p>
      <w:pPr>
        <w:pStyle w:val="6"/>
        <w:keepNext w:val="0"/>
        <w:keepLines w:val="0"/>
        <w:spacing w:before="0" w:after="0" w:line="360" w:lineRule="auto"/>
        <w:ind w:firstLine="315" w:firstLineChars="150"/>
        <w:rPr>
          <w:rFonts w:ascii="宋体" w:hAnsi="宋体" w:cs="宋体"/>
          <w:b w:val="0"/>
          <w:sz w:val="21"/>
          <w:szCs w:val="21"/>
        </w:rPr>
      </w:pPr>
      <w:bookmarkStart w:id="134" w:name="_39.1中标人须于签订合同前按本须知前附表规定的金额转账或电汇到指定账"/>
      <w:bookmarkEnd w:id="134"/>
      <w:r>
        <w:rPr>
          <w:rFonts w:hint="eastAsia" w:ascii="宋体" w:hAnsi="宋体" w:cs="宋体"/>
          <w:b w:val="0"/>
          <w:sz w:val="21"/>
          <w:szCs w:val="21"/>
        </w:rPr>
        <w:t xml:space="preserve"> 35.1 履约保证金的金额、提交方式、退付的时间和条件详见 “投标人须知前附表”。中标人未按规定提交履约保证金的，视为拒绝与采购人签订合同。</w:t>
      </w:r>
    </w:p>
    <w:p>
      <w:pPr>
        <w:pStyle w:val="6"/>
        <w:keepNext w:val="0"/>
        <w:keepLines w:val="0"/>
        <w:spacing w:before="0" w:after="0" w:line="360" w:lineRule="auto"/>
        <w:ind w:firstLine="316" w:firstLineChars="150"/>
        <w:rPr>
          <w:rFonts w:ascii="宋体" w:hAnsi="宋体" w:cs="宋体"/>
          <w:sz w:val="21"/>
          <w:szCs w:val="21"/>
        </w:rPr>
      </w:pPr>
      <w:r>
        <w:rPr>
          <w:rFonts w:hint="eastAsia" w:ascii="宋体" w:hAnsi="宋体" w:cs="宋体"/>
          <w:sz w:val="21"/>
          <w:szCs w:val="21"/>
        </w:rPr>
        <w:t xml:space="preserve"> </w:t>
      </w:r>
      <w:r>
        <w:rPr>
          <w:rFonts w:hint="eastAsia" w:ascii="宋体" w:hAnsi="宋体" w:cs="宋体"/>
          <w:b w:val="0"/>
          <w:bCs/>
          <w:sz w:val="21"/>
          <w:szCs w:val="21"/>
        </w:rPr>
        <w:t>35.2在履约保证金退还日期前，若中标人的开户名称、开户银行、帐号有变动的，请以书面形式通知履约保证金收取单位，否则由此产生的后果由中标人自行承担。</w:t>
      </w:r>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36.签订合同</w:t>
      </w:r>
    </w:p>
    <w:p>
      <w:pPr>
        <w:pStyle w:val="6"/>
        <w:keepNext w:val="0"/>
        <w:keepLines w:val="0"/>
        <w:spacing w:before="0" w:after="0" w:line="360" w:lineRule="auto"/>
        <w:ind w:firstLine="315" w:firstLineChars="150"/>
        <w:rPr>
          <w:rFonts w:ascii="宋体" w:hAnsi="宋体" w:cs="宋体"/>
          <w:b w:val="0"/>
          <w:bCs/>
          <w:sz w:val="21"/>
          <w:szCs w:val="21"/>
        </w:rPr>
      </w:pPr>
      <w:bookmarkStart w:id="135" w:name="_40.1投标人接到中标通知书后，按须知前附表规定向采购人出示相关资格证"/>
      <w:bookmarkEnd w:id="135"/>
      <w:r>
        <w:rPr>
          <w:rFonts w:hint="eastAsia" w:ascii="宋体" w:hAnsi="宋体" w:cs="宋体"/>
          <w:b w:val="0"/>
          <w:sz w:val="21"/>
          <w:szCs w:val="21"/>
        </w:rPr>
        <w:t xml:space="preserve"> 36.1投标人领取中标通知书（书面或电子）后，按“投标人须知前附表”规定向采购人出示相关证明材料，经采购人核验合格后方可签订采购合同（书面或电子）。</w:t>
      </w:r>
      <w:r>
        <w:rPr>
          <w:rFonts w:hint="eastAsia" w:ascii="宋体" w:hAnsi="宋体" w:cs="宋体"/>
          <w:b w:val="0"/>
          <w:bCs/>
          <w:sz w:val="21"/>
          <w:szCs w:val="21"/>
        </w:rPr>
        <w:t>如中标人为联合体的，联合体各方应当共同与采购人签订采购合同，就采购合同约定的事项对采购人承担连带责任。</w:t>
      </w:r>
    </w:p>
    <w:p>
      <w:pPr>
        <w:pStyle w:val="6"/>
        <w:keepNext w:val="0"/>
        <w:keepLines w:val="0"/>
        <w:numPr>
          <w:ilvl w:val="0"/>
          <w:numId w:val="0"/>
        </w:numPr>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36.2签订合同时间：按中标通知书规定的时间与采购人签订合同（最长不能超过25日）。</w:t>
      </w:r>
    </w:p>
    <w:p>
      <w:pPr>
        <w:pStyle w:val="6"/>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 36.3中标人拒绝与采购人签订合同的，按照本须知正文第30.4条的规定执行。</w:t>
      </w:r>
    </w:p>
    <w:p>
      <w:pPr>
        <w:pStyle w:val="6"/>
        <w:keepNext w:val="0"/>
        <w:keepLines w:val="0"/>
        <w:spacing w:before="0" w:after="0" w:line="360" w:lineRule="auto"/>
        <w:ind w:left="420" w:leftChars="200"/>
        <w:rPr>
          <w:rFonts w:ascii="宋体" w:hAnsi="宋体" w:cs="宋体"/>
          <w:sz w:val="24"/>
        </w:rPr>
      </w:pPr>
      <w:bookmarkStart w:id="136" w:name="_41.政府采购合同公告"/>
      <w:bookmarkEnd w:id="136"/>
      <w:r>
        <w:rPr>
          <w:rFonts w:hint="eastAsia" w:ascii="宋体" w:hAnsi="宋体" w:cs="宋体"/>
          <w:sz w:val="24"/>
        </w:rPr>
        <w:t>37.政府采购合同公告</w:t>
      </w:r>
    </w:p>
    <w:p>
      <w:pPr>
        <w:pStyle w:val="25"/>
        <w:snapToGrid w:val="0"/>
        <w:spacing w:line="360" w:lineRule="auto"/>
        <w:ind w:firstLine="420" w:firstLineChars="200"/>
        <w:rPr>
          <w:rFonts w:hAnsi="宋体" w:cs="宋体"/>
          <w:sz w:val="21"/>
        </w:rPr>
      </w:pPr>
      <w:r>
        <w:rPr>
          <w:rFonts w:hint="eastAsia" w:hAnsi="宋体" w:cs="宋体"/>
          <w:sz w:val="21"/>
        </w:rPr>
        <w:t>采购人或者受托采购代理机构应当自政府采购合同签订之日起2个工作日内，将政府采购合同在省级以上人民政府财政部门指定的媒体上公告，但政府采购合同中涉及国家秘密、商业秘密的内容除外。</w:t>
      </w:r>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38. 询问、质疑和投诉</w:t>
      </w:r>
    </w:p>
    <w:p>
      <w:pPr>
        <w:pStyle w:val="7"/>
        <w:spacing w:line="360" w:lineRule="auto"/>
        <w:rPr>
          <w:rFonts w:ascii="宋体" w:hAnsi="宋体" w:cs="宋体"/>
          <w:szCs w:val="21"/>
        </w:rPr>
      </w:pPr>
      <w:r>
        <w:rPr>
          <w:rFonts w:hint="eastAsia" w:ascii="宋体" w:hAnsi="宋体" w:cs="宋体"/>
          <w:szCs w:val="21"/>
        </w:rPr>
        <w:t>38.1供应商对政府采购活动事项有疑问的，可以向采购人提出询问，采购人或者采购代理机构应当在7个工作日内对供应商依法提出的询问作出答复，但答复的内容不得涉及商业秘密。</w:t>
      </w:r>
    </w:p>
    <w:p>
      <w:pPr>
        <w:pStyle w:val="6"/>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pPr>
        <w:pStyle w:val="25"/>
        <w:snapToGrid w:val="0"/>
        <w:spacing w:line="360" w:lineRule="auto"/>
        <w:ind w:firstLine="420" w:firstLineChars="200"/>
        <w:rPr>
          <w:rFonts w:hAnsi="宋体" w:cs="宋体"/>
          <w:sz w:val="21"/>
        </w:rPr>
      </w:pPr>
      <w:r>
        <w:rPr>
          <w:rFonts w:hint="eastAsia" w:hAnsi="宋体" w:cs="宋体"/>
          <w:sz w:val="21"/>
        </w:rPr>
        <w:t>（1）对可以质疑的招标文件提出质疑的，为收到招标文件之日或者招标文件公告期限届满之日；</w:t>
      </w:r>
    </w:p>
    <w:p>
      <w:pPr>
        <w:pStyle w:val="25"/>
        <w:snapToGrid w:val="0"/>
        <w:spacing w:line="360" w:lineRule="auto"/>
        <w:ind w:firstLine="420" w:firstLineChars="200"/>
        <w:rPr>
          <w:rFonts w:hAnsi="宋体" w:cs="宋体"/>
          <w:sz w:val="21"/>
        </w:rPr>
      </w:pPr>
      <w:r>
        <w:rPr>
          <w:rFonts w:hint="eastAsia" w:hAnsi="宋体" w:cs="宋体"/>
          <w:sz w:val="21"/>
        </w:rPr>
        <w:t>（2）对采购过程提出质疑的，为各采购程序环节结束之日；</w:t>
      </w:r>
    </w:p>
    <w:p>
      <w:pPr>
        <w:pStyle w:val="25"/>
        <w:snapToGrid w:val="0"/>
        <w:spacing w:line="360" w:lineRule="auto"/>
        <w:ind w:firstLine="420" w:firstLineChars="200"/>
        <w:rPr>
          <w:rFonts w:hAnsi="宋体" w:cs="宋体"/>
          <w:bCs/>
          <w:sz w:val="21"/>
        </w:rPr>
      </w:pPr>
      <w:r>
        <w:rPr>
          <w:rFonts w:hint="eastAsia" w:hAnsi="宋体" w:cs="宋体"/>
          <w:sz w:val="21"/>
        </w:rPr>
        <w:t>（3）对中标结果提出质疑的，为中标结果公告期限届满之日。</w:t>
      </w:r>
    </w:p>
    <w:p>
      <w:pPr>
        <w:pStyle w:val="6"/>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38.3 </w:t>
      </w:r>
      <w:r>
        <w:rPr>
          <w:rFonts w:hint="eastAsia" w:ascii="宋体" w:hAnsi="宋体" w:cs="宋体"/>
          <w:bCs/>
          <w:sz w:val="21"/>
        </w:rPr>
        <w:t>供应商提出质疑应当提交质疑函和必要的证明材料，针对同一采购程序环节的质疑必须在法定质疑期内一次性提出。质疑函应当包括下列内容（质疑函格式后附）：</w:t>
      </w:r>
    </w:p>
    <w:p>
      <w:pPr>
        <w:pStyle w:val="25"/>
        <w:snapToGrid w:val="0"/>
        <w:spacing w:line="360" w:lineRule="auto"/>
        <w:ind w:firstLine="420" w:firstLineChars="200"/>
        <w:rPr>
          <w:rFonts w:hAnsi="宋体" w:cs="宋体"/>
          <w:bCs/>
          <w:sz w:val="21"/>
        </w:rPr>
      </w:pPr>
      <w:r>
        <w:rPr>
          <w:rFonts w:hint="eastAsia" w:hAnsi="宋体" w:cs="宋体"/>
          <w:bCs/>
          <w:sz w:val="21"/>
        </w:rPr>
        <w:t>（1）供应商的姓名或者名称、地址、邮编、联系人及联系电话；</w:t>
      </w:r>
    </w:p>
    <w:p>
      <w:pPr>
        <w:pStyle w:val="25"/>
        <w:snapToGrid w:val="0"/>
        <w:spacing w:line="360" w:lineRule="auto"/>
        <w:ind w:firstLine="420" w:firstLineChars="200"/>
        <w:rPr>
          <w:rFonts w:hAnsi="宋体" w:cs="宋体"/>
          <w:bCs/>
          <w:sz w:val="21"/>
        </w:rPr>
      </w:pPr>
      <w:r>
        <w:rPr>
          <w:rFonts w:hint="eastAsia" w:hAnsi="宋体" w:cs="宋体"/>
          <w:bCs/>
          <w:sz w:val="21"/>
        </w:rPr>
        <w:t>（2）质疑项目的名称、编号；</w:t>
      </w:r>
    </w:p>
    <w:p>
      <w:pPr>
        <w:pStyle w:val="25"/>
        <w:snapToGrid w:val="0"/>
        <w:spacing w:line="360" w:lineRule="auto"/>
        <w:ind w:firstLine="420" w:firstLineChars="200"/>
        <w:rPr>
          <w:rFonts w:hAnsi="宋体" w:cs="宋体"/>
          <w:bCs/>
          <w:sz w:val="21"/>
        </w:rPr>
      </w:pPr>
      <w:r>
        <w:rPr>
          <w:rFonts w:hint="eastAsia" w:hAnsi="宋体" w:cs="宋体"/>
          <w:bCs/>
          <w:sz w:val="21"/>
        </w:rPr>
        <w:t>（3）具体、明确的质疑事项和与质疑事项相关的请求；</w:t>
      </w:r>
    </w:p>
    <w:p>
      <w:pPr>
        <w:pStyle w:val="25"/>
        <w:snapToGrid w:val="0"/>
        <w:spacing w:line="360" w:lineRule="auto"/>
        <w:ind w:firstLine="420" w:firstLineChars="200"/>
        <w:rPr>
          <w:rFonts w:hAnsi="宋体" w:cs="宋体"/>
          <w:bCs/>
          <w:sz w:val="21"/>
        </w:rPr>
      </w:pPr>
      <w:r>
        <w:rPr>
          <w:rFonts w:hint="eastAsia" w:hAnsi="宋体" w:cs="宋体"/>
          <w:bCs/>
          <w:sz w:val="21"/>
        </w:rPr>
        <w:t>（4）事实依据；</w:t>
      </w:r>
    </w:p>
    <w:p>
      <w:pPr>
        <w:pStyle w:val="25"/>
        <w:snapToGrid w:val="0"/>
        <w:spacing w:line="360" w:lineRule="auto"/>
        <w:ind w:firstLine="420" w:firstLineChars="200"/>
        <w:rPr>
          <w:rFonts w:hAnsi="宋体" w:cs="宋体"/>
          <w:bCs/>
          <w:sz w:val="21"/>
        </w:rPr>
      </w:pPr>
      <w:r>
        <w:rPr>
          <w:rFonts w:hint="eastAsia" w:hAnsi="宋体" w:cs="宋体"/>
          <w:bCs/>
          <w:sz w:val="21"/>
        </w:rPr>
        <w:t>（5）必要的法律依据；</w:t>
      </w:r>
    </w:p>
    <w:p>
      <w:pPr>
        <w:pStyle w:val="25"/>
        <w:snapToGrid w:val="0"/>
        <w:spacing w:line="360" w:lineRule="auto"/>
        <w:ind w:firstLine="420" w:firstLineChars="200"/>
        <w:rPr>
          <w:rFonts w:hAnsi="宋体" w:cs="宋体"/>
          <w:bCs/>
          <w:sz w:val="21"/>
        </w:rPr>
      </w:pPr>
      <w:r>
        <w:rPr>
          <w:rFonts w:hint="eastAsia" w:hAnsi="宋体" w:cs="宋体"/>
          <w:bCs/>
          <w:sz w:val="21"/>
        </w:rPr>
        <w:t>（6）提出质疑的日期。</w:t>
      </w:r>
    </w:p>
    <w:p>
      <w:pPr>
        <w:pStyle w:val="25"/>
        <w:snapToGrid w:val="0"/>
        <w:spacing w:line="360" w:lineRule="auto"/>
        <w:ind w:firstLine="420" w:firstLineChars="200"/>
        <w:rPr>
          <w:rFonts w:hAnsi="宋体" w:cs="宋体"/>
          <w:bCs/>
          <w:sz w:val="21"/>
        </w:rPr>
      </w:pPr>
      <w:r>
        <w:rPr>
          <w:rFonts w:hint="eastAsia" w:hAnsi="宋体" w:cs="宋体"/>
          <w:bCs/>
          <w:sz w:val="21"/>
        </w:rPr>
        <w:t>供应商为自然人的，应当由本人签字；供应商为法人或者其他组织的，应当由法定代表人、主要负责人，或者其委托代理人签字或者盖章，并加盖公章。</w:t>
      </w:r>
    </w:p>
    <w:p>
      <w:pPr>
        <w:pStyle w:val="6"/>
        <w:keepNext w:val="0"/>
        <w:keepLines w:val="0"/>
        <w:snapToGrid w:val="0"/>
        <w:spacing w:before="0" w:after="0" w:line="360" w:lineRule="auto"/>
        <w:ind w:firstLine="420" w:firstLineChars="200"/>
        <w:rPr>
          <w:rFonts w:ascii="宋体" w:hAnsi="宋体" w:cs="宋体"/>
          <w:b w:val="0"/>
          <w:bCs/>
          <w:sz w:val="21"/>
          <w:szCs w:val="21"/>
        </w:rPr>
      </w:pPr>
      <w:r>
        <w:rPr>
          <w:rFonts w:hint="eastAsia" w:ascii="宋体" w:hAnsi="宋体" w:cs="宋体"/>
          <w:b w:val="0"/>
          <w:sz w:val="21"/>
          <w:szCs w:val="21"/>
        </w:rPr>
        <w:t>3</w:t>
      </w:r>
      <w:r>
        <w:rPr>
          <w:rFonts w:hint="eastAsia" w:ascii="宋体" w:hAnsi="宋体" w:cs="宋体"/>
          <w:b w:val="0"/>
          <w:bCs/>
          <w:sz w:val="21"/>
          <w:szCs w:val="21"/>
        </w:rPr>
        <w:t>8.4采购人、采购代理机构认为供应商质疑不成立，或者成立但未对中标结果构成影响的，继续开展采购活动；认为供应商质疑成立且影响或者可能影响中标结果的，按照下列情况处理：</w:t>
      </w:r>
    </w:p>
    <w:p>
      <w:pPr>
        <w:pStyle w:val="25"/>
        <w:snapToGrid w:val="0"/>
        <w:spacing w:line="360" w:lineRule="auto"/>
        <w:rPr>
          <w:rFonts w:hAnsi="宋体" w:cs="宋体"/>
          <w:bCs/>
          <w:sz w:val="21"/>
        </w:rPr>
      </w:pPr>
      <w:r>
        <w:rPr>
          <w:rFonts w:hint="eastAsia" w:hAnsi="宋体" w:cs="宋体"/>
          <w:bCs/>
          <w:sz w:val="21"/>
        </w:rPr>
        <w:t>　　（1）对招标文件提出的质疑，依法通过澄清或者修改可以继续开展采购活动的，澄清或者修改招标文件后继续开展采购活动；否则应当修改招标文件后重新开展采购活动。</w:t>
      </w:r>
    </w:p>
    <w:p>
      <w:pPr>
        <w:pStyle w:val="25"/>
        <w:snapToGrid w:val="0"/>
        <w:spacing w:line="360" w:lineRule="auto"/>
        <w:rPr>
          <w:rFonts w:hAnsi="宋体" w:cs="宋体"/>
          <w:bCs/>
          <w:sz w:val="21"/>
        </w:rPr>
      </w:pPr>
      <w:r>
        <w:rPr>
          <w:rFonts w:hint="eastAsia" w:hAnsi="宋体" w:cs="宋体"/>
          <w:bCs/>
          <w:sz w:val="21"/>
        </w:rPr>
        <w:t>　　（2）对采购过程、中标结果提出的质疑，合格供应商符合法定数量时，可以从合格的中标候选人中另行确定中标供应商的，应当依法另行确定中标供应商；否则应当重新开展采购活动。</w:t>
      </w:r>
    </w:p>
    <w:p>
      <w:pPr>
        <w:pStyle w:val="25"/>
        <w:snapToGrid w:val="0"/>
        <w:spacing w:line="360" w:lineRule="auto"/>
        <w:ind w:firstLine="420"/>
        <w:rPr>
          <w:rFonts w:hAnsi="宋体" w:cs="宋体"/>
          <w:bCs/>
          <w:sz w:val="21"/>
        </w:rPr>
      </w:pPr>
      <w:r>
        <w:rPr>
          <w:rFonts w:hint="eastAsia" w:hAnsi="宋体" w:cs="宋体"/>
          <w:bCs/>
          <w:sz w:val="21"/>
        </w:rPr>
        <w:t>质疑答复导致中标结果改变的，采购人或者采购代理机构应当将有关情况书面报告本级财政部门。</w:t>
      </w:r>
    </w:p>
    <w:p>
      <w:pPr>
        <w:pStyle w:val="25"/>
        <w:snapToGrid w:val="0"/>
        <w:spacing w:line="360" w:lineRule="auto"/>
        <w:ind w:firstLine="420" w:firstLineChars="200"/>
        <w:rPr>
          <w:rFonts w:hAnsi="宋体" w:cs="宋体"/>
          <w:bCs/>
          <w:sz w:val="21"/>
        </w:rPr>
      </w:pPr>
      <w:r>
        <w:rPr>
          <w:rFonts w:hint="eastAsia" w:hAnsi="宋体" w:cs="宋体"/>
          <w:bCs/>
          <w:sz w:val="21"/>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7" w:name="_八、其他事项"/>
      <w:bookmarkEnd w:id="137"/>
    </w:p>
    <w:p>
      <w:pPr>
        <w:pStyle w:val="25"/>
        <w:snapToGrid w:val="0"/>
        <w:spacing w:line="360" w:lineRule="auto"/>
        <w:ind w:firstLine="420" w:firstLineChars="200"/>
        <w:rPr>
          <w:rFonts w:hAnsi="宋体" w:cs="宋体"/>
          <w:bCs/>
          <w:sz w:val="21"/>
        </w:rPr>
      </w:pPr>
      <w:r>
        <w:rPr>
          <w:rFonts w:hint="eastAsia" w:hAnsi="宋体" w:cs="宋体"/>
          <w:bCs/>
          <w:sz w:val="21"/>
        </w:rPr>
        <w:t>38.6供应商应明确知悉投诉可能产生的后果并承担相应的责任：</w:t>
      </w:r>
    </w:p>
    <w:p>
      <w:pPr>
        <w:pStyle w:val="25"/>
        <w:snapToGrid w:val="0"/>
        <w:spacing w:line="360" w:lineRule="auto"/>
        <w:rPr>
          <w:rFonts w:hAnsi="宋体" w:cs="宋体"/>
          <w:bCs/>
          <w:sz w:val="21"/>
        </w:rPr>
      </w:pPr>
      <w:r>
        <w:rPr>
          <w:rFonts w:hint="eastAsia" w:hAnsi="宋体" w:cs="宋体"/>
          <w:bCs/>
          <w:sz w:val="21"/>
        </w:rPr>
        <w:t>按照《政府采购质疑和投诉办法》（中华人民共和国财政部令第94号）第三十七条：投诉人在全国范围12个月内三次以上投诉查无实据的，由财政部门列入不良行为记录名单。</w:t>
      </w:r>
    </w:p>
    <w:p>
      <w:pPr>
        <w:pStyle w:val="25"/>
        <w:snapToGrid w:val="0"/>
        <w:spacing w:line="360" w:lineRule="auto"/>
        <w:ind w:firstLine="420" w:firstLineChars="200"/>
        <w:rPr>
          <w:rFonts w:hAnsi="宋体" w:cs="宋体"/>
          <w:bCs/>
          <w:sz w:val="21"/>
        </w:rPr>
      </w:pPr>
      <w:r>
        <w:rPr>
          <w:rFonts w:hint="eastAsia" w:hAnsi="宋体" w:cs="宋体"/>
          <w:bCs/>
          <w:sz w:val="21"/>
        </w:rPr>
        <w:t>投诉人有下列行为之一的，属于虚假、恶意投诉，由财政部门列入不良行为记录名单，禁止其1至3年内参加政府采购活动：</w:t>
      </w:r>
    </w:p>
    <w:p>
      <w:pPr>
        <w:pStyle w:val="25"/>
        <w:numPr>
          <w:ilvl w:val="0"/>
          <w:numId w:val="3"/>
        </w:numPr>
        <w:snapToGrid w:val="0"/>
        <w:spacing w:line="360" w:lineRule="auto"/>
        <w:ind w:firstLine="420" w:firstLineChars="200"/>
        <w:rPr>
          <w:rFonts w:hAnsi="宋体" w:cs="宋体"/>
          <w:bCs/>
          <w:sz w:val="21"/>
        </w:rPr>
      </w:pPr>
      <w:r>
        <w:rPr>
          <w:rFonts w:hint="eastAsia" w:hAnsi="宋体" w:cs="宋体"/>
          <w:bCs/>
          <w:sz w:val="21"/>
        </w:rPr>
        <w:t>捏造事实；</w:t>
      </w:r>
    </w:p>
    <w:p>
      <w:pPr>
        <w:pStyle w:val="25"/>
        <w:numPr>
          <w:ilvl w:val="0"/>
          <w:numId w:val="3"/>
        </w:numPr>
        <w:snapToGrid w:val="0"/>
        <w:spacing w:line="360" w:lineRule="auto"/>
        <w:ind w:firstLine="420" w:firstLineChars="200"/>
        <w:rPr>
          <w:rFonts w:hAnsi="宋体" w:cs="宋体"/>
          <w:bCs/>
          <w:sz w:val="21"/>
        </w:rPr>
      </w:pPr>
      <w:r>
        <w:rPr>
          <w:rFonts w:hint="eastAsia" w:hAnsi="宋体" w:cs="宋体"/>
          <w:bCs/>
          <w:sz w:val="21"/>
        </w:rPr>
        <w:t>提供虚假材料；</w:t>
      </w:r>
    </w:p>
    <w:p>
      <w:pPr>
        <w:pStyle w:val="25"/>
        <w:numPr>
          <w:ilvl w:val="0"/>
          <w:numId w:val="3"/>
        </w:numPr>
        <w:snapToGrid w:val="0"/>
        <w:spacing w:line="360" w:lineRule="auto"/>
        <w:ind w:firstLine="420" w:firstLineChars="200"/>
        <w:rPr>
          <w:rFonts w:hAnsi="宋体" w:cs="宋体"/>
        </w:rPr>
      </w:pPr>
      <w:r>
        <w:rPr>
          <w:rFonts w:hint="eastAsia" w:hAnsi="宋体" w:cs="宋体"/>
          <w:bCs/>
          <w:sz w:val="21"/>
        </w:rPr>
        <w:t>以非法手段取得证明材料。证据来源的合法性存在明显疑问，投诉人无法证明其取得方式合法的，视为以非法手段取得证明材料。</w:t>
      </w:r>
    </w:p>
    <w:p>
      <w:pPr>
        <w:pStyle w:val="25"/>
        <w:snapToGrid w:val="0"/>
        <w:spacing w:line="360" w:lineRule="auto"/>
        <w:ind w:firstLine="400" w:firstLineChars="200"/>
        <w:rPr>
          <w:rFonts w:hAnsi="宋体" w:cs="宋体"/>
        </w:rPr>
      </w:pPr>
    </w:p>
    <w:p>
      <w:pPr>
        <w:pStyle w:val="4"/>
        <w:keepNext w:val="0"/>
        <w:keepLines w:val="0"/>
        <w:jc w:val="center"/>
        <w:rPr>
          <w:rFonts w:ascii="宋体" w:hAnsi="宋体" w:cs="宋体"/>
        </w:rPr>
      </w:pPr>
      <w:r>
        <w:rPr>
          <w:rFonts w:hint="eastAsia" w:ascii="宋体" w:hAnsi="宋体" w:cs="宋体"/>
        </w:rPr>
        <w:t>八、其他事项</w:t>
      </w:r>
    </w:p>
    <w:p>
      <w:pPr>
        <w:pStyle w:val="6"/>
        <w:keepNext w:val="0"/>
        <w:keepLines w:val="0"/>
        <w:spacing w:before="0" w:after="0" w:line="360" w:lineRule="auto"/>
        <w:ind w:left="420" w:leftChars="200"/>
        <w:rPr>
          <w:rFonts w:ascii="宋体" w:hAnsi="宋体" w:cs="宋体"/>
          <w:sz w:val="24"/>
        </w:rPr>
      </w:pPr>
      <w:bookmarkStart w:id="138" w:name="_42.代理服务费"/>
      <w:bookmarkEnd w:id="138"/>
      <w:r>
        <w:rPr>
          <w:rFonts w:hint="eastAsia" w:ascii="宋体" w:hAnsi="宋体" w:cs="宋体"/>
          <w:sz w:val="24"/>
        </w:rPr>
        <w:t>39.代理服务费</w:t>
      </w:r>
    </w:p>
    <w:p>
      <w:pPr>
        <w:pStyle w:val="25"/>
        <w:snapToGrid w:val="0"/>
        <w:spacing w:line="360" w:lineRule="auto"/>
        <w:ind w:firstLine="420" w:firstLineChars="200"/>
        <w:rPr>
          <w:rFonts w:hAnsi="宋体" w:cs="宋体"/>
          <w:sz w:val="21"/>
        </w:rPr>
      </w:pPr>
      <w:r>
        <w:rPr>
          <w:rFonts w:hint="eastAsia" w:hAnsi="宋体" w:cs="宋体"/>
          <w:sz w:val="21"/>
        </w:rPr>
        <w:t>39.1代理服务收取标准及缴费账户详见“投标人须知前附表”，投标人为联合体的，可以由联合体中的一方或者多方共同交纳代理服务费。</w:t>
      </w:r>
    </w:p>
    <w:p>
      <w:pPr>
        <w:pStyle w:val="25"/>
        <w:snapToGrid w:val="0"/>
        <w:spacing w:line="360" w:lineRule="auto"/>
        <w:ind w:firstLine="420" w:firstLineChars="200"/>
        <w:rPr>
          <w:rFonts w:hAnsi="宋体" w:cs="宋体"/>
          <w:sz w:val="21"/>
        </w:rPr>
      </w:pPr>
      <w:r>
        <w:rPr>
          <w:rFonts w:hint="eastAsia" w:hAnsi="宋体" w:cs="宋体"/>
          <w:sz w:val="21"/>
        </w:rPr>
        <w:t>39.2代理服务收费标准：</w:t>
      </w:r>
    </w:p>
    <w:p>
      <w:pPr>
        <w:pStyle w:val="25"/>
        <w:snapToGrid w:val="0"/>
        <w:spacing w:line="360" w:lineRule="auto"/>
        <w:ind w:firstLine="420" w:firstLineChars="200"/>
        <w:rPr>
          <w:rFonts w:hAnsi="宋体" w:cs="宋体"/>
          <w:sz w:val="21"/>
        </w:rPr>
      </w:pPr>
    </w:p>
    <w:tbl>
      <w:tblPr>
        <w:tblStyle w:val="4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cs="宋体"/>
                <w:szCs w:val="21"/>
              </w:rPr>
            </w:pPr>
            <w:r>
              <w:rPr>
                <w:rFonts w:hint="eastAsia" w:ascii="宋体" w:hAnsi="宋体" w:cs="宋体"/>
                <w:szCs w:val="21"/>
              </w:rPr>
              <w:t xml:space="preserve">               费率</w:t>
            </w:r>
          </w:p>
          <w:p>
            <w:pPr>
              <w:spacing w:line="360" w:lineRule="auto"/>
              <w:rPr>
                <w:rFonts w:ascii="宋体" w:hAnsi="宋体" w:cs="宋体"/>
                <w:szCs w:val="21"/>
              </w:rPr>
            </w:pPr>
            <w:r>
              <w:rPr>
                <w:rFonts w:hint="eastAsia" w:ascii="宋体" w:hAnsi="宋体" w:cs="宋体"/>
                <w:szCs w:val="21"/>
              </w:rPr>
              <w:t>中标金额</w:t>
            </w:r>
          </w:p>
        </w:tc>
        <w:tc>
          <w:tcPr>
            <w:tcW w:w="1659" w:type="dxa"/>
            <w:vAlign w:val="center"/>
          </w:tcPr>
          <w:p>
            <w:pPr>
              <w:spacing w:line="360" w:lineRule="auto"/>
              <w:ind w:firstLine="105" w:firstLineChars="50"/>
              <w:jc w:val="center"/>
              <w:rPr>
                <w:rFonts w:ascii="宋体" w:hAnsi="宋体" w:cs="宋体"/>
                <w:szCs w:val="21"/>
              </w:rPr>
            </w:pPr>
            <w:r>
              <w:rPr>
                <w:rFonts w:hint="eastAsia" w:ascii="宋体" w:hAnsi="宋体" w:cs="宋体"/>
                <w:szCs w:val="21"/>
              </w:rPr>
              <w:t>货物招标</w:t>
            </w:r>
          </w:p>
        </w:tc>
        <w:tc>
          <w:tcPr>
            <w:tcW w:w="1687" w:type="dxa"/>
            <w:vAlign w:val="center"/>
          </w:tcPr>
          <w:p>
            <w:pPr>
              <w:spacing w:line="360" w:lineRule="auto"/>
              <w:jc w:val="center"/>
              <w:rPr>
                <w:rFonts w:ascii="宋体" w:hAnsi="宋体" w:cs="宋体"/>
                <w:szCs w:val="21"/>
              </w:rPr>
            </w:pPr>
            <w:r>
              <w:rPr>
                <w:rFonts w:hint="eastAsia" w:ascii="宋体" w:hAnsi="宋体" w:cs="宋体"/>
                <w:szCs w:val="21"/>
              </w:rPr>
              <w:t>服务招标</w:t>
            </w:r>
          </w:p>
        </w:tc>
        <w:tc>
          <w:tcPr>
            <w:tcW w:w="1659" w:type="dxa"/>
            <w:vAlign w:val="center"/>
          </w:tcPr>
          <w:p>
            <w:pPr>
              <w:spacing w:line="360" w:lineRule="auto"/>
              <w:jc w:val="center"/>
              <w:rPr>
                <w:rFonts w:ascii="宋体" w:hAnsi="宋体" w:cs="宋体"/>
                <w:szCs w:val="21"/>
              </w:rPr>
            </w:pPr>
            <w:r>
              <w:rPr>
                <w:rFonts w:hint="eastAsia" w:ascii="宋体" w:hAnsi="宋体"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100万元以下</w:t>
            </w:r>
          </w:p>
        </w:tc>
        <w:tc>
          <w:tcPr>
            <w:tcW w:w="1659" w:type="dxa"/>
          </w:tcPr>
          <w:p>
            <w:pPr>
              <w:spacing w:line="360" w:lineRule="auto"/>
              <w:rPr>
                <w:rFonts w:ascii="宋体" w:hAnsi="宋体" w:cs="宋体"/>
                <w:szCs w:val="21"/>
              </w:rPr>
            </w:pPr>
            <w:r>
              <w:rPr>
                <w:rFonts w:hint="eastAsia" w:ascii="宋体" w:hAnsi="宋体" w:cs="宋体"/>
                <w:kern w:val="0"/>
                <w:szCs w:val="21"/>
              </w:rPr>
              <w:t xml:space="preserve">  1.5%                </w:t>
            </w:r>
          </w:p>
        </w:tc>
        <w:tc>
          <w:tcPr>
            <w:tcW w:w="1687" w:type="dxa"/>
          </w:tcPr>
          <w:p>
            <w:pPr>
              <w:spacing w:line="360" w:lineRule="auto"/>
              <w:ind w:firstLine="210" w:firstLineChars="100"/>
              <w:rPr>
                <w:rFonts w:ascii="宋体" w:hAnsi="宋体" w:cs="宋体"/>
                <w:szCs w:val="21"/>
              </w:rPr>
            </w:pPr>
            <w:r>
              <w:rPr>
                <w:rFonts w:hint="eastAsia" w:ascii="宋体" w:hAnsi="宋体" w:cs="宋体"/>
                <w:kern w:val="0"/>
                <w:szCs w:val="21"/>
              </w:rPr>
              <w:t>1.5%</w:t>
            </w:r>
          </w:p>
        </w:tc>
        <w:tc>
          <w:tcPr>
            <w:tcW w:w="1659" w:type="dxa"/>
          </w:tcPr>
          <w:p>
            <w:pPr>
              <w:spacing w:line="360" w:lineRule="auto"/>
              <w:ind w:firstLine="210" w:firstLineChars="100"/>
              <w:rPr>
                <w:rFonts w:ascii="宋体" w:hAnsi="宋体" w:cs="宋体"/>
                <w:szCs w:val="21"/>
              </w:rPr>
            </w:pPr>
            <w:r>
              <w:rPr>
                <w:rFonts w:hint="eastAsia" w:ascii="宋体" w:hAnsi="宋体" w:cs="宋体"/>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100～500万元</w:t>
            </w:r>
          </w:p>
        </w:tc>
        <w:tc>
          <w:tcPr>
            <w:tcW w:w="1659" w:type="dxa"/>
          </w:tcPr>
          <w:p>
            <w:pPr>
              <w:spacing w:line="360" w:lineRule="auto"/>
              <w:ind w:firstLine="210" w:firstLineChars="100"/>
              <w:rPr>
                <w:rFonts w:ascii="宋体" w:hAnsi="宋体" w:cs="宋体"/>
                <w:szCs w:val="21"/>
              </w:rPr>
            </w:pPr>
            <w:r>
              <w:rPr>
                <w:rFonts w:hint="eastAsia" w:ascii="宋体" w:hAnsi="宋体" w:cs="宋体"/>
                <w:kern w:val="0"/>
                <w:szCs w:val="21"/>
              </w:rPr>
              <w:t xml:space="preserve">1.1%                 </w:t>
            </w:r>
          </w:p>
        </w:tc>
        <w:tc>
          <w:tcPr>
            <w:tcW w:w="1687" w:type="dxa"/>
          </w:tcPr>
          <w:p>
            <w:pPr>
              <w:spacing w:line="360" w:lineRule="auto"/>
              <w:ind w:firstLine="210" w:firstLineChars="100"/>
              <w:rPr>
                <w:rFonts w:ascii="宋体" w:hAnsi="宋体" w:cs="宋体"/>
                <w:szCs w:val="21"/>
              </w:rPr>
            </w:pPr>
            <w:r>
              <w:rPr>
                <w:rFonts w:hint="eastAsia" w:ascii="宋体" w:hAnsi="宋体" w:cs="宋体"/>
                <w:kern w:val="0"/>
                <w:szCs w:val="21"/>
              </w:rPr>
              <w:t>0.8%</w:t>
            </w:r>
          </w:p>
        </w:tc>
        <w:tc>
          <w:tcPr>
            <w:tcW w:w="1659" w:type="dxa"/>
          </w:tcPr>
          <w:p>
            <w:pPr>
              <w:spacing w:line="360" w:lineRule="auto"/>
              <w:ind w:firstLine="210" w:firstLineChars="100"/>
              <w:rPr>
                <w:rFonts w:ascii="宋体" w:hAnsi="宋体" w:cs="宋体"/>
                <w:szCs w:val="21"/>
              </w:rPr>
            </w:pPr>
            <w:r>
              <w:rPr>
                <w:rFonts w:hint="eastAsia" w:ascii="宋体" w:hAnsi="宋体" w:cs="宋体"/>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500～1000万元</w:t>
            </w:r>
          </w:p>
        </w:tc>
        <w:tc>
          <w:tcPr>
            <w:tcW w:w="1659" w:type="dxa"/>
          </w:tcPr>
          <w:p>
            <w:pPr>
              <w:spacing w:line="360" w:lineRule="auto"/>
              <w:rPr>
                <w:rFonts w:ascii="宋体" w:hAnsi="宋体" w:cs="宋体"/>
                <w:szCs w:val="21"/>
              </w:rPr>
            </w:pPr>
            <w:r>
              <w:rPr>
                <w:rFonts w:hint="eastAsia" w:ascii="宋体" w:hAnsi="宋体" w:cs="宋体"/>
                <w:kern w:val="0"/>
                <w:szCs w:val="21"/>
              </w:rPr>
              <w:t xml:space="preserve">  0.8%                </w:t>
            </w:r>
          </w:p>
        </w:tc>
        <w:tc>
          <w:tcPr>
            <w:tcW w:w="1687" w:type="dxa"/>
          </w:tcPr>
          <w:p>
            <w:pPr>
              <w:spacing w:line="360" w:lineRule="auto"/>
              <w:ind w:firstLine="210" w:firstLineChars="100"/>
              <w:rPr>
                <w:rFonts w:ascii="宋体" w:hAnsi="宋体" w:cs="宋体"/>
                <w:szCs w:val="21"/>
              </w:rPr>
            </w:pPr>
            <w:r>
              <w:rPr>
                <w:rFonts w:hint="eastAsia" w:ascii="宋体" w:hAnsi="宋体" w:cs="宋体"/>
                <w:kern w:val="0"/>
                <w:szCs w:val="21"/>
              </w:rPr>
              <w:t>0.45%</w:t>
            </w:r>
          </w:p>
        </w:tc>
        <w:tc>
          <w:tcPr>
            <w:tcW w:w="1659" w:type="dxa"/>
          </w:tcPr>
          <w:p>
            <w:pPr>
              <w:spacing w:line="360" w:lineRule="auto"/>
              <w:ind w:firstLine="210" w:firstLineChars="100"/>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1000～5000万元</w:t>
            </w:r>
          </w:p>
        </w:tc>
        <w:tc>
          <w:tcPr>
            <w:tcW w:w="1659" w:type="dxa"/>
          </w:tcPr>
          <w:p>
            <w:pPr>
              <w:spacing w:line="360" w:lineRule="auto"/>
              <w:ind w:firstLine="210" w:firstLineChars="100"/>
              <w:rPr>
                <w:rFonts w:ascii="宋体" w:hAnsi="宋体" w:cs="宋体"/>
                <w:szCs w:val="21"/>
              </w:rPr>
            </w:pPr>
            <w:r>
              <w:rPr>
                <w:rFonts w:hint="eastAsia" w:ascii="宋体" w:hAnsi="宋体" w:cs="宋体"/>
                <w:kern w:val="0"/>
                <w:szCs w:val="21"/>
              </w:rPr>
              <w:t xml:space="preserve">0.5%                </w:t>
            </w:r>
          </w:p>
        </w:tc>
        <w:tc>
          <w:tcPr>
            <w:tcW w:w="1687" w:type="dxa"/>
          </w:tcPr>
          <w:p>
            <w:pPr>
              <w:spacing w:line="360" w:lineRule="auto"/>
              <w:ind w:firstLine="210" w:firstLineChars="100"/>
              <w:rPr>
                <w:rFonts w:ascii="宋体" w:hAnsi="宋体" w:cs="宋体"/>
                <w:szCs w:val="21"/>
              </w:rPr>
            </w:pPr>
            <w:r>
              <w:rPr>
                <w:rFonts w:hint="eastAsia" w:ascii="宋体" w:hAnsi="宋体" w:cs="宋体"/>
                <w:kern w:val="0"/>
                <w:szCs w:val="21"/>
              </w:rPr>
              <w:t>0.25%</w:t>
            </w:r>
          </w:p>
        </w:tc>
        <w:tc>
          <w:tcPr>
            <w:tcW w:w="1659" w:type="dxa"/>
          </w:tcPr>
          <w:p>
            <w:pPr>
              <w:spacing w:line="360" w:lineRule="auto"/>
              <w:ind w:firstLine="210" w:firstLineChars="100"/>
              <w:rPr>
                <w:rFonts w:ascii="宋体" w:hAnsi="宋体" w:cs="宋体"/>
                <w:szCs w:val="21"/>
              </w:rPr>
            </w:pPr>
            <w:r>
              <w:rPr>
                <w:rFonts w:hint="eastAsia" w:ascii="宋体" w:hAnsi="宋体" w:cs="宋体"/>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5000万元～1亿元</w:t>
            </w:r>
          </w:p>
        </w:tc>
        <w:tc>
          <w:tcPr>
            <w:tcW w:w="1659" w:type="dxa"/>
          </w:tcPr>
          <w:p>
            <w:pPr>
              <w:spacing w:line="360" w:lineRule="auto"/>
              <w:ind w:firstLine="210" w:firstLineChars="100"/>
              <w:rPr>
                <w:rFonts w:ascii="宋体" w:hAnsi="宋体" w:cs="宋体"/>
                <w:szCs w:val="21"/>
              </w:rPr>
            </w:pPr>
            <w:r>
              <w:rPr>
                <w:rFonts w:hint="eastAsia" w:ascii="宋体" w:hAnsi="宋体" w:cs="宋体"/>
                <w:kern w:val="0"/>
                <w:szCs w:val="21"/>
              </w:rPr>
              <w:t xml:space="preserve">0.25%                 </w:t>
            </w:r>
          </w:p>
        </w:tc>
        <w:tc>
          <w:tcPr>
            <w:tcW w:w="1687" w:type="dxa"/>
          </w:tcPr>
          <w:p>
            <w:pPr>
              <w:spacing w:line="360" w:lineRule="auto"/>
              <w:ind w:firstLine="210" w:firstLineChars="100"/>
              <w:rPr>
                <w:rFonts w:ascii="宋体" w:hAnsi="宋体" w:cs="宋体"/>
                <w:szCs w:val="21"/>
              </w:rPr>
            </w:pPr>
            <w:r>
              <w:rPr>
                <w:rFonts w:hint="eastAsia" w:ascii="宋体" w:hAnsi="宋体" w:cs="宋体"/>
                <w:kern w:val="0"/>
                <w:szCs w:val="21"/>
              </w:rPr>
              <w:t>0.1%</w:t>
            </w:r>
          </w:p>
        </w:tc>
        <w:tc>
          <w:tcPr>
            <w:tcW w:w="1659" w:type="dxa"/>
          </w:tcPr>
          <w:p>
            <w:pPr>
              <w:spacing w:line="360" w:lineRule="auto"/>
              <w:ind w:firstLine="210" w:firstLineChars="100"/>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1～5亿元</w:t>
            </w:r>
          </w:p>
        </w:tc>
        <w:tc>
          <w:tcPr>
            <w:tcW w:w="1659" w:type="dxa"/>
          </w:tcPr>
          <w:p>
            <w:pPr>
              <w:spacing w:line="360" w:lineRule="auto"/>
              <w:ind w:firstLine="210" w:firstLineChars="100"/>
              <w:rPr>
                <w:rFonts w:ascii="宋体" w:hAnsi="宋体" w:cs="宋体"/>
                <w:szCs w:val="21"/>
              </w:rPr>
            </w:pPr>
            <w:r>
              <w:rPr>
                <w:rFonts w:hint="eastAsia" w:ascii="宋体" w:hAnsi="宋体" w:cs="宋体"/>
                <w:szCs w:val="21"/>
              </w:rPr>
              <w:t>0.05%</w:t>
            </w:r>
          </w:p>
        </w:tc>
        <w:tc>
          <w:tcPr>
            <w:tcW w:w="1687" w:type="dxa"/>
          </w:tcPr>
          <w:p>
            <w:pPr>
              <w:spacing w:line="360" w:lineRule="auto"/>
              <w:rPr>
                <w:rFonts w:ascii="宋体" w:hAnsi="宋体" w:cs="宋体"/>
                <w:szCs w:val="21"/>
              </w:rPr>
            </w:pPr>
            <w:r>
              <w:rPr>
                <w:rFonts w:hint="eastAsia" w:ascii="宋体" w:hAnsi="宋体" w:cs="宋体"/>
                <w:szCs w:val="21"/>
              </w:rPr>
              <w:t xml:space="preserve">  0.05%</w:t>
            </w:r>
          </w:p>
        </w:tc>
        <w:tc>
          <w:tcPr>
            <w:tcW w:w="1659" w:type="dxa"/>
          </w:tcPr>
          <w:p>
            <w:pPr>
              <w:spacing w:line="360" w:lineRule="auto"/>
              <w:rPr>
                <w:rFonts w:ascii="宋体" w:hAnsi="宋体" w:cs="宋体"/>
                <w:szCs w:val="21"/>
              </w:rPr>
            </w:pPr>
            <w:r>
              <w:rPr>
                <w:rFonts w:hint="eastAsia" w:ascii="宋体" w:hAnsi="宋体" w:cs="宋体"/>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5～10亿元</w:t>
            </w:r>
          </w:p>
        </w:tc>
        <w:tc>
          <w:tcPr>
            <w:tcW w:w="1659" w:type="dxa"/>
          </w:tcPr>
          <w:p>
            <w:pPr>
              <w:spacing w:line="360" w:lineRule="auto"/>
              <w:ind w:firstLine="105" w:firstLineChars="50"/>
              <w:rPr>
                <w:rFonts w:ascii="宋体" w:hAnsi="宋体" w:cs="宋体"/>
                <w:szCs w:val="21"/>
              </w:rPr>
            </w:pPr>
            <w:r>
              <w:rPr>
                <w:rFonts w:hint="eastAsia" w:ascii="宋体" w:hAnsi="宋体" w:cs="宋体"/>
                <w:szCs w:val="21"/>
              </w:rPr>
              <w:t>0.035%</w:t>
            </w:r>
          </w:p>
        </w:tc>
        <w:tc>
          <w:tcPr>
            <w:tcW w:w="1687" w:type="dxa"/>
          </w:tcPr>
          <w:p>
            <w:pPr>
              <w:spacing w:line="360" w:lineRule="auto"/>
              <w:rPr>
                <w:rFonts w:ascii="宋体" w:hAnsi="宋体" w:cs="宋体"/>
                <w:szCs w:val="21"/>
              </w:rPr>
            </w:pPr>
            <w:r>
              <w:rPr>
                <w:rFonts w:hint="eastAsia" w:ascii="宋体" w:hAnsi="宋体" w:cs="宋体"/>
                <w:szCs w:val="21"/>
              </w:rPr>
              <w:t xml:space="preserve">  0.035%</w:t>
            </w:r>
          </w:p>
        </w:tc>
        <w:tc>
          <w:tcPr>
            <w:tcW w:w="1659" w:type="dxa"/>
          </w:tcPr>
          <w:p>
            <w:pPr>
              <w:spacing w:line="360" w:lineRule="auto"/>
              <w:ind w:firstLine="105" w:firstLineChars="50"/>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10～50亿元</w:t>
            </w:r>
          </w:p>
        </w:tc>
        <w:tc>
          <w:tcPr>
            <w:tcW w:w="1659" w:type="dxa"/>
          </w:tcPr>
          <w:p>
            <w:pPr>
              <w:spacing w:line="360" w:lineRule="auto"/>
              <w:ind w:firstLine="105" w:firstLineChars="50"/>
              <w:rPr>
                <w:rFonts w:ascii="宋体" w:hAnsi="宋体" w:cs="宋体"/>
                <w:szCs w:val="21"/>
              </w:rPr>
            </w:pPr>
            <w:r>
              <w:rPr>
                <w:rFonts w:hint="eastAsia" w:ascii="宋体" w:hAnsi="宋体" w:cs="宋体"/>
                <w:szCs w:val="21"/>
              </w:rPr>
              <w:t>0.008%</w:t>
            </w:r>
          </w:p>
        </w:tc>
        <w:tc>
          <w:tcPr>
            <w:tcW w:w="1687" w:type="dxa"/>
          </w:tcPr>
          <w:p>
            <w:pPr>
              <w:spacing w:line="360" w:lineRule="auto"/>
              <w:ind w:firstLine="210" w:firstLineChars="100"/>
              <w:rPr>
                <w:rFonts w:ascii="宋体" w:hAnsi="宋体" w:cs="宋体"/>
                <w:szCs w:val="21"/>
              </w:rPr>
            </w:pPr>
            <w:r>
              <w:rPr>
                <w:rFonts w:hint="eastAsia" w:ascii="宋体" w:hAnsi="宋体" w:cs="宋体"/>
                <w:szCs w:val="21"/>
              </w:rPr>
              <w:t>0.008%</w:t>
            </w:r>
          </w:p>
        </w:tc>
        <w:tc>
          <w:tcPr>
            <w:tcW w:w="1659" w:type="dxa"/>
          </w:tcPr>
          <w:p>
            <w:pPr>
              <w:spacing w:line="360" w:lineRule="auto"/>
              <w:ind w:firstLine="105" w:firstLineChars="50"/>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50～100亿元</w:t>
            </w:r>
          </w:p>
        </w:tc>
        <w:tc>
          <w:tcPr>
            <w:tcW w:w="1659" w:type="dxa"/>
          </w:tcPr>
          <w:p>
            <w:pPr>
              <w:spacing w:line="360" w:lineRule="auto"/>
              <w:rPr>
                <w:rFonts w:ascii="宋体" w:hAnsi="宋体" w:cs="宋体"/>
                <w:szCs w:val="21"/>
              </w:rPr>
            </w:pPr>
            <w:r>
              <w:rPr>
                <w:rFonts w:hint="eastAsia" w:ascii="宋体" w:hAnsi="宋体" w:cs="宋体"/>
                <w:szCs w:val="21"/>
              </w:rPr>
              <w:t xml:space="preserve"> 0.006%</w:t>
            </w:r>
          </w:p>
        </w:tc>
        <w:tc>
          <w:tcPr>
            <w:tcW w:w="1687" w:type="dxa"/>
          </w:tcPr>
          <w:p>
            <w:pPr>
              <w:spacing w:line="360" w:lineRule="auto"/>
              <w:ind w:firstLine="210" w:firstLineChars="100"/>
              <w:rPr>
                <w:rFonts w:ascii="宋体" w:hAnsi="宋体" w:cs="宋体"/>
                <w:szCs w:val="21"/>
              </w:rPr>
            </w:pPr>
            <w:r>
              <w:rPr>
                <w:rFonts w:hint="eastAsia" w:ascii="宋体" w:hAnsi="宋体" w:cs="宋体"/>
                <w:szCs w:val="21"/>
              </w:rPr>
              <w:t>0.006%</w:t>
            </w:r>
          </w:p>
        </w:tc>
        <w:tc>
          <w:tcPr>
            <w:tcW w:w="1659" w:type="dxa"/>
          </w:tcPr>
          <w:p>
            <w:pPr>
              <w:spacing w:line="360" w:lineRule="auto"/>
              <w:ind w:firstLine="105" w:firstLineChars="50"/>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szCs w:val="21"/>
              </w:rPr>
            </w:pPr>
            <w:r>
              <w:rPr>
                <w:rFonts w:hint="eastAsia" w:ascii="宋体" w:hAnsi="宋体" w:cs="宋体"/>
                <w:szCs w:val="21"/>
              </w:rPr>
              <w:t>100亿以上</w:t>
            </w:r>
          </w:p>
        </w:tc>
        <w:tc>
          <w:tcPr>
            <w:tcW w:w="1659" w:type="dxa"/>
          </w:tcPr>
          <w:p>
            <w:pPr>
              <w:spacing w:line="360" w:lineRule="auto"/>
              <w:rPr>
                <w:rFonts w:ascii="宋体" w:hAnsi="宋体" w:cs="宋体"/>
                <w:szCs w:val="21"/>
              </w:rPr>
            </w:pPr>
            <w:r>
              <w:rPr>
                <w:rFonts w:hint="eastAsia" w:ascii="宋体" w:hAnsi="宋体" w:cs="宋体"/>
                <w:szCs w:val="21"/>
              </w:rPr>
              <w:t xml:space="preserve"> 0.004%</w:t>
            </w:r>
          </w:p>
        </w:tc>
        <w:tc>
          <w:tcPr>
            <w:tcW w:w="1687" w:type="dxa"/>
          </w:tcPr>
          <w:p>
            <w:pPr>
              <w:spacing w:line="360" w:lineRule="auto"/>
              <w:ind w:firstLine="210" w:firstLineChars="100"/>
              <w:rPr>
                <w:rFonts w:ascii="宋体" w:hAnsi="宋体" w:cs="宋体"/>
                <w:szCs w:val="21"/>
              </w:rPr>
            </w:pPr>
            <w:r>
              <w:rPr>
                <w:rFonts w:hint="eastAsia" w:ascii="宋体" w:hAnsi="宋体" w:cs="宋体"/>
                <w:szCs w:val="21"/>
              </w:rPr>
              <w:t>0.004%</w:t>
            </w:r>
          </w:p>
        </w:tc>
        <w:tc>
          <w:tcPr>
            <w:tcW w:w="1659" w:type="dxa"/>
          </w:tcPr>
          <w:p>
            <w:pPr>
              <w:spacing w:line="360" w:lineRule="auto"/>
              <w:ind w:firstLine="105" w:firstLineChars="50"/>
              <w:rPr>
                <w:rFonts w:ascii="宋体" w:hAnsi="宋体" w:cs="宋体"/>
                <w:szCs w:val="21"/>
              </w:rPr>
            </w:pPr>
            <w:r>
              <w:rPr>
                <w:rFonts w:hint="eastAsia" w:ascii="宋体" w:hAnsi="宋体" w:cs="宋体"/>
                <w:szCs w:val="21"/>
              </w:rPr>
              <w:t>0.004%</w:t>
            </w:r>
          </w:p>
        </w:tc>
      </w:tr>
    </w:tbl>
    <w:p>
      <w:pPr>
        <w:spacing w:line="360" w:lineRule="auto"/>
        <w:ind w:firstLine="420" w:firstLineChars="200"/>
        <w:rPr>
          <w:rFonts w:ascii="宋体" w:hAnsi="宋体" w:cs="宋体"/>
          <w:szCs w:val="21"/>
        </w:rPr>
      </w:pPr>
      <w:r>
        <w:rPr>
          <w:rFonts w:hint="eastAsia" w:ascii="宋体" w:hAnsi="宋体" w:cs="宋体"/>
          <w:szCs w:val="21"/>
        </w:rPr>
        <w:t xml:space="preserve">注: </w:t>
      </w:r>
    </w:p>
    <w:p>
      <w:pPr>
        <w:spacing w:line="360" w:lineRule="auto"/>
        <w:ind w:firstLine="420" w:firstLineChars="200"/>
        <w:rPr>
          <w:rFonts w:ascii="宋体" w:hAnsi="宋体" w:cs="宋体"/>
          <w:szCs w:val="21"/>
        </w:rPr>
      </w:pPr>
      <w:r>
        <w:rPr>
          <w:rFonts w:hint="eastAsia" w:ascii="宋体" w:hAnsi="宋体" w:cs="宋体"/>
          <w:szCs w:val="21"/>
        </w:rPr>
        <w:t>（1）按本表费率计算的收费为采购代理的收费基准价格；</w:t>
      </w:r>
    </w:p>
    <w:p>
      <w:pPr>
        <w:spacing w:line="360" w:lineRule="auto"/>
        <w:ind w:firstLine="420" w:firstLineChars="200"/>
        <w:rPr>
          <w:rFonts w:ascii="宋体" w:hAnsi="宋体" w:cs="宋体"/>
          <w:szCs w:val="21"/>
        </w:rPr>
      </w:pPr>
      <w:r>
        <w:rPr>
          <w:rFonts w:hint="eastAsia" w:ascii="宋体" w:hAnsi="宋体" w:cs="宋体"/>
          <w:szCs w:val="21"/>
        </w:rPr>
        <w:t>（2）采购代理收费按差额定率累进法计算。</w:t>
      </w:r>
    </w:p>
    <w:p>
      <w:pPr>
        <w:spacing w:line="360" w:lineRule="auto"/>
        <w:ind w:firstLine="420" w:firstLineChars="200"/>
        <w:rPr>
          <w:rFonts w:ascii="宋体" w:hAnsi="宋体" w:cs="宋体"/>
          <w:szCs w:val="21"/>
        </w:rPr>
      </w:pPr>
      <w:r>
        <w:rPr>
          <w:rFonts w:hint="eastAsia" w:ascii="宋体" w:hAnsi="宋体" w:cs="宋体"/>
          <w:szCs w:val="21"/>
        </w:rPr>
        <w:t>39.3 代理服务费交纳银行帐号信息</w:t>
      </w:r>
    </w:p>
    <w:p>
      <w:pPr>
        <w:ind w:firstLine="420" w:firstLineChars="200"/>
        <w:rPr>
          <w:rFonts w:ascii="宋体" w:hAnsi="宋体" w:cs="宋体"/>
          <w:szCs w:val="21"/>
        </w:rPr>
      </w:pPr>
      <w:r>
        <w:rPr>
          <w:rFonts w:hint="eastAsia" w:ascii="宋体" w:hAnsi="宋体" w:cs="宋体"/>
          <w:szCs w:val="21"/>
        </w:rPr>
        <w:t>账户名称：广西建设工程机电设备招标中心有限公司</w:t>
      </w:r>
    </w:p>
    <w:p>
      <w:pPr>
        <w:ind w:firstLine="420" w:firstLineChars="200"/>
        <w:rPr>
          <w:rFonts w:ascii="宋体" w:hAnsi="宋体" w:cs="宋体"/>
          <w:szCs w:val="21"/>
        </w:rPr>
      </w:pPr>
      <w:r>
        <w:rPr>
          <w:rFonts w:hint="eastAsia" w:ascii="宋体" w:hAnsi="宋体" w:cs="宋体"/>
          <w:szCs w:val="21"/>
        </w:rPr>
        <w:t>开户银行：招商银行南宁分行营业部</w:t>
      </w:r>
    </w:p>
    <w:p>
      <w:pPr>
        <w:ind w:firstLine="420" w:firstLineChars="200"/>
        <w:rPr>
          <w:rFonts w:ascii="宋体" w:hAnsi="宋体" w:cs="宋体"/>
          <w:szCs w:val="21"/>
        </w:rPr>
      </w:pPr>
      <w:r>
        <w:rPr>
          <w:rFonts w:hint="eastAsia" w:ascii="宋体" w:hAnsi="宋体" w:cs="宋体"/>
          <w:szCs w:val="21"/>
        </w:rPr>
        <w:t>银行账号：7719 0142 3310 201</w:t>
      </w:r>
    </w:p>
    <w:p>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40. 需要补充的其他内容</w:t>
      </w:r>
    </w:p>
    <w:p>
      <w:pPr>
        <w:pStyle w:val="25"/>
        <w:spacing w:before="120" w:after="120" w:line="360" w:lineRule="auto"/>
        <w:ind w:firstLine="420" w:firstLineChars="200"/>
        <w:contextualSpacing/>
        <w:rPr>
          <w:rFonts w:hAnsi="宋体" w:cs="宋体"/>
          <w:sz w:val="21"/>
        </w:rPr>
      </w:pPr>
      <w:r>
        <w:rPr>
          <w:rFonts w:hint="eastAsia" w:hAnsi="宋体" w:cs="宋体"/>
          <w:sz w:val="21"/>
        </w:rPr>
        <w:t>40.1本招标文件解释规则详见“投标人须知前附表”。</w:t>
      </w:r>
    </w:p>
    <w:p>
      <w:pPr>
        <w:pStyle w:val="25"/>
        <w:spacing w:before="120" w:after="120" w:line="360" w:lineRule="auto"/>
        <w:ind w:firstLine="420" w:firstLineChars="200"/>
        <w:contextualSpacing/>
        <w:rPr>
          <w:rFonts w:hAnsi="宋体" w:cs="宋体"/>
          <w:sz w:val="21"/>
        </w:rPr>
      </w:pPr>
      <w:r>
        <w:rPr>
          <w:rFonts w:hint="eastAsia" w:hAnsi="宋体" w:cs="宋体"/>
          <w:sz w:val="21"/>
        </w:rPr>
        <w:t>40.2 其他事项详见“投标人须知前附表”。</w:t>
      </w:r>
    </w:p>
    <w:p>
      <w:pPr>
        <w:pStyle w:val="25"/>
        <w:spacing w:before="120" w:after="120" w:line="360" w:lineRule="auto"/>
        <w:ind w:firstLine="420" w:firstLineChars="200"/>
        <w:contextualSpacing/>
        <w:rPr>
          <w:rFonts w:hAnsi="宋体" w:cs="宋体"/>
          <w:sz w:val="21"/>
        </w:rPr>
      </w:pPr>
      <w:r>
        <w:rPr>
          <w:rFonts w:hint="eastAsia" w:hAnsi="宋体" w:cs="宋体"/>
          <w:sz w:val="21"/>
        </w:rPr>
        <w:t>40.3</w:t>
      </w:r>
      <w:bookmarkStart w:id="139" w:name="_Hlk65857140"/>
      <w:r>
        <w:rPr>
          <w:rFonts w:hint="eastAsia" w:hAnsi="宋体" w:cs="宋体"/>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25"/>
        <w:spacing w:before="120" w:after="120" w:line="360" w:lineRule="auto"/>
        <w:ind w:firstLine="420" w:firstLineChars="200"/>
        <w:contextualSpacing/>
        <w:rPr>
          <w:rFonts w:hAnsi="宋体" w:cs="宋体"/>
          <w:sz w:val="21"/>
        </w:rPr>
      </w:pPr>
      <w:r>
        <w:rPr>
          <w:rFonts w:hint="eastAsia" w:hAnsi="宋体" w:cs="宋体"/>
          <w:sz w:val="21"/>
        </w:rPr>
        <w:t>（1）在货物采购项目中，货物由中小企业制造，即货物由中小企业生产且使用该中小企业商号或者注册商标，不对其中涉及的工程承建商和服务的承接商作出要求；</w:t>
      </w:r>
    </w:p>
    <w:p>
      <w:pPr>
        <w:pStyle w:val="25"/>
        <w:spacing w:before="120" w:after="120" w:line="360" w:lineRule="auto"/>
        <w:ind w:firstLine="420" w:firstLineChars="200"/>
        <w:contextualSpacing/>
        <w:rPr>
          <w:rFonts w:hAnsi="宋体" w:cs="宋体"/>
          <w:sz w:val="21"/>
        </w:rPr>
      </w:pPr>
      <w:r>
        <w:rPr>
          <w:rFonts w:hint="eastAsia" w:hAnsi="宋体" w:cs="宋体"/>
          <w:sz w:val="21"/>
        </w:rPr>
        <w:t>（2）在工程采购项目中，工程由中小企业承建，即工程施工单位为中小企业，不对其中涉及的货物的制造商和服务的承接商作出要求；</w:t>
      </w:r>
    </w:p>
    <w:p>
      <w:pPr>
        <w:pStyle w:val="25"/>
        <w:spacing w:before="120" w:after="120" w:line="360" w:lineRule="auto"/>
        <w:ind w:firstLine="420" w:firstLineChars="200"/>
        <w:contextualSpacing/>
        <w:rPr>
          <w:rFonts w:hAnsi="宋体" w:cs="宋体"/>
          <w:sz w:val="21"/>
        </w:rPr>
      </w:pPr>
      <w:r>
        <w:rPr>
          <w:rFonts w:hint="eastAsia" w:hAnsi="宋体" w:cs="宋体"/>
          <w:sz w:val="21"/>
        </w:rPr>
        <w:t>（3）在服务采购项目中，服务由中小企业承接，即提供服务的人员为中小企业依照《中华人民共和国劳动合同法》订立劳动合同的从业人员，不对其中涉及的货物的制造商和工程承建商作出要求。</w:t>
      </w:r>
    </w:p>
    <w:p>
      <w:pPr>
        <w:pStyle w:val="25"/>
        <w:spacing w:before="120" w:after="120" w:line="360" w:lineRule="auto"/>
        <w:ind w:firstLine="420" w:firstLineChars="200"/>
        <w:contextualSpacing/>
        <w:rPr>
          <w:rFonts w:hAnsi="宋体" w:cs="宋体"/>
          <w:sz w:val="21"/>
        </w:rPr>
      </w:pPr>
      <w:r>
        <w:rPr>
          <w:rFonts w:hint="eastAsia" w:hAnsi="宋体" w:cs="宋体"/>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pStyle w:val="25"/>
        <w:spacing w:before="120" w:after="120" w:line="360" w:lineRule="auto"/>
        <w:ind w:firstLine="420" w:firstLineChars="200"/>
        <w:contextualSpacing/>
        <w:rPr>
          <w:rFonts w:hAnsi="宋体" w:cs="宋体"/>
          <w:sz w:val="21"/>
        </w:rPr>
      </w:pPr>
      <w:r>
        <w:rPr>
          <w:rFonts w:hint="eastAsia" w:hAnsi="宋体" w:cs="宋体"/>
          <w:sz w:val="21"/>
        </w:rPr>
        <w:t>依据本招标文件规定享受扶持政策获得政府采购合同的，小微企业不得将合同分包给大中型企业，中型企业不得将合同分包给大型企业。</w:t>
      </w:r>
      <w:bookmarkEnd w:id="139"/>
    </w:p>
    <w:p>
      <w:pPr>
        <w:pStyle w:val="19"/>
        <w:ind w:left="479" w:leftChars="114" w:hanging="240" w:hangingChars="100"/>
        <w:rPr>
          <w:rFonts w:ascii="宋体" w:hAnsi="宋体" w:cs="宋体"/>
        </w:rPr>
      </w:pPr>
      <w:r>
        <w:rPr>
          <w:rFonts w:hint="eastAsia" w:ascii="宋体" w:hAnsi="宋体" w:cs="宋体"/>
        </w:rPr>
        <w:br w:type="page"/>
      </w:r>
    </w:p>
    <w:p>
      <w:pPr>
        <w:pStyle w:val="19"/>
        <w:ind w:left="479" w:leftChars="114" w:hanging="240" w:hangingChars="100"/>
        <w:rPr>
          <w:rFonts w:ascii="宋体" w:hAnsi="宋体" w:cs="宋体"/>
        </w:rPr>
      </w:pPr>
    </w:p>
    <w:p>
      <w:pPr>
        <w:pStyle w:val="19"/>
        <w:ind w:left="479" w:leftChars="114" w:hanging="240" w:hangingChars="100"/>
        <w:rPr>
          <w:rFonts w:ascii="宋体" w:hAnsi="宋体" w:cs="宋体"/>
        </w:rPr>
      </w:pPr>
    </w:p>
    <w:p>
      <w:pPr>
        <w:pStyle w:val="19"/>
        <w:ind w:left="479" w:leftChars="114" w:hanging="240" w:hangingChars="100"/>
        <w:rPr>
          <w:rFonts w:ascii="宋体" w:hAnsi="宋体" w:cs="宋体"/>
        </w:rPr>
      </w:pPr>
    </w:p>
    <w:p>
      <w:pPr>
        <w:pStyle w:val="25"/>
        <w:snapToGrid w:val="0"/>
        <w:spacing w:before="120" w:after="120"/>
        <w:rPr>
          <w:rFonts w:hAnsi="宋体" w:cs="宋体"/>
        </w:rPr>
      </w:pPr>
    </w:p>
    <w:p>
      <w:pPr>
        <w:pStyle w:val="25"/>
        <w:snapToGrid w:val="0"/>
        <w:spacing w:before="120" w:after="120"/>
        <w:rPr>
          <w:rFonts w:hAnsi="宋体" w:cs="宋体"/>
        </w:rPr>
      </w:pPr>
    </w:p>
    <w:p>
      <w:pPr>
        <w:pStyle w:val="25"/>
        <w:snapToGrid w:val="0"/>
        <w:spacing w:before="120" w:after="120"/>
        <w:rPr>
          <w:rFonts w:hAnsi="宋体" w:cs="宋体"/>
        </w:rPr>
      </w:pPr>
    </w:p>
    <w:p>
      <w:pPr>
        <w:pStyle w:val="25"/>
        <w:snapToGrid w:val="0"/>
        <w:spacing w:before="120" w:after="120"/>
        <w:rPr>
          <w:rFonts w:hAnsi="宋体" w:cs="宋体"/>
        </w:rPr>
      </w:pPr>
    </w:p>
    <w:p>
      <w:pPr>
        <w:pStyle w:val="25"/>
        <w:snapToGrid w:val="0"/>
        <w:spacing w:before="120" w:after="120"/>
        <w:rPr>
          <w:rFonts w:hAnsi="宋体" w:cs="宋体"/>
        </w:rPr>
      </w:pPr>
    </w:p>
    <w:p>
      <w:pPr>
        <w:pStyle w:val="25"/>
        <w:snapToGrid w:val="0"/>
        <w:spacing w:before="120" w:after="120"/>
        <w:rPr>
          <w:rFonts w:hAnsi="宋体" w:cs="宋体"/>
        </w:rPr>
      </w:pPr>
    </w:p>
    <w:p>
      <w:pPr>
        <w:pStyle w:val="25"/>
        <w:snapToGrid w:val="0"/>
        <w:spacing w:before="120" w:after="120"/>
        <w:rPr>
          <w:rFonts w:hAnsi="宋体" w:cs="宋体"/>
        </w:rPr>
      </w:pPr>
    </w:p>
    <w:p>
      <w:pPr>
        <w:pStyle w:val="25"/>
        <w:snapToGrid w:val="0"/>
        <w:spacing w:before="120" w:after="120"/>
        <w:rPr>
          <w:rFonts w:hAnsi="宋体" w:cs="宋体"/>
        </w:rPr>
      </w:pPr>
    </w:p>
    <w:p>
      <w:pPr>
        <w:pStyle w:val="25"/>
        <w:snapToGrid w:val="0"/>
        <w:spacing w:before="120" w:after="120"/>
        <w:rPr>
          <w:rFonts w:hAnsi="宋体" w:cs="宋体"/>
        </w:rPr>
      </w:pPr>
    </w:p>
    <w:p>
      <w:pPr>
        <w:pStyle w:val="2"/>
        <w:jc w:val="center"/>
        <w:rPr>
          <w:rFonts w:ascii="宋体" w:hAnsi="宋体" w:cs="宋体"/>
        </w:rPr>
      </w:pPr>
      <w:bookmarkStart w:id="140" w:name="_Toc330456896"/>
      <w:bookmarkStart w:id="141" w:name="_Toc254970689"/>
      <w:bookmarkStart w:id="142" w:name="_Toc74320803"/>
      <w:bookmarkStart w:id="143" w:name="_Toc254970548"/>
      <w:r>
        <w:rPr>
          <w:rFonts w:hint="eastAsia" w:ascii="宋体" w:hAnsi="宋体" w:cs="宋体"/>
        </w:rPr>
        <w:t>第四章  评标方法及评标标准</w:t>
      </w:r>
      <w:bookmarkEnd w:id="140"/>
      <w:bookmarkEnd w:id="141"/>
      <w:bookmarkEnd w:id="142"/>
      <w:bookmarkEnd w:id="143"/>
    </w:p>
    <w:p>
      <w:pPr>
        <w:pStyle w:val="25"/>
        <w:spacing w:before="120" w:after="120"/>
        <w:outlineLvl w:val="0"/>
        <w:rPr>
          <w:rFonts w:hAnsi="宋体" w:cs="宋体"/>
          <w:b/>
        </w:rPr>
      </w:pPr>
      <w:bookmarkStart w:id="144" w:name="_Toc254970549"/>
      <w:bookmarkStart w:id="145" w:name="_Toc254970690"/>
    </w:p>
    <w:bookmarkEnd w:id="144"/>
    <w:bookmarkEnd w:id="145"/>
    <w:p>
      <w:pPr>
        <w:pStyle w:val="25"/>
        <w:spacing w:before="120" w:after="120"/>
        <w:outlineLvl w:val="0"/>
        <w:rPr>
          <w:rFonts w:hAnsi="宋体" w:cs="宋体"/>
          <w:bCs/>
          <w:sz w:val="32"/>
          <w:szCs w:val="32"/>
        </w:rPr>
      </w:pPr>
    </w:p>
    <w:p>
      <w:pPr>
        <w:pStyle w:val="25"/>
        <w:spacing w:before="120" w:after="120"/>
        <w:outlineLvl w:val="0"/>
        <w:rPr>
          <w:rFonts w:hAnsi="宋体" w:cs="宋体"/>
          <w:bCs/>
          <w:sz w:val="32"/>
          <w:szCs w:val="32"/>
        </w:rPr>
      </w:pPr>
    </w:p>
    <w:p>
      <w:pPr>
        <w:pStyle w:val="25"/>
        <w:spacing w:before="120" w:after="120"/>
        <w:outlineLvl w:val="0"/>
        <w:rPr>
          <w:rFonts w:hAnsi="宋体" w:cs="宋体"/>
          <w:bCs/>
          <w:sz w:val="32"/>
          <w:szCs w:val="32"/>
        </w:rPr>
      </w:pPr>
    </w:p>
    <w:p>
      <w:pPr>
        <w:spacing w:before="120" w:beforeLines="50" w:after="120" w:afterLines="50" w:line="400" w:lineRule="exact"/>
        <w:rPr>
          <w:rFonts w:ascii="宋体" w:hAnsi="宋体" w:cs="宋体"/>
          <w:b/>
          <w:sz w:val="24"/>
        </w:rPr>
      </w:pPr>
    </w:p>
    <w:p>
      <w:pPr>
        <w:spacing w:before="120" w:beforeLines="50" w:after="120" w:afterLines="50" w:line="400" w:lineRule="exact"/>
        <w:rPr>
          <w:rFonts w:ascii="宋体" w:hAnsi="宋体" w:cs="宋体"/>
          <w:b/>
          <w:sz w:val="24"/>
        </w:rPr>
      </w:pPr>
    </w:p>
    <w:p>
      <w:pPr>
        <w:spacing w:before="120" w:beforeLines="50" w:after="120" w:afterLines="50" w:line="400" w:lineRule="exact"/>
        <w:rPr>
          <w:rFonts w:ascii="宋体" w:hAnsi="宋体" w:cs="宋体"/>
          <w:b/>
          <w:sz w:val="24"/>
        </w:rPr>
      </w:pPr>
    </w:p>
    <w:p>
      <w:pPr>
        <w:spacing w:before="120" w:beforeLines="50" w:after="120" w:afterLines="50" w:line="400" w:lineRule="exact"/>
        <w:rPr>
          <w:rFonts w:ascii="宋体" w:hAnsi="宋体" w:cs="宋体"/>
          <w:b/>
          <w:sz w:val="24"/>
        </w:rPr>
      </w:pPr>
    </w:p>
    <w:p>
      <w:pPr>
        <w:spacing w:before="120" w:beforeLines="50" w:after="120" w:afterLines="50" w:line="400" w:lineRule="exact"/>
        <w:rPr>
          <w:rFonts w:ascii="宋体" w:hAnsi="宋体" w:cs="宋体"/>
          <w:b/>
          <w:sz w:val="24"/>
        </w:rPr>
      </w:pPr>
    </w:p>
    <w:p>
      <w:pPr>
        <w:spacing w:before="120" w:beforeLines="50" w:after="120" w:afterLines="50" w:line="400" w:lineRule="exact"/>
        <w:rPr>
          <w:rFonts w:ascii="宋体" w:hAnsi="宋体" w:cs="宋体"/>
          <w:b/>
          <w:sz w:val="24"/>
        </w:rPr>
      </w:pPr>
    </w:p>
    <w:p>
      <w:pPr>
        <w:spacing w:before="120" w:beforeLines="50" w:after="120" w:afterLines="50" w:line="400" w:lineRule="exact"/>
        <w:rPr>
          <w:rFonts w:ascii="宋体" w:hAnsi="宋体" w:cs="宋体"/>
          <w:b/>
          <w:sz w:val="24"/>
        </w:rPr>
      </w:pPr>
    </w:p>
    <w:p>
      <w:pPr>
        <w:pStyle w:val="25"/>
        <w:spacing w:line="360" w:lineRule="exact"/>
        <w:rPr>
          <w:rFonts w:hAnsi="宋体" w:cs="宋体"/>
          <w:b/>
          <w:sz w:val="24"/>
        </w:rPr>
      </w:pPr>
    </w:p>
    <w:p>
      <w:pPr>
        <w:pStyle w:val="4"/>
        <w:keepNext w:val="0"/>
        <w:keepLines w:val="0"/>
        <w:jc w:val="center"/>
        <w:rPr>
          <w:rFonts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一、评标方法</w:t>
      </w:r>
    </w:p>
    <w:p>
      <w:pPr>
        <w:pStyle w:val="25"/>
        <w:spacing w:line="360" w:lineRule="auto"/>
        <w:ind w:firstLine="420"/>
        <w:rPr>
          <w:rFonts w:hAnsi="宋体" w:cs="宋体"/>
          <w:sz w:val="21"/>
        </w:rPr>
      </w:pPr>
      <w:r>
        <w:rPr>
          <w:rFonts w:hint="eastAsia" w:hAnsi="宋体" w:cs="宋体"/>
          <w:sz w:val="21"/>
        </w:rPr>
        <w:t>综合评分法，是指投标文件满足招标文件全部实质性要求，且按照评审因素的量化指标评审得分最高的投标人为中标候选人的评标方法。</w:t>
      </w:r>
    </w:p>
    <w:p>
      <w:pPr>
        <w:pStyle w:val="4"/>
        <w:keepNext w:val="0"/>
        <w:keepLines w:val="0"/>
        <w:jc w:val="center"/>
        <w:rPr>
          <w:rFonts w:ascii="宋体" w:hAnsi="宋体" w:cs="宋体"/>
          <w:sz w:val="30"/>
          <w:szCs w:val="30"/>
        </w:rPr>
      </w:pPr>
      <w:r>
        <w:rPr>
          <w:rFonts w:hint="eastAsia" w:ascii="宋体" w:hAnsi="宋体" w:cs="宋体"/>
          <w:sz w:val="30"/>
          <w:szCs w:val="30"/>
        </w:rPr>
        <w:t>二、评标程序</w:t>
      </w:r>
    </w:p>
    <w:p>
      <w:pPr>
        <w:pStyle w:val="6"/>
        <w:keepNext w:val="0"/>
        <w:keepLines w:val="0"/>
        <w:spacing w:before="0" w:after="0" w:line="360" w:lineRule="auto"/>
        <w:ind w:left="420" w:leftChars="200"/>
        <w:rPr>
          <w:rFonts w:ascii="宋体" w:hAnsi="宋体" w:cs="宋体"/>
          <w:sz w:val="21"/>
          <w:szCs w:val="21"/>
        </w:rPr>
      </w:pPr>
      <w:r>
        <w:rPr>
          <w:rFonts w:hint="eastAsia" w:ascii="宋体" w:hAnsi="宋体" w:cs="宋体"/>
          <w:sz w:val="21"/>
          <w:szCs w:val="21"/>
        </w:rPr>
        <w:t>1.符合性审查</w:t>
      </w:r>
    </w:p>
    <w:p>
      <w:pPr>
        <w:pStyle w:val="25"/>
        <w:snapToGrid w:val="0"/>
        <w:spacing w:line="360" w:lineRule="auto"/>
        <w:ind w:left="1" w:firstLine="420"/>
        <w:rPr>
          <w:rFonts w:hAnsi="宋体" w:cs="宋体"/>
          <w:b/>
          <w:kern w:val="2"/>
          <w:sz w:val="21"/>
        </w:rPr>
      </w:pPr>
      <w:r>
        <w:rPr>
          <w:rFonts w:hint="eastAsia" w:hAnsi="宋体" w:cs="宋体"/>
          <w:b/>
          <w:kern w:val="2"/>
          <w:sz w:val="21"/>
        </w:rPr>
        <w:t>评标委员会应当对符合资格的投标人的投标文件进行投标报价、商务、技术等实质性内容符合性审查，以确定其是否满足招标文件的实质性要求。</w:t>
      </w:r>
    </w:p>
    <w:p>
      <w:pPr>
        <w:pStyle w:val="6"/>
        <w:keepNext w:val="0"/>
        <w:keepLines w:val="0"/>
        <w:spacing w:before="0" w:after="0" w:line="360" w:lineRule="auto"/>
        <w:ind w:left="420" w:leftChars="200"/>
        <w:rPr>
          <w:rFonts w:ascii="宋体" w:hAnsi="宋体" w:cs="宋体"/>
          <w:sz w:val="21"/>
          <w:szCs w:val="21"/>
        </w:rPr>
      </w:pPr>
      <w:r>
        <w:rPr>
          <w:rFonts w:hint="eastAsia" w:ascii="宋体" w:hAnsi="宋体" w:cs="宋体"/>
          <w:sz w:val="21"/>
          <w:szCs w:val="21"/>
        </w:rPr>
        <w:t>2.符合性审查不通过而导致投标无效的情形</w:t>
      </w:r>
    </w:p>
    <w:p>
      <w:pPr>
        <w:snapToGrid w:val="0"/>
        <w:spacing w:line="360" w:lineRule="auto"/>
        <w:ind w:firstLine="422" w:firstLineChars="200"/>
        <w:rPr>
          <w:rFonts w:ascii="宋体" w:hAnsi="宋体" w:cs="宋体"/>
          <w:b/>
          <w:szCs w:val="21"/>
        </w:rPr>
      </w:pPr>
      <w:r>
        <w:rPr>
          <w:rFonts w:hint="eastAsia" w:ascii="宋体" w:hAnsi="宋体" w:cs="宋体"/>
          <w:b/>
          <w:szCs w:val="21"/>
        </w:rPr>
        <w:t>投标人的投标文件中存在对招标文件的任何实质性要求和条件的负偏离，将被视为投标无效。</w:t>
      </w:r>
    </w:p>
    <w:p>
      <w:pPr>
        <w:pStyle w:val="6"/>
        <w:keepNext w:val="0"/>
        <w:keepLines w:val="0"/>
        <w:spacing w:before="0" w:after="0" w:line="360" w:lineRule="auto"/>
        <w:ind w:left="420" w:leftChars="200"/>
        <w:rPr>
          <w:rFonts w:ascii="宋体" w:hAnsi="宋体" w:cs="宋体"/>
          <w:sz w:val="21"/>
          <w:szCs w:val="21"/>
        </w:rPr>
      </w:pPr>
      <w:r>
        <w:rPr>
          <w:rFonts w:hint="eastAsia" w:ascii="宋体" w:hAnsi="宋体" w:cs="宋体"/>
          <w:sz w:val="21"/>
          <w:szCs w:val="21"/>
        </w:rPr>
        <w:t>2.1在报价评审时，如发现下列情形之一的，将被视为投标无效：</w:t>
      </w:r>
    </w:p>
    <w:p>
      <w:pPr>
        <w:pStyle w:val="7"/>
        <w:numPr>
          <w:ilvl w:val="0"/>
          <w:numId w:val="4"/>
        </w:numPr>
        <w:spacing w:line="360" w:lineRule="auto"/>
        <w:ind w:firstLine="422"/>
        <w:rPr>
          <w:rFonts w:ascii="宋体" w:hAnsi="宋体" w:cs="宋体"/>
          <w:b/>
          <w:szCs w:val="21"/>
        </w:rPr>
      </w:pPr>
      <w:r>
        <w:rPr>
          <w:rFonts w:hint="eastAsia" w:ascii="宋体" w:hAnsi="宋体" w:cs="宋体"/>
          <w:b/>
          <w:spacing w:val="-6"/>
          <w:szCs w:val="21"/>
        </w:rPr>
        <w:t>报价文件</w:t>
      </w:r>
      <w:r>
        <w:rPr>
          <w:rFonts w:hint="eastAsia" w:ascii="宋体" w:hAnsi="宋体" w:cs="宋体"/>
          <w:b/>
          <w:szCs w:val="21"/>
        </w:rPr>
        <w:t>未提供“投标人须知前附表”第13.1条规定中“必须提供”的文件资料的；</w:t>
      </w:r>
    </w:p>
    <w:p>
      <w:pPr>
        <w:pStyle w:val="7"/>
        <w:numPr>
          <w:ilvl w:val="0"/>
          <w:numId w:val="4"/>
        </w:numPr>
        <w:spacing w:line="360" w:lineRule="auto"/>
        <w:ind w:firstLine="422"/>
        <w:rPr>
          <w:rFonts w:ascii="宋体" w:hAnsi="宋体" w:cs="宋体"/>
          <w:b/>
          <w:szCs w:val="21"/>
        </w:rPr>
      </w:pPr>
      <w:r>
        <w:rPr>
          <w:rFonts w:hint="eastAsia" w:ascii="宋体" w:hAnsi="宋体" w:cs="宋体"/>
          <w:b/>
          <w:szCs w:val="21"/>
        </w:rPr>
        <w:t>未采用人民币报价或者未按照招标文件标明的币种报价的；</w:t>
      </w:r>
    </w:p>
    <w:p>
      <w:pPr>
        <w:pStyle w:val="7"/>
        <w:numPr>
          <w:ilvl w:val="0"/>
          <w:numId w:val="4"/>
        </w:numPr>
        <w:spacing w:line="360" w:lineRule="auto"/>
        <w:ind w:firstLine="422"/>
        <w:rPr>
          <w:rFonts w:ascii="宋体" w:hAnsi="宋体" w:cs="宋体"/>
          <w:b/>
          <w:szCs w:val="21"/>
        </w:rPr>
      </w:pPr>
      <w:r>
        <w:rPr>
          <w:rFonts w:hint="eastAsia" w:ascii="宋体" w:hAnsi="宋体" w:cs="宋体"/>
          <w:b/>
          <w:szCs w:val="21"/>
        </w:rPr>
        <w:t>各分标报价超出招标文件相应分标规定最高限价，或者超出相应分标采购预算金额的；</w:t>
      </w:r>
    </w:p>
    <w:p>
      <w:pPr>
        <w:pStyle w:val="7"/>
        <w:numPr>
          <w:ilvl w:val="0"/>
          <w:numId w:val="4"/>
        </w:numPr>
        <w:spacing w:line="360" w:lineRule="auto"/>
        <w:ind w:firstLine="422"/>
        <w:rPr>
          <w:rFonts w:ascii="宋体" w:hAnsi="宋体" w:cs="宋体"/>
          <w:b/>
          <w:szCs w:val="21"/>
        </w:rPr>
      </w:pPr>
      <w:r>
        <w:rPr>
          <w:rFonts w:hint="eastAsia" w:ascii="宋体" w:hAnsi="宋体" w:cs="宋体"/>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7"/>
        <w:numPr>
          <w:ilvl w:val="0"/>
          <w:numId w:val="4"/>
        </w:numPr>
        <w:spacing w:line="360" w:lineRule="auto"/>
        <w:ind w:firstLine="422"/>
        <w:rPr>
          <w:rFonts w:ascii="宋体" w:hAnsi="宋体" w:cs="宋体"/>
          <w:b/>
          <w:szCs w:val="21"/>
        </w:rPr>
      </w:pPr>
      <w:r>
        <w:rPr>
          <w:rFonts w:hint="eastAsia" w:ascii="宋体" w:hAnsi="宋体" w:cs="宋体"/>
          <w:b/>
          <w:szCs w:val="21"/>
        </w:rPr>
        <w:t>修正后的报价，投标人不确认的；</w:t>
      </w:r>
    </w:p>
    <w:p>
      <w:pPr>
        <w:pStyle w:val="7"/>
        <w:numPr>
          <w:ilvl w:val="0"/>
          <w:numId w:val="4"/>
        </w:numPr>
        <w:spacing w:line="360" w:lineRule="auto"/>
        <w:ind w:firstLine="422"/>
        <w:rPr>
          <w:rFonts w:ascii="宋体" w:hAnsi="宋体" w:cs="宋体"/>
          <w:b/>
          <w:szCs w:val="21"/>
        </w:rPr>
      </w:pPr>
      <w:r>
        <w:rPr>
          <w:rFonts w:hint="eastAsia" w:ascii="宋体" w:hAnsi="宋体" w:cs="宋体"/>
          <w:b/>
          <w:szCs w:val="21"/>
        </w:rPr>
        <w:t>投标人属于本章第5.1条（2）或者第5.2条（2）项情形的；</w:t>
      </w:r>
    </w:p>
    <w:p>
      <w:pPr>
        <w:pStyle w:val="7"/>
        <w:numPr>
          <w:ilvl w:val="0"/>
          <w:numId w:val="4"/>
        </w:numPr>
        <w:spacing w:line="360" w:lineRule="auto"/>
        <w:ind w:firstLine="422"/>
        <w:rPr>
          <w:rFonts w:ascii="宋体" w:hAnsi="宋体" w:cs="宋体"/>
          <w:b/>
          <w:szCs w:val="21"/>
        </w:rPr>
      </w:pPr>
      <w:r>
        <w:rPr>
          <w:rFonts w:hint="eastAsia" w:ascii="宋体" w:hAnsi="宋体" w:cs="宋体"/>
          <w:b/>
          <w:spacing w:val="-6"/>
          <w:szCs w:val="21"/>
        </w:rPr>
        <w:t>报价文件</w:t>
      </w:r>
      <w:r>
        <w:rPr>
          <w:rFonts w:hint="eastAsia" w:ascii="宋体" w:hAnsi="宋体" w:cs="宋体"/>
          <w:b/>
          <w:szCs w:val="21"/>
        </w:rPr>
        <w:t>响应的标的数量及单位与招标文件要求实质性不一致的。</w:t>
      </w:r>
    </w:p>
    <w:p>
      <w:pPr>
        <w:pStyle w:val="6"/>
        <w:keepNext w:val="0"/>
        <w:keepLines w:val="0"/>
        <w:spacing w:before="0" w:after="0" w:line="360" w:lineRule="auto"/>
        <w:ind w:left="420" w:leftChars="200"/>
        <w:rPr>
          <w:rFonts w:ascii="宋体" w:hAnsi="宋体" w:cs="宋体"/>
          <w:sz w:val="21"/>
          <w:szCs w:val="21"/>
        </w:rPr>
      </w:pPr>
      <w:r>
        <w:rPr>
          <w:rFonts w:hint="eastAsia" w:ascii="宋体" w:hAnsi="宋体" w:cs="宋体"/>
          <w:sz w:val="21"/>
          <w:szCs w:val="21"/>
        </w:rPr>
        <w:t>2.2在商务评审时，如发现下列情形之一的，将被视为投标无效：</w:t>
      </w:r>
    </w:p>
    <w:p>
      <w:pPr>
        <w:numPr>
          <w:ilvl w:val="0"/>
          <w:numId w:val="5"/>
        </w:numPr>
        <w:snapToGrid w:val="0"/>
        <w:spacing w:line="360" w:lineRule="auto"/>
        <w:ind w:firstLine="422" w:firstLineChars="200"/>
        <w:rPr>
          <w:rFonts w:ascii="宋体" w:hAnsi="宋体" w:cs="宋体"/>
          <w:b/>
          <w:szCs w:val="21"/>
        </w:rPr>
      </w:pPr>
      <w:r>
        <w:rPr>
          <w:rFonts w:hint="eastAsia" w:ascii="宋体" w:hAnsi="宋体" w:cs="宋体"/>
          <w:b/>
          <w:szCs w:val="21"/>
        </w:rPr>
        <w:t>投标文件未按招标文件要求签署、盖章的；</w:t>
      </w:r>
    </w:p>
    <w:p>
      <w:pPr>
        <w:numPr>
          <w:ilvl w:val="0"/>
          <w:numId w:val="5"/>
        </w:numPr>
        <w:snapToGrid w:val="0"/>
        <w:spacing w:line="360" w:lineRule="auto"/>
        <w:ind w:firstLine="422" w:firstLineChars="200"/>
        <w:rPr>
          <w:rFonts w:ascii="宋体" w:hAnsi="宋体" w:cs="宋体"/>
          <w:b/>
          <w:szCs w:val="21"/>
        </w:rPr>
      </w:pPr>
      <w:r>
        <w:rPr>
          <w:rFonts w:hint="eastAsia" w:ascii="宋体" w:hAnsi="宋体" w:cs="宋体"/>
          <w:b/>
          <w:szCs w:val="21"/>
        </w:rPr>
        <w:t>委托代理人未能出具有效身份证或者出具的身份证与授权委托书中的信息不符的；</w:t>
      </w:r>
    </w:p>
    <w:p>
      <w:pPr>
        <w:numPr>
          <w:ilvl w:val="0"/>
          <w:numId w:val="5"/>
        </w:numPr>
        <w:snapToGrid w:val="0"/>
        <w:spacing w:line="360" w:lineRule="auto"/>
        <w:ind w:firstLine="422" w:firstLineChars="200"/>
        <w:rPr>
          <w:rFonts w:ascii="宋体" w:hAnsi="宋体" w:cs="宋体"/>
          <w:b/>
          <w:szCs w:val="21"/>
        </w:rPr>
      </w:pPr>
      <w:r>
        <w:rPr>
          <w:rFonts w:hint="eastAsia" w:ascii="宋体" w:hAnsi="宋体" w:cs="宋体"/>
          <w:b/>
          <w:szCs w:val="21"/>
        </w:rPr>
        <w:t>为无效投标保证金的或者未按照招标文件的规定提交投标保证金的；</w:t>
      </w:r>
    </w:p>
    <w:p>
      <w:pPr>
        <w:numPr>
          <w:ilvl w:val="0"/>
          <w:numId w:val="5"/>
        </w:numPr>
        <w:snapToGrid w:val="0"/>
        <w:spacing w:line="360" w:lineRule="auto"/>
        <w:ind w:firstLine="422" w:firstLineChars="200"/>
        <w:rPr>
          <w:rFonts w:ascii="宋体" w:hAnsi="宋体" w:cs="宋体"/>
          <w:b/>
          <w:szCs w:val="21"/>
        </w:rPr>
      </w:pPr>
      <w:r>
        <w:rPr>
          <w:rFonts w:hint="eastAsia" w:ascii="宋体" w:hAnsi="宋体" w:cs="宋体"/>
          <w:b/>
          <w:szCs w:val="21"/>
        </w:rPr>
        <w:t>投标文件未提供“投标人须知前附表”第13.1条规定中“必须提供”或者“委托时必须提供”的文件资料的；</w:t>
      </w:r>
    </w:p>
    <w:p>
      <w:pPr>
        <w:numPr>
          <w:ilvl w:val="0"/>
          <w:numId w:val="5"/>
        </w:numPr>
        <w:snapToGrid w:val="0"/>
        <w:spacing w:line="360" w:lineRule="auto"/>
        <w:ind w:firstLine="422" w:firstLineChars="200"/>
        <w:rPr>
          <w:rFonts w:ascii="宋体" w:hAnsi="宋体" w:cs="宋体"/>
          <w:b/>
          <w:szCs w:val="21"/>
        </w:rPr>
      </w:pPr>
      <w:r>
        <w:rPr>
          <w:rFonts w:hint="eastAsia" w:ascii="宋体" w:hAnsi="宋体" w:cs="宋体"/>
          <w:b/>
          <w:szCs w:val="21"/>
        </w:rPr>
        <w:t>商务要求评审允许负偏离的条款数超过“投标人须知前附表”规定项数的；</w:t>
      </w:r>
    </w:p>
    <w:p>
      <w:pPr>
        <w:numPr>
          <w:ilvl w:val="0"/>
          <w:numId w:val="5"/>
        </w:numPr>
        <w:snapToGrid w:val="0"/>
        <w:spacing w:line="360" w:lineRule="auto"/>
        <w:ind w:firstLine="422" w:firstLineChars="200"/>
        <w:rPr>
          <w:rFonts w:ascii="宋体" w:hAnsi="宋体" w:cs="宋体"/>
          <w:b/>
          <w:szCs w:val="21"/>
        </w:rPr>
      </w:pPr>
      <w:r>
        <w:rPr>
          <w:rFonts w:hint="eastAsia" w:ascii="宋体" w:hAnsi="宋体" w:cs="宋体"/>
          <w:b/>
          <w:szCs w:val="21"/>
        </w:rPr>
        <w:t>投标文件的实质性内容未使用中文表述、使用计量单位不符合招标文件要求的；</w:t>
      </w:r>
    </w:p>
    <w:p>
      <w:pPr>
        <w:numPr>
          <w:ilvl w:val="0"/>
          <w:numId w:val="5"/>
        </w:numPr>
        <w:snapToGrid w:val="0"/>
        <w:spacing w:line="360" w:lineRule="auto"/>
        <w:ind w:firstLine="422" w:firstLineChars="200"/>
        <w:rPr>
          <w:rFonts w:ascii="宋体" w:hAnsi="宋体" w:cs="宋体"/>
          <w:b/>
          <w:szCs w:val="21"/>
        </w:rPr>
      </w:pPr>
      <w:r>
        <w:rPr>
          <w:rFonts w:hint="eastAsia" w:ascii="宋体" w:hAnsi="宋体" w:cs="宋体"/>
          <w:b/>
          <w:szCs w:val="21"/>
        </w:rPr>
        <w:t>投标文件中的文件资料因填写不齐全或者内容虚假或者出现其他情形而导致被评标委员会认定无效的；</w:t>
      </w:r>
    </w:p>
    <w:p>
      <w:pPr>
        <w:numPr>
          <w:ilvl w:val="0"/>
          <w:numId w:val="5"/>
        </w:numPr>
        <w:snapToGrid w:val="0"/>
        <w:spacing w:line="360" w:lineRule="auto"/>
        <w:ind w:firstLine="422" w:firstLineChars="200"/>
        <w:rPr>
          <w:rFonts w:ascii="宋体" w:hAnsi="宋体" w:cs="宋体"/>
          <w:b/>
          <w:szCs w:val="21"/>
        </w:rPr>
      </w:pPr>
      <w:r>
        <w:rPr>
          <w:rFonts w:hint="eastAsia" w:ascii="宋体" w:hAnsi="宋体" w:cs="宋体"/>
          <w:b/>
          <w:szCs w:val="21"/>
        </w:rPr>
        <w:t>投标文件含有采购人不能接受的附加条件的；</w:t>
      </w:r>
    </w:p>
    <w:p>
      <w:pPr>
        <w:numPr>
          <w:ilvl w:val="0"/>
          <w:numId w:val="5"/>
        </w:numPr>
        <w:snapToGrid w:val="0"/>
        <w:spacing w:line="360" w:lineRule="auto"/>
        <w:ind w:firstLine="422" w:firstLineChars="200"/>
        <w:rPr>
          <w:rFonts w:ascii="宋体" w:hAnsi="宋体" w:cs="宋体"/>
          <w:b/>
          <w:szCs w:val="21"/>
        </w:rPr>
      </w:pPr>
      <w:r>
        <w:rPr>
          <w:rFonts w:hint="eastAsia" w:ascii="宋体" w:hAnsi="宋体" w:cs="宋体"/>
          <w:b/>
          <w:szCs w:val="21"/>
        </w:rPr>
        <w:t>属于投标人须知正文第9.2条情形的；</w:t>
      </w:r>
    </w:p>
    <w:p>
      <w:pPr>
        <w:numPr>
          <w:ilvl w:val="0"/>
          <w:numId w:val="5"/>
        </w:numPr>
        <w:snapToGrid w:val="0"/>
        <w:spacing w:line="360" w:lineRule="auto"/>
        <w:ind w:firstLine="422" w:firstLineChars="200"/>
        <w:rPr>
          <w:rFonts w:ascii="宋体" w:hAnsi="宋体" w:cs="宋体"/>
          <w:b/>
          <w:szCs w:val="21"/>
        </w:rPr>
      </w:pPr>
      <w:r>
        <w:rPr>
          <w:rFonts w:hint="eastAsia" w:ascii="宋体" w:hAnsi="宋体" w:cs="宋体"/>
          <w:b/>
          <w:szCs w:val="21"/>
        </w:rPr>
        <w:t>投标文件标注的项目名称或者项目编号与招标文件标注的项目名称或者项目编号不一致的；</w:t>
      </w:r>
    </w:p>
    <w:p>
      <w:pPr>
        <w:numPr>
          <w:ilvl w:val="0"/>
          <w:numId w:val="5"/>
        </w:numPr>
        <w:snapToGrid w:val="0"/>
        <w:spacing w:line="360" w:lineRule="auto"/>
        <w:ind w:firstLine="422" w:firstLineChars="200"/>
        <w:rPr>
          <w:rFonts w:ascii="宋体" w:hAnsi="宋体" w:cs="宋体"/>
          <w:b/>
          <w:szCs w:val="21"/>
        </w:rPr>
      </w:pPr>
      <w:r>
        <w:rPr>
          <w:rFonts w:hint="eastAsia" w:ascii="宋体" w:hAnsi="宋体" w:cs="宋体"/>
          <w:b/>
          <w:szCs w:val="21"/>
        </w:rPr>
        <w:t>招标文件明确不允许分包，投标文件拟分包的；</w:t>
      </w:r>
    </w:p>
    <w:p>
      <w:pPr>
        <w:numPr>
          <w:ilvl w:val="0"/>
          <w:numId w:val="5"/>
        </w:numPr>
        <w:snapToGrid w:val="0"/>
        <w:spacing w:line="360" w:lineRule="auto"/>
        <w:ind w:firstLine="422" w:firstLineChars="200"/>
        <w:rPr>
          <w:rFonts w:ascii="宋体" w:hAnsi="宋体" w:cs="宋体"/>
          <w:b/>
          <w:szCs w:val="21"/>
        </w:rPr>
      </w:pPr>
      <w:r>
        <w:rPr>
          <w:rFonts w:hint="eastAsia" w:ascii="宋体" w:hAnsi="宋体" w:cs="宋体"/>
          <w:b/>
          <w:szCs w:val="21"/>
        </w:rPr>
        <w:t>未响应招标文件实质性要求的；</w:t>
      </w:r>
    </w:p>
    <w:p>
      <w:pPr>
        <w:numPr>
          <w:ilvl w:val="0"/>
          <w:numId w:val="5"/>
        </w:numPr>
        <w:snapToGrid w:val="0"/>
        <w:spacing w:line="360" w:lineRule="auto"/>
        <w:ind w:firstLine="422" w:firstLineChars="200"/>
        <w:rPr>
          <w:rFonts w:ascii="宋体" w:hAnsi="宋体" w:cs="宋体"/>
          <w:b/>
          <w:szCs w:val="21"/>
        </w:rPr>
      </w:pPr>
      <w:r>
        <w:rPr>
          <w:rFonts w:hint="eastAsia" w:ascii="宋体" w:hAnsi="宋体" w:cs="宋体"/>
          <w:b/>
          <w:szCs w:val="21"/>
        </w:rPr>
        <w:t>法律、法规和招标文件规定的其他无效情形。</w:t>
      </w:r>
    </w:p>
    <w:p>
      <w:pPr>
        <w:pStyle w:val="6"/>
        <w:keepNext w:val="0"/>
        <w:keepLines w:val="0"/>
        <w:spacing w:before="0" w:after="0" w:line="360" w:lineRule="auto"/>
        <w:ind w:left="420" w:leftChars="200"/>
        <w:rPr>
          <w:rFonts w:ascii="宋体" w:hAnsi="宋体" w:cs="宋体"/>
          <w:sz w:val="21"/>
          <w:szCs w:val="21"/>
        </w:rPr>
      </w:pPr>
      <w:r>
        <w:rPr>
          <w:rFonts w:hint="eastAsia" w:ascii="宋体" w:hAnsi="宋体" w:cs="宋体"/>
          <w:sz w:val="21"/>
          <w:szCs w:val="21"/>
        </w:rPr>
        <w:t>2.3在技术评审时，如发现下列情形之一的，将被视为投标无效：</w:t>
      </w:r>
    </w:p>
    <w:p>
      <w:pPr>
        <w:pStyle w:val="20"/>
        <w:snapToGrid w:val="0"/>
        <w:spacing w:line="360" w:lineRule="auto"/>
        <w:ind w:firstLine="413" w:firstLineChars="196"/>
        <w:rPr>
          <w:rFonts w:ascii="宋体" w:hAnsi="宋体" w:eastAsia="宋体" w:cs="宋体"/>
          <w:b/>
          <w:kern w:val="2"/>
          <w:sz w:val="21"/>
          <w:szCs w:val="21"/>
        </w:rPr>
      </w:pPr>
      <w:r>
        <w:rPr>
          <w:rFonts w:hint="eastAsia" w:ascii="宋体" w:hAnsi="宋体" w:eastAsia="宋体" w:cs="宋体"/>
          <w:b/>
          <w:kern w:val="2"/>
          <w:sz w:val="21"/>
          <w:szCs w:val="21"/>
        </w:rPr>
        <w:t>（1）技术要求评审允许负偏离的条款数超过“投标人须知前附表”规定项数的；</w:t>
      </w:r>
    </w:p>
    <w:p>
      <w:pPr>
        <w:pStyle w:val="20"/>
        <w:snapToGrid w:val="0"/>
        <w:spacing w:line="360" w:lineRule="auto"/>
        <w:ind w:firstLine="413" w:firstLineChars="196"/>
        <w:rPr>
          <w:rFonts w:ascii="宋体" w:hAnsi="宋体" w:eastAsia="宋体" w:cs="宋体"/>
          <w:b/>
          <w:kern w:val="2"/>
          <w:sz w:val="21"/>
          <w:szCs w:val="21"/>
        </w:rPr>
      </w:pPr>
      <w:r>
        <w:rPr>
          <w:rFonts w:hint="eastAsia" w:ascii="宋体" w:hAnsi="宋体" w:eastAsia="宋体" w:cs="宋体"/>
          <w:b/>
          <w:kern w:val="2"/>
          <w:sz w:val="21"/>
          <w:szCs w:val="21"/>
        </w:rPr>
        <w:t>（2）投标文件未提供“投标人须知前附表”第13.1条规定中“必须提供”的文件资料的；</w:t>
      </w:r>
    </w:p>
    <w:p>
      <w:pPr>
        <w:pStyle w:val="20"/>
        <w:snapToGrid w:val="0"/>
        <w:spacing w:line="360" w:lineRule="auto"/>
        <w:ind w:firstLine="413" w:firstLineChars="196"/>
        <w:rPr>
          <w:rFonts w:ascii="宋体" w:hAnsi="宋体" w:eastAsia="宋体" w:cs="宋体"/>
          <w:b/>
          <w:kern w:val="2"/>
          <w:sz w:val="21"/>
          <w:szCs w:val="21"/>
        </w:rPr>
      </w:pPr>
      <w:r>
        <w:rPr>
          <w:rFonts w:hint="eastAsia" w:ascii="宋体" w:hAnsi="宋体" w:eastAsia="宋体" w:cs="宋体"/>
          <w:b/>
          <w:kern w:val="2"/>
          <w:sz w:val="21"/>
          <w:szCs w:val="21"/>
        </w:rPr>
        <w:t>（3）虚假投标，或者出现其他情形而导致被评标委员会认定无效的；</w:t>
      </w:r>
    </w:p>
    <w:p>
      <w:pPr>
        <w:pStyle w:val="20"/>
        <w:snapToGrid w:val="0"/>
        <w:spacing w:line="360" w:lineRule="auto"/>
        <w:ind w:firstLine="413" w:firstLineChars="196"/>
        <w:rPr>
          <w:rFonts w:ascii="宋体" w:hAnsi="宋体" w:eastAsia="宋体" w:cs="宋体"/>
          <w:b/>
          <w:kern w:val="2"/>
          <w:sz w:val="21"/>
          <w:szCs w:val="21"/>
        </w:rPr>
      </w:pPr>
      <w:r>
        <w:rPr>
          <w:rFonts w:hint="eastAsia" w:ascii="宋体" w:hAnsi="宋体" w:eastAsia="宋体" w:cs="宋体"/>
          <w:b/>
          <w:kern w:val="2"/>
          <w:sz w:val="21"/>
          <w:szCs w:val="21"/>
        </w:rPr>
        <w:t>（4）</w:t>
      </w:r>
      <w:bookmarkStart w:id="146" w:name="_Hlk71706244"/>
      <w:r>
        <w:rPr>
          <w:rFonts w:hint="eastAsia" w:ascii="宋体" w:hAnsi="宋体" w:eastAsia="宋体" w:cs="宋体"/>
          <w:b/>
          <w:kern w:val="2"/>
          <w:sz w:val="21"/>
          <w:szCs w:val="21"/>
        </w:rPr>
        <w:t>招标文件未载明允许提供备选（替代）投标方案或明确不允许提供备选（替代）投标方案时，投标人提供了备选（替代）投标方案的；</w:t>
      </w:r>
      <w:bookmarkEnd w:id="146"/>
    </w:p>
    <w:p>
      <w:pPr>
        <w:pStyle w:val="20"/>
        <w:snapToGrid w:val="0"/>
        <w:spacing w:line="360" w:lineRule="auto"/>
        <w:ind w:firstLine="413" w:firstLineChars="196"/>
        <w:rPr>
          <w:rFonts w:ascii="宋体" w:hAnsi="宋体" w:eastAsia="宋体" w:cs="宋体"/>
          <w:b/>
          <w:kern w:val="2"/>
          <w:sz w:val="21"/>
          <w:szCs w:val="21"/>
        </w:rPr>
      </w:pPr>
      <w:r>
        <w:rPr>
          <w:rFonts w:hint="eastAsia" w:ascii="宋体" w:hAnsi="宋体" w:eastAsia="宋体" w:cs="宋体"/>
          <w:b/>
          <w:kern w:val="2"/>
          <w:sz w:val="21"/>
          <w:szCs w:val="21"/>
        </w:rPr>
        <w:t>（5）未响应招标文件实质性要求的。</w:t>
      </w:r>
    </w:p>
    <w:p>
      <w:pPr>
        <w:pStyle w:val="20"/>
        <w:snapToGrid w:val="0"/>
        <w:spacing w:line="360" w:lineRule="auto"/>
        <w:ind w:firstLine="413" w:firstLineChars="196"/>
        <w:rPr>
          <w:rFonts w:ascii="宋体" w:hAnsi="宋体" w:eastAsia="宋体" w:cs="宋体"/>
          <w:b/>
          <w:kern w:val="2"/>
          <w:sz w:val="21"/>
          <w:szCs w:val="21"/>
        </w:rPr>
      </w:pPr>
      <w:r>
        <w:rPr>
          <w:rFonts w:hint="eastAsia" w:ascii="宋体" w:hAnsi="宋体" w:eastAsia="宋体" w:cs="宋体"/>
          <w:b/>
          <w:kern w:val="2"/>
          <w:sz w:val="21"/>
          <w:szCs w:val="21"/>
        </w:rPr>
        <w:t>2.4通过符合性审查的投标人不足3家，评标委员会不得继续评标，并出具评标报告。</w:t>
      </w:r>
    </w:p>
    <w:p>
      <w:pPr>
        <w:pStyle w:val="6"/>
        <w:keepNext w:val="0"/>
        <w:keepLines w:val="0"/>
        <w:spacing w:before="0" w:after="0" w:line="360" w:lineRule="auto"/>
        <w:ind w:left="420" w:leftChars="200"/>
        <w:rPr>
          <w:rFonts w:ascii="宋体" w:hAnsi="宋体" w:cs="宋体"/>
          <w:sz w:val="21"/>
          <w:szCs w:val="21"/>
        </w:rPr>
      </w:pPr>
      <w:r>
        <w:rPr>
          <w:rFonts w:hint="eastAsia" w:ascii="宋体" w:hAnsi="宋体" w:cs="宋体"/>
          <w:sz w:val="21"/>
          <w:szCs w:val="21"/>
        </w:rPr>
        <w:t>3.澄清补正</w:t>
      </w:r>
    </w:p>
    <w:p>
      <w:pPr>
        <w:snapToGrid w:val="0"/>
        <w:spacing w:line="360" w:lineRule="auto"/>
        <w:ind w:firstLine="420" w:firstLineChars="200"/>
        <w:rPr>
          <w:rFonts w:ascii="宋体" w:hAnsi="宋体" w:cs="宋体"/>
          <w:szCs w:val="21"/>
        </w:rPr>
      </w:pPr>
      <w:r>
        <w:rPr>
          <w:rFonts w:hint="eastAsia" w:ascii="宋体" w:hAnsi="宋体" w:cs="宋体"/>
          <w:szCs w:val="21"/>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pPr>
        <w:pStyle w:val="6"/>
        <w:keepNext w:val="0"/>
        <w:keepLines w:val="0"/>
        <w:spacing w:before="0" w:after="0" w:line="360" w:lineRule="auto"/>
        <w:ind w:left="420" w:leftChars="200"/>
        <w:rPr>
          <w:rFonts w:ascii="宋体" w:hAnsi="宋体" w:cs="宋体"/>
          <w:sz w:val="21"/>
          <w:szCs w:val="21"/>
        </w:rPr>
      </w:pPr>
      <w:r>
        <w:rPr>
          <w:rFonts w:hint="eastAsia" w:ascii="宋体" w:hAnsi="宋体" w:cs="宋体"/>
          <w:sz w:val="21"/>
          <w:szCs w:val="21"/>
        </w:rPr>
        <w:t>4.投标文件修正</w:t>
      </w:r>
    </w:p>
    <w:p>
      <w:pPr>
        <w:pStyle w:val="6"/>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 xml:space="preserve">4.1投标文件报价出现前后不一致的，按照下列规定修正： </w:t>
      </w:r>
    </w:p>
    <w:p>
      <w:pPr>
        <w:pStyle w:val="25"/>
        <w:snapToGrid w:val="0"/>
        <w:spacing w:line="360" w:lineRule="auto"/>
        <w:ind w:firstLine="420" w:firstLineChars="200"/>
        <w:rPr>
          <w:rFonts w:hAnsi="宋体" w:cs="宋体"/>
          <w:sz w:val="21"/>
        </w:rPr>
      </w:pPr>
      <w:r>
        <w:rPr>
          <w:rFonts w:hint="eastAsia" w:hAnsi="宋体" w:cs="宋体"/>
          <w:sz w:val="21"/>
        </w:rPr>
        <w:t>（1）投标文件中开标一览表（报价表）内容与投标文件中相应内容不一致的，以开标一览表（报价表）为准；</w:t>
      </w:r>
    </w:p>
    <w:p>
      <w:pPr>
        <w:pStyle w:val="25"/>
        <w:snapToGrid w:val="0"/>
        <w:spacing w:line="360" w:lineRule="auto"/>
        <w:ind w:firstLine="420" w:firstLineChars="200"/>
        <w:rPr>
          <w:rFonts w:hAnsi="宋体" w:cs="宋体"/>
          <w:sz w:val="21"/>
        </w:rPr>
      </w:pPr>
      <w:r>
        <w:rPr>
          <w:rFonts w:hint="eastAsia" w:hAnsi="宋体" w:cs="宋体"/>
          <w:sz w:val="21"/>
        </w:rPr>
        <w:t>（2）大写金额和小写金额不一致的，以大写金额为准；</w:t>
      </w:r>
    </w:p>
    <w:p>
      <w:pPr>
        <w:pStyle w:val="25"/>
        <w:snapToGrid w:val="0"/>
        <w:spacing w:line="360" w:lineRule="auto"/>
        <w:ind w:firstLine="420" w:firstLineChars="200"/>
        <w:rPr>
          <w:rFonts w:hAnsi="宋体" w:cs="宋体"/>
          <w:sz w:val="21"/>
        </w:rPr>
      </w:pPr>
      <w:r>
        <w:rPr>
          <w:rFonts w:hint="eastAsia" w:hAnsi="宋体" w:cs="宋体"/>
          <w:sz w:val="21"/>
        </w:rPr>
        <w:t>（3）单价金额小数点或者百分比有明显错位的，以开标一览表的总价为准，并修改单价；</w:t>
      </w:r>
    </w:p>
    <w:p>
      <w:pPr>
        <w:pStyle w:val="25"/>
        <w:snapToGrid w:val="0"/>
        <w:spacing w:line="360" w:lineRule="auto"/>
        <w:ind w:firstLine="420" w:firstLineChars="200"/>
        <w:rPr>
          <w:rFonts w:hAnsi="宋体" w:cs="宋体"/>
          <w:sz w:val="21"/>
        </w:rPr>
      </w:pPr>
      <w:r>
        <w:rPr>
          <w:rFonts w:hint="eastAsia" w:hAnsi="宋体" w:cs="宋体"/>
          <w:sz w:val="21"/>
        </w:rPr>
        <w:t>（4）总价金额与按单价汇总金额不一致的，以单价金额计算结果为准。</w:t>
      </w:r>
    </w:p>
    <w:p>
      <w:pPr>
        <w:pStyle w:val="25"/>
        <w:snapToGrid w:val="0"/>
        <w:spacing w:line="360" w:lineRule="auto"/>
        <w:ind w:firstLine="420" w:firstLineChars="200"/>
        <w:rPr>
          <w:rFonts w:hAnsi="宋体" w:cs="宋体"/>
          <w:sz w:val="21"/>
        </w:rPr>
      </w:pPr>
      <w:r>
        <w:rPr>
          <w:rFonts w:hint="eastAsia" w:hAnsi="宋体" w:cs="宋体"/>
          <w:sz w:val="21"/>
        </w:rPr>
        <w:t>同时出现两种以上不一致的，按照以上（1）-（4）规定的顺序修正。修正后的报价经投标人确认后产生约束力，投标人不确认的，</w:t>
      </w:r>
      <w:r>
        <w:rPr>
          <w:rFonts w:hint="eastAsia" w:hAnsi="宋体" w:cs="宋体"/>
          <w:b/>
          <w:kern w:val="2"/>
          <w:sz w:val="21"/>
        </w:rPr>
        <w:t>其投标无效</w:t>
      </w:r>
      <w:r>
        <w:rPr>
          <w:rFonts w:hint="eastAsia" w:hAnsi="宋体" w:cs="宋体"/>
          <w:sz w:val="21"/>
        </w:rPr>
        <w:t>。</w:t>
      </w:r>
    </w:p>
    <w:p>
      <w:pPr>
        <w:pStyle w:val="6"/>
        <w:keepNext w:val="0"/>
        <w:keepLines w:val="0"/>
        <w:spacing w:before="0" w:after="0" w:line="360" w:lineRule="auto"/>
        <w:rPr>
          <w:rFonts w:ascii="宋体" w:hAnsi="宋体" w:cs="宋体"/>
          <w:b w:val="0"/>
          <w:sz w:val="21"/>
          <w:szCs w:val="21"/>
        </w:rPr>
      </w:pPr>
      <w:r>
        <w:rPr>
          <w:rFonts w:hint="eastAsia" w:ascii="宋体" w:hAnsi="宋体" w:cs="宋体"/>
          <w:b w:val="0"/>
          <w:sz w:val="21"/>
          <w:szCs w:val="21"/>
        </w:rPr>
        <w:t xml:space="preserve">    4.2经投标人确认修正后的报价若超过采购预算金额或者最高限价，</w:t>
      </w:r>
      <w:r>
        <w:rPr>
          <w:rFonts w:hint="eastAsia" w:ascii="宋体" w:hAnsi="宋体" w:cs="宋体"/>
          <w:sz w:val="21"/>
          <w:szCs w:val="21"/>
        </w:rPr>
        <w:t>投标人的投标文件作无效投标处理</w:t>
      </w:r>
      <w:r>
        <w:rPr>
          <w:rFonts w:hint="eastAsia" w:ascii="宋体" w:hAnsi="宋体" w:cs="宋体"/>
          <w:b w:val="0"/>
          <w:sz w:val="21"/>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4.3经投标人确认修正后的报价作为签订合同的依据，并以此报价计算价格分。</w:t>
      </w:r>
    </w:p>
    <w:p>
      <w:pPr>
        <w:pStyle w:val="6"/>
        <w:keepNext w:val="0"/>
        <w:keepLines w:val="0"/>
        <w:spacing w:before="0" w:after="0" w:line="360" w:lineRule="auto"/>
        <w:ind w:left="420" w:leftChars="200"/>
        <w:rPr>
          <w:rFonts w:ascii="宋体" w:hAnsi="宋体" w:cs="宋体"/>
          <w:sz w:val="21"/>
          <w:szCs w:val="21"/>
        </w:rPr>
      </w:pPr>
      <w:r>
        <w:rPr>
          <w:rFonts w:hint="eastAsia" w:ascii="宋体" w:hAnsi="宋体" w:cs="宋体"/>
          <w:sz w:val="21"/>
          <w:szCs w:val="21"/>
        </w:rPr>
        <w:t>5.比较与评价</w:t>
      </w:r>
    </w:p>
    <w:p>
      <w:pPr>
        <w:snapToGrid w:val="0"/>
        <w:spacing w:line="360" w:lineRule="auto"/>
        <w:ind w:firstLine="420" w:firstLineChars="200"/>
        <w:rPr>
          <w:rFonts w:ascii="宋体" w:hAnsi="宋体" w:cs="宋体"/>
          <w:szCs w:val="21"/>
        </w:rPr>
      </w:pPr>
      <w:r>
        <w:rPr>
          <w:rFonts w:hint="eastAsia" w:ascii="宋体" w:hAnsi="宋体" w:cs="宋体"/>
          <w:szCs w:val="21"/>
        </w:rPr>
        <w:t>5.1采用综合评分法的</w:t>
      </w:r>
    </w:p>
    <w:p>
      <w:pPr>
        <w:snapToGrid w:val="0"/>
        <w:spacing w:line="360" w:lineRule="auto"/>
        <w:ind w:firstLine="420" w:firstLineChars="200"/>
        <w:rPr>
          <w:rFonts w:ascii="宋体" w:hAnsi="宋体" w:cs="宋体"/>
          <w:szCs w:val="21"/>
        </w:rPr>
      </w:pPr>
      <w:r>
        <w:rPr>
          <w:rFonts w:hint="eastAsia" w:ascii="宋体" w:hAnsi="宋体" w:cs="宋体"/>
          <w:szCs w:val="21"/>
        </w:rPr>
        <w:t>（1）评标委员会按照招标文件中规定的评标方法及评标标准，对符合性审查合格的投标文件进行商务和技术评估，综合比较与评价。</w:t>
      </w:r>
    </w:p>
    <w:p>
      <w:pPr>
        <w:snapToGrid w:val="0"/>
        <w:spacing w:line="360" w:lineRule="auto"/>
        <w:ind w:firstLine="420" w:firstLineChars="200"/>
        <w:rPr>
          <w:rFonts w:ascii="宋体" w:hAnsi="宋体" w:cs="宋体"/>
          <w:szCs w:val="21"/>
        </w:rPr>
      </w:pPr>
      <w:r>
        <w:rPr>
          <w:rFonts w:hint="eastAsia" w:ascii="宋体" w:hAnsi="宋体" w:cs="宋体"/>
          <w:szCs w:val="21"/>
        </w:rPr>
        <w:t>（2）评标委员会独立对每个投标人的投标文件进行评价，并汇总每个投标人的得分。</w:t>
      </w:r>
    </w:p>
    <w:p>
      <w:pPr>
        <w:snapToGrid w:val="0"/>
        <w:spacing w:line="360" w:lineRule="auto"/>
        <w:ind w:firstLine="420" w:firstLineChars="200"/>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szCs w:val="21"/>
        </w:rPr>
        <w:t>投标人不能证明其报价合理性的，评标委员会将其作为无效投标处理</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（3）评标委员会按照招标文件中规定的评标方法和标准计算各投标人的报价得分。在计算过程中，不得去掉最高报价或者最低报价。</w:t>
      </w:r>
    </w:p>
    <w:p>
      <w:pPr>
        <w:snapToGrid w:val="0"/>
        <w:spacing w:line="360" w:lineRule="auto"/>
        <w:ind w:firstLine="420" w:firstLineChars="200"/>
        <w:rPr>
          <w:rFonts w:ascii="宋体" w:hAnsi="宋体" w:cs="宋体"/>
          <w:szCs w:val="21"/>
        </w:rPr>
      </w:pPr>
      <w:r>
        <w:rPr>
          <w:rFonts w:hint="eastAsia" w:ascii="宋体" w:hAnsi="宋体" w:cs="宋体"/>
          <w:szCs w:val="21"/>
        </w:rPr>
        <w:t>（4）各投标人的得分为所有评委的有效评分的算术平均数。</w:t>
      </w:r>
    </w:p>
    <w:p>
      <w:pPr>
        <w:snapToGrid w:val="0"/>
        <w:spacing w:line="360" w:lineRule="auto"/>
        <w:ind w:firstLine="420" w:firstLineChars="200"/>
        <w:rPr>
          <w:rFonts w:ascii="宋体" w:hAnsi="宋体" w:cs="宋体"/>
          <w:szCs w:val="21"/>
        </w:rPr>
      </w:pPr>
      <w:r>
        <w:rPr>
          <w:rFonts w:hint="eastAsia" w:ascii="宋体" w:hAnsi="宋体" w:cs="宋体"/>
          <w:szCs w:val="21"/>
        </w:rPr>
        <w:t>（5）评标委员会按照招标文件中的规定推荐中标候选人。</w:t>
      </w:r>
    </w:p>
    <w:p>
      <w:pPr>
        <w:snapToGrid w:val="0"/>
        <w:spacing w:line="360" w:lineRule="auto"/>
        <w:ind w:firstLine="420" w:firstLineChars="200"/>
        <w:rPr>
          <w:rFonts w:ascii="宋体" w:hAnsi="宋体" w:cs="宋体"/>
          <w:szCs w:val="21"/>
        </w:rPr>
      </w:pPr>
      <w:r>
        <w:rPr>
          <w:rFonts w:hint="eastAsia" w:ascii="宋体" w:hAnsi="宋体" w:cs="宋体"/>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jc w:val="center"/>
        <w:rPr>
          <w:rFonts w:ascii="宋体" w:hAnsi="宋体" w:cs="宋体"/>
        </w:rPr>
      </w:pPr>
      <w:r>
        <w:rPr>
          <w:rFonts w:hint="eastAsia" w:ascii="宋体" w:hAnsi="宋体" w:cs="宋体"/>
          <w:b/>
          <w:bCs/>
          <w:sz w:val="32"/>
          <w:szCs w:val="32"/>
        </w:rPr>
        <w:br w:type="page"/>
      </w:r>
      <w:r>
        <w:rPr>
          <w:rFonts w:hint="eastAsia" w:ascii="宋体" w:hAnsi="宋体" w:cs="宋体"/>
          <w:b/>
          <w:bCs/>
          <w:sz w:val="32"/>
          <w:szCs w:val="32"/>
        </w:rPr>
        <w:t>三、评标标准</w:t>
      </w:r>
    </w:p>
    <w:p>
      <w:pPr>
        <w:pStyle w:val="4"/>
        <w:keepNext w:val="0"/>
        <w:keepLines w:val="0"/>
        <w:jc w:val="center"/>
        <w:rPr>
          <w:rFonts w:ascii="宋体" w:hAnsi="宋体" w:cs="宋体"/>
          <w:bCs w:val="0"/>
          <w:sz w:val="21"/>
        </w:rPr>
      </w:pPr>
      <w:r>
        <w:rPr>
          <w:rFonts w:hint="eastAsia" w:ascii="宋体" w:hAnsi="宋体" w:cs="宋体"/>
        </w:rPr>
        <w:t>综合评分法</w:t>
      </w:r>
    </w:p>
    <w:tbl>
      <w:tblPr>
        <w:tblStyle w:val="4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24"/>
        <w:gridCol w:w="1499"/>
        <w:gridCol w:w="6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gridSpan w:val="2"/>
            <w:vAlign w:val="center"/>
          </w:tcPr>
          <w:p>
            <w:pPr>
              <w:adjustRightInd w:val="0"/>
              <w:snapToGrid w:val="0"/>
              <w:spacing w:line="360" w:lineRule="auto"/>
              <w:jc w:val="center"/>
              <w:textAlignment w:val="baseline"/>
              <w:rPr>
                <w:rFonts w:ascii="宋体" w:hAnsi="宋体" w:cs="宋体"/>
                <w:szCs w:val="21"/>
              </w:rPr>
            </w:pPr>
            <w:r>
              <w:rPr>
                <w:rFonts w:hint="eastAsia" w:ascii="宋体" w:hAnsi="宋体" w:cs="宋体"/>
                <w:b/>
                <w:szCs w:val="21"/>
              </w:rPr>
              <w:t>序号</w:t>
            </w:r>
          </w:p>
        </w:tc>
        <w:tc>
          <w:tcPr>
            <w:tcW w:w="1499" w:type="dxa"/>
            <w:vAlign w:val="center"/>
          </w:tcPr>
          <w:p>
            <w:pPr>
              <w:adjustRightInd w:val="0"/>
              <w:snapToGrid w:val="0"/>
              <w:spacing w:line="360" w:lineRule="auto"/>
              <w:jc w:val="center"/>
              <w:textAlignment w:val="baseline"/>
              <w:rPr>
                <w:rFonts w:ascii="宋体" w:hAnsi="宋体" w:cs="宋体"/>
                <w:szCs w:val="21"/>
              </w:rPr>
            </w:pPr>
            <w:r>
              <w:rPr>
                <w:rFonts w:hint="eastAsia" w:ascii="宋体" w:hAnsi="宋体" w:cs="宋体"/>
                <w:b/>
                <w:szCs w:val="21"/>
              </w:rPr>
              <w:t>评审因素</w:t>
            </w:r>
          </w:p>
        </w:tc>
        <w:tc>
          <w:tcPr>
            <w:tcW w:w="6916" w:type="dxa"/>
            <w:vAlign w:val="center"/>
          </w:tcPr>
          <w:p>
            <w:pPr>
              <w:adjustRightInd w:val="0"/>
              <w:snapToGrid w:val="0"/>
              <w:spacing w:line="360" w:lineRule="auto"/>
              <w:jc w:val="center"/>
              <w:textAlignment w:val="baseline"/>
              <w:rPr>
                <w:rFonts w:ascii="宋体" w:hAnsi="宋体" w:cs="宋体"/>
                <w:szCs w:val="21"/>
              </w:rPr>
            </w:pPr>
            <w:r>
              <w:rPr>
                <w:rFonts w:hint="eastAsia" w:ascii="宋体" w:hAnsi="宋体" w:cs="宋体"/>
                <w:b/>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6" w:type="dxa"/>
            <w:vAlign w:val="center"/>
          </w:tcPr>
          <w:p>
            <w:pPr>
              <w:adjustRightInd w:val="0"/>
              <w:snapToGrid w:val="0"/>
              <w:spacing w:line="360" w:lineRule="auto"/>
              <w:jc w:val="center"/>
              <w:textAlignment w:val="baseline"/>
              <w:rPr>
                <w:rFonts w:ascii="宋体" w:hAnsi="宋体" w:cs="宋体"/>
                <w:b/>
                <w:szCs w:val="21"/>
              </w:rPr>
            </w:pPr>
            <w:r>
              <w:rPr>
                <w:rFonts w:hint="eastAsia" w:ascii="宋体" w:hAnsi="宋体" w:cs="宋体"/>
                <w:b/>
                <w:szCs w:val="21"/>
              </w:rPr>
              <w:t>1</w:t>
            </w:r>
          </w:p>
        </w:tc>
        <w:tc>
          <w:tcPr>
            <w:tcW w:w="1224" w:type="dxa"/>
            <w:vAlign w:val="center"/>
          </w:tcPr>
          <w:p>
            <w:pPr>
              <w:adjustRightInd w:val="0"/>
              <w:snapToGrid w:val="0"/>
              <w:spacing w:line="360" w:lineRule="auto"/>
              <w:jc w:val="center"/>
              <w:textAlignment w:val="baseline"/>
              <w:rPr>
                <w:rFonts w:ascii="宋体" w:hAnsi="宋体" w:cs="宋体"/>
                <w:b/>
                <w:szCs w:val="21"/>
              </w:rPr>
            </w:pPr>
            <w:r>
              <w:rPr>
                <w:rFonts w:hint="eastAsia" w:ascii="宋体" w:hAnsi="宋体" w:cs="宋体"/>
                <w:b/>
                <w:szCs w:val="21"/>
              </w:rPr>
              <w:t>价格分</w:t>
            </w:r>
          </w:p>
          <w:p>
            <w:pPr>
              <w:adjustRightInd w:val="0"/>
              <w:snapToGrid w:val="0"/>
              <w:spacing w:line="360" w:lineRule="auto"/>
              <w:jc w:val="center"/>
              <w:textAlignment w:val="baseline"/>
              <w:rPr>
                <w:rFonts w:ascii="宋体" w:hAnsi="宋体" w:cs="宋体"/>
                <w:szCs w:val="21"/>
              </w:rPr>
            </w:pPr>
            <w:r>
              <w:rPr>
                <w:rFonts w:hint="eastAsia" w:ascii="宋体" w:hAnsi="宋体" w:cs="宋体"/>
                <w:szCs w:val="21"/>
              </w:rPr>
              <w:t>（满分30分）</w:t>
            </w:r>
          </w:p>
        </w:tc>
        <w:tc>
          <w:tcPr>
            <w:tcW w:w="1499" w:type="dxa"/>
            <w:vAlign w:val="center"/>
          </w:tcPr>
          <w:p>
            <w:pPr>
              <w:adjustRightInd w:val="0"/>
              <w:snapToGrid w:val="0"/>
              <w:spacing w:line="360" w:lineRule="auto"/>
              <w:jc w:val="center"/>
              <w:textAlignment w:val="baseline"/>
              <w:rPr>
                <w:rFonts w:ascii="宋体" w:hAnsi="宋体" w:cs="宋体"/>
                <w:b/>
                <w:szCs w:val="21"/>
              </w:rPr>
            </w:pPr>
            <w:r>
              <w:rPr>
                <w:rFonts w:hint="eastAsia" w:ascii="宋体" w:hAnsi="宋体" w:cs="宋体"/>
                <w:b/>
                <w:szCs w:val="21"/>
              </w:rPr>
              <w:t>投标报价</w:t>
            </w:r>
          </w:p>
        </w:tc>
        <w:tc>
          <w:tcPr>
            <w:tcW w:w="6916" w:type="dxa"/>
            <w:vAlign w:val="center"/>
          </w:tcPr>
          <w:p>
            <w:pPr>
              <w:spacing w:line="360" w:lineRule="auto"/>
              <w:rPr>
                <w:rFonts w:ascii="宋体" w:hAnsi="宋体" w:cs="宋体"/>
                <w:szCs w:val="21"/>
              </w:rPr>
            </w:pPr>
            <w:r>
              <w:rPr>
                <w:rFonts w:hint="eastAsia" w:ascii="宋体" w:hAnsi="宋体" w:cs="宋体"/>
                <w:szCs w:val="21"/>
              </w:rPr>
              <w:t>（1）“单价合计总价”做为价格分的评审依据。评标报价为投标人的投标报价进行政策性扣除后的价格，评标报价只是作为评标时使用。最终中标人的中标金额等于投标报价，即“配送单价”为中标单价。</w:t>
            </w:r>
          </w:p>
          <w:p>
            <w:pPr>
              <w:spacing w:line="360" w:lineRule="auto"/>
              <w:rPr>
                <w:rFonts w:ascii="宋体" w:hAnsi="宋体" w:cs="宋体"/>
                <w:szCs w:val="21"/>
              </w:rPr>
            </w:pPr>
            <w:r>
              <w:rPr>
                <w:rFonts w:hint="eastAsia" w:ascii="宋体" w:hAnsi="宋体" w:cs="宋体"/>
                <w:szCs w:val="21"/>
              </w:rPr>
              <w:t>（2）按照《政府采购促进中小企业发展管理办法》（财库〔2020〕46号）的规定，投标人在其投标文件中提供《中小企业声明函》，且服务全部由小微企业承接，按《广西壮族自治区财政厅关于持续优化政府采购营商环境推动高质量发展的通知》（桂财采〔2024〕55号）的规定对其最后报价给予10%的扣除。</w:t>
            </w:r>
          </w:p>
          <w:p>
            <w:pPr>
              <w:spacing w:line="360" w:lineRule="auto"/>
              <w:rPr>
                <w:rFonts w:ascii="宋体" w:hAnsi="宋体" w:cs="宋体"/>
                <w:szCs w:val="21"/>
              </w:rPr>
            </w:pPr>
            <w:r>
              <w:rPr>
                <w:rFonts w:hint="eastAsia" w:ascii="宋体" w:hAnsi="宋体" w:cs="宋体"/>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rPr>
                <w:rFonts w:ascii="宋体" w:hAnsi="宋体" w:cs="宋体"/>
                <w:szCs w:val="21"/>
              </w:rPr>
            </w:pPr>
            <w:r>
              <w:rPr>
                <w:rFonts w:hint="eastAsia" w:ascii="宋体" w:hAnsi="宋体" w:cs="宋体"/>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rPr>
                <w:rFonts w:ascii="宋体" w:hAnsi="宋体" w:cs="宋体"/>
                <w:szCs w:val="21"/>
              </w:rPr>
            </w:pPr>
            <w:r>
              <w:rPr>
                <w:rFonts w:hint="eastAsia" w:ascii="宋体" w:hAnsi="宋体" w:cs="宋体"/>
                <w:szCs w:val="21"/>
              </w:rPr>
              <w:t>（5）政策性扣除计算方法。</w:t>
            </w:r>
          </w:p>
          <w:p>
            <w:pPr>
              <w:spacing w:line="360" w:lineRule="auto"/>
              <w:rPr>
                <w:rFonts w:ascii="宋体" w:hAnsi="宋体" w:cs="宋体"/>
                <w:szCs w:val="21"/>
              </w:rPr>
            </w:pPr>
            <w:r>
              <w:rPr>
                <w:rFonts w:hint="eastAsia" w:ascii="宋体" w:hAnsi="宋体" w:cs="宋体"/>
                <w:szCs w:val="21"/>
              </w:rPr>
              <w:t>在服务采购项目中，服务由小微企业承接；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报价，即评标报价=投标报价×（1-4%）。除上述情况外，评标报价=投标报价。</w:t>
            </w:r>
          </w:p>
          <w:p>
            <w:pPr>
              <w:spacing w:line="360" w:lineRule="auto"/>
              <w:rPr>
                <w:rFonts w:ascii="宋体" w:hAnsi="宋体" w:cs="宋体"/>
                <w:szCs w:val="21"/>
              </w:rPr>
            </w:pPr>
            <w:r>
              <w:rPr>
                <w:rFonts w:hint="eastAsia" w:ascii="宋体" w:hAnsi="宋体" w:cs="宋体"/>
                <w:szCs w:val="21"/>
              </w:rPr>
              <w:t>（6）满足招标文件要求且评标报价最低的评标报价为评标基准价，其价格分为满分。</w:t>
            </w:r>
          </w:p>
          <w:p>
            <w:pPr>
              <w:spacing w:line="360" w:lineRule="auto"/>
              <w:rPr>
                <w:rFonts w:ascii="宋体" w:hAnsi="宋体" w:cs="宋体"/>
                <w:szCs w:val="21"/>
              </w:rPr>
            </w:pPr>
            <w:r>
              <w:rPr>
                <w:rFonts w:hint="eastAsia" w:ascii="宋体" w:hAnsi="宋体" w:cs="宋体"/>
                <w:szCs w:val="21"/>
              </w:rPr>
              <w:t xml:space="preserve">（7）价格分计算公式：        </w:t>
            </w:r>
          </w:p>
          <w:p>
            <w:pPr>
              <w:spacing w:line="360" w:lineRule="auto"/>
              <w:rPr>
                <w:rFonts w:ascii="宋体" w:hAnsi="宋体" w:cs="宋体"/>
                <w:szCs w:val="21"/>
              </w:rPr>
            </w:pPr>
            <w:r>
              <w:rPr>
                <w:rFonts w:hint="eastAsia" w:ascii="宋体" w:hAnsi="宋体" w:cs="宋体"/>
                <w:szCs w:val="21"/>
              </w:rPr>
              <w:t>价格分=(评标基准价／评标报价)×30分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66" w:type="dxa"/>
            <w:vMerge w:val="restart"/>
            <w:vAlign w:val="center"/>
          </w:tcPr>
          <w:p>
            <w:pPr>
              <w:adjustRightInd w:val="0"/>
              <w:snapToGrid w:val="0"/>
              <w:spacing w:line="360" w:lineRule="auto"/>
              <w:jc w:val="center"/>
              <w:textAlignment w:val="baseline"/>
              <w:rPr>
                <w:rFonts w:ascii="宋体" w:hAnsi="宋体" w:cs="宋体"/>
                <w:b/>
                <w:szCs w:val="21"/>
              </w:rPr>
            </w:pPr>
            <w:r>
              <w:rPr>
                <w:rFonts w:hint="eastAsia" w:ascii="宋体" w:hAnsi="宋体" w:cs="宋体"/>
                <w:b/>
                <w:szCs w:val="21"/>
              </w:rPr>
              <w:t>2</w:t>
            </w:r>
          </w:p>
        </w:tc>
        <w:tc>
          <w:tcPr>
            <w:tcW w:w="1224" w:type="dxa"/>
            <w:vMerge w:val="restart"/>
            <w:vAlign w:val="center"/>
          </w:tcPr>
          <w:p>
            <w:pPr>
              <w:adjustRightInd w:val="0"/>
              <w:snapToGrid w:val="0"/>
              <w:spacing w:line="360" w:lineRule="auto"/>
              <w:ind w:left="-105" w:leftChars="-50" w:right="-105" w:rightChars="-50"/>
              <w:jc w:val="center"/>
              <w:textAlignment w:val="baseline"/>
              <w:rPr>
                <w:rFonts w:ascii="宋体" w:hAnsi="宋体" w:cs="宋体"/>
                <w:b/>
                <w:bCs/>
                <w:szCs w:val="21"/>
              </w:rPr>
            </w:pPr>
            <w:r>
              <w:rPr>
                <w:rFonts w:hint="eastAsia" w:ascii="宋体" w:hAnsi="宋体" w:cs="宋体"/>
                <w:b/>
                <w:bCs/>
                <w:szCs w:val="21"/>
              </w:rPr>
              <w:t>技术分</w:t>
            </w:r>
          </w:p>
          <w:p>
            <w:pPr>
              <w:adjustRightInd w:val="0"/>
              <w:snapToGrid w:val="0"/>
              <w:spacing w:line="360" w:lineRule="auto"/>
              <w:ind w:left="-105" w:leftChars="-50" w:right="-105" w:rightChars="-50"/>
              <w:jc w:val="center"/>
              <w:textAlignment w:val="baseline"/>
              <w:rPr>
                <w:rFonts w:ascii="宋体" w:hAnsi="宋体" w:cs="宋体"/>
                <w:spacing w:val="-18"/>
                <w:szCs w:val="21"/>
              </w:rPr>
            </w:pPr>
            <w:r>
              <w:rPr>
                <w:rFonts w:hint="eastAsia" w:ascii="宋体" w:hAnsi="宋体" w:cs="宋体"/>
                <w:bCs/>
                <w:szCs w:val="21"/>
              </w:rPr>
              <w:t>（</w:t>
            </w:r>
            <w:r>
              <w:rPr>
                <w:rFonts w:hint="eastAsia" w:ascii="宋体" w:hAnsi="宋体" w:cs="宋体"/>
                <w:szCs w:val="21"/>
              </w:rPr>
              <w:t>满分46分</w:t>
            </w:r>
            <w:r>
              <w:rPr>
                <w:rFonts w:hint="eastAsia" w:ascii="宋体" w:hAnsi="宋体" w:cs="宋体"/>
                <w:bCs/>
                <w:szCs w:val="21"/>
              </w:rPr>
              <w:t>）</w:t>
            </w:r>
          </w:p>
        </w:tc>
        <w:tc>
          <w:tcPr>
            <w:tcW w:w="1499" w:type="dxa"/>
            <w:vAlign w:val="center"/>
          </w:tcPr>
          <w:p>
            <w:pPr>
              <w:spacing w:line="360" w:lineRule="auto"/>
              <w:jc w:val="center"/>
              <w:rPr>
                <w:rFonts w:ascii="宋体" w:hAnsi="宋体" w:cs="宋体"/>
                <w:bCs/>
                <w:szCs w:val="21"/>
              </w:rPr>
            </w:pPr>
            <w:r>
              <w:rPr>
                <w:rFonts w:hint="eastAsia" w:ascii="宋体" w:hAnsi="宋体" w:cs="宋体"/>
                <w:bCs/>
                <w:szCs w:val="21"/>
              </w:rPr>
              <w:t>基本分（满分12分）</w:t>
            </w:r>
          </w:p>
        </w:tc>
        <w:tc>
          <w:tcPr>
            <w:tcW w:w="6916" w:type="dxa"/>
            <w:vAlign w:val="center"/>
          </w:tcPr>
          <w:p>
            <w:pPr>
              <w:pStyle w:val="25"/>
              <w:spacing w:line="360" w:lineRule="auto"/>
              <w:rPr>
                <w:rFonts w:hAnsi="宋体" w:cs="宋体"/>
                <w:kern w:val="2"/>
                <w:sz w:val="21"/>
              </w:rPr>
            </w:pPr>
            <w:r>
              <w:rPr>
                <w:rFonts w:hint="eastAsia" w:hAnsi="宋体" w:cs="宋体"/>
                <w:sz w:val="21"/>
              </w:rPr>
              <w:t>投标产品参数完全满足招标文件要求的得12分，一般技术参数（不带▲号的条款）有负偏离的每一项扣4分，漏项的每一项扣4分，最多扣完本项分值。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6" w:type="dxa"/>
            <w:vMerge w:val="continue"/>
          </w:tcPr>
          <w:p>
            <w:pPr>
              <w:adjustRightInd w:val="0"/>
              <w:snapToGrid w:val="0"/>
              <w:spacing w:line="360" w:lineRule="auto"/>
              <w:jc w:val="center"/>
              <w:textAlignment w:val="baseline"/>
              <w:rPr>
                <w:rFonts w:ascii="宋体" w:hAnsi="宋体" w:cs="宋体"/>
                <w:b/>
                <w:szCs w:val="21"/>
              </w:rPr>
            </w:pPr>
          </w:p>
        </w:tc>
        <w:tc>
          <w:tcPr>
            <w:tcW w:w="1224" w:type="dxa"/>
            <w:vMerge w:val="continue"/>
          </w:tcPr>
          <w:p>
            <w:pPr>
              <w:adjustRightInd w:val="0"/>
              <w:snapToGrid w:val="0"/>
              <w:spacing w:line="360" w:lineRule="auto"/>
              <w:jc w:val="center"/>
              <w:textAlignment w:val="baseline"/>
              <w:rPr>
                <w:rFonts w:ascii="宋体" w:hAnsi="宋体" w:cs="宋体"/>
                <w:szCs w:val="21"/>
              </w:rPr>
            </w:pPr>
          </w:p>
        </w:tc>
        <w:tc>
          <w:tcPr>
            <w:tcW w:w="1499" w:type="dxa"/>
            <w:tcMar>
              <w:left w:w="57" w:type="dxa"/>
              <w:right w:w="57" w:type="dxa"/>
            </w:tcMar>
            <w:vAlign w:val="center"/>
          </w:tcPr>
          <w:p>
            <w:pPr>
              <w:pStyle w:val="84"/>
              <w:spacing w:line="360" w:lineRule="auto"/>
              <w:jc w:val="center"/>
              <w:rPr>
                <w:rFonts w:ascii="宋体" w:hAnsi="宋体" w:cs="宋体"/>
                <w:szCs w:val="21"/>
              </w:rPr>
            </w:pPr>
            <w:r>
              <w:rPr>
                <w:rFonts w:hint="eastAsia" w:ascii="宋体" w:hAnsi="宋体" w:cs="宋体"/>
                <w:szCs w:val="21"/>
              </w:rPr>
              <w:t>实施方案分（满分12分）</w:t>
            </w:r>
          </w:p>
        </w:tc>
        <w:tc>
          <w:tcPr>
            <w:tcW w:w="6916" w:type="dxa"/>
            <w:vAlign w:val="center"/>
          </w:tcPr>
          <w:p>
            <w:pPr>
              <w:spacing w:line="360" w:lineRule="auto"/>
              <w:rPr>
                <w:rFonts w:ascii="宋体" w:hAnsi="宋体" w:cs="宋体"/>
                <w:bCs/>
                <w:szCs w:val="21"/>
              </w:rPr>
            </w:pPr>
            <w:r>
              <w:rPr>
                <w:rFonts w:hint="eastAsia" w:ascii="宋体" w:hAnsi="宋体" w:cs="宋体"/>
                <w:bCs/>
                <w:szCs w:val="21"/>
              </w:rPr>
              <w:t>评委根据投标人项目实施方案（方案内容包括但不限于：①针对本项目的服务流程；②针对本项目的操作规范；③技术支持服务；④投标人组织机构、人员配备分工安排；⑤实施进度计划方案⑥测试及验收整体方案⑦问题解决方案等）进行独立评分。未提供或达不到一档要求的，得0分。</w:t>
            </w:r>
          </w:p>
          <w:p>
            <w:pPr>
              <w:spacing w:line="360" w:lineRule="auto"/>
              <w:rPr>
                <w:rFonts w:ascii="宋体" w:hAnsi="宋体" w:cs="宋体"/>
                <w:bCs/>
                <w:szCs w:val="21"/>
              </w:rPr>
            </w:pPr>
            <w:r>
              <w:rPr>
                <w:rFonts w:hint="eastAsia" w:ascii="宋体" w:hAnsi="宋体" w:cs="宋体"/>
                <w:bCs/>
                <w:szCs w:val="21"/>
              </w:rPr>
              <w:t>一档（4分）：有实施方案及实施计划，但对上述的项目实施方案内容未进行全部阐述；</w:t>
            </w:r>
          </w:p>
          <w:p>
            <w:pPr>
              <w:spacing w:line="360" w:lineRule="auto"/>
              <w:rPr>
                <w:rFonts w:ascii="宋体" w:hAnsi="宋体" w:cs="宋体"/>
                <w:bCs/>
                <w:szCs w:val="21"/>
              </w:rPr>
            </w:pPr>
            <w:r>
              <w:rPr>
                <w:rFonts w:hint="eastAsia" w:ascii="宋体" w:hAnsi="宋体" w:cs="宋体"/>
                <w:bCs/>
                <w:szCs w:val="21"/>
              </w:rPr>
              <w:t>二档（8分）：实施方案及实施计划完整，对上述的项目实施方案内容均有阐述，但但阐述内容未包括具体实施细节及措施的；</w:t>
            </w:r>
          </w:p>
          <w:p>
            <w:pPr>
              <w:spacing w:line="360" w:lineRule="auto"/>
              <w:rPr>
                <w:rFonts w:ascii="宋体" w:hAnsi="宋体" w:cs="宋体"/>
                <w:szCs w:val="21"/>
              </w:rPr>
            </w:pPr>
            <w:r>
              <w:rPr>
                <w:rFonts w:hint="eastAsia" w:ascii="宋体" w:hAnsi="宋体" w:cs="宋体"/>
                <w:bCs/>
                <w:szCs w:val="21"/>
              </w:rPr>
              <w:t>三档（12分）：实施方案及实施计划完整清晰，对上述的项目实施方案内容已完整阐述，且包括具体实施细节及措施，完全满足采购要求。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6" w:type="dxa"/>
            <w:vMerge w:val="continue"/>
          </w:tcPr>
          <w:p>
            <w:pPr>
              <w:adjustRightInd w:val="0"/>
              <w:snapToGrid w:val="0"/>
              <w:spacing w:line="360" w:lineRule="auto"/>
              <w:jc w:val="center"/>
              <w:textAlignment w:val="baseline"/>
              <w:rPr>
                <w:rFonts w:ascii="宋体" w:hAnsi="宋体" w:cs="宋体"/>
                <w:b/>
                <w:szCs w:val="21"/>
              </w:rPr>
            </w:pPr>
          </w:p>
        </w:tc>
        <w:tc>
          <w:tcPr>
            <w:tcW w:w="1224" w:type="dxa"/>
            <w:vMerge w:val="continue"/>
          </w:tcPr>
          <w:p>
            <w:pPr>
              <w:adjustRightInd w:val="0"/>
              <w:snapToGrid w:val="0"/>
              <w:spacing w:line="360" w:lineRule="auto"/>
              <w:jc w:val="center"/>
              <w:textAlignment w:val="baseline"/>
              <w:rPr>
                <w:rFonts w:ascii="宋体" w:hAnsi="宋体" w:cs="宋体"/>
                <w:szCs w:val="21"/>
              </w:rPr>
            </w:pPr>
          </w:p>
        </w:tc>
        <w:tc>
          <w:tcPr>
            <w:tcW w:w="1499" w:type="dxa"/>
            <w:tcMar>
              <w:left w:w="57" w:type="dxa"/>
              <w:right w:w="57" w:type="dxa"/>
            </w:tcMar>
            <w:vAlign w:val="center"/>
          </w:tcPr>
          <w:p>
            <w:pPr>
              <w:pStyle w:val="84"/>
              <w:spacing w:line="360" w:lineRule="auto"/>
              <w:jc w:val="center"/>
              <w:rPr>
                <w:rFonts w:ascii="宋体" w:hAnsi="宋体" w:cs="宋体"/>
                <w:szCs w:val="21"/>
              </w:rPr>
            </w:pPr>
            <w:r>
              <w:rPr>
                <w:rFonts w:hint="eastAsia" w:ascii="宋体" w:hAnsi="宋体" w:cs="宋体"/>
                <w:kern w:val="2"/>
                <w:szCs w:val="21"/>
              </w:rPr>
              <w:t>管理制度方案分</w:t>
            </w:r>
            <w:r>
              <w:rPr>
                <w:rFonts w:hint="eastAsia" w:ascii="宋体" w:hAnsi="宋体" w:cs="宋体"/>
                <w:szCs w:val="21"/>
              </w:rPr>
              <w:t>（满分12分）</w:t>
            </w:r>
          </w:p>
        </w:tc>
        <w:tc>
          <w:tcPr>
            <w:tcW w:w="6916" w:type="dxa"/>
            <w:vAlign w:val="center"/>
          </w:tcPr>
          <w:p>
            <w:pPr>
              <w:spacing w:line="360" w:lineRule="auto"/>
              <w:rPr>
                <w:rFonts w:ascii="宋体" w:hAnsi="宋体" w:cs="宋体"/>
                <w:bCs/>
                <w:szCs w:val="21"/>
              </w:rPr>
            </w:pPr>
            <w:r>
              <w:rPr>
                <w:rFonts w:hint="eastAsia" w:ascii="宋体" w:hAnsi="宋体" w:cs="宋体"/>
                <w:bCs/>
                <w:szCs w:val="21"/>
              </w:rPr>
              <w:t>评委根据投标人</w:t>
            </w:r>
            <w:r>
              <w:rPr>
                <w:rFonts w:hint="eastAsia" w:ascii="宋体" w:hAnsi="宋体" w:cs="宋体"/>
                <w:szCs w:val="21"/>
              </w:rPr>
              <w:t>管理制度方案</w:t>
            </w:r>
            <w:r>
              <w:rPr>
                <w:rFonts w:hint="eastAsia" w:ascii="宋体" w:hAnsi="宋体" w:cs="宋体"/>
                <w:bCs/>
                <w:szCs w:val="21"/>
              </w:rPr>
              <w:t>（方案内容包括但不限于：①运输及交货保障制度；②工作管理制度；③应急预案制度；④冷链物流全程监控制度；⑤质量追溯与责任倒查制度；⑥风险预警与库存协同制度等）进行独立评分。未提供或达不到一档要求的，得0分。</w:t>
            </w:r>
          </w:p>
          <w:p>
            <w:pPr>
              <w:spacing w:line="360" w:lineRule="auto"/>
              <w:rPr>
                <w:rFonts w:ascii="宋体" w:hAnsi="宋体" w:cs="宋体"/>
                <w:bCs/>
                <w:szCs w:val="21"/>
              </w:rPr>
            </w:pPr>
            <w:r>
              <w:rPr>
                <w:rFonts w:hint="eastAsia" w:ascii="宋体" w:hAnsi="宋体" w:cs="宋体"/>
                <w:bCs/>
                <w:szCs w:val="21"/>
              </w:rPr>
              <w:t>一档（4分）：有管理制度方案，但对上述的管理制度方案内容未进行全部阐述；</w:t>
            </w:r>
          </w:p>
          <w:p>
            <w:pPr>
              <w:spacing w:line="360" w:lineRule="auto"/>
              <w:rPr>
                <w:rFonts w:ascii="宋体" w:hAnsi="宋体" w:cs="宋体"/>
                <w:bCs/>
                <w:szCs w:val="21"/>
              </w:rPr>
            </w:pPr>
            <w:r>
              <w:rPr>
                <w:rFonts w:hint="eastAsia" w:ascii="宋体" w:hAnsi="宋体" w:cs="宋体"/>
                <w:bCs/>
                <w:szCs w:val="21"/>
              </w:rPr>
              <w:t>二档（8分）：</w:t>
            </w:r>
            <w:r>
              <w:rPr>
                <w:rFonts w:hint="eastAsia" w:ascii="宋体" w:hAnsi="宋体" w:cs="宋体"/>
                <w:szCs w:val="21"/>
              </w:rPr>
              <w:t>管理制度方案</w:t>
            </w:r>
            <w:r>
              <w:rPr>
                <w:rFonts w:hint="eastAsia" w:ascii="宋体" w:hAnsi="宋体" w:cs="宋体"/>
                <w:bCs/>
                <w:szCs w:val="21"/>
              </w:rPr>
              <w:t>完整，对上述的管理制度方案均有阐述，但方案未包括具体管理细节及措施的；</w:t>
            </w:r>
          </w:p>
          <w:p>
            <w:pPr>
              <w:spacing w:line="360" w:lineRule="auto"/>
              <w:rPr>
                <w:rFonts w:ascii="宋体" w:hAnsi="宋体" w:cs="宋体"/>
                <w:szCs w:val="21"/>
              </w:rPr>
            </w:pPr>
            <w:r>
              <w:rPr>
                <w:rFonts w:hint="eastAsia" w:ascii="宋体" w:hAnsi="宋体" w:cs="宋体"/>
                <w:bCs/>
                <w:szCs w:val="21"/>
              </w:rPr>
              <w:t>三档（12分）：</w:t>
            </w:r>
            <w:r>
              <w:rPr>
                <w:rFonts w:hint="eastAsia" w:ascii="宋体" w:hAnsi="宋体" w:cs="宋体"/>
                <w:szCs w:val="21"/>
              </w:rPr>
              <w:t>管理制度方案</w:t>
            </w:r>
            <w:r>
              <w:rPr>
                <w:rFonts w:hint="eastAsia" w:ascii="宋体" w:hAnsi="宋体" w:cs="宋体"/>
                <w:bCs/>
                <w:szCs w:val="21"/>
              </w:rPr>
              <w:t>方案完整清晰，方案包括具体管理细节及措施，完全满足采购要求。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66" w:type="dxa"/>
            <w:vMerge w:val="continue"/>
          </w:tcPr>
          <w:p>
            <w:pPr>
              <w:adjustRightInd w:val="0"/>
              <w:snapToGrid w:val="0"/>
              <w:spacing w:line="360" w:lineRule="auto"/>
              <w:jc w:val="center"/>
              <w:textAlignment w:val="baseline"/>
              <w:rPr>
                <w:rFonts w:ascii="宋体" w:hAnsi="宋体" w:cs="宋体"/>
                <w:b/>
                <w:szCs w:val="21"/>
              </w:rPr>
            </w:pPr>
          </w:p>
        </w:tc>
        <w:tc>
          <w:tcPr>
            <w:tcW w:w="1224" w:type="dxa"/>
            <w:vMerge w:val="continue"/>
          </w:tcPr>
          <w:p>
            <w:pPr>
              <w:adjustRightInd w:val="0"/>
              <w:snapToGrid w:val="0"/>
              <w:spacing w:line="360" w:lineRule="auto"/>
              <w:jc w:val="center"/>
              <w:textAlignment w:val="baseline"/>
              <w:rPr>
                <w:rFonts w:ascii="宋体" w:hAnsi="宋体" w:cs="宋体"/>
                <w:szCs w:val="21"/>
              </w:rPr>
            </w:pPr>
          </w:p>
        </w:tc>
        <w:tc>
          <w:tcPr>
            <w:tcW w:w="1499" w:type="dxa"/>
            <w:tcMar>
              <w:left w:w="57" w:type="dxa"/>
              <w:right w:w="57" w:type="dxa"/>
            </w:tcMar>
            <w:vAlign w:val="center"/>
          </w:tcPr>
          <w:p>
            <w:pPr>
              <w:pStyle w:val="84"/>
              <w:spacing w:line="360" w:lineRule="auto"/>
              <w:jc w:val="center"/>
              <w:rPr>
                <w:rFonts w:ascii="宋体" w:hAnsi="宋体" w:cs="宋体"/>
                <w:szCs w:val="21"/>
              </w:rPr>
            </w:pPr>
            <w:r>
              <w:rPr>
                <w:rFonts w:hint="eastAsia" w:ascii="宋体" w:hAnsi="宋体" w:cs="宋体"/>
                <w:szCs w:val="21"/>
              </w:rPr>
              <w:t>质量保证措施（满分10分）</w:t>
            </w:r>
          </w:p>
        </w:tc>
        <w:tc>
          <w:tcPr>
            <w:tcW w:w="6916" w:type="dxa"/>
            <w:vAlign w:val="center"/>
          </w:tcPr>
          <w:p>
            <w:pPr>
              <w:spacing w:line="360" w:lineRule="auto"/>
              <w:rPr>
                <w:rFonts w:ascii="宋体" w:hAnsi="宋体" w:cs="宋体"/>
                <w:szCs w:val="21"/>
              </w:rPr>
            </w:pPr>
            <w:r>
              <w:rPr>
                <w:rFonts w:hint="eastAsia" w:ascii="宋体" w:hAnsi="宋体" w:cs="宋体"/>
                <w:bCs/>
                <w:szCs w:val="21"/>
              </w:rPr>
              <w:t>评委</w:t>
            </w:r>
            <w:r>
              <w:rPr>
                <w:rFonts w:hint="eastAsia" w:ascii="宋体" w:hAnsi="宋体" w:cs="宋体"/>
                <w:szCs w:val="21"/>
              </w:rPr>
              <w:t>根据投标人质量保证措施（内容包含但不限于：制定质量管理体系和执行标准，对目标、要点、措施等方面进行的解释，满足本项目质量管理的要求。未提供或达不到一档要求的为0分。</w:t>
            </w:r>
          </w:p>
          <w:p>
            <w:pPr>
              <w:spacing w:line="360" w:lineRule="auto"/>
              <w:rPr>
                <w:rFonts w:ascii="宋体" w:hAnsi="宋体" w:cs="宋体"/>
                <w:szCs w:val="21"/>
              </w:rPr>
            </w:pPr>
            <w:r>
              <w:rPr>
                <w:rFonts w:hint="eastAsia" w:ascii="宋体" w:hAnsi="宋体" w:cs="宋体"/>
                <w:szCs w:val="21"/>
              </w:rPr>
              <w:t>一档（4分）有质量控制方案</w:t>
            </w:r>
            <w:r>
              <w:rPr>
                <w:rFonts w:hint="eastAsia" w:ascii="宋体" w:hAnsi="宋体" w:cs="宋体"/>
                <w:bCs/>
                <w:szCs w:val="21"/>
              </w:rPr>
              <w:t>，但对上述</w:t>
            </w:r>
            <w:r>
              <w:rPr>
                <w:rFonts w:hint="eastAsia" w:ascii="宋体" w:hAnsi="宋体" w:cs="宋体"/>
                <w:szCs w:val="21"/>
              </w:rPr>
              <w:t>质量保证措施</w:t>
            </w:r>
            <w:r>
              <w:rPr>
                <w:rFonts w:hint="eastAsia" w:ascii="宋体" w:hAnsi="宋体" w:cs="宋体"/>
                <w:bCs/>
                <w:szCs w:val="21"/>
              </w:rPr>
              <w:t>方案内容未进行全部阐述</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二档（7分）有完整的的质量管理体系、执行标准、应对措施，满足质量管理的基本要求；</w:t>
            </w:r>
          </w:p>
          <w:p>
            <w:pPr>
              <w:spacing w:line="360" w:lineRule="auto"/>
              <w:rPr>
                <w:rFonts w:ascii="宋体" w:hAnsi="宋体" w:cs="宋体"/>
                <w:szCs w:val="21"/>
              </w:rPr>
            </w:pPr>
            <w:r>
              <w:rPr>
                <w:rFonts w:hint="eastAsia" w:ascii="宋体" w:hAnsi="宋体" w:cs="宋体"/>
                <w:szCs w:val="21"/>
              </w:rPr>
              <w:t>三档（10分）有具体的质量管理体系、执行标准、应对措施、质量检测方案，对本项目质量控制要求把握准确，质量检测方案科学合理，有明确的内部质量管理奖罚措施；有具体质量控制方案，控制目标、管理制度和措施；且制度完善，措施有效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66" w:type="dxa"/>
            <w:vMerge w:val="restart"/>
            <w:vAlign w:val="center"/>
          </w:tcPr>
          <w:p>
            <w:pPr>
              <w:adjustRightInd w:val="0"/>
              <w:snapToGrid w:val="0"/>
              <w:spacing w:line="360" w:lineRule="auto"/>
              <w:jc w:val="center"/>
              <w:textAlignment w:val="baseline"/>
              <w:rPr>
                <w:rFonts w:ascii="宋体" w:hAnsi="宋体" w:cs="宋体"/>
                <w:b/>
                <w:szCs w:val="21"/>
              </w:rPr>
            </w:pPr>
            <w:r>
              <w:rPr>
                <w:rFonts w:hint="eastAsia" w:ascii="宋体" w:hAnsi="宋体" w:cs="宋体"/>
                <w:b/>
                <w:szCs w:val="21"/>
              </w:rPr>
              <w:t>3</w:t>
            </w:r>
          </w:p>
        </w:tc>
        <w:tc>
          <w:tcPr>
            <w:tcW w:w="1224" w:type="dxa"/>
            <w:vMerge w:val="restart"/>
            <w:vAlign w:val="center"/>
          </w:tcPr>
          <w:p>
            <w:pPr>
              <w:adjustRightInd w:val="0"/>
              <w:snapToGrid w:val="0"/>
              <w:spacing w:line="360" w:lineRule="auto"/>
              <w:jc w:val="center"/>
              <w:textAlignment w:val="baseline"/>
              <w:rPr>
                <w:rFonts w:ascii="宋体" w:hAnsi="宋体" w:cs="宋体"/>
                <w:szCs w:val="21"/>
              </w:rPr>
            </w:pPr>
            <w:r>
              <w:rPr>
                <w:rFonts w:hint="eastAsia" w:ascii="宋体" w:hAnsi="宋体" w:cs="宋体"/>
                <w:szCs w:val="21"/>
              </w:rPr>
              <w:t>履约能力分（满分18分）</w:t>
            </w:r>
          </w:p>
        </w:tc>
        <w:tc>
          <w:tcPr>
            <w:tcW w:w="1499" w:type="dxa"/>
            <w:tcMar>
              <w:left w:w="57" w:type="dxa"/>
              <w:right w:w="57" w:type="dxa"/>
            </w:tcMar>
            <w:vAlign w:val="center"/>
          </w:tcPr>
          <w:p>
            <w:pPr>
              <w:pStyle w:val="84"/>
              <w:spacing w:line="360" w:lineRule="auto"/>
              <w:jc w:val="center"/>
              <w:rPr>
                <w:rFonts w:ascii="宋体" w:hAnsi="宋体" w:cs="宋体"/>
                <w:szCs w:val="21"/>
              </w:rPr>
            </w:pPr>
            <w:r>
              <w:rPr>
                <w:rFonts w:hint="eastAsia" w:ascii="宋体" w:hAnsi="宋体" w:cs="宋体"/>
                <w:szCs w:val="21"/>
              </w:rPr>
              <w:t>售后服务方案（满分12分）</w:t>
            </w:r>
          </w:p>
        </w:tc>
        <w:tc>
          <w:tcPr>
            <w:tcW w:w="6916" w:type="dxa"/>
            <w:vAlign w:val="center"/>
          </w:tcPr>
          <w:p>
            <w:pPr>
              <w:spacing w:line="360" w:lineRule="auto"/>
              <w:rPr>
                <w:rFonts w:ascii="宋体" w:hAnsi="宋体" w:cs="宋体"/>
                <w:bCs/>
                <w:szCs w:val="21"/>
              </w:rPr>
            </w:pPr>
            <w:r>
              <w:rPr>
                <w:rFonts w:hint="eastAsia" w:ascii="宋体" w:hAnsi="宋体" w:cs="宋体"/>
                <w:bCs/>
                <w:szCs w:val="21"/>
              </w:rPr>
              <w:t>由评委根据投标人提供的售后服务方案（如配送方案、应急处理、响应时间、本地化服务能力等方面）进行评定。 未提供的不得分。</w:t>
            </w:r>
          </w:p>
          <w:p>
            <w:pPr>
              <w:spacing w:line="360" w:lineRule="auto"/>
              <w:rPr>
                <w:rFonts w:ascii="宋体" w:hAnsi="宋体" w:cs="宋体"/>
                <w:bCs/>
                <w:szCs w:val="21"/>
              </w:rPr>
            </w:pPr>
            <w:r>
              <w:rPr>
                <w:rFonts w:hint="eastAsia" w:ascii="宋体" w:hAnsi="宋体" w:cs="宋体"/>
                <w:bCs/>
                <w:szCs w:val="21"/>
              </w:rPr>
              <w:t>一档（4分）：提供有配送方案，售后服务产品质保期满足招标采购要求，如产品发生质量问题，投标人售后服务承诺于2小时内答复，到达现场处理问题时间为24小时以内，如</w:t>
            </w:r>
            <w:r>
              <w:rPr>
                <w:rFonts w:hint="eastAsia" w:ascii="宋体" w:hAnsi="宋体" w:cs="宋体"/>
                <w:szCs w:val="21"/>
              </w:rPr>
              <w:t>遇到突发情况，须在1小时内到达现场，</w:t>
            </w:r>
            <w:r>
              <w:rPr>
                <w:rFonts w:hint="eastAsia" w:ascii="宋体" w:hAnsi="宋体" w:cs="宋体"/>
                <w:bCs/>
                <w:szCs w:val="21"/>
              </w:rPr>
              <w:t>解决问题时间为24小时以内，有培训计划，满足招标文件要求。</w:t>
            </w:r>
          </w:p>
          <w:p>
            <w:pPr>
              <w:spacing w:line="360" w:lineRule="auto"/>
              <w:rPr>
                <w:rFonts w:ascii="宋体" w:hAnsi="宋体" w:cs="宋体"/>
                <w:bCs/>
                <w:szCs w:val="21"/>
              </w:rPr>
            </w:pPr>
            <w:r>
              <w:rPr>
                <w:rFonts w:hint="eastAsia" w:ascii="宋体" w:hAnsi="宋体" w:cs="宋体"/>
                <w:bCs/>
                <w:szCs w:val="21"/>
              </w:rPr>
              <w:t>二档（8分）：结合项目实际情况提供有完整的配送方案，产品质保期满足招标采购要求，如产品发生质量问题，投标人售后服务承诺于1.5小时内答复，到达现场处理问题时间为12小时以内，如</w:t>
            </w:r>
            <w:r>
              <w:rPr>
                <w:rFonts w:hint="eastAsia" w:ascii="宋体" w:hAnsi="宋体" w:cs="宋体"/>
                <w:szCs w:val="21"/>
              </w:rPr>
              <w:t>遇到突发情况，须在40分钟内到达现场，</w:t>
            </w:r>
            <w:r>
              <w:rPr>
                <w:rFonts w:hint="eastAsia" w:ascii="宋体" w:hAnsi="宋体" w:cs="宋体"/>
                <w:bCs/>
                <w:szCs w:val="21"/>
              </w:rPr>
              <w:t>解决问题时间为18小时以内，重大问题或其它无法迅速解决的问题应在5个工作日内解决，无法解决问题时5日内提供替换产品，培训计划满足招标文件的要求，有售后应急事故处理方案等服务保障条件，一个季度内定期回访一次，具备本地化服务能力。</w:t>
            </w:r>
          </w:p>
          <w:p>
            <w:pPr>
              <w:spacing w:line="360" w:lineRule="auto"/>
              <w:rPr>
                <w:rFonts w:ascii="宋体" w:hAnsi="宋体" w:cs="宋体"/>
                <w:szCs w:val="21"/>
              </w:rPr>
            </w:pPr>
            <w:r>
              <w:rPr>
                <w:rFonts w:hint="eastAsia" w:ascii="宋体" w:hAnsi="宋体" w:cs="宋体"/>
                <w:bCs/>
                <w:szCs w:val="21"/>
              </w:rPr>
              <w:t>三档（12分）：满足二档要求的基础上，产品质保期满足招标采购要求，如产品发生质量问题，投标人售后服务承诺于1小时内答复，到达现场处理问题时间为6小时以内，如</w:t>
            </w:r>
            <w:r>
              <w:rPr>
                <w:rFonts w:hint="eastAsia" w:ascii="宋体" w:hAnsi="宋体" w:cs="宋体"/>
                <w:szCs w:val="21"/>
              </w:rPr>
              <w:t>遇到突发情况，须在30分钟内到达现场，</w:t>
            </w:r>
            <w:r>
              <w:rPr>
                <w:rFonts w:hint="eastAsia" w:ascii="宋体" w:hAnsi="宋体" w:cs="宋体"/>
                <w:bCs/>
                <w:szCs w:val="21"/>
              </w:rPr>
              <w:t>解决问题时间为12小时以内，重大问题或其它无法迅速解决的问题应在5个工作日内解决，无法解决问题时2日内提供替换产品，有详细的培训计划及人员安排，一个月内定期回访一次，具备本地化服务能力，产品运输、温控、存储符合国家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66" w:type="dxa"/>
            <w:vMerge w:val="continue"/>
          </w:tcPr>
          <w:p>
            <w:pPr>
              <w:adjustRightInd w:val="0"/>
              <w:snapToGrid w:val="0"/>
              <w:spacing w:line="360" w:lineRule="auto"/>
              <w:jc w:val="center"/>
              <w:textAlignment w:val="baseline"/>
              <w:rPr>
                <w:rFonts w:ascii="宋体" w:hAnsi="宋体" w:cs="宋体"/>
                <w:b/>
                <w:szCs w:val="21"/>
              </w:rPr>
            </w:pPr>
          </w:p>
        </w:tc>
        <w:tc>
          <w:tcPr>
            <w:tcW w:w="1224" w:type="dxa"/>
            <w:vMerge w:val="continue"/>
          </w:tcPr>
          <w:p>
            <w:pPr>
              <w:adjustRightInd w:val="0"/>
              <w:snapToGrid w:val="0"/>
              <w:spacing w:line="360" w:lineRule="auto"/>
              <w:jc w:val="center"/>
              <w:textAlignment w:val="baseline"/>
              <w:rPr>
                <w:rFonts w:ascii="宋体" w:hAnsi="宋体" w:cs="宋体"/>
                <w:szCs w:val="21"/>
              </w:rPr>
            </w:pPr>
          </w:p>
        </w:tc>
        <w:tc>
          <w:tcPr>
            <w:tcW w:w="1499" w:type="dxa"/>
            <w:tcMar>
              <w:left w:w="57" w:type="dxa"/>
              <w:right w:w="57" w:type="dxa"/>
            </w:tcMar>
            <w:vAlign w:val="center"/>
          </w:tcPr>
          <w:p>
            <w:pPr>
              <w:pStyle w:val="84"/>
              <w:spacing w:line="360" w:lineRule="auto"/>
              <w:jc w:val="center"/>
              <w:rPr>
                <w:rFonts w:ascii="宋体" w:hAnsi="宋体" w:cs="宋体"/>
                <w:szCs w:val="21"/>
              </w:rPr>
            </w:pPr>
            <w:r>
              <w:rPr>
                <w:rFonts w:hint="eastAsia" w:ascii="宋体" w:hAnsi="宋体" w:cs="宋体"/>
                <w:bCs/>
                <w:szCs w:val="21"/>
              </w:rPr>
              <w:t>培训方案</w:t>
            </w:r>
            <w:r>
              <w:rPr>
                <w:rFonts w:hint="eastAsia" w:ascii="宋体" w:hAnsi="宋体" w:cs="宋体"/>
                <w:szCs w:val="21"/>
              </w:rPr>
              <w:t>（满分6分）</w:t>
            </w:r>
          </w:p>
        </w:tc>
        <w:tc>
          <w:tcPr>
            <w:tcW w:w="6916" w:type="dxa"/>
            <w:vAlign w:val="center"/>
          </w:tcPr>
          <w:p>
            <w:pPr>
              <w:spacing w:line="360" w:lineRule="auto"/>
              <w:rPr>
                <w:rFonts w:ascii="宋体" w:hAnsi="宋体" w:cs="宋体"/>
                <w:bCs/>
                <w:szCs w:val="21"/>
              </w:rPr>
            </w:pPr>
            <w:r>
              <w:rPr>
                <w:rFonts w:hint="eastAsia" w:ascii="宋体" w:hAnsi="宋体" w:cs="宋体"/>
                <w:bCs/>
                <w:szCs w:val="21"/>
              </w:rPr>
              <w:t>由评委根据投标人提供的培训方案（如遗传咨询培训及实验室体系管理培训等方面）进行评定。 未提供的不得分。</w:t>
            </w:r>
          </w:p>
          <w:p>
            <w:pPr>
              <w:spacing w:line="360" w:lineRule="auto"/>
              <w:rPr>
                <w:rFonts w:ascii="宋体" w:hAnsi="宋体" w:cs="宋体"/>
                <w:bCs/>
                <w:szCs w:val="21"/>
              </w:rPr>
            </w:pPr>
            <w:r>
              <w:rPr>
                <w:rFonts w:hint="eastAsia" w:ascii="宋体" w:hAnsi="宋体" w:cs="宋体"/>
                <w:bCs/>
                <w:szCs w:val="21"/>
              </w:rPr>
              <w:t>一档（3分）：培训方案有培训计划安排，但安排不明确。</w:t>
            </w:r>
          </w:p>
          <w:p>
            <w:pPr>
              <w:spacing w:line="360" w:lineRule="auto"/>
              <w:rPr>
                <w:rFonts w:ascii="宋体" w:hAnsi="宋体" w:cs="宋体"/>
                <w:szCs w:val="21"/>
              </w:rPr>
            </w:pPr>
            <w:r>
              <w:rPr>
                <w:rFonts w:hint="eastAsia" w:ascii="宋体" w:hAnsi="宋体" w:cs="宋体"/>
                <w:bCs/>
                <w:szCs w:val="21"/>
              </w:rPr>
              <w:t>二档（6分）：培训方案全面和计划，包含：拟派培训人员的安排、拟派培训人员的经验介绍、培训时间、规模人数、培训内容等。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566" w:type="dxa"/>
            <w:vMerge w:val="restart"/>
            <w:vAlign w:val="center"/>
          </w:tcPr>
          <w:p>
            <w:pPr>
              <w:snapToGrid w:val="0"/>
              <w:spacing w:line="360" w:lineRule="auto"/>
              <w:jc w:val="center"/>
              <w:rPr>
                <w:rFonts w:ascii="宋体" w:hAnsi="宋体" w:cs="宋体"/>
                <w:b/>
                <w:szCs w:val="21"/>
              </w:rPr>
            </w:pPr>
            <w:r>
              <w:rPr>
                <w:rFonts w:hint="eastAsia" w:ascii="宋体" w:hAnsi="宋体" w:cs="宋体"/>
                <w:b/>
                <w:szCs w:val="21"/>
              </w:rPr>
              <w:t>4</w:t>
            </w:r>
          </w:p>
        </w:tc>
        <w:tc>
          <w:tcPr>
            <w:tcW w:w="1224" w:type="dxa"/>
            <w:vMerge w:val="restart"/>
            <w:vAlign w:val="center"/>
          </w:tcPr>
          <w:p>
            <w:pPr>
              <w:snapToGrid w:val="0"/>
              <w:spacing w:line="360" w:lineRule="auto"/>
              <w:jc w:val="center"/>
              <w:rPr>
                <w:rFonts w:ascii="宋体" w:hAnsi="宋体" w:cs="宋体"/>
                <w:b/>
                <w:szCs w:val="21"/>
              </w:rPr>
            </w:pPr>
            <w:r>
              <w:rPr>
                <w:rFonts w:hint="eastAsia" w:ascii="宋体" w:hAnsi="宋体" w:cs="宋体"/>
                <w:b/>
                <w:szCs w:val="21"/>
              </w:rPr>
              <w:t>信誉分</w:t>
            </w:r>
            <w:r>
              <w:rPr>
                <w:rFonts w:hint="eastAsia" w:ascii="宋体" w:hAnsi="宋体" w:cs="宋体"/>
                <w:bCs/>
                <w:szCs w:val="21"/>
              </w:rPr>
              <w:t>（</w:t>
            </w:r>
            <w:r>
              <w:rPr>
                <w:rFonts w:hint="eastAsia" w:ascii="宋体" w:hAnsi="宋体" w:cs="宋体"/>
                <w:szCs w:val="21"/>
              </w:rPr>
              <w:t>满分5</w:t>
            </w:r>
            <w:r>
              <w:rPr>
                <w:rFonts w:hint="eastAsia" w:ascii="宋体" w:hAnsi="宋体" w:cs="宋体"/>
                <w:bCs/>
                <w:szCs w:val="21"/>
              </w:rPr>
              <w:t>分）</w:t>
            </w:r>
          </w:p>
        </w:tc>
        <w:tc>
          <w:tcPr>
            <w:tcW w:w="1499" w:type="dxa"/>
            <w:tcMar>
              <w:left w:w="57" w:type="dxa"/>
              <w:right w:w="57" w:type="dxa"/>
            </w:tcMar>
            <w:vAlign w:val="center"/>
          </w:tcPr>
          <w:p>
            <w:pPr>
              <w:snapToGrid w:val="0"/>
              <w:spacing w:line="360" w:lineRule="auto"/>
              <w:rPr>
                <w:rFonts w:ascii="宋体" w:hAnsi="宋体" w:cs="宋体"/>
                <w:b/>
                <w:szCs w:val="21"/>
              </w:rPr>
            </w:pPr>
            <w:r>
              <w:rPr>
                <w:rFonts w:hint="eastAsia" w:ascii="宋体" w:hAnsi="宋体" w:cs="宋体"/>
                <w:szCs w:val="21"/>
              </w:rPr>
              <w:t>综合实力分（满分2分）</w:t>
            </w:r>
          </w:p>
        </w:tc>
        <w:tc>
          <w:tcPr>
            <w:tcW w:w="6916" w:type="dxa"/>
            <w:vAlign w:val="center"/>
          </w:tcPr>
          <w:p>
            <w:pPr>
              <w:pStyle w:val="3"/>
              <w:keepNext w:val="0"/>
              <w:keepLines w:val="0"/>
              <w:widowControl/>
              <w:shd w:val="clear" w:color="auto" w:fill="FFFFFF"/>
              <w:spacing w:line="360" w:lineRule="auto"/>
              <w:rPr>
                <w:rFonts w:ascii="宋体" w:hAnsi="宋体" w:eastAsia="宋体" w:cs="宋体"/>
                <w:bCs w:val="0"/>
                <w:kern w:val="2"/>
                <w:sz w:val="21"/>
                <w:szCs w:val="21"/>
              </w:rPr>
            </w:pPr>
            <w:r>
              <w:rPr>
                <w:rFonts w:hint="eastAsia" w:ascii="宋体" w:hAnsi="宋体" w:eastAsia="宋体" w:cs="宋体"/>
                <w:b w:val="0"/>
                <w:bCs w:val="0"/>
                <w:sz w:val="21"/>
                <w:szCs w:val="21"/>
              </w:rPr>
              <w:t>1.投标人或所投标产品生产厂家通过相关管理体系认证（ISO9001质量管理体系认证、ISO13485医疗器械质量管理体系认证、ISO45001职业健康安全管理体系认证、ISO14001环境管理体系认证），每项得0.5分，满分2分。</w:t>
            </w:r>
            <w:r>
              <w:rPr>
                <w:rFonts w:hint="eastAsia" w:ascii="宋体" w:hAnsi="宋体" w:eastAsia="宋体" w:cs="宋体"/>
                <w:sz w:val="21"/>
                <w:szCs w:val="21"/>
              </w:rPr>
              <w:t>【投标人需提供有效认证证书复印件【证书在全国认证认可信息公共服务平台上(http://cx.cnca.cn)可查】并加盖投标人公章。不提供证书复印件，或证书状态非“有效”均不得分。】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566" w:type="dxa"/>
            <w:vMerge w:val="continue"/>
            <w:vAlign w:val="center"/>
          </w:tcPr>
          <w:p>
            <w:pPr>
              <w:snapToGrid w:val="0"/>
              <w:spacing w:line="360" w:lineRule="auto"/>
              <w:jc w:val="center"/>
              <w:rPr>
                <w:rFonts w:ascii="宋体" w:hAnsi="宋体" w:cs="宋体"/>
                <w:b/>
                <w:szCs w:val="21"/>
              </w:rPr>
            </w:pPr>
          </w:p>
        </w:tc>
        <w:tc>
          <w:tcPr>
            <w:tcW w:w="1224" w:type="dxa"/>
            <w:vMerge w:val="continue"/>
            <w:vAlign w:val="center"/>
          </w:tcPr>
          <w:p>
            <w:pPr>
              <w:snapToGrid w:val="0"/>
              <w:spacing w:line="360" w:lineRule="auto"/>
              <w:jc w:val="center"/>
              <w:rPr>
                <w:rFonts w:ascii="宋体" w:hAnsi="宋体" w:cs="宋体"/>
                <w:b/>
                <w:szCs w:val="21"/>
              </w:rPr>
            </w:pPr>
          </w:p>
        </w:tc>
        <w:tc>
          <w:tcPr>
            <w:tcW w:w="1499" w:type="dxa"/>
            <w:tcMar>
              <w:left w:w="57" w:type="dxa"/>
              <w:right w:w="57" w:type="dxa"/>
            </w:tcMar>
            <w:vAlign w:val="center"/>
          </w:tcPr>
          <w:p>
            <w:pPr>
              <w:snapToGrid w:val="0"/>
              <w:spacing w:line="360" w:lineRule="auto"/>
              <w:rPr>
                <w:rFonts w:ascii="宋体" w:hAnsi="宋体" w:cs="宋体"/>
                <w:b/>
                <w:szCs w:val="21"/>
              </w:rPr>
            </w:pPr>
            <w:r>
              <w:rPr>
                <w:rFonts w:hint="eastAsia" w:ascii="宋体" w:hAnsi="宋体" w:cs="宋体"/>
                <w:bCs/>
                <w:szCs w:val="21"/>
              </w:rPr>
              <w:t>业绩分</w:t>
            </w:r>
            <w:r>
              <w:rPr>
                <w:rFonts w:hint="eastAsia" w:ascii="宋体" w:hAnsi="宋体" w:cs="宋体"/>
                <w:szCs w:val="21"/>
              </w:rPr>
              <w:t>（满分3分）</w:t>
            </w:r>
          </w:p>
        </w:tc>
        <w:tc>
          <w:tcPr>
            <w:tcW w:w="6916" w:type="dxa"/>
            <w:vAlign w:val="center"/>
          </w:tcPr>
          <w:p>
            <w:pPr>
              <w:pStyle w:val="3"/>
              <w:keepNext w:val="0"/>
              <w:keepLines w:val="0"/>
              <w:widowControl/>
              <w:shd w:val="clear" w:color="auto" w:fill="FFFFFF"/>
              <w:spacing w:line="360" w:lineRule="auto"/>
              <w:rPr>
                <w:rFonts w:ascii="宋体" w:hAnsi="宋体" w:eastAsia="宋体" w:cs="宋体"/>
                <w:b w:val="0"/>
                <w:bCs w:val="0"/>
                <w:sz w:val="21"/>
                <w:szCs w:val="21"/>
              </w:rPr>
            </w:pPr>
            <w:r>
              <w:rPr>
                <w:rFonts w:hint="eastAsia" w:ascii="宋体" w:hAnsi="宋体" w:eastAsia="宋体" w:cs="宋体"/>
                <w:b w:val="0"/>
                <w:bCs w:val="0"/>
                <w:sz w:val="21"/>
                <w:szCs w:val="21"/>
              </w:rPr>
              <w:t>2.投标人2021年1月1日至今承担过同类项目业绩的，每1项得1分，总分为3分。【提供合同（合同首页至甲乙双方盖章页）复印件和中标/成交通知书复印件。】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66" w:type="dxa"/>
            <w:vAlign w:val="center"/>
          </w:tcPr>
          <w:p>
            <w:pPr>
              <w:snapToGrid w:val="0"/>
              <w:spacing w:line="360" w:lineRule="auto"/>
              <w:jc w:val="center"/>
              <w:rPr>
                <w:rFonts w:ascii="宋体" w:hAnsi="宋体" w:cs="宋体"/>
                <w:b/>
                <w:szCs w:val="21"/>
              </w:rPr>
            </w:pPr>
            <w:r>
              <w:rPr>
                <w:rFonts w:hint="eastAsia" w:ascii="宋体" w:hAnsi="宋体" w:cs="宋体"/>
                <w:b/>
                <w:szCs w:val="21"/>
              </w:rPr>
              <w:t>5</w:t>
            </w:r>
          </w:p>
        </w:tc>
        <w:tc>
          <w:tcPr>
            <w:tcW w:w="1224" w:type="dxa"/>
            <w:vAlign w:val="center"/>
          </w:tcPr>
          <w:p>
            <w:pPr>
              <w:snapToGrid w:val="0"/>
              <w:spacing w:line="360" w:lineRule="auto"/>
              <w:jc w:val="center"/>
              <w:rPr>
                <w:rFonts w:ascii="宋体" w:hAnsi="宋体" w:cs="宋体"/>
                <w:b/>
                <w:szCs w:val="21"/>
              </w:rPr>
            </w:pPr>
            <w:r>
              <w:rPr>
                <w:rFonts w:hint="eastAsia" w:ascii="宋体" w:hAnsi="宋体" w:cs="宋体"/>
                <w:b/>
                <w:szCs w:val="21"/>
              </w:rPr>
              <w:t>政策功能</w:t>
            </w:r>
            <w:r>
              <w:rPr>
                <w:rFonts w:hint="eastAsia" w:ascii="宋体" w:hAnsi="宋体" w:cs="宋体"/>
                <w:szCs w:val="21"/>
              </w:rPr>
              <w:t>（满分1分）</w:t>
            </w:r>
          </w:p>
        </w:tc>
        <w:tc>
          <w:tcPr>
            <w:tcW w:w="1499" w:type="dxa"/>
            <w:tcMar>
              <w:left w:w="57" w:type="dxa"/>
              <w:right w:w="57" w:type="dxa"/>
            </w:tcMar>
            <w:vAlign w:val="center"/>
          </w:tcPr>
          <w:p>
            <w:pPr>
              <w:adjustRightInd w:val="0"/>
              <w:spacing w:line="360" w:lineRule="auto"/>
              <w:jc w:val="center"/>
              <w:textAlignment w:val="baseline"/>
              <w:rPr>
                <w:rFonts w:ascii="宋体" w:hAnsi="宋体" w:cs="宋体"/>
                <w:b/>
                <w:szCs w:val="21"/>
              </w:rPr>
            </w:pPr>
            <w:r>
              <w:rPr>
                <w:rFonts w:hint="eastAsia" w:ascii="宋体" w:hAnsi="宋体" w:cs="宋体"/>
                <w:szCs w:val="21"/>
              </w:rPr>
              <w:t>政策功能（满分1分）</w:t>
            </w:r>
          </w:p>
        </w:tc>
        <w:tc>
          <w:tcPr>
            <w:tcW w:w="6916" w:type="dxa"/>
            <w:vAlign w:val="center"/>
          </w:tcPr>
          <w:p>
            <w:pPr>
              <w:pStyle w:val="25"/>
              <w:spacing w:line="360" w:lineRule="auto"/>
              <w:ind w:firstLine="400"/>
              <w:rPr>
                <w:rFonts w:hAnsi="宋体" w:cs="宋体"/>
                <w:sz w:val="21"/>
              </w:rPr>
            </w:pPr>
            <w:r>
              <w:rPr>
                <w:rFonts w:hint="eastAsia" w:hAnsi="宋体" w:cs="宋体"/>
                <w:sz w:val="21"/>
              </w:rPr>
              <w:t>1.主要投标产品中包含列入政府采购品目清单中的优先采购产品并具有有效的节能产品认证证书的，每项产品得0.25分，满分0.5分（以政府采购品目清单和有效的节能产品认证证书复印件为准）。</w:t>
            </w:r>
          </w:p>
          <w:p>
            <w:pPr>
              <w:spacing w:line="360" w:lineRule="auto"/>
              <w:ind w:firstLine="420" w:firstLineChars="200"/>
              <w:rPr>
                <w:rFonts w:ascii="宋体" w:hAnsi="宋体" w:cs="宋体"/>
                <w:szCs w:val="21"/>
              </w:rPr>
            </w:pPr>
            <w:r>
              <w:rPr>
                <w:rFonts w:hint="eastAsia" w:ascii="宋体" w:hAnsi="宋体" w:cs="宋体"/>
                <w:szCs w:val="21"/>
              </w:rPr>
              <w:t>2.主要投标产品中包含列入政府采购品目清单中的优先采购产品并具有有效的环境标志产品认证证书，每项产品得0.25分，满分0.5分（以政府采购品目清单和有效的环境标志产品认证证书复印件为准）。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4"/>
            <w:vAlign w:val="center"/>
          </w:tcPr>
          <w:p>
            <w:pPr>
              <w:snapToGrid w:val="0"/>
              <w:spacing w:line="360" w:lineRule="auto"/>
              <w:ind w:firstLine="420"/>
              <w:rPr>
                <w:rFonts w:ascii="宋体" w:hAnsi="宋体" w:cs="宋体"/>
                <w:bCs/>
                <w:szCs w:val="21"/>
              </w:rPr>
            </w:pPr>
            <w:r>
              <w:rPr>
                <w:rFonts w:hint="eastAsia" w:ascii="宋体" w:hAnsi="宋体" w:cs="宋体"/>
                <w:b/>
                <w:bCs/>
                <w:szCs w:val="21"/>
              </w:rPr>
              <w:t xml:space="preserve">总得分=1+2+3+4+5 </w:t>
            </w:r>
            <w:r>
              <w:rPr>
                <w:rFonts w:hint="eastAsia" w:ascii="宋体" w:hAnsi="宋体" w:cs="宋体"/>
                <w:b/>
                <w:szCs w:val="21"/>
              </w:rPr>
              <w:t xml:space="preserve">                                                     总分值：100分</w:t>
            </w:r>
          </w:p>
        </w:tc>
      </w:tr>
    </w:tbl>
    <w:p>
      <w:pPr>
        <w:pStyle w:val="25"/>
        <w:spacing w:line="360" w:lineRule="auto"/>
        <w:ind w:firstLine="420"/>
        <w:rPr>
          <w:rFonts w:hAnsi="宋体" w:cs="宋体"/>
          <w:bCs/>
          <w:sz w:val="21"/>
        </w:rPr>
      </w:pPr>
      <w:r>
        <w:rPr>
          <w:rFonts w:hint="eastAsia" w:hAnsi="宋体" w:cs="宋体"/>
          <w:bCs/>
          <w:sz w:val="21"/>
        </w:rPr>
        <w:t>注：1.计分方法按四舍五入取至百分位；</w:t>
      </w:r>
    </w:p>
    <w:p>
      <w:pPr>
        <w:pStyle w:val="25"/>
        <w:spacing w:line="360" w:lineRule="auto"/>
        <w:ind w:firstLine="420"/>
        <w:rPr>
          <w:rFonts w:hAnsi="宋体" w:cs="宋体"/>
          <w:bCs/>
          <w:sz w:val="21"/>
        </w:rPr>
      </w:pPr>
      <w:r>
        <w:rPr>
          <w:rFonts w:hint="eastAsia" w:hAnsi="宋体" w:cs="宋体"/>
          <w:bCs/>
          <w:sz w:val="21"/>
        </w:rPr>
        <w:t xml:space="preserve">    2.因落实政府采购政策进行价格调整的，以调整后的价格计算评标基准价和投标报价。</w:t>
      </w:r>
    </w:p>
    <w:p>
      <w:pPr>
        <w:spacing w:line="360" w:lineRule="auto"/>
        <w:ind w:firstLine="420" w:firstLineChars="200"/>
        <w:rPr>
          <w:rFonts w:ascii="宋体" w:hAnsi="宋体" w:cs="宋体"/>
          <w:szCs w:val="21"/>
        </w:rPr>
      </w:pPr>
      <w:r>
        <w:rPr>
          <w:rFonts w:hint="eastAsia" w:ascii="宋体" w:hAnsi="宋体" w:cs="宋体"/>
        </w:rPr>
        <w:br w:type="page"/>
      </w:r>
    </w:p>
    <w:p>
      <w:pPr>
        <w:pStyle w:val="4"/>
        <w:keepNext w:val="0"/>
        <w:keepLines w:val="0"/>
        <w:jc w:val="center"/>
        <w:rPr>
          <w:rFonts w:ascii="宋体" w:hAnsi="宋体" w:cs="宋体"/>
          <w:sz w:val="30"/>
          <w:szCs w:val="30"/>
        </w:rPr>
      </w:pPr>
      <w:r>
        <w:rPr>
          <w:rFonts w:hint="eastAsia" w:ascii="宋体" w:hAnsi="宋体" w:cs="宋体"/>
          <w:sz w:val="30"/>
          <w:szCs w:val="30"/>
        </w:rPr>
        <w:t>四、中标候选人推荐原则</w:t>
      </w:r>
    </w:p>
    <w:p>
      <w:pPr>
        <w:pStyle w:val="25"/>
        <w:spacing w:line="360" w:lineRule="auto"/>
        <w:contextualSpacing/>
        <w:rPr>
          <w:rFonts w:hAnsi="宋体" w:cs="宋体"/>
          <w:b/>
          <w:bCs/>
          <w:sz w:val="24"/>
          <w:szCs w:val="24"/>
        </w:rPr>
      </w:pPr>
      <w:r>
        <w:rPr>
          <w:rFonts w:hint="eastAsia" w:hAnsi="宋体" w:cs="宋体"/>
          <w:b/>
          <w:bCs/>
          <w:sz w:val="24"/>
          <w:szCs w:val="24"/>
        </w:rPr>
        <w:t>（一）综合评分法</w:t>
      </w:r>
    </w:p>
    <w:p>
      <w:pPr>
        <w:pStyle w:val="25"/>
        <w:spacing w:line="360" w:lineRule="auto"/>
        <w:ind w:firstLine="420" w:firstLineChars="200"/>
        <w:contextualSpacing/>
        <w:rPr>
          <w:rFonts w:hAnsi="宋体" w:cs="宋体"/>
          <w:sz w:val="21"/>
        </w:rPr>
      </w:pPr>
      <w:r>
        <w:rPr>
          <w:rFonts w:hint="eastAsia" w:hAnsi="宋体" w:cs="宋体"/>
          <w:sz w:val="21"/>
        </w:rPr>
        <w:t>评标委员会将根据总得分由高到低排列次序并推荐中标候选人。得分相同的，按投标报价由低到高顺序排列。得分且投标报价相同的并列。投标文件满足招标文件全部实质性要求，且按照评审因素的量化指标评审得分最高的投标人为排名第一的中标候选人。</w:t>
      </w:r>
    </w:p>
    <w:p>
      <w:pPr>
        <w:pStyle w:val="25"/>
        <w:spacing w:line="360" w:lineRule="auto"/>
        <w:ind w:firstLine="420" w:firstLineChars="200"/>
        <w:contextualSpacing/>
        <w:rPr>
          <w:rFonts w:hAnsi="宋体" w:cs="宋体"/>
          <w:sz w:val="21"/>
        </w:rPr>
      </w:pPr>
    </w:p>
    <w:p>
      <w:pPr>
        <w:pStyle w:val="4"/>
        <w:jc w:val="center"/>
        <w:rPr>
          <w:rFonts w:ascii="宋体" w:hAnsi="宋体" w:cs="宋体"/>
          <w:sz w:val="30"/>
          <w:szCs w:val="30"/>
        </w:rPr>
      </w:pPr>
    </w:p>
    <w:p>
      <w:pPr>
        <w:pStyle w:val="4"/>
        <w:keepNext w:val="0"/>
        <w:keepLines w:val="0"/>
        <w:ind w:firstLine="3915" w:firstLineChars="1300"/>
        <w:rPr>
          <w:rFonts w:ascii="宋体" w:hAnsi="宋体" w:cs="宋体"/>
          <w:sz w:val="30"/>
          <w:szCs w:val="30"/>
        </w:rPr>
      </w:pPr>
      <w:bookmarkStart w:id="147" w:name="_Toc80093008"/>
      <w:r>
        <w:rPr>
          <w:rFonts w:hint="eastAsia" w:ascii="宋体" w:hAnsi="宋体" w:cs="宋体"/>
          <w:sz w:val="30"/>
          <w:szCs w:val="30"/>
        </w:rPr>
        <w:t>五、 评标报告</w:t>
      </w:r>
      <w:bookmarkEnd w:id="147"/>
    </w:p>
    <w:p>
      <w:pPr>
        <w:pStyle w:val="121"/>
        <w:spacing w:before="0"/>
        <w:ind w:firstLine="482"/>
        <w:rPr>
          <w:rFonts w:ascii="宋体" w:hAnsi="宋体" w:cs="宋体"/>
          <w:b/>
          <w:bCs/>
          <w:szCs w:val="24"/>
        </w:rPr>
      </w:pPr>
      <w:r>
        <w:rPr>
          <w:rFonts w:hint="eastAsia" w:ascii="宋体" w:hAnsi="宋体" w:cs="宋体"/>
          <w:b/>
          <w:bCs/>
          <w:szCs w:val="24"/>
        </w:rPr>
        <w:t>（一）评标报告与推荐中标候选人</w:t>
      </w:r>
    </w:p>
    <w:p>
      <w:pPr>
        <w:pStyle w:val="25"/>
        <w:tabs>
          <w:tab w:val="left" w:pos="2472"/>
        </w:tabs>
        <w:spacing w:line="360" w:lineRule="auto"/>
        <w:ind w:firstLine="400" w:firstLineChars="200"/>
        <w:rPr>
          <w:rFonts w:hAnsi="宋体" w:cs="宋体"/>
        </w:rPr>
      </w:pPr>
      <w:r>
        <w:rPr>
          <w:rFonts w:hint="eastAsia" w:hAnsi="宋体" w:cs="宋体"/>
        </w:rPr>
        <w:t>评标委员会根据原始评标记录和评标结果编写评标报告，并通过电子交易平台向采购人、采购代理机构提交。</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（二）评标争议事项处理</w:t>
      </w:r>
    </w:p>
    <w:p>
      <w:pPr>
        <w:pStyle w:val="25"/>
        <w:tabs>
          <w:tab w:val="left" w:pos="2472"/>
        </w:tabs>
        <w:spacing w:line="360" w:lineRule="auto"/>
        <w:ind w:firstLine="400" w:firstLineChars="200"/>
        <w:rPr>
          <w:rFonts w:hAnsi="宋体" w:cs="宋体"/>
        </w:rPr>
      </w:pPr>
      <w:r>
        <w:rPr>
          <w:rFonts w:hint="eastAsia" w:hAnsi="宋体" w:cs="宋体"/>
        </w:rPr>
        <w:t>评标委员会成员对需要共同认定的事项存在争议的，应当按照少数服从多数的原则作出结论。持不同意见的评标委员会成员应当在评标报告上签署不同意见及理由，否则视为同意评标报告。</w:t>
      </w:r>
    </w:p>
    <w:p>
      <w:pPr>
        <w:spacing w:before="120" w:beforeLines="50" w:after="120" w:afterLines="50" w:line="400" w:lineRule="exact"/>
        <w:rPr>
          <w:rFonts w:ascii="宋体" w:hAnsi="宋体" w:cs="宋体"/>
          <w:b/>
          <w:sz w:val="24"/>
        </w:rPr>
      </w:pPr>
    </w:p>
    <w:p>
      <w:pPr>
        <w:spacing w:before="120" w:beforeLines="50" w:after="120" w:afterLines="50" w:line="400" w:lineRule="exact"/>
        <w:rPr>
          <w:rFonts w:ascii="宋体" w:hAnsi="宋体" w:cs="宋体"/>
          <w:b/>
          <w:sz w:val="24"/>
        </w:rPr>
      </w:pPr>
    </w:p>
    <w:p>
      <w:pPr>
        <w:spacing w:before="120" w:beforeLines="50" w:after="120" w:afterLines="50" w:line="400" w:lineRule="exact"/>
        <w:rPr>
          <w:rFonts w:ascii="宋体" w:hAnsi="宋体" w:cs="宋体"/>
          <w:b/>
          <w:sz w:val="24"/>
        </w:rPr>
      </w:pPr>
    </w:p>
    <w:p>
      <w:pPr>
        <w:spacing w:before="120" w:beforeLines="50" w:after="120" w:afterLines="50" w:line="400" w:lineRule="exact"/>
        <w:rPr>
          <w:rFonts w:ascii="宋体" w:hAnsi="宋体" w:cs="宋体"/>
          <w:b/>
          <w:sz w:val="24"/>
        </w:rPr>
      </w:pPr>
    </w:p>
    <w:p>
      <w:pPr>
        <w:spacing w:before="120" w:beforeLines="50" w:after="120" w:afterLines="50" w:line="400" w:lineRule="exact"/>
        <w:rPr>
          <w:rFonts w:ascii="宋体" w:hAnsi="宋体" w:cs="宋体"/>
          <w:b/>
          <w:sz w:val="24"/>
        </w:rPr>
      </w:pPr>
    </w:p>
    <w:p>
      <w:pPr>
        <w:spacing w:before="120" w:beforeLines="50" w:after="120" w:afterLines="50" w:line="400" w:lineRule="exact"/>
        <w:rPr>
          <w:rFonts w:ascii="宋体" w:hAnsi="宋体" w:cs="宋体"/>
          <w:b/>
          <w:sz w:val="24"/>
        </w:rPr>
      </w:pPr>
    </w:p>
    <w:p>
      <w:pPr>
        <w:spacing w:before="120" w:beforeLines="50" w:after="120" w:afterLines="50" w:line="400" w:lineRule="exact"/>
        <w:rPr>
          <w:rFonts w:ascii="宋体" w:hAnsi="宋体" w:cs="宋体"/>
          <w:b/>
          <w:sz w:val="24"/>
        </w:rPr>
      </w:pPr>
    </w:p>
    <w:p>
      <w:pPr>
        <w:pStyle w:val="3"/>
        <w:keepNext w:val="0"/>
        <w:keepLines w:val="0"/>
        <w:jc w:val="center"/>
        <w:rPr>
          <w:rFonts w:ascii="宋体" w:hAnsi="宋体" w:eastAsia="宋体" w:cs="宋体"/>
        </w:rPr>
      </w:pPr>
      <w:r>
        <w:rPr>
          <w:rFonts w:hint="eastAsia" w:ascii="宋体" w:hAnsi="宋体" w:eastAsia="宋体" w:cs="宋体"/>
        </w:rPr>
        <w:br w:type="page"/>
      </w:r>
    </w:p>
    <w:p>
      <w:pPr>
        <w:pStyle w:val="3"/>
        <w:keepNext w:val="0"/>
        <w:keepLines w:val="0"/>
        <w:jc w:val="center"/>
        <w:rPr>
          <w:rFonts w:ascii="宋体" w:hAnsi="宋体" w:eastAsia="宋体" w:cs="宋体"/>
        </w:rPr>
      </w:pPr>
    </w:p>
    <w:p>
      <w:pPr>
        <w:pStyle w:val="3"/>
        <w:keepNext w:val="0"/>
        <w:keepLines w:val="0"/>
        <w:jc w:val="center"/>
        <w:rPr>
          <w:rFonts w:ascii="宋体" w:hAnsi="宋体" w:eastAsia="宋体" w:cs="宋体"/>
        </w:rPr>
      </w:pPr>
    </w:p>
    <w:p>
      <w:pPr>
        <w:pStyle w:val="3"/>
        <w:keepNext w:val="0"/>
        <w:keepLines w:val="0"/>
        <w:jc w:val="center"/>
        <w:rPr>
          <w:rFonts w:ascii="宋体" w:hAnsi="宋体" w:eastAsia="宋体" w:cs="宋体"/>
        </w:rPr>
      </w:pPr>
    </w:p>
    <w:p>
      <w:pPr>
        <w:pStyle w:val="3"/>
        <w:keepNext w:val="0"/>
        <w:keepLines w:val="0"/>
        <w:jc w:val="center"/>
        <w:rPr>
          <w:rFonts w:ascii="宋体" w:hAnsi="宋体" w:eastAsia="宋体" w:cs="宋体"/>
        </w:rPr>
      </w:pPr>
    </w:p>
    <w:p>
      <w:pPr>
        <w:pStyle w:val="3"/>
        <w:keepNext w:val="0"/>
        <w:keepLines w:val="0"/>
        <w:jc w:val="center"/>
        <w:rPr>
          <w:rFonts w:ascii="宋体" w:hAnsi="宋体" w:eastAsia="宋体" w:cs="宋体"/>
        </w:rPr>
      </w:pPr>
    </w:p>
    <w:p>
      <w:pPr>
        <w:pStyle w:val="3"/>
        <w:keepNext w:val="0"/>
        <w:keepLines w:val="0"/>
        <w:jc w:val="center"/>
        <w:rPr>
          <w:rFonts w:ascii="宋体" w:hAnsi="宋体" w:eastAsia="宋体" w:cs="宋体"/>
        </w:rPr>
      </w:pPr>
    </w:p>
    <w:p>
      <w:pPr>
        <w:pStyle w:val="2"/>
        <w:jc w:val="center"/>
        <w:rPr>
          <w:rFonts w:ascii="宋体" w:hAnsi="宋体" w:cs="宋体"/>
        </w:rPr>
      </w:pPr>
      <w:bookmarkStart w:id="148" w:name="_Toc74320804"/>
      <w:r>
        <w:rPr>
          <w:rFonts w:hint="eastAsia" w:ascii="宋体" w:hAnsi="宋体" w:cs="宋体"/>
        </w:rPr>
        <w:t>第五章  拟签订的合同文本</w:t>
      </w:r>
      <w:bookmarkEnd w:id="148"/>
    </w:p>
    <w:p>
      <w:pPr>
        <w:snapToGrid w:val="0"/>
        <w:jc w:val="center"/>
        <w:rPr>
          <w:rFonts w:ascii="宋体" w:hAnsi="宋体" w:cs="宋体"/>
          <w:bCs/>
          <w:sz w:val="32"/>
          <w:szCs w:val="32"/>
        </w:rPr>
      </w:pPr>
    </w:p>
    <w:p>
      <w:pPr>
        <w:snapToGrid w:val="0"/>
        <w:jc w:val="center"/>
        <w:rPr>
          <w:rFonts w:ascii="宋体" w:hAnsi="宋体" w:cs="宋体"/>
          <w:bCs/>
          <w:sz w:val="32"/>
          <w:szCs w:val="32"/>
        </w:rPr>
      </w:pPr>
    </w:p>
    <w:p>
      <w:pPr>
        <w:snapToGrid w:val="0"/>
        <w:jc w:val="center"/>
        <w:rPr>
          <w:rFonts w:ascii="宋体" w:hAnsi="宋体" w:cs="宋体"/>
          <w:bCs/>
          <w:sz w:val="32"/>
          <w:szCs w:val="32"/>
        </w:rPr>
      </w:pPr>
    </w:p>
    <w:p>
      <w:pPr>
        <w:snapToGrid w:val="0"/>
        <w:jc w:val="center"/>
        <w:rPr>
          <w:rFonts w:ascii="宋体" w:hAnsi="宋体" w:cs="宋体"/>
          <w:bCs/>
          <w:sz w:val="32"/>
          <w:szCs w:val="32"/>
        </w:rPr>
      </w:pPr>
    </w:p>
    <w:p>
      <w:pPr>
        <w:snapToGrid w:val="0"/>
        <w:jc w:val="center"/>
        <w:rPr>
          <w:rFonts w:ascii="宋体" w:hAnsi="宋体" w:cs="宋体"/>
          <w:bCs/>
          <w:sz w:val="32"/>
          <w:szCs w:val="32"/>
        </w:rPr>
      </w:pPr>
    </w:p>
    <w:p>
      <w:pPr>
        <w:snapToGrid w:val="0"/>
        <w:jc w:val="center"/>
        <w:rPr>
          <w:rFonts w:ascii="宋体" w:hAnsi="宋体" w:cs="宋体"/>
          <w:bCs/>
          <w:sz w:val="32"/>
          <w:szCs w:val="32"/>
        </w:rPr>
      </w:pPr>
    </w:p>
    <w:p>
      <w:pPr>
        <w:snapToGrid w:val="0"/>
        <w:jc w:val="center"/>
        <w:rPr>
          <w:rFonts w:ascii="宋体" w:hAnsi="宋体" w:cs="宋体"/>
          <w:bCs/>
          <w:sz w:val="32"/>
          <w:szCs w:val="32"/>
        </w:rPr>
      </w:pPr>
    </w:p>
    <w:p>
      <w:pPr>
        <w:snapToGrid w:val="0"/>
        <w:jc w:val="center"/>
        <w:rPr>
          <w:rFonts w:ascii="宋体" w:hAnsi="宋体" w:cs="宋体"/>
          <w:bCs/>
          <w:sz w:val="32"/>
          <w:szCs w:val="32"/>
        </w:rPr>
      </w:pPr>
    </w:p>
    <w:p>
      <w:pPr>
        <w:snapToGrid w:val="0"/>
        <w:jc w:val="center"/>
        <w:rPr>
          <w:rFonts w:ascii="宋体" w:hAnsi="宋体" w:cs="宋体"/>
          <w:bCs/>
          <w:sz w:val="32"/>
          <w:szCs w:val="32"/>
        </w:rPr>
      </w:pPr>
    </w:p>
    <w:p>
      <w:pPr>
        <w:snapToGrid w:val="0"/>
        <w:jc w:val="center"/>
        <w:rPr>
          <w:rFonts w:ascii="宋体" w:hAnsi="宋体" w:cs="宋体"/>
          <w:bCs/>
          <w:sz w:val="32"/>
          <w:szCs w:val="32"/>
        </w:rPr>
      </w:pPr>
    </w:p>
    <w:p>
      <w:pPr>
        <w:snapToGrid w:val="0"/>
        <w:jc w:val="center"/>
        <w:rPr>
          <w:rFonts w:ascii="宋体" w:hAnsi="宋体" w:cs="宋体"/>
          <w:bCs/>
          <w:sz w:val="32"/>
          <w:szCs w:val="32"/>
        </w:rPr>
      </w:pPr>
    </w:p>
    <w:p>
      <w:pPr>
        <w:snapToGrid w:val="0"/>
        <w:jc w:val="center"/>
        <w:rPr>
          <w:rFonts w:ascii="宋体" w:hAnsi="宋体" w:cs="宋体"/>
          <w:bCs/>
          <w:sz w:val="32"/>
          <w:szCs w:val="32"/>
        </w:rPr>
      </w:pPr>
    </w:p>
    <w:p>
      <w:pPr>
        <w:snapToGrid w:val="0"/>
        <w:spacing w:line="360" w:lineRule="auto"/>
        <w:ind w:firstLine="640" w:firstLineChars="200"/>
        <w:rPr>
          <w:rFonts w:ascii="宋体" w:hAnsi="宋体" w:cs="宋体"/>
          <w:szCs w:val="21"/>
        </w:rPr>
      </w:pPr>
      <w:r>
        <w:rPr>
          <w:rFonts w:hint="eastAsia" w:ascii="宋体" w:hAnsi="宋体" w:cs="宋体"/>
          <w:bCs/>
          <w:sz w:val="32"/>
          <w:szCs w:val="32"/>
        </w:rPr>
        <w:br w:type="page"/>
      </w:r>
      <w:bookmarkStart w:id="149" w:name="_Hlk55381736"/>
      <w:r>
        <w:rPr>
          <w:rFonts w:hint="eastAsia" w:ascii="宋体" w:hAnsi="宋体" w:cs="宋体"/>
          <w:b/>
          <w:sz w:val="32"/>
          <w:szCs w:val="32"/>
        </w:rPr>
        <w:t xml:space="preserve"> </w:t>
      </w:r>
    </w:p>
    <w:p>
      <w:pPr>
        <w:snapToGrid w:val="0"/>
        <w:spacing w:line="400" w:lineRule="exact"/>
        <w:jc w:val="center"/>
        <w:rPr>
          <w:rFonts w:ascii="宋体" w:hAnsi="宋体" w:cs="宋体"/>
          <w:b/>
          <w:bCs/>
          <w:sz w:val="32"/>
          <w:szCs w:val="32"/>
        </w:rPr>
      </w:pPr>
    </w:p>
    <w:p>
      <w:pPr>
        <w:snapToGrid w:val="0"/>
        <w:spacing w:line="400" w:lineRule="exact"/>
        <w:jc w:val="center"/>
        <w:rPr>
          <w:rFonts w:ascii="宋体" w:hAnsi="宋体" w:cs="宋体"/>
          <w:b/>
          <w:bCs/>
          <w:sz w:val="32"/>
          <w:szCs w:val="32"/>
        </w:rPr>
      </w:pPr>
      <w:r>
        <w:rPr>
          <w:rFonts w:hint="eastAsia" w:ascii="宋体" w:hAnsi="宋体" w:cs="宋体"/>
          <w:b/>
          <w:bCs/>
          <w:sz w:val="32"/>
          <w:szCs w:val="32"/>
        </w:rPr>
        <w:t>《广西壮族自治区政府采购合同》</w:t>
      </w:r>
    </w:p>
    <w:p>
      <w:pPr>
        <w:snapToGrid w:val="0"/>
        <w:spacing w:line="400" w:lineRule="exact"/>
        <w:jc w:val="center"/>
        <w:rPr>
          <w:rFonts w:ascii="宋体" w:hAnsi="宋体" w:cs="宋体"/>
          <w:b/>
          <w:bCs/>
          <w:sz w:val="32"/>
          <w:szCs w:val="32"/>
        </w:rPr>
      </w:pPr>
      <w:r>
        <w:rPr>
          <w:rFonts w:hint="eastAsia" w:ascii="宋体" w:hAnsi="宋体" w:cs="宋体"/>
          <w:b/>
          <w:sz w:val="32"/>
          <w:szCs w:val="32"/>
        </w:rPr>
        <w:t>文本</w:t>
      </w:r>
    </w:p>
    <w:p>
      <w:pPr>
        <w:snapToGrid w:val="0"/>
        <w:spacing w:line="400" w:lineRule="exact"/>
        <w:ind w:right="480" w:firstLine="5250" w:firstLineChars="2500"/>
        <w:rPr>
          <w:rFonts w:ascii="宋体" w:hAnsi="宋体" w:cs="宋体"/>
          <w:bCs/>
          <w:szCs w:val="21"/>
          <w:u w:val="single"/>
        </w:rPr>
      </w:pPr>
      <w:r>
        <w:rPr>
          <w:rFonts w:hint="eastAsia" w:ascii="宋体" w:hAnsi="宋体" w:cs="宋体"/>
          <w:bCs/>
          <w:szCs w:val="21"/>
        </w:rPr>
        <w:t>合同编号：</w:t>
      </w:r>
    </w:p>
    <w:p>
      <w:pPr>
        <w:snapToGrid w:val="0"/>
        <w:spacing w:line="360" w:lineRule="exact"/>
        <w:rPr>
          <w:rFonts w:ascii="宋体" w:hAnsi="宋体" w:cs="宋体"/>
          <w:szCs w:val="21"/>
        </w:rPr>
      </w:pPr>
    </w:p>
    <w:p>
      <w:pPr>
        <w:snapToGrid w:val="0"/>
        <w:spacing w:line="360" w:lineRule="auto"/>
        <w:rPr>
          <w:rFonts w:ascii="宋体" w:hAnsi="宋体" w:cs="宋体"/>
          <w:szCs w:val="21"/>
          <w:u w:val="single"/>
        </w:rPr>
      </w:pPr>
      <w:r>
        <w:rPr>
          <w:rFonts w:hint="eastAsia" w:ascii="宋体" w:hAnsi="宋体" w:cs="宋体"/>
          <w:szCs w:val="21"/>
        </w:rPr>
        <w:t>采购人（甲方）</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pacing w:val="-20"/>
          <w:szCs w:val="21"/>
        </w:rPr>
        <w:t>采 购 计 划 号</w:t>
      </w:r>
      <w:r>
        <w:rPr>
          <w:rFonts w:hint="eastAsia" w:ascii="宋体" w:hAnsi="宋体" w:cs="宋体"/>
          <w:szCs w:val="21"/>
          <w:u w:val="single"/>
        </w:rPr>
        <w:t xml:space="preserve">             </w:t>
      </w:r>
    </w:p>
    <w:p>
      <w:pPr>
        <w:snapToGrid w:val="0"/>
        <w:spacing w:line="360" w:lineRule="auto"/>
        <w:rPr>
          <w:rFonts w:ascii="宋体" w:hAnsi="宋体" w:cs="宋体"/>
          <w:szCs w:val="21"/>
          <w:u w:val="single"/>
        </w:rPr>
      </w:pPr>
      <w:r>
        <w:rPr>
          <w:rFonts w:hint="eastAsia" w:ascii="宋体" w:hAnsi="宋体" w:cs="宋体"/>
          <w:szCs w:val="21"/>
        </w:rPr>
        <w:t>供 应 商（乙方）</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pacing w:val="-20"/>
          <w:szCs w:val="21"/>
        </w:rPr>
        <w:t>招  标  编  号</w:t>
      </w:r>
      <w:r>
        <w:rPr>
          <w:rFonts w:hint="eastAsia" w:ascii="宋体" w:hAnsi="宋体" w:cs="宋体"/>
          <w:szCs w:val="21"/>
          <w:u w:val="single"/>
        </w:rPr>
        <w:t xml:space="preserve">             </w:t>
      </w:r>
    </w:p>
    <w:p>
      <w:pPr>
        <w:snapToGrid w:val="0"/>
        <w:spacing w:line="360" w:lineRule="auto"/>
        <w:rPr>
          <w:rFonts w:ascii="宋体" w:hAnsi="宋体" w:cs="宋体"/>
          <w:szCs w:val="21"/>
          <w:u w:val="single"/>
        </w:rPr>
      </w:pPr>
      <w:r>
        <w:rPr>
          <w:rFonts w:hint="eastAsia" w:ascii="宋体" w:hAnsi="宋体" w:cs="宋体"/>
          <w:szCs w:val="21"/>
        </w:rPr>
        <w:t xml:space="preserve">签  订  地  点  </w:t>
      </w:r>
      <w:r>
        <w:rPr>
          <w:rFonts w:hint="eastAsia" w:ascii="宋体" w:hAnsi="宋体" w:cs="宋体"/>
          <w:szCs w:val="21"/>
          <w:u w:val="single"/>
        </w:rPr>
        <w:t xml:space="preserve">                          </w:t>
      </w:r>
      <w:r>
        <w:rPr>
          <w:rFonts w:hint="eastAsia" w:ascii="宋体" w:hAnsi="宋体" w:cs="宋体"/>
          <w:szCs w:val="21"/>
        </w:rPr>
        <w:t xml:space="preserve">  签 订 时 间</w:t>
      </w:r>
      <w:r>
        <w:rPr>
          <w:rFonts w:hint="eastAsia" w:ascii="宋体" w:hAnsi="宋体" w:cs="宋体"/>
          <w:szCs w:val="21"/>
          <w:u w:val="single"/>
        </w:rPr>
        <w:t xml:space="preserve">             </w:t>
      </w:r>
    </w:p>
    <w:p>
      <w:pPr>
        <w:snapToGrid w:val="0"/>
        <w:spacing w:line="360" w:lineRule="auto"/>
        <w:rPr>
          <w:rFonts w:ascii="宋体" w:hAnsi="宋体" w:cs="宋体"/>
          <w:szCs w:val="21"/>
          <w:u w:val="single"/>
        </w:rPr>
      </w:pPr>
      <w:r>
        <w:rPr>
          <w:rFonts w:hint="eastAsia" w:ascii="宋体" w:hAnsi="宋体" w:cs="宋体"/>
          <w:szCs w:val="21"/>
          <w:u w:val="single"/>
        </w:rPr>
        <w:t>分标：</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本合同为中小企业预留合同：</w:t>
      </w:r>
      <w:r>
        <w:rPr>
          <w:rFonts w:hint="eastAsia" w:ascii="宋体" w:hAnsi="宋体" w:cs="宋体"/>
          <w:szCs w:val="21"/>
          <w:u w:val="single"/>
        </w:rPr>
        <w:t>（是/否）</w:t>
      </w:r>
      <w:r>
        <w:rPr>
          <w:rFonts w:hint="eastAsia" w:ascii="宋体" w:hAnsi="宋体" w:cs="宋体"/>
          <w:szCs w:val="21"/>
        </w:rPr>
        <w:t>。</w:t>
      </w:r>
    </w:p>
    <w:p>
      <w:pPr>
        <w:pStyle w:val="124"/>
        <w:widowControl/>
        <w:spacing w:line="400" w:lineRule="exact"/>
        <w:ind w:firstLine="420" w:firstLineChars="200"/>
        <w:rPr>
          <w:rFonts w:hint="default" w:hAnsi="宋体" w:cs="宋体"/>
          <w:szCs w:val="21"/>
        </w:rPr>
      </w:pPr>
      <w:r>
        <w:rPr>
          <w:rFonts w:hAnsi="宋体" w:cs="宋体"/>
          <w:szCs w:val="21"/>
        </w:rPr>
        <w:t>根据《中华人民共和国政府采购法》、《中华人民共和国民法典》等法律、法规规定，按照招标文件规定条款和中标人投标文件及其承诺，甲乙双方签订本合同。</w:t>
      </w:r>
    </w:p>
    <w:p>
      <w:pPr>
        <w:numPr>
          <w:ilvl w:val="0"/>
          <w:numId w:val="6"/>
        </w:numPr>
        <w:snapToGrid w:val="0"/>
        <w:spacing w:line="400" w:lineRule="exact"/>
        <w:outlineLvl w:val="0"/>
        <w:rPr>
          <w:rFonts w:ascii="宋体" w:hAnsi="宋体" w:cs="宋体"/>
          <w:b/>
          <w:szCs w:val="21"/>
        </w:rPr>
      </w:pPr>
      <w:bookmarkStart w:id="150" w:name="_Toc99033092"/>
      <w:r>
        <w:rPr>
          <w:rFonts w:hint="eastAsia" w:ascii="宋体" w:hAnsi="宋体" w:cs="宋体"/>
          <w:b/>
          <w:szCs w:val="21"/>
          <w:lang w:bidi="ar"/>
        </w:rPr>
        <w:t>合同标的</w:t>
      </w:r>
      <w:bookmarkEnd w:id="150"/>
    </w:p>
    <w:tbl>
      <w:tblPr>
        <w:tblStyle w:val="47"/>
        <w:tblW w:w="48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475"/>
        <w:gridCol w:w="1272"/>
        <w:gridCol w:w="131"/>
        <w:gridCol w:w="1345"/>
        <w:gridCol w:w="58"/>
        <w:gridCol w:w="1403"/>
        <w:gridCol w:w="1584"/>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439" w:type="pct"/>
            <w:vAlign w:val="center"/>
          </w:tcPr>
          <w:p>
            <w:pPr>
              <w:snapToGrid w:val="0"/>
              <w:spacing w:line="400" w:lineRule="exact"/>
              <w:jc w:val="center"/>
              <w:rPr>
                <w:rFonts w:ascii="宋体" w:hAnsi="宋体" w:cs="宋体"/>
                <w:szCs w:val="21"/>
              </w:rPr>
            </w:pPr>
            <w:bookmarkStart w:id="151" w:name="_Toc99033093"/>
            <w:r>
              <w:rPr>
                <w:rFonts w:hint="eastAsia" w:ascii="宋体" w:hAnsi="宋体" w:cs="宋体"/>
                <w:szCs w:val="21"/>
              </w:rPr>
              <w:t>序号</w:t>
            </w:r>
          </w:p>
        </w:tc>
        <w:tc>
          <w:tcPr>
            <w:tcW w:w="766" w:type="pct"/>
            <w:vAlign w:val="center"/>
          </w:tcPr>
          <w:p>
            <w:pPr>
              <w:snapToGrid w:val="0"/>
              <w:spacing w:line="400" w:lineRule="exact"/>
              <w:jc w:val="center"/>
              <w:rPr>
                <w:rFonts w:ascii="宋体" w:hAnsi="宋体" w:cs="宋体"/>
                <w:szCs w:val="21"/>
              </w:rPr>
            </w:pPr>
            <w:r>
              <w:rPr>
                <w:rFonts w:hint="eastAsia" w:ascii="宋体" w:hAnsi="宋体" w:cs="宋体"/>
                <w:szCs w:val="21"/>
              </w:rPr>
              <w:t>标的的名称</w:t>
            </w:r>
          </w:p>
        </w:tc>
        <w:tc>
          <w:tcPr>
            <w:tcW w:w="728" w:type="pct"/>
            <w:gridSpan w:val="2"/>
            <w:vAlign w:val="center"/>
          </w:tcPr>
          <w:p>
            <w:pPr>
              <w:snapToGrid w:val="0"/>
              <w:spacing w:line="400" w:lineRule="exact"/>
              <w:jc w:val="center"/>
              <w:rPr>
                <w:rFonts w:ascii="宋体" w:hAnsi="宋体" w:cs="宋体"/>
                <w:szCs w:val="21"/>
              </w:rPr>
            </w:pPr>
            <w:r>
              <w:rPr>
                <w:rFonts w:hint="eastAsia" w:ascii="宋体" w:hAnsi="宋体" w:cs="宋体"/>
                <w:szCs w:val="21"/>
              </w:rPr>
              <w:t>商标品牌（如有）</w:t>
            </w:r>
          </w:p>
        </w:tc>
        <w:tc>
          <w:tcPr>
            <w:tcW w:w="728" w:type="pct"/>
            <w:gridSpan w:val="2"/>
            <w:vAlign w:val="center"/>
          </w:tcPr>
          <w:p>
            <w:pPr>
              <w:snapToGrid w:val="0"/>
              <w:spacing w:line="400" w:lineRule="exact"/>
              <w:jc w:val="center"/>
              <w:rPr>
                <w:rFonts w:ascii="宋体" w:hAnsi="宋体" w:cs="宋体"/>
                <w:szCs w:val="21"/>
              </w:rPr>
            </w:pPr>
            <w:r>
              <w:rPr>
                <w:rFonts w:hint="eastAsia" w:ascii="宋体" w:hAnsi="宋体" w:cs="宋体"/>
                <w:szCs w:val="21"/>
              </w:rPr>
              <w:t>规格型号（如有）</w:t>
            </w:r>
          </w:p>
        </w:tc>
        <w:tc>
          <w:tcPr>
            <w:tcW w:w="728" w:type="pct"/>
            <w:vAlign w:val="center"/>
          </w:tcPr>
          <w:p>
            <w:pPr>
              <w:snapToGrid w:val="0"/>
              <w:spacing w:line="400" w:lineRule="exact"/>
              <w:jc w:val="center"/>
              <w:rPr>
                <w:rFonts w:ascii="宋体" w:hAnsi="宋体" w:cs="宋体"/>
                <w:szCs w:val="21"/>
              </w:rPr>
            </w:pPr>
            <w:r>
              <w:rPr>
                <w:rFonts w:hint="eastAsia" w:ascii="宋体" w:hAnsi="宋体" w:cs="宋体"/>
                <w:szCs w:val="21"/>
              </w:rPr>
              <w:t>生产厂家</w:t>
            </w:r>
          </w:p>
        </w:tc>
        <w:tc>
          <w:tcPr>
            <w:tcW w:w="822" w:type="pct"/>
            <w:vAlign w:val="center"/>
          </w:tcPr>
          <w:p>
            <w:pPr>
              <w:snapToGrid w:val="0"/>
              <w:spacing w:line="400" w:lineRule="exact"/>
              <w:jc w:val="center"/>
              <w:rPr>
                <w:rFonts w:ascii="宋体" w:hAnsi="宋体" w:cs="宋体"/>
                <w:szCs w:val="21"/>
              </w:rPr>
            </w:pPr>
            <w:r>
              <w:rPr>
                <w:rFonts w:hint="eastAsia" w:ascii="宋体" w:hAnsi="宋体" w:cs="宋体"/>
                <w:szCs w:val="21"/>
              </w:rPr>
              <w:t>预估数量</w:t>
            </w:r>
          </w:p>
          <w:p>
            <w:pPr>
              <w:snapToGrid w:val="0"/>
              <w:spacing w:line="400" w:lineRule="exact"/>
              <w:jc w:val="center"/>
              <w:rPr>
                <w:rFonts w:ascii="宋体" w:hAnsi="宋体" w:cs="宋体"/>
                <w:szCs w:val="21"/>
              </w:rPr>
            </w:pPr>
            <w:r>
              <w:rPr>
                <w:rFonts w:hint="eastAsia" w:ascii="宋体" w:hAnsi="宋体" w:cs="宋体"/>
                <w:szCs w:val="21"/>
              </w:rPr>
              <w:t>及单位</w:t>
            </w:r>
          </w:p>
        </w:tc>
        <w:tc>
          <w:tcPr>
            <w:tcW w:w="787" w:type="pct"/>
            <w:vAlign w:val="center"/>
          </w:tcPr>
          <w:p>
            <w:pPr>
              <w:snapToGrid w:val="0"/>
              <w:spacing w:line="400" w:lineRule="exact"/>
              <w:jc w:val="center"/>
              <w:rPr>
                <w:rFonts w:ascii="宋体" w:hAnsi="宋体" w:cs="宋体"/>
                <w:szCs w:val="21"/>
              </w:rPr>
            </w:pPr>
            <w:r>
              <w:rPr>
                <w:rFonts w:hint="eastAsia" w:ascii="宋体" w:hAnsi="宋体" w:cs="宋体"/>
                <w:szCs w:val="21"/>
              </w:rPr>
              <w:t>配送单价</w:t>
            </w:r>
          </w:p>
          <w:p>
            <w:pPr>
              <w:snapToGrid w:val="0"/>
              <w:spacing w:line="400" w:lineRule="exact"/>
              <w:jc w:val="center"/>
              <w:rPr>
                <w:rFonts w:ascii="宋体" w:hAnsi="宋体" w:cs="宋体"/>
                <w:szCs w:val="21"/>
              </w:rPr>
            </w:pPr>
            <w:r>
              <w:rPr>
                <w:rFonts w:hint="eastAsia" w:ascii="宋体" w:hAnsi="宋体" w:cs="宋体"/>
                <w:szCs w:val="21"/>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5000" w:type="pct"/>
            <w:gridSpan w:val="9"/>
            <w:vAlign w:val="center"/>
          </w:tcPr>
          <w:p>
            <w:pPr>
              <w:snapToGrid w:val="0"/>
              <w:spacing w:line="400" w:lineRule="exact"/>
              <w:jc w:val="center"/>
              <w:rPr>
                <w:rFonts w:ascii="宋体" w:hAnsi="宋体" w:cs="宋体"/>
                <w:szCs w:val="21"/>
              </w:rPr>
            </w:pPr>
            <w:r>
              <w:rPr>
                <w:rFonts w:hint="eastAsia" w:ascii="宋体" w:hAnsi="宋体" w:cs="宋体"/>
                <w:szCs w:val="21"/>
              </w:rPr>
              <w:t>PGT试剂配送供应商服务1项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439" w:type="pct"/>
            <w:vAlign w:val="center"/>
          </w:tcPr>
          <w:p>
            <w:pPr>
              <w:snapToGrid w:val="0"/>
              <w:spacing w:line="400" w:lineRule="exact"/>
              <w:jc w:val="center"/>
              <w:rPr>
                <w:rFonts w:ascii="宋体" w:hAnsi="宋体" w:cs="宋体"/>
                <w:szCs w:val="21"/>
              </w:rPr>
            </w:pPr>
            <w:r>
              <w:rPr>
                <w:rFonts w:hint="eastAsia" w:ascii="宋体" w:hAnsi="宋体" w:cs="宋体"/>
                <w:szCs w:val="21"/>
              </w:rPr>
              <w:t>1</w:t>
            </w:r>
          </w:p>
        </w:tc>
        <w:tc>
          <w:tcPr>
            <w:tcW w:w="766" w:type="pct"/>
            <w:vAlign w:val="center"/>
          </w:tcPr>
          <w:p>
            <w:pPr>
              <w:snapToGrid w:val="0"/>
              <w:spacing w:line="400" w:lineRule="exact"/>
              <w:jc w:val="center"/>
              <w:rPr>
                <w:rFonts w:ascii="宋体" w:hAnsi="宋体" w:cs="宋体"/>
                <w:szCs w:val="21"/>
              </w:rPr>
            </w:pPr>
          </w:p>
        </w:tc>
        <w:tc>
          <w:tcPr>
            <w:tcW w:w="660" w:type="pct"/>
            <w:vAlign w:val="center"/>
          </w:tcPr>
          <w:p>
            <w:pPr>
              <w:spacing w:line="400" w:lineRule="exact"/>
              <w:jc w:val="center"/>
              <w:rPr>
                <w:rFonts w:ascii="宋体" w:hAnsi="宋体" w:cs="宋体"/>
                <w:szCs w:val="21"/>
              </w:rPr>
            </w:pPr>
          </w:p>
        </w:tc>
        <w:tc>
          <w:tcPr>
            <w:tcW w:w="766" w:type="pct"/>
            <w:gridSpan w:val="2"/>
            <w:vAlign w:val="center"/>
          </w:tcPr>
          <w:p>
            <w:pPr>
              <w:spacing w:line="400" w:lineRule="exact"/>
              <w:jc w:val="center"/>
              <w:rPr>
                <w:rFonts w:ascii="宋体" w:hAnsi="宋体" w:cs="宋体"/>
                <w:szCs w:val="21"/>
              </w:rPr>
            </w:pPr>
          </w:p>
        </w:tc>
        <w:tc>
          <w:tcPr>
            <w:tcW w:w="757" w:type="pct"/>
            <w:gridSpan w:val="2"/>
          </w:tcPr>
          <w:p>
            <w:pPr>
              <w:snapToGrid w:val="0"/>
              <w:spacing w:line="400" w:lineRule="exact"/>
              <w:jc w:val="center"/>
              <w:rPr>
                <w:rFonts w:ascii="宋体" w:hAnsi="宋体" w:cs="宋体"/>
                <w:szCs w:val="21"/>
              </w:rPr>
            </w:pPr>
          </w:p>
        </w:tc>
        <w:tc>
          <w:tcPr>
            <w:tcW w:w="822" w:type="pct"/>
            <w:vAlign w:val="center"/>
          </w:tcPr>
          <w:p>
            <w:pPr>
              <w:snapToGrid w:val="0"/>
              <w:spacing w:line="400" w:lineRule="exact"/>
              <w:jc w:val="center"/>
              <w:rPr>
                <w:rFonts w:ascii="宋体" w:hAnsi="宋体" w:cs="宋体"/>
                <w:szCs w:val="21"/>
              </w:rPr>
            </w:pPr>
          </w:p>
        </w:tc>
        <w:tc>
          <w:tcPr>
            <w:tcW w:w="787" w:type="pct"/>
            <w:vAlign w:val="center"/>
          </w:tcPr>
          <w:p>
            <w:pPr>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439" w:type="pct"/>
            <w:vAlign w:val="center"/>
          </w:tcPr>
          <w:p>
            <w:pPr>
              <w:snapToGrid w:val="0"/>
              <w:spacing w:line="400" w:lineRule="exact"/>
              <w:jc w:val="center"/>
              <w:rPr>
                <w:rFonts w:ascii="宋体" w:hAnsi="宋体" w:cs="宋体"/>
                <w:szCs w:val="21"/>
              </w:rPr>
            </w:pPr>
            <w:r>
              <w:rPr>
                <w:rFonts w:hint="eastAsia" w:ascii="宋体" w:hAnsi="宋体" w:cs="宋体"/>
                <w:szCs w:val="21"/>
              </w:rPr>
              <w:t>2</w:t>
            </w:r>
          </w:p>
        </w:tc>
        <w:tc>
          <w:tcPr>
            <w:tcW w:w="766" w:type="pct"/>
            <w:vAlign w:val="center"/>
          </w:tcPr>
          <w:p>
            <w:pPr>
              <w:snapToGrid w:val="0"/>
              <w:spacing w:line="400" w:lineRule="exact"/>
              <w:jc w:val="center"/>
              <w:rPr>
                <w:rFonts w:ascii="宋体" w:hAnsi="宋体" w:cs="宋体"/>
                <w:szCs w:val="21"/>
              </w:rPr>
            </w:pPr>
          </w:p>
        </w:tc>
        <w:tc>
          <w:tcPr>
            <w:tcW w:w="660" w:type="pct"/>
            <w:vAlign w:val="center"/>
          </w:tcPr>
          <w:p>
            <w:pPr>
              <w:spacing w:line="400" w:lineRule="exact"/>
              <w:jc w:val="center"/>
              <w:rPr>
                <w:rFonts w:ascii="宋体" w:hAnsi="宋体" w:cs="宋体"/>
                <w:szCs w:val="21"/>
              </w:rPr>
            </w:pPr>
          </w:p>
        </w:tc>
        <w:tc>
          <w:tcPr>
            <w:tcW w:w="766" w:type="pct"/>
            <w:gridSpan w:val="2"/>
            <w:vAlign w:val="center"/>
          </w:tcPr>
          <w:p>
            <w:pPr>
              <w:spacing w:line="400" w:lineRule="exact"/>
              <w:jc w:val="center"/>
              <w:rPr>
                <w:rFonts w:ascii="宋体" w:hAnsi="宋体" w:cs="宋体"/>
                <w:szCs w:val="21"/>
              </w:rPr>
            </w:pPr>
          </w:p>
        </w:tc>
        <w:tc>
          <w:tcPr>
            <w:tcW w:w="757" w:type="pct"/>
            <w:gridSpan w:val="2"/>
          </w:tcPr>
          <w:p>
            <w:pPr>
              <w:snapToGrid w:val="0"/>
              <w:spacing w:line="400" w:lineRule="exact"/>
              <w:jc w:val="center"/>
              <w:rPr>
                <w:rFonts w:ascii="宋体" w:hAnsi="宋体" w:cs="宋体"/>
                <w:szCs w:val="21"/>
              </w:rPr>
            </w:pPr>
          </w:p>
        </w:tc>
        <w:tc>
          <w:tcPr>
            <w:tcW w:w="822" w:type="pct"/>
            <w:vAlign w:val="center"/>
          </w:tcPr>
          <w:p>
            <w:pPr>
              <w:snapToGrid w:val="0"/>
              <w:spacing w:line="400" w:lineRule="exact"/>
              <w:jc w:val="center"/>
              <w:rPr>
                <w:rFonts w:ascii="宋体" w:hAnsi="宋体" w:cs="宋体"/>
                <w:szCs w:val="21"/>
              </w:rPr>
            </w:pPr>
          </w:p>
        </w:tc>
        <w:tc>
          <w:tcPr>
            <w:tcW w:w="787" w:type="pct"/>
            <w:vAlign w:val="center"/>
          </w:tcPr>
          <w:p>
            <w:pPr>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439" w:type="pct"/>
            <w:vAlign w:val="center"/>
          </w:tcPr>
          <w:p>
            <w:pPr>
              <w:snapToGrid w:val="0"/>
              <w:spacing w:line="400" w:lineRule="exact"/>
              <w:jc w:val="center"/>
              <w:rPr>
                <w:rFonts w:ascii="宋体" w:hAnsi="宋体" w:cs="宋体"/>
                <w:szCs w:val="21"/>
              </w:rPr>
            </w:pPr>
            <w:r>
              <w:rPr>
                <w:rFonts w:hint="eastAsia" w:ascii="宋体" w:hAnsi="宋体" w:cs="宋体"/>
                <w:szCs w:val="21"/>
              </w:rPr>
              <w:t>3</w:t>
            </w:r>
          </w:p>
        </w:tc>
        <w:tc>
          <w:tcPr>
            <w:tcW w:w="766" w:type="pct"/>
            <w:vAlign w:val="center"/>
          </w:tcPr>
          <w:p>
            <w:pPr>
              <w:snapToGrid w:val="0"/>
              <w:spacing w:line="400" w:lineRule="exact"/>
              <w:jc w:val="center"/>
              <w:rPr>
                <w:rFonts w:ascii="宋体" w:hAnsi="宋体" w:cs="宋体"/>
                <w:szCs w:val="21"/>
              </w:rPr>
            </w:pPr>
          </w:p>
        </w:tc>
        <w:tc>
          <w:tcPr>
            <w:tcW w:w="660" w:type="pct"/>
            <w:vAlign w:val="center"/>
          </w:tcPr>
          <w:p>
            <w:pPr>
              <w:spacing w:line="400" w:lineRule="exact"/>
              <w:jc w:val="center"/>
              <w:rPr>
                <w:rFonts w:ascii="宋体" w:hAnsi="宋体" w:cs="宋体"/>
                <w:szCs w:val="21"/>
              </w:rPr>
            </w:pPr>
          </w:p>
        </w:tc>
        <w:tc>
          <w:tcPr>
            <w:tcW w:w="766" w:type="pct"/>
            <w:gridSpan w:val="2"/>
            <w:vAlign w:val="center"/>
          </w:tcPr>
          <w:p>
            <w:pPr>
              <w:spacing w:line="400" w:lineRule="exact"/>
              <w:jc w:val="center"/>
              <w:rPr>
                <w:rFonts w:ascii="宋体" w:hAnsi="宋体" w:cs="宋体"/>
                <w:szCs w:val="21"/>
              </w:rPr>
            </w:pPr>
          </w:p>
        </w:tc>
        <w:tc>
          <w:tcPr>
            <w:tcW w:w="757" w:type="pct"/>
            <w:gridSpan w:val="2"/>
          </w:tcPr>
          <w:p>
            <w:pPr>
              <w:snapToGrid w:val="0"/>
              <w:spacing w:line="400" w:lineRule="exact"/>
              <w:jc w:val="center"/>
              <w:rPr>
                <w:rFonts w:ascii="宋体" w:hAnsi="宋体" w:cs="宋体"/>
                <w:szCs w:val="21"/>
              </w:rPr>
            </w:pPr>
          </w:p>
        </w:tc>
        <w:tc>
          <w:tcPr>
            <w:tcW w:w="822" w:type="pct"/>
            <w:vAlign w:val="center"/>
          </w:tcPr>
          <w:p>
            <w:pPr>
              <w:snapToGrid w:val="0"/>
              <w:spacing w:line="400" w:lineRule="exact"/>
              <w:jc w:val="center"/>
              <w:rPr>
                <w:rFonts w:ascii="宋体" w:hAnsi="宋体" w:cs="宋体"/>
                <w:szCs w:val="21"/>
              </w:rPr>
            </w:pPr>
          </w:p>
        </w:tc>
        <w:tc>
          <w:tcPr>
            <w:tcW w:w="787" w:type="pct"/>
            <w:vAlign w:val="center"/>
          </w:tcPr>
          <w:p>
            <w:pPr>
              <w:snapToGrid w:val="0"/>
              <w:spacing w:line="400" w:lineRule="exact"/>
              <w:jc w:val="center"/>
              <w:rPr>
                <w:rFonts w:ascii="宋体" w:hAnsi="宋体" w:cs="宋体"/>
                <w:szCs w:val="21"/>
              </w:rPr>
            </w:pPr>
          </w:p>
        </w:tc>
      </w:tr>
    </w:tbl>
    <w:p>
      <w:pPr>
        <w:pStyle w:val="17"/>
        <w:spacing w:line="400" w:lineRule="exact"/>
        <w:ind w:firstLine="420" w:firstLineChars="200"/>
        <w:rPr>
          <w:rFonts w:ascii="宋体" w:hAnsi="宋体" w:cs="宋体"/>
          <w:szCs w:val="21"/>
          <w:lang w:bidi="ar"/>
        </w:rPr>
      </w:pPr>
      <w:r>
        <w:rPr>
          <w:rFonts w:hint="eastAsia" w:ascii="宋体" w:hAnsi="宋体" w:cs="宋体"/>
          <w:szCs w:val="21"/>
          <w:lang w:bidi="ar"/>
        </w:rPr>
        <w:t>1、合同合计金额为完成项目所有服务所需的费用，包含配送的试剂耗材采购的全部费用、产品指定交货地点的各种费用、售后服务、税金、利息及其它所有成本费用的总和。如招投标文件对其另有规定的，从其规定。</w:t>
      </w:r>
    </w:p>
    <w:bookmarkEnd w:id="151"/>
    <w:p>
      <w:pPr>
        <w:pStyle w:val="17"/>
        <w:spacing w:line="400" w:lineRule="exact"/>
        <w:ind w:firstLine="422" w:firstLineChars="200"/>
        <w:rPr>
          <w:rFonts w:ascii="宋体" w:hAnsi="宋体" w:cs="宋体"/>
          <w:b/>
          <w:szCs w:val="21"/>
        </w:rPr>
      </w:pPr>
      <w:r>
        <w:rPr>
          <w:rFonts w:hint="eastAsia" w:ascii="宋体" w:hAnsi="宋体" w:cs="宋体"/>
          <w:b/>
          <w:szCs w:val="21"/>
          <w:lang w:bidi="ar"/>
        </w:rPr>
        <w:t>第二条　合同金额</w:t>
      </w:r>
    </w:p>
    <w:p>
      <w:pPr>
        <w:pStyle w:val="17"/>
        <w:spacing w:line="400" w:lineRule="exact"/>
        <w:ind w:firstLine="420" w:firstLineChars="200"/>
        <w:rPr>
          <w:rFonts w:ascii="宋体" w:hAnsi="宋体" w:cs="宋体"/>
          <w:szCs w:val="21"/>
          <w:lang w:bidi="ar"/>
        </w:rPr>
      </w:pPr>
      <w:r>
        <w:rPr>
          <w:rFonts w:hint="eastAsia" w:ascii="宋体" w:hAnsi="宋体" w:cs="宋体"/>
          <w:szCs w:val="21"/>
          <w:lang w:bidi="ar"/>
        </w:rPr>
        <w:t>本项目合同总金额（大写）人民币：</w:t>
      </w:r>
      <w:r>
        <w:rPr>
          <w:rFonts w:hint="eastAsia" w:ascii="宋体" w:hAnsi="宋体" w:cs="宋体"/>
          <w:szCs w:val="21"/>
          <w:u w:val="single"/>
          <w:lang w:bidi="ar"/>
        </w:rPr>
        <w:t xml:space="preserve">  柒佰贰拾万元整  </w:t>
      </w:r>
      <w:r>
        <w:rPr>
          <w:rFonts w:hint="eastAsia" w:ascii="宋体" w:hAnsi="宋体" w:cs="宋体"/>
          <w:szCs w:val="21"/>
          <w:lang w:bidi="ar"/>
        </w:rPr>
        <w:t>(￥</w:t>
      </w:r>
      <w:r>
        <w:rPr>
          <w:rFonts w:hint="eastAsia" w:ascii="宋体" w:hAnsi="宋体" w:cs="宋体"/>
          <w:szCs w:val="21"/>
          <w:u w:val="single"/>
          <w:lang w:bidi="ar"/>
        </w:rPr>
        <w:t xml:space="preserve">7200000.00 </w:t>
      </w:r>
      <w:r>
        <w:rPr>
          <w:rFonts w:hint="eastAsia" w:ascii="宋体" w:hAnsi="宋体" w:cs="宋体"/>
          <w:szCs w:val="21"/>
          <w:lang w:bidi="ar"/>
        </w:rPr>
        <w:t>)</w:t>
      </w:r>
    </w:p>
    <w:p>
      <w:pPr>
        <w:pStyle w:val="17"/>
        <w:spacing w:line="400" w:lineRule="exact"/>
        <w:ind w:firstLine="420" w:firstLineChars="200"/>
        <w:rPr>
          <w:rFonts w:ascii="宋体" w:hAnsi="宋体" w:cs="宋体"/>
          <w:szCs w:val="21"/>
          <w:lang w:bidi="ar"/>
        </w:rPr>
      </w:pPr>
      <w:r>
        <w:rPr>
          <w:rFonts w:hint="eastAsia" w:ascii="宋体" w:hAnsi="宋体" w:cs="宋体"/>
          <w:szCs w:val="21"/>
          <w:lang w:bidi="ar"/>
        </w:rPr>
        <w:t>中标单价：</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3"/>
        <w:gridCol w:w="2649"/>
        <w:gridCol w:w="20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序号</w:t>
            </w:r>
          </w:p>
        </w:tc>
        <w:tc>
          <w:tcPr>
            <w:tcW w:w="26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Cs w:val="21"/>
              </w:rPr>
              <w:t>产品名称</w:t>
            </w:r>
          </w:p>
        </w:tc>
        <w:tc>
          <w:tcPr>
            <w:tcW w:w="2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lang w:bidi="ar"/>
              </w:rPr>
            </w:pPr>
            <w:r>
              <w:rPr>
                <w:rFonts w:hint="eastAsia" w:ascii="宋体" w:hAnsi="宋体" w:cs="宋体"/>
                <w:szCs w:val="21"/>
                <w:lang w:bidi="ar"/>
              </w:rPr>
              <w:t>配送单价</w:t>
            </w:r>
            <w:r>
              <w:rPr>
                <w:rFonts w:hint="eastAsia" w:ascii="宋体" w:hAnsi="宋体" w:cs="宋体"/>
                <w:szCs w:val="21"/>
              </w:rPr>
              <w:t>（元/次）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1</w:t>
            </w:r>
          </w:p>
        </w:tc>
        <w:tc>
          <w:tcPr>
            <w:tcW w:w="26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lang w:bidi="ar"/>
              </w:rPr>
            </w:pPr>
            <w:r>
              <w:rPr>
                <w:rFonts w:hint="eastAsia" w:ascii="宋体" w:hAnsi="宋体" w:cs="宋体"/>
                <w:szCs w:val="21"/>
                <w:lang w:bidi="ar"/>
              </w:rPr>
              <w:t>PGT-A试剂</w:t>
            </w:r>
          </w:p>
        </w:tc>
        <w:tc>
          <w:tcPr>
            <w:tcW w:w="2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2</w:t>
            </w:r>
          </w:p>
        </w:tc>
        <w:tc>
          <w:tcPr>
            <w:tcW w:w="26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Cs w:val="21"/>
                <w:lang w:bidi="ar"/>
              </w:rPr>
              <w:t>PGT-A+PGT-M试剂</w:t>
            </w:r>
          </w:p>
        </w:tc>
        <w:tc>
          <w:tcPr>
            <w:tcW w:w="2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3</w:t>
            </w:r>
          </w:p>
        </w:tc>
        <w:tc>
          <w:tcPr>
            <w:tcW w:w="26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Cs w:val="21"/>
                <w:lang w:bidi="ar"/>
              </w:rPr>
              <w:t>PGT-A+PGT-M+PGT-SR试剂</w:t>
            </w:r>
          </w:p>
        </w:tc>
        <w:tc>
          <w:tcPr>
            <w:tcW w:w="2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lang w:bidi="ar"/>
              </w:rPr>
            </w:pPr>
          </w:p>
        </w:tc>
      </w:tr>
    </w:tbl>
    <w:p>
      <w:pPr>
        <w:pStyle w:val="17"/>
        <w:spacing w:line="400" w:lineRule="exact"/>
        <w:rPr>
          <w:rFonts w:ascii="宋体" w:hAnsi="宋体" w:cs="宋体"/>
          <w:szCs w:val="21"/>
          <w:lang w:bidi="ar"/>
        </w:rPr>
      </w:pPr>
    </w:p>
    <w:p>
      <w:pPr>
        <w:pStyle w:val="17"/>
        <w:spacing w:line="360" w:lineRule="auto"/>
        <w:ind w:firstLine="420" w:firstLineChars="200"/>
        <w:rPr>
          <w:rFonts w:ascii="宋体" w:hAnsi="宋体" w:cs="宋体"/>
          <w:szCs w:val="21"/>
        </w:rPr>
      </w:pPr>
      <w:r>
        <w:rPr>
          <w:rFonts w:hint="eastAsia" w:ascii="宋体" w:hAnsi="宋体" w:cs="宋体"/>
        </w:rPr>
        <w:t>1.采购预算总价（合同总金额）</w:t>
      </w:r>
      <w:r>
        <w:rPr>
          <w:rFonts w:hint="eastAsia" w:ascii="宋体" w:hAnsi="宋体" w:cs="宋体"/>
          <w:szCs w:val="21"/>
        </w:rPr>
        <w:t>仅作为合同暂定总价；本项目实行单价合同进行采购，根据实际供货数量*乙方的中标单价结算，最终结算金额不得超过预算总价720万元。最终结算金额包括但不限于：完成项目所有服务所需的费用，包含配送的试剂耗材、采购的全部费用、产品指定交货地点的各种费用、售后服务、税金、利息及其它所有成本费用的总和，合同履约期间甲方不再支付其他费用。</w:t>
      </w:r>
    </w:p>
    <w:p>
      <w:pPr>
        <w:pStyle w:val="17"/>
        <w:spacing w:line="400" w:lineRule="exact"/>
        <w:ind w:firstLine="420" w:firstLineChars="200"/>
        <w:rPr>
          <w:rFonts w:ascii="宋体" w:hAnsi="宋体" w:cs="宋体"/>
          <w:szCs w:val="21"/>
          <w:lang w:bidi="ar"/>
        </w:rPr>
      </w:pPr>
      <w:r>
        <w:rPr>
          <w:rFonts w:hint="eastAsia" w:ascii="宋体" w:hAnsi="宋体" w:cs="宋体"/>
          <w:szCs w:val="21"/>
        </w:rPr>
        <w:t>2.结算时，按实际供货数量*乙方的中标单价结算，如在合同期内调整过单价的，按双方确认调整后的单价进行计算。</w:t>
      </w:r>
    </w:p>
    <w:p>
      <w:pPr>
        <w:pStyle w:val="17"/>
        <w:spacing w:line="400" w:lineRule="exact"/>
        <w:ind w:firstLine="420" w:firstLineChars="200"/>
        <w:rPr>
          <w:rFonts w:ascii="宋体" w:hAnsi="宋体" w:cs="宋体"/>
          <w:szCs w:val="21"/>
          <w:lang w:bidi="ar"/>
        </w:rPr>
      </w:pPr>
      <w:r>
        <w:rPr>
          <w:rFonts w:hint="eastAsia" w:ascii="宋体" w:hAnsi="宋体" w:cs="宋体"/>
          <w:szCs w:val="21"/>
          <w:lang w:bidi="ar"/>
        </w:rPr>
        <w:t>说明：本合同约定履行时间内，未能按合同总额行完送货及结算货款的，按实际送货量结算货款。</w:t>
      </w:r>
    </w:p>
    <w:p>
      <w:pPr>
        <w:snapToGrid w:val="0"/>
        <w:spacing w:line="400" w:lineRule="exact"/>
        <w:ind w:firstLine="422" w:firstLineChars="200"/>
        <w:outlineLvl w:val="0"/>
        <w:rPr>
          <w:rFonts w:ascii="宋体" w:hAnsi="宋体" w:cs="宋体"/>
          <w:b/>
          <w:szCs w:val="21"/>
        </w:rPr>
      </w:pPr>
      <w:bookmarkStart w:id="152" w:name="_Toc99033096"/>
      <w:r>
        <w:rPr>
          <w:rFonts w:hint="eastAsia" w:ascii="宋体" w:hAnsi="宋体" w:cs="宋体"/>
          <w:b/>
          <w:szCs w:val="21"/>
          <w:lang w:bidi="ar"/>
        </w:rPr>
        <w:t>第三条　服务期限、配送时间及地点</w:t>
      </w:r>
      <w:bookmarkEnd w:id="152"/>
    </w:p>
    <w:p>
      <w:pPr>
        <w:snapToGrid w:val="0"/>
        <w:spacing w:line="400" w:lineRule="exact"/>
        <w:ind w:firstLine="422" w:firstLineChars="200"/>
        <w:outlineLvl w:val="0"/>
        <w:rPr>
          <w:rFonts w:ascii="宋体" w:hAnsi="宋体" w:cs="宋体"/>
          <w:szCs w:val="21"/>
          <w:u w:val="single"/>
        </w:rPr>
      </w:pPr>
      <w:bookmarkStart w:id="153" w:name="_Toc99033097"/>
      <w:r>
        <w:rPr>
          <w:rFonts w:hint="eastAsia" w:ascii="宋体" w:hAnsi="宋体" w:cs="宋体"/>
          <w:b/>
          <w:szCs w:val="21"/>
          <w:lang w:bidi="ar"/>
        </w:rPr>
        <w:t>1、服务期限：</w:t>
      </w:r>
      <w:bookmarkEnd w:id="153"/>
      <w:r>
        <w:rPr>
          <w:rFonts w:hint="eastAsia" w:ascii="宋体" w:hAnsi="宋体" w:cs="宋体"/>
          <w:szCs w:val="21"/>
          <w:u w:val="single"/>
          <w:lang w:bidi="ar"/>
        </w:rPr>
        <w:t xml:space="preserve"> 合同期限为一年，自合同签订生效之日算起。一年内按本合同总额完成送货及结算货款，本合同终止。合同期满后，未能按合同总额行完送货及结算货款的，按实际送货量结算货款，本合同终止。</w:t>
      </w:r>
    </w:p>
    <w:p>
      <w:pPr>
        <w:snapToGrid w:val="0"/>
        <w:spacing w:line="400" w:lineRule="exact"/>
        <w:ind w:firstLine="422" w:firstLineChars="200"/>
        <w:outlineLvl w:val="0"/>
        <w:rPr>
          <w:rFonts w:ascii="宋体" w:hAnsi="宋体" w:cs="宋体"/>
          <w:szCs w:val="21"/>
          <w:u w:val="single"/>
        </w:rPr>
      </w:pPr>
      <w:bookmarkStart w:id="154" w:name="_Toc99033098"/>
      <w:r>
        <w:rPr>
          <w:rFonts w:hint="eastAsia" w:ascii="宋体" w:hAnsi="宋体" w:cs="宋体"/>
          <w:b/>
          <w:szCs w:val="21"/>
          <w:lang w:bidi="ar"/>
        </w:rPr>
        <w:t>2、配送时间：</w:t>
      </w:r>
      <w:r>
        <w:rPr>
          <w:rFonts w:hint="eastAsia" w:ascii="宋体" w:hAnsi="宋体" w:cs="宋体"/>
          <w:szCs w:val="21"/>
          <w:u w:val="single"/>
          <w:lang w:bidi="ar"/>
        </w:rPr>
        <w:t xml:space="preserve"> 分批次交货，乙方收到甲方通知后，5 天内按甲方要求将货送到指定地点，急需耗材的送货时间以科室届时实际要求为准；服务期限内，乙方逾期送货累计超过 2 次（不含本数），甲方有权单方解除合同并按合同约定追究乙方的违约责任。</w:t>
      </w:r>
    </w:p>
    <w:p>
      <w:pPr>
        <w:snapToGrid w:val="0"/>
        <w:spacing w:line="400" w:lineRule="exact"/>
        <w:ind w:firstLine="422" w:firstLineChars="200"/>
        <w:outlineLvl w:val="0"/>
        <w:rPr>
          <w:rFonts w:ascii="宋体" w:hAnsi="宋体" w:cs="宋体"/>
          <w:szCs w:val="21"/>
          <w:u w:val="single"/>
        </w:rPr>
      </w:pPr>
      <w:r>
        <w:rPr>
          <w:rFonts w:hint="eastAsia" w:ascii="宋体" w:hAnsi="宋体" w:cs="宋体"/>
          <w:b/>
          <w:szCs w:val="21"/>
          <w:lang w:bidi="ar"/>
        </w:rPr>
        <w:t>3、服务地点：</w:t>
      </w:r>
      <w:bookmarkEnd w:id="154"/>
      <w:r>
        <w:rPr>
          <w:rFonts w:hint="eastAsia" w:ascii="宋体" w:hAnsi="宋体" w:cs="宋体"/>
          <w:szCs w:val="21"/>
          <w:u w:val="single"/>
          <w:lang w:bidi="ar"/>
        </w:rPr>
        <w:t xml:space="preserve"> 甲方指定地点。  </w:t>
      </w:r>
    </w:p>
    <w:p>
      <w:pPr>
        <w:snapToGrid w:val="0"/>
        <w:spacing w:line="400" w:lineRule="exact"/>
        <w:ind w:firstLine="420" w:firstLineChars="200"/>
        <w:rPr>
          <w:rFonts w:ascii="宋体" w:hAnsi="宋体" w:cs="宋体"/>
          <w:szCs w:val="21"/>
        </w:rPr>
      </w:pPr>
      <w:r>
        <w:rPr>
          <w:rFonts w:hint="eastAsia" w:ascii="宋体" w:hAnsi="宋体" w:cs="宋体"/>
          <w:szCs w:val="21"/>
          <w:lang w:bidi="ar"/>
        </w:rPr>
        <w:t>乙方所提供的服务必须与招投标文件和承诺相一致且符合相应的服务规范及标准。</w:t>
      </w:r>
    </w:p>
    <w:p>
      <w:pPr>
        <w:snapToGrid w:val="0"/>
        <w:spacing w:line="400" w:lineRule="exact"/>
        <w:ind w:firstLine="422" w:firstLineChars="200"/>
        <w:outlineLvl w:val="0"/>
        <w:rPr>
          <w:rFonts w:ascii="宋体" w:hAnsi="宋体" w:cs="宋体"/>
          <w:b/>
          <w:szCs w:val="21"/>
        </w:rPr>
      </w:pPr>
      <w:bookmarkStart w:id="155" w:name="_Toc99033099"/>
      <w:r>
        <w:rPr>
          <w:rFonts w:hint="eastAsia" w:ascii="宋体" w:hAnsi="宋体" w:cs="宋体"/>
          <w:b/>
          <w:szCs w:val="21"/>
          <w:lang w:bidi="ar"/>
        </w:rPr>
        <w:t>第四条　售后服务、质保期</w:t>
      </w:r>
      <w:bookmarkEnd w:id="155"/>
    </w:p>
    <w:p>
      <w:pPr>
        <w:snapToGrid w:val="0"/>
        <w:spacing w:line="400" w:lineRule="exact"/>
        <w:ind w:firstLine="420" w:firstLineChars="200"/>
        <w:rPr>
          <w:rFonts w:ascii="宋体" w:hAnsi="宋体" w:cs="宋体"/>
          <w:szCs w:val="21"/>
        </w:rPr>
      </w:pPr>
      <w:r>
        <w:rPr>
          <w:rFonts w:hint="eastAsia" w:ascii="宋体" w:hAnsi="宋体" w:cs="宋体"/>
          <w:szCs w:val="21"/>
          <w:lang w:bidi="ar"/>
        </w:rPr>
        <w:t>1、乙方应按照国家有关法律法规和“三包”规定以及招标文件、投标文件和本合同所附的《服务承诺》，为甲方提供售后服务。</w:t>
      </w:r>
    </w:p>
    <w:p>
      <w:pPr>
        <w:snapToGrid w:val="0"/>
        <w:spacing w:line="400" w:lineRule="exact"/>
        <w:ind w:firstLine="420" w:firstLineChars="200"/>
        <w:rPr>
          <w:rFonts w:ascii="宋体" w:hAnsi="宋体" w:cs="宋体"/>
          <w:szCs w:val="21"/>
          <w:u w:val="single"/>
        </w:rPr>
      </w:pPr>
      <w:r>
        <w:rPr>
          <w:rFonts w:hint="eastAsia" w:ascii="宋体" w:hAnsi="宋体" w:cs="宋体"/>
          <w:szCs w:val="21"/>
          <w:lang w:bidi="ar"/>
        </w:rPr>
        <w:t>2、乙方提供的服务承诺、质保期及其它具体约定事项。（见合同附件）</w:t>
      </w:r>
    </w:p>
    <w:p>
      <w:pPr>
        <w:snapToGrid w:val="0"/>
        <w:spacing w:line="400" w:lineRule="exact"/>
        <w:ind w:firstLine="422" w:firstLineChars="200"/>
        <w:outlineLvl w:val="0"/>
        <w:rPr>
          <w:rFonts w:ascii="宋体" w:hAnsi="宋体" w:cs="宋体"/>
          <w:b/>
          <w:szCs w:val="21"/>
          <w:lang w:bidi="ar"/>
        </w:rPr>
      </w:pPr>
      <w:bookmarkStart w:id="156" w:name="_Toc99033100"/>
      <w:r>
        <w:rPr>
          <w:rFonts w:hint="eastAsia" w:ascii="宋体" w:hAnsi="宋体" w:cs="宋体"/>
          <w:b/>
          <w:szCs w:val="21"/>
          <w:lang w:bidi="ar"/>
        </w:rPr>
        <w:t>第五条　付款方式</w:t>
      </w:r>
      <w:bookmarkEnd w:id="156"/>
    </w:p>
    <w:p>
      <w:pPr>
        <w:snapToGrid w:val="0"/>
        <w:spacing w:line="400" w:lineRule="exact"/>
        <w:ind w:left="-59" w:leftChars="-28" w:firstLine="420" w:firstLineChars="200"/>
        <w:rPr>
          <w:rFonts w:ascii="宋体" w:hAnsi="宋体" w:cs="宋体"/>
          <w:szCs w:val="21"/>
          <w:lang w:bidi="ar"/>
        </w:rPr>
      </w:pPr>
      <w:r>
        <w:rPr>
          <w:rFonts w:hint="eastAsia" w:ascii="宋体" w:hAnsi="宋体" w:cs="宋体"/>
          <w:szCs w:val="21"/>
          <w:lang w:bidi="ar"/>
        </w:rPr>
        <w:t>1、乙方送货验收合格后，甲方每月根据实际配送产品数量进行结算，结算时，按实际供货数量×乙方的中标单价结算。乙方据此开具发票（发票必须由乙方自行验证真伪随同发票一并提供），甲方于收到发票并验收合格后120日内付款。</w:t>
      </w:r>
    </w:p>
    <w:p>
      <w:pPr>
        <w:snapToGrid w:val="0"/>
        <w:spacing w:line="400" w:lineRule="exact"/>
        <w:ind w:left="-59" w:leftChars="-28" w:firstLine="420" w:firstLineChars="200"/>
        <w:rPr>
          <w:rFonts w:ascii="宋体" w:hAnsi="宋体" w:cs="宋体"/>
          <w:szCs w:val="21"/>
          <w:lang w:bidi="ar"/>
        </w:rPr>
      </w:pPr>
      <w:r>
        <w:rPr>
          <w:rFonts w:hint="eastAsia" w:ascii="宋体" w:hAnsi="宋体" w:cs="宋体"/>
          <w:szCs w:val="21"/>
          <w:lang w:bidi="ar"/>
        </w:rPr>
        <w:t>2、本合同配送的产品为单价，在合同期内需适时调整。若遇市场（包括但不限于乙方及其总代、厂家、政府等）价格下调，乙方应主动及时向甲方提交降价函，于次月执行。</w:t>
      </w:r>
    </w:p>
    <w:p>
      <w:pPr>
        <w:snapToGrid w:val="0"/>
        <w:spacing w:line="400" w:lineRule="exact"/>
        <w:ind w:left="-59" w:leftChars="-28" w:firstLine="420" w:firstLineChars="200"/>
        <w:rPr>
          <w:rFonts w:ascii="宋体" w:hAnsi="宋体" w:cs="宋体"/>
          <w:szCs w:val="21"/>
          <w:lang w:bidi="ar"/>
        </w:rPr>
      </w:pPr>
      <w:r>
        <w:rPr>
          <w:rFonts w:hint="eastAsia" w:ascii="宋体" w:hAnsi="宋体" w:cs="宋体"/>
          <w:szCs w:val="21"/>
          <w:lang w:bidi="ar"/>
        </w:rPr>
        <w:t>3、乙方保证产品价格不高于广西地区同级别公立医疗机构实际供货的最低价格，否则甲方有权终止合同，且未供货的产品的费用从已供货产品货款进行抵扣结算。合同期内乙方不得擅自上调供货价格。若特殊原因需要调价，须经甲方书面同意，并按有关程序办理。</w:t>
      </w:r>
    </w:p>
    <w:p>
      <w:pPr>
        <w:snapToGrid w:val="0"/>
        <w:spacing w:line="400" w:lineRule="exact"/>
        <w:ind w:left="-59" w:leftChars="-28" w:firstLine="422" w:firstLineChars="200"/>
        <w:rPr>
          <w:rFonts w:ascii="宋体" w:hAnsi="宋体" w:cs="宋体"/>
          <w:b/>
          <w:szCs w:val="21"/>
        </w:rPr>
      </w:pPr>
      <w:r>
        <w:rPr>
          <w:rFonts w:hint="eastAsia" w:ascii="宋体" w:hAnsi="宋体" w:cs="宋体"/>
          <w:b/>
          <w:szCs w:val="21"/>
          <w:lang w:bidi="ar"/>
        </w:rPr>
        <w:t>第六条　履约保证金</w:t>
      </w:r>
    </w:p>
    <w:p>
      <w:pPr>
        <w:snapToGrid w:val="0"/>
        <w:spacing w:line="400" w:lineRule="exact"/>
        <w:ind w:firstLine="420" w:firstLineChars="200"/>
        <w:rPr>
          <w:rFonts w:ascii="宋体" w:hAnsi="宋体" w:cs="宋体"/>
          <w:szCs w:val="21"/>
        </w:rPr>
      </w:pPr>
      <w:r>
        <w:rPr>
          <w:rFonts w:hint="eastAsia" w:ascii="宋体" w:hAnsi="宋体" w:cs="宋体"/>
          <w:szCs w:val="21"/>
          <w:lang w:bidi="ar"/>
        </w:rPr>
        <w:t xml:space="preserve"> </w:t>
      </w:r>
      <w:r>
        <w:rPr>
          <w:rFonts w:hint="eastAsia" w:ascii="宋体" w:hAnsi="宋体" w:cs="宋体"/>
          <w:szCs w:val="21"/>
        </w:rPr>
        <w:t>1.履约保证金金额：按中标金额的×5%收取（乙方被认定为中小企业的，按合同金额的2%收取），并于合同签订前提交至采购人指定账户。</w:t>
      </w:r>
    </w:p>
    <w:p>
      <w:pPr>
        <w:snapToGrid w:val="0"/>
        <w:spacing w:line="400" w:lineRule="exact"/>
        <w:ind w:left="-61" w:firstLine="514"/>
        <w:rPr>
          <w:rFonts w:ascii="宋体" w:hAnsi="宋体" w:cs="宋体"/>
          <w:szCs w:val="21"/>
        </w:rPr>
      </w:pPr>
      <w:r>
        <w:rPr>
          <w:rFonts w:hint="eastAsia" w:ascii="宋体" w:hAnsi="宋体" w:cs="宋体"/>
          <w:szCs w:val="21"/>
        </w:rPr>
        <w:t>2.履约保证金交付方式：银行转账、支票、汇票、本票或者金融、担保机构出具的保函等非现金方式。</w:t>
      </w:r>
    </w:p>
    <w:p>
      <w:pPr>
        <w:snapToGrid w:val="0"/>
        <w:spacing w:line="400" w:lineRule="exact"/>
        <w:ind w:left="-61" w:firstLine="514"/>
        <w:rPr>
          <w:rFonts w:ascii="宋体" w:hAnsi="宋体" w:cs="宋体"/>
          <w:szCs w:val="21"/>
        </w:rPr>
      </w:pPr>
      <w:r>
        <w:rPr>
          <w:rFonts w:hint="eastAsia" w:ascii="宋体" w:hAnsi="宋体" w:cs="宋体"/>
          <w:szCs w:val="21"/>
        </w:rPr>
        <w:t>3.履约保证金退付的方式、时间及条件：待合同履约完毕后，且设备无质量问题，乙方向履约保证金收取单位提供《广西壮族自治区政府采购项目合同验收书》（详见桂财采〔2015〕22号），保证金收取单位在收到合格材料后5个工作日内办理退还手续（不计利息）（如有涉及违约行为的，扣除违约金后退还）。</w:t>
      </w:r>
    </w:p>
    <w:p>
      <w:pPr>
        <w:snapToGrid w:val="0"/>
        <w:spacing w:line="400" w:lineRule="exact"/>
        <w:ind w:left="-61" w:firstLine="514"/>
        <w:rPr>
          <w:rFonts w:ascii="宋体" w:hAnsi="宋体" w:cs="宋体"/>
          <w:szCs w:val="21"/>
        </w:rPr>
      </w:pPr>
      <w:r>
        <w:rPr>
          <w:rFonts w:hint="eastAsia" w:ascii="宋体" w:hAnsi="宋体" w:cs="宋体"/>
          <w:szCs w:val="21"/>
        </w:rPr>
        <w:t>4.履约保证金不予退还的情形：签订合同后，如乙方不按双方签订的合同规定履约，则其全部履约保证金不予退还。</w:t>
      </w:r>
    </w:p>
    <w:p>
      <w:pPr>
        <w:spacing w:line="360" w:lineRule="exact"/>
        <w:ind w:firstLine="420" w:firstLineChars="200"/>
        <w:rPr>
          <w:rFonts w:ascii="宋体" w:hAnsi="宋体" w:cs="宋体"/>
          <w:szCs w:val="21"/>
        </w:rPr>
      </w:pPr>
      <w:r>
        <w:rPr>
          <w:rFonts w:hint="eastAsia" w:ascii="宋体" w:hAnsi="宋体" w:cs="宋体"/>
          <w:szCs w:val="21"/>
        </w:rPr>
        <w:t>5.履约保证金指定账户：</w:t>
      </w:r>
    </w:p>
    <w:p>
      <w:pPr>
        <w:spacing w:line="360" w:lineRule="exact"/>
        <w:ind w:firstLine="420" w:firstLineChars="200"/>
        <w:rPr>
          <w:rFonts w:ascii="宋体" w:hAnsi="宋体" w:cs="宋体"/>
          <w:szCs w:val="21"/>
        </w:rPr>
      </w:pPr>
      <w:r>
        <w:rPr>
          <w:rFonts w:hint="eastAsia" w:ascii="宋体" w:hAnsi="宋体" w:cs="宋体"/>
          <w:szCs w:val="21"/>
        </w:rPr>
        <w:t>开户名称：广西壮族自治区生殖医院</w:t>
      </w:r>
    </w:p>
    <w:p>
      <w:pPr>
        <w:spacing w:line="360" w:lineRule="exact"/>
        <w:ind w:firstLine="420" w:firstLineChars="200"/>
        <w:rPr>
          <w:rFonts w:ascii="宋体" w:hAnsi="宋体" w:cs="宋体"/>
          <w:szCs w:val="21"/>
        </w:rPr>
      </w:pPr>
      <w:r>
        <w:rPr>
          <w:rFonts w:hint="eastAsia" w:ascii="宋体" w:hAnsi="宋体" w:cs="宋体"/>
          <w:szCs w:val="21"/>
        </w:rPr>
        <w:t>开户银行：建设银行南宁医科大支行</w:t>
      </w:r>
    </w:p>
    <w:p>
      <w:pPr>
        <w:snapToGrid w:val="0"/>
        <w:spacing w:line="400" w:lineRule="exact"/>
        <w:ind w:left="-61" w:firstLine="514"/>
        <w:rPr>
          <w:rFonts w:ascii="宋体" w:hAnsi="宋体" w:cs="宋体"/>
          <w:color w:val="FF0000"/>
        </w:rPr>
      </w:pPr>
      <w:r>
        <w:rPr>
          <w:rFonts w:hint="eastAsia" w:ascii="宋体" w:hAnsi="宋体" w:cs="宋体"/>
          <w:szCs w:val="21"/>
        </w:rPr>
        <w:t>银行账号：45001604560059888888</w:t>
      </w:r>
    </w:p>
    <w:p>
      <w:pPr>
        <w:snapToGrid w:val="0"/>
        <w:spacing w:line="400" w:lineRule="exact"/>
        <w:ind w:left="-59" w:leftChars="-28" w:firstLine="422" w:firstLineChars="200"/>
        <w:rPr>
          <w:rFonts w:ascii="宋体" w:hAnsi="宋体" w:cs="宋体"/>
          <w:b/>
          <w:szCs w:val="21"/>
        </w:rPr>
      </w:pPr>
      <w:r>
        <w:rPr>
          <w:rFonts w:hint="eastAsia" w:ascii="宋体" w:hAnsi="宋体" w:cs="宋体"/>
          <w:b/>
          <w:szCs w:val="21"/>
          <w:lang w:bidi="ar"/>
        </w:rPr>
        <w:t>第七条  税费本合同执行中相关的一切税费均由乙方负担。</w:t>
      </w:r>
    </w:p>
    <w:p>
      <w:pPr>
        <w:snapToGrid w:val="0"/>
        <w:spacing w:line="400" w:lineRule="exact"/>
        <w:ind w:left="-59" w:leftChars="-28" w:firstLine="422" w:firstLineChars="200"/>
        <w:rPr>
          <w:rFonts w:ascii="宋体" w:hAnsi="宋体" w:cs="宋体"/>
          <w:b/>
          <w:szCs w:val="21"/>
        </w:rPr>
      </w:pPr>
      <w:r>
        <w:rPr>
          <w:rFonts w:hint="eastAsia" w:ascii="宋体" w:hAnsi="宋体" w:cs="宋体"/>
          <w:b/>
          <w:szCs w:val="21"/>
          <w:lang w:bidi="ar"/>
        </w:rPr>
        <w:t>第八条  验收</w:t>
      </w:r>
    </w:p>
    <w:p>
      <w:pPr>
        <w:snapToGrid w:val="0"/>
        <w:spacing w:line="400" w:lineRule="exact"/>
        <w:ind w:left="-59" w:leftChars="-28" w:firstLine="420" w:firstLineChars="200"/>
        <w:rPr>
          <w:rFonts w:ascii="宋体" w:hAnsi="宋体" w:cs="宋体"/>
          <w:szCs w:val="21"/>
        </w:rPr>
      </w:pPr>
      <w:r>
        <w:rPr>
          <w:rFonts w:hint="eastAsia" w:ascii="宋体" w:hAnsi="宋体" w:cs="宋体"/>
          <w:szCs w:val="21"/>
          <w:lang w:bidi="ar"/>
        </w:rPr>
        <w:t>1. 甲方对乙方提交的服务依据招标文件上的服务要求和国家有关质量标准进行现场初步验收，符合招标文件技术要求的，给予签收，初步验收不合格的不予签收。</w:t>
      </w:r>
      <w:r>
        <w:rPr>
          <w:rFonts w:hint="eastAsia" w:ascii="宋体" w:hAnsi="宋体" w:cs="宋体"/>
          <w:bCs/>
          <w:szCs w:val="21"/>
          <w:lang w:bidi="ar"/>
        </w:rPr>
        <w:t>甲方应当在到中标人的服务成果提交后七个工作日内进行验收</w:t>
      </w:r>
      <w:r>
        <w:rPr>
          <w:rFonts w:hint="eastAsia" w:ascii="宋体" w:hAnsi="宋体" w:cs="宋体"/>
          <w:szCs w:val="21"/>
          <w:lang w:bidi="ar"/>
        </w:rPr>
        <w:t>。</w:t>
      </w:r>
    </w:p>
    <w:p>
      <w:pPr>
        <w:snapToGrid w:val="0"/>
        <w:spacing w:line="400" w:lineRule="exact"/>
        <w:ind w:left="-59" w:leftChars="-28" w:firstLine="420" w:firstLineChars="200"/>
        <w:rPr>
          <w:rFonts w:ascii="宋体" w:hAnsi="宋体" w:cs="宋体"/>
          <w:szCs w:val="21"/>
        </w:rPr>
      </w:pPr>
      <w:r>
        <w:rPr>
          <w:rFonts w:hint="eastAsia" w:ascii="宋体" w:hAnsi="宋体" w:cs="宋体"/>
          <w:szCs w:val="21"/>
          <w:lang w:bidi="ar"/>
        </w:rPr>
        <w:t>2. 乙方提交服务成果前应对提交的服务成果作出全面检查和对验收文件进行整理，并列出清单，作为甲方验收和使用的技术条件依据，检验的结果应随服务成果交给甲方。</w:t>
      </w:r>
    </w:p>
    <w:p>
      <w:pPr>
        <w:snapToGrid w:val="0"/>
        <w:spacing w:line="400" w:lineRule="exact"/>
        <w:ind w:left="-59" w:leftChars="-28" w:firstLine="420" w:firstLineChars="200"/>
        <w:rPr>
          <w:rFonts w:ascii="宋体" w:hAnsi="宋体" w:cs="宋体"/>
          <w:szCs w:val="21"/>
        </w:rPr>
      </w:pPr>
      <w:r>
        <w:rPr>
          <w:rFonts w:hint="eastAsia" w:ascii="宋体" w:hAnsi="宋体" w:cs="宋体"/>
          <w:szCs w:val="21"/>
          <w:lang w:bidi="ar"/>
        </w:rPr>
        <w:t>3. 对技术复杂的服务，甲方应请国家认可的专业检测机构参与初步验收及最终验收，并由其出具质量检测报告。</w:t>
      </w:r>
    </w:p>
    <w:p>
      <w:pPr>
        <w:snapToGrid w:val="0"/>
        <w:spacing w:line="400" w:lineRule="exact"/>
        <w:ind w:left="-59" w:leftChars="-28" w:firstLine="420" w:firstLineChars="200"/>
        <w:rPr>
          <w:rFonts w:ascii="宋体" w:hAnsi="宋体" w:cs="宋体"/>
          <w:szCs w:val="21"/>
        </w:rPr>
      </w:pPr>
      <w:r>
        <w:rPr>
          <w:rFonts w:hint="eastAsia" w:ascii="宋体" w:hAnsi="宋体" w:cs="宋体"/>
          <w:szCs w:val="21"/>
          <w:lang w:bidi="ar"/>
        </w:rPr>
        <w:t>4. 验收时乙方必须在现场，验收完毕后作出验收结果报告；验收费用由乙方负责。</w:t>
      </w:r>
    </w:p>
    <w:p>
      <w:pPr>
        <w:snapToGrid w:val="0"/>
        <w:spacing w:line="400" w:lineRule="exact"/>
        <w:ind w:left="-59" w:leftChars="-28" w:firstLine="422" w:firstLineChars="200"/>
        <w:rPr>
          <w:rFonts w:ascii="宋体" w:hAnsi="宋体" w:cs="宋体"/>
          <w:b/>
          <w:szCs w:val="21"/>
        </w:rPr>
      </w:pPr>
      <w:r>
        <w:rPr>
          <w:rFonts w:hint="eastAsia" w:ascii="宋体" w:hAnsi="宋体" w:cs="宋体"/>
          <w:b/>
          <w:szCs w:val="21"/>
          <w:lang w:bidi="ar"/>
        </w:rPr>
        <w:t>第九条　违约责任</w:t>
      </w:r>
    </w:p>
    <w:p>
      <w:pPr>
        <w:snapToGrid w:val="0"/>
        <w:spacing w:line="400" w:lineRule="exact"/>
        <w:ind w:left="-59" w:leftChars="-28" w:firstLine="420" w:firstLineChars="200"/>
        <w:rPr>
          <w:rFonts w:ascii="宋体" w:hAnsi="宋体" w:cs="宋体"/>
          <w:szCs w:val="21"/>
        </w:rPr>
      </w:pPr>
      <w:r>
        <w:rPr>
          <w:rFonts w:hint="eastAsia" w:ascii="宋体" w:hAnsi="宋体" w:cs="宋体"/>
          <w:szCs w:val="21"/>
          <w:lang w:bidi="ar"/>
        </w:rPr>
        <w:t>1、乙方所提供的服务成果质量不合格的，应及时更换，更换不及时的按逾期提交服务成果处罚；因质量问题甲方不同意接收的或特殊情况甲方同意接收的，乙方应向甲方支付违约服务成果款额 5%违约金并赔偿甲方经济损失。</w:t>
      </w:r>
    </w:p>
    <w:p>
      <w:pPr>
        <w:snapToGrid w:val="0"/>
        <w:spacing w:line="400" w:lineRule="exact"/>
        <w:ind w:left="-59" w:leftChars="-28" w:firstLine="420" w:firstLineChars="200"/>
        <w:rPr>
          <w:rFonts w:ascii="宋体" w:hAnsi="宋体" w:cs="宋体"/>
          <w:szCs w:val="21"/>
        </w:rPr>
      </w:pPr>
      <w:r>
        <w:rPr>
          <w:rFonts w:hint="eastAsia" w:ascii="宋体" w:hAnsi="宋体" w:cs="宋体"/>
          <w:szCs w:val="21"/>
          <w:lang w:bidi="ar"/>
        </w:rPr>
        <w:t>2、甲方无故延期接收服务成果、乙方逾期提交服务成果的，每天向对方偿付违约服务成果款额3‰违约金，超过天对方有权解除合同，违约方承担因此给对方造成经济损失；甲方逾期付服务成果款的，每天向乙方偿付逾期服务成果款额</w:t>
      </w:r>
      <w:r>
        <w:rPr>
          <w:rFonts w:hint="eastAsia" w:ascii="宋体" w:hAnsi="宋体" w:cs="宋体"/>
          <w:szCs w:val="21"/>
          <w:u w:val="single"/>
          <w:lang w:bidi="ar"/>
        </w:rPr>
        <w:t xml:space="preserve">3‰ </w:t>
      </w:r>
      <w:r>
        <w:rPr>
          <w:rFonts w:hint="eastAsia" w:ascii="宋体" w:hAnsi="宋体" w:cs="宋体"/>
          <w:szCs w:val="21"/>
          <w:lang w:bidi="ar"/>
        </w:rPr>
        <w:t>滞纳金。</w:t>
      </w:r>
    </w:p>
    <w:p>
      <w:pPr>
        <w:snapToGrid w:val="0"/>
        <w:spacing w:line="400" w:lineRule="exact"/>
        <w:ind w:left="-59" w:leftChars="-28" w:firstLine="420" w:firstLineChars="200"/>
        <w:rPr>
          <w:rFonts w:ascii="宋体" w:hAnsi="宋体" w:cs="宋体"/>
          <w:szCs w:val="21"/>
        </w:rPr>
      </w:pPr>
      <w:r>
        <w:rPr>
          <w:rFonts w:hint="eastAsia" w:ascii="宋体" w:hAnsi="宋体" w:cs="宋体"/>
          <w:szCs w:val="21"/>
          <w:lang w:bidi="ar"/>
        </w:rPr>
        <w:t>3、乙方未按本合同和投标文件中规定的服务承诺提供售后服务的，乙方应按本合同合计金额</w:t>
      </w:r>
      <w:r>
        <w:rPr>
          <w:rFonts w:hint="eastAsia" w:ascii="宋体" w:hAnsi="宋体" w:cs="宋体"/>
          <w:szCs w:val="21"/>
          <w:u w:val="single"/>
          <w:lang w:bidi="ar"/>
        </w:rPr>
        <w:t xml:space="preserve"> 5%</w:t>
      </w:r>
      <w:r>
        <w:rPr>
          <w:rFonts w:hint="eastAsia" w:ascii="宋体" w:hAnsi="宋体" w:cs="宋体"/>
          <w:szCs w:val="21"/>
          <w:lang w:bidi="ar"/>
        </w:rPr>
        <w:t>向甲方支付违约金。</w:t>
      </w:r>
    </w:p>
    <w:p>
      <w:pPr>
        <w:snapToGrid w:val="0"/>
        <w:spacing w:line="400" w:lineRule="exact"/>
        <w:ind w:left="-59" w:leftChars="-28" w:firstLine="420" w:firstLineChars="200"/>
        <w:rPr>
          <w:rFonts w:ascii="宋体" w:hAnsi="宋体" w:cs="宋体"/>
          <w:szCs w:val="21"/>
        </w:rPr>
      </w:pPr>
      <w:r>
        <w:rPr>
          <w:rFonts w:hint="eastAsia" w:ascii="宋体" w:hAnsi="宋体" w:cs="宋体"/>
          <w:szCs w:val="21"/>
          <w:lang w:bidi="ar"/>
        </w:rPr>
        <w:t>4、乙方提供的服务成果在质量保证期内，因投标人和其它质量原因造成的问题，由乙方负责。</w:t>
      </w:r>
    </w:p>
    <w:p>
      <w:pPr>
        <w:snapToGrid w:val="0"/>
        <w:spacing w:line="400" w:lineRule="exact"/>
        <w:ind w:left="-59" w:leftChars="-28" w:firstLine="420" w:firstLineChars="200"/>
        <w:rPr>
          <w:rFonts w:ascii="宋体" w:hAnsi="宋体" w:cs="宋体"/>
          <w:szCs w:val="21"/>
        </w:rPr>
      </w:pPr>
      <w:r>
        <w:rPr>
          <w:rFonts w:hint="eastAsia" w:ascii="宋体" w:hAnsi="宋体" w:cs="宋体"/>
          <w:szCs w:val="21"/>
          <w:lang w:bidi="ar"/>
        </w:rPr>
        <w:t>5、其它违约行为按违约服务成果款额5%收取违约金。</w:t>
      </w:r>
    </w:p>
    <w:p>
      <w:pPr>
        <w:snapToGrid w:val="0"/>
        <w:spacing w:line="400" w:lineRule="exact"/>
        <w:ind w:left="-59" w:leftChars="-28" w:firstLine="420" w:firstLineChars="200"/>
        <w:rPr>
          <w:rFonts w:ascii="宋体" w:hAnsi="宋体" w:cs="宋体"/>
          <w:szCs w:val="21"/>
        </w:rPr>
      </w:pPr>
      <w:r>
        <w:rPr>
          <w:rFonts w:hint="eastAsia" w:ascii="宋体" w:hAnsi="宋体" w:cs="宋体"/>
          <w:szCs w:val="21"/>
          <w:lang w:bidi="ar"/>
        </w:rPr>
        <w:t>6、乙方支付的违约金不足以弥补甲方损失的，还应承担赔偿责任。</w:t>
      </w:r>
    </w:p>
    <w:p>
      <w:pPr>
        <w:snapToGrid w:val="0"/>
        <w:spacing w:line="400" w:lineRule="exact"/>
        <w:ind w:left="-59" w:leftChars="-28" w:firstLine="422" w:firstLineChars="200"/>
        <w:rPr>
          <w:rFonts w:ascii="宋体" w:hAnsi="宋体" w:cs="宋体"/>
          <w:b/>
          <w:szCs w:val="21"/>
        </w:rPr>
      </w:pPr>
      <w:r>
        <w:rPr>
          <w:rFonts w:hint="eastAsia" w:ascii="宋体" w:hAnsi="宋体" w:cs="宋体"/>
          <w:b/>
          <w:szCs w:val="21"/>
          <w:lang w:bidi="ar"/>
        </w:rPr>
        <w:t>第十条 不可抗力事件处理</w:t>
      </w:r>
    </w:p>
    <w:p>
      <w:pPr>
        <w:snapToGrid w:val="0"/>
        <w:spacing w:line="400" w:lineRule="exact"/>
        <w:ind w:left="-59" w:leftChars="-28" w:firstLine="420" w:firstLineChars="200"/>
        <w:rPr>
          <w:rFonts w:ascii="宋体" w:hAnsi="宋体" w:cs="宋体"/>
          <w:szCs w:val="21"/>
        </w:rPr>
      </w:pPr>
      <w:r>
        <w:rPr>
          <w:rFonts w:hint="eastAsia" w:ascii="宋体" w:hAnsi="宋体" w:cs="宋体"/>
          <w:szCs w:val="21"/>
          <w:lang w:bidi="ar"/>
        </w:rPr>
        <w:t>1. 在合同有效期内，任何一方因不可抗力事件导致不能履行合同，则合同履行期可延长，其延长期与不可抗力影响期相同。</w:t>
      </w:r>
    </w:p>
    <w:p>
      <w:pPr>
        <w:snapToGrid w:val="0"/>
        <w:spacing w:line="400" w:lineRule="exact"/>
        <w:ind w:left="-59" w:leftChars="-28" w:firstLine="420" w:firstLineChars="200"/>
        <w:rPr>
          <w:rFonts w:ascii="宋体" w:hAnsi="宋体" w:cs="宋体"/>
          <w:szCs w:val="21"/>
        </w:rPr>
      </w:pPr>
      <w:r>
        <w:rPr>
          <w:rFonts w:hint="eastAsia" w:ascii="宋体" w:hAnsi="宋体" w:cs="宋体"/>
          <w:szCs w:val="21"/>
          <w:lang w:bidi="ar"/>
        </w:rPr>
        <w:t>2. 不可抗力事件发生后，应立即书面通知对方，并寄送有关权威机构出具的证明。</w:t>
      </w:r>
    </w:p>
    <w:p>
      <w:pPr>
        <w:snapToGrid w:val="0"/>
        <w:spacing w:line="400" w:lineRule="exact"/>
        <w:ind w:left="-59" w:leftChars="-28" w:firstLine="420" w:firstLineChars="200"/>
        <w:rPr>
          <w:rFonts w:ascii="宋体" w:hAnsi="宋体" w:cs="宋体"/>
          <w:szCs w:val="21"/>
        </w:rPr>
      </w:pPr>
      <w:r>
        <w:rPr>
          <w:rFonts w:hint="eastAsia" w:ascii="宋体" w:hAnsi="宋体" w:cs="宋体"/>
          <w:szCs w:val="21"/>
          <w:lang w:bidi="ar"/>
        </w:rPr>
        <w:t>3. 不可抗力事件延续一百二十天以上，双方应通过友好协商，确定是否继续履行合同。</w:t>
      </w:r>
    </w:p>
    <w:p>
      <w:pPr>
        <w:snapToGrid w:val="0"/>
        <w:spacing w:line="400" w:lineRule="exact"/>
        <w:ind w:left="-59" w:leftChars="-28" w:firstLine="422" w:firstLineChars="200"/>
        <w:rPr>
          <w:rFonts w:ascii="宋体" w:hAnsi="宋体" w:cs="宋体"/>
          <w:b/>
          <w:szCs w:val="21"/>
        </w:rPr>
      </w:pPr>
      <w:r>
        <w:rPr>
          <w:rFonts w:hint="eastAsia" w:ascii="宋体" w:hAnsi="宋体" w:cs="宋体"/>
          <w:b/>
          <w:szCs w:val="21"/>
          <w:lang w:bidi="ar"/>
        </w:rPr>
        <w:t>第十一条  合同争议解决</w:t>
      </w:r>
    </w:p>
    <w:p>
      <w:pPr>
        <w:snapToGrid w:val="0"/>
        <w:spacing w:line="400" w:lineRule="exact"/>
        <w:ind w:left="-59" w:leftChars="-28" w:firstLine="420" w:firstLineChars="200"/>
        <w:rPr>
          <w:rFonts w:ascii="宋体" w:hAnsi="宋体" w:cs="宋体"/>
          <w:szCs w:val="21"/>
        </w:rPr>
      </w:pPr>
      <w:r>
        <w:rPr>
          <w:rFonts w:hint="eastAsia" w:ascii="宋体" w:hAnsi="宋体" w:cs="宋体"/>
          <w:szCs w:val="21"/>
          <w:lang w:bidi="ar"/>
        </w:rPr>
        <w:t>1、因服务成果质量问题发生争议的，应邀请国家认可的有资质的质量检测机构对服务成果质量进行鉴定。服务成果符合标准的，鉴定费由甲方承担；服务成果不符合标准的，鉴定费由乙方承担。一方对服务质量有争议，但另一方不配合进行检测的，对服务质量有争议的一方有权自行选择有相应检测资质的检测部门进行质量确认，并按前述约定确定检测费承担主体。</w:t>
      </w:r>
    </w:p>
    <w:p>
      <w:pPr>
        <w:snapToGrid w:val="0"/>
        <w:spacing w:line="400" w:lineRule="exact"/>
        <w:ind w:left="-59" w:leftChars="-28" w:firstLine="420" w:firstLineChars="200"/>
        <w:rPr>
          <w:rFonts w:ascii="宋体" w:hAnsi="宋体" w:cs="宋体"/>
          <w:szCs w:val="21"/>
        </w:rPr>
      </w:pPr>
      <w:r>
        <w:rPr>
          <w:rFonts w:hint="eastAsia" w:ascii="宋体" w:hAnsi="宋体" w:cs="宋体"/>
          <w:szCs w:val="21"/>
          <w:lang w:bidi="ar"/>
        </w:rPr>
        <w:t>2、因履行本合同引起的或与本合同有关的争议，甲乙双方应首先通过友好协商解决，如果协商不能解决，</w:t>
      </w:r>
      <w:r>
        <w:rPr>
          <w:rFonts w:hint="eastAsia" w:ascii="宋体" w:hAnsi="宋体" w:cs="宋体"/>
          <w:lang w:bidi="ar"/>
        </w:rPr>
        <w:t>可向甲方所在地有管辖权的人民法院提起诉讼</w:t>
      </w:r>
      <w:r>
        <w:rPr>
          <w:rFonts w:hint="eastAsia" w:ascii="宋体" w:hAnsi="宋体" w:cs="宋体"/>
          <w:szCs w:val="21"/>
          <w:lang w:bidi="ar"/>
        </w:rPr>
        <w:t>。</w:t>
      </w:r>
    </w:p>
    <w:p>
      <w:pPr>
        <w:snapToGrid w:val="0"/>
        <w:spacing w:line="400" w:lineRule="exact"/>
        <w:ind w:left="-59" w:leftChars="-28" w:firstLine="420" w:firstLineChars="200"/>
        <w:rPr>
          <w:rFonts w:ascii="宋体" w:hAnsi="宋体" w:cs="宋体"/>
          <w:szCs w:val="21"/>
        </w:rPr>
      </w:pPr>
      <w:r>
        <w:rPr>
          <w:rFonts w:hint="eastAsia" w:ascii="宋体" w:hAnsi="宋体" w:cs="宋体"/>
          <w:szCs w:val="21"/>
          <w:lang w:bidi="ar"/>
        </w:rPr>
        <w:t>3、诉讼期间，本合同继续履行。</w:t>
      </w:r>
    </w:p>
    <w:p>
      <w:pPr>
        <w:snapToGrid w:val="0"/>
        <w:spacing w:line="400" w:lineRule="exact"/>
        <w:ind w:left="-59" w:leftChars="-28" w:firstLine="422" w:firstLineChars="200"/>
        <w:rPr>
          <w:rFonts w:ascii="宋体" w:hAnsi="宋体" w:cs="宋体"/>
          <w:b/>
          <w:szCs w:val="21"/>
        </w:rPr>
      </w:pPr>
      <w:r>
        <w:rPr>
          <w:rFonts w:hint="eastAsia" w:ascii="宋体" w:hAnsi="宋体" w:cs="宋体"/>
          <w:b/>
          <w:szCs w:val="21"/>
          <w:lang w:bidi="ar"/>
        </w:rPr>
        <w:t>第十二条 合同生效及其它</w:t>
      </w:r>
    </w:p>
    <w:p>
      <w:pPr>
        <w:snapToGrid w:val="0"/>
        <w:spacing w:line="400" w:lineRule="exact"/>
        <w:ind w:left="-59" w:leftChars="-28" w:firstLine="422" w:firstLineChars="200"/>
        <w:rPr>
          <w:rFonts w:ascii="宋体" w:hAnsi="宋体" w:cs="宋体"/>
          <w:b/>
          <w:szCs w:val="21"/>
        </w:rPr>
      </w:pPr>
      <w:r>
        <w:rPr>
          <w:rFonts w:hint="eastAsia" w:ascii="宋体" w:hAnsi="宋体" w:cs="宋体"/>
          <w:b/>
          <w:szCs w:val="21"/>
          <w:lang w:bidi="ar"/>
        </w:rPr>
        <w:t>1．合同经双方法定代表人(负责人)或授权代表签字并加盖单位公章后生效。</w:t>
      </w:r>
    </w:p>
    <w:p>
      <w:pPr>
        <w:snapToGrid w:val="0"/>
        <w:spacing w:line="400" w:lineRule="exact"/>
        <w:ind w:left="-59" w:leftChars="-28" w:firstLine="422" w:firstLineChars="200"/>
        <w:rPr>
          <w:rFonts w:ascii="宋体" w:hAnsi="宋体" w:cs="宋体"/>
          <w:b/>
          <w:szCs w:val="21"/>
        </w:rPr>
      </w:pPr>
      <w:r>
        <w:rPr>
          <w:rFonts w:hint="eastAsia" w:ascii="宋体" w:hAnsi="宋体" w:cs="宋体"/>
          <w:b/>
          <w:szCs w:val="21"/>
          <w:lang w:bidi="ar"/>
        </w:rPr>
        <w:t>2．合同执行中涉及采购资金和采购内容修改或补充的，须签书面补充协议报财政部门备案，方可作为主合同不可分割的一部分。</w:t>
      </w:r>
    </w:p>
    <w:p>
      <w:pPr>
        <w:snapToGrid w:val="0"/>
        <w:spacing w:line="400" w:lineRule="exact"/>
        <w:ind w:left="-59" w:leftChars="-28" w:firstLine="422" w:firstLineChars="200"/>
        <w:rPr>
          <w:rFonts w:ascii="宋体" w:hAnsi="宋体" w:cs="宋体"/>
          <w:b/>
          <w:szCs w:val="21"/>
        </w:rPr>
      </w:pPr>
      <w:r>
        <w:rPr>
          <w:rFonts w:hint="eastAsia" w:ascii="宋体" w:hAnsi="宋体" w:cs="宋体"/>
          <w:b/>
          <w:szCs w:val="21"/>
          <w:lang w:bidi="ar"/>
        </w:rPr>
        <w:t>3．本合同未尽事宜，遵照《中华人民共和国民法典》有关条文执行。</w:t>
      </w:r>
    </w:p>
    <w:p>
      <w:pPr>
        <w:snapToGrid w:val="0"/>
        <w:spacing w:line="400" w:lineRule="exact"/>
        <w:ind w:left="-59" w:leftChars="-28" w:firstLine="422" w:firstLineChars="200"/>
        <w:rPr>
          <w:rFonts w:ascii="宋体" w:hAnsi="宋体" w:cs="宋体"/>
          <w:b/>
          <w:szCs w:val="21"/>
        </w:rPr>
      </w:pPr>
      <w:r>
        <w:rPr>
          <w:rFonts w:hint="eastAsia" w:ascii="宋体" w:hAnsi="宋体" w:cs="宋体"/>
          <w:b/>
          <w:szCs w:val="21"/>
          <w:lang w:bidi="ar"/>
        </w:rPr>
        <w:t>第十三条　合同的变更、终止与转让</w:t>
      </w:r>
    </w:p>
    <w:p>
      <w:pPr>
        <w:snapToGrid w:val="0"/>
        <w:spacing w:line="400" w:lineRule="exact"/>
        <w:ind w:left="-59" w:leftChars="-28" w:firstLine="420" w:firstLineChars="200"/>
        <w:rPr>
          <w:rFonts w:ascii="宋体" w:hAnsi="宋体" w:cs="宋体"/>
          <w:szCs w:val="21"/>
        </w:rPr>
      </w:pPr>
      <w:r>
        <w:rPr>
          <w:rFonts w:hint="eastAsia" w:ascii="宋体" w:hAnsi="宋体" w:cs="宋体"/>
          <w:szCs w:val="21"/>
          <w:lang w:bidi="ar"/>
        </w:rPr>
        <w:t>1、除《中华人民共和国政府采购法》第五十条规定的情形外，本合同一经签订，甲乙双方不得擅自变更、中止或终止。</w:t>
      </w:r>
    </w:p>
    <w:p>
      <w:pPr>
        <w:snapToGrid w:val="0"/>
        <w:spacing w:line="400" w:lineRule="exact"/>
        <w:ind w:left="-59" w:leftChars="-28" w:firstLine="420" w:firstLineChars="200"/>
        <w:rPr>
          <w:rFonts w:ascii="宋体" w:hAnsi="宋体" w:cs="宋体"/>
          <w:szCs w:val="21"/>
        </w:rPr>
      </w:pPr>
      <w:r>
        <w:rPr>
          <w:rFonts w:hint="eastAsia" w:ascii="宋体" w:hAnsi="宋体" w:cs="宋体"/>
          <w:szCs w:val="21"/>
          <w:lang w:bidi="ar"/>
        </w:rPr>
        <w:t>2、乙方不得擅自转让其应履行的合同义务。</w:t>
      </w:r>
    </w:p>
    <w:p>
      <w:pPr>
        <w:snapToGrid w:val="0"/>
        <w:spacing w:line="400" w:lineRule="exact"/>
        <w:ind w:left="-59" w:leftChars="-28" w:firstLine="422" w:firstLineChars="200"/>
        <w:rPr>
          <w:rFonts w:ascii="宋体" w:hAnsi="宋体" w:cs="宋体"/>
          <w:b/>
          <w:szCs w:val="21"/>
        </w:rPr>
      </w:pPr>
      <w:r>
        <w:rPr>
          <w:rFonts w:hint="eastAsia" w:ascii="宋体" w:hAnsi="宋体" w:cs="宋体"/>
          <w:b/>
          <w:szCs w:val="21"/>
          <w:lang w:bidi="ar"/>
        </w:rPr>
        <w:t>第十四条　签订本合同依据</w:t>
      </w:r>
    </w:p>
    <w:p>
      <w:pPr>
        <w:snapToGrid w:val="0"/>
        <w:spacing w:line="360" w:lineRule="auto"/>
        <w:ind w:left="-59" w:leftChars="-28" w:firstLine="420" w:firstLineChars="200"/>
        <w:rPr>
          <w:rFonts w:ascii="宋体" w:hAnsi="宋体" w:cs="宋体"/>
          <w:szCs w:val="21"/>
        </w:rPr>
      </w:pPr>
      <w:r>
        <w:rPr>
          <w:rFonts w:hint="eastAsia" w:ascii="宋体" w:hAnsi="宋体" w:cs="宋体"/>
          <w:szCs w:val="21"/>
          <w:lang w:bidi="ar"/>
        </w:rPr>
        <w:t>1、中标通知书</w:t>
      </w:r>
    </w:p>
    <w:p>
      <w:pPr>
        <w:snapToGrid w:val="0"/>
        <w:spacing w:line="360" w:lineRule="auto"/>
        <w:ind w:left="-59" w:leftChars="-28" w:firstLine="420" w:firstLineChars="200"/>
        <w:rPr>
          <w:rFonts w:ascii="宋体" w:hAnsi="宋体" w:cs="宋体"/>
          <w:szCs w:val="21"/>
        </w:rPr>
      </w:pPr>
      <w:r>
        <w:rPr>
          <w:rFonts w:hint="eastAsia" w:ascii="宋体" w:hAnsi="宋体" w:cs="宋体"/>
          <w:szCs w:val="21"/>
          <w:lang w:bidi="ar"/>
        </w:rPr>
        <w:t>2、招标项目采购需求</w:t>
      </w:r>
    </w:p>
    <w:p>
      <w:pPr>
        <w:snapToGrid w:val="0"/>
        <w:spacing w:line="360" w:lineRule="auto"/>
        <w:ind w:left="-59" w:leftChars="-28" w:firstLine="420" w:firstLineChars="200"/>
        <w:rPr>
          <w:rFonts w:ascii="宋体" w:hAnsi="宋体" w:cs="宋体"/>
          <w:szCs w:val="21"/>
        </w:rPr>
      </w:pPr>
      <w:r>
        <w:rPr>
          <w:rFonts w:hint="eastAsia" w:ascii="宋体" w:hAnsi="宋体" w:cs="宋体"/>
          <w:szCs w:val="21"/>
          <w:lang w:bidi="ar"/>
        </w:rPr>
        <w:t>3、招标文件的澄清和修改（如有请提供）</w:t>
      </w:r>
    </w:p>
    <w:p>
      <w:pPr>
        <w:snapToGrid w:val="0"/>
        <w:spacing w:line="360" w:lineRule="auto"/>
        <w:ind w:left="-59" w:leftChars="-28" w:firstLine="420" w:firstLineChars="200"/>
        <w:rPr>
          <w:rFonts w:ascii="宋体" w:hAnsi="宋体" w:cs="宋体"/>
          <w:szCs w:val="21"/>
        </w:rPr>
      </w:pPr>
      <w:r>
        <w:rPr>
          <w:rFonts w:hint="eastAsia" w:ascii="宋体" w:hAnsi="宋体" w:cs="宋体"/>
          <w:szCs w:val="21"/>
          <w:lang w:bidi="ar"/>
        </w:rPr>
        <w:t>4、资格声明函</w:t>
      </w:r>
    </w:p>
    <w:p>
      <w:pPr>
        <w:snapToGrid w:val="0"/>
        <w:spacing w:line="360" w:lineRule="auto"/>
        <w:ind w:left="-59" w:leftChars="-28" w:firstLine="420" w:firstLineChars="200"/>
        <w:rPr>
          <w:rFonts w:ascii="宋体" w:hAnsi="宋体" w:cs="宋体"/>
          <w:szCs w:val="21"/>
        </w:rPr>
      </w:pPr>
      <w:r>
        <w:rPr>
          <w:rFonts w:hint="eastAsia" w:ascii="宋体" w:hAnsi="宋体" w:cs="宋体"/>
          <w:szCs w:val="21"/>
          <w:lang w:bidi="ar"/>
        </w:rPr>
        <w:t>5、开标一览表</w:t>
      </w:r>
    </w:p>
    <w:p>
      <w:pPr>
        <w:snapToGrid w:val="0"/>
        <w:spacing w:line="360" w:lineRule="auto"/>
        <w:ind w:left="-59" w:leftChars="-28" w:firstLine="420" w:firstLineChars="200"/>
        <w:rPr>
          <w:rFonts w:ascii="宋体" w:hAnsi="宋体" w:cs="宋体"/>
          <w:szCs w:val="21"/>
        </w:rPr>
      </w:pPr>
      <w:r>
        <w:rPr>
          <w:rFonts w:hint="eastAsia" w:ascii="宋体" w:hAnsi="宋体" w:cs="宋体"/>
          <w:szCs w:val="21"/>
          <w:lang w:bidi="ar"/>
        </w:rPr>
        <w:t>6、商务条款偏离表</w:t>
      </w:r>
    </w:p>
    <w:p>
      <w:pPr>
        <w:snapToGrid w:val="0"/>
        <w:spacing w:line="360" w:lineRule="auto"/>
        <w:ind w:left="-59" w:leftChars="-28" w:firstLine="420" w:firstLineChars="200"/>
        <w:rPr>
          <w:rFonts w:ascii="宋体" w:hAnsi="宋体" w:cs="宋体"/>
          <w:szCs w:val="21"/>
        </w:rPr>
      </w:pPr>
      <w:r>
        <w:rPr>
          <w:rFonts w:hint="eastAsia" w:ascii="宋体" w:hAnsi="宋体" w:cs="宋体"/>
          <w:szCs w:val="21"/>
          <w:lang w:bidi="ar"/>
        </w:rPr>
        <w:t>7、项目要求及技术需求偏离表</w:t>
      </w:r>
    </w:p>
    <w:p>
      <w:pPr>
        <w:snapToGrid w:val="0"/>
        <w:spacing w:line="360" w:lineRule="auto"/>
        <w:ind w:left="-59" w:leftChars="-28" w:firstLine="420" w:firstLineChars="200"/>
        <w:rPr>
          <w:rFonts w:ascii="宋体" w:hAnsi="宋体" w:cs="宋体"/>
          <w:szCs w:val="21"/>
        </w:rPr>
      </w:pPr>
      <w:r>
        <w:rPr>
          <w:rFonts w:hint="eastAsia" w:ascii="宋体" w:hAnsi="宋体" w:cs="宋体"/>
          <w:szCs w:val="21"/>
          <w:lang w:bidi="ar"/>
        </w:rPr>
        <w:t>8、售后服务承诺</w:t>
      </w:r>
    </w:p>
    <w:p>
      <w:pPr>
        <w:snapToGrid w:val="0"/>
        <w:spacing w:line="360" w:lineRule="auto"/>
        <w:ind w:left="-59" w:leftChars="-28" w:firstLine="420" w:firstLineChars="200"/>
        <w:rPr>
          <w:rFonts w:ascii="宋体" w:hAnsi="宋体" w:cs="宋体"/>
          <w:szCs w:val="21"/>
        </w:rPr>
      </w:pPr>
      <w:r>
        <w:rPr>
          <w:rFonts w:hint="eastAsia" w:ascii="宋体" w:hAnsi="宋体" w:cs="宋体"/>
          <w:szCs w:val="21"/>
          <w:lang w:bidi="ar"/>
        </w:rPr>
        <w:t>9、中标供应商澄清函（如有请提供）</w:t>
      </w:r>
    </w:p>
    <w:p>
      <w:pPr>
        <w:snapToGrid w:val="0"/>
        <w:spacing w:line="360" w:lineRule="auto"/>
        <w:ind w:left="-59" w:leftChars="-28" w:firstLine="420" w:firstLineChars="200"/>
        <w:rPr>
          <w:rFonts w:ascii="宋体" w:hAnsi="宋体" w:cs="宋体"/>
          <w:szCs w:val="21"/>
        </w:rPr>
      </w:pPr>
      <w:r>
        <w:rPr>
          <w:rFonts w:hint="eastAsia" w:ascii="宋体" w:hAnsi="宋体" w:cs="宋体"/>
          <w:szCs w:val="21"/>
          <w:lang w:bidi="ar"/>
        </w:rPr>
        <w:t>10、其他与本合同相关的资料（如有请提供）</w:t>
      </w:r>
    </w:p>
    <w:p>
      <w:pPr>
        <w:widowControl/>
        <w:spacing w:line="360" w:lineRule="auto"/>
        <w:jc w:val="left"/>
        <w:rPr>
          <w:rFonts w:ascii="宋体" w:hAnsi="宋体" w:cs="宋体"/>
        </w:rPr>
      </w:pPr>
      <w:r>
        <w:rPr>
          <w:rFonts w:hint="eastAsia" w:ascii="宋体" w:hAnsi="宋体" w:cs="宋体"/>
          <w:b/>
          <w:szCs w:val="21"/>
          <w:lang w:bidi="ar"/>
        </w:rPr>
        <w:t>第十五条　</w:t>
      </w:r>
      <w:r>
        <w:rPr>
          <w:rFonts w:hint="eastAsia" w:ascii="宋体" w:hAnsi="宋体" w:cs="宋体"/>
          <w:szCs w:val="21"/>
          <w:lang w:bidi="ar"/>
        </w:rPr>
        <w:t>本合同一式五份，具有同等法律效力，甲方三份，乙方一份，代理机构一份，合同签订后二个工作日内在“广西政府采购云平台”进行合同备案。</w:t>
      </w:r>
      <w:r>
        <w:rPr>
          <w:rFonts w:hint="eastAsia" w:ascii="宋体" w:hAnsi="宋体" w:cs="宋体"/>
          <w:sz w:val="24"/>
        </w:rPr>
        <w:t xml:space="preserve"> </w:t>
      </w:r>
    </w:p>
    <w:p>
      <w:pPr>
        <w:snapToGrid w:val="0"/>
        <w:spacing w:line="360" w:lineRule="auto"/>
        <w:rPr>
          <w:rFonts w:ascii="宋体" w:hAnsi="宋体" w:cs="宋体"/>
          <w:szCs w:val="21"/>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360" w:lineRule="auto"/>
              <w:rPr>
                <w:rFonts w:ascii="宋体" w:hAnsi="宋体" w:cs="宋体"/>
                <w:szCs w:val="21"/>
              </w:rPr>
            </w:pPr>
            <w:r>
              <w:rPr>
                <w:rFonts w:hint="eastAsia" w:ascii="宋体" w:hAnsi="宋体" w:cs="宋体"/>
                <w:szCs w:val="21"/>
              </w:rPr>
              <w:t xml:space="preserve">甲方（章）           </w:t>
            </w:r>
          </w:p>
          <w:p>
            <w:pPr>
              <w:snapToGrid w:val="0"/>
              <w:spacing w:line="360" w:lineRule="auto"/>
              <w:rPr>
                <w:rFonts w:ascii="宋体" w:hAnsi="宋体" w:cs="宋体"/>
                <w:szCs w:val="21"/>
              </w:rPr>
            </w:pPr>
          </w:p>
          <w:p>
            <w:pPr>
              <w:snapToGrid w:val="0"/>
              <w:spacing w:line="360" w:lineRule="auto"/>
              <w:ind w:firstLine="945" w:firstLineChars="450"/>
              <w:jc w:val="right"/>
              <w:rPr>
                <w:rFonts w:ascii="宋体" w:hAnsi="宋体" w:cs="宋体"/>
                <w:szCs w:val="21"/>
              </w:rPr>
            </w:pPr>
            <w:r>
              <w:rPr>
                <w:rFonts w:hint="eastAsia" w:ascii="宋体" w:hAnsi="宋体" w:cs="宋体"/>
                <w:szCs w:val="21"/>
              </w:rPr>
              <w:t>年   月   日</w:t>
            </w:r>
          </w:p>
        </w:tc>
        <w:tc>
          <w:tcPr>
            <w:tcW w:w="4517" w:type="dxa"/>
            <w:vAlign w:val="center"/>
          </w:tcPr>
          <w:p>
            <w:pPr>
              <w:snapToGrid w:val="0"/>
              <w:spacing w:line="360" w:lineRule="auto"/>
              <w:rPr>
                <w:rFonts w:ascii="宋体" w:hAnsi="宋体" w:cs="宋体"/>
                <w:szCs w:val="21"/>
              </w:rPr>
            </w:pPr>
            <w:r>
              <w:rPr>
                <w:rFonts w:hint="eastAsia" w:ascii="宋体" w:hAnsi="宋体" w:cs="宋体"/>
                <w:szCs w:val="21"/>
              </w:rPr>
              <w:t xml:space="preserve">乙方（章）              </w:t>
            </w:r>
          </w:p>
          <w:p>
            <w:pPr>
              <w:snapToGrid w:val="0"/>
              <w:spacing w:line="360" w:lineRule="auto"/>
              <w:rPr>
                <w:rFonts w:ascii="宋体" w:hAnsi="宋体" w:cs="宋体"/>
                <w:szCs w:val="21"/>
              </w:rPr>
            </w:pPr>
          </w:p>
          <w:p>
            <w:pPr>
              <w:snapToGrid w:val="0"/>
              <w:spacing w:line="360" w:lineRule="auto"/>
              <w:jc w:val="right"/>
              <w:rPr>
                <w:rFonts w:ascii="宋体" w:hAnsi="宋体" w:cs="宋体"/>
                <w:szCs w:val="21"/>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360" w:lineRule="auto"/>
              <w:rPr>
                <w:rFonts w:ascii="宋体" w:hAnsi="宋体" w:cs="宋体"/>
                <w:szCs w:val="21"/>
              </w:rPr>
            </w:pPr>
            <w:r>
              <w:rPr>
                <w:rFonts w:hint="eastAsia" w:ascii="宋体" w:hAnsi="宋体" w:cs="宋体"/>
                <w:szCs w:val="21"/>
              </w:rPr>
              <w:t>单位地址：</w:t>
            </w:r>
          </w:p>
        </w:tc>
        <w:tc>
          <w:tcPr>
            <w:tcW w:w="4517" w:type="dxa"/>
            <w:vAlign w:val="center"/>
          </w:tcPr>
          <w:p>
            <w:pPr>
              <w:snapToGrid w:val="0"/>
              <w:spacing w:line="360" w:lineRule="auto"/>
              <w:rPr>
                <w:rFonts w:ascii="宋体" w:hAnsi="宋体" w:cs="宋体"/>
                <w:szCs w:val="21"/>
              </w:rPr>
            </w:pPr>
            <w:r>
              <w:rPr>
                <w:rFonts w:hint="eastAsia" w:ascii="宋体" w:hAnsi="宋体" w:cs="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pPr>
              <w:snapToGrid w:val="0"/>
              <w:spacing w:line="360" w:lineRule="auto"/>
              <w:rPr>
                <w:rFonts w:ascii="宋体" w:hAnsi="宋体" w:cs="宋体"/>
                <w:szCs w:val="21"/>
              </w:rPr>
            </w:pPr>
            <w:r>
              <w:rPr>
                <w:rFonts w:hint="eastAsia" w:ascii="宋体" w:hAnsi="宋体" w:cs="宋体"/>
                <w:szCs w:val="21"/>
              </w:rPr>
              <w:t>法定代表人或者委托代理人：</w:t>
            </w:r>
          </w:p>
        </w:tc>
        <w:tc>
          <w:tcPr>
            <w:tcW w:w="4517" w:type="dxa"/>
          </w:tcPr>
          <w:p>
            <w:pPr>
              <w:snapToGrid w:val="0"/>
              <w:spacing w:line="360" w:lineRule="auto"/>
              <w:rPr>
                <w:rFonts w:ascii="宋体" w:hAnsi="宋体" w:cs="宋体"/>
                <w:szCs w:val="21"/>
              </w:rPr>
            </w:pPr>
            <w:r>
              <w:rPr>
                <w:rFonts w:hint="eastAsia" w:ascii="宋体" w:hAnsi="宋体" w:cs="宋体"/>
                <w:szCs w:val="21"/>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360" w:lineRule="auto"/>
              <w:rPr>
                <w:rFonts w:ascii="宋体" w:hAnsi="宋体" w:cs="宋体"/>
                <w:szCs w:val="21"/>
              </w:rPr>
            </w:pPr>
            <w:r>
              <w:rPr>
                <w:rFonts w:hint="eastAsia" w:ascii="宋体" w:hAnsi="宋体" w:cs="宋体"/>
                <w:szCs w:val="21"/>
              </w:rPr>
              <w:t>电话：</w:t>
            </w:r>
          </w:p>
        </w:tc>
        <w:tc>
          <w:tcPr>
            <w:tcW w:w="4517" w:type="dxa"/>
            <w:vAlign w:val="center"/>
          </w:tcPr>
          <w:p>
            <w:pPr>
              <w:snapToGrid w:val="0"/>
              <w:spacing w:line="360" w:lineRule="auto"/>
              <w:rPr>
                <w:rFonts w:ascii="宋体" w:hAnsi="宋体" w:cs="宋体"/>
                <w:szCs w:val="21"/>
              </w:rPr>
            </w:pPr>
            <w:r>
              <w:rPr>
                <w:rFonts w:hint="eastAsia" w:ascii="宋体" w:hAnsi="宋体" w:cs="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360" w:lineRule="auto"/>
              <w:rPr>
                <w:rFonts w:ascii="宋体" w:hAnsi="宋体" w:cs="宋体"/>
                <w:szCs w:val="21"/>
              </w:rPr>
            </w:pPr>
            <w:r>
              <w:rPr>
                <w:rFonts w:hint="eastAsia" w:ascii="宋体" w:hAnsi="宋体" w:cs="宋体"/>
                <w:szCs w:val="21"/>
              </w:rPr>
              <w:t>电子邮箱：</w:t>
            </w:r>
          </w:p>
        </w:tc>
        <w:tc>
          <w:tcPr>
            <w:tcW w:w="4517" w:type="dxa"/>
            <w:vAlign w:val="center"/>
          </w:tcPr>
          <w:p>
            <w:pPr>
              <w:snapToGrid w:val="0"/>
              <w:spacing w:line="360" w:lineRule="auto"/>
              <w:rPr>
                <w:rFonts w:ascii="宋体" w:hAnsi="宋体" w:cs="宋体"/>
                <w:szCs w:val="21"/>
              </w:rPr>
            </w:pPr>
            <w:r>
              <w:rPr>
                <w:rFonts w:hint="eastAsia" w:ascii="宋体" w:hAnsi="宋体" w:cs="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360" w:lineRule="auto"/>
              <w:rPr>
                <w:rFonts w:ascii="宋体" w:hAnsi="宋体" w:cs="宋体"/>
                <w:szCs w:val="21"/>
              </w:rPr>
            </w:pPr>
            <w:r>
              <w:rPr>
                <w:rFonts w:hint="eastAsia" w:ascii="宋体" w:hAnsi="宋体" w:cs="宋体"/>
                <w:szCs w:val="21"/>
              </w:rPr>
              <w:t>开户银行：</w:t>
            </w:r>
          </w:p>
        </w:tc>
        <w:tc>
          <w:tcPr>
            <w:tcW w:w="4517" w:type="dxa"/>
            <w:vAlign w:val="center"/>
          </w:tcPr>
          <w:p>
            <w:pPr>
              <w:snapToGrid w:val="0"/>
              <w:spacing w:line="360" w:lineRule="auto"/>
              <w:rPr>
                <w:rFonts w:ascii="宋体" w:hAnsi="宋体" w:cs="宋体"/>
                <w:szCs w:val="21"/>
              </w:rPr>
            </w:pPr>
            <w:r>
              <w:rPr>
                <w:rFonts w:hint="eastAsia" w:ascii="宋体" w:hAnsi="宋体" w:cs="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360" w:lineRule="auto"/>
              <w:rPr>
                <w:rFonts w:ascii="宋体" w:hAnsi="宋体" w:cs="宋体"/>
                <w:szCs w:val="21"/>
              </w:rPr>
            </w:pPr>
            <w:r>
              <w:rPr>
                <w:rFonts w:hint="eastAsia" w:ascii="宋体" w:hAnsi="宋体" w:cs="宋体"/>
                <w:szCs w:val="21"/>
              </w:rPr>
              <w:t>账号：</w:t>
            </w:r>
          </w:p>
        </w:tc>
        <w:tc>
          <w:tcPr>
            <w:tcW w:w="4517" w:type="dxa"/>
            <w:vAlign w:val="center"/>
          </w:tcPr>
          <w:p>
            <w:pPr>
              <w:snapToGrid w:val="0"/>
              <w:spacing w:line="360" w:lineRule="auto"/>
              <w:rPr>
                <w:rFonts w:ascii="宋体" w:hAnsi="宋体" w:cs="宋体"/>
                <w:szCs w:val="21"/>
              </w:rPr>
            </w:pPr>
            <w:r>
              <w:rPr>
                <w:rFonts w:hint="eastAsia" w:ascii="宋体" w:hAnsi="宋体" w:cs="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360" w:lineRule="auto"/>
              <w:rPr>
                <w:rFonts w:ascii="宋体" w:hAnsi="宋体" w:cs="宋体"/>
                <w:szCs w:val="21"/>
              </w:rPr>
            </w:pPr>
            <w:r>
              <w:rPr>
                <w:rFonts w:hint="eastAsia" w:ascii="宋体" w:hAnsi="宋体" w:cs="宋体"/>
                <w:szCs w:val="21"/>
              </w:rPr>
              <w:t>邮政编码：</w:t>
            </w:r>
          </w:p>
        </w:tc>
        <w:tc>
          <w:tcPr>
            <w:tcW w:w="4517" w:type="dxa"/>
            <w:vAlign w:val="center"/>
          </w:tcPr>
          <w:p>
            <w:pPr>
              <w:snapToGrid w:val="0"/>
              <w:spacing w:line="360" w:lineRule="auto"/>
              <w:rPr>
                <w:rFonts w:ascii="宋体" w:hAnsi="宋体" w:cs="宋体"/>
                <w:szCs w:val="21"/>
              </w:rPr>
            </w:pPr>
            <w:r>
              <w:rPr>
                <w:rFonts w:hint="eastAsia" w:ascii="宋体" w:hAnsi="宋体" w:cs="宋体"/>
                <w:szCs w:val="21"/>
              </w:rPr>
              <w:t>邮政编码：</w:t>
            </w:r>
          </w:p>
        </w:tc>
      </w:tr>
    </w:tbl>
    <w:p>
      <w:pPr>
        <w:spacing w:line="520" w:lineRule="exact"/>
        <w:jc w:val="center"/>
        <w:rPr>
          <w:rFonts w:ascii="宋体" w:hAnsi="宋体" w:cs="宋体"/>
          <w:b/>
          <w:sz w:val="24"/>
        </w:rPr>
      </w:pPr>
    </w:p>
    <w:p>
      <w:pPr>
        <w:spacing w:line="520" w:lineRule="exact"/>
        <w:jc w:val="center"/>
        <w:rPr>
          <w:rFonts w:ascii="宋体" w:hAnsi="宋体" w:cs="宋体"/>
          <w:b/>
          <w:sz w:val="24"/>
        </w:rPr>
      </w:pPr>
    </w:p>
    <w:p>
      <w:pPr>
        <w:spacing w:line="520" w:lineRule="exact"/>
        <w:jc w:val="center"/>
        <w:rPr>
          <w:rFonts w:ascii="宋体" w:hAnsi="宋体" w:cs="宋体"/>
          <w:b/>
          <w:sz w:val="24"/>
        </w:rPr>
      </w:pPr>
      <w:r>
        <w:rPr>
          <w:rFonts w:hint="eastAsia" w:ascii="宋体" w:hAnsi="宋体" w:cs="宋体"/>
          <w:b/>
          <w:sz w:val="24"/>
        </w:rPr>
        <w:t>合 同 附 件</w:t>
      </w:r>
    </w:p>
    <w:p>
      <w:pPr>
        <w:snapToGrid w:val="0"/>
        <w:spacing w:line="360" w:lineRule="auto"/>
        <w:rPr>
          <w:rFonts w:ascii="宋体" w:hAnsi="宋体" w:cs="宋体"/>
          <w:sz w:val="24"/>
        </w:rPr>
      </w:pPr>
    </w:p>
    <w:tbl>
      <w:tblPr>
        <w:tblStyle w:val="47"/>
        <w:tblW w:w="0" w:type="auto"/>
        <w:jc w:val="center"/>
        <w:tblLayout w:type="fixed"/>
        <w:tblCellMar>
          <w:top w:w="0" w:type="dxa"/>
          <w:left w:w="108" w:type="dxa"/>
          <w:bottom w:w="0" w:type="dxa"/>
          <w:right w:w="108" w:type="dxa"/>
        </w:tblCellMar>
      </w:tblPr>
      <w:tblGrid>
        <w:gridCol w:w="4263"/>
        <w:gridCol w:w="4259"/>
      </w:tblGrid>
      <w:tr>
        <w:tblPrEx>
          <w:tblCellMar>
            <w:top w:w="0" w:type="dxa"/>
            <w:left w:w="108" w:type="dxa"/>
            <w:bottom w:w="0" w:type="dxa"/>
            <w:right w:w="108" w:type="dxa"/>
          </w:tblCellMar>
        </w:tblPrEx>
        <w:trPr>
          <w:trHeight w:val="1889"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ascii="宋体" w:hAnsi="宋体" w:cs="宋体"/>
                <w:b/>
                <w:sz w:val="24"/>
              </w:rPr>
            </w:pPr>
            <w:r>
              <w:rPr>
                <w:rFonts w:hint="eastAsia" w:ascii="宋体" w:hAnsi="宋体" w:cs="宋体"/>
                <w:b/>
                <w:sz w:val="24"/>
              </w:rPr>
              <w:t>1. 供应商承诺具体事项：</w:t>
            </w:r>
          </w:p>
          <w:p>
            <w:pPr>
              <w:snapToGrid w:val="0"/>
              <w:spacing w:line="360" w:lineRule="auto"/>
              <w:rPr>
                <w:rFonts w:ascii="宋体" w:hAnsi="宋体" w:cs="宋体"/>
              </w:rPr>
            </w:pPr>
          </w:p>
          <w:p>
            <w:pPr>
              <w:snapToGrid w:val="0"/>
              <w:spacing w:line="360" w:lineRule="auto"/>
              <w:rPr>
                <w:rFonts w:ascii="宋体" w:hAnsi="宋体" w:cs="宋体"/>
                <w:b/>
                <w:sz w:val="24"/>
              </w:rPr>
            </w:pPr>
          </w:p>
        </w:tc>
      </w:tr>
      <w:tr>
        <w:tblPrEx>
          <w:tblCellMar>
            <w:top w:w="0" w:type="dxa"/>
            <w:left w:w="108" w:type="dxa"/>
            <w:bottom w:w="0" w:type="dxa"/>
            <w:right w:w="108" w:type="dxa"/>
          </w:tblCellMar>
        </w:tblPrEx>
        <w:trPr>
          <w:trHeight w:val="1986"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ascii="宋体" w:hAnsi="宋体" w:cs="宋体"/>
                <w:b/>
                <w:sz w:val="24"/>
              </w:rPr>
            </w:pPr>
            <w:r>
              <w:rPr>
                <w:rFonts w:hint="eastAsia" w:ascii="宋体" w:hAnsi="宋体" w:cs="宋体"/>
                <w:b/>
                <w:sz w:val="24"/>
              </w:rPr>
              <w:t>2. 售后服务具体事项：</w:t>
            </w:r>
          </w:p>
          <w:p>
            <w:pPr>
              <w:rPr>
                <w:rFonts w:ascii="宋体" w:hAnsi="宋体" w:cs="宋体"/>
                <w:sz w:val="24"/>
              </w:rPr>
            </w:pPr>
          </w:p>
          <w:p>
            <w:pPr>
              <w:rPr>
                <w:rFonts w:ascii="宋体" w:hAnsi="宋体" w:cs="宋体"/>
                <w:sz w:val="24"/>
              </w:rPr>
            </w:pPr>
          </w:p>
          <w:p>
            <w:pPr>
              <w:rPr>
                <w:rFonts w:ascii="宋体" w:hAnsi="宋体" w:cs="宋体"/>
                <w:sz w:val="24"/>
              </w:rPr>
            </w:pPr>
          </w:p>
          <w:p>
            <w:pPr>
              <w:tabs>
                <w:tab w:val="left" w:pos="5535"/>
              </w:tabs>
              <w:rPr>
                <w:rFonts w:ascii="宋体" w:hAnsi="宋体" w:cs="宋体"/>
                <w:sz w:val="24"/>
              </w:rPr>
            </w:pPr>
            <w:r>
              <w:rPr>
                <w:rFonts w:hint="eastAsia" w:ascii="宋体" w:hAnsi="宋体" w:cs="宋体"/>
                <w:sz w:val="24"/>
              </w:rPr>
              <w:tab/>
            </w:r>
          </w:p>
        </w:tc>
      </w:tr>
      <w:tr>
        <w:tblPrEx>
          <w:tblCellMar>
            <w:top w:w="0" w:type="dxa"/>
            <w:left w:w="108" w:type="dxa"/>
            <w:bottom w:w="0" w:type="dxa"/>
            <w:right w:w="108" w:type="dxa"/>
          </w:tblCellMar>
        </w:tblPrEx>
        <w:trPr>
          <w:trHeight w:val="1958"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ascii="宋体" w:hAnsi="宋体" w:cs="宋体"/>
                <w:b/>
                <w:sz w:val="24"/>
              </w:rPr>
            </w:pPr>
            <w:r>
              <w:rPr>
                <w:rFonts w:hint="eastAsia" w:ascii="宋体" w:hAnsi="宋体" w:cs="宋体"/>
                <w:b/>
                <w:sz w:val="24"/>
              </w:rPr>
              <w:t>3. 保修期责任：</w:t>
            </w:r>
          </w:p>
          <w:p>
            <w:pPr>
              <w:snapToGrid w:val="0"/>
              <w:spacing w:line="360" w:lineRule="auto"/>
              <w:rPr>
                <w:rFonts w:ascii="宋体" w:hAnsi="宋体" w:cs="宋体"/>
                <w:b/>
                <w:sz w:val="24"/>
              </w:rPr>
            </w:pPr>
          </w:p>
          <w:p>
            <w:pPr>
              <w:rPr>
                <w:rFonts w:ascii="宋体" w:hAnsi="宋体" w:cs="宋体"/>
                <w:sz w:val="24"/>
              </w:rPr>
            </w:pPr>
          </w:p>
          <w:p>
            <w:pPr>
              <w:snapToGrid w:val="0"/>
              <w:spacing w:line="360" w:lineRule="auto"/>
              <w:rPr>
                <w:rFonts w:ascii="宋体" w:hAnsi="宋体" w:cs="宋体"/>
                <w:b/>
                <w:sz w:val="24"/>
              </w:rPr>
            </w:pPr>
          </w:p>
        </w:tc>
      </w:tr>
      <w:tr>
        <w:tblPrEx>
          <w:tblCellMar>
            <w:top w:w="0" w:type="dxa"/>
            <w:left w:w="108" w:type="dxa"/>
            <w:bottom w:w="0" w:type="dxa"/>
            <w:right w:w="108" w:type="dxa"/>
          </w:tblCellMar>
        </w:tblPrEx>
        <w:trPr>
          <w:trHeight w:val="1844"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rPr>
                <w:rFonts w:ascii="宋体" w:hAnsi="宋体" w:cs="宋体"/>
                <w:b/>
                <w:sz w:val="24"/>
              </w:rPr>
            </w:pPr>
            <w:r>
              <w:rPr>
                <w:rFonts w:hint="eastAsia" w:ascii="宋体" w:hAnsi="宋体" w:cs="宋体"/>
                <w:b/>
                <w:sz w:val="24"/>
              </w:rPr>
              <w:t>4. 其他具体事项：</w:t>
            </w:r>
          </w:p>
          <w:p>
            <w:pPr>
              <w:snapToGrid w:val="0"/>
              <w:spacing w:line="360" w:lineRule="auto"/>
              <w:rPr>
                <w:rFonts w:ascii="宋体" w:hAnsi="宋体" w:cs="宋体"/>
                <w:b/>
                <w:sz w:val="24"/>
              </w:rPr>
            </w:pPr>
          </w:p>
          <w:p>
            <w:pPr>
              <w:snapToGrid w:val="0"/>
              <w:spacing w:line="360" w:lineRule="auto"/>
              <w:rPr>
                <w:rFonts w:ascii="宋体" w:hAnsi="宋体" w:cs="宋体"/>
                <w:b/>
                <w:sz w:val="24"/>
              </w:rPr>
            </w:pPr>
          </w:p>
        </w:tc>
      </w:tr>
      <w:tr>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sz w:val="24"/>
              </w:rPr>
            </w:pPr>
            <w:r>
              <w:rPr>
                <w:rFonts w:hint="eastAsia" w:ascii="宋体" w:hAnsi="宋体" w:cs="宋体"/>
                <w:b/>
                <w:sz w:val="24"/>
              </w:rPr>
              <w:t>甲方（章）</w:t>
            </w:r>
          </w:p>
          <w:p>
            <w:pPr>
              <w:snapToGrid w:val="0"/>
              <w:spacing w:line="360" w:lineRule="auto"/>
              <w:ind w:firstLine="482" w:firstLineChars="200"/>
              <w:rPr>
                <w:rFonts w:ascii="宋体" w:hAnsi="宋体" w:cs="宋体"/>
                <w:b/>
                <w:sz w:val="24"/>
              </w:rPr>
            </w:pPr>
          </w:p>
          <w:p>
            <w:pPr>
              <w:snapToGrid w:val="0"/>
              <w:spacing w:line="360" w:lineRule="auto"/>
              <w:rPr>
                <w:rFonts w:ascii="宋体" w:hAnsi="宋体" w:cs="宋体"/>
                <w:b/>
                <w:sz w:val="24"/>
              </w:rPr>
            </w:pPr>
          </w:p>
          <w:p>
            <w:pPr>
              <w:snapToGrid w:val="0"/>
              <w:spacing w:line="360" w:lineRule="auto"/>
              <w:ind w:firstLine="482" w:firstLineChars="200"/>
              <w:rPr>
                <w:rFonts w:ascii="宋体" w:hAnsi="宋体" w:cs="宋体"/>
                <w:b/>
                <w:sz w:val="24"/>
              </w:rPr>
            </w:pPr>
            <w:r>
              <w:rPr>
                <w:rFonts w:hint="eastAsia" w:ascii="宋体" w:hAnsi="宋体" w:cs="宋体"/>
                <w:b/>
                <w:sz w:val="24"/>
              </w:rPr>
              <w:t xml:space="preserve">                 年   月   日 </w:t>
            </w:r>
          </w:p>
        </w:tc>
        <w:tc>
          <w:tcPr>
            <w:tcW w:w="42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sz w:val="24"/>
              </w:rPr>
            </w:pPr>
            <w:r>
              <w:rPr>
                <w:rFonts w:hint="eastAsia" w:ascii="宋体" w:hAnsi="宋体" w:cs="宋体"/>
                <w:b/>
                <w:sz w:val="24"/>
              </w:rPr>
              <w:t>乙方（章）</w:t>
            </w:r>
          </w:p>
          <w:p>
            <w:pPr>
              <w:snapToGrid w:val="0"/>
              <w:spacing w:line="360" w:lineRule="auto"/>
              <w:ind w:firstLine="482" w:firstLineChars="200"/>
              <w:rPr>
                <w:rFonts w:ascii="宋体" w:hAnsi="宋体" w:cs="宋体"/>
                <w:b/>
                <w:sz w:val="24"/>
              </w:rPr>
            </w:pPr>
          </w:p>
          <w:p>
            <w:pPr>
              <w:snapToGrid w:val="0"/>
              <w:spacing w:line="360" w:lineRule="auto"/>
              <w:rPr>
                <w:rFonts w:ascii="宋体" w:hAnsi="宋体" w:cs="宋体"/>
                <w:b/>
                <w:sz w:val="24"/>
              </w:rPr>
            </w:pPr>
          </w:p>
          <w:p>
            <w:pPr>
              <w:snapToGrid w:val="0"/>
              <w:spacing w:line="360" w:lineRule="auto"/>
              <w:ind w:firstLine="482" w:firstLineChars="200"/>
              <w:rPr>
                <w:rFonts w:ascii="宋体" w:hAnsi="宋体" w:cs="宋体"/>
                <w:b/>
                <w:sz w:val="24"/>
              </w:rPr>
            </w:pPr>
            <w:r>
              <w:rPr>
                <w:rFonts w:hint="eastAsia" w:ascii="宋体" w:hAnsi="宋体" w:cs="宋体"/>
                <w:b/>
                <w:sz w:val="24"/>
              </w:rPr>
              <w:t xml:space="preserve">                 年   月   日</w:t>
            </w:r>
          </w:p>
        </w:tc>
      </w:tr>
    </w:tbl>
    <w:p>
      <w:pPr>
        <w:snapToGrid w:val="0"/>
        <w:spacing w:before="120" w:line="360" w:lineRule="auto"/>
        <w:jc w:val="center"/>
        <w:rPr>
          <w:rFonts w:ascii="宋体" w:hAnsi="宋体" w:cs="宋体"/>
          <w:szCs w:val="21"/>
        </w:rPr>
      </w:pPr>
    </w:p>
    <w:p>
      <w:pPr>
        <w:snapToGrid w:val="0"/>
        <w:spacing w:line="360" w:lineRule="auto"/>
        <w:ind w:left="420" w:hanging="420" w:hangingChars="200"/>
        <w:rPr>
          <w:rFonts w:ascii="宋体" w:hAnsi="宋体" w:cs="宋体"/>
          <w:szCs w:val="21"/>
        </w:rPr>
      </w:pPr>
    </w:p>
    <w:p>
      <w:pPr>
        <w:snapToGrid w:val="0"/>
        <w:spacing w:line="360" w:lineRule="auto"/>
        <w:ind w:firstLine="643" w:firstLineChars="200"/>
        <w:rPr>
          <w:rFonts w:ascii="宋体" w:hAnsi="宋体" w:cs="宋体"/>
          <w:szCs w:val="21"/>
        </w:rPr>
      </w:pPr>
      <w:r>
        <w:rPr>
          <w:rFonts w:hint="eastAsia" w:ascii="宋体" w:hAnsi="宋体" w:cs="宋体"/>
          <w:b/>
          <w:sz w:val="32"/>
          <w:szCs w:val="32"/>
        </w:rPr>
        <w:br w:type="page"/>
      </w:r>
    </w:p>
    <w:p>
      <w:pPr>
        <w:snapToGrid w:val="0"/>
        <w:spacing w:line="400" w:lineRule="exact"/>
        <w:jc w:val="center"/>
        <w:rPr>
          <w:rFonts w:ascii="宋体" w:hAnsi="宋体" w:cs="宋体"/>
          <w:b/>
          <w:bCs/>
          <w:sz w:val="32"/>
          <w:szCs w:val="32"/>
        </w:rPr>
      </w:pPr>
    </w:p>
    <w:bookmarkEnd w:id="149"/>
    <w:p>
      <w:pPr>
        <w:snapToGrid w:val="0"/>
        <w:jc w:val="center"/>
        <w:rPr>
          <w:rFonts w:ascii="宋体" w:hAnsi="宋体" w:cs="宋体"/>
          <w:bCs/>
          <w:sz w:val="32"/>
          <w:szCs w:val="32"/>
        </w:rPr>
      </w:pPr>
    </w:p>
    <w:p>
      <w:pPr>
        <w:snapToGrid w:val="0"/>
        <w:jc w:val="center"/>
        <w:rPr>
          <w:rFonts w:ascii="宋体" w:hAnsi="宋体" w:cs="宋体"/>
          <w:bCs/>
          <w:sz w:val="32"/>
          <w:szCs w:val="32"/>
        </w:rPr>
      </w:pPr>
    </w:p>
    <w:p>
      <w:pPr>
        <w:snapToGrid w:val="0"/>
        <w:jc w:val="center"/>
        <w:rPr>
          <w:rFonts w:ascii="宋体" w:hAnsi="宋体" w:cs="宋体"/>
          <w:bCs/>
          <w:sz w:val="32"/>
          <w:szCs w:val="32"/>
        </w:rPr>
      </w:pPr>
    </w:p>
    <w:p>
      <w:pPr>
        <w:snapToGrid w:val="0"/>
        <w:jc w:val="center"/>
        <w:rPr>
          <w:rFonts w:ascii="宋体" w:hAnsi="宋体" w:cs="宋体"/>
          <w:bCs/>
          <w:sz w:val="32"/>
          <w:szCs w:val="32"/>
        </w:rPr>
      </w:pPr>
    </w:p>
    <w:p>
      <w:pPr>
        <w:snapToGrid w:val="0"/>
        <w:jc w:val="center"/>
        <w:rPr>
          <w:rFonts w:ascii="宋体" w:hAnsi="宋体" w:cs="宋体"/>
          <w:bCs/>
          <w:sz w:val="32"/>
          <w:szCs w:val="32"/>
        </w:rPr>
      </w:pPr>
    </w:p>
    <w:p>
      <w:pPr>
        <w:pStyle w:val="2"/>
        <w:jc w:val="center"/>
        <w:rPr>
          <w:rFonts w:ascii="宋体" w:hAnsi="宋体" w:cs="宋体"/>
        </w:rPr>
      </w:pPr>
      <w:bookmarkStart w:id="157" w:name="_Toc74320805"/>
      <w:r>
        <w:rPr>
          <w:rFonts w:hint="eastAsia" w:ascii="宋体" w:hAnsi="宋体" w:cs="宋体"/>
        </w:rPr>
        <w:t>第六章　投标文件格式</w:t>
      </w:r>
      <w:bookmarkEnd w:id="157"/>
    </w:p>
    <w:p>
      <w:pPr>
        <w:snapToGrid w:val="0"/>
        <w:spacing w:before="50" w:after="50"/>
        <w:outlineLvl w:val="1"/>
        <w:rPr>
          <w:rFonts w:ascii="宋体" w:hAnsi="宋体" w:cs="宋体"/>
          <w:sz w:val="32"/>
          <w:szCs w:val="20"/>
        </w:rPr>
      </w:pPr>
    </w:p>
    <w:p>
      <w:pPr>
        <w:snapToGrid w:val="0"/>
        <w:spacing w:before="50" w:after="50"/>
        <w:outlineLvl w:val="1"/>
        <w:rPr>
          <w:rFonts w:ascii="宋体" w:hAnsi="宋体" w:cs="宋体"/>
          <w:sz w:val="32"/>
          <w:szCs w:val="20"/>
        </w:rPr>
      </w:pPr>
    </w:p>
    <w:p>
      <w:pPr>
        <w:snapToGrid w:val="0"/>
        <w:spacing w:before="50" w:after="50"/>
        <w:outlineLvl w:val="1"/>
        <w:rPr>
          <w:rFonts w:ascii="宋体" w:hAnsi="宋体" w:cs="宋体"/>
          <w:sz w:val="32"/>
          <w:szCs w:val="20"/>
        </w:rPr>
      </w:pPr>
    </w:p>
    <w:p>
      <w:pPr>
        <w:snapToGrid w:val="0"/>
        <w:spacing w:before="50" w:after="50"/>
        <w:outlineLvl w:val="1"/>
        <w:rPr>
          <w:rFonts w:ascii="宋体" w:hAnsi="宋体" w:cs="宋体"/>
          <w:sz w:val="32"/>
          <w:szCs w:val="20"/>
        </w:rPr>
      </w:pPr>
    </w:p>
    <w:p>
      <w:pPr>
        <w:snapToGrid w:val="0"/>
        <w:spacing w:before="50" w:after="50"/>
        <w:outlineLvl w:val="1"/>
        <w:rPr>
          <w:rFonts w:ascii="宋体" w:hAnsi="宋体" w:cs="宋体"/>
          <w:sz w:val="32"/>
          <w:szCs w:val="20"/>
        </w:rPr>
      </w:pPr>
    </w:p>
    <w:p>
      <w:pPr>
        <w:snapToGrid w:val="0"/>
        <w:spacing w:before="50" w:after="50"/>
        <w:outlineLvl w:val="1"/>
        <w:rPr>
          <w:rFonts w:ascii="宋体" w:hAnsi="宋体" w:cs="宋体"/>
          <w:sz w:val="32"/>
          <w:szCs w:val="20"/>
        </w:rPr>
      </w:pPr>
    </w:p>
    <w:p>
      <w:pPr>
        <w:snapToGrid w:val="0"/>
        <w:spacing w:before="50" w:after="50"/>
        <w:outlineLvl w:val="1"/>
        <w:rPr>
          <w:rFonts w:ascii="宋体" w:hAnsi="宋体" w:cs="宋体"/>
          <w:sz w:val="32"/>
          <w:szCs w:val="20"/>
        </w:rPr>
      </w:pPr>
    </w:p>
    <w:p>
      <w:pPr>
        <w:snapToGrid w:val="0"/>
        <w:spacing w:before="50" w:after="50"/>
        <w:outlineLvl w:val="1"/>
        <w:rPr>
          <w:rFonts w:ascii="宋体" w:hAnsi="宋体" w:cs="宋体"/>
          <w:sz w:val="32"/>
          <w:szCs w:val="20"/>
        </w:rPr>
      </w:pPr>
    </w:p>
    <w:p>
      <w:pPr>
        <w:snapToGrid w:val="0"/>
        <w:spacing w:before="50" w:after="50"/>
        <w:outlineLvl w:val="1"/>
        <w:rPr>
          <w:rFonts w:ascii="宋体" w:hAnsi="宋体" w:cs="宋体"/>
          <w:sz w:val="32"/>
          <w:szCs w:val="20"/>
        </w:rPr>
      </w:pPr>
    </w:p>
    <w:p>
      <w:pPr>
        <w:snapToGrid w:val="0"/>
        <w:spacing w:before="50" w:after="50"/>
        <w:outlineLvl w:val="1"/>
        <w:rPr>
          <w:rFonts w:ascii="宋体" w:hAnsi="宋体" w:cs="宋体"/>
          <w:sz w:val="32"/>
          <w:szCs w:val="20"/>
        </w:rPr>
      </w:pPr>
    </w:p>
    <w:p>
      <w:pPr>
        <w:snapToGrid w:val="0"/>
        <w:spacing w:before="50" w:after="50"/>
        <w:outlineLvl w:val="1"/>
        <w:rPr>
          <w:rFonts w:ascii="宋体" w:hAnsi="宋体" w:cs="宋体"/>
          <w:sz w:val="32"/>
          <w:szCs w:val="20"/>
        </w:rPr>
      </w:pPr>
    </w:p>
    <w:p>
      <w:pPr>
        <w:snapToGrid w:val="0"/>
        <w:spacing w:before="120" w:beforeLines="50" w:after="50"/>
        <w:jc w:val="center"/>
        <w:outlineLvl w:val="1"/>
        <w:rPr>
          <w:rFonts w:ascii="宋体" w:hAnsi="宋体" w:cs="宋体"/>
        </w:rPr>
      </w:pPr>
    </w:p>
    <w:p>
      <w:pPr>
        <w:rPr>
          <w:rFonts w:ascii="宋体" w:hAnsi="宋体" w:cs="宋体"/>
          <w:b/>
          <w:sz w:val="28"/>
          <w:szCs w:val="28"/>
        </w:rPr>
      </w:pPr>
      <w:bookmarkStart w:id="158" w:name="_Toc19686836"/>
      <w:bookmarkStart w:id="159" w:name="_Toc254970698"/>
      <w:bookmarkStart w:id="160" w:name="_Toc254970557"/>
      <w:r>
        <w:rPr>
          <w:rFonts w:hint="eastAsia" w:ascii="宋体" w:hAnsi="宋体" w:cs="宋体"/>
          <w:b/>
          <w:sz w:val="28"/>
          <w:szCs w:val="28"/>
        </w:rPr>
        <w:br w:type="page"/>
      </w:r>
      <w:r>
        <w:rPr>
          <w:rFonts w:hint="eastAsia" w:ascii="宋体" w:hAnsi="宋体" w:cs="宋体"/>
          <w:b/>
          <w:sz w:val="28"/>
          <w:szCs w:val="28"/>
        </w:rPr>
        <w:t>一、报价文件格式</w:t>
      </w:r>
      <w:bookmarkEnd w:id="158"/>
    </w:p>
    <w:p>
      <w:pPr>
        <w:snapToGrid w:val="0"/>
        <w:spacing w:before="120" w:beforeLines="50" w:after="50" w:line="360" w:lineRule="auto"/>
        <w:ind w:left="142"/>
        <w:jc w:val="left"/>
        <w:rPr>
          <w:rFonts w:ascii="宋体" w:hAnsi="宋体" w:cs="宋体"/>
          <w:sz w:val="24"/>
          <w:szCs w:val="20"/>
        </w:rPr>
      </w:pPr>
      <w:r>
        <w:rPr>
          <w:rFonts w:hint="eastAsia" w:ascii="宋体" w:hAnsi="宋体" w:cs="宋体"/>
          <w:b/>
          <w:sz w:val="24"/>
        </w:rPr>
        <w:t xml:space="preserve">1. 报价文件封面格式： </w:t>
      </w:r>
    </w:p>
    <w:p>
      <w:pPr>
        <w:snapToGrid w:val="0"/>
        <w:spacing w:before="120" w:beforeLines="50" w:after="50" w:line="400" w:lineRule="exact"/>
        <w:rPr>
          <w:rFonts w:ascii="宋体" w:hAnsi="宋体" w:cs="宋体"/>
          <w:bCs/>
          <w:sz w:val="32"/>
          <w:szCs w:val="20"/>
        </w:rPr>
      </w:pPr>
      <w:r>
        <w:rPr>
          <w:rFonts w:hint="eastAsia" w:ascii="宋体" w:hAnsi="宋体" w:cs="宋体"/>
          <w:sz w:val="24"/>
        </w:rPr>
        <w:t xml:space="preserve">                                                   </w:t>
      </w:r>
    </w:p>
    <w:p>
      <w:pPr>
        <w:snapToGrid w:val="0"/>
        <w:spacing w:before="120" w:beforeLines="50" w:after="50" w:line="400" w:lineRule="exact"/>
        <w:jc w:val="center"/>
        <w:rPr>
          <w:rFonts w:ascii="宋体" w:hAnsi="宋体" w:cs="宋体"/>
          <w:bCs/>
          <w:sz w:val="24"/>
          <w:szCs w:val="20"/>
        </w:rPr>
      </w:pPr>
    </w:p>
    <w:p>
      <w:pPr>
        <w:snapToGrid w:val="0"/>
        <w:spacing w:before="120" w:beforeLines="50" w:after="50"/>
        <w:jc w:val="center"/>
        <w:rPr>
          <w:rFonts w:ascii="宋体" w:hAnsi="宋体" w:cs="宋体"/>
          <w:sz w:val="84"/>
          <w:szCs w:val="84"/>
        </w:rPr>
      </w:pPr>
      <w:r>
        <w:rPr>
          <w:rFonts w:hint="eastAsia" w:ascii="宋体" w:hAnsi="宋体" w:cs="宋体"/>
          <w:sz w:val="84"/>
          <w:szCs w:val="84"/>
        </w:rPr>
        <w:t>投  标  文  件</w:t>
      </w:r>
    </w:p>
    <w:p>
      <w:pPr>
        <w:snapToGrid w:val="0"/>
        <w:spacing w:before="120" w:beforeLines="50" w:after="50" w:line="400" w:lineRule="exact"/>
        <w:jc w:val="center"/>
        <w:rPr>
          <w:rFonts w:ascii="宋体" w:hAnsi="宋体" w:cs="宋体"/>
          <w:bCs/>
          <w:sz w:val="32"/>
          <w:szCs w:val="32"/>
        </w:rPr>
      </w:pPr>
    </w:p>
    <w:p>
      <w:pPr>
        <w:snapToGrid w:val="0"/>
        <w:spacing w:before="120" w:beforeLines="50" w:after="50" w:line="400" w:lineRule="exact"/>
        <w:jc w:val="center"/>
        <w:rPr>
          <w:rFonts w:ascii="宋体" w:hAnsi="宋体" w:cs="宋体"/>
          <w:sz w:val="32"/>
          <w:szCs w:val="32"/>
        </w:rPr>
      </w:pPr>
      <w:r>
        <w:rPr>
          <w:rFonts w:hint="eastAsia" w:ascii="宋体" w:hAnsi="宋体" w:cs="宋体"/>
          <w:sz w:val="32"/>
          <w:szCs w:val="32"/>
        </w:rPr>
        <w:t>报  价  文  件</w:t>
      </w:r>
    </w:p>
    <w:p>
      <w:pPr>
        <w:snapToGrid w:val="0"/>
        <w:spacing w:before="120" w:beforeLines="50" w:after="50" w:line="400" w:lineRule="exact"/>
        <w:rPr>
          <w:rFonts w:ascii="宋体" w:hAnsi="宋体" w:cs="宋体"/>
          <w:bCs/>
          <w:sz w:val="24"/>
          <w:szCs w:val="20"/>
        </w:rPr>
      </w:pPr>
    </w:p>
    <w:p>
      <w:pPr>
        <w:snapToGrid w:val="0"/>
        <w:spacing w:before="120" w:beforeLines="50" w:after="50" w:line="400" w:lineRule="exact"/>
        <w:rPr>
          <w:rFonts w:ascii="宋体" w:hAnsi="宋体" w:cs="宋体"/>
          <w:bCs/>
          <w:sz w:val="24"/>
          <w:szCs w:val="20"/>
        </w:rPr>
      </w:pPr>
    </w:p>
    <w:p>
      <w:pPr>
        <w:snapToGrid w:val="0"/>
        <w:spacing w:before="120" w:beforeLines="50" w:after="50" w:line="400" w:lineRule="exact"/>
        <w:rPr>
          <w:rFonts w:ascii="宋体" w:hAnsi="宋体" w:cs="宋体"/>
          <w:bCs/>
          <w:sz w:val="24"/>
          <w:szCs w:val="20"/>
        </w:rPr>
      </w:pPr>
    </w:p>
    <w:p>
      <w:pPr>
        <w:snapToGrid w:val="0"/>
        <w:spacing w:before="120" w:beforeLines="50" w:after="50" w:line="400" w:lineRule="exact"/>
        <w:rPr>
          <w:rFonts w:ascii="宋体" w:hAnsi="宋体" w:cs="宋体"/>
          <w:bCs/>
          <w:sz w:val="24"/>
          <w:szCs w:val="20"/>
        </w:rPr>
      </w:pPr>
    </w:p>
    <w:p>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 xml:space="preserve">项目名称： </w:t>
      </w:r>
    </w:p>
    <w:p>
      <w:pPr>
        <w:snapToGrid w:val="0"/>
        <w:spacing w:before="120" w:beforeLines="50" w:after="50" w:line="400" w:lineRule="exact"/>
        <w:ind w:firstLine="360" w:firstLineChars="150"/>
        <w:rPr>
          <w:rFonts w:ascii="宋体" w:hAnsi="宋体" w:cs="宋体"/>
          <w:bCs/>
          <w:sz w:val="24"/>
        </w:rPr>
      </w:pPr>
    </w:p>
    <w:p>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 xml:space="preserve">项目编号： </w:t>
      </w:r>
    </w:p>
    <w:p>
      <w:pPr>
        <w:snapToGrid w:val="0"/>
        <w:spacing w:before="120" w:beforeLines="50" w:after="50" w:line="400" w:lineRule="exact"/>
        <w:ind w:firstLine="360" w:firstLineChars="150"/>
        <w:rPr>
          <w:rFonts w:ascii="宋体" w:hAnsi="宋体" w:cs="宋体"/>
          <w:bCs/>
          <w:sz w:val="24"/>
        </w:rPr>
      </w:pPr>
    </w:p>
    <w:p>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所投分标：</w:t>
      </w:r>
    </w:p>
    <w:p>
      <w:pPr>
        <w:snapToGrid w:val="0"/>
        <w:spacing w:before="120" w:beforeLines="50" w:after="50" w:line="400" w:lineRule="exact"/>
        <w:ind w:firstLine="360" w:firstLineChars="150"/>
        <w:rPr>
          <w:rFonts w:ascii="宋体" w:hAnsi="宋体" w:cs="宋体"/>
          <w:bCs/>
          <w:sz w:val="24"/>
        </w:rPr>
      </w:pPr>
    </w:p>
    <w:p>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投标人名称：</w:t>
      </w:r>
    </w:p>
    <w:p>
      <w:pPr>
        <w:snapToGrid w:val="0"/>
        <w:spacing w:before="120" w:beforeLines="50" w:after="50" w:line="400" w:lineRule="exact"/>
        <w:ind w:firstLine="360" w:firstLineChars="150"/>
        <w:rPr>
          <w:rFonts w:ascii="宋体" w:hAnsi="宋体" w:cs="宋体"/>
          <w:bCs/>
          <w:sz w:val="24"/>
        </w:rPr>
      </w:pPr>
    </w:p>
    <w:p>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投标人地址：</w:t>
      </w:r>
    </w:p>
    <w:p>
      <w:pPr>
        <w:pStyle w:val="7"/>
        <w:snapToGrid w:val="0"/>
        <w:spacing w:before="50" w:after="50" w:line="400" w:lineRule="exact"/>
        <w:ind w:firstLine="960" w:firstLineChars="400"/>
        <w:rPr>
          <w:rFonts w:ascii="宋体" w:hAnsi="宋体" w:cs="宋体"/>
          <w:bCs/>
          <w:sz w:val="24"/>
          <w:szCs w:val="24"/>
        </w:rPr>
      </w:pPr>
    </w:p>
    <w:p>
      <w:pPr>
        <w:snapToGrid w:val="0"/>
        <w:spacing w:before="120" w:beforeLines="50" w:after="50" w:line="400" w:lineRule="exact"/>
        <w:rPr>
          <w:rFonts w:ascii="宋体" w:hAnsi="宋体" w:cs="宋体"/>
          <w:sz w:val="30"/>
          <w:szCs w:val="20"/>
        </w:rPr>
      </w:pPr>
      <w:r>
        <w:rPr>
          <w:rFonts w:hint="eastAsia" w:ascii="宋体" w:hAnsi="宋体" w:cs="宋体"/>
          <w:sz w:val="24"/>
        </w:rPr>
        <w:t xml:space="preserve">                                   年  月  日</w:t>
      </w:r>
    </w:p>
    <w:p>
      <w:pPr>
        <w:snapToGrid w:val="0"/>
        <w:spacing w:before="120" w:beforeLines="50" w:after="50" w:line="360" w:lineRule="auto"/>
        <w:jc w:val="left"/>
        <w:rPr>
          <w:rFonts w:ascii="宋体" w:hAnsi="宋体" w:cs="宋体"/>
          <w:sz w:val="24"/>
          <w:szCs w:val="20"/>
        </w:rPr>
      </w:pPr>
      <w:r>
        <w:rPr>
          <w:rFonts w:hint="eastAsia" w:ascii="宋体" w:hAnsi="宋体" w:cs="宋体"/>
          <w:b/>
          <w:sz w:val="24"/>
        </w:rPr>
        <w:br w:type="page"/>
      </w:r>
      <w:r>
        <w:rPr>
          <w:rFonts w:hint="eastAsia" w:ascii="宋体" w:hAnsi="宋体" w:cs="宋体"/>
          <w:b/>
          <w:sz w:val="24"/>
        </w:rPr>
        <w:t>2.</w:t>
      </w:r>
      <w:r>
        <w:rPr>
          <w:rFonts w:hint="eastAsia" w:ascii="宋体" w:hAnsi="宋体" w:cs="宋体"/>
          <w:b/>
          <w:bCs/>
          <w:sz w:val="24"/>
        </w:rPr>
        <w:t>报价文件目录</w:t>
      </w:r>
    </w:p>
    <w:p>
      <w:pPr>
        <w:tabs>
          <w:tab w:val="left" w:pos="459"/>
        </w:tabs>
        <w:snapToGrid w:val="0"/>
        <w:spacing w:line="400" w:lineRule="exact"/>
        <w:jc w:val="left"/>
        <w:rPr>
          <w:rFonts w:ascii="宋体" w:hAnsi="宋体" w:cs="宋体"/>
          <w:szCs w:val="21"/>
        </w:rPr>
      </w:pPr>
      <w:r>
        <w:rPr>
          <w:rFonts w:hint="eastAsia" w:ascii="宋体" w:hAnsi="宋体" w:cs="宋体"/>
          <w:szCs w:val="21"/>
        </w:rPr>
        <w:t>1、投标函</w:t>
      </w:r>
      <w:r>
        <w:rPr>
          <w:rFonts w:hint="eastAsia" w:ascii="宋体" w:hAnsi="宋体" w:cs="宋体"/>
          <w:kern w:val="0"/>
          <w:sz w:val="24"/>
        </w:rPr>
        <w:t>…………………………………………………（页码）</w:t>
      </w:r>
    </w:p>
    <w:p>
      <w:pPr>
        <w:tabs>
          <w:tab w:val="left" w:pos="459"/>
        </w:tabs>
        <w:snapToGrid w:val="0"/>
        <w:spacing w:line="400" w:lineRule="exact"/>
        <w:jc w:val="left"/>
        <w:rPr>
          <w:rFonts w:ascii="宋体" w:hAnsi="宋体" w:cs="宋体"/>
          <w:kern w:val="0"/>
          <w:sz w:val="24"/>
        </w:rPr>
      </w:pPr>
      <w:r>
        <w:rPr>
          <w:rFonts w:hint="eastAsia" w:ascii="宋体" w:hAnsi="宋体" w:cs="宋体"/>
          <w:szCs w:val="21"/>
        </w:rPr>
        <w:t>2、开标一览表</w:t>
      </w:r>
      <w:r>
        <w:rPr>
          <w:rFonts w:hint="eastAsia" w:ascii="宋体" w:hAnsi="宋体" w:cs="宋体"/>
          <w:kern w:val="0"/>
          <w:sz w:val="24"/>
        </w:rPr>
        <w:t>……………………………………………（页码）</w:t>
      </w:r>
    </w:p>
    <w:p>
      <w:pPr>
        <w:tabs>
          <w:tab w:val="left" w:pos="459"/>
        </w:tabs>
        <w:snapToGrid w:val="0"/>
        <w:spacing w:line="400" w:lineRule="exact"/>
        <w:jc w:val="left"/>
        <w:rPr>
          <w:rFonts w:ascii="宋体" w:hAnsi="宋体" w:cs="宋体"/>
          <w:szCs w:val="21"/>
        </w:rPr>
      </w:pPr>
      <w:r>
        <w:rPr>
          <w:rFonts w:hint="eastAsia" w:ascii="宋体" w:hAnsi="宋体" w:cs="宋体"/>
          <w:szCs w:val="21"/>
        </w:rPr>
        <w:t>3、投标人针对报价需要说明的其他文件和说明</w:t>
      </w:r>
      <w:r>
        <w:rPr>
          <w:rFonts w:hint="eastAsia" w:ascii="宋体" w:hAnsi="宋体" w:cs="宋体"/>
          <w:kern w:val="0"/>
          <w:sz w:val="24"/>
        </w:rPr>
        <w:t>……………（页码）</w:t>
      </w:r>
    </w:p>
    <w:p>
      <w:pPr>
        <w:snapToGrid w:val="0"/>
        <w:spacing w:before="50" w:after="120" w:afterLines="50" w:line="360" w:lineRule="auto"/>
        <w:jc w:val="left"/>
        <w:rPr>
          <w:rFonts w:ascii="宋体" w:hAnsi="宋体" w:cs="宋体"/>
          <w:b/>
          <w:sz w:val="24"/>
        </w:rPr>
      </w:pPr>
    </w:p>
    <w:p>
      <w:pPr>
        <w:snapToGrid w:val="0"/>
        <w:spacing w:before="120" w:beforeLines="50" w:after="50"/>
        <w:rPr>
          <w:rFonts w:ascii="宋体" w:hAnsi="宋体" w:cs="宋体"/>
          <w:b/>
          <w:sz w:val="24"/>
        </w:rPr>
      </w:pPr>
    </w:p>
    <w:p>
      <w:pPr>
        <w:snapToGrid w:val="0"/>
        <w:spacing w:before="120" w:beforeLines="50" w:after="50"/>
        <w:rPr>
          <w:rFonts w:ascii="宋体" w:hAnsi="宋体" w:cs="宋体"/>
          <w:b/>
          <w:sz w:val="24"/>
        </w:rPr>
      </w:pPr>
    </w:p>
    <w:p>
      <w:pPr>
        <w:snapToGrid w:val="0"/>
        <w:spacing w:before="120" w:beforeLines="50" w:after="50"/>
        <w:rPr>
          <w:rFonts w:ascii="宋体" w:hAnsi="宋体" w:cs="宋体"/>
          <w:b/>
          <w:sz w:val="24"/>
        </w:rPr>
      </w:pPr>
    </w:p>
    <w:p>
      <w:pPr>
        <w:snapToGrid w:val="0"/>
        <w:spacing w:before="120" w:beforeLines="50" w:after="50"/>
        <w:ind w:left="142"/>
        <w:jc w:val="left"/>
        <w:rPr>
          <w:rFonts w:ascii="宋体" w:hAnsi="宋体" w:cs="宋体"/>
          <w:b/>
          <w:sz w:val="24"/>
        </w:rPr>
      </w:pPr>
      <w:r>
        <w:rPr>
          <w:rFonts w:hint="eastAsia" w:ascii="宋体" w:hAnsi="宋体" w:cs="宋体"/>
          <w:b/>
          <w:sz w:val="24"/>
        </w:rPr>
        <w:br w:type="page"/>
      </w:r>
      <w:r>
        <w:rPr>
          <w:rFonts w:hint="eastAsia" w:ascii="宋体" w:hAnsi="宋体" w:cs="宋体"/>
          <w:b/>
          <w:sz w:val="24"/>
        </w:rPr>
        <w:t>3. 投标函格式：</w:t>
      </w:r>
    </w:p>
    <w:p>
      <w:pPr>
        <w:snapToGrid w:val="0"/>
        <w:spacing w:before="120" w:beforeLines="50" w:after="50" w:line="360" w:lineRule="auto"/>
        <w:jc w:val="center"/>
        <w:rPr>
          <w:rFonts w:ascii="宋体" w:hAnsi="宋体" w:cs="宋体"/>
          <w:bCs/>
          <w:sz w:val="44"/>
          <w:szCs w:val="44"/>
        </w:rPr>
      </w:pPr>
      <w:r>
        <w:rPr>
          <w:rFonts w:hint="eastAsia" w:ascii="宋体" w:hAnsi="宋体" w:cs="宋体"/>
          <w:bCs/>
          <w:sz w:val="44"/>
          <w:szCs w:val="44"/>
        </w:rPr>
        <w:t>投 标 函</w:t>
      </w:r>
    </w:p>
    <w:p>
      <w:pPr>
        <w:spacing w:line="440" w:lineRule="exact"/>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p>
    <w:p>
      <w:pPr>
        <w:spacing w:line="440" w:lineRule="exact"/>
        <w:ind w:firstLine="480"/>
        <w:contextualSpacing/>
        <w:rPr>
          <w:rFonts w:ascii="宋体" w:hAnsi="宋体" w:cs="宋体"/>
          <w:sz w:val="24"/>
        </w:rPr>
      </w:pPr>
      <w:r>
        <w:rPr>
          <w:rFonts w:hint="eastAsia" w:ascii="宋体" w:hAnsi="宋体" w:cs="宋体"/>
          <w:sz w:val="24"/>
        </w:rPr>
        <w:t>根据贵方</w:t>
      </w:r>
      <w:r>
        <w:rPr>
          <w:rFonts w:hint="eastAsia" w:ascii="宋体" w:hAnsi="宋体" w:cs="宋体"/>
          <w:sz w:val="24"/>
          <w:u w:val="single"/>
        </w:rPr>
        <w:t xml:space="preserve"> 项目名称</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）的招标公告，签字代表______</w:t>
      </w:r>
      <w:r>
        <w:rPr>
          <w:rFonts w:hint="eastAsia" w:ascii="宋体" w:hAnsi="宋体" w:cs="宋体"/>
          <w:sz w:val="24"/>
          <w:u w:val="single"/>
        </w:rPr>
        <w:t xml:space="preserve">     </w:t>
      </w:r>
      <w:r>
        <w:rPr>
          <w:rFonts w:hint="eastAsia" w:ascii="宋体" w:hAnsi="宋体" w:cs="宋体"/>
          <w:sz w:val="24"/>
        </w:rPr>
        <w:t>（姓名）经正式授权并代表投标人</w:t>
      </w:r>
      <w:r>
        <w:rPr>
          <w:rFonts w:hint="eastAsia" w:ascii="宋体" w:hAnsi="宋体" w:cs="宋体"/>
          <w:sz w:val="24"/>
          <w:u w:val="single"/>
        </w:rPr>
        <w:t xml:space="preserve">                 </w:t>
      </w:r>
      <w:r>
        <w:rPr>
          <w:rFonts w:hint="eastAsia" w:ascii="宋体" w:hAnsi="宋体" w:cs="宋体"/>
          <w:sz w:val="24"/>
        </w:rPr>
        <w:t>（投标人名称）提交投标文件。</w:t>
      </w:r>
    </w:p>
    <w:p>
      <w:pPr>
        <w:spacing w:line="440" w:lineRule="exact"/>
        <w:ind w:firstLine="480" w:firstLineChars="200"/>
        <w:contextualSpacing/>
        <w:rPr>
          <w:rFonts w:ascii="宋体" w:hAnsi="宋体" w:cs="宋体"/>
          <w:sz w:val="24"/>
        </w:rPr>
      </w:pPr>
      <w:r>
        <w:rPr>
          <w:rFonts w:hint="eastAsia" w:ascii="宋体" w:hAnsi="宋体" w:cs="宋体"/>
          <w:sz w:val="24"/>
        </w:rPr>
        <w:t>据此函，我方宣布同意如下：</w:t>
      </w:r>
    </w:p>
    <w:p>
      <w:pPr>
        <w:spacing w:line="440" w:lineRule="exact"/>
        <w:ind w:firstLine="480" w:firstLineChars="200"/>
        <w:contextualSpacing/>
        <w:rPr>
          <w:rFonts w:ascii="宋体" w:hAnsi="宋体" w:cs="宋体"/>
          <w:sz w:val="24"/>
        </w:rPr>
      </w:pPr>
      <w:r>
        <w:rPr>
          <w:rFonts w:hint="eastAsia" w:ascii="宋体" w:hAnsi="宋体" w:cs="宋体"/>
          <w:sz w:val="24"/>
        </w:rPr>
        <w:t>1.我方已详细审查全部“招标文件”，包括修改文件（如有的话）以及全部参考资料和有关附件，已经了解我方对于招标文件、采购过程、采购结果有依法进行询问、质疑、投诉的权利及相关渠道和要求。</w:t>
      </w:r>
    </w:p>
    <w:p>
      <w:pPr>
        <w:spacing w:line="440" w:lineRule="exact"/>
        <w:ind w:firstLine="480" w:firstLineChars="200"/>
        <w:contextualSpacing/>
        <w:rPr>
          <w:rFonts w:ascii="宋体" w:hAnsi="宋体" w:cs="宋体"/>
          <w:sz w:val="24"/>
        </w:rPr>
      </w:pPr>
      <w:r>
        <w:rPr>
          <w:rFonts w:hint="eastAsia" w:ascii="宋体" w:hAnsi="宋体" w:cs="宋体"/>
          <w:sz w:val="24"/>
        </w:rPr>
        <w:t>2.我方在投标之前已经完全理解并接受招标文件的各项规定和要求，对招标文件的合理性、合法性不再有异议。</w:t>
      </w:r>
    </w:p>
    <w:p>
      <w:pPr>
        <w:spacing w:line="440" w:lineRule="exact"/>
        <w:ind w:firstLine="480" w:firstLineChars="200"/>
        <w:contextualSpacing/>
        <w:rPr>
          <w:rFonts w:ascii="宋体" w:hAnsi="宋体" w:cs="宋体"/>
          <w:sz w:val="24"/>
        </w:rPr>
      </w:pPr>
      <w:r>
        <w:rPr>
          <w:rFonts w:hint="eastAsia" w:ascii="宋体" w:hAnsi="宋体" w:cs="宋体"/>
          <w:sz w:val="24"/>
        </w:rPr>
        <w:t>3.本投标有效期自投标截止之日起</w:t>
      </w:r>
      <w:r>
        <w:rPr>
          <w:rFonts w:hint="eastAsia" w:ascii="宋体" w:hAnsi="宋体" w:cs="宋体"/>
          <w:sz w:val="24"/>
          <w:u w:val="single"/>
        </w:rPr>
        <w:t xml:space="preserve">    </w:t>
      </w:r>
      <w:r>
        <w:rPr>
          <w:rFonts w:hint="eastAsia" w:ascii="宋体" w:hAnsi="宋体" w:cs="宋体"/>
          <w:sz w:val="24"/>
        </w:rPr>
        <w:t>日。</w:t>
      </w:r>
    </w:p>
    <w:p>
      <w:pPr>
        <w:spacing w:line="440" w:lineRule="exact"/>
        <w:ind w:firstLine="480" w:firstLineChars="200"/>
        <w:contextualSpacing/>
        <w:rPr>
          <w:rFonts w:ascii="宋体" w:hAnsi="宋体" w:cs="宋体"/>
          <w:sz w:val="24"/>
        </w:rPr>
      </w:pPr>
      <w:r>
        <w:rPr>
          <w:rFonts w:hint="eastAsia" w:ascii="宋体" w:hAnsi="宋体" w:cs="宋体"/>
          <w:sz w:val="24"/>
        </w:rPr>
        <w:t>4.如中标，本投标文件至本项目合同履行完毕止均保持有效，我方将按“招标文件”及政府采购法律、法规的规定履行合同责任和义务。</w:t>
      </w:r>
    </w:p>
    <w:p>
      <w:pPr>
        <w:spacing w:line="440" w:lineRule="exact"/>
        <w:ind w:firstLine="480" w:firstLineChars="200"/>
        <w:contextualSpacing/>
        <w:rPr>
          <w:rFonts w:ascii="宋体" w:hAnsi="宋体" w:cs="宋体"/>
          <w:sz w:val="24"/>
        </w:rPr>
      </w:pPr>
      <w:r>
        <w:rPr>
          <w:rFonts w:hint="eastAsia" w:ascii="宋体" w:hAnsi="宋体" w:cs="宋体"/>
          <w:sz w:val="24"/>
        </w:rPr>
        <w:t>5.我方同意按照贵方要求提供与投标有关的一切数据或者资料。</w:t>
      </w:r>
    </w:p>
    <w:p>
      <w:pPr>
        <w:spacing w:line="440" w:lineRule="exact"/>
        <w:ind w:firstLine="480" w:firstLineChars="200"/>
        <w:contextualSpacing/>
        <w:rPr>
          <w:rFonts w:ascii="宋体" w:hAnsi="宋体" w:cs="宋体"/>
          <w:sz w:val="24"/>
        </w:rPr>
      </w:pPr>
      <w:r>
        <w:rPr>
          <w:rFonts w:hint="eastAsia" w:ascii="宋体" w:hAnsi="宋体" w:cs="宋体"/>
          <w:sz w:val="24"/>
        </w:rPr>
        <w:t>6.我方向贵方提交的所有投标文件、资料都是准确的和真实的。</w:t>
      </w:r>
    </w:p>
    <w:p>
      <w:pPr>
        <w:spacing w:line="440" w:lineRule="exact"/>
        <w:ind w:firstLine="480" w:firstLineChars="200"/>
        <w:contextualSpacing/>
        <w:rPr>
          <w:rFonts w:ascii="宋体" w:hAnsi="宋体" w:cs="宋体"/>
          <w:sz w:val="24"/>
        </w:rPr>
      </w:pPr>
      <w:r>
        <w:rPr>
          <w:rFonts w:hint="eastAsia" w:ascii="宋体" w:hAnsi="宋体" w:cs="宋体"/>
          <w:sz w:val="24"/>
        </w:rPr>
        <w:t>7.以上事项如有虚假或者隐瞒，我方愿意承担一切后果，并不再寻求任何旨在减轻或者免除法律责任的辩解。</w:t>
      </w:r>
    </w:p>
    <w:p>
      <w:pPr>
        <w:spacing w:line="440" w:lineRule="exact"/>
        <w:ind w:firstLine="480" w:firstLineChars="200"/>
        <w:contextualSpacing/>
        <w:rPr>
          <w:rFonts w:ascii="宋体" w:hAnsi="宋体" w:cs="宋体"/>
          <w:sz w:val="24"/>
        </w:rPr>
      </w:pPr>
      <w:r>
        <w:rPr>
          <w:rFonts w:hint="eastAsia" w:ascii="宋体" w:hAnsi="宋体" w:cs="宋体"/>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pPr>
        <w:spacing w:line="440" w:lineRule="exact"/>
        <w:ind w:firstLine="480" w:firstLineChars="200"/>
        <w:contextualSpacing/>
        <w:rPr>
          <w:rFonts w:ascii="宋体" w:hAnsi="宋体" w:cs="宋体"/>
          <w:sz w:val="24"/>
        </w:rPr>
      </w:pPr>
      <w:r>
        <w:rPr>
          <w:rFonts w:hint="eastAsia" w:ascii="宋体" w:hAnsi="宋体" w:cs="宋体"/>
          <w:sz w:val="24"/>
        </w:rPr>
        <w:t>□我方本次投标文件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pPr>
        <w:spacing w:line="440" w:lineRule="exact"/>
        <w:ind w:firstLine="480" w:firstLineChars="200"/>
        <w:contextualSpacing/>
        <w:rPr>
          <w:rFonts w:ascii="宋体" w:hAnsi="宋体" w:cs="宋体"/>
          <w:sz w:val="24"/>
        </w:rPr>
      </w:pPr>
      <w:r>
        <w:rPr>
          <w:rFonts w:hint="eastAsia" w:ascii="宋体" w:hAnsi="宋体" w:cs="宋体"/>
          <w:sz w:val="24"/>
        </w:rPr>
        <w:t>□我方本次投标文件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pPr>
        <w:spacing w:line="440" w:lineRule="exact"/>
        <w:ind w:firstLine="480" w:firstLineChars="200"/>
        <w:contextualSpacing/>
        <w:rPr>
          <w:rFonts w:ascii="宋体" w:hAnsi="宋体" w:cs="宋体"/>
          <w:sz w:val="24"/>
        </w:rPr>
      </w:pPr>
      <w:r>
        <w:rPr>
          <w:rFonts w:hint="eastAsia" w:ascii="宋体" w:hAnsi="宋体" w:cs="宋体"/>
          <w:sz w:val="24"/>
        </w:rPr>
        <w:t>9.与本投标有关的一切正式往来信函请寄：</w:t>
      </w:r>
    </w:p>
    <w:p>
      <w:pPr>
        <w:spacing w:line="440" w:lineRule="exact"/>
        <w:ind w:firstLine="480" w:firstLineChars="200"/>
        <w:contextualSpacing/>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pPr>
        <w:spacing w:line="440" w:lineRule="exact"/>
        <w:ind w:firstLine="480" w:firstLineChars="200"/>
        <w:contextualSpacing/>
        <w:rPr>
          <w:rFonts w:ascii="宋体" w:hAnsi="宋体" w:cs="宋体"/>
          <w:sz w:val="24"/>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pPr>
        <w:spacing w:line="440" w:lineRule="exact"/>
        <w:ind w:firstLine="480" w:firstLineChars="200"/>
        <w:contextualSpacing/>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p>
    <w:p>
      <w:pPr>
        <w:spacing w:line="440" w:lineRule="exact"/>
        <w:ind w:firstLine="480" w:firstLineChars="200"/>
        <w:contextualSpacing/>
        <w:jc w:val="left"/>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银行帐号：</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ind w:firstLine="480" w:firstLineChars="200"/>
        <w:contextualSpacing/>
        <w:jc w:val="left"/>
        <w:rPr>
          <w:rFonts w:ascii="宋体" w:hAnsi="宋体" w:cs="宋体"/>
          <w:sz w:val="24"/>
        </w:rPr>
      </w:pPr>
      <w:r>
        <w:rPr>
          <w:rFonts w:hint="eastAsia" w:ascii="宋体" w:hAnsi="宋体" w:cs="宋体"/>
          <w:sz w:val="24"/>
        </w:rPr>
        <w:t xml:space="preserve">法定代表人或者委托代理人签字:___________ </w:t>
      </w:r>
    </w:p>
    <w:p>
      <w:pPr>
        <w:pStyle w:val="25"/>
        <w:spacing w:line="440" w:lineRule="exact"/>
        <w:contextualSpacing/>
        <w:jc w:val="center"/>
        <w:rPr>
          <w:rFonts w:hAnsi="宋体" w:cs="宋体"/>
          <w:sz w:val="24"/>
          <w:szCs w:val="24"/>
          <w:u w:val="single"/>
        </w:rPr>
      </w:pPr>
      <w:r>
        <w:rPr>
          <w:rFonts w:hint="eastAsia" w:hAnsi="宋体" w:cs="宋体"/>
          <w:sz w:val="24"/>
        </w:rPr>
        <w:t xml:space="preserve">                                    投标人（电子签章）：</w:t>
      </w:r>
    </w:p>
    <w:p>
      <w:pPr>
        <w:pStyle w:val="25"/>
        <w:spacing w:line="440" w:lineRule="exact"/>
        <w:contextualSpacing/>
        <w:rPr>
          <w:rFonts w:hAnsi="宋体" w:cs="宋体"/>
          <w:sz w:val="24"/>
        </w:rPr>
      </w:pPr>
      <w:r>
        <w:rPr>
          <w:rFonts w:hint="eastAsia" w:hAnsi="宋体" w:cs="宋体"/>
          <w:sz w:val="24"/>
          <w:szCs w:val="24"/>
        </w:rPr>
        <w:t xml:space="preserve">                                                </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snapToGrid w:val="0"/>
        <w:spacing w:before="120" w:beforeLines="50" w:after="50" w:line="440" w:lineRule="exact"/>
        <w:jc w:val="left"/>
        <w:rPr>
          <w:rFonts w:ascii="宋体" w:hAnsi="宋体" w:cs="宋体"/>
          <w:b/>
          <w:sz w:val="24"/>
          <w:szCs w:val="20"/>
        </w:rPr>
      </w:pPr>
      <w:r>
        <w:rPr>
          <w:rFonts w:hint="eastAsia" w:ascii="宋体" w:hAnsi="宋体" w:cs="宋体"/>
          <w:u w:val="single"/>
        </w:rPr>
        <w:br w:type="page"/>
      </w:r>
      <w:r>
        <w:rPr>
          <w:rFonts w:hint="eastAsia" w:ascii="宋体" w:hAnsi="宋体" w:cs="宋体"/>
          <w:b/>
          <w:sz w:val="24"/>
        </w:rPr>
        <w:t>4. 开标一览表</w:t>
      </w:r>
    </w:p>
    <w:p>
      <w:pPr>
        <w:snapToGrid w:val="0"/>
        <w:spacing w:before="50" w:after="50"/>
        <w:jc w:val="center"/>
        <w:rPr>
          <w:rFonts w:ascii="宋体" w:hAnsi="宋体" w:cs="宋体"/>
          <w:b/>
          <w:sz w:val="30"/>
        </w:rPr>
      </w:pPr>
      <w:r>
        <w:rPr>
          <w:rFonts w:hint="eastAsia" w:ascii="宋体" w:hAnsi="宋体" w:cs="宋体"/>
          <w:b/>
          <w:sz w:val="30"/>
        </w:rPr>
        <w:t>开标一览表</w:t>
      </w:r>
    </w:p>
    <w:p>
      <w:pPr>
        <w:snapToGrid w:val="0"/>
        <w:spacing w:before="50" w:after="50"/>
        <w:jc w:val="center"/>
        <w:rPr>
          <w:rFonts w:ascii="宋体" w:hAnsi="宋体" w:cs="宋体"/>
          <w:b/>
          <w:sz w:val="30"/>
          <w:szCs w:val="20"/>
        </w:rPr>
      </w:pPr>
    </w:p>
    <w:p>
      <w:pPr>
        <w:snapToGrid w:val="0"/>
        <w:spacing w:before="50" w:after="5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分标：</w:t>
      </w:r>
      <w:r>
        <w:rPr>
          <w:rFonts w:hint="eastAsia" w:ascii="宋体" w:hAnsi="宋体" w:cs="宋体"/>
          <w:sz w:val="24"/>
          <w:u w:val="single"/>
        </w:rPr>
        <w:t xml:space="preserve">    如有   </w:t>
      </w:r>
    </w:p>
    <w:p>
      <w:pPr>
        <w:snapToGrid w:val="0"/>
        <w:spacing w:before="50" w:after="50"/>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 xml:space="preserve">                       单位：元</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08"/>
        <w:gridCol w:w="2263"/>
        <w:gridCol w:w="1841"/>
        <w:gridCol w:w="1636"/>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pStyle w:val="25"/>
              <w:snapToGrid w:val="0"/>
              <w:jc w:val="center"/>
              <w:rPr>
                <w:rFonts w:hAnsi="宋体" w:cs="宋体"/>
                <w:kern w:val="2"/>
                <w:sz w:val="21"/>
              </w:rPr>
            </w:pPr>
            <w:r>
              <w:rPr>
                <w:rFonts w:hint="eastAsia" w:hAnsi="宋体" w:cs="宋体"/>
                <w:kern w:val="2"/>
                <w:sz w:val="21"/>
              </w:rPr>
              <w:t>项号</w:t>
            </w:r>
          </w:p>
        </w:tc>
        <w:tc>
          <w:tcPr>
            <w:tcW w:w="1260" w:type="dxa"/>
            <w:tcBorders>
              <w:top w:val="single" w:color="auto" w:sz="4" w:space="0"/>
              <w:left w:val="single" w:color="auto" w:sz="4" w:space="0"/>
              <w:bottom w:val="single" w:color="auto" w:sz="4" w:space="0"/>
              <w:right w:val="single" w:color="auto" w:sz="4" w:space="0"/>
            </w:tcBorders>
            <w:vAlign w:val="center"/>
          </w:tcPr>
          <w:p>
            <w:pPr>
              <w:pStyle w:val="25"/>
              <w:snapToGrid w:val="0"/>
              <w:jc w:val="center"/>
              <w:rPr>
                <w:rFonts w:hAnsi="宋体" w:cs="宋体"/>
                <w:kern w:val="2"/>
                <w:sz w:val="21"/>
              </w:rPr>
            </w:pPr>
            <w:r>
              <w:rPr>
                <w:rFonts w:hint="eastAsia" w:hAnsi="宋体" w:cs="宋体"/>
              </w:rPr>
              <w:t>标的的名称</w:t>
            </w:r>
          </w:p>
        </w:tc>
        <w:tc>
          <w:tcPr>
            <w:tcW w:w="1208" w:type="dxa"/>
            <w:tcBorders>
              <w:top w:val="single" w:color="auto" w:sz="4" w:space="0"/>
              <w:left w:val="single" w:color="auto" w:sz="4" w:space="0"/>
              <w:bottom w:val="single" w:color="auto" w:sz="4" w:space="0"/>
              <w:right w:val="single" w:color="auto" w:sz="4" w:space="0"/>
            </w:tcBorders>
            <w:vAlign w:val="center"/>
          </w:tcPr>
          <w:p>
            <w:pPr>
              <w:pStyle w:val="25"/>
              <w:snapToGrid w:val="0"/>
              <w:jc w:val="center"/>
              <w:rPr>
                <w:rFonts w:hAnsi="宋体" w:cs="宋体"/>
                <w:kern w:val="2"/>
                <w:sz w:val="21"/>
              </w:rPr>
            </w:pPr>
            <w:r>
              <w:rPr>
                <w:rFonts w:hint="eastAsia" w:hAnsi="宋体" w:cs="宋体"/>
                <w:kern w:val="2"/>
                <w:sz w:val="21"/>
              </w:rPr>
              <w:t>预估总数量</w:t>
            </w:r>
            <w:r>
              <w:rPr>
                <w:rFonts w:hint="eastAsia" w:hAnsi="宋体" w:cs="宋体"/>
              </w:rPr>
              <w:t>及单位</w:t>
            </w:r>
          </w:p>
        </w:tc>
        <w:tc>
          <w:tcPr>
            <w:tcW w:w="2263" w:type="dxa"/>
            <w:tcBorders>
              <w:top w:val="single" w:color="auto" w:sz="4" w:space="0"/>
              <w:left w:val="single" w:color="auto" w:sz="4" w:space="0"/>
              <w:bottom w:val="single" w:color="auto" w:sz="4" w:space="0"/>
              <w:right w:val="single" w:color="auto" w:sz="4" w:space="0"/>
            </w:tcBorders>
            <w:vAlign w:val="center"/>
          </w:tcPr>
          <w:p>
            <w:pPr>
              <w:pStyle w:val="25"/>
              <w:snapToGrid w:val="0"/>
              <w:jc w:val="center"/>
              <w:rPr>
                <w:rFonts w:hAnsi="宋体" w:cs="宋体"/>
                <w:kern w:val="2"/>
                <w:sz w:val="21"/>
              </w:rPr>
            </w:pPr>
            <w:r>
              <w:rPr>
                <w:rFonts w:hint="eastAsia" w:hAnsi="宋体" w:cs="宋体"/>
                <w:kern w:val="2"/>
                <w:sz w:val="21"/>
              </w:rPr>
              <w:t>品牌、制造商及原产地</w:t>
            </w:r>
          </w:p>
        </w:tc>
        <w:tc>
          <w:tcPr>
            <w:tcW w:w="1841" w:type="dxa"/>
            <w:tcBorders>
              <w:top w:val="single" w:color="auto" w:sz="4" w:space="0"/>
              <w:left w:val="single" w:color="auto" w:sz="4" w:space="0"/>
              <w:bottom w:val="single" w:color="auto" w:sz="4" w:space="0"/>
              <w:right w:val="single" w:color="auto" w:sz="4" w:space="0"/>
            </w:tcBorders>
            <w:vAlign w:val="center"/>
          </w:tcPr>
          <w:p>
            <w:pPr>
              <w:pStyle w:val="25"/>
              <w:snapToGrid w:val="0"/>
              <w:jc w:val="center"/>
              <w:rPr>
                <w:rFonts w:hAnsi="宋体" w:cs="宋体"/>
                <w:kern w:val="2"/>
                <w:sz w:val="21"/>
              </w:rPr>
            </w:pPr>
            <w:r>
              <w:rPr>
                <w:rFonts w:hint="eastAsia" w:hAnsi="宋体" w:cs="宋体"/>
                <w:bCs/>
                <w:sz w:val="21"/>
                <w:lang w:bidi="ar"/>
              </w:rPr>
              <w:t>项目要求及技术需求</w:t>
            </w:r>
          </w:p>
        </w:tc>
        <w:tc>
          <w:tcPr>
            <w:tcW w:w="1636" w:type="dxa"/>
            <w:tcBorders>
              <w:top w:val="single" w:color="auto" w:sz="4" w:space="0"/>
              <w:left w:val="single" w:color="auto" w:sz="4" w:space="0"/>
              <w:bottom w:val="single" w:color="auto" w:sz="4" w:space="0"/>
              <w:right w:val="single" w:color="auto" w:sz="4" w:space="0"/>
            </w:tcBorders>
            <w:vAlign w:val="center"/>
          </w:tcPr>
          <w:p>
            <w:pPr>
              <w:pStyle w:val="25"/>
              <w:snapToGrid w:val="0"/>
              <w:jc w:val="center"/>
              <w:rPr>
                <w:rFonts w:hAnsi="宋体" w:cs="宋体"/>
                <w:kern w:val="2"/>
                <w:sz w:val="21"/>
              </w:rPr>
            </w:pPr>
            <w:r>
              <w:rPr>
                <w:rFonts w:hint="eastAsia" w:hAnsi="宋体" w:cs="宋体"/>
                <w:kern w:val="2"/>
                <w:sz w:val="21"/>
              </w:rPr>
              <w:t>配送单价(元)</w:t>
            </w:r>
          </w:p>
        </w:tc>
        <w:tc>
          <w:tcPr>
            <w:tcW w:w="886" w:type="dxa"/>
            <w:tcBorders>
              <w:top w:val="single" w:color="auto" w:sz="4" w:space="0"/>
              <w:left w:val="single" w:color="auto" w:sz="4" w:space="0"/>
              <w:bottom w:val="single" w:color="auto" w:sz="4" w:space="0"/>
              <w:right w:val="single" w:color="auto" w:sz="4" w:space="0"/>
            </w:tcBorders>
            <w:vAlign w:val="center"/>
          </w:tcPr>
          <w:p>
            <w:pPr>
              <w:pStyle w:val="25"/>
              <w:snapToGrid w:val="0"/>
              <w:jc w:val="center"/>
              <w:rPr>
                <w:rFonts w:hAnsi="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tcPr>
          <w:p>
            <w:pPr>
              <w:jc w:val="left"/>
              <w:rPr>
                <w:rFonts w:ascii="宋体" w:hAnsi="宋体" w:cs="宋体"/>
                <w:szCs w:val="21"/>
              </w:rPr>
            </w:pPr>
            <w:r>
              <w:rPr>
                <w:rFonts w:hint="eastAsia" w:ascii="宋体" w:hAnsi="宋体" w:cs="宋体"/>
                <w:szCs w:val="21"/>
              </w:rPr>
              <w:t>三种试剂单价合计总价（包含税费等所有费用）：（大写）人民币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tcPr>
          <w:p>
            <w:pPr>
              <w:rPr>
                <w:rFonts w:ascii="宋体" w:hAnsi="宋体" w:cs="宋体"/>
                <w:szCs w:val="21"/>
                <w:u w:val="single"/>
              </w:rPr>
            </w:pPr>
            <w:r>
              <w:rPr>
                <w:rFonts w:hint="eastAsia" w:ascii="宋体" w:hAnsi="宋体" w:cs="宋体"/>
                <w:bCs/>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tcPr>
          <w:p>
            <w:pPr>
              <w:rPr>
                <w:rFonts w:ascii="宋体" w:hAnsi="宋体" w:cs="宋体"/>
                <w:bCs/>
                <w:szCs w:val="21"/>
              </w:rPr>
            </w:pPr>
            <w:r>
              <w:rPr>
                <w:rFonts w:hint="eastAsia" w:ascii="宋体" w:hAnsi="宋体" w:cs="宋体"/>
                <w:bCs/>
                <w:szCs w:val="21"/>
              </w:rPr>
              <w:t>配送时间：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优惠及其它：</w:t>
            </w:r>
          </w:p>
        </w:tc>
      </w:tr>
    </w:tbl>
    <w:p>
      <w:pPr>
        <w:snapToGrid w:val="0"/>
        <w:spacing w:before="50" w:after="50"/>
        <w:jc w:val="left"/>
        <w:rPr>
          <w:rFonts w:ascii="宋体" w:hAnsi="宋体" w:cs="宋体"/>
          <w:sz w:val="24"/>
        </w:rPr>
      </w:pPr>
      <w:r>
        <w:rPr>
          <w:rFonts w:hint="eastAsia" w:ascii="宋体" w:hAnsi="宋体" w:cs="宋体"/>
          <w:sz w:val="24"/>
        </w:rPr>
        <w:t xml:space="preserve">注: </w:t>
      </w:r>
    </w:p>
    <w:p>
      <w:pPr>
        <w:snapToGrid w:val="0"/>
        <w:spacing w:before="50" w:after="50"/>
        <w:ind w:firstLine="480" w:firstLineChars="200"/>
        <w:jc w:val="left"/>
        <w:rPr>
          <w:rFonts w:ascii="宋体" w:hAnsi="宋体" w:cs="宋体"/>
          <w:sz w:val="24"/>
        </w:rPr>
      </w:pPr>
      <w:r>
        <w:rPr>
          <w:rFonts w:hint="eastAsia" w:ascii="宋体" w:hAnsi="宋体" w:cs="宋体"/>
          <w:sz w:val="24"/>
        </w:rPr>
        <w:t>1.投标人的开标一览表必须加盖投标人公章并由法定代表人或者委托代理人签字，</w:t>
      </w:r>
      <w:r>
        <w:rPr>
          <w:rFonts w:hint="eastAsia" w:ascii="宋体" w:hAnsi="宋体" w:cs="宋体"/>
          <w:b/>
          <w:sz w:val="24"/>
        </w:rPr>
        <w:t>否则其投标作无效标处理</w:t>
      </w:r>
      <w:r>
        <w:rPr>
          <w:rFonts w:hint="eastAsia" w:ascii="宋体" w:hAnsi="宋体" w:cs="宋体"/>
          <w:sz w:val="24"/>
        </w:rPr>
        <w:t>。</w:t>
      </w:r>
    </w:p>
    <w:p>
      <w:pPr>
        <w:snapToGrid w:val="0"/>
        <w:spacing w:before="50" w:after="50"/>
        <w:ind w:firstLine="480" w:firstLineChars="200"/>
        <w:jc w:val="left"/>
        <w:rPr>
          <w:rFonts w:ascii="宋体" w:hAnsi="宋体" w:cs="宋体"/>
          <w:b/>
          <w:sz w:val="24"/>
        </w:rPr>
      </w:pPr>
      <w:r>
        <w:rPr>
          <w:rFonts w:hint="eastAsia" w:ascii="宋体" w:hAnsi="宋体" w:cs="宋体"/>
          <w:bCs/>
          <w:sz w:val="24"/>
        </w:rPr>
        <w:t>2.</w:t>
      </w:r>
      <w:r>
        <w:rPr>
          <w:rFonts w:hint="eastAsia" w:ascii="宋体" w:hAnsi="宋体" w:cs="宋体"/>
          <w:sz w:val="24"/>
        </w:rPr>
        <w:t>报价一经涂改，应在涂改处加盖投标人公章或者由法定代表人或者委托代理人签字或者盖章</w:t>
      </w:r>
      <w:r>
        <w:rPr>
          <w:rFonts w:hint="eastAsia" w:ascii="宋体" w:hAnsi="宋体" w:cs="宋体"/>
          <w:b/>
          <w:sz w:val="24"/>
        </w:rPr>
        <w:t>，否则其投标作无效标处理。</w:t>
      </w:r>
    </w:p>
    <w:p>
      <w:pPr>
        <w:snapToGrid w:val="0"/>
        <w:spacing w:before="50" w:after="50"/>
        <w:ind w:firstLine="480" w:firstLineChars="200"/>
        <w:jc w:val="left"/>
        <w:rPr>
          <w:rFonts w:ascii="宋体" w:hAnsi="宋体" w:cs="宋体"/>
          <w:sz w:val="24"/>
        </w:rPr>
      </w:pPr>
      <w:r>
        <w:rPr>
          <w:rFonts w:hint="eastAsia" w:ascii="宋体" w:hAnsi="宋体" w:cs="宋体"/>
          <w:sz w:val="24"/>
        </w:rPr>
        <w:t>3.如为联合体投标，“投标人名称”处必须列明联合体各方名称，并标注联合体牵头人名称，</w:t>
      </w:r>
      <w:r>
        <w:rPr>
          <w:rFonts w:hint="eastAsia" w:ascii="宋体" w:hAnsi="宋体" w:cs="宋体"/>
          <w:b/>
          <w:sz w:val="24"/>
        </w:rPr>
        <w:t>否则其投标作无效标处理。</w:t>
      </w:r>
    </w:p>
    <w:p>
      <w:pPr>
        <w:snapToGrid w:val="0"/>
        <w:spacing w:before="50" w:after="50"/>
        <w:ind w:firstLine="456" w:firstLineChars="200"/>
        <w:jc w:val="left"/>
        <w:rPr>
          <w:rFonts w:ascii="宋体" w:hAnsi="宋体" w:cs="宋体"/>
          <w:spacing w:val="-6"/>
          <w:sz w:val="24"/>
        </w:rPr>
      </w:pPr>
      <w:r>
        <w:rPr>
          <w:rFonts w:hint="eastAsia" w:ascii="宋体" w:hAnsi="宋体" w:cs="宋体"/>
          <w:spacing w:val="-6"/>
          <w:sz w:val="24"/>
        </w:rPr>
        <w:t>4.如为联合体投标，盖章处须加盖联合体各方公章，</w:t>
      </w:r>
      <w:r>
        <w:rPr>
          <w:rFonts w:hint="eastAsia" w:ascii="宋体" w:hAnsi="宋体" w:cs="宋体"/>
          <w:b/>
          <w:spacing w:val="-6"/>
          <w:sz w:val="24"/>
        </w:rPr>
        <w:t>否则其投标作无效标处理。</w:t>
      </w:r>
    </w:p>
    <w:p>
      <w:pPr>
        <w:snapToGrid w:val="0"/>
        <w:spacing w:before="50" w:after="50"/>
        <w:ind w:firstLine="480" w:firstLineChars="200"/>
        <w:rPr>
          <w:rFonts w:ascii="宋体" w:hAnsi="宋体" w:cs="宋体"/>
          <w:b/>
          <w:sz w:val="24"/>
        </w:rPr>
      </w:pPr>
      <w:r>
        <w:rPr>
          <w:rFonts w:hint="eastAsia" w:ascii="宋体" w:hAnsi="宋体" w:cs="宋体"/>
          <w:sz w:val="24"/>
        </w:rPr>
        <w:t>5.如有多分标，按分标分别提供开标一览表，</w:t>
      </w:r>
      <w:r>
        <w:rPr>
          <w:rFonts w:hint="eastAsia" w:ascii="宋体" w:hAnsi="宋体" w:cs="宋体"/>
          <w:b/>
          <w:sz w:val="24"/>
        </w:rPr>
        <w:t>否则投标无效。</w:t>
      </w:r>
    </w:p>
    <w:p>
      <w:pPr>
        <w:snapToGrid w:val="0"/>
        <w:spacing w:before="50" w:after="50"/>
        <w:ind w:firstLine="482" w:firstLineChars="200"/>
        <w:rPr>
          <w:rFonts w:ascii="宋体" w:hAnsi="宋体" w:cs="宋体"/>
          <w:b/>
          <w:sz w:val="24"/>
        </w:rPr>
      </w:pPr>
    </w:p>
    <w:p>
      <w:pPr>
        <w:snapToGrid w:val="0"/>
        <w:spacing w:before="50" w:after="50" w:line="360" w:lineRule="auto"/>
        <w:ind w:left="-2" w:leftChars="-1" w:right="-817" w:rightChars="-389"/>
        <w:rPr>
          <w:rFonts w:ascii="宋体" w:hAnsi="宋体" w:cs="宋体"/>
          <w:sz w:val="24"/>
        </w:rPr>
      </w:pPr>
      <w:r>
        <w:rPr>
          <w:rFonts w:hint="eastAsia" w:ascii="宋体" w:hAnsi="宋体" w:cs="宋体"/>
          <w:sz w:val="24"/>
        </w:rPr>
        <w:t xml:space="preserve">法定代表人或者委托代理人（签字或电子签名）：                    </w:t>
      </w:r>
    </w:p>
    <w:p>
      <w:pPr>
        <w:snapToGrid w:val="0"/>
        <w:spacing w:before="50" w:after="50" w:line="360" w:lineRule="auto"/>
        <w:ind w:left="-3" w:leftChars="-15" w:right="-817" w:rightChars="-389" w:hanging="28" w:hangingChars="12"/>
        <w:rPr>
          <w:rFonts w:ascii="宋体" w:hAnsi="宋体" w:cs="宋体"/>
          <w:szCs w:val="21"/>
        </w:rPr>
      </w:pPr>
      <w:r>
        <w:rPr>
          <w:rFonts w:hint="eastAsia" w:ascii="宋体" w:hAnsi="宋体" w:cs="宋体"/>
          <w:sz w:val="24"/>
        </w:rPr>
        <w:t>投标人（电子签章）：                                 日期：    年   月   日</w:t>
      </w:r>
    </w:p>
    <w:p>
      <w:pPr>
        <w:autoSpaceDE w:val="0"/>
        <w:autoSpaceDN w:val="0"/>
        <w:spacing w:line="360" w:lineRule="auto"/>
        <w:ind w:firstLine="5670" w:firstLineChars="2700"/>
        <w:rPr>
          <w:rFonts w:ascii="宋体" w:hAnsi="宋体" w:cs="宋体"/>
          <w:kern w:val="0"/>
          <w:szCs w:val="21"/>
          <w:lang w:val="zh-CN"/>
        </w:rPr>
      </w:pPr>
    </w:p>
    <w:p>
      <w:pPr>
        <w:rPr>
          <w:rFonts w:ascii="宋体" w:hAnsi="宋体" w:cs="宋体"/>
          <w:b/>
          <w:sz w:val="28"/>
          <w:szCs w:val="28"/>
        </w:rPr>
      </w:pPr>
      <w:r>
        <w:rPr>
          <w:rFonts w:hint="eastAsia" w:ascii="宋体" w:hAnsi="宋体" w:cs="宋体"/>
          <w:b/>
          <w:sz w:val="30"/>
          <w:szCs w:val="30"/>
        </w:rPr>
        <w:br w:type="page"/>
      </w:r>
      <w:bookmarkStart w:id="161" w:name="_Toc19686837"/>
      <w:r>
        <w:rPr>
          <w:rFonts w:hint="eastAsia" w:ascii="宋体" w:hAnsi="宋体" w:cs="宋体"/>
          <w:b/>
          <w:sz w:val="28"/>
          <w:szCs w:val="28"/>
        </w:rPr>
        <w:t>二、资格证明文件格式</w:t>
      </w:r>
      <w:bookmarkEnd w:id="159"/>
      <w:bookmarkEnd w:id="160"/>
      <w:bookmarkEnd w:id="161"/>
    </w:p>
    <w:p>
      <w:pPr>
        <w:numPr>
          <w:ilvl w:val="2"/>
          <w:numId w:val="7"/>
        </w:numPr>
        <w:snapToGrid w:val="0"/>
        <w:spacing w:before="120" w:beforeLines="50" w:after="50" w:line="360" w:lineRule="auto"/>
        <w:ind w:left="0" w:firstLine="0"/>
        <w:jc w:val="left"/>
        <w:rPr>
          <w:rFonts w:ascii="宋体" w:hAnsi="宋体" w:cs="宋体"/>
          <w:b/>
          <w:sz w:val="24"/>
        </w:rPr>
      </w:pPr>
      <w:r>
        <w:rPr>
          <w:rFonts w:hint="eastAsia" w:ascii="宋体" w:hAnsi="宋体" w:cs="宋体"/>
          <w:b/>
          <w:sz w:val="24"/>
        </w:rPr>
        <w:t xml:space="preserve">资格证明文件封面格式： </w:t>
      </w:r>
    </w:p>
    <w:p>
      <w:pPr>
        <w:snapToGrid w:val="0"/>
        <w:spacing w:before="120" w:beforeLines="50" w:after="50"/>
        <w:rPr>
          <w:rFonts w:ascii="宋体" w:hAnsi="宋体" w:cs="宋体"/>
          <w:bCs/>
          <w:sz w:val="32"/>
          <w:szCs w:val="20"/>
        </w:rPr>
      </w:pPr>
      <w:r>
        <w:rPr>
          <w:rFonts w:hint="eastAsia" w:ascii="宋体" w:hAnsi="宋体" w:cs="宋体"/>
          <w:sz w:val="24"/>
        </w:rPr>
        <w:t xml:space="preserve">                                                   </w:t>
      </w:r>
    </w:p>
    <w:p>
      <w:pPr>
        <w:snapToGrid w:val="0"/>
        <w:spacing w:before="120" w:beforeLines="50" w:after="50"/>
        <w:rPr>
          <w:rFonts w:ascii="宋体" w:hAnsi="宋体" w:cs="宋体"/>
          <w:sz w:val="24"/>
          <w:szCs w:val="20"/>
        </w:rPr>
      </w:pPr>
    </w:p>
    <w:p>
      <w:pPr>
        <w:snapToGrid w:val="0"/>
        <w:spacing w:before="120" w:beforeLines="50" w:after="50"/>
        <w:rPr>
          <w:rFonts w:ascii="宋体" w:hAnsi="宋体" w:cs="宋体"/>
          <w:sz w:val="24"/>
          <w:szCs w:val="20"/>
        </w:rPr>
      </w:pPr>
    </w:p>
    <w:p>
      <w:pPr>
        <w:snapToGrid w:val="0"/>
        <w:spacing w:before="120" w:beforeLines="50" w:after="50"/>
        <w:jc w:val="center"/>
        <w:rPr>
          <w:rFonts w:ascii="宋体" w:hAnsi="宋体" w:cs="宋体"/>
          <w:sz w:val="84"/>
          <w:szCs w:val="84"/>
        </w:rPr>
      </w:pPr>
      <w:r>
        <w:rPr>
          <w:rFonts w:hint="eastAsia" w:ascii="宋体" w:hAnsi="宋体" w:cs="宋体"/>
          <w:sz w:val="84"/>
          <w:szCs w:val="84"/>
        </w:rPr>
        <w:t>投  标  文  件</w:t>
      </w:r>
    </w:p>
    <w:p>
      <w:pPr>
        <w:snapToGrid w:val="0"/>
        <w:spacing w:before="120" w:beforeLines="50" w:after="50"/>
        <w:rPr>
          <w:rFonts w:ascii="宋体" w:hAnsi="宋体" w:cs="宋体"/>
          <w:sz w:val="24"/>
          <w:szCs w:val="20"/>
        </w:rPr>
      </w:pPr>
    </w:p>
    <w:p>
      <w:pPr>
        <w:snapToGrid w:val="0"/>
        <w:spacing w:before="120" w:beforeLines="50" w:after="50"/>
        <w:rPr>
          <w:rFonts w:ascii="宋体" w:hAnsi="宋体" w:cs="宋体"/>
          <w:sz w:val="24"/>
          <w:szCs w:val="20"/>
        </w:rPr>
      </w:pPr>
    </w:p>
    <w:p>
      <w:pPr>
        <w:snapToGrid w:val="0"/>
        <w:spacing w:before="120" w:beforeLines="50" w:after="50"/>
        <w:jc w:val="center"/>
        <w:rPr>
          <w:rFonts w:ascii="宋体" w:hAnsi="宋体" w:cs="宋体"/>
          <w:b/>
          <w:sz w:val="24"/>
          <w:szCs w:val="20"/>
        </w:rPr>
      </w:pPr>
      <w:r>
        <w:rPr>
          <w:rFonts w:hint="eastAsia" w:ascii="宋体" w:hAnsi="宋体" w:cs="宋体"/>
          <w:b/>
          <w:sz w:val="32"/>
          <w:szCs w:val="32"/>
        </w:rPr>
        <w:t>资 格 证 明 文 件</w:t>
      </w:r>
    </w:p>
    <w:p>
      <w:pPr>
        <w:snapToGrid w:val="0"/>
        <w:spacing w:before="120" w:beforeLines="50" w:after="50"/>
        <w:rPr>
          <w:rFonts w:ascii="宋体" w:hAnsi="宋体" w:cs="宋体"/>
          <w:bCs/>
          <w:sz w:val="24"/>
          <w:szCs w:val="20"/>
        </w:rPr>
      </w:pPr>
    </w:p>
    <w:p>
      <w:pPr>
        <w:snapToGrid w:val="0"/>
        <w:spacing w:before="120" w:beforeLines="50" w:after="50"/>
        <w:rPr>
          <w:rFonts w:ascii="宋体" w:hAnsi="宋体" w:cs="宋体"/>
          <w:bCs/>
          <w:sz w:val="24"/>
          <w:szCs w:val="20"/>
        </w:rPr>
      </w:pPr>
    </w:p>
    <w:p>
      <w:pPr>
        <w:snapToGrid w:val="0"/>
        <w:spacing w:before="120" w:beforeLines="50" w:after="50"/>
        <w:rPr>
          <w:rFonts w:ascii="宋体" w:hAnsi="宋体" w:cs="宋体"/>
          <w:bCs/>
          <w:sz w:val="24"/>
          <w:szCs w:val="20"/>
        </w:rPr>
      </w:pPr>
    </w:p>
    <w:p>
      <w:pPr>
        <w:snapToGrid w:val="0"/>
        <w:spacing w:before="120" w:beforeLines="50" w:after="50"/>
        <w:rPr>
          <w:rFonts w:ascii="宋体" w:hAnsi="宋体" w:cs="宋体"/>
          <w:bCs/>
          <w:sz w:val="24"/>
          <w:szCs w:val="20"/>
        </w:rPr>
      </w:pPr>
    </w:p>
    <w:p>
      <w:pPr>
        <w:snapToGrid w:val="0"/>
        <w:spacing w:before="120" w:beforeLines="50" w:after="50"/>
        <w:rPr>
          <w:rFonts w:ascii="宋体" w:hAnsi="宋体" w:cs="宋体"/>
          <w:bCs/>
          <w:sz w:val="24"/>
          <w:szCs w:val="20"/>
        </w:rPr>
      </w:pPr>
    </w:p>
    <w:p>
      <w:pPr>
        <w:snapToGrid w:val="0"/>
        <w:spacing w:before="120" w:beforeLines="50" w:after="50"/>
        <w:ind w:firstLine="540" w:firstLineChars="225"/>
        <w:rPr>
          <w:rFonts w:ascii="宋体" w:hAnsi="宋体" w:cs="宋体"/>
          <w:bCs/>
          <w:sz w:val="24"/>
        </w:rPr>
      </w:pPr>
      <w:r>
        <w:rPr>
          <w:rFonts w:hint="eastAsia" w:ascii="宋体" w:hAnsi="宋体" w:cs="宋体"/>
          <w:bCs/>
          <w:sz w:val="24"/>
        </w:rPr>
        <w:t>项目名称：</w:t>
      </w:r>
    </w:p>
    <w:p>
      <w:pPr>
        <w:snapToGrid w:val="0"/>
        <w:spacing w:before="120" w:beforeLines="50" w:after="50"/>
        <w:ind w:firstLine="540" w:firstLineChars="225"/>
        <w:rPr>
          <w:rFonts w:ascii="宋体" w:hAnsi="宋体" w:cs="宋体"/>
          <w:bCs/>
          <w:sz w:val="24"/>
          <w:szCs w:val="20"/>
        </w:rPr>
      </w:pPr>
    </w:p>
    <w:p>
      <w:pPr>
        <w:snapToGrid w:val="0"/>
        <w:spacing w:before="120" w:beforeLines="50" w:after="50"/>
        <w:ind w:firstLine="540" w:firstLineChars="225"/>
        <w:rPr>
          <w:rFonts w:ascii="宋体" w:hAnsi="宋体" w:cs="宋体"/>
          <w:bCs/>
          <w:sz w:val="24"/>
        </w:rPr>
      </w:pPr>
      <w:r>
        <w:rPr>
          <w:rFonts w:hint="eastAsia" w:ascii="宋体" w:hAnsi="宋体" w:cs="宋体"/>
          <w:bCs/>
          <w:sz w:val="24"/>
        </w:rPr>
        <w:t>项目编号：</w:t>
      </w:r>
    </w:p>
    <w:p>
      <w:pPr>
        <w:snapToGrid w:val="0"/>
        <w:spacing w:before="120" w:beforeLines="50" w:after="50"/>
        <w:ind w:firstLine="540" w:firstLineChars="225"/>
        <w:rPr>
          <w:rFonts w:ascii="宋体" w:hAnsi="宋体" w:cs="宋体"/>
          <w:bCs/>
          <w:sz w:val="24"/>
          <w:szCs w:val="20"/>
        </w:rPr>
      </w:pPr>
      <w:r>
        <w:rPr>
          <w:rFonts w:hint="eastAsia" w:ascii="宋体" w:hAnsi="宋体" w:cs="宋体"/>
          <w:bCs/>
          <w:sz w:val="24"/>
        </w:rPr>
        <w:t xml:space="preserve"> </w:t>
      </w:r>
    </w:p>
    <w:p>
      <w:pPr>
        <w:snapToGrid w:val="0"/>
        <w:spacing w:before="120" w:beforeLines="50" w:after="50"/>
        <w:ind w:firstLine="540" w:firstLineChars="225"/>
        <w:rPr>
          <w:rFonts w:ascii="宋体" w:hAnsi="宋体" w:cs="宋体"/>
          <w:bCs/>
          <w:sz w:val="24"/>
        </w:rPr>
      </w:pPr>
      <w:r>
        <w:rPr>
          <w:rFonts w:hint="eastAsia" w:ascii="宋体" w:hAnsi="宋体" w:cs="宋体"/>
          <w:bCs/>
          <w:sz w:val="24"/>
        </w:rPr>
        <w:t>所投分标：</w:t>
      </w:r>
    </w:p>
    <w:p>
      <w:pPr>
        <w:pStyle w:val="7"/>
        <w:snapToGrid w:val="0"/>
        <w:spacing w:before="50" w:after="50"/>
        <w:ind w:firstLine="540" w:firstLineChars="225"/>
        <w:rPr>
          <w:rFonts w:ascii="宋体" w:hAnsi="宋体" w:cs="宋体"/>
          <w:bCs/>
          <w:sz w:val="24"/>
          <w:szCs w:val="24"/>
        </w:rPr>
      </w:pPr>
    </w:p>
    <w:p>
      <w:pPr>
        <w:pStyle w:val="7"/>
        <w:snapToGrid w:val="0"/>
        <w:spacing w:before="50" w:after="50"/>
        <w:ind w:firstLine="540" w:firstLineChars="225"/>
        <w:rPr>
          <w:rFonts w:ascii="宋体" w:hAnsi="宋体" w:cs="宋体"/>
          <w:bCs/>
          <w:sz w:val="24"/>
          <w:szCs w:val="24"/>
        </w:rPr>
      </w:pPr>
      <w:r>
        <w:rPr>
          <w:rFonts w:hint="eastAsia" w:ascii="宋体" w:hAnsi="宋体" w:cs="宋体"/>
          <w:bCs/>
          <w:sz w:val="24"/>
          <w:szCs w:val="24"/>
        </w:rPr>
        <w:t>投标人名称：</w:t>
      </w:r>
    </w:p>
    <w:p>
      <w:pPr>
        <w:pStyle w:val="7"/>
        <w:snapToGrid w:val="0"/>
        <w:spacing w:before="50" w:after="50"/>
        <w:ind w:firstLine="540" w:firstLineChars="225"/>
        <w:rPr>
          <w:rFonts w:ascii="宋体" w:hAnsi="宋体" w:cs="宋体"/>
          <w:bCs/>
          <w:sz w:val="24"/>
          <w:szCs w:val="24"/>
        </w:rPr>
      </w:pPr>
    </w:p>
    <w:p>
      <w:pPr>
        <w:pStyle w:val="7"/>
        <w:snapToGrid w:val="0"/>
        <w:spacing w:before="50" w:after="50"/>
        <w:ind w:firstLine="960" w:firstLineChars="400"/>
        <w:rPr>
          <w:rFonts w:ascii="宋体" w:hAnsi="宋体" w:cs="宋体"/>
          <w:bCs/>
          <w:sz w:val="24"/>
          <w:szCs w:val="24"/>
        </w:rPr>
      </w:pPr>
    </w:p>
    <w:p>
      <w:pPr>
        <w:snapToGrid w:val="0"/>
        <w:spacing w:before="120" w:beforeLines="50" w:after="50"/>
        <w:ind w:firstLine="645"/>
        <w:jc w:val="center"/>
        <w:rPr>
          <w:rFonts w:ascii="宋体" w:hAnsi="宋体" w:cs="宋体"/>
          <w:sz w:val="24"/>
        </w:rPr>
      </w:pPr>
      <w:r>
        <w:rPr>
          <w:rFonts w:hint="eastAsia" w:ascii="宋体" w:hAnsi="宋体" w:cs="宋体"/>
          <w:sz w:val="24"/>
        </w:rPr>
        <w:t>年  月  日</w:t>
      </w:r>
    </w:p>
    <w:p>
      <w:pPr>
        <w:snapToGrid w:val="0"/>
        <w:spacing w:before="120" w:beforeLines="50" w:after="50"/>
        <w:rPr>
          <w:rFonts w:ascii="宋体" w:hAnsi="宋体" w:cs="宋体"/>
          <w:sz w:val="24"/>
          <w:szCs w:val="20"/>
        </w:rPr>
      </w:pPr>
      <w:r>
        <w:rPr>
          <w:rFonts w:hint="eastAsia" w:ascii="宋体" w:hAnsi="宋体" w:cs="宋体"/>
          <w:sz w:val="24"/>
          <w:szCs w:val="20"/>
        </w:rPr>
        <w:t xml:space="preserve"> </w:t>
      </w:r>
    </w:p>
    <w:p>
      <w:pPr>
        <w:snapToGrid w:val="0"/>
        <w:spacing w:before="120" w:beforeLines="50" w:after="50"/>
        <w:rPr>
          <w:rFonts w:ascii="宋体" w:hAnsi="宋体" w:cs="宋体"/>
          <w:sz w:val="24"/>
          <w:szCs w:val="20"/>
        </w:rPr>
      </w:pPr>
    </w:p>
    <w:p>
      <w:pPr>
        <w:numPr>
          <w:ilvl w:val="2"/>
          <w:numId w:val="7"/>
        </w:numPr>
        <w:snapToGrid w:val="0"/>
        <w:spacing w:before="120" w:beforeLines="50" w:after="50" w:line="360" w:lineRule="auto"/>
        <w:ind w:left="0" w:firstLine="0"/>
        <w:jc w:val="left"/>
        <w:rPr>
          <w:rFonts w:ascii="宋体" w:hAnsi="宋体" w:cs="宋体"/>
          <w:sz w:val="24"/>
          <w:szCs w:val="20"/>
        </w:rPr>
      </w:pPr>
      <w:r>
        <w:rPr>
          <w:rFonts w:hint="eastAsia" w:ascii="宋体" w:hAnsi="宋体" w:cs="宋体"/>
          <w:b/>
          <w:bCs/>
          <w:sz w:val="24"/>
        </w:rPr>
        <w:br w:type="page"/>
      </w:r>
      <w:r>
        <w:rPr>
          <w:rFonts w:hint="eastAsia" w:ascii="宋体" w:hAnsi="宋体" w:cs="宋体"/>
          <w:b/>
          <w:bCs/>
          <w:sz w:val="24"/>
        </w:rPr>
        <w:t>资格证明文件目录</w:t>
      </w:r>
    </w:p>
    <w:p>
      <w:pPr>
        <w:autoSpaceDE w:val="0"/>
        <w:autoSpaceDN w:val="0"/>
        <w:snapToGrid w:val="0"/>
        <w:spacing w:line="400" w:lineRule="exact"/>
        <w:jc w:val="left"/>
        <w:textAlignment w:val="bottom"/>
        <w:rPr>
          <w:rFonts w:ascii="宋体" w:hAnsi="宋体" w:cs="宋体"/>
          <w:b/>
          <w:szCs w:val="21"/>
        </w:rPr>
      </w:pPr>
      <w:r>
        <w:rPr>
          <w:rFonts w:hint="eastAsia" w:ascii="宋体" w:hAnsi="宋体" w:cs="宋体"/>
          <w:szCs w:val="21"/>
        </w:rPr>
        <w:t>1、供应商为法人或者其他组织的，证明文件为其营业执照复印件（如营业执照或者事业单位法人证书或者执业许可证等）；供应商为自然人的，证明文件为其身份证复印件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kern w:val="0"/>
          <w:sz w:val="24"/>
        </w:rPr>
        <w:t>……………………………（页码）</w:t>
      </w:r>
    </w:p>
    <w:p>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2、投标人依法缴纳税收的相关材料</w:t>
      </w:r>
      <w:r>
        <w:rPr>
          <w:rFonts w:hint="eastAsia" w:ascii="宋体" w:hAnsi="宋体" w:cs="宋体"/>
          <w:kern w:val="0"/>
          <w:sz w:val="24"/>
        </w:rPr>
        <w:t>……………………………………………………………（页码）</w:t>
      </w:r>
    </w:p>
    <w:p>
      <w:pPr>
        <w:autoSpaceDE w:val="0"/>
        <w:autoSpaceDN w:val="0"/>
        <w:snapToGrid w:val="0"/>
        <w:spacing w:line="400" w:lineRule="exact"/>
        <w:textAlignment w:val="bottom"/>
        <w:rPr>
          <w:rFonts w:ascii="宋体" w:hAnsi="宋体" w:cs="宋体"/>
          <w:kern w:val="0"/>
          <w:sz w:val="24"/>
        </w:rPr>
      </w:pPr>
      <w:r>
        <w:rPr>
          <w:rFonts w:hint="eastAsia" w:ascii="宋体" w:hAnsi="宋体" w:cs="宋体"/>
          <w:szCs w:val="21"/>
        </w:rPr>
        <w:t>3、投标人依法缴纳社会保障资金的相关材料</w:t>
      </w:r>
      <w:r>
        <w:rPr>
          <w:rFonts w:hint="eastAsia" w:ascii="宋体" w:hAnsi="宋体" w:cs="宋体"/>
          <w:kern w:val="0"/>
          <w:sz w:val="24"/>
        </w:rPr>
        <w:t>……………………………………………………（页码）</w:t>
      </w:r>
    </w:p>
    <w:p>
      <w:pPr>
        <w:autoSpaceDE w:val="0"/>
        <w:autoSpaceDN w:val="0"/>
        <w:snapToGrid w:val="0"/>
        <w:spacing w:line="400" w:lineRule="exact"/>
        <w:textAlignment w:val="bottom"/>
        <w:rPr>
          <w:rFonts w:ascii="宋体" w:hAnsi="宋体" w:cs="宋体"/>
          <w:kern w:val="0"/>
          <w:sz w:val="24"/>
        </w:rPr>
      </w:pPr>
      <w:r>
        <w:rPr>
          <w:rFonts w:hint="eastAsia" w:ascii="宋体" w:hAnsi="宋体" w:cs="宋体"/>
          <w:szCs w:val="21"/>
        </w:rPr>
        <w:t>4、投标人财务状况报告</w:t>
      </w:r>
      <w:r>
        <w:rPr>
          <w:rFonts w:hint="eastAsia" w:ascii="宋体" w:hAnsi="宋体" w:cs="宋体"/>
          <w:kern w:val="0"/>
          <w:sz w:val="24"/>
        </w:rPr>
        <w:t>…………………………………………………………………………（页码）</w:t>
      </w:r>
    </w:p>
    <w:p>
      <w:pPr>
        <w:autoSpaceDE w:val="0"/>
        <w:autoSpaceDN w:val="0"/>
        <w:snapToGrid w:val="0"/>
        <w:spacing w:line="400" w:lineRule="exact"/>
        <w:textAlignment w:val="bottom"/>
        <w:rPr>
          <w:rFonts w:ascii="宋体" w:hAnsi="宋体" w:cs="宋体"/>
          <w:kern w:val="0"/>
          <w:sz w:val="24"/>
        </w:rPr>
      </w:pPr>
      <w:r>
        <w:rPr>
          <w:rFonts w:hint="eastAsia" w:ascii="宋体" w:hAnsi="宋体" w:cs="宋体"/>
          <w:szCs w:val="21"/>
        </w:rPr>
        <w:t>5、投标人直接控股、管理关系信息表</w:t>
      </w:r>
      <w:r>
        <w:rPr>
          <w:rFonts w:hint="eastAsia" w:ascii="宋体" w:hAnsi="宋体" w:cs="宋体"/>
          <w:kern w:val="0"/>
          <w:sz w:val="24"/>
        </w:rPr>
        <w:t>……………………………………………………………（页码）</w:t>
      </w:r>
    </w:p>
    <w:p>
      <w:pPr>
        <w:autoSpaceDE w:val="0"/>
        <w:autoSpaceDN w:val="0"/>
        <w:snapToGrid w:val="0"/>
        <w:spacing w:line="400" w:lineRule="exact"/>
        <w:textAlignment w:val="bottom"/>
        <w:rPr>
          <w:rFonts w:ascii="宋体" w:hAnsi="宋体" w:cs="宋体"/>
          <w:b/>
          <w:szCs w:val="21"/>
        </w:rPr>
      </w:pPr>
      <w:r>
        <w:rPr>
          <w:rFonts w:hint="eastAsia" w:ascii="宋体" w:hAnsi="宋体" w:cs="宋体"/>
          <w:szCs w:val="21"/>
        </w:rPr>
        <w:t>6、投标声明</w:t>
      </w:r>
      <w:r>
        <w:rPr>
          <w:rFonts w:hint="eastAsia" w:ascii="宋体" w:hAnsi="宋体" w:cs="宋体"/>
          <w:kern w:val="0"/>
          <w:sz w:val="24"/>
        </w:rPr>
        <w:t>……………………………………………………………………………………（页码）</w:t>
      </w:r>
    </w:p>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7、本项目的特定资格要求的有关证明材料</w:t>
      </w:r>
      <w:r>
        <w:rPr>
          <w:rFonts w:hint="eastAsia" w:ascii="宋体" w:hAnsi="宋体" w:cs="宋体"/>
          <w:kern w:val="0"/>
          <w:sz w:val="24"/>
        </w:rPr>
        <w:t>………………………………………………………（页码）</w:t>
      </w:r>
    </w:p>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8、除招标文件规定必须提供以外，投标人认为需要提供的其他证明材料</w:t>
      </w:r>
      <w:r>
        <w:rPr>
          <w:rFonts w:hint="eastAsia" w:ascii="宋体" w:hAnsi="宋体" w:cs="宋体"/>
          <w:kern w:val="0"/>
          <w:sz w:val="24"/>
        </w:rPr>
        <w:t>…………………………（页码）</w:t>
      </w:r>
    </w:p>
    <w:p>
      <w:pPr>
        <w:snapToGrid w:val="0"/>
        <w:spacing w:line="360" w:lineRule="auto"/>
        <w:ind w:firstLine="420" w:firstLineChars="200"/>
        <w:jc w:val="left"/>
        <w:rPr>
          <w:rFonts w:ascii="宋体" w:hAnsi="宋体" w:cs="宋体"/>
          <w:szCs w:val="21"/>
        </w:rPr>
      </w:pPr>
    </w:p>
    <w:p>
      <w:pPr>
        <w:snapToGrid w:val="0"/>
        <w:spacing w:before="50" w:after="120" w:afterLines="50"/>
        <w:jc w:val="left"/>
        <w:rPr>
          <w:rFonts w:ascii="宋体" w:hAnsi="宋体" w:cs="宋体"/>
          <w:sz w:val="24"/>
        </w:rPr>
      </w:pPr>
    </w:p>
    <w:p>
      <w:pPr>
        <w:snapToGrid w:val="0"/>
        <w:spacing w:before="50" w:after="120" w:afterLines="50"/>
        <w:jc w:val="left"/>
        <w:rPr>
          <w:rFonts w:ascii="宋体" w:hAnsi="宋体" w:cs="宋体"/>
          <w:sz w:val="24"/>
        </w:rPr>
      </w:pPr>
    </w:p>
    <w:p>
      <w:pPr>
        <w:numPr>
          <w:ilvl w:val="2"/>
          <w:numId w:val="7"/>
        </w:numPr>
        <w:snapToGrid w:val="0"/>
        <w:spacing w:before="120" w:beforeLines="50" w:after="50"/>
        <w:ind w:left="0" w:firstLine="0"/>
        <w:jc w:val="left"/>
        <w:rPr>
          <w:rFonts w:ascii="宋体" w:hAnsi="宋体" w:cs="宋体"/>
          <w:b/>
          <w:sz w:val="24"/>
        </w:rPr>
      </w:pPr>
      <w:r>
        <w:rPr>
          <w:rFonts w:hint="eastAsia" w:ascii="宋体" w:hAnsi="宋体" w:cs="宋体"/>
          <w:b/>
          <w:sz w:val="24"/>
        </w:rPr>
        <w:br w:type="page"/>
      </w:r>
      <w:r>
        <w:rPr>
          <w:rFonts w:hint="eastAsia" w:ascii="宋体" w:hAnsi="宋体" w:cs="宋体"/>
          <w:b/>
          <w:sz w:val="28"/>
          <w:szCs w:val="28"/>
        </w:rPr>
        <w:t>投标人直接控股、管理关系信息表</w:t>
      </w:r>
    </w:p>
    <w:p>
      <w:pPr>
        <w:snapToGrid w:val="0"/>
        <w:spacing w:before="50" w:after="120" w:afterLines="50"/>
        <w:jc w:val="center"/>
        <w:rPr>
          <w:rFonts w:ascii="宋体" w:hAnsi="宋体" w:cs="宋体"/>
          <w:b/>
          <w:sz w:val="28"/>
          <w:szCs w:val="28"/>
        </w:rPr>
      </w:pPr>
    </w:p>
    <w:p>
      <w:pPr>
        <w:snapToGrid w:val="0"/>
        <w:spacing w:before="50" w:after="120" w:afterLines="50" w:line="360" w:lineRule="auto"/>
        <w:jc w:val="center"/>
        <w:rPr>
          <w:rFonts w:ascii="宋体" w:hAnsi="宋体" w:cs="宋体"/>
          <w:b/>
          <w:sz w:val="32"/>
          <w:szCs w:val="32"/>
        </w:rPr>
      </w:pPr>
      <w:r>
        <w:rPr>
          <w:rFonts w:hint="eastAsia" w:ascii="宋体" w:hAnsi="宋体" w:cs="宋体"/>
          <w:b/>
          <w:sz w:val="32"/>
          <w:szCs w:val="32"/>
        </w:rPr>
        <w:t>投标人直接控股股东信息表</w:t>
      </w:r>
    </w:p>
    <w:tbl>
      <w:tblPr>
        <w:tblStyle w:val="4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jc w:val="left"/>
        <w:rPr>
          <w:rFonts w:ascii="宋体" w:hAnsi="宋体" w:cs="宋体"/>
          <w:sz w:val="24"/>
        </w:rPr>
      </w:pPr>
      <w:r>
        <w:rPr>
          <w:rFonts w:hint="eastAsia" w:ascii="宋体" w:hAnsi="宋体" w:cs="宋体"/>
          <w:sz w:val="24"/>
        </w:rPr>
        <w:t>注：</w:t>
      </w:r>
    </w:p>
    <w:p>
      <w:pPr>
        <w:snapToGrid w:val="0"/>
        <w:spacing w:line="360" w:lineRule="auto"/>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s="宋体"/>
          <w:sz w:val="24"/>
        </w:rPr>
      </w:pPr>
      <w:r>
        <w:rPr>
          <w:rFonts w:hint="eastAsia" w:ascii="宋体" w:hAnsi="宋体" w:cs="宋体"/>
          <w:sz w:val="24"/>
        </w:rPr>
        <w:t>3.供应商不存在直接控股股东的，则填“无”。</w:t>
      </w: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before="120" w:beforeLines="50" w:line="360" w:lineRule="auto"/>
        <w:ind w:right="480" w:firstLine="2160" w:firstLineChars="900"/>
        <w:rPr>
          <w:rFonts w:ascii="宋体" w:hAnsi="宋体" w:cs="宋体"/>
          <w:sz w:val="24"/>
          <w:u w:val="single"/>
        </w:rPr>
      </w:pPr>
      <w:r>
        <w:rPr>
          <w:rFonts w:hint="eastAsia" w:ascii="宋体" w:hAnsi="宋体" w:cs="宋体"/>
          <w:sz w:val="24"/>
        </w:rPr>
        <w:t>法定代表人或者委托代理人（签字或电子签名）：</w:t>
      </w:r>
      <w:r>
        <w:rPr>
          <w:rFonts w:hint="eastAsia" w:ascii="宋体" w:hAnsi="宋体" w:cs="宋体"/>
          <w:sz w:val="24"/>
          <w:u w:val="single"/>
        </w:rPr>
        <w:t xml:space="preserve">             </w:t>
      </w:r>
    </w:p>
    <w:p>
      <w:pPr>
        <w:snapToGrid w:val="0"/>
        <w:spacing w:before="120" w:beforeLines="50" w:after="50" w:line="360" w:lineRule="auto"/>
        <w:ind w:right="480" w:firstLine="5520" w:firstLineChars="2300"/>
        <w:rPr>
          <w:rFonts w:ascii="宋体" w:hAnsi="宋体" w:cs="宋体"/>
          <w:sz w:val="24"/>
          <w:u w:val="single"/>
        </w:rPr>
      </w:pPr>
      <w:r>
        <w:rPr>
          <w:rFonts w:hint="eastAsia" w:ascii="宋体" w:hAnsi="宋体" w:cs="宋体"/>
          <w:sz w:val="24"/>
        </w:rPr>
        <w:t>投标人（电子签章）：</w:t>
      </w:r>
      <w:r>
        <w:rPr>
          <w:rFonts w:hint="eastAsia" w:ascii="宋体" w:hAnsi="宋体" w:cs="宋体"/>
          <w:sz w:val="24"/>
          <w:u w:val="single"/>
        </w:rPr>
        <w:t xml:space="preserve">                 </w:t>
      </w:r>
    </w:p>
    <w:p>
      <w:pPr>
        <w:snapToGrid w:val="0"/>
        <w:spacing w:before="120" w:beforeLines="50" w:after="50" w:line="360" w:lineRule="auto"/>
        <w:ind w:right="480" w:firstLine="5520" w:firstLineChars="2300"/>
        <w:rPr>
          <w:rFonts w:ascii="宋体" w:hAnsi="宋体" w:cs="宋体"/>
          <w:szCs w:val="21"/>
        </w:rPr>
      </w:pPr>
      <w:r>
        <w:rPr>
          <w:rFonts w:hint="eastAsia" w:ascii="宋体" w:hAnsi="宋体" w:cs="宋体"/>
          <w:sz w:val="24"/>
        </w:rPr>
        <w:t>年    月    日</w:t>
      </w:r>
    </w:p>
    <w:p>
      <w:pPr>
        <w:snapToGrid w:val="0"/>
        <w:jc w:val="center"/>
        <w:rPr>
          <w:rFonts w:ascii="宋体" w:hAnsi="宋体" w:cs="宋体"/>
          <w:b/>
          <w:sz w:val="28"/>
          <w:szCs w:val="28"/>
        </w:rPr>
      </w:pPr>
    </w:p>
    <w:p>
      <w:pPr>
        <w:snapToGrid w:val="0"/>
        <w:spacing w:line="360" w:lineRule="auto"/>
        <w:jc w:val="center"/>
        <w:rPr>
          <w:rFonts w:ascii="宋体" w:hAnsi="宋体" w:cs="宋体"/>
          <w:sz w:val="32"/>
          <w:szCs w:val="32"/>
        </w:rPr>
      </w:pPr>
      <w:r>
        <w:rPr>
          <w:rFonts w:hint="eastAsia" w:ascii="宋体" w:hAnsi="宋体" w:cs="宋体"/>
          <w:b/>
          <w:sz w:val="32"/>
          <w:szCs w:val="32"/>
        </w:rPr>
        <w:br w:type="page"/>
      </w:r>
      <w:r>
        <w:rPr>
          <w:rFonts w:hint="eastAsia" w:ascii="宋体" w:hAnsi="宋体" w:cs="宋体"/>
          <w:b/>
          <w:sz w:val="32"/>
          <w:szCs w:val="32"/>
        </w:rPr>
        <w:t>投标人直接管理关系信息表</w:t>
      </w:r>
    </w:p>
    <w:tbl>
      <w:tblPr>
        <w:tblStyle w:val="47"/>
        <w:tblW w:w="0" w:type="auto"/>
        <w:tblInd w:w="0" w:type="dxa"/>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jc w:val="left"/>
        <w:rPr>
          <w:rFonts w:ascii="宋体" w:hAnsi="宋体" w:cs="宋体"/>
          <w:sz w:val="24"/>
        </w:rPr>
      </w:pPr>
      <w:r>
        <w:rPr>
          <w:rFonts w:hint="eastAsia" w:ascii="宋体" w:hAnsi="宋体" w:cs="宋体"/>
          <w:sz w:val="24"/>
        </w:rPr>
        <w:t>注：</w:t>
      </w:r>
    </w:p>
    <w:p>
      <w:pPr>
        <w:snapToGrid w:val="0"/>
        <w:spacing w:line="360"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3.供应商不存在直接管理关系的，则填“无”。</w:t>
      </w: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before="120" w:beforeLines="50" w:line="360" w:lineRule="auto"/>
        <w:ind w:right="480" w:firstLine="2160" w:firstLineChars="900"/>
        <w:rPr>
          <w:rFonts w:ascii="宋体" w:hAnsi="宋体" w:cs="宋体"/>
          <w:sz w:val="24"/>
          <w:u w:val="single"/>
        </w:rPr>
      </w:pPr>
      <w:r>
        <w:rPr>
          <w:rFonts w:hint="eastAsia" w:ascii="宋体" w:hAnsi="宋体" w:cs="宋体"/>
          <w:sz w:val="24"/>
        </w:rPr>
        <w:t>法定代表人或者委托代理人（签字或电子签名）：</w:t>
      </w:r>
      <w:r>
        <w:rPr>
          <w:rFonts w:hint="eastAsia" w:ascii="宋体" w:hAnsi="宋体" w:cs="宋体"/>
          <w:sz w:val="24"/>
          <w:u w:val="single"/>
        </w:rPr>
        <w:t xml:space="preserve">             </w:t>
      </w:r>
    </w:p>
    <w:p>
      <w:pPr>
        <w:snapToGrid w:val="0"/>
        <w:spacing w:before="120" w:beforeLines="50" w:after="50" w:line="360" w:lineRule="auto"/>
        <w:ind w:right="480" w:firstLine="5520" w:firstLineChars="2300"/>
        <w:rPr>
          <w:rFonts w:ascii="宋体" w:hAnsi="宋体" w:cs="宋体"/>
          <w:sz w:val="24"/>
        </w:rPr>
      </w:pPr>
      <w:r>
        <w:rPr>
          <w:rFonts w:hint="eastAsia" w:ascii="宋体" w:hAnsi="宋体" w:cs="宋体"/>
          <w:sz w:val="24"/>
        </w:rPr>
        <w:t>投标人（电子签章）：</w:t>
      </w:r>
      <w:r>
        <w:rPr>
          <w:rFonts w:hint="eastAsia" w:ascii="宋体" w:hAnsi="宋体" w:cs="宋体"/>
          <w:sz w:val="24"/>
          <w:u w:val="single"/>
        </w:rPr>
        <w:t xml:space="preserve">                 </w:t>
      </w:r>
    </w:p>
    <w:p>
      <w:pPr>
        <w:snapToGrid w:val="0"/>
        <w:spacing w:before="120" w:beforeLines="50" w:after="50" w:line="360" w:lineRule="auto"/>
        <w:ind w:right="480" w:firstLine="240" w:firstLineChars="100"/>
        <w:jc w:val="right"/>
        <w:rPr>
          <w:rFonts w:ascii="宋体" w:hAnsi="宋体" w:cs="宋体"/>
          <w:sz w:val="24"/>
        </w:rPr>
      </w:pPr>
      <w:r>
        <w:rPr>
          <w:rFonts w:hint="eastAsia" w:ascii="宋体" w:hAnsi="宋体" w:cs="宋体"/>
          <w:sz w:val="24"/>
        </w:rPr>
        <w:t xml:space="preserve"> 年    月    日</w:t>
      </w:r>
    </w:p>
    <w:p>
      <w:pPr>
        <w:snapToGrid w:val="0"/>
        <w:spacing w:before="50" w:after="120" w:afterLines="50"/>
        <w:jc w:val="left"/>
        <w:rPr>
          <w:rFonts w:ascii="宋体" w:hAnsi="宋体" w:cs="宋体"/>
          <w:szCs w:val="21"/>
        </w:rPr>
      </w:pPr>
    </w:p>
    <w:p>
      <w:pPr>
        <w:snapToGrid w:val="0"/>
        <w:spacing w:before="120" w:beforeLines="50" w:after="50"/>
        <w:jc w:val="left"/>
        <w:rPr>
          <w:rFonts w:ascii="宋体" w:hAnsi="宋体" w:cs="宋体"/>
          <w:b/>
          <w:sz w:val="24"/>
          <w:szCs w:val="20"/>
        </w:rPr>
      </w:pPr>
    </w:p>
    <w:p>
      <w:pPr>
        <w:numPr>
          <w:ilvl w:val="2"/>
          <w:numId w:val="7"/>
        </w:numPr>
        <w:snapToGrid w:val="0"/>
        <w:spacing w:before="120" w:beforeLines="50" w:after="50"/>
        <w:ind w:left="0" w:firstLine="0"/>
        <w:jc w:val="left"/>
        <w:rPr>
          <w:rFonts w:ascii="宋体" w:hAnsi="宋体" w:cs="宋体"/>
          <w:b/>
          <w:sz w:val="24"/>
          <w:szCs w:val="20"/>
        </w:rPr>
      </w:pPr>
      <w:r>
        <w:rPr>
          <w:rFonts w:hint="eastAsia" w:ascii="宋体" w:hAnsi="宋体" w:cs="宋体"/>
          <w:b/>
          <w:sz w:val="24"/>
        </w:rPr>
        <w:br w:type="page"/>
      </w:r>
      <w:r>
        <w:rPr>
          <w:rFonts w:hint="eastAsia" w:ascii="宋体" w:hAnsi="宋体" w:cs="宋体"/>
          <w:b/>
          <w:sz w:val="24"/>
        </w:rPr>
        <w:t>投标声明格式</w:t>
      </w:r>
    </w:p>
    <w:p>
      <w:pPr>
        <w:snapToGrid w:val="0"/>
        <w:spacing w:before="50" w:after="120" w:afterLines="50"/>
        <w:jc w:val="left"/>
        <w:rPr>
          <w:rFonts w:ascii="宋体" w:hAnsi="宋体" w:cs="宋体"/>
        </w:rPr>
      </w:pPr>
    </w:p>
    <w:p>
      <w:pPr>
        <w:snapToGrid w:val="0"/>
        <w:spacing w:before="50" w:after="120" w:afterLines="50"/>
        <w:jc w:val="center"/>
        <w:rPr>
          <w:rFonts w:ascii="宋体" w:hAnsi="宋体" w:cs="宋体"/>
          <w:bCs/>
          <w:sz w:val="44"/>
          <w:szCs w:val="44"/>
        </w:rPr>
      </w:pPr>
      <w:r>
        <w:rPr>
          <w:rFonts w:hint="eastAsia" w:ascii="宋体" w:hAnsi="宋体" w:cs="宋体"/>
          <w:bCs/>
          <w:sz w:val="44"/>
          <w:szCs w:val="44"/>
        </w:rPr>
        <w:t>投标声明</w:t>
      </w:r>
    </w:p>
    <w:p>
      <w:pPr>
        <w:snapToGrid w:val="0"/>
        <w:spacing w:before="50" w:after="120" w:afterLines="50"/>
        <w:jc w:val="center"/>
        <w:rPr>
          <w:rFonts w:ascii="宋体" w:hAnsi="宋体" w:cs="宋体"/>
          <w:bCs/>
          <w:sz w:val="44"/>
          <w:szCs w:val="44"/>
        </w:rPr>
      </w:pPr>
    </w:p>
    <w:p>
      <w:pPr>
        <w:spacing w:line="400" w:lineRule="exact"/>
        <w:contextualSpacing/>
        <w:jc w:val="left"/>
        <w:rPr>
          <w:rFonts w:ascii="宋体" w:hAnsi="宋体" w:cs="宋体"/>
          <w:sz w:val="24"/>
        </w:rPr>
      </w:pPr>
      <w:r>
        <w:rPr>
          <w:rFonts w:hint="eastAsia" w:ascii="宋体" w:hAnsi="宋体" w:cs="宋体"/>
          <w:sz w:val="24"/>
        </w:rPr>
        <w:t>（采购人名称）：</w:t>
      </w:r>
    </w:p>
    <w:p>
      <w:pPr>
        <w:spacing w:line="400" w:lineRule="exact"/>
        <w:ind w:firstLine="523" w:firstLineChars="218"/>
        <w:contextualSpacing/>
        <w:jc w:val="left"/>
        <w:rPr>
          <w:rFonts w:ascii="宋体" w:hAnsi="宋体" w:cs="宋体"/>
          <w:sz w:val="24"/>
        </w:rPr>
      </w:pPr>
      <w:r>
        <w:rPr>
          <w:rFonts w:hint="eastAsia" w:ascii="宋体" w:hAnsi="宋体" w:cs="宋体"/>
          <w:sz w:val="24"/>
        </w:rPr>
        <w:t>我方参加贵单位组织</w:t>
      </w:r>
      <w:r>
        <w:rPr>
          <w:rFonts w:hint="eastAsia" w:ascii="宋体" w:hAnsi="宋体" w:cs="宋体"/>
          <w:sz w:val="24"/>
          <w:u w:val="single"/>
        </w:rPr>
        <w:t xml:space="preserve">             </w:t>
      </w:r>
      <w:r>
        <w:rPr>
          <w:rFonts w:hint="eastAsia" w:ascii="宋体" w:hAnsi="宋体" w:cs="宋体"/>
          <w:sz w:val="24"/>
        </w:rPr>
        <w:t>项目（项目编号：</w:t>
      </w:r>
      <w:r>
        <w:rPr>
          <w:rFonts w:hint="eastAsia" w:ascii="宋体" w:hAnsi="宋体" w:cs="宋体"/>
          <w:sz w:val="24"/>
          <w:u w:val="single"/>
        </w:rPr>
        <w:t xml:space="preserve">       </w:t>
      </w:r>
      <w:r>
        <w:rPr>
          <w:rFonts w:hint="eastAsia" w:ascii="宋体" w:hAnsi="宋体" w:cs="宋体"/>
          <w:sz w:val="24"/>
        </w:rPr>
        <w:t>）的政府采购活动。我方在此郑重声明：</w:t>
      </w:r>
    </w:p>
    <w:p>
      <w:pPr>
        <w:spacing w:line="400" w:lineRule="exact"/>
        <w:ind w:firstLine="480" w:firstLineChars="200"/>
        <w:contextualSpacing/>
        <w:jc w:val="left"/>
        <w:rPr>
          <w:rFonts w:ascii="宋体" w:hAnsi="宋体" w:cs="宋体"/>
          <w:sz w:val="24"/>
        </w:rPr>
      </w:pPr>
      <w:r>
        <w:rPr>
          <w:rFonts w:hint="eastAsia" w:ascii="宋体" w:hAnsi="宋体" w:cs="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ascii="宋体" w:hAnsi="宋体" w:cs="宋体"/>
          <w:sz w:val="24"/>
        </w:rPr>
      </w:pPr>
      <w:r>
        <w:rPr>
          <w:rFonts w:hint="eastAsia" w:ascii="宋体" w:hAnsi="宋体" w:cs="宋体"/>
          <w:sz w:val="24"/>
        </w:rPr>
        <w:t>2.我方不是为本次采购项目提供整体设计、规范编制或者项目管理、监理、检测等服务的供应商。</w:t>
      </w:r>
    </w:p>
    <w:p>
      <w:pPr>
        <w:spacing w:line="400" w:lineRule="exact"/>
        <w:ind w:firstLine="480" w:firstLineChars="200"/>
        <w:contextualSpacing/>
        <w:jc w:val="left"/>
        <w:rPr>
          <w:rFonts w:ascii="宋体" w:hAnsi="宋体" w:cs="宋体"/>
          <w:sz w:val="24"/>
        </w:rPr>
      </w:pPr>
      <w:r>
        <w:rPr>
          <w:rFonts w:hint="eastAsia" w:ascii="宋体" w:hAnsi="宋体" w:cs="宋体"/>
          <w:sz w:val="24"/>
        </w:rPr>
        <w:t>3. 我方承诺符合《中华人民共和国政府采购法》第二十二条规定：</w:t>
      </w:r>
    </w:p>
    <w:p>
      <w:pPr>
        <w:spacing w:line="400" w:lineRule="exact"/>
        <w:ind w:firstLine="480" w:firstLineChars="200"/>
        <w:contextualSpacing/>
        <w:jc w:val="left"/>
        <w:rPr>
          <w:rFonts w:ascii="宋体" w:hAnsi="宋体" w:cs="宋体"/>
          <w:sz w:val="24"/>
        </w:rPr>
      </w:pPr>
      <w:r>
        <w:rPr>
          <w:rFonts w:hint="eastAsia" w:ascii="宋体" w:hAnsi="宋体" w:cs="宋体"/>
          <w:sz w:val="24"/>
        </w:rPr>
        <w:t>（一）具有独立承担民事责任的能力；</w:t>
      </w:r>
    </w:p>
    <w:p>
      <w:pPr>
        <w:spacing w:line="400" w:lineRule="exact"/>
        <w:ind w:firstLine="480" w:firstLineChars="200"/>
        <w:contextualSpacing/>
        <w:jc w:val="left"/>
        <w:rPr>
          <w:rFonts w:ascii="宋体" w:hAnsi="宋体" w:cs="宋体"/>
          <w:sz w:val="24"/>
        </w:rPr>
      </w:pPr>
      <w:r>
        <w:rPr>
          <w:rFonts w:hint="eastAsia" w:ascii="宋体" w:hAnsi="宋体" w:cs="宋体"/>
          <w:sz w:val="24"/>
        </w:rPr>
        <w:t>（二）具有良好的商业信誉和健全的财务会计制度；</w:t>
      </w:r>
    </w:p>
    <w:p>
      <w:pPr>
        <w:spacing w:line="400" w:lineRule="exact"/>
        <w:ind w:firstLine="480" w:firstLineChars="200"/>
        <w:contextualSpacing/>
        <w:jc w:val="left"/>
        <w:rPr>
          <w:rFonts w:ascii="宋体" w:hAnsi="宋体" w:cs="宋体"/>
          <w:sz w:val="24"/>
        </w:rPr>
      </w:pPr>
      <w:r>
        <w:rPr>
          <w:rFonts w:hint="eastAsia" w:ascii="宋体" w:hAnsi="宋体" w:cs="宋体"/>
          <w:sz w:val="24"/>
        </w:rPr>
        <w:t>（三）具有履行合同所必需的设备和专业技术能力；</w:t>
      </w:r>
    </w:p>
    <w:p>
      <w:pPr>
        <w:spacing w:line="400" w:lineRule="exact"/>
        <w:ind w:firstLine="480" w:firstLineChars="200"/>
        <w:contextualSpacing/>
        <w:jc w:val="left"/>
        <w:rPr>
          <w:rFonts w:ascii="宋体" w:hAnsi="宋体" w:cs="宋体"/>
          <w:sz w:val="24"/>
        </w:rPr>
      </w:pPr>
      <w:r>
        <w:rPr>
          <w:rFonts w:hint="eastAsia" w:ascii="宋体" w:hAnsi="宋体" w:cs="宋体"/>
          <w:sz w:val="24"/>
        </w:rPr>
        <w:t>（四）有依法缴纳税收和社会保障资金的良好记录；</w:t>
      </w:r>
    </w:p>
    <w:p>
      <w:pPr>
        <w:spacing w:line="400" w:lineRule="exact"/>
        <w:ind w:firstLine="480" w:firstLineChars="200"/>
        <w:contextualSpacing/>
        <w:jc w:val="left"/>
        <w:rPr>
          <w:rFonts w:ascii="宋体" w:hAnsi="宋体" w:cs="宋体"/>
          <w:sz w:val="24"/>
        </w:rPr>
      </w:pPr>
      <w:r>
        <w:rPr>
          <w:rFonts w:hint="eastAsia" w:ascii="宋体" w:hAnsi="宋体" w:cs="宋体"/>
          <w:sz w:val="24"/>
        </w:rPr>
        <w:t>（五）参加政府采购活动前三年内，在经营活动中没有重大违法记录；</w:t>
      </w:r>
    </w:p>
    <w:p>
      <w:pPr>
        <w:spacing w:line="400" w:lineRule="exact"/>
        <w:ind w:firstLine="480" w:firstLineChars="200"/>
        <w:contextualSpacing/>
        <w:jc w:val="left"/>
        <w:rPr>
          <w:rFonts w:ascii="宋体" w:hAnsi="宋体" w:cs="宋体"/>
          <w:sz w:val="24"/>
        </w:rPr>
      </w:pPr>
      <w:r>
        <w:rPr>
          <w:rFonts w:hint="eastAsia" w:ascii="宋体" w:hAnsi="宋体" w:cs="宋体"/>
          <w:sz w:val="24"/>
        </w:rPr>
        <w:t>（六）法律、行政法规规定的其他条件。</w:t>
      </w:r>
    </w:p>
    <w:p>
      <w:pPr>
        <w:spacing w:line="400" w:lineRule="exact"/>
        <w:ind w:firstLine="480" w:firstLineChars="200"/>
        <w:contextualSpacing/>
        <w:jc w:val="left"/>
        <w:rPr>
          <w:rFonts w:ascii="宋体" w:hAnsi="宋体" w:cs="宋体"/>
          <w:sz w:val="24"/>
        </w:rPr>
      </w:pPr>
      <w:r>
        <w:rPr>
          <w:rFonts w:hint="eastAsia" w:ascii="宋体" w:hAnsi="宋体" w:cs="宋体"/>
          <w:sz w:val="24"/>
        </w:rPr>
        <w:t>4.以上事项如有虚假或者隐瞒，我方愿意承担一切后果，并不再寻求任何旨在减轻或者免除法律责任的辩解。</w:t>
      </w:r>
    </w:p>
    <w:p>
      <w:pPr>
        <w:spacing w:line="400" w:lineRule="exact"/>
        <w:contextualSpacing/>
        <w:jc w:val="left"/>
        <w:rPr>
          <w:rFonts w:ascii="宋体" w:hAnsi="宋体" w:cs="宋体"/>
          <w:sz w:val="24"/>
        </w:rPr>
      </w:pPr>
      <w:r>
        <w:rPr>
          <w:rFonts w:hint="eastAsia" w:ascii="宋体" w:hAnsi="宋体" w:cs="宋体"/>
          <w:sz w:val="24"/>
        </w:rPr>
        <w:t xml:space="preserve">    特此承诺。</w:t>
      </w:r>
    </w:p>
    <w:p>
      <w:pPr>
        <w:spacing w:line="400" w:lineRule="exact"/>
        <w:contextualSpacing/>
        <w:jc w:val="left"/>
        <w:rPr>
          <w:rFonts w:ascii="宋体" w:hAnsi="宋体" w:cs="宋体"/>
          <w:b/>
          <w:sz w:val="24"/>
        </w:rPr>
      </w:pPr>
      <w:r>
        <w:rPr>
          <w:rFonts w:hint="eastAsia" w:ascii="宋体" w:hAnsi="宋体" w:cs="宋体"/>
          <w:b/>
          <w:sz w:val="24"/>
        </w:rPr>
        <w:t xml:space="preserve">    注：如为联合体投标，盖章处须加盖联合体各方公章并由联合体各方法定代表人分别签字，否则投标无效。</w:t>
      </w:r>
    </w:p>
    <w:p>
      <w:pPr>
        <w:spacing w:line="400" w:lineRule="exact"/>
        <w:contextualSpacing/>
        <w:jc w:val="left"/>
        <w:rPr>
          <w:rFonts w:ascii="宋体" w:hAnsi="宋体" w:cs="宋体"/>
          <w:sz w:val="24"/>
        </w:rPr>
      </w:pPr>
      <w:r>
        <w:rPr>
          <w:rFonts w:hint="eastAsia" w:ascii="宋体" w:hAnsi="宋体" w:cs="宋体"/>
          <w:sz w:val="24"/>
        </w:rPr>
        <w:t xml:space="preserve">                                          法定代表人（签字或电子签名）：</w:t>
      </w:r>
      <w:r>
        <w:rPr>
          <w:rFonts w:hint="eastAsia" w:ascii="宋体" w:hAnsi="宋体" w:cs="宋体"/>
          <w:sz w:val="24"/>
          <w:u w:val="single"/>
        </w:rPr>
        <w:t xml:space="preserve">             </w:t>
      </w:r>
    </w:p>
    <w:p>
      <w:pPr>
        <w:spacing w:line="400" w:lineRule="exact"/>
        <w:contextualSpacing/>
        <w:jc w:val="left"/>
        <w:rPr>
          <w:rFonts w:ascii="宋体" w:hAnsi="宋体" w:cs="宋体"/>
          <w:sz w:val="24"/>
        </w:rPr>
      </w:pPr>
      <w:r>
        <w:rPr>
          <w:rFonts w:hint="eastAsia" w:ascii="宋体" w:hAnsi="宋体" w:cs="宋体"/>
          <w:sz w:val="24"/>
        </w:rPr>
        <w:t xml:space="preserve">                                          投标人（电子签章）：</w:t>
      </w:r>
      <w:r>
        <w:rPr>
          <w:rFonts w:hint="eastAsia" w:ascii="宋体" w:hAnsi="宋体" w:cs="宋体"/>
          <w:sz w:val="24"/>
          <w:u w:val="single"/>
        </w:rPr>
        <w:t xml:space="preserve">                 </w:t>
      </w:r>
    </w:p>
    <w:p>
      <w:pPr>
        <w:spacing w:line="400" w:lineRule="exact"/>
        <w:contextualSpacing/>
        <w:jc w:val="left"/>
        <w:rPr>
          <w:rFonts w:ascii="宋体" w:hAnsi="宋体" w:cs="宋体"/>
        </w:rPr>
      </w:pPr>
      <w:r>
        <w:rPr>
          <w:rFonts w:hint="eastAsia" w:ascii="宋体" w:hAnsi="宋体" w:cs="宋体"/>
          <w:sz w:val="24"/>
        </w:rPr>
        <w:t xml:space="preserve">                                                  年    月    日</w:t>
      </w:r>
    </w:p>
    <w:p>
      <w:pPr>
        <w:rPr>
          <w:rFonts w:ascii="宋体" w:hAnsi="宋体" w:cs="宋体"/>
          <w:b/>
          <w:sz w:val="28"/>
          <w:szCs w:val="28"/>
        </w:rPr>
      </w:pPr>
      <w:bookmarkStart w:id="162" w:name="_Toc19686838"/>
      <w:r>
        <w:rPr>
          <w:rFonts w:ascii="宋体" w:hAnsi="宋体" w:cs="宋体"/>
          <w:b/>
          <w:sz w:val="28"/>
          <w:szCs w:val="28"/>
        </w:rPr>
        <w:br w:type="page"/>
      </w:r>
      <w:r>
        <w:rPr>
          <w:rFonts w:hint="eastAsia" w:ascii="宋体" w:hAnsi="宋体" w:cs="宋体"/>
          <w:b/>
          <w:sz w:val="28"/>
          <w:szCs w:val="28"/>
        </w:rPr>
        <w:t>三、商务文件格式</w:t>
      </w:r>
      <w:bookmarkEnd w:id="162"/>
    </w:p>
    <w:p>
      <w:pPr>
        <w:snapToGrid w:val="0"/>
        <w:spacing w:before="120" w:beforeLines="50" w:after="50" w:line="360" w:lineRule="auto"/>
        <w:jc w:val="left"/>
        <w:rPr>
          <w:rFonts w:ascii="宋体" w:hAnsi="宋体" w:cs="宋体"/>
          <w:b/>
          <w:sz w:val="24"/>
        </w:rPr>
      </w:pPr>
      <w:r>
        <w:rPr>
          <w:rFonts w:hint="eastAsia" w:ascii="宋体" w:hAnsi="宋体" w:cs="宋体"/>
          <w:b/>
          <w:sz w:val="24"/>
        </w:rPr>
        <w:t xml:space="preserve">1.商务文件封面格式： </w:t>
      </w:r>
    </w:p>
    <w:p>
      <w:pPr>
        <w:snapToGrid w:val="0"/>
        <w:spacing w:before="120" w:beforeLines="50" w:after="50"/>
        <w:rPr>
          <w:rFonts w:ascii="宋体" w:hAnsi="宋体" w:cs="宋体"/>
          <w:bCs/>
          <w:sz w:val="32"/>
          <w:szCs w:val="20"/>
        </w:rPr>
      </w:pPr>
      <w:r>
        <w:rPr>
          <w:rFonts w:hint="eastAsia" w:ascii="宋体" w:hAnsi="宋体" w:cs="宋体"/>
          <w:sz w:val="24"/>
        </w:rPr>
        <w:t xml:space="preserve">                                                 </w:t>
      </w:r>
    </w:p>
    <w:p>
      <w:pPr>
        <w:snapToGrid w:val="0"/>
        <w:spacing w:before="120" w:beforeLines="50" w:after="50"/>
        <w:rPr>
          <w:rFonts w:ascii="宋体" w:hAnsi="宋体" w:cs="宋体"/>
          <w:sz w:val="24"/>
          <w:szCs w:val="20"/>
        </w:rPr>
      </w:pPr>
    </w:p>
    <w:p>
      <w:pPr>
        <w:snapToGrid w:val="0"/>
        <w:spacing w:before="120" w:beforeLines="50" w:after="50"/>
        <w:rPr>
          <w:rFonts w:ascii="宋体" w:hAnsi="宋体" w:cs="宋体"/>
          <w:sz w:val="24"/>
          <w:szCs w:val="20"/>
        </w:rPr>
      </w:pPr>
    </w:p>
    <w:p>
      <w:pPr>
        <w:snapToGrid w:val="0"/>
        <w:spacing w:before="120" w:beforeLines="50" w:after="50"/>
        <w:rPr>
          <w:rFonts w:ascii="宋体" w:hAnsi="宋体" w:cs="宋体"/>
          <w:sz w:val="24"/>
          <w:szCs w:val="20"/>
        </w:rPr>
      </w:pPr>
    </w:p>
    <w:p>
      <w:pPr>
        <w:snapToGrid w:val="0"/>
        <w:spacing w:before="120" w:beforeLines="50" w:after="50"/>
        <w:jc w:val="center"/>
        <w:rPr>
          <w:rFonts w:ascii="宋体" w:hAnsi="宋体" w:cs="宋体"/>
          <w:sz w:val="84"/>
          <w:szCs w:val="84"/>
        </w:rPr>
      </w:pPr>
      <w:r>
        <w:rPr>
          <w:rFonts w:hint="eastAsia" w:ascii="宋体" w:hAnsi="宋体" w:cs="宋体"/>
          <w:sz w:val="84"/>
          <w:szCs w:val="84"/>
        </w:rPr>
        <w:t>投  标  文  件</w:t>
      </w:r>
    </w:p>
    <w:p>
      <w:pPr>
        <w:snapToGrid w:val="0"/>
        <w:spacing w:before="120" w:beforeLines="50" w:after="50"/>
        <w:rPr>
          <w:rFonts w:ascii="宋体" w:hAnsi="宋体" w:cs="宋体"/>
          <w:sz w:val="24"/>
          <w:szCs w:val="20"/>
        </w:rPr>
      </w:pPr>
    </w:p>
    <w:p>
      <w:pPr>
        <w:snapToGrid w:val="0"/>
        <w:spacing w:before="120" w:beforeLines="50" w:after="50"/>
        <w:rPr>
          <w:rFonts w:ascii="宋体" w:hAnsi="宋体" w:cs="宋体"/>
          <w:sz w:val="24"/>
          <w:szCs w:val="20"/>
        </w:rPr>
      </w:pPr>
    </w:p>
    <w:p>
      <w:pPr>
        <w:snapToGrid w:val="0"/>
        <w:spacing w:before="120" w:beforeLines="50" w:after="50"/>
        <w:jc w:val="center"/>
        <w:rPr>
          <w:rFonts w:ascii="宋体" w:hAnsi="宋体" w:cs="宋体"/>
          <w:bCs/>
          <w:sz w:val="32"/>
          <w:szCs w:val="32"/>
        </w:rPr>
      </w:pPr>
      <w:r>
        <w:rPr>
          <w:rFonts w:hint="eastAsia" w:ascii="宋体" w:hAnsi="宋体" w:cs="宋体"/>
          <w:bCs/>
          <w:sz w:val="32"/>
          <w:szCs w:val="32"/>
        </w:rPr>
        <w:t>商  务  文  件</w:t>
      </w:r>
    </w:p>
    <w:p>
      <w:pPr>
        <w:snapToGrid w:val="0"/>
        <w:spacing w:before="120" w:beforeLines="50" w:after="50"/>
        <w:rPr>
          <w:rFonts w:ascii="宋体" w:hAnsi="宋体" w:cs="宋体"/>
          <w:bCs/>
          <w:sz w:val="24"/>
          <w:szCs w:val="20"/>
        </w:rPr>
      </w:pPr>
    </w:p>
    <w:p>
      <w:pPr>
        <w:snapToGrid w:val="0"/>
        <w:spacing w:before="120" w:beforeLines="50" w:after="50"/>
        <w:ind w:firstLine="540" w:firstLineChars="225"/>
        <w:rPr>
          <w:rFonts w:ascii="宋体" w:hAnsi="宋体" w:cs="宋体"/>
          <w:bCs/>
          <w:sz w:val="24"/>
        </w:rPr>
      </w:pPr>
    </w:p>
    <w:p>
      <w:pPr>
        <w:snapToGrid w:val="0"/>
        <w:spacing w:before="120" w:beforeLines="50" w:after="50"/>
        <w:ind w:firstLine="540" w:firstLineChars="225"/>
        <w:rPr>
          <w:rFonts w:ascii="宋体" w:hAnsi="宋体" w:cs="宋体"/>
          <w:bCs/>
          <w:sz w:val="24"/>
        </w:rPr>
      </w:pPr>
    </w:p>
    <w:p>
      <w:pPr>
        <w:snapToGrid w:val="0"/>
        <w:spacing w:before="120" w:beforeLines="50" w:after="50"/>
        <w:ind w:firstLine="540" w:firstLineChars="225"/>
        <w:rPr>
          <w:rFonts w:ascii="宋体" w:hAnsi="宋体" w:cs="宋体"/>
          <w:bCs/>
          <w:sz w:val="24"/>
        </w:rPr>
      </w:pPr>
    </w:p>
    <w:p>
      <w:pPr>
        <w:snapToGrid w:val="0"/>
        <w:spacing w:before="120" w:beforeLines="50" w:after="50"/>
        <w:ind w:firstLine="540" w:firstLineChars="225"/>
        <w:rPr>
          <w:rFonts w:ascii="宋体" w:hAnsi="宋体" w:cs="宋体"/>
          <w:bCs/>
          <w:sz w:val="24"/>
        </w:rPr>
      </w:pPr>
      <w:r>
        <w:rPr>
          <w:rFonts w:hint="eastAsia" w:ascii="宋体" w:hAnsi="宋体" w:cs="宋体"/>
          <w:bCs/>
          <w:sz w:val="24"/>
        </w:rPr>
        <w:t>项目名称：</w:t>
      </w:r>
    </w:p>
    <w:p>
      <w:pPr>
        <w:snapToGrid w:val="0"/>
        <w:spacing w:before="120" w:beforeLines="50" w:after="50"/>
        <w:ind w:firstLine="540" w:firstLineChars="225"/>
        <w:rPr>
          <w:rFonts w:ascii="宋体" w:hAnsi="宋体" w:cs="宋体"/>
          <w:bCs/>
          <w:sz w:val="24"/>
          <w:szCs w:val="20"/>
        </w:rPr>
      </w:pPr>
    </w:p>
    <w:p>
      <w:pPr>
        <w:snapToGrid w:val="0"/>
        <w:spacing w:before="120" w:beforeLines="50" w:after="50"/>
        <w:ind w:firstLine="540" w:firstLineChars="225"/>
        <w:rPr>
          <w:rFonts w:ascii="宋体" w:hAnsi="宋体" w:cs="宋体"/>
          <w:bCs/>
          <w:sz w:val="24"/>
        </w:rPr>
      </w:pPr>
      <w:r>
        <w:rPr>
          <w:rFonts w:hint="eastAsia" w:ascii="宋体" w:hAnsi="宋体" w:cs="宋体"/>
          <w:bCs/>
          <w:sz w:val="24"/>
        </w:rPr>
        <w:t>项目编号：</w:t>
      </w:r>
    </w:p>
    <w:p>
      <w:pPr>
        <w:snapToGrid w:val="0"/>
        <w:spacing w:before="120" w:beforeLines="50" w:after="50"/>
        <w:ind w:firstLine="540" w:firstLineChars="225"/>
        <w:rPr>
          <w:rFonts w:ascii="宋体" w:hAnsi="宋体" w:cs="宋体"/>
          <w:bCs/>
          <w:sz w:val="24"/>
          <w:szCs w:val="20"/>
        </w:rPr>
      </w:pPr>
      <w:r>
        <w:rPr>
          <w:rFonts w:hint="eastAsia" w:ascii="宋体" w:hAnsi="宋体" w:cs="宋体"/>
          <w:bCs/>
          <w:sz w:val="24"/>
        </w:rPr>
        <w:t xml:space="preserve"> </w:t>
      </w:r>
    </w:p>
    <w:p>
      <w:pPr>
        <w:snapToGrid w:val="0"/>
        <w:spacing w:before="120" w:beforeLines="50" w:after="50"/>
        <w:ind w:firstLine="540" w:firstLineChars="225"/>
        <w:rPr>
          <w:rFonts w:ascii="宋体" w:hAnsi="宋体" w:cs="宋体"/>
          <w:bCs/>
          <w:sz w:val="24"/>
        </w:rPr>
      </w:pPr>
      <w:r>
        <w:rPr>
          <w:rFonts w:hint="eastAsia" w:ascii="宋体" w:hAnsi="宋体" w:cs="宋体"/>
          <w:bCs/>
          <w:sz w:val="24"/>
        </w:rPr>
        <w:t>所投分标：</w:t>
      </w:r>
    </w:p>
    <w:p>
      <w:pPr>
        <w:snapToGrid w:val="0"/>
        <w:spacing w:before="120" w:beforeLines="50" w:after="50"/>
        <w:ind w:firstLine="540" w:firstLineChars="225"/>
        <w:rPr>
          <w:rFonts w:ascii="宋体" w:hAnsi="宋体" w:cs="宋体"/>
          <w:bCs/>
          <w:sz w:val="24"/>
          <w:szCs w:val="20"/>
        </w:rPr>
      </w:pPr>
    </w:p>
    <w:p>
      <w:pPr>
        <w:pStyle w:val="7"/>
        <w:snapToGrid w:val="0"/>
        <w:spacing w:before="50" w:after="50"/>
        <w:ind w:firstLine="540" w:firstLineChars="225"/>
        <w:rPr>
          <w:rFonts w:ascii="宋体" w:hAnsi="宋体" w:cs="宋体"/>
          <w:bCs/>
          <w:sz w:val="24"/>
          <w:szCs w:val="24"/>
        </w:rPr>
      </w:pPr>
      <w:r>
        <w:rPr>
          <w:rFonts w:hint="eastAsia" w:ascii="宋体" w:hAnsi="宋体" w:cs="宋体"/>
          <w:bCs/>
          <w:sz w:val="24"/>
          <w:szCs w:val="24"/>
        </w:rPr>
        <w:t>投标人名称：</w:t>
      </w:r>
    </w:p>
    <w:p>
      <w:pPr>
        <w:pStyle w:val="7"/>
        <w:snapToGrid w:val="0"/>
        <w:spacing w:before="50" w:after="50"/>
        <w:ind w:firstLine="540" w:firstLineChars="225"/>
        <w:rPr>
          <w:rFonts w:ascii="宋体" w:hAnsi="宋体" w:cs="宋体"/>
          <w:bCs/>
          <w:sz w:val="24"/>
          <w:szCs w:val="24"/>
        </w:rPr>
      </w:pPr>
    </w:p>
    <w:p>
      <w:pPr>
        <w:pStyle w:val="7"/>
        <w:snapToGrid w:val="0"/>
        <w:spacing w:before="50" w:after="50"/>
        <w:ind w:firstLine="540" w:firstLineChars="225"/>
        <w:rPr>
          <w:rFonts w:ascii="宋体" w:hAnsi="宋体" w:cs="宋体"/>
          <w:bCs/>
          <w:sz w:val="24"/>
          <w:szCs w:val="24"/>
        </w:rPr>
      </w:pPr>
      <w:r>
        <w:rPr>
          <w:rFonts w:hint="eastAsia" w:ascii="宋体" w:hAnsi="宋体" w:cs="宋体"/>
          <w:bCs/>
          <w:sz w:val="24"/>
          <w:szCs w:val="24"/>
        </w:rPr>
        <w:t>投标人地址：</w:t>
      </w:r>
    </w:p>
    <w:p>
      <w:pPr>
        <w:pStyle w:val="7"/>
        <w:snapToGrid w:val="0"/>
        <w:spacing w:before="50" w:after="50"/>
        <w:ind w:firstLine="960" w:firstLineChars="400"/>
        <w:rPr>
          <w:rFonts w:ascii="宋体" w:hAnsi="宋体" w:cs="宋体"/>
          <w:bCs/>
          <w:sz w:val="24"/>
          <w:szCs w:val="24"/>
        </w:rPr>
      </w:pPr>
    </w:p>
    <w:p>
      <w:pPr>
        <w:snapToGrid w:val="0"/>
        <w:spacing w:before="120" w:beforeLines="50" w:after="50"/>
        <w:ind w:firstLine="645"/>
        <w:rPr>
          <w:rFonts w:ascii="宋体" w:hAnsi="宋体" w:cs="宋体"/>
          <w:sz w:val="24"/>
        </w:rPr>
      </w:pPr>
      <w:r>
        <w:rPr>
          <w:rFonts w:hint="eastAsia" w:ascii="宋体" w:hAnsi="宋体" w:cs="宋体"/>
          <w:sz w:val="24"/>
        </w:rPr>
        <w:t xml:space="preserve">                        年  月  日</w:t>
      </w:r>
    </w:p>
    <w:p>
      <w:pPr>
        <w:snapToGrid w:val="0"/>
        <w:spacing w:before="120" w:beforeLines="50" w:after="50"/>
        <w:rPr>
          <w:rFonts w:ascii="宋体" w:hAnsi="宋体" w:cs="宋体"/>
          <w:sz w:val="24"/>
          <w:szCs w:val="20"/>
        </w:rPr>
      </w:pPr>
      <w:r>
        <w:rPr>
          <w:rFonts w:hint="eastAsia" w:ascii="宋体" w:hAnsi="宋体" w:cs="宋体"/>
          <w:sz w:val="24"/>
          <w:szCs w:val="20"/>
        </w:rPr>
        <w:t xml:space="preserve"> </w:t>
      </w:r>
    </w:p>
    <w:p>
      <w:pPr>
        <w:snapToGrid w:val="0"/>
        <w:spacing w:line="360" w:lineRule="auto"/>
        <w:jc w:val="left"/>
        <w:rPr>
          <w:rFonts w:ascii="宋体" w:hAnsi="宋体" w:cs="宋体"/>
          <w:b/>
          <w:bCs/>
          <w:sz w:val="28"/>
          <w:szCs w:val="28"/>
        </w:rPr>
      </w:pPr>
      <w:r>
        <w:rPr>
          <w:rFonts w:hint="eastAsia" w:ascii="宋体" w:hAnsi="宋体" w:cs="宋体"/>
          <w:sz w:val="24"/>
          <w:szCs w:val="20"/>
        </w:rPr>
        <w:br w:type="page"/>
      </w:r>
      <w:r>
        <w:rPr>
          <w:rFonts w:hint="eastAsia" w:ascii="宋体" w:hAnsi="宋体" w:cs="宋体"/>
          <w:b/>
          <w:bCs/>
          <w:sz w:val="24"/>
        </w:rPr>
        <w:t>2.商务文件目录</w:t>
      </w:r>
    </w:p>
    <w:p>
      <w:pPr>
        <w:snapToGrid w:val="0"/>
        <w:spacing w:line="400" w:lineRule="exact"/>
        <w:jc w:val="left"/>
        <w:rPr>
          <w:rFonts w:ascii="宋体" w:hAnsi="宋体" w:cs="宋体"/>
          <w:szCs w:val="21"/>
        </w:rPr>
      </w:pPr>
      <w:r>
        <w:rPr>
          <w:rFonts w:hint="eastAsia" w:ascii="宋体" w:hAnsi="宋体" w:cs="宋体"/>
          <w:szCs w:val="21"/>
        </w:rPr>
        <w:t>1、无串通投标行为的承诺函</w:t>
      </w:r>
      <w:r>
        <w:rPr>
          <w:rFonts w:hint="eastAsia" w:ascii="宋体" w:hAnsi="宋体" w:cs="宋体"/>
          <w:kern w:val="0"/>
          <w:sz w:val="24"/>
        </w:rPr>
        <w:t>……………………………………………………………………（页码）</w:t>
      </w:r>
    </w:p>
    <w:p>
      <w:pPr>
        <w:snapToGrid w:val="0"/>
        <w:spacing w:line="400" w:lineRule="exact"/>
        <w:jc w:val="left"/>
        <w:rPr>
          <w:rFonts w:ascii="宋体" w:hAnsi="宋体" w:cs="宋体"/>
          <w:szCs w:val="21"/>
        </w:rPr>
      </w:pPr>
      <w:r>
        <w:rPr>
          <w:rFonts w:hint="eastAsia" w:ascii="宋体" w:hAnsi="宋体" w:cs="宋体"/>
          <w:szCs w:val="21"/>
        </w:rPr>
        <w:t>2、投标保证金提交凭证</w:t>
      </w:r>
      <w:r>
        <w:rPr>
          <w:rFonts w:hint="eastAsia" w:ascii="宋体" w:hAnsi="宋体" w:cs="宋体"/>
          <w:kern w:val="0"/>
          <w:sz w:val="24"/>
        </w:rPr>
        <w:t>…………………………………………………………………………（页码）</w:t>
      </w:r>
    </w:p>
    <w:p>
      <w:pPr>
        <w:snapToGrid w:val="0"/>
        <w:spacing w:line="400" w:lineRule="exact"/>
        <w:jc w:val="left"/>
        <w:rPr>
          <w:rFonts w:ascii="宋体" w:hAnsi="宋体" w:cs="宋体"/>
          <w:kern w:val="0"/>
          <w:sz w:val="24"/>
        </w:rPr>
      </w:pPr>
      <w:r>
        <w:rPr>
          <w:rFonts w:hint="eastAsia" w:ascii="宋体" w:hAnsi="宋体" w:cs="宋体"/>
          <w:szCs w:val="21"/>
        </w:rPr>
        <w:t>3、法定代表人身份证明及法定代表人有效身份证正反面复印件</w:t>
      </w:r>
      <w:r>
        <w:rPr>
          <w:rFonts w:hint="eastAsia" w:ascii="宋体" w:hAnsi="宋体" w:cs="宋体"/>
          <w:kern w:val="0"/>
          <w:sz w:val="24"/>
        </w:rPr>
        <w:t>…………………………………（页码）</w:t>
      </w:r>
    </w:p>
    <w:p>
      <w:pPr>
        <w:snapToGrid w:val="0"/>
        <w:spacing w:line="400" w:lineRule="exact"/>
        <w:jc w:val="left"/>
        <w:rPr>
          <w:rFonts w:ascii="宋体" w:hAnsi="宋体" w:cs="宋体"/>
          <w:kern w:val="0"/>
          <w:sz w:val="24"/>
        </w:rPr>
      </w:pPr>
      <w:r>
        <w:rPr>
          <w:rFonts w:hint="eastAsia" w:ascii="宋体" w:hAnsi="宋体" w:cs="宋体"/>
          <w:szCs w:val="21"/>
        </w:rPr>
        <w:t>4、授权委托书及委托代理人有效身份证正反面复印件</w:t>
      </w:r>
      <w:r>
        <w:rPr>
          <w:rFonts w:hint="eastAsia" w:ascii="宋体" w:hAnsi="宋体" w:cs="宋体"/>
          <w:kern w:val="0"/>
          <w:sz w:val="24"/>
        </w:rPr>
        <w:t>……………………………………………（页码）</w:t>
      </w:r>
    </w:p>
    <w:p>
      <w:pPr>
        <w:snapToGrid w:val="0"/>
        <w:spacing w:line="400" w:lineRule="exact"/>
        <w:jc w:val="left"/>
        <w:rPr>
          <w:rFonts w:ascii="宋体" w:hAnsi="宋体" w:cs="宋体"/>
          <w:szCs w:val="21"/>
        </w:rPr>
      </w:pPr>
      <w:r>
        <w:rPr>
          <w:rFonts w:hint="eastAsia" w:ascii="宋体" w:hAnsi="宋体" w:cs="宋体"/>
          <w:szCs w:val="21"/>
        </w:rPr>
        <w:t>5、商务要求偏离表</w:t>
      </w:r>
      <w:r>
        <w:rPr>
          <w:rFonts w:hint="eastAsia" w:ascii="宋体" w:hAnsi="宋体" w:cs="宋体"/>
          <w:kern w:val="0"/>
          <w:sz w:val="24"/>
        </w:rPr>
        <w:t>………………………………………………………………………………（页码）</w:t>
      </w:r>
    </w:p>
    <w:p>
      <w:pPr>
        <w:snapToGrid w:val="0"/>
        <w:spacing w:line="400" w:lineRule="exact"/>
        <w:jc w:val="left"/>
        <w:rPr>
          <w:rFonts w:ascii="宋体" w:hAnsi="宋体" w:cs="宋体"/>
          <w:szCs w:val="21"/>
        </w:rPr>
      </w:pPr>
      <w:r>
        <w:rPr>
          <w:rFonts w:hint="eastAsia" w:ascii="宋体" w:hAnsi="宋体" w:cs="宋体"/>
          <w:szCs w:val="21"/>
        </w:rPr>
        <w:t>6、售后服务承诺</w:t>
      </w:r>
      <w:r>
        <w:rPr>
          <w:rFonts w:hint="eastAsia" w:ascii="宋体" w:hAnsi="宋体" w:cs="宋体"/>
          <w:kern w:val="0"/>
          <w:sz w:val="24"/>
        </w:rPr>
        <w:t>………………………………………………………………………………（页码）</w:t>
      </w:r>
    </w:p>
    <w:p>
      <w:pPr>
        <w:snapToGrid w:val="0"/>
        <w:spacing w:line="400" w:lineRule="exact"/>
        <w:jc w:val="left"/>
        <w:rPr>
          <w:rFonts w:ascii="宋体" w:hAnsi="宋体" w:cs="宋体"/>
          <w:kern w:val="0"/>
          <w:sz w:val="24"/>
        </w:rPr>
      </w:pPr>
      <w:r>
        <w:rPr>
          <w:rFonts w:hint="eastAsia" w:ascii="宋体" w:hAnsi="宋体" w:cs="宋体"/>
          <w:szCs w:val="21"/>
        </w:rPr>
        <w:t>7、项目保证事项承诺书</w:t>
      </w:r>
      <w:r>
        <w:rPr>
          <w:rFonts w:hint="eastAsia" w:ascii="宋体" w:hAnsi="宋体" w:cs="宋体"/>
          <w:kern w:val="0"/>
          <w:sz w:val="24"/>
        </w:rPr>
        <w:t>…………………………………………………………………………（页码）</w:t>
      </w:r>
    </w:p>
    <w:p>
      <w:pPr>
        <w:snapToGrid w:val="0"/>
        <w:spacing w:line="400" w:lineRule="exact"/>
        <w:jc w:val="left"/>
        <w:rPr>
          <w:rFonts w:ascii="宋体" w:hAnsi="宋体" w:cs="宋体"/>
          <w:szCs w:val="21"/>
        </w:rPr>
      </w:pPr>
      <w:r>
        <w:rPr>
          <w:rFonts w:hint="eastAsia" w:ascii="宋体" w:hAnsi="宋体" w:cs="宋体"/>
          <w:szCs w:val="21"/>
        </w:rPr>
        <w:t>8、投标人情况介绍</w:t>
      </w:r>
      <w:r>
        <w:rPr>
          <w:rFonts w:hint="eastAsia" w:ascii="宋体" w:hAnsi="宋体" w:cs="宋体"/>
          <w:kern w:val="0"/>
          <w:sz w:val="24"/>
        </w:rPr>
        <w:t>………………………………………………………………………………（页码）</w:t>
      </w:r>
    </w:p>
    <w:p>
      <w:pPr>
        <w:snapToGrid w:val="0"/>
        <w:spacing w:line="400" w:lineRule="exact"/>
        <w:jc w:val="left"/>
        <w:rPr>
          <w:rFonts w:ascii="宋体" w:hAnsi="宋体" w:cs="宋体"/>
          <w:szCs w:val="21"/>
        </w:rPr>
      </w:pPr>
      <w:r>
        <w:rPr>
          <w:rFonts w:hint="eastAsia" w:ascii="宋体" w:hAnsi="宋体" w:cs="宋体"/>
          <w:szCs w:val="21"/>
        </w:rPr>
        <w:t>9、除招标文件规定必须提供以外，投标人认为需要提供的其他证明材料</w:t>
      </w:r>
      <w:r>
        <w:rPr>
          <w:rFonts w:hint="eastAsia" w:ascii="宋体" w:hAnsi="宋体" w:cs="宋体"/>
          <w:kern w:val="0"/>
          <w:sz w:val="24"/>
        </w:rPr>
        <w:t>…………………………（页码）</w:t>
      </w:r>
    </w:p>
    <w:p>
      <w:pPr>
        <w:snapToGrid w:val="0"/>
        <w:spacing w:before="50" w:after="120" w:afterLines="50" w:line="360" w:lineRule="auto"/>
        <w:ind w:firstLine="643" w:firstLineChars="200"/>
        <w:jc w:val="left"/>
        <w:rPr>
          <w:rFonts w:ascii="宋体" w:hAnsi="宋体" w:cs="宋体"/>
          <w:b/>
          <w:bCs/>
          <w:sz w:val="32"/>
          <w:szCs w:val="32"/>
        </w:rPr>
      </w:pPr>
    </w:p>
    <w:p>
      <w:pPr>
        <w:snapToGrid w:val="0"/>
        <w:spacing w:before="50" w:after="120" w:afterLines="50"/>
        <w:jc w:val="left"/>
        <w:rPr>
          <w:rFonts w:ascii="宋体" w:hAnsi="宋体" w:cs="宋体"/>
        </w:rPr>
      </w:pPr>
    </w:p>
    <w:p>
      <w:pPr>
        <w:snapToGrid w:val="0"/>
        <w:spacing w:before="120" w:beforeLines="50" w:after="50"/>
        <w:jc w:val="left"/>
        <w:rPr>
          <w:rFonts w:ascii="宋体" w:hAnsi="宋体" w:cs="宋体"/>
          <w:b/>
          <w:sz w:val="24"/>
        </w:rPr>
      </w:pPr>
      <w:r>
        <w:rPr>
          <w:rFonts w:hint="eastAsia" w:ascii="宋体" w:hAnsi="宋体" w:cs="宋体"/>
          <w:b/>
          <w:sz w:val="24"/>
        </w:rPr>
        <w:br w:type="page"/>
      </w:r>
      <w:r>
        <w:rPr>
          <w:rFonts w:hint="eastAsia" w:ascii="宋体" w:hAnsi="宋体" w:cs="宋体"/>
          <w:b/>
          <w:sz w:val="24"/>
        </w:rPr>
        <w:t>3.投标人参加本项目无围标串标行为的承诺</w:t>
      </w:r>
    </w:p>
    <w:p>
      <w:pPr>
        <w:snapToGrid w:val="0"/>
        <w:spacing w:before="120" w:beforeLines="50" w:after="50"/>
        <w:jc w:val="left"/>
        <w:rPr>
          <w:rFonts w:ascii="宋体" w:hAnsi="宋体" w:cs="宋体"/>
          <w:b/>
          <w:sz w:val="24"/>
        </w:rPr>
      </w:pPr>
    </w:p>
    <w:p>
      <w:pPr>
        <w:spacing w:line="360" w:lineRule="auto"/>
        <w:ind w:left="420"/>
        <w:contextualSpacing/>
        <w:jc w:val="center"/>
        <w:rPr>
          <w:rFonts w:ascii="宋体" w:hAnsi="宋体" w:cs="宋体"/>
          <w:b/>
          <w:sz w:val="32"/>
          <w:szCs w:val="32"/>
        </w:rPr>
      </w:pPr>
      <w:r>
        <w:rPr>
          <w:rFonts w:hint="eastAsia" w:ascii="宋体" w:hAnsi="宋体" w:cs="宋体"/>
          <w:bCs/>
          <w:spacing w:val="-11"/>
          <w:sz w:val="32"/>
          <w:szCs w:val="32"/>
        </w:rPr>
        <w:t>投标人参加本项目无围标串标行为的承诺函</w:t>
      </w:r>
    </w:p>
    <w:p>
      <w:pPr>
        <w:spacing w:line="440" w:lineRule="exact"/>
        <w:contextualSpacing/>
        <w:jc w:val="left"/>
        <w:rPr>
          <w:rFonts w:ascii="宋体" w:hAnsi="宋体" w:cs="宋体"/>
          <w:b/>
          <w:sz w:val="24"/>
        </w:rPr>
      </w:pPr>
      <w:r>
        <w:rPr>
          <w:rFonts w:hint="eastAsia" w:ascii="宋体" w:hAnsi="宋体" w:cs="宋体"/>
          <w:b/>
          <w:sz w:val="24"/>
        </w:rPr>
        <w:t>一、我方承诺无下列相互串通投标的情形：</w:t>
      </w:r>
    </w:p>
    <w:p>
      <w:pPr>
        <w:spacing w:line="440" w:lineRule="exact"/>
        <w:ind w:firstLine="470" w:firstLineChars="196"/>
        <w:contextualSpacing/>
        <w:jc w:val="left"/>
        <w:rPr>
          <w:rFonts w:ascii="宋体" w:hAnsi="宋体" w:cs="宋体"/>
          <w:sz w:val="24"/>
        </w:rPr>
      </w:pPr>
      <w:r>
        <w:rPr>
          <w:rFonts w:hint="eastAsia" w:ascii="宋体" w:hAnsi="宋体" w:cs="宋体"/>
          <w:sz w:val="24"/>
        </w:rPr>
        <w:t>1.不同投标人的投标文件由同一单位或者个人编制；</w:t>
      </w:r>
    </w:p>
    <w:p>
      <w:pPr>
        <w:spacing w:line="440" w:lineRule="exact"/>
        <w:ind w:firstLine="470" w:firstLineChars="196"/>
        <w:contextualSpacing/>
        <w:jc w:val="left"/>
        <w:rPr>
          <w:rFonts w:ascii="宋体" w:hAnsi="宋体" w:cs="宋体"/>
          <w:sz w:val="24"/>
        </w:rPr>
      </w:pPr>
      <w:r>
        <w:rPr>
          <w:rFonts w:hint="eastAsia" w:ascii="宋体" w:hAnsi="宋体" w:cs="宋体"/>
          <w:sz w:val="24"/>
        </w:rPr>
        <w:t>2.不同投标人委托同一单位或者个人办理投标事宜；</w:t>
      </w:r>
    </w:p>
    <w:p>
      <w:pPr>
        <w:spacing w:line="440" w:lineRule="exact"/>
        <w:ind w:firstLine="470" w:firstLineChars="196"/>
        <w:contextualSpacing/>
        <w:jc w:val="left"/>
        <w:rPr>
          <w:rFonts w:ascii="宋体" w:hAnsi="宋体" w:cs="宋体"/>
          <w:sz w:val="24"/>
        </w:rPr>
      </w:pPr>
      <w:r>
        <w:rPr>
          <w:rFonts w:hint="eastAsia" w:ascii="宋体" w:hAnsi="宋体" w:cs="宋体"/>
          <w:sz w:val="24"/>
        </w:rPr>
        <w:t>3.不同的投标人的投标文件载明的项目管理员为同一个人；</w:t>
      </w:r>
    </w:p>
    <w:p>
      <w:pPr>
        <w:spacing w:line="440" w:lineRule="exact"/>
        <w:ind w:firstLine="470" w:firstLineChars="196"/>
        <w:contextualSpacing/>
        <w:jc w:val="left"/>
        <w:rPr>
          <w:rFonts w:ascii="宋体" w:hAnsi="宋体" w:cs="宋体"/>
          <w:sz w:val="24"/>
        </w:rPr>
      </w:pPr>
      <w:r>
        <w:rPr>
          <w:rFonts w:hint="eastAsia" w:ascii="宋体" w:hAnsi="宋体" w:cs="宋体"/>
          <w:sz w:val="24"/>
        </w:rPr>
        <w:t>4.不同投标人的投标文件异常一致或者投标报价呈规律性差异；</w:t>
      </w:r>
    </w:p>
    <w:p>
      <w:pPr>
        <w:spacing w:line="440" w:lineRule="exact"/>
        <w:ind w:firstLine="470" w:firstLineChars="196"/>
        <w:contextualSpacing/>
        <w:jc w:val="left"/>
        <w:rPr>
          <w:rFonts w:ascii="宋体" w:hAnsi="宋体" w:cs="宋体"/>
          <w:sz w:val="24"/>
        </w:rPr>
      </w:pPr>
      <w:r>
        <w:rPr>
          <w:rFonts w:hint="eastAsia" w:ascii="宋体" w:hAnsi="宋体" w:cs="宋体"/>
          <w:sz w:val="24"/>
        </w:rPr>
        <w:t>5.不同投标人的投标文件相互混装；</w:t>
      </w:r>
    </w:p>
    <w:p>
      <w:pPr>
        <w:spacing w:line="440" w:lineRule="exact"/>
        <w:ind w:firstLine="470" w:firstLineChars="196"/>
        <w:contextualSpacing/>
        <w:jc w:val="left"/>
        <w:rPr>
          <w:rFonts w:ascii="宋体" w:hAnsi="宋体" w:cs="宋体"/>
          <w:sz w:val="24"/>
        </w:rPr>
      </w:pPr>
      <w:r>
        <w:rPr>
          <w:rFonts w:hint="eastAsia" w:ascii="宋体" w:hAnsi="宋体" w:cs="宋体"/>
          <w:sz w:val="24"/>
        </w:rPr>
        <w:t>6.不同投标人的投标保证金从同一单位或者个人账户转出。</w:t>
      </w:r>
    </w:p>
    <w:p>
      <w:pPr>
        <w:spacing w:line="440" w:lineRule="exact"/>
        <w:contextualSpacing/>
        <w:jc w:val="left"/>
        <w:rPr>
          <w:rFonts w:ascii="宋体" w:hAnsi="宋体" w:cs="宋体"/>
          <w:sz w:val="24"/>
        </w:rPr>
      </w:pPr>
      <w:r>
        <w:rPr>
          <w:rFonts w:hint="eastAsia" w:ascii="宋体" w:hAnsi="宋体" w:cs="宋体"/>
          <w:b/>
          <w:sz w:val="24"/>
        </w:rPr>
        <w:t>二、我方承诺无下列恶意串通的情形：</w:t>
      </w:r>
    </w:p>
    <w:p>
      <w:pPr>
        <w:spacing w:line="440" w:lineRule="exact"/>
        <w:ind w:firstLine="470" w:firstLineChars="196"/>
        <w:contextualSpacing/>
        <w:jc w:val="left"/>
        <w:rPr>
          <w:rFonts w:ascii="宋体" w:hAnsi="宋体" w:cs="宋体"/>
          <w:sz w:val="24"/>
        </w:rPr>
      </w:pPr>
      <w:r>
        <w:rPr>
          <w:rFonts w:hint="eastAsia" w:ascii="宋体" w:hAnsi="宋体" w:cs="宋体"/>
          <w:sz w:val="24"/>
        </w:rPr>
        <w:t>1.投标人直接或者间接从采购人或者采购代理机构处获得其他投标人的相关信息并修改其投标文件或者响应文件；</w:t>
      </w:r>
    </w:p>
    <w:p>
      <w:pPr>
        <w:spacing w:line="440" w:lineRule="exact"/>
        <w:ind w:firstLine="470" w:firstLineChars="196"/>
        <w:contextualSpacing/>
        <w:jc w:val="left"/>
        <w:rPr>
          <w:rFonts w:ascii="宋体" w:hAnsi="宋体" w:cs="宋体"/>
          <w:sz w:val="24"/>
        </w:rPr>
      </w:pPr>
      <w:r>
        <w:rPr>
          <w:rFonts w:hint="eastAsia" w:ascii="宋体" w:hAnsi="宋体" w:cs="宋体"/>
          <w:sz w:val="24"/>
        </w:rPr>
        <w:t>2.投标人按照采购人或者采购代理机构的授意撤换、修改投标文件或者响应文件；</w:t>
      </w:r>
    </w:p>
    <w:p>
      <w:pPr>
        <w:spacing w:line="440" w:lineRule="exact"/>
        <w:ind w:firstLine="470" w:firstLineChars="196"/>
        <w:contextualSpacing/>
        <w:jc w:val="left"/>
        <w:rPr>
          <w:rFonts w:ascii="宋体" w:hAnsi="宋体" w:cs="宋体"/>
          <w:sz w:val="24"/>
        </w:rPr>
      </w:pPr>
      <w:r>
        <w:rPr>
          <w:rFonts w:hint="eastAsia" w:ascii="宋体" w:hAnsi="宋体" w:cs="宋体"/>
          <w:sz w:val="24"/>
        </w:rPr>
        <w:t>3.投标人之间协商报价、技术方案等投标文件或者响应文件的实质性内容；</w:t>
      </w:r>
    </w:p>
    <w:p>
      <w:pPr>
        <w:spacing w:line="440" w:lineRule="exact"/>
        <w:ind w:firstLine="470" w:firstLineChars="196"/>
        <w:contextualSpacing/>
        <w:jc w:val="left"/>
        <w:rPr>
          <w:rFonts w:ascii="宋体" w:hAnsi="宋体" w:cs="宋体"/>
          <w:sz w:val="24"/>
        </w:rPr>
      </w:pPr>
      <w:r>
        <w:rPr>
          <w:rFonts w:hint="eastAsia" w:ascii="宋体" w:hAnsi="宋体" w:cs="宋体"/>
          <w:sz w:val="24"/>
        </w:rPr>
        <w:t>4.属于同一集团、协会、商会等组织成员的投标人按照该组织要求协同参加政府采购活动；</w:t>
      </w:r>
    </w:p>
    <w:p>
      <w:pPr>
        <w:spacing w:line="440" w:lineRule="exact"/>
        <w:ind w:firstLine="470" w:firstLineChars="196"/>
        <w:contextualSpacing/>
        <w:jc w:val="left"/>
        <w:rPr>
          <w:rFonts w:ascii="宋体" w:hAnsi="宋体" w:cs="宋体"/>
          <w:sz w:val="24"/>
        </w:rPr>
      </w:pPr>
      <w:r>
        <w:rPr>
          <w:rFonts w:hint="eastAsia" w:ascii="宋体" w:hAnsi="宋体" w:cs="宋体"/>
          <w:sz w:val="24"/>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ascii="宋体" w:hAnsi="宋体" w:cs="宋体"/>
          <w:sz w:val="24"/>
        </w:rPr>
      </w:pPr>
      <w:r>
        <w:rPr>
          <w:rFonts w:hint="eastAsia" w:ascii="宋体" w:hAnsi="宋体" w:cs="宋体"/>
          <w:sz w:val="24"/>
        </w:rPr>
        <w:t>6.投标人之间商定部分投标人放弃参加政府采购活动或者放弃中标；</w:t>
      </w:r>
    </w:p>
    <w:p>
      <w:pPr>
        <w:spacing w:line="440" w:lineRule="exact"/>
        <w:ind w:firstLine="470" w:firstLineChars="196"/>
        <w:contextualSpacing/>
        <w:jc w:val="left"/>
        <w:rPr>
          <w:rFonts w:ascii="宋体" w:hAnsi="宋体" w:cs="宋体"/>
          <w:sz w:val="24"/>
        </w:rPr>
      </w:pPr>
      <w:r>
        <w:rPr>
          <w:rFonts w:hint="eastAsia" w:ascii="宋体" w:hAnsi="宋体" w:cs="宋体"/>
          <w:sz w:val="24"/>
        </w:rPr>
        <w:t>7.投标人与采购人或者采购代理机构之间、投标人相互之间，为谋求特定投标人中标或者排斥其他投标人的其他串通行为。</w:t>
      </w:r>
    </w:p>
    <w:p>
      <w:pPr>
        <w:spacing w:line="440" w:lineRule="exact"/>
        <w:ind w:firstLine="472" w:firstLineChars="196"/>
        <w:contextualSpacing/>
        <w:jc w:val="left"/>
        <w:rPr>
          <w:rFonts w:ascii="宋体" w:hAnsi="宋体" w:cs="宋体"/>
          <w:b/>
          <w:sz w:val="24"/>
        </w:rPr>
      </w:pPr>
      <w:r>
        <w:rPr>
          <w:rFonts w:hint="eastAsia" w:ascii="宋体" w:hAnsi="宋体" w:cs="宋体"/>
          <w:b/>
          <w:sz w:val="24"/>
        </w:rPr>
        <w:t>以上情形一经核查属实，我方愿意承担一切后果，并不再寻求任何旨在减轻或者免除法律责任的辩解。</w:t>
      </w:r>
    </w:p>
    <w:p>
      <w:pPr>
        <w:pStyle w:val="25"/>
        <w:spacing w:line="440" w:lineRule="exact"/>
        <w:ind w:firstLine="6840" w:firstLineChars="2850"/>
        <w:contextualSpacing/>
        <w:rPr>
          <w:rFonts w:hAnsi="宋体" w:cs="宋体"/>
          <w:sz w:val="24"/>
          <w:szCs w:val="24"/>
        </w:rPr>
      </w:pPr>
    </w:p>
    <w:p>
      <w:pPr>
        <w:pStyle w:val="25"/>
        <w:spacing w:line="440" w:lineRule="exact"/>
        <w:contextualSpacing/>
        <w:jc w:val="center"/>
        <w:rPr>
          <w:rFonts w:hAnsi="宋体" w:cs="宋体"/>
          <w:sz w:val="24"/>
          <w:szCs w:val="24"/>
        </w:rPr>
      </w:pPr>
      <w:r>
        <w:rPr>
          <w:rFonts w:hint="eastAsia" w:hAnsi="宋体" w:cs="宋体"/>
          <w:sz w:val="24"/>
          <w:szCs w:val="24"/>
        </w:rPr>
        <w:t xml:space="preserve">                                    投标人名称（</w:t>
      </w:r>
      <w:r>
        <w:rPr>
          <w:rFonts w:hint="eastAsia" w:hAnsi="宋体" w:cs="宋体"/>
        </w:rPr>
        <w:t>电子签章</w:t>
      </w:r>
      <w:r>
        <w:rPr>
          <w:rFonts w:hint="eastAsia" w:hAnsi="宋体" w:cs="宋体"/>
          <w:sz w:val="24"/>
          <w:szCs w:val="24"/>
        </w:rPr>
        <w:t>）</w:t>
      </w:r>
    </w:p>
    <w:p>
      <w:pPr>
        <w:pStyle w:val="25"/>
        <w:spacing w:line="440" w:lineRule="exact"/>
        <w:contextualSpacing/>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120" w:beforeLines="50" w:after="50"/>
        <w:jc w:val="left"/>
        <w:rPr>
          <w:rFonts w:ascii="宋体" w:hAnsi="宋体" w:cs="宋体"/>
          <w:b/>
          <w:sz w:val="24"/>
        </w:rPr>
      </w:pPr>
      <w:r>
        <w:rPr>
          <w:rFonts w:hint="eastAsia" w:ascii="宋体" w:hAnsi="宋体" w:cs="宋体"/>
          <w:b/>
          <w:sz w:val="24"/>
        </w:rPr>
        <w:br w:type="page"/>
      </w:r>
      <w:r>
        <w:rPr>
          <w:rFonts w:hint="eastAsia" w:ascii="宋体" w:hAnsi="宋体" w:cs="宋体"/>
          <w:b/>
          <w:sz w:val="24"/>
        </w:rPr>
        <w:t>4.法定代表人身份证明</w:t>
      </w:r>
    </w:p>
    <w:p>
      <w:pPr>
        <w:snapToGrid w:val="0"/>
        <w:spacing w:before="120" w:beforeLines="50" w:after="50"/>
        <w:jc w:val="center"/>
        <w:rPr>
          <w:rFonts w:ascii="宋体" w:hAnsi="宋体" w:cs="宋体"/>
          <w:bCs/>
          <w:sz w:val="44"/>
          <w:szCs w:val="44"/>
        </w:rPr>
      </w:pPr>
    </w:p>
    <w:p>
      <w:pPr>
        <w:snapToGrid w:val="0"/>
        <w:spacing w:before="120" w:beforeLines="50" w:after="50"/>
        <w:jc w:val="center"/>
        <w:rPr>
          <w:rFonts w:ascii="宋体" w:hAnsi="宋体" w:cs="宋体"/>
          <w:bCs/>
          <w:sz w:val="44"/>
          <w:szCs w:val="44"/>
        </w:rPr>
      </w:pPr>
      <w:r>
        <w:rPr>
          <w:rFonts w:hint="eastAsia" w:ascii="宋体" w:hAnsi="宋体" w:cs="宋体"/>
          <w:bCs/>
          <w:sz w:val="44"/>
          <w:szCs w:val="44"/>
        </w:rPr>
        <w:t>法定代表人身份证明</w:t>
      </w:r>
    </w:p>
    <w:p>
      <w:pPr>
        <w:spacing w:line="500" w:lineRule="exact"/>
        <w:ind w:left="540"/>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pPr>
        <w:spacing w:line="500" w:lineRule="exact"/>
        <w:ind w:left="54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500" w:lineRule="exact"/>
        <w:ind w:left="54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pPr>
        <w:spacing w:line="500" w:lineRule="exact"/>
        <w:ind w:left="540"/>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pPr>
        <w:spacing w:line="500" w:lineRule="exact"/>
        <w:ind w:left="540"/>
        <w:rPr>
          <w:rFonts w:ascii="宋体" w:hAnsi="宋体" w:cs="宋体"/>
          <w:sz w:val="24"/>
        </w:rPr>
      </w:pPr>
      <w:r>
        <w:rPr>
          <w:rFonts w:hint="eastAsia" w:ascii="宋体" w:hAnsi="宋体" w:cs="宋体"/>
          <w:sz w:val="24"/>
        </w:rPr>
        <w:t>身份证号码：</w:t>
      </w:r>
      <w:r>
        <w:rPr>
          <w:rFonts w:ascii="宋体" w:hAnsi="宋体" w:cs="宋体"/>
          <w:sz w:val="24"/>
          <w:u w:val="single"/>
        </w:rPr>
        <w:t xml:space="preserve">                                 </w:t>
      </w:r>
    </w:p>
    <w:p>
      <w:pPr>
        <w:spacing w:line="500" w:lineRule="exact"/>
        <w:ind w:left="54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w:t>
      </w:r>
    </w:p>
    <w:p>
      <w:pPr>
        <w:spacing w:line="500" w:lineRule="exact"/>
        <w:ind w:left="540"/>
        <w:rPr>
          <w:rFonts w:ascii="宋体" w:hAnsi="宋体" w:cs="宋体"/>
          <w:sz w:val="24"/>
        </w:rPr>
      </w:pPr>
      <w:r>
        <w:rPr>
          <w:rFonts w:hint="eastAsia" w:ascii="宋体" w:hAnsi="宋体" w:cs="宋体"/>
          <w:sz w:val="24"/>
        </w:rPr>
        <w:t>特此证明。</w:t>
      </w:r>
    </w:p>
    <w:p>
      <w:pPr>
        <w:spacing w:line="500" w:lineRule="exact"/>
        <w:ind w:left="540"/>
        <w:rPr>
          <w:rFonts w:ascii="宋体" w:hAnsi="宋体" w:cs="宋体"/>
          <w:sz w:val="24"/>
        </w:rPr>
      </w:pPr>
    </w:p>
    <w:p>
      <w:pPr>
        <w:spacing w:line="500" w:lineRule="exact"/>
        <w:ind w:left="540"/>
        <w:rPr>
          <w:rFonts w:ascii="宋体" w:hAnsi="宋体" w:cs="宋体"/>
          <w:sz w:val="24"/>
        </w:rPr>
      </w:pPr>
    </w:p>
    <w:p>
      <w:pPr>
        <w:spacing w:line="500" w:lineRule="exact"/>
        <w:ind w:left="540"/>
        <w:rPr>
          <w:rFonts w:ascii="宋体" w:hAnsi="宋体" w:cs="宋体"/>
          <w:sz w:val="24"/>
        </w:rPr>
      </w:pPr>
      <w:r>
        <w:rPr>
          <w:rFonts w:hint="eastAsia" w:ascii="宋体" w:hAnsi="宋体" w:cs="宋体"/>
          <w:sz w:val="24"/>
        </w:rPr>
        <w:t>附件：法定代表人有效身份证正反面复印件</w:t>
      </w:r>
    </w:p>
    <w:p>
      <w:pPr>
        <w:spacing w:line="500" w:lineRule="exact"/>
        <w:ind w:left="540"/>
        <w:rPr>
          <w:rFonts w:ascii="宋体" w:hAnsi="宋体" w:cs="宋体"/>
          <w:sz w:val="24"/>
        </w:rPr>
      </w:pPr>
    </w:p>
    <w:p>
      <w:pPr>
        <w:spacing w:line="500" w:lineRule="exact"/>
        <w:ind w:left="540"/>
        <w:jc w:val="right"/>
        <w:rPr>
          <w:rFonts w:ascii="宋体" w:hAnsi="宋体" w:cs="宋体"/>
          <w:sz w:val="24"/>
        </w:rPr>
      </w:pPr>
      <w:r>
        <w:rPr>
          <w:rFonts w:hint="eastAsia" w:ascii="宋体" w:hAnsi="宋体" w:cs="宋体"/>
          <w:sz w:val="24"/>
        </w:rPr>
        <w:t>投标人名称（电子签章）</w:t>
      </w:r>
    </w:p>
    <w:p>
      <w:pPr>
        <w:spacing w:line="500" w:lineRule="exact"/>
        <w:ind w:left="540"/>
        <w:jc w:val="right"/>
        <w:rPr>
          <w:rFonts w:ascii="宋体" w:hAnsi="宋体" w:cs="宋体"/>
          <w:sz w:val="24"/>
        </w:rPr>
      </w:pPr>
    </w:p>
    <w:p>
      <w:pPr>
        <w:snapToGrid w:val="0"/>
        <w:spacing w:before="120" w:beforeLines="50" w:after="50"/>
        <w:ind w:left="540"/>
        <w:jc w:val="righ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napToGrid w:val="0"/>
        <w:spacing w:before="120" w:beforeLines="50" w:after="50"/>
        <w:jc w:val="center"/>
        <w:rPr>
          <w:rFonts w:ascii="宋体" w:hAnsi="宋体" w:cs="宋体"/>
          <w:b/>
          <w:sz w:val="24"/>
        </w:rPr>
      </w:pPr>
    </w:p>
    <w:p>
      <w:pPr>
        <w:snapToGrid w:val="0"/>
        <w:spacing w:before="120" w:beforeLines="50" w:after="50"/>
        <w:jc w:val="left"/>
        <w:rPr>
          <w:rFonts w:ascii="宋体" w:hAnsi="宋体" w:cs="宋体"/>
          <w:b/>
          <w:sz w:val="24"/>
          <w:szCs w:val="20"/>
        </w:rPr>
      </w:pPr>
      <w:r>
        <w:rPr>
          <w:rFonts w:hint="eastAsia" w:ascii="宋体" w:hAnsi="宋体" w:cs="宋体"/>
          <w:sz w:val="24"/>
        </w:rPr>
        <w:t>注：自然人投标的无需提供</w:t>
      </w:r>
    </w:p>
    <w:p>
      <w:pPr>
        <w:snapToGrid w:val="0"/>
        <w:spacing w:line="360" w:lineRule="auto"/>
        <w:ind w:firstLine="482" w:firstLineChars="200"/>
        <w:jc w:val="left"/>
        <w:rPr>
          <w:rFonts w:ascii="宋体" w:hAnsi="宋体" w:cs="宋体"/>
          <w:b/>
          <w:sz w:val="24"/>
          <w:szCs w:val="20"/>
        </w:rPr>
      </w:pPr>
      <w:r>
        <w:rPr>
          <w:rFonts w:hint="eastAsia" w:ascii="宋体" w:hAnsi="宋体" w:cs="宋体"/>
          <w:b/>
          <w:sz w:val="24"/>
        </w:rPr>
        <w:br w:type="page"/>
      </w:r>
      <w:r>
        <w:rPr>
          <w:rFonts w:hint="eastAsia" w:ascii="宋体" w:hAnsi="宋体" w:cs="宋体"/>
          <w:b/>
          <w:sz w:val="24"/>
        </w:rPr>
        <w:t>5.授权委托书格式</w:t>
      </w:r>
    </w:p>
    <w:p>
      <w:pPr>
        <w:snapToGrid w:val="0"/>
        <w:spacing w:before="120" w:beforeLines="50" w:after="50"/>
        <w:jc w:val="center"/>
        <w:rPr>
          <w:rFonts w:ascii="宋体" w:hAnsi="宋体" w:cs="宋体"/>
          <w:b/>
          <w:sz w:val="44"/>
          <w:szCs w:val="44"/>
        </w:rPr>
      </w:pPr>
    </w:p>
    <w:p>
      <w:pPr>
        <w:spacing w:line="360" w:lineRule="auto"/>
        <w:contextualSpacing/>
        <w:jc w:val="center"/>
        <w:rPr>
          <w:rFonts w:ascii="宋体" w:hAnsi="宋体" w:cs="宋体"/>
          <w:bCs/>
          <w:sz w:val="44"/>
          <w:szCs w:val="44"/>
        </w:rPr>
      </w:pPr>
      <w:r>
        <w:rPr>
          <w:rFonts w:hint="eastAsia" w:ascii="宋体" w:hAnsi="宋体" w:cs="宋体"/>
          <w:bCs/>
          <w:sz w:val="44"/>
          <w:szCs w:val="44"/>
        </w:rPr>
        <w:t>授权委托书</w:t>
      </w:r>
    </w:p>
    <w:p>
      <w:pPr>
        <w:spacing w:line="360" w:lineRule="auto"/>
        <w:contextualSpacing/>
        <w:jc w:val="center"/>
        <w:rPr>
          <w:rFonts w:ascii="宋体" w:hAnsi="宋体" w:cs="宋体"/>
          <w:bCs/>
          <w:sz w:val="32"/>
          <w:szCs w:val="32"/>
        </w:rPr>
      </w:pPr>
      <w:r>
        <w:rPr>
          <w:rFonts w:hint="eastAsia" w:ascii="宋体" w:hAnsi="宋体" w:cs="宋体"/>
          <w:bCs/>
          <w:sz w:val="32"/>
          <w:szCs w:val="32"/>
        </w:rPr>
        <w:t>（非联合体投标格式）</w:t>
      </w:r>
    </w:p>
    <w:p>
      <w:pPr>
        <w:spacing w:line="360" w:lineRule="auto"/>
        <w:contextualSpacing/>
        <w:jc w:val="center"/>
        <w:rPr>
          <w:rFonts w:ascii="宋体" w:hAnsi="宋体" w:cs="宋体"/>
          <w:bCs/>
          <w:sz w:val="24"/>
        </w:rPr>
      </w:pPr>
      <w:r>
        <w:rPr>
          <w:rFonts w:hint="eastAsia" w:ascii="宋体" w:hAnsi="宋体" w:cs="宋体"/>
          <w:bCs/>
          <w:sz w:val="32"/>
          <w:szCs w:val="32"/>
        </w:rPr>
        <w:t>（如有委托时）</w:t>
      </w:r>
    </w:p>
    <w:p>
      <w:pPr>
        <w:spacing w:line="440" w:lineRule="exact"/>
        <w:contextualSpacing/>
        <w:jc w:val="center"/>
        <w:rPr>
          <w:rFonts w:ascii="宋体" w:hAnsi="宋体" w:cs="宋体"/>
          <w:b/>
          <w:sz w:val="24"/>
        </w:rPr>
      </w:pPr>
    </w:p>
    <w:p>
      <w:pPr>
        <w:spacing w:line="440" w:lineRule="exact"/>
        <w:contextualSpacing/>
        <w:rPr>
          <w:rFonts w:ascii="宋体" w:hAnsi="宋体" w:cs="宋体"/>
          <w:b/>
          <w:bCs/>
          <w:sz w:val="24"/>
        </w:rPr>
      </w:pPr>
      <w:r>
        <w:rPr>
          <w:rFonts w:hint="eastAsia" w:ascii="宋体" w:hAnsi="宋体" w:cs="宋体"/>
          <w:bCs/>
          <w:sz w:val="24"/>
        </w:rPr>
        <w:t>致：</w:t>
      </w:r>
      <w:r>
        <w:rPr>
          <w:rFonts w:hint="eastAsia" w:ascii="宋体" w:hAnsi="宋体" w:cs="宋体"/>
          <w:sz w:val="24"/>
          <w:u w:val="single"/>
        </w:rPr>
        <w:t>采购人名称</w:t>
      </w:r>
      <w:r>
        <w:rPr>
          <w:rFonts w:hint="eastAsia" w:ascii="宋体" w:hAnsi="宋体" w:cs="宋体"/>
          <w:sz w:val="24"/>
        </w:rPr>
        <w:t>：</w:t>
      </w:r>
    </w:p>
    <w:p>
      <w:pPr>
        <w:spacing w:line="440" w:lineRule="exact"/>
        <w:ind w:firstLine="566" w:firstLineChars="236"/>
        <w:contextualSpacing/>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（姓名）</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sz w:val="24"/>
        </w:rPr>
        <w:t>项目的投标活动，并代表我方全权办理针对上述项目的所有采购程序和环节的具体事务和签署相关文件。</w:t>
      </w:r>
    </w:p>
    <w:p>
      <w:pPr>
        <w:spacing w:line="440" w:lineRule="exact"/>
        <w:contextualSpacing/>
        <w:rPr>
          <w:rFonts w:ascii="宋体" w:hAnsi="宋体" w:cs="宋体"/>
          <w:sz w:val="24"/>
        </w:rPr>
      </w:pPr>
      <w:r>
        <w:rPr>
          <w:rFonts w:hint="eastAsia" w:ascii="宋体" w:hAnsi="宋体" w:cs="宋体"/>
          <w:sz w:val="24"/>
        </w:rPr>
        <w:t xml:space="preserve">    我方对委托代理人的签字事项负全部责任。</w:t>
      </w:r>
    </w:p>
    <w:p>
      <w:pPr>
        <w:spacing w:line="440" w:lineRule="exact"/>
        <w:ind w:firstLine="480"/>
        <w:contextualSpacing/>
        <w:rPr>
          <w:rFonts w:ascii="宋体" w:hAnsi="宋体" w:cs="宋体"/>
          <w:sz w:val="24"/>
        </w:rPr>
      </w:pPr>
      <w:r>
        <w:rPr>
          <w:rFonts w:hint="eastAsia" w:ascii="宋体" w:hAnsi="宋体" w:cs="宋体"/>
          <w:sz w:val="24"/>
          <w:u w:val="single"/>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ascii="宋体" w:hAnsi="宋体" w:cs="宋体"/>
          <w:sz w:val="24"/>
        </w:rPr>
      </w:pPr>
      <w:r>
        <w:rPr>
          <w:rFonts w:hint="eastAsia" w:ascii="宋体" w:hAnsi="宋体" w:cs="宋体"/>
          <w:sz w:val="24"/>
        </w:rPr>
        <w:t>委托代理人无转委托权，特此委托。</w:t>
      </w:r>
    </w:p>
    <w:p>
      <w:pPr>
        <w:spacing w:line="440" w:lineRule="exact"/>
        <w:ind w:firstLine="480"/>
        <w:contextualSpacing/>
        <w:rPr>
          <w:rFonts w:ascii="宋体" w:hAnsi="宋体" w:cs="宋体"/>
          <w:sz w:val="24"/>
        </w:rPr>
      </w:pPr>
      <w:r>
        <w:rPr>
          <w:rFonts w:hint="eastAsia" w:ascii="宋体" w:hAnsi="宋体" w:cs="宋体"/>
          <w:sz w:val="24"/>
        </w:rPr>
        <w:t>附：法定代表人身份证明及委托代理人有效身份证正反面复印件</w:t>
      </w:r>
    </w:p>
    <w:p>
      <w:pPr>
        <w:spacing w:line="440" w:lineRule="exact"/>
        <w:contextualSpacing/>
        <w:rPr>
          <w:rFonts w:ascii="宋体" w:hAnsi="宋体" w:cs="宋体"/>
          <w:sz w:val="24"/>
        </w:rPr>
      </w:pPr>
    </w:p>
    <w:p>
      <w:pPr>
        <w:spacing w:line="440" w:lineRule="exact"/>
        <w:contextualSpacing/>
        <w:rPr>
          <w:rFonts w:ascii="宋体" w:hAnsi="宋体" w:cs="宋体"/>
          <w:sz w:val="24"/>
          <w:u w:val="single"/>
        </w:rPr>
      </w:pPr>
      <w:r>
        <w:rPr>
          <w:rFonts w:hint="eastAsia" w:ascii="宋体" w:hAnsi="宋体" w:cs="宋体"/>
          <w:sz w:val="24"/>
        </w:rPr>
        <w:t>委托代理人（签字或电子签名）：</w:t>
      </w:r>
      <w:r>
        <w:rPr>
          <w:rFonts w:hint="eastAsia" w:ascii="宋体" w:hAnsi="宋体" w:cs="宋体"/>
          <w:sz w:val="24"/>
          <w:u w:val="single"/>
        </w:rPr>
        <w:t xml:space="preserve">               </w:t>
      </w:r>
      <w:r>
        <w:rPr>
          <w:rFonts w:hint="eastAsia" w:ascii="宋体" w:hAnsi="宋体" w:cs="宋体"/>
          <w:sz w:val="24"/>
        </w:rPr>
        <w:t xml:space="preserve"> 法定代表人（签字或电子签名）：</w:t>
      </w:r>
      <w:r>
        <w:rPr>
          <w:rFonts w:hint="eastAsia" w:ascii="宋体" w:hAnsi="宋体" w:cs="宋体"/>
          <w:sz w:val="24"/>
          <w:u w:val="single"/>
        </w:rPr>
        <w:t xml:space="preserve">              </w:t>
      </w:r>
    </w:p>
    <w:p>
      <w:pPr>
        <w:spacing w:line="440" w:lineRule="exact"/>
        <w:contextualSpacing/>
        <w:rPr>
          <w:rFonts w:ascii="宋体" w:hAnsi="宋体" w:cs="宋体"/>
          <w:sz w:val="24"/>
        </w:rPr>
      </w:pPr>
      <w:r>
        <w:rPr>
          <w:rFonts w:hint="eastAsia" w:ascii="宋体" w:hAnsi="宋体" w:cs="宋体"/>
          <w:sz w:val="24"/>
        </w:rPr>
        <w:t>委托代理人身份证号码：</w:t>
      </w:r>
      <w:r>
        <w:rPr>
          <w:rFonts w:hint="eastAsia" w:ascii="宋体" w:hAnsi="宋体" w:cs="宋体"/>
          <w:sz w:val="24"/>
          <w:u w:val="single"/>
        </w:rPr>
        <w:t xml:space="preserve">                             </w:t>
      </w:r>
      <w:r>
        <w:rPr>
          <w:rFonts w:hint="eastAsia" w:ascii="宋体" w:hAnsi="宋体" w:cs="宋体"/>
          <w:sz w:val="24"/>
        </w:rPr>
        <w:t xml:space="preserve"> </w:t>
      </w:r>
    </w:p>
    <w:p>
      <w:pPr>
        <w:spacing w:line="440" w:lineRule="exact"/>
        <w:contextualSpacing/>
        <w:jc w:val="center"/>
        <w:rPr>
          <w:rFonts w:ascii="宋体" w:hAnsi="宋体" w:cs="宋体"/>
          <w:sz w:val="24"/>
        </w:rPr>
      </w:pPr>
      <w:r>
        <w:rPr>
          <w:rFonts w:hint="eastAsia" w:ascii="宋体" w:hAnsi="宋体" w:cs="宋体"/>
          <w:sz w:val="24"/>
        </w:rPr>
        <w:t xml:space="preserve">                                                投标人（电子签章）：</w:t>
      </w:r>
    </w:p>
    <w:p>
      <w:pPr>
        <w:spacing w:line="440" w:lineRule="exact"/>
        <w:contextualSpacing/>
        <w:jc w:val="center"/>
        <w:rPr>
          <w:rFonts w:ascii="宋体" w:hAnsi="宋体" w:cs="宋体"/>
          <w:sz w:val="24"/>
        </w:rPr>
      </w:pPr>
      <w:r>
        <w:rPr>
          <w:rFonts w:hint="eastAsia" w:ascii="宋体" w:hAnsi="宋体" w:cs="宋体"/>
          <w:sz w:val="24"/>
        </w:rPr>
        <w:t xml:space="preserve">                                              年    月    日</w:t>
      </w:r>
    </w:p>
    <w:p>
      <w:pPr>
        <w:spacing w:line="440" w:lineRule="exact"/>
        <w:contextualSpacing/>
        <w:rPr>
          <w:rFonts w:ascii="宋体" w:hAnsi="宋体" w:cs="宋体"/>
          <w:sz w:val="24"/>
        </w:rPr>
      </w:pPr>
      <w:r>
        <w:rPr>
          <w:rFonts w:hint="eastAsia" w:ascii="宋体" w:hAnsi="宋体" w:cs="宋体"/>
          <w:sz w:val="24"/>
        </w:rPr>
        <w:t>注：1.</w:t>
      </w:r>
      <w:bookmarkStart w:id="163" w:name="_Hlk65851555"/>
      <w:bookmarkStart w:id="164" w:name="_Hlk65851620"/>
      <w:r>
        <w:rPr>
          <w:rFonts w:hint="eastAsia" w:ascii="宋体" w:hAnsi="宋体" w:cs="宋体"/>
          <w:sz w:val="24"/>
        </w:rPr>
        <w:t>法定代表人必须在授权委托书上亲笔签字或者盖章，</w:t>
      </w:r>
      <w:bookmarkEnd w:id="163"/>
      <w:r>
        <w:rPr>
          <w:rFonts w:hint="eastAsia" w:ascii="宋体" w:hAnsi="宋体" w:cs="宋体"/>
          <w:sz w:val="24"/>
        </w:rPr>
        <w:t>委托代理人必须在授权委托书上亲笔签字，</w:t>
      </w:r>
      <w:r>
        <w:rPr>
          <w:rFonts w:hint="eastAsia" w:ascii="宋体" w:hAnsi="宋体" w:cs="宋体"/>
          <w:b/>
          <w:bCs/>
          <w:sz w:val="24"/>
        </w:rPr>
        <w:t>否则按无效投标处理</w:t>
      </w:r>
      <w:r>
        <w:rPr>
          <w:rFonts w:hint="eastAsia" w:ascii="宋体" w:hAnsi="宋体" w:cs="宋体"/>
          <w:sz w:val="24"/>
        </w:rPr>
        <w:t>；</w:t>
      </w:r>
      <w:bookmarkEnd w:id="164"/>
    </w:p>
    <w:p>
      <w:pPr>
        <w:spacing w:line="440" w:lineRule="exact"/>
        <w:ind w:firstLine="480" w:firstLineChars="200"/>
        <w:contextualSpacing/>
        <w:jc w:val="left"/>
        <w:rPr>
          <w:rFonts w:ascii="宋体" w:hAnsi="宋体" w:cs="宋体"/>
          <w:sz w:val="24"/>
        </w:rPr>
      </w:pPr>
      <w:r>
        <w:rPr>
          <w:rFonts w:hint="eastAsia" w:ascii="宋体" w:hAnsi="宋体" w:cs="宋体"/>
          <w:sz w:val="24"/>
        </w:rPr>
        <w:t>2.法人、其他组织投标时“我方”是指“我单位”，自然人投标时“我方”是指“本人”。</w:t>
      </w:r>
    </w:p>
    <w:p>
      <w:pPr>
        <w:spacing w:line="440" w:lineRule="exact"/>
        <w:contextualSpacing/>
        <w:jc w:val="left"/>
        <w:rPr>
          <w:rFonts w:ascii="宋体" w:hAnsi="宋体" w:cs="宋体"/>
          <w:sz w:val="24"/>
        </w:rPr>
      </w:pPr>
    </w:p>
    <w:p>
      <w:pPr>
        <w:snapToGrid w:val="0"/>
        <w:spacing w:before="50" w:after="120" w:afterLines="50"/>
        <w:ind w:firstLine="480" w:firstLineChars="200"/>
        <w:jc w:val="left"/>
        <w:rPr>
          <w:rFonts w:ascii="宋体" w:hAnsi="宋体" w:cs="宋体"/>
          <w:sz w:val="24"/>
        </w:rPr>
        <w:sectPr>
          <w:footerReference r:id="rId7" w:type="first"/>
          <w:headerReference r:id="rId4" w:type="default"/>
          <w:footerReference r:id="rId5" w:type="default"/>
          <w:footerReference r:id="rId6" w:type="even"/>
          <w:pgSz w:w="11906" w:h="16838"/>
          <w:pgMar w:top="1134" w:right="1134" w:bottom="1134" w:left="1134" w:header="851" w:footer="567" w:gutter="0"/>
          <w:cols w:space="720" w:num="1"/>
          <w:titlePg/>
          <w:docGrid w:linePitch="312" w:charSpace="0"/>
        </w:sectPr>
      </w:pPr>
    </w:p>
    <w:p>
      <w:pPr>
        <w:rPr>
          <w:rFonts w:ascii="宋体" w:hAnsi="宋体" w:cs="宋体"/>
          <w:sz w:val="24"/>
        </w:rPr>
      </w:pPr>
    </w:p>
    <w:p>
      <w:pPr>
        <w:rPr>
          <w:rFonts w:ascii="宋体" w:hAnsi="宋体" w:cs="宋体"/>
          <w:b/>
          <w:sz w:val="24"/>
          <w:szCs w:val="20"/>
        </w:rPr>
      </w:pPr>
      <w:r>
        <w:rPr>
          <w:rFonts w:hint="eastAsia" w:ascii="宋体" w:hAnsi="宋体" w:cs="宋体"/>
          <w:b/>
          <w:sz w:val="24"/>
        </w:rPr>
        <w:t>6.商务要求偏离表格式（注：按项目需求表具体项目修改）</w:t>
      </w:r>
    </w:p>
    <w:p>
      <w:pPr>
        <w:snapToGrid w:val="0"/>
        <w:spacing w:before="50"/>
        <w:jc w:val="left"/>
        <w:rPr>
          <w:rFonts w:ascii="宋体" w:hAnsi="宋体" w:cs="宋体"/>
          <w:sz w:val="24"/>
        </w:rPr>
      </w:pPr>
    </w:p>
    <w:p>
      <w:pPr>
        <w:snapToGrid w:val="0"/>
        <w:spacing w:before="50"/>
        <w:jc w:val="left"/>
        <w:rPr>
          <w:rFonts w:ascii="宋体" w:hAnsi="宋体" w:cs="宋体"/>
          <w:sz w:val="24"/>
          <w:u w:val="single"/>
        </w:rPr>
      </w:pPr>
    </w:p>
    <w:tbl>
      <w:tblPr>
        <w:tblStyle w:val="47"/>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2"/>
        <w:gridCol w:w="3064"/>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2"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s="宋体"/>
                <w:sz w:val="24"/>
              </w:rPr>
            </w:pPr>
            <w:r>
              <w:rPr>
                <w:rFonts w:hint="eastAsia" w:ascii="宋体" w:hAnsi="宋体" w:cs="宋体"/>
                <w:sz w:val="24"/>
              </w:rPr>
              <w:t>项目</w:t>
            </w:r>
          </w:p>
        </w:tc>
        <w:tc>
          <w:tcPr>
            <w:tcW w:w="3064"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s="宋体"/>
                <w:sz w:val="24"/>
              </w:rPr>
            </w:pPr>
            <w:r>
              <w:rPr>
                <w:rFonts w:hint="eastAsia" w:ascii="宋体" w:hAnsi="宋体" w:cs="宋体"/>
                <w:sz w:val="24"/>
              </w:rPr>
              <w:t>招标文件商务要求</w:t>
            </w: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s="宋体"/>
                <w:sz w:val="24"/>
              </w:rPr>
            </w:pPr>
            <w:r>
              <w:rPr>
                <w:rFonts w:hint="eastAsia" w:ascii="宋体" w:hAnsi="宋体" w:cs="宋体"/>
                <w:sz w:val="24"/>
              </w:rPr>
              <w:t>投标人的承诺</w:t>
            </w: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s="宋体"/>
                <w:sz w:val="24"/>
              </w:rPr>
            </w:pPr>
            <w:r>
              <w:rPr>
                <w:rFonts w:hint="eastAsia" w:ascii="宋体" w:hAnsi="宋体" w:cs="宋体"/>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交付（实施）的时间（期限）和地点（范围）</w:t>
            </w:r>
          </w:p>
        </w:tc>
        <w:tc>
          <w:tcPr>
            <w:tcW w:w="3064"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s="宋体"/>
                <w:sz w:val="24"/>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合同签订时间</w:t>
            </w:r>
          </w:p>
        </w:tc>
        <w:tc>
          <w:tcPr>
            <w:tcW w:w="306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 w:val="24"/>
                <w:u w:val="singl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2"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s="宋体"/>
                <w:sz w:val="24"/>
              </w:rPr>
            </w:pPr>
            <w:r>
              <w:rPr>
                <w:rFonts w:hint="eastAsia" w:ascii="宋体" w:hAnsi="宋体" w:cs="宋体"/>
                <w:sz w:val="24"/>
              </w:rPr>
              <w:t>…</w:t>
            </w:r>
          </w:p>
        </w:tc>
        <w:tc>
          <w:tcPr>
            <w:tcW w:w="3064"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s="宋体"/>
                <w:sz w:val="24"/>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s="宋体"/>
                <w:sz w:val="24"/>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s="宋体"/>
                <w:sz w:val="24"/>
              </w:rPr>
            </w:pPr>
          </w:p>
        </w:tc>
      </w:tr>
    </w:tbl>
    <w:p>
      <w:pPr>
        <w:pStyle w:val="18"/>
        <w:rPr>
          <w:rFonts w:ascii="宋体" w:hAnsi="宋体" w:cs="宋体"/>
        </w:rPr>
      </w:pPr>
      <w:r>
        <w:rPr>
          <w:rFonts w:hint="eastAsia" w:ascii="宋体" w:hAnsi="宋体" w:cs="宋体"/>
        </w:rPr>
        <w:t>注：</w:t>
      </w:r>
    </w:p>
    <w:p>
      <w:pPr>
        <w:pStyle w:val="20"/>
        <w:spacing w:line="520" w:lineRule="exact"/>
        <w:ind w:firstLine="0" w:firstLineChars="0"/>
        <w:rPr>
          <w:rFonts w:ascii="宋体" w:hAnsi="宋体" w:eastAsia="宋体" w:cs="宋体"/>
          <w:szCs w:val="32"/>
        </w:rPr>
      </w:pPr>
      <w:r>
        <w:rPr>
          <w:rFonts w:hint="eastAsia" w:ascii="宋体" w:hAnsi="宋体" w:eastAsia="宋体" w:cs="宋体"/>
          <w:sz w:val="24"/>
          <w:szCs w:val="24"/>
        </w:rPr>
        <w:t>1.</w:t>
      </w:r>
      <w:r>
        <w:rPr>
          <w:rFonts w:ascii="宋体" w:hAnsi="宋体" w:eastAsia="宋体" w:cs="宋体"/>
        </w:rPr>
        <w:t xml:space="preserve"> </w:t>
      </w:r>
      <w:r>
        <w:rPr>
          <w:rFonts w:hint="eastAsia" w:ascii="宋体" w:hAnsi="宋体" w:eastAsia="宋体" w:cs="宋体"/>
          <w:sz w:val="24"/>
          <w:szCs w:val="24"/>
        </w:rPr>
        <w:t>说明：应对照招标文件“第二章 采购需求”中的商务要求逐条作明确的投标响应，并作出偏离说明。</w:t>
      </w:r>
    </w:p>
    <w:p>
      <w:pPr>
        <w:pStyle w:val="18"/>
        <w:rPr>
          <w:rFonts w:ascii="宋体" w:hAnsi="宋体" w:cs="宋体"/>
          <w:b w:val="0"/>
          <w:bCs w:val="0"/>
        </w:rPr>
      </w:pPr>
      <w:r>
        <w:rPr>
          <w:rFonts w:hint="eastAsia" w:ascii="宋体" w:hAnsi="宋体" w:cs="宋体"/>
          <w:b w:val="0"/>
          <w:bCs w:val="0"/>
        </w:rPr>
        <w:t>2.投标人应根据自身的承诺，对照招标文件要求在“偏离说明”中注明“</w:t>
      </w:r>
      <w:r>
        <w:rPr>
          <w:rFonts w:hint="eastAsia" w:ascii="宋体" w:hAnsi="宋体" w:cs="宋体"/>
        </w:rPr>
        <w:t>正偏离</w:t>
      </w:r>
      <w:r>
        <w:rPr>
          <w:rFonts w:hint="eastAsia" w:ascii="宋体" w:hAnsi="宋体" w:cs="宋体"/>
          <w:b w:val="0"/>
          <w:bCs w:val="0"/>
        </w:rPr>
        <w:t>”、“</w:t>
      </w:r>
      <w:r>
        <w:rPr>
          <w:rFonts w:hint="eastAsia" w:ascii="宋体" w:hAnsi="宋体" w:cs="宋体"/>
        </w:rPr>
        <w:t>负偏离</w:t>
      </w:r>
      <w:r>
        <w:rPr>
          <w:rFonts w:hint="eastAsia" w:ascii="宋体" w:hAnsi="宋体" w:cs="宋体"/>
          <w:b w:val="0"/>
          <w:bCs w:val="0"/>
        </w:rPr>
        <w:t>”或者“</w:t>
      </w:r>
      <w:r>
        <w:rPr>
          <w:rFonts w:hint="eastAsia" w:ascii="宋体" w:hAnsi="宋体" w:cs="宋体"/>
        </w:rPr>
        <w:t>无偏离</w:t>
      </w:r>
      <w:r>
        <w:rPr>
          <w:rFonts w:hint="eastAsia" w:ascii="宋体" w:hAnsi="宋体" w:cs="宋体"/>
          <w:b w:val="0"/>
          <w:bCs w:val="0"/>
        </w:rPr>
        <w:t>”。既不属于“</w:t>
      </w:r>
      <w:r>
        <w:rPr>
          <w:rFonts w:hint="eastAsia" w:ascii="宋体" w:hAnsi="宋体" w:cs="宋体"/>
        </w:rPr>
        <w:t>正偏离</w:t>
      </w:r>
      <w:r>
        <w:rPr>
          <w:rFonts w:hint="eastAsia" w:ascii="宋体" w:hAnsi="宋体" w:cs="宋体"/>
          <w:b w:val="0"/>
          <w:bCs w:val="0"/>
        </w:rPr>
        <w:t>”也不属于“</w:t>
      </w:r>
      <w:r>
        <w:rPr>
          <w:rFonts w:hint="eastAsia" w:ascii="宋体" w:hAnsi="宋体" w:cs="宋体"/>
        </w:rPr>
        <w:t>负偏离</w:t>
      </w:r>
      <w:r>
        <w:rPr>
          <w:rFonts w:hint="eastAsia" w:ascii="宋体" w:hAnsi="宋体" w:cs="宋体"/>
          <w:b w:val="0"/>
          <w:bCs w:val="0"/>
        </w:rPr>
        <w:t>”即为“</w:t>
      </w:r>
      <w:r>
        <w:rPr>
          <w:rFonts w:hint="eastAsia" w:ascii="宋体" w:hAnsi="宋体" w:cs="宋体"/>
        </w:rPr>
        <w:t>无偏离</w:t>
      </w:r>
      <w:r>
        <w:rPr>
          <w:rFonts w:hint="eastAsia" w:ascii="宋体" w:hAnsi="宋体" w:cs="宋体"/>
          <w:b w:val="0"/>
          <w:bCs w:val="0"/>
        </w:rPr>
        <w:t>”。</w:t>
      </w:r>
    </w:p>
    <w:p>
      <w:pPr>
        <w:snapToGrid w:val="0"/>
        <w:spacing w:before="50" w:after="50"/>
        <w:rPr>
          <w:rFonts w:ascii="宋体" w:hAnsi="宋体" w:cs="宋体"/>
          <w:sz w:val="24"/>
        </w:rPr>
      </w:pPr>
    </w:p>
    <w:p>
      <w:pPr>
        <w:snapToGrid w:val="0"/>
        <w:spacing w:before="50" w:after="50"/>
        <w:rPr>
          <w:rFonts w:ascii="宋体" w:hAnsi="宋体" w:cs="宋体"/>
          <w:spacing w:val="20"/>
          <w:sz w:val="24"/>
          <w:u w:val="single"/>
        </w:rPr>
      </w:pPr>
      <w:r>
        <w:rPr>
          <w:rFonts w:hint="eastAsia" w:ascii="宋体" w:hAnsi="宋体" w:cs="宋体"/>
          <w:sz w:val="24"/>
        </w:rPr>
        <w:t>法定代表人或者委托代理人</w:t>
      </w:r>
      <w:r>
        <w:rPr>
          <w:rFonts w:hint="eastAsia" w:ascii="宋体" w:hAnsi="宋体" w:cs="宋体"/>
          <w:spacing w:val="20"/>
          <w:sz w:val="24"/>
        </w:rPr>
        <w:t>（</w:t>
      </w:r>
      <w:r>
        <w:rPr>
          <w:rFonts w:hint="eastAsia" w:ascii="宋体" w:hAnsi="宋体" w:cs="宋体"/>
          <w:sz w:val="24"/>
        </w:rPr>
        <w:t>签字或电子签名</w:t>
      </w:r>
      <w:r>
        <w:rPr>
          <w:rFonts w:hint="eastAsia" w:ascii="宋体" w:hAnsi="宋体" w:cs="宋体"/>
          <w:spacing w:val="20"/>
          <w:sz w:val="24"/>
        </w:rPr>
        <w:t>）：</w:t>
      </w:r>
      <w:r>
        <w:rPr>
          <w:rFonts w:hint="eastAsia" w:ascii="宋体" w:hAnsi="宋体" w:cs="宋体"/>
          <w:spacing w:val="20"/>
          <w:sz w:val="24"/>
          <w:u w:val="single"/>
        </w:rPr>
        <w:t xml:space="preserve">        </w:t>
      </w:r>
    </w:p>
    <w:p>
      <w:pPr>
        <w:snapToGrid w:val="0"/>
        <w:spacing w:before="120" w:beforeLines="50"/>
        <w:rPr>
          <w:rFonts w:ascii="宋体" w:hAnsi="宋体" w:cs="宋体"/>
          <w:spacing w:val="20"/>
          <w:sz w:val="24"/>
        </w:rPr>
      </w:pPr>
      <w:r>
        <w:rPr>
          <w:rFonts w:hint="eastAsia" w:ascii="宋体" w:hAnsi="宋体" w:cs="宋体"/>
          <w:spacing w:val="20"/>
          <w:sz w:val="24"/>
        </w:rPr>
        <w:t>投标人（</w:t>
      </w:r>
      <w:r>
        <w:rPr>
          <w:rFonts w:hint="eastAsia" w:ascii="宋体" w:hAnsi="宋体" w:cs="宋体"/>
          <w:sz w:val="24"/>
        </w:rPr>
        <w:t>电子签章)</w:t>
      </w:r>
      <w:r>
        <w:rPr>
          <w:rFonts w:hint="eastAsia" w:ascii="宋体" w:hAnsi="宋体" w:cs="宋体"/>
          <w:spacing w:val="20"/>
          <w:sz w:val="24"/>
        </w:rPr>
        <w:t>：</w:t>
      </w:r>
      <w:r>
        <w:rPr>
          <w:rFonts w:hint="eastAsia" w:ascii="宋体" w:hAnsi="宋体" w:cs="宋体"/>
          <w:spacing w:val="20"/>
          <w:sz w:val="24"/>
          <w:u w:val="single"/>
        </w:rPr>
        <w:t xml:space="preserve">            </w:t>
      </w:r>
      <w:r>
        <w:rPr>
          <w:rFonts w:hint="eastAsia" w:ascii="宋体" w:hAnsi="宋体" w:cs="宋体"/>
          <w:spacing w:val="20"/>
          <w:sz w:val="24"/>
        </w:rPr>
        <w:t xml:space="preserve">   </w:t>
      </w:r>
    </w:p>
    <w:p>
      <w:pPr>
        <w:snapToGrid w:val="0"/>
        <w:spacing w:before="120" w:beforeLines="50"/>
        <w:rPr>
          <w:rFonts w:ascii="宋体" w:hAnsi="宋体" w:cs="宋体"/>
          <w:sz w:val="24"/>
          <w:szCs w:val="20"/>
        </w:rPr>
      </w:pPr>
      <w:r>
        <w:rPr>
          <w:rFonts w:hint="eastAsia" w:ascii="宋体" w:hAnsi="宋体" w:cs="宋体"/>
          <w:spacing w:val="20"/>
          <w:sz w:val="24"/>
        </w:rPr>
        <w:t>日  期：</w:t>
      </w:r>
      <w:r>
        <w:rPr>
          <w:rFonts w:hint="eastAsia" w:ascii="宋体" w:hAnsi="宋体" w:cs="宋体"/>
          <w:spacing w:val="20"/>
          <w:sz w:val="24"/>
          <w:u w:val="single"/>
        </w:rPr>
        <w:t xml:space="preserve">         </w:t>
      </w:r>
    </w:p>
    <w:p>
      <w:pPr>
        <w:snapToGrid w:val="0"/>
        <w:spacing w:before="120" w:beforeLines="50"/>
        <w:rPr>
          <w:rFonts w:ascii="宋体" w:hAnsi="宋体" w:cs="宋体"/>
          <w:sz w:val="24"/>
          <w:szCs w:val="20"/>
        </w:rPr>
      </w:pPr>
    </w:p>
    <w:p>
      <w:pPr>
        <w:snapToGrid w:val="0"/>
        <w:spacing w:before="120" w:beforeLines="50" w:after="50"/>
        <w:jc w:val="left"/>
        <w:rPr>
          <w:rFonts w:ascii="宋体" w:hAnsi="宋体" w:cs="宋体"/>
          <w:sz w:val="24"/>
          <w:szCs w:val="20"/>
        </w:rPr>
      </w:pPr>
    </w:p>
    <w:p>
      <w:pPr>
        <w:numPr>
          <w:ilvl w:val="0"/>
          <w:numId w:val="8"/>
        </w:numPr>
        <w:snapToGrid w:val="0"/>
        <w:spacing w:before="120" w:beforeLines="50" w:after="50"/>
        <w:rPr>
          <w:rFonts w:ascii="宋体" w:hAnsi="宋体" w:cs="宋体"/>
          <w:szCs w:val="21"/>
        </w:rPr>
      </w:pPr>
      <w:r>
        <w:rPr>
          <w:rFonts w:hint="eastAsia" w:ascii="宋体" w:hAnsi="宋体" w:cs="宋体"/>
          <w:sz w:val="24"/>
          <w:szCs w:val="20"/>
        </w:rPr>
        <w:br w:type="page"/>
      </w:r>
      <w:r>
        <w:rPr>
          <w:rFonts w:hint="eastAsia" w:ascii="宋体" w:hAnsi="宋体" w:cs="宋体"/>
          <w:b/>
          <w:sz w:val="24"/>
        </w:rPr>
        <w:t>售后服务承诺</w:t>
      </w:r>
    </w:p>
    <w:p>
      <w:pPr>
        <w:snapToGrid w:val="0"/>
        <w:spacing w:before="120" w:beforeLines="50" w:after="50"/>
        <w:jc w:val="center"/>
        <w:rPr>
          <w:rFonts w:ascii="宋体" w:hAnsi="宋体" w:cs="宋体"/>
          <w:b/>
          <w:sz w:val="30"/>
          <w:szCs w:val="30"/>
        </w:rPr>
      </w:pPr>
      <w:r>
        <w:rPr>
          <w:rFonts w:hint="eastAsia" w:ascii="宋体" w:hAnsi="宋体" w:cs="宋体"/>
          <w:b/>
          <w:sz w:val="30"/>
          <w:szCs w:val="30"/>
        </w:rPr>
        <w:t>售后服务方案</w:t>
      </w:r>
    </w:p>
    <w:p>
      <w:pPr>
        <w:snapToGrid w:val="0"/>
        <w:spacing w:before="120" w:beforeLines="50" w:after="50"/>
        <w:ind w:firstLine="420" w:firstLineChars="200"/>
        <w:rPr>
          <w:rFonts w:ascii="宋体" w:hAnsi="宋体" w:cs="宋体"/>
          <w:b/>
          <w:szCs w:val="21"/>
        </w:rPr>
      </w:pPr>
      <w:r>
        <w:rPr>
          <w:rFonts w:hint="eastAsia" w:ascii="宋体" w:hAnsi="宋体" w:cs="宋体"/>
          <w:szCs w:val="21"/>
        </w:rPr>
        <w:t>由投标人按本项目招标文件第二章采购需求“货物需求一览表”中商务条款部分的售后服务要求自行填写，其中要包含售后服务承诺书。</w:t>
      </w:r>
    </w:p>
    <w:p>
      <w:pPr>
        <w:autoSpaceDE w:val="0"/>
        <w:autoSpaceDN w:val="0"/>
        <w:rPr>
          <w:rFonts w:ascii="宋体" w:hAnsi="宋体" w:cs="宋体"/>
          <w:b/>
          <w:szCs w:val="21"/>
        </w:rPr>
      </w:pPr>
      <w:r>
        <w:rPr>
          <w:rFonts w:hint="eastAsia" w:ascii="宋体" w:hAnsi="宋体" w:cs="宋体"/>
          <w:b/>
          <w:szCs w:val="21"/>
        </w:rPr>
        <w:t>附表A：售后服务机构情况表</w:t>
      </w:r>
      <w:r>
        <w:rPr>
          <w:rFonts w:hint="eastAsia" w:ascii="宋体" w:hAnsi="宋体" w:cs="宋体"/>
          <w:szCs w:val="21"/>
        </w:rPr>
        <w:t>（按此格式自制）</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8" w:type="dxa"/>
            <w:vAlign w:val="center"/>
          </w:tcPr>
          <w:p>
            <w:pPr>
              <w:autoSpaceDE w:val="0"/>
              <w:autoSpaceDN w:val="0"/>
              <w:jc w:val="center"/>
              <w:rPr>
                <w:rFonts w:ascii="宋体" w:hAnsi="宋体" w:cs="宋体"/>
                <w:b/>
                <w:szCs w:val="21"/>
              </w:rPr>
            </w:pPr>
            <w:r>
              <w:rPr>
                <w:rFonts w:hint="eastAsia" w:ascii="宋体" w:hAnsi="宋体" w:cs="宋体"/>
                <w:b/>
                <w:szCs w:val="21"/>
              </w:rPr>
              <w:t>序号</w:t>
            </w:r>
          </w:p>
        </w:tc>
        <w:tc>
          <w:tcPr>
            <w:tcW w:w="2340" w:type="dxa"/>
            <w:vAlign w:val="center"/>
          </w:tcPr>
          <w:p>
            <w:pPr>
              <w:autoSpaceDE w:val="0"/>
              <w:autoSpaceDN w:val="0"/>
              <w:jc w:val="center"/>
              <w:rPr>
                <w:rFonts w:ascii="宋体" w:hAnsi="宋体" w:cs="宋体"/>
                <w:b/>
                <w:szCs w:val="21"/>
              </w:rPr>
            </w:pPr>
            <w:r>
              <w:rPr>
                <w:rFonts w:hint="eastAsia" w:ascii="宋体" w:hAnsi="宋体" w:cs="宋体"/>
                <w:b/>
                <w:szCs w:val="21"/>
              </w:rPr>
              <w:t>机构名称</w:t>
            </w:r>
          </w:p>
        </w:tc>
        <w:tc>
          <w:tcPr>
            <w:tcW w:w="1095" w:type="dxa"/>
            <w:vAlign w:val="center"/>
          </w:tcPr>
          <w:p>
            <w:pPr>
              <w:autoSpaceDE w:val="0"/>
              <w:autoSpaceDN w:val="0"/>
              <w:jc w:val="center"/>
              <w:rPr>
                <w:rFonts w:ascii="宋体" w:hAnsi="宋体" w:cs="宋体"/>
                <w:b/>
                <w:szCs w:val="21"/>
              </w:rPr>
            </w:pPr>
            <w:r>
              <w:rPr>
                <w:rFonts w:hint="eastAsia" w:ascii="宋体" w:hAnsi="宋体" w:cs="宋体"/>
                <w:b/>
                <w:szCs w:val="21"/>
              </w:rPr>
              <w:t>机构性质</w:t>
            </w:r>
          </w:p>
        </w:tc>
        <w:tc>
          <w:tcPr>
            <w:tcW w:w="1245" w:type="dxa"/>
            <w:vAlign w:val="center"/>
          </w:tcPr>
          <w:p>
            <w:pPr>
              <w:autoSpaceDE w:val="0"/>
              <w:autoSpaceDN w:val="0"/>
              <w:jc w:val="center"/>
              <w:rPr>
                <w:rFonts w:ascii="宋体" w:hAnsi="宋体" w:cs="宋体"/>
                <w:b/>
                <w:szCs w:val="21"/>
              </w:rPr>
            </w:pPr>
            <w:r>
              <w:rPr>
                <w:rFonts w:hint="eastAsia" w:ascii="宋体" w:hAnsi="宋体" w:cs="宋体"/>
                <w:b/>
                <w:szCs w:val="21"/>
              </w:rPr>
              <w:t>注册地址</w:t>
            </w:r>
          </w:p>
        </w:tc>
        <w:tc>
          <w:tcPr>
            <w:tcW w:w="1980" w:type="dxa"/>
            <w:vAlign w:val="center"/>
          </w:tcPr>
          <w:p>
            <w:pPr>
              <w:autoSpaceDE w:val="0"/>
              <w:autoSpaceDN w:val="0"/>
              <w:jc w:val="center"/>
              <w:rPr>
                <w:rFonts w:ascii="宋体" w:hAnsi="宋体" w:cs="宋体"/>
                <w:b/>
                <w:szCs w:val="21"/>
              </w:rPr>
            </w:pPr>
            <w:r>
              <w:rPr>
                <w:rFonts w:hint="eastAsia" w:ascii="宋体" w:hAnsi="宋体" w:cs="宋体"/>
                <w:b/>
                <w:szCs w:val="21"/>
              </w:rPr>
              <w:t>货物技术人员数量</w:t>
            </w:r>
          </w:p>
        </w:tc>
        <w:tc>
          <w:tcPr>
            <w:tcW w:w="1260" w:type="dxa"/>
            <w:vAlign w:val="center"/>
          </w:tcPr>
          <w:p>
            <w:pPr>
              <w:autoSpaceDE w:val="0"/>
              <w:autoSpaceDN w:val="0"/>
              <w:jc w:val="center"/>
              <w:rPr>
                <w:rFonts w:ascii="宋体" w:hAnsi="宋体" w:cs="宋体"/>
                <w:b/>
                <w:szCs w:val="21"/>
              </w:rPr>
            </w:pPr>
            <w:r>
              <w:rPr>
                <w:rFonts w:hint="eastAsia" w:ascii="宋体" w:hAnsi="宋体" w:cs="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8" w:type="dxa"/>
            <w:vAlign w:val="center"/>
          </w:tcPr>
          <w:p>
            <w:pPr>
              <w:autoSpaceDE w:val="0"/>
              <w:autoSpaceDN w:val="0"/>
              <w:jc w:val="center"/>
              <w:rPr>
                <w:rFonts w:ascii="宋体" w:hAnsi="宋体" w:cs="宋体"/>
                <w:szCs w:val="21"/>
              </w:rPr>
            </w:pPr>
          </w:p>
        </w:tc>
        <w:tc>
          <w:tcPr>
            <w:tcW w:w="2340" w:type="dxa"/>
            <w:vAlign w:val="center"/>
          </w:tcPr>
          <w:p>
            <w:pPr>
              <w:autoSpaceDE w:val="0"/>
              <w:autoSpaceDN w:val="0"/>
              <w:jc w:val="center"/>
              <w:rPr>
                <w:rFonts w:ascii="宋体" w:hAnsi="宋体" w:cs="宋体"/>
                <w:szCs w:val="21"/>
              </w:rPr>
            </w:pPr>
          </w:p>
        </w:tc>
        <w:tc>
          <w:tcPr>
            <w:tcW w:w="1095" w:type="dxa"/>
            <w:vAlign w:val="center"/>
          </w:tcPr>
          <w:p>
            <w:pPr>
              <w:autoSpaceDE w:val="0"/>
              <w:autoSpaceDN w:val="0"/>
              <w:jc w:val="center"/>
              <w:rPr>
                <w:rFonts w:ascii="宋体" w:hAnsi="宋体" w:cs="宋体"/>
                <w:szCs w:val="21"/>
              </w:rPr>
            </w:pPr>
          </w:p>
        </w:tc>
        <w:tc>
          <w:tcPr>
            <w:tcW w:w="1245" w:type="dxa"/>
            <w:vAlign w:val="center"/>
          </w:tcPr>
          <w:p>
            <w:pPr>
              <w:autoSpaceDE w:val="0"/>
              <w:autoSpaceDN w:val="0"/>
              <w:jc w:val="center"/>
              <w:rPr>
                <w:rFonts w:ascii="宋体" w:hAnsi="宋体" w:cs="宋体"/>
                <w:szCs w:val="21"/>
              </w:rPr>
            </w:pPr>
          </w:p>
        </w:tc>
        <w:tc>
          <w:tcPr>
            <w:tcW w:w="1980" w:type="dxa"/>
            <w:vAlign w:val="center"/>
          </w:tcPr>
          <w:p>
            <w:pPr>
              <w:autoSpaceDE w:val="0"/>
              <w:autoSpaceDN w:val="0"/>
              <w:jc w:val="center"/>
              <w:rPr>
                <w:rFonts w:ascii="宋体" w:hAnsi="宋体" w:cs="宋体"/>
                <w:szCs w:val="21"/>
              </w:rPr>
            </w:pPr>
          </w:p>
        </w:tc>
        <w:tc>
          <w:tcPr>
            <w:tcW w:w="1260" w:type="dxa"/>
            <w:vAlign w:val="center"/>
          </w:tcPr>
          <w:p>
            <w:pPr>
              <w:autoSpaceDE w:val="0"/>
              <w:autoSpaceDN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8" w:type="dxa"/>
            <w:vAlign w:val="center"/>
          </w:tcPr>
          <w:p>
            <w:pPr>
              <w:autoSpaceDE w:val="0"/>
              <w:autoSpaceDN w:val="0"/>
              <w:jc w:val="center"/>
              <w:rPr>
                <w:rFonts w:ascii="宋体" w:hAnsi="宋体" w:cs="宋体"/>
                <w:szCs w:val="21"/>
              </w:rPr>
            </w:pPr>
          </w:p>
        </w:tc>
        <w:tc>
          <w:tcPr>
            <w:tcW w:w="2340" w:type="dxa"/>
            <w:vAlign w:val="center"/>
          </w:tcPr>
          <w:p>
            <w:pPr>
              <w:autoSpaceDE w:val="0"/>
              <w:autoSpaceDN w:val="0"/>
              <w:jc w:val="center"/>
              <w:rPr>
                <w:rFonts w:ascii="宋体" w:hAnsi="宋体" w:cs="宋体"/>
                <w:szCs w:val="21"/>
              </w:rPr>
            </w:pPr>
          </w:p>
        </w:tc>
        <w:tc>
          <w:tcPr>
            <w:tcW w:w="1095" w:type="dxa"/>
            <w:vAlign w:val="center"/>
          </w:tcPr>
          <w:p>
            <w:pPr>
              <w:autoSpaceDE w:val="0"/>
              <w:autoSpaceDN w:val="0"/>
              <w:jc w:val="center"/>
              <w:rPr>
                <w:rFonts w:ascii="宋体" w:hAnsi="宋体" w:cs="宋体"/>
                <w:szCs w:val="21"/>
              </w:rPr>
            </w:pPr>
          </w:p>
        </w:tc>
        <w:tc>
          <w:tcPr>
            <w:tcW w:w="1245" w:type="dxa"/>
            <w:vAlign w:val="center"/>
          </w:tcPr>
          <w:p>
            <w:pPr>
              <w:autoSpaceDE w:val="0"/>
              <w:autoSpaceDN w:val="0"/>
              <w:jc w:val="center"/>
              <w:rPr>
                <w:rFonts w:ascii="宋体" w:hAnsi="宋体" w:cs="宋体"/>
                <w:szCs w:val="21"/>
              </w:rPr>
            </w:pPr>
          </w:p>
        </w:tc>
        <w:tc>
          <w:tcPr>
            <w:tcW w:w="1980" w:type="dxa"/>
            <w:vAlign w:val="center"/>
          </w:tcPr>
          <w:p>
            <w:pPr>
              <w:autoSpaceDE w:val="0"/>
              <w:autoSpaceDN w:val="0"/>
              <w:jc w:val="center"/>
              <w:rPr>
                <w:rFonts w:ascii="宋体" w:hAnsi="宋体" w:cs="宋体"/>
                <w:szCs w:val="21"/>
              </w:rPr>
            </w:pPr>
          </w:p>
        </w:tc>
        <w:tc>
          <w:tcPr>
            <w:tcW w:w="1260" w:type="dxa"/>
            <w:vAlign w:val="center"/>
          </w:tcPr>
          <w:p>
            <w:pPr>
              <w:autoSpaceDE w:val="0"/>
              <w:autoSpaceDN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8" w:type="dxa"/>
            <w:vAlign w:val="center"/>
          </w:tcPr>
          <w:p>
            <w:pPr>
              <w:autoSpaceDE w:val="0"/>
              <w:autoSpaceDN w:val="0"/>
              <w:jc w:val="center"/>
              <w:rPr>
                <w:rFonts w:ascii="宋体" w:hAnsi="宋体" w:cs="宋体"/>
                <w:szCs w:val="21"/>
              </w:rPr>
            </w:pPr>
          </w:p>
        </w:tc>
        <w:tc>
          <w:tcPr>
            <w:tcW w:w="2340" w:type="dxa"/>
            <w:vAlign w:val="center"/>
          </w:tcPr>
          <w:p>
            <w:pPr>
              <w:autoSpaceDE w:val="0"/>
              <w:autoSpaceDN w:val="0"/>
              <w:jc w:val="center"/>
              <w:rPr>
                <w:rFonts w:ascii="宋体" w:hAnsi="宋体" w:cs="宋体"/>
                <w:szCs w:val="21"/>
              </w:rPr>
            </w:pPr>
          </w:p>
        </w:tc>
        <w:tc>
          <w:tcPr>
            <w:tcW w:w="1095" w:type="dxa"/>
            <w:vAlign w:val="center"/>
          </w:tcPr>
          <w:p>
            <w:pPr>
              <w:autoSpaceDE w:val="0"/>
              <w:autoSpaceDN w:val="0"/>
              <w:jc w:val="center"/>
              <w:rPr>
                <w:rFonts w:ascii="宋体" w:hAnsi="宋体" w:cs="宋体"/>
                <w:szCs w:val="21"/>
              </w:rPr>
            </w:pPr>
          </w:p>
        </w:tc>
        <w:tc>
          <w:tcPr>
            <w:tcW w:w="1245" w:type="dxa"/>
            <w:vAlign w:val="center"/>
          </w:tcPr>
          <w:p>
            <w:pPr>
              <w:autoSpaceDE w:val="0"/>
              <w:autoSpaceDN w:val="0"/>
              <w:jc w:val="center"/>
              <w:rPr>
                <w:rFonts w:ascii="宋体" w:hAnsi="宋体" w:cs="宋体"/>
                <w:szCs w:val="21"/>
              </w:rPr>
            </w:pPr>
          </w:p>
        </w:tc>
        <w:tc>
          <w:tcPr>
            <w:tcW w:w="1980" w:type="dxa"/>
            <w:vAlign w:val="center"/>
          </w:tcPr>
          <w:p>
            <w:pPr>
              <w:autoSpaceDE w:val="0"/>
              <w:autoSpaceDN w:val="0"/>
              <w:jc w:val="center"/>
              <w:rPr>
                <w:rFonts w:ascii="宋体" w:hAnsi="宋体" w:cs="宋体"/>
                <w:szCs w:val="21"/>
              </w:rPr>
            </w:pPr>
          </w:p>
        </w:tc>
        <w:tc>
          <w:tcPr>
            <w:tcW w:w="1260" w:type="dxa"/>
            <w:vAlign w:val="center"/>
          </w:tcPr>
          <w:p>
            <w:pPr>
              <w:autoSpaceDE w:val="0"/>
              <w:autoSpaceDN w:val="0"/>
              <w:jc w:val="center"/>
              <w:rPr>
                <w:rFonts w:ascii="宋体" w:hAnsi="宋体" w:cs="宋体"/>
                <w:szCs w:val="21"/>
              </w:rPr>
            </w:pPr>
          </w:p>
        </w:tc>
      </w:tr>
    </w:tbl>
    <w:p>
      <w:pPr>
        <w:autoSpaceDE w:val="0"/>
        <w:autoSpaceDN w:val="0"/>
        <w:rPr>
          <w:rFonts w:ascii="宋体" w:hAnsi="宋体" w:cs="宋体"/>
          <w:kern w:val="0"/>
          <w:szCs w:val="21"/>
        </w:rPr>
      </w:pPr>
      <w:r>
        <w:rPr>
          <w:rFonts w:hint="eastAsia" w:ascii="宋体" w:hAnsi="宋体" w:cs="宋体"/>
          <w:b/>
          <w:szCs w:val="21"/>
        </w:rPr>
        <w:t>注：关于项目涉及的所有售后服务机构均在本表注明，包括供应商本单位和符合条件的第三方货物机构；</w:t>
      </w:r>
    </w:p>
    <w:tbl>
      <w:tblPr>
        <w:tblStyle w:val="47"/>
        <w:tblpPr w:leftFromText="180" w:rightFromText="180" w:vertAnchor="text" w:horzAnchor="page" w:tblpX="1062" w:tblpY="401"/>
        <w:tblOverlap w:val="never"/>
        <w:tblW w:w="10002" w:type="dxa"/>
        <w:tblInd w:w="0" w:type="dxa"/>
        <w:tblLayout w:type="fixed"/>
        <w:tblCellMar>
          <w:top w:w="0" w:type="dxa"/>
          <w:left w:w="108" w:type="dxa"/>
          <w:bottom w:w="0" w:type="dxa"/>
          <w:right w:w="108" w:type="dxa"/>
        </w:tblCellMar>
      </w:tblPr>
      <w:tblGrid>
        <w:gridCol w:w="646"/>
        <w:gridCol w:w="746"/>
        <w:gridCol w:w="787"/>
        <w:gridCol w:w="685"/>
        <w:gridCol w:w="705"/>
        <w:gridCol w:w="1002"/>
        <w:gridCol w:w="1080"/>
        <w:gridCol w:w="1080"/>
        <w:gridCol w:w="1098"/>
        <w:gridCol w:w="1062"/>
        <w:gridCol w:w="1111"/>
      </w:tblGrid>
      <w:t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cs="宋体"/>
                <w:szCs w:val="21"/>
              </w:rPr>
            </w:pPr>
            <w:r>
              <w:rPr>
                <w:rFonts w:hint="eastAsia" w:ascii="宋体" w:hAnsi="宋体" w:cs="宋体"/>
                <w:szCs w:val="21"/>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姓名</w:t>
            </w:r>
          </w:p>
        </w:tc>
        <w:tc>
          <w:tcPr>
            <w:tcW w:w="68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性别</w:t>
            </w:r>
          </w:p>
        </w:tc>
        <w:tc>
          <w:tcPr>
            <w:tcW w:w="70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年龄</w:t>
            </w:r>
          </w:p>
        </w:tc>
        <w:tc>
          <w:tcPr>
            <w:tcW w:w="100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职称</w:t>
            </w:r>
          </w:p>
        </w:tc>
        <w:tc>
          <w:tcPr>
            <w:tcW w:w="10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本项目中的职责</w:t>
            </w:r>
          </w:p>
        </w:tc>
        <w:tc>
          <w:tcPr>
            <w:tcW w:w="106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到达现场时间</w:t>
            </w:r>
          </w:p>
        </w:tc>
      </w:tr>
      <w:tr>
        <w:tblPrEx>
          <w:tblCellMar>
            <w:top w:w="0" w:type="dxa"/>
            <w:left w:w="108" w:type="dxa"/>
            <w:bottom w:w="0" w:type="dxa"/>
            <w:right w:w="108" w:type="dxa"/>
          </w:tblCellMar>
        </w:tblPrEx>
        <w:trPr>
          <w:trHeight w:val="607" w:hRule="atLeast"/>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cs="宋体"/>
                <w:szCs w:val="21"/>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总协调人</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68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70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0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98"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6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r>
      <w:tr>
        <w:tblPrEx>
          <w:tblCellMar>
            <w:top w:w="0" w:type="dxa"/>
            <w:left w:w="108" w:type="dxa"/>
            <w:bottom w:w="0" w:type="dxa"/>
            <w:right w:w="108" w:type="dxa"/>
          </w:tblCellMar>
        </w:tblPrEx>
        <w:trPr>
          <w:trHeight w:val="595" w:hRule="atLeast"/>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cs="宋体"/>
                <w:szCs w:val="21"/>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售后人员</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68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70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0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98"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6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r>
    </w:tbl>
    <w:p>
      <w:pPr>
        <w:autoSpaceDE w:val="0"/>
        <w:autoSpaceDN w:val="0"/>
        <w:rPr>
          <w:rFonts w:ascii="宋体" w:hAnsi="宋体" w:cs="宋体"/>
          <w:kern w:val="0"/>
          <w:szCs w:val="21"/>
        </w:rPr>
      </w:pPr>
      <w:r>
        <w:rPr>
          <w:rFonts w:hint="eastAsia" w:ascii="宋体" w:hAnsi="宋体" w:cs="宋体"/>
          <w:b/>
          <w:kern w:val="0"/>
          <w:szCs w:val="21"/>
        </w:rPr>
        <w:t>附表B：售后服务人员情况表</w:t>
      </w:r>
      <w:r>
        <w:rPr>
          <w:rFonts w:hint="eastAsia" w:ascii="宋体" w:hAnsi="宋体" w:cs="宋体"/>
          <w:szCs w:val="21"/>
        </w:rPr>
        <w:t>（按此格式自制）</w:t>
      </w:r>
    </w:p>
    <w:p>
      <w:pPr>
        <w:pStyle w:val="46"/>
        <w:ind w:left="0" w:leftChars="0" w:firstLine="0" w:firstLineChars="0"/>
        <w:rPr>
          <w:rFonts w:ascii="宋体" w:hAnsi="宋体" w:cs="宋体"/>
          <w:szCs w:val="21"/>
        </w:rPr>
      </w:pPr>
    </w:p>
    <w:p>
      <w:pPr>
        <w:pStyle w:val="46"/>
        <w:ind w:left="0" w:leftChars="0" w:firstLine="0" w:firstLineChars="0"/>
        <w:rPr>
          <w:rFonts w:ascii="宋体" w:hAnsi="宋体" w:cs="宋体"/>
          <w:b/>
          <w:kern w:val="0"/>
          <w:szCs w:val="21"/>
        </w:rPr>
      </w:pPr>
      <w:r>
        <w:rPr>
          <w:rFonts w:hint="eastAsia" w:ascii="宋体" w:hAnsi="宋体" w:cs="宋体"/>
          <w:b/>
          <w:kern w:val="0"/>
          <w:szCs w:val="21"/>
        </w:rPr>
        <w:t>附表C：维保期满后售后服务</w:t>
      </w:r>
      <w:r>
        <w:rPr>
          <w:rFonts w:hint="eastAsia" w:ascii="宋体" w:hAnsi="宋体" w:cs="宋体"/>
          <w:szCs w:val="21"/>
        </w:rPr>
        <w:t>（按此格式自制）</w:t>
      </w:r>
    </w:p>
    <w:tbl>
      <w:tblPr>
        <w:tblStyle w:val="47"/>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58"/>
        <w:gridCol w:w="1293"/>
        <w:gridCol w:w="1023"/>
        <w:gridCol w:w="826"/>
        <w:gridCol w:w="813"/>
        <w:gridCol w:w="1399"/>
        <w:gridCol w:w="1108"/>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17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szCs w:val="21"/>
              </w:rPr>
            </w:pPr>
            <w:r>
              <w:rPr>
                <w:rFonts w:hint="eastAsia" w:ascii="宋体" w:hAnsi="宋体" w:cs="宋体"/>
                <w:snapToGrid w:val="0"/>
                <w:szCs w:val="21"/>
              </w:rPr>
              <w:t>厂家信息</w:t>
            </w:r>
          </w:p>
        </w:tc>
        <w:tc>
          <w:tcPr>
            <w:tcW w:w="454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napToGrid w:val="0"/>
                <w:szCs w:val="21"/>
              </w:rPr>
            </w:pPr>
            <w:r>
              <w:rPr>
                <w:rFonts w:hint="eastAsia" w:ascii="宋体" w:hAnsi="宋体" w:cs="宋体"/>
                <w:snapToGrid w:val="0"/>
                <w:szCs w:val="21"/>
              </w:rPr>
              <w:t>授权</w:t>
            </w:r>
            <w:r>
              <w:rPr>
                <w:rFonts w:hint="eastAsia" w:ascii="宋体" w:hAnsi="宋体" w:cs="宋体"/>
                <w:szCs w:val="21"/>
              </w:rPr>
              <w:t>售后</w:t>
            </w:r>
            <w:r>
              <w:rPr>
                <w:rFonts w:hint="eastAsia" w:ascii="宋体" w:hAnsi="宋体" w:cs="宋体"/>
                <w:snapToGrid w:val="0"/>
                <w:szCs w:val="21"/>
              </w:rPr>
              <w:t>代理商（如有）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pStyle w:val="25"/>
              <w:wordWrap w:val="0"/>
              <w:snapToGrid w:val="0"/>
              <w:jc w:val="center"/>
              <w:rPr>
                <w:rFonts w:hAnsi="宋体" w:cs="宋体"/>
                <w:spacing w:val="-20"/>
                <w:sz w:val="21"/>
              </w:rPr>
            </w:pPr>
            <w:r>
              <w:rPr>
                <w:rFonts w:hint="eastAsia" w:hAnsi="宋体" w:cs="宋体"/>
                <w:spacing w:val="-20"/>
                <w:sz w:val="21"/>
              </w:rPr>
              <w:t>序号</w:t>
            </w:r>
          </w:p>
        </w:tc>
        <w:tc>
          <w:tcPr>
            <w:tcW w:w="1458" w:type="dxa"/>
            <w:tcBorders>
              <w:top w:val="single" w:color="auto" w:sz="4" w:space="0"/>
              <w:left w:val="single" w:color="auto" w:sz="4" w:space="0"/>
              <w:bottom w:val="single" w:color="auto" w:sz="4" w:space="0"/>
              <w:right w:val="single" w:color="auto" w:sz="4" w:space="0"/>
            </w:tcBorders>
            <w:vAlign w:val="center"/>
          </w:tcPr>
          <w:p>
            <w:pPr>
              <w:wordWrap w:val="0"/>
              <w:topLinePunct/>
              <w:jc w:val="center"/>
              <w:rPr>
                <w:rFonts w:ascii="宋体" w:hAnsi="宋体" w:cs="宋体"/>
                <w:szCs w:val="21"/>
              </w:rPr>
            </w:pPr>
            <w:r>
              <w:rPr>
                <w:rFonts w:hint="eastAsia" w:ascii="宋体" w:hAnsi="宋体" w:cs="宋体"/>
                <w:szCs w:val="21"/>
              </w:rPr>
              <w:t>物品名称</w:t>
            </w:r>
          </w:p>
          <w:p>
            <w:pPr>
              <w:wordWrap w:val="0"/>
              <w:topLinePunct/>
              <w:jc w:val="center"/>
              <w:rPr>
                <w:rFonts w:ascii="宋体" w:hAnsi="宋体" w:cs="宋体"/>
                <w:snapToGrid w:val="0"/>
                <w:szCs w:val="21"/>
              </w:rPr>
            </w:pPr>
            <w:r>
              <w:rPr>
                <w:rFonts w:hint="eastAsia" w:ascii="宋体" w:hAnsi="宋体" w:cs="宋体"/>
                <w:szCs w:val="21"/>
              </w:rPr>
              <w:t>（如为医疗器械，应填写药监注册或备案名称）</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szCs w:val="21"/>
              </w:rPr>
            </w:pPr>
            <w:r>
              <w:rPr>
                <w:rFonts w:hint="eastAsia" w:ascii="宋体" w:hAnsi="宋体" w:cs="宋体"/>
                <w:szCs w:val="21"/>
              </w:rPr>
              <w:t>生产厂家名称</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szCs w:val="21"/>
              </w:rPr>
            </w:pPr>
            <w:r>
              <w:rPr>
                <w:rFonts w:hint="eastAsia" w:ascii="宋体" w:hAnsi="宋体" w:cs="宋体"/>
                <w:szCs w:val="21"/>
              </w:rPr>
              <w:t>厂家工程师</w:t>
            </w: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szCs w:val="21"/>
              </w:rPr>
            </w:pPr>
            <w:r>
              <w:rPr>
                <w:rFonts w:hint="eastAsia" w:ascii="宋体" w:hAnsi="宋体" w:cs="宋体"/>
                <w:szCs w:val="21"/>
              </w:rPr>
              <w:t>联系方式</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序号</w:t>
            </w:r>
          </w:p>
        </w:tc>
        <w:tc>
          <w:tcPr>
            <w:tcW w:w="1399" w:type="dxa"/>
            <w:tcBorders>
              <w:top w:val="single" w:color="auto" w:sz="4" w:space="0"/>
              <w:left w:val="single" w:color="auto" w:sz="4" w:space="0"/>
              <w:bottom w:val="single" w:color="auto" w:sz="4" w:space="0"/>
              <w:right w:val="single" w:color="auto" w:sz="4" w:space="0"/>
            </w:tcBorders>
            <w:vAlign w:val="center"/>
          </w:tcPr>
          <w:p>
            <w:pPr>
              <w:pStyle w:val="25"/>
              <w:wordWrap w:val="0"/>
              <w:snapToGrid w:val="0"/>
              <w:jc w:val="center"/>
              <w:rPr>
                <w:rFonts w:hAnsi="宋体" w:cs="宋体"/>
                <w:snapToGrid w:val="0"/>
                <w:sz w:val="21"/>
              </w:rPr>
            </w:pPr>
            <w:r>
              <w:rPr>
                <w:rFonts w:hint="eastAsia" w:hAnsi="宋体" w:cs="宋体"/>
                <w:sz w:val="21"/>
              </w:rPr>
              <w:t>授权售后代理商名称（维修、配件供应及服务）</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napToGrid w:val="0"/>
                <w:szCs w:val="21"/>
              </w:rPr>
            </w:pPr>
            <w:r>
              <w:rPr>
                <w:rFonts w:hint="eastAsia" w:ascii="宋体" w:hAnsi="宋体" w:cs="宋体"/>
                <w:kern w:val="0"/>
                <w:szCs w:val="21"/>
                <w:lang w:bidi="ar"/>
              </w:rPr>
              <w:t>代理商联系人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napToGrid w:val="0"/>
                <w:szCs w:val="21"/>
              </w:rPr>
            </w:pPr>
            <w:r>
              <w:rPr>
                <w:rFonts w:hint="eastAsia" w:ascii="宋体" w:hAnsi="宋体" w:cs="宋体"/>
                <w:kern w:val="0"/>
                <w:szCs w:val="21"/>
                <w:lang w:bidi="ar"/>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tcPr>
          <w:p>
            <w:pPr>
              <w:wordWrap w:val="0"/>
              <w:adjustRightInd w:val="0"/>
              <w:snapToGrid w:val="0"/>
              <w:jc w:val="center"/>
              <w:rPr>
                <w:rFonts w:ascii="宋体" w:hAnsi="宋体" w:cs="宋体"/>
                <w:snapToGrid w:val="0"/>
                <w:szCs w:val="21"/>
              </w:rPr>
            </w:pPr>
            <w:r>
              <w:rPr>
                <w:rFonts w:hint="eastAsia" w:ascii="宋体" w:hAnsi="宋体" w:cs="宋体"/>
                <w:snapToGrid w:val="0"/>
                <w:szCs w:val="21"/>
              </w:rPr>
              <w:t>1</w:t>
            </w:r>
          </w:p>
        </w:tc>
        <w:tc>
          <w:tcPr>
            <w:tcW w:w="1458"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1293"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1023"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826"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r>
              <w:rPr>
                <w:rFonts w:hint="eastAsia" w:ascii="宋体" w:hAnsi="宋体" w:cs="宋体"/>
                <w:szCs w:val="21"/>
              </w:rPr>
              <w:t>1</w:t>
            </w:r>
          </w:p>
        </w:tc>
        <w:tc>
          <w:tcPr>
            <w:tcW w:w="1399"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pPr>
              <w:wordWrap w:val="0"/>
              <w:adjustRightInd w:val="0"/>
              <w:snapToGrid w:val="0"/>
              <w:jc w:val="center"/>
              <w:rPr>
                <w:rFonts w:ascii="宋体" w:hAnsi="宋体" w:cs="宋体"/>
                <w:snapToGrid w:val="0"/>
                <w:szCs w:val="21"/>
              </w:rPr>
            </w:pPr>
          </w:p>
        </w:tc>
        <w:tc>
          <w:tcPr>
            <w:tcW w:w="1458"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1293"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1023"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826"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r>
              <w:rPr>
                <w:rFonts w:hint="eastAsia" w:ascii="宋体" w:hAnsi="宋体" w:cs="宋体"/>
                <w:szCs w:val="21"/>
              </w:rPr>
              <w:t>2</w:t>
            </w:r>
          </w:p>
        </w:tc>
        <w:tc>
          <w:tcPr>
            <w:tcW w:w="1399"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bottom w:val="single" w:color="auto" w:sz="4" w:space="0"/>
              <w:right w:val="single" w:color="auto" w:sz="4" w:space="0"/>
            </w:tcBorders>
          </w:tcPr>
          <w:p>
            <w:pPr>
              <w:wordWrap w:val="0"/>
              <w:adjustRightInd w:val="0"/>
              <w:snapToGrid w:val="0"/>
              <w:jc w:val="center"/>
              <w:rPr>
                <w:rFonts w:ascii="宋体" w:hAnsi="宋体" w:cs="宋体"/>
                <w:snapToGrid w:val="0"/>
                <w:szCs w:val="21"/>
              </w:rPr>
            </w:pPr>
          </w:p>
        </w:tc>
        <w:tc>
          <w:tcPr>
            <w:tcW w:w="1458" w:type="dxa"/>
            <w:vMerge w:val="continue"/>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93" w:type="dxa"/>
            <w:vMerge w:val="continue"/>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023" w:type="dxa"/>
            <w:vMerge w:val="continue"/>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826" w:type="dxa"/>
            <w:vMerge w:val="continue"/>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pPr>
              <w:tabs>
                <w:tab w:val="left" w:pos="320"/>
              </w:tabs>
              <w:wordWrap w:val="0"/>
              <w:adjustRightInd w:val="0"/>
              <w:snapToGrid w:val="0"/>
              <w:rPr>
                <w:rFonts w:ascii="宋体" w:hAnsi="宋体" w:cs="宋体"/>
                <w:szCs w:val="21"/>
              </w:rPr>
            </w:pPr>
            <w:r>
              <w:rPr>
                <w:rFonts w:hint="eastAsia" w:ascii="宋体" w:hAnsi="宋体" w:cs="宋体"/>
                <w:szCs w:val="21"/>
              </w:rPr>
              <w:t>...</w:t>
            </w:r>
          </w:p>
        </w:tc>
        <w:tc>
          <w:tcPr>
            <w:tcW w:w="1399"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tcPr>
          <w:p>
            <w:pPr>
              <w:wordWrap w:val="0"/>
              <w:adjustRightInd w:val="0"/>
              <w:snapToGrid w:val="0"/>
              <w:jc w:val="center"/>
              <w:rPr>
                <w:rFonts w:ascii="宋体" w:hAnsi="宋体" w:cs="宋体"/>
                <w:snapToGrid w:val="0"/>
                <w:szCs w:val="21"/>
              </w:rPr>
            </w:pPr>
            <w:r>
              <w:rPr>
                <w:rFonts w:hint="eastAsia" w:ascii="宋体" w:hAnsi="宋体" w:cs="宋体"/>
                <w:snapToGrid w:val="0"/>
                <w:szCs w:val="21"/>
              </w:rPr>
              <w:t>2</w:t>
            </w:r>
          </w:p>
        </w:tc>
        <w:tc>
          <w:tcPr>
            <w:tcW w:w="1458"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1293"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1023"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826"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r>
              <w:rPr>
                <w:rFonts w:hint="eastAsia" w:ascii="宋体" w:hAnsi="宋体" w:cs="宋体"/>
                <w:szCs w:val="21"/>
              </w:rPr>
              <w:t>1</w:t>
            </w:r>
          </w:p>
        </w:tc>
        <w:tc>
          <w:tcPr>
            <w:tcW w:w="1399"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pPr>
              <w:wordWrap w:val="0"/>
              <w:adjustRightInd w:val="0"/>
              <w:snapToGrid w:val="0"/>
              <w:jc w:val="center"/>
              <w:rPr>
                <w:rFonts w:ascii="宋体" w:hAnsi="宋体" w:cs="宋体"/>
                <w:snapToGrid w:val="0"/>
                <w:szCs w:val="21"/>
              </w:rPr>
            </w:pPr>
          </w:p>
        </w:tc>
        <w:tc>
          <w:tcPr>
            <w:tcW w:w="1458"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1293"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1023"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826"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r>
              <w:rPr>
                <w:rFonts w:hint="eastAsia" w:ascii="宋体" w:hAnsi="宋体" w:cs="宋体"/>
                <w:szCs w:val="21"/>
              </w:rPr>
              <w:t>2</w:t>
            </w:r>
          </w:p>
        </w:tc>
        <w:tc>
          <w:tcPr>
            <w:tcW w:w="1399"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pPr>
              <w:wordWrap w:val="0"/>
              <w:adjustRightInd w:val="0"/>
              <w:snapToGrid w:val="0"/>
              <w:rPr>
                <w:rFonts w:ascii="宋体" w:hAnsi="宋体" w:cs="宋体"/>
                <w:snapToGrid w:val="0"/>
                <w:szCs w:val="21"/>
              </w:rPr>
            </w:pPr>
          </w:p>
        </w:tc>
        <w:tc>
          <w:tcPr>
            <w:tcW w:w="1458"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1293"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1023"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826"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r>
              <w:rPr>
                <w:rFonts w:hint="eastAsia" w:ascii="宋体" w:hAnsi="宋体" w:cs="宋体"/>
                <w:szCs w:val="21"/>
              </w:rPr>
              <w:t>...</w:t>
            </w:r>
          </w:p>
        </w:tc>
        <w:tc>
          <w:tcPr>
            <w:tcW w:w="1399"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77" w:type="dxa"/>
            <w:tcBorders>
              <w:left w:val="single" w:color="auto" w:sz="4" w:space="0"/>
              <w:bottom w:val="single" w:color="auto" w:sz="4" w:space="0"/>
              <w:right w:val="single" w:color="auto" w:sz="4" w:space="0"/>
            </w:tcBorders>
          </w:tcPr>
          <w:p>
            <w:pPr>
              <w:wordWrap w:val="0"/>
              <w:adjustRightInd w:val="0"/>
              <w:snapToGrid w:val="0"/>
              <w:rPr>
                <w:rFonts w:ascii="宋体" w:hAnsi="宋体" w:cs="宋体"/>
                <w:snapToGrid w:val="0"/>
                <w:szCs w:val="21"/>
              </w:rPr>
            </w:pPr>
            <w:r>
              <w:rPr>
                <w:rFonts w:hint="eastAsia" w:ascii="宋体" w:hAnsi="宋体" w:cs="宋体"/>
                <w:snapToGrid w:val="0"/>
                <w:szCs w:val="21"/>
              </w:rPr>
              <w:t>...</w:t>
            </w:r>
          </w:p>
        </w:tc>
        <w:tc>
          <w:tcPr>
            <w:tcW w:w="1458" w:type="dxa"/>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93" w:type="dxa"/>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023" w:type="dxa"/>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826" w:type="dxa"/>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399"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r>
    </w:tbl>
    <w:p>
      <w:pPr>
        <w:pStyle w:val="46"/>
        <w:ind w:left="0" w:leftChars="0" w:firstLine="0" w:firstLineChars="0"/>
        <w:rPr>
          <w:rFonts w:ascii="宋体" w:hAnsi="宋体" w:cs="宋体"/>
          <w:kern w:val="0"/>
          <w:szCs w:val="21"/>
        </w:rPr>
      </w:pPr>
      <w:r>
        <w:rPr>
          <w:rFonts w:hint="eastAsia" w:ascii="宋体" w:hAnsi="宋体" w:cs="宋体"/>
          <w:kern w:val="0"/>
          <w:szCs w:val="21"/>
        </w:rPr>
        <w:t>填表说明：1.若为厂家直接售后，则无需填写授权售后代理商；</w:t>
      </w:r>
    </w:p>
    <w:p>
      <w:pPr>
        <w:pStyle w:val="46"/>
        <w:ind w:firstLine="630" w:firstLineChars="300"/>
        <w:rPr>
          <w:rFonts w:ascii="宋体" w:hAnsi="宋体" w:cs="宋体"/>
          <w:kern w:val="0"/>
          <w:szCs w:val="21"/>
        </w:rPr>
      </w:pPr>
      <w:r>
        <w:rPr>
          <w:rFonts w:hint="eastAsia" w:ascii="宋体" w:hAnsi="宋体" w:cs="宋体"/>
          <w:kern w:val="0"/>
          <w:szCs w:val="21"/>
        </w:rPr>
        <w:t>2.所报授权售后代理商为设备维修、配件供应、维保期满后维保服务采购的重要依据；</w:t>
      </w:r>
    </w:p>
    <w:p>
      <w:pPr>
        <w:pStyle w:val="46"/>
        <w:ind w:firstLine="630" w:firstLineChars="300"/>
        <w:rPr>
          <w:rFonts w:ascii="宋体" w:hAnsi="宋体" w:cs="宋体"/>
        </w:rPr>
      </w:pPr>
      <w:r>
        <w:rPr>
          <w:rFonts w:hint="eastAsia" w:ascii="宋体" w:hAnsi="宋体" w:cs="宋体"/>
          <w:kern w:val="0"/>
          <w:szCs w:val="21"/>
        </w:rPr>
        <w:t>3.若售后代理商更换，请及时联系采购单位进行修改，提供更正说明。</w:t>
      </w:r>
    </w:p>
    <w:p>
      <w:pPr>
        <w:rPr>
          <w:rFonts w:ascii="宋体" w:hAnsi="宋体" w:cs="宋体"/>
          <w:sz w:val="32"/>
          <w:szCs w:val="32"/>
        </w:rPr>
      </w:pPr>
    </w:p>
    <w:p>
      <w:pPr>
        <w:autoSpaceDE w:val="0"/>
        <w:autoSpaceDN w:val="0"/>
        <w:ind w:left="4335" w:leftChars="1950" w:hanging="240" w:hangingChars="100"/>
        <w:rPr>
          <w:rFonts w:ascii="宋体" w:hAnsi="宋体" w:cs="宋体"/>
          <w:kern w:val="0"/>
          <w:sz w:val="24"/>
        </w:rPr>
      </w:pPr>
      <w:r>
        <w:rPr>
          <w:rFonts w:hint="eastAsia" w:ascii="宋体" w:hAnsi="宋体" w:cs="宋体"/>
          <w:kern w:val="0"/>
          <w:sz w:val="24"/>
        </w:rPr>
        <w:t>供应商名称（电子签章）：</w:t>
      </w:r>
    </w:p>
    <w:p>
      <w:pPr>
        <w:contextualSpacing/>
        <w:jc w:val="right"/>
        <w:rPr>
          <w:rFonts w:ascii="宋体" w:hAnsi="宋体" w:cs="宋体"/>
          <w:kern w:val="0"/>
          <w:sz w:val="24"/>
          <w:lang w:val="zh-CN"/>
        </w:rPr>
      </w:pPr>
      <w:r>
        <w:rPr>
          <w:rFonts w:hint="eastAsia" w:ascii="宋体" w:hAnsi="宋体" w:cs="宋体"/>
          <w:kern w:val="0"/>
          <w:sz w:val="24"/>
          <w:lang w:val="zh-CN"/>
        </w:rPr>
        <w:t>日期：  年  月   日</w:t>
      </w:r>
    </w:p>
    <w:p>
      <w:pPr>
        <w:numPr>
          <w:ilvl w:val="0"/>
          <w:numId w:val="8"/>
        </w:numPr>
        <w:contextualSpacing/>
        <w:jc w:val="left"/>
        <w:rPr>
          <w:rFonts w:ascii="宋体" w:hAnsi="宋体" w:cs="宋体"/>
          <w:b/>
          <w:sz w:val="24"/>
        </w:rPr>
      </w:pPr>
      <w:r>
        <w:rPr>
          <w:rFonts w:hint="eastAsia" w:ascii="宋体" w:hAnsi="宋体" w:cs="宋体"/>
          <w:b/>
          <w:sz w:val="30"/>
          <w:szCs w:val="30"/>
        </w:rPr>
        <w:br w:type="page"/>
      </w:r>
      <w:r>
        <w:rPr>
          <w:rFonts w:hint="eastAsia" w:ascii="宋体" w:hAnsi="宋体" w:cs="宋体"/>
          <w:b/>
          <w:sz w:val="24"/>
        </w:rPr>
        <w:t>项目保证事项承诺书</w:t>
      </w:r>
    </w:p>
    <w:p>
      <w:pPr>
        <w:contextualSpacing/>
        <w:jc w:val="left"/>
        <w:rPr>
          <w:rFonts w:ascii="宋体" w:hAnsi="宋体" w:cs="宋体"/>
          <w:b/>
          <w:sz w:val="24"/>
        </w:rPr>
      </w:pPr>
    </w:p>
    <w:p>
      <w:pPr>
        <w:snapToGrid w:val="0"/>
        <w:jc w:val="center"/>
        <w:rPr>
          <w:rFonts w:ascii="宋体" w:hAnsi="宋体" w:cs="宋体"/>
          <w:bCs/>
          <w:sz w:val="44"/>
          <w:szCs w:val="44"/>
        </w:rPr>
      </w:pPr>
      <w:r>
        <w:rPr>
          <w:rFonts w:hint="eastAsia" w:ascii="宋体" w:hAnsi="宋体" w:cs="宋体"/>
          <w:bCs/>
          <w:sz w:val="44"/>
          <w:szCs w:val="44"/>
        </w:rPr>
        <w:t>项目保证事项承诺书</w:t>
      </w: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r>
        <w:rPr>
          <w:rFonts w:hint="eastAsia" w:ascii="宋体" w:hAnsi="宋体" w:cs="宋体"/>
          <w:b/>
          <w:sz w:val="24"/>
        </w:rPr>
        <w:t>广西建设工程机电设备招标中心有限公司：</w:t>
      </w:r>
    </w:p>
    <w:p>
      <w:pPr>
        <w:adjustRightInd w:val="0"/>
        <w:snapToGrid w:val="0"/>
        <w:ind w:firstLine="424" w:firstLineChars="177"/>
        <w:rPr>
          <w:rFonts w:ascii="宋体" w:hAnsi="宋体" w:cs="宋体"/>
          <w:sz w:val="24"/>
        </w:rPr>
      </w:pPr>
      <w:r>
        <w:rPr>
          <w:rFonts w:hint="eastAsia" w:ascii="宋体" w:hAnsi="宋体" w:cs="宋体"/>
          <w:sz w:val="24"/>
        </w:rPr>
        <w:t>本</w:t>
      </w:r>
      <w:r>
        <w:rPr>
          <w:rFonts w:hint="eastAsia" w:ascii="宋体" w:hAnsi="宋体" w:cs="宋体"/>
          <w:sz w:val="24"/>
          <w:u w:val="single"/>
        </w:rPr>
        <w:t xml:space="preserve">   （投标人名称）   </w:t>
      </w:r>
      <w:r>
        <w:rPr>
          <w:rFonts w:hint="eastAsia" w:ascii="宋体" w:hAnsi="宋体" w:cs="宋体"/>
          <w:sz w:val="24"/>
        </w:rPr>
        <w:t>公司在参加由贵司组织的</w:t>
      </w:r>
      <w:r>
        <w:rPr>
          <w:rFonts w:hint="eastAsia" w:ascii="宋体" w:hAnsi="宋体" w:cs="宋体"/>
          <w:sz w:val="24"/>
          <w:u w:val="single"/>
        </w:rPr>
        <w:t xml:space="preserve"> 广西壮族自治区生殖医院PGT试剂配送服务 </w:t>
      </w:r>
      <w:r>
        <w:rPr>
          <w:rFonts w:hint="eastAsia" w:ascii="宋体" w:hAnsi="宋体" w:cs="宋体"/>
          <w:sz w:val="24"/>
        </w:rPr>
        <w:t>(采购编号：</w:t>
      </w:r>
      <w:r>
        <w:rPr>
          <w:rFonts w:hint="eastAsia" w:ascii="宋体" w:hAnsi="宋体" w:cs="宋体"/>
          <w:sz w:val="24"/>
          <w:u w:val="single"/>
        </w:rPr>
        <w:t>GXZC2025-G3-000595-JGJD；</w:t>
      </w:r>
      <w:r>
        <w:rPr>
          <w:rFonts w:hint="eastAsia" w:ascii="宋体" w:hAnsi="宋体" w:cs="宋体"/>
          <w:sz w:val="24"/>
        </w:rPr>
        <w:t>采购人：</w:t>
      </w:r>
      <w:r>
        <w:rPr>
          <w:rFonts w:hint="eastAsia" w:ascii="宋体" w:hAnsi="宋体" w:cs="宋体"/>
          <w:sz w:val="24"/>
          <w:u w:val="single"/>
        </w:rPr>
        <w:t>广西壮族自治区生殖医院</w:t>
      </w:r>
      <w:r>
        <w:rPr>
          <w:rFonts w:hint="eastAsia" w:ascii="宋体" w:hAnsi="宋体" w:cs="宋体"/>
          <w:sz w:val="24"/>
        </w:rPr>
        <w:t>)采购中如获成交，我司保证以下事项：</w:t>
      </w:r>
    </w:p>
    <w:p>
      <w:pPr>
        <w:adjustRightInd w:val="0"/>
        <w:snapToGrid w:val="0"/>
        <w:ind w:firstLine="424" w:firstLineChars="177"/>
        <w:rPr>
          <w:rFonts w:ascii="宋体" w:hAnsi="宋体" w:cs="宋体"/>
          <w:sz w:val="24"/>
        </w:rPr>
      </w:pPr>
      <w:r>
        <w:rPr>
          <w:rFonts w:hint="eastAsia" w:ascii="宋体" w:hAnsi="宋体" w:cs="宋体"/>
          <w:sz w:val="24"/>
        </w:rPr>
        <w:t>1、除非采购人或国家现行法规、政策另有要求，我司保证不出现下述（1）-（7）项规定的违约行为，否则我方将向采购人支付成交总额2%的违约金。</w:t>
      </w:r>
    </w:p>
    <w:p>
      <w:pPr>
        <w:adjustRightInd w:val="0"/>
        <w:snapToGrid w:val="0"/>
        <w:ind w:firstLine="424" w:firstLineChars="177"/>
        <w:rPr>
          <w:rFonts w:ascii="宋体" w:hAnsi="宋体" w:cs="宋体"/>
          <w:sz w:val="24"/>
        </w:rPr>
      </w:pPr>
      <w:r>
        <w:rPr>
          <w:rFonts w:hint="eastAsia" w:ascii="宋体" w:hAnsi="宋体" w:cs="宋体"/>
          <w:sz w:val="24"/>
        </w:rPr>
        <w:t>（1）投标人在投标文件的有效期内撤回投标文件的；</w:t>
      </w:r>
    </w:p>
    <w:p>
      <w:pPr>
        <w:adjustRightInd w:val="0"/>
        <w:snapToGrid w:val="0"/>
        <w:ind w:firstLine="424" w:firstLineChars="177"/>
        <w:rPr>
          <w:rFonts w:ascii="宋体" w:hAnsi="宋体" w:cs="宋体"/>
          <w:sz w:val="24"/>
        </w:rPr>
      </w:pPr>
      <w:r>
        <w:rPr>
          <w:rFonts w:hint="eastAsia" w:ascii="宋体" w:hAnsi="宋体" w:cs="宋体"/>
          <w:sz w:val="24"/>
        </w:rPr>
        <w:t>（2）未按规定提交履约（质量）保证金的；</w:t>
      </w:r>
    </w:p>
    <w:p>
      <w:pPr>
        <w:adjustRightInd w:val="0"/>
        <w:snapToGrid w:val="0"/>
        <w:ind w:firstLine="424" w:firstLineChars="177"/>
        <w:rPr>
          <w:rFonts w:ascii="宋体" w:hAnsi="宋体" w:cs="宋体"/>
          <w:sz w:val="24"/>
        </w:rPr>
      </w:pPr>
      <w:r>
        <w:rPr>
          <w:rFonts w:hint="eastAsia" w:ascii="宋体" w:hAnsi="宋体" w:cs="宋体"/>
          <w:sz w:val="24"/>
        </w:rPr>
        <w:t>（3）投标人在投标过程中弄虚作假，提供虚假材料的；</w:t>
      </w:r>
    </w:p>
    <w:p>
      <w:pPr>
        <w:adjustRightInd w:val="0"/>
        <w:snapToGrid w:val="0"/>
        <w:ind w:firstLine="424" w:firstLineChars="177"/>
        <w:rPr>
          <w:rFonts w:ascii="宋体" w:hAnsi="宋体" w:cs="宋体"/>
          <w:sz w:val="24"/>
        </w:rPr>
      </w:pPr>
      <w:r>
        <w:rPr>
          <w:rFonts w:hint="eastAsia" w:ascii="宋体" w:hAnsi="宋体" w:cs="宋体"/>
          <w:sz w:val="24"/>
        </w:rPr>
        <w:t>（4）</w:t>
      </w:r>
      <w:bookmarkStart w:id="165" w:name="_Hlk80375253"/>
      <w:r>
        <w:rPr>
          <w:rFonts w:hint="eastAsia" w:ascii="宋体" w:hAnsi="宋体" w:cs="宋体"/>
          <w:sz w:val="24"/>
        </w:rPr>
        <w:t>在招标文件规定的应签订合同期限内，</w:t>
      </w:r>
      <w:bookmarkEnd w:id="165"/>
      <w:r>
        <w:rPr>
          <w:rFonts w:hint="eastAsia" w:ascii="宋体" w:hAnsi="宋体" w:cs="宋体"/>
          <w:sz w:val="24"/>
        </w:rPr>
        <w:t>中标人无正当理由不与采购人签订合同的；</w:t>
      </w:r>
    </w:p>
    <w:p>
      <w:pPr>
        <w:adjustRightInd w:val="0"/>
        <w:snapToGrid w:val="0"/>
        <w:ind w:left="990" w:leftChars="202" w:hanging="566" w:hangingChars="236"/>
        <w:rPr>
          <w:rFonts w:ascii="宋体" w:hAnsi="宋体" w:cs="宋体"/>
          <w:sz w:val="24"/>
        </w:rPr>
      </w:pPr>
      <w:r>
        <w:rPr>
          <w:rFonts w:hint="eastAsia" w:ascii="宋体" w:hAnsi="宋体" w:cs="宋体"/>
          <w:sz w:val="24"/>
        </w:rPr>
        <w:t>（5）将成交项目转让给他人或者在投标文件中未说明且未经招标采购人同意，将成交项目分包给他人的；</w:t>
      </w:r>
    </w:p>
    <w:p>
      <w:pPr>
        <w:adjustRightInd w:val="0"/>
        <w:snapToGrid w:val="0"/>
        <w:ind w:firstLine="424" w:firstLineChars="177"/>
        <w:rPr>
          <w:rFonts w:ascii="宋体" w:hAnsi="宋体" w:cs="宋体"/>
          <w:sz w:val="24"/>
        </w:rPr>
      </w:pPr>
      <w:r>
        <w:rPr>
          <w:rFonts w:hint="eastAsia" w:ascii="宋体" w:hAnsi="宋体" w:cs="宋体"/>
          <w:sz w:val="24"/>
        </w:rPr>
        <w:t>（6）拒绝履行合同义务的；</w:t>
      </w:r>
    </w:p>
    <w:p>
      <w:pPr>
        <w:adjustRightInd w:val="0"/>
        <w:snapToGrid w:val="0"/>
        <w:ind w:firstLine="424" w:firstLineChars="177"/>
        <w:rPr>
          <w:rFonts w:ascii="宋体" w:hAnsi="宋体" w:cs="宋体"/>
          <w:sz w:val="24"/>
        </w:rPr>
      </w:pPr>
      <w:r>
        <w:rPr>
          <w:rFonts w:hint="eastAsia" w:ascii="宋体" w:hAnsi="宋体" w:cs="宋体"/>
          <w:sz w:val="24"/>
        </w:rPr>
        <w:t>（7）其他严重扰乱招投标程序的。</w:t>
      </w:r>
    </w:p>
    <w:p>
      <w:pPr>
        <w:adjustRightInd w:val="0"/>
        <w:snapToGrid w:val="0"/>
        <w:ind w:firstLine="424" w:firstLineChars="177"/>
        <w:rPr>
          <w:rFonts w:ascii="宋体" w:hAnsi="宋体" w:cs="宋体"/>
          <w:sz w:val="24"/>
        </w:rPr>
      </w:pPr>
      <w:r>
        <w:rPr>
          <w:rFonts w:hint="eastAsia" w:ascii="宋体" w:hAnsi="宋体" w:cs="宋体"/>
          <w:sz w:val="24"/>
        </w:rPr>
        <w:t>2、在中标结果公告发布后的七个工作日内，按本项目投标人须知相关规定向广西建设工程机电设备招标中心有限公司缴纳“中标服务费”。</w:t>
      </w:r>
    </w:p>
    <w:p>
      <w:pPr>
        <w:adjustRightInd w:val="0"/>
        <w:snapToGrid w:val="0"/>
        <w:ind w:firstLine="424" w:firstLineChars="177"/>
        <w:rPr>
          <w:rFonts w:ascii="宋体" w:hAnsi="宋体" w:cs="宋体"/>
          <w:sz w:val="24"/>
        </w:rPr>
      </w:pPr>
      <w:r>
        <w:rPr>
          <w:rFonts w:hint="eastAsia" w:ascii="宋体" w:hAnsi="宋体" w:cs="宋体"/>
          <w:sz w:val="24"/>
        </w:rPr>
        <w:t>如我方违反上述第1条承诺事项的，愿凭采购人开出的违约通知，在通知发出的十个工作日内按上述承付金额</w:t>
      </w:r>
      <w:bookmarkStart w:id="166" w:name="_Hlk80375265"/>
      <w:r>
        <w:rPr>
          <w:rFonts w:hint="eastAsia" w:ascii="宋体" w:hAnsi="宋体" w:cs="宋体"/>
          <w:sz w:val="24"/>
        </w:rPr>
        <w:t>向采购人指定的账户中支付违约金</w:t>
      </w:r>
      <w:bookmarkEnd w:id="166"/>
      <w:r>
        <w:rPr>
          <w:rFonts w:hint="eastAsia" w:ascii="宋体" w:hAnsi="宋体" w:cs="宋体"/>
          <w:sz w:val="24"/>
        </w:rPr>
        <w:t>；如我方违反上述第2条承诺事项的，愿凭广西建设工程机电设备招标中心有限公司开出的违约通知，在通知发出的十个工作日内按上述承付金额的200%向广西建设工程机电设备招标中心有限公司下述账户支付，并由收款单位向采购项目监管部门及国家企业信用信息管理部门递交该违反诚信记录。</w:t>
      </w:r>
    </w:p>
    <w:p>
      <w:pPr>
        <w:adjustRightInd w:val="0"/>
        <w:snapToGrid w:val="0"/>
        <w:ind w:firstLine="424" w:firstLineChars="177"/>
        <w:rPr>
          <w:rFonts w:ascii="宋体" w:hAnsi="宋体" w:cs="宋体"/>
          <w:sz w:val="24"/>
        </w:rPr>
      </w:pPr>
      <w:r>
        <w:rPr>
          <w:rFonts w:hint="eastAsia" w:ascii="宋体" w:hAnsi="宋体" w:cs="宋体"/>
          <w:sz w:val="24"/>
        </w:rPr>
        <w:t>违约金缴纳账户：</w:t>
      </w:r>
    </w:p>
    <w:p>
      <w:pPr>
        <w:snapToGrid w:val="0"/>
        <w:spacing w:line="360" w:lineRule="auto"/>
        <w:ind w:firstLine="480" w:firstLineChars="200"/>
        <w:rPr>
          <w:rFonts w:ascii="宋体" w:hAnsi="宋体" w:cs="宋体"/>
          <w:sz w:val="24"/>
        </w:rPr>
      </w:pPr>
      <w:r>
        <w:rPr>
          <w:rFonts w:hint="eastAsia" w:ascii="宋体" w:hAnsi="宋体" w:cs="宋体"/>
          <w:sz w:val="24"/>
        </w:rPr>
        <w:t>账户名称：广西建设工程机电设备招标中心有限公司</w:t>
      </w:r>
    </w:p>
    <w:p>
      <w:pPr>
        <w:snapToGrid w:val="0"/>
        <w:spacing w:line="360" w:lineRule="auto"/>
        <w:ind w:firstLine="480" w:firstLineChars="200"/>
        <w:rPr>
          <w:rFonts w:ascii="宋体" w:hAnsi="宋体" w:cs="宋体"/>
          <w:sz w:val="24"/>
        </w:rPr>
      </w:pPr>
      <w:r>
        <w:rPr>
          <w:rFonts w:hint="eastAsia" w:ascii="宋体" w:hAnsi="宋体" w:cs="宋体"/>
          <w:sz w:val="24"/>
        </w:rPr>
        <w:t>开户银行：招商银行南宁分行营业部</w:t>
      </w:r>
    </w:p>
    <w:p>
      <w:pPr>
        <w:snapToGrid w:val="0"/>
        <w:spacing w:line="360" w:lineRule="auto"/>
        <w:ind w:firstLine="480" w:firstLineChars="200"/>
        <w:rPr>
          <w:rFonts w:ascii="宋体" w:hAnsi="宋体" w:cs="宋体"/>
          <w:sz w:val="24"/>
        </w:rPr>
      </w:pPr>
      <w:r>
        <w:rPr>
          <w:rFonts w:hint="eastAsia" w:ascii="宋体" w:hAnsi="宋体" w:cs="宋体"/>
          <w:sz w:val="24"/>
        </w:rPr>
        <w:t>银行账号：7719 0142 3310 201</w:t>
      </w: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b/>
          <w:sz w:val="30"/>
          <w:szCs w:val="30"/>
        </w:rPr>
      </w:pPr>
      <w:r>
        <w:rPr>
          <w:rFonts w:hint="eastAsia" w:ascii="宋体" w:hAnsi="宋体" w:cs="宋体"/>
          <w:sz w:val="24"/>
        </w:rPr>
        <w:t>特此承诺。</w:t>
      </w:r>
    </w:p>
    <w:p>
      <w:pPr>
        <w:snapToGrid w:val="0"/>
        <w:spacing w:line="360" w:lineRule="auto"/>
        <w:rPr>
          <w:rFonts w:ascii="宋体" w:hAnsi="宋体" w:cs="宋体"/>
          <w:b/>
          <w:sz w:val="30"/>
          <w:szCs w:val="30"/>
        </w:rPr>
      </w:pPr>
    </w:p>
    <w:p>
      <w:pPr>
        <w:snapToGrid w:val="0"/>
        <w:spacing w:line="360" w:lineRule="auto"/>
        <w:ind w:firstLine="602" w:firstLineChars="200"/>
        <w:rPr>
          <w:rFonts w:ascii="宋体" w:hAnsi="宋体" w:cs="宋体"/>
          <w:b/>
          <w:sz w:val="30"/>
          <w:szCs w:val="30"/>
        </w:rPr>
      </w:pPr>
    </w:p>
    <w:p>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供应商名称（电子签章）：</w:t>
      </w:r>
    </w:p>
    <w:p>
      <w:pPr>
        <w:snapToGrid w:val="0"/>
        <w:spacing w:line="360" w:lineRule="auto"/>
        <w:ind w:firstLine="480" w:firstLineChars="200"/>
        <w:jc w:val="right"/>
        <w:rPr>
          <w:rFonts w:ascii="宋体" w:hAnsi="宋体" w:cs="宋体"/>
          <w:b/>
          <w:sz w:val="30"/>
          <w:szCs w:val="30"/>
        </w:rPr>
      </w:pPr>
      <w:r>
        <w:rPr>
          <w:rFonts w:hint="eastAsia" w:ascii="宋体" w:hAnsi="宋体" w:cs="宋体"/>
          <w:kern w:val="0"/>
          <w:sz w:val="24"/>
          <w:lang w:val="zh-CN"/>
        </w:rPr>
        <w:t>日期：  年  月   日</w:t>
      </w:r>
    </w:p>
    <w:p>
      <w:pPr>
        <w:autoSpaceDE w:val="0"/>
        <w:autoSpaceDN w:val="0"/>
        <w:spacing w:line="360" w:lineRule="auto"/>
        <w:jc w:val="left"/>
        <w:rPr>
          <w:rFonts w:ascii="宋体" w:hAnsi="宋体" w:cs="宋体"/>
          <w:b/>
          <w:sz w:val="24"/>
        </w:rPr>
      </w:pPr>
      <w:r>
        <w:rPr>
          <w:rFonts w:hint="eastAsia" w:ascii="宋体" w:hAnsi="宋体" w:cs="宋体"/>
          <w:sz w:val="24"/>
          <w:szCs w:val="20"/>
        </w:rPr>
        <w:br w:type="page"/>
      </w:r>
      <w:r>
        <w:rPr>
          <w:rFonts w:hint="eastAsia" w:ascii="宋体" w:hAnsi="宋体" w:cs="宋体"/>
          <w:b/>
          <w:sz w:val="24"/>
        </w:rPr>
        <w:t>9.投标人业绩证明材料</w:t>
      </w:r>
    </w:p>
    <w:p>
      <w:pPr>
        <w:pStyle w:val="35"/>
        <w:snapToGrid w:val="0"/>
        <w:ind w:left="480" w:hanging="480"/>
        <w:rPr>
          <w:rFonts w:ascii="宋体" w:hAnsi="宋体" w:cs="宋体"/>
          <w:sz w:val="24"/>
        </w:rPr>
      </w:pPr>
    </w:p>
    <w:p>
      <w:pPr>
        <w:pStyle w:val="35"/>
        <w:snapToGrid w:val="0"/>
        <w:ind w:left="480" w:hanging="480"/>
        <w:rPr>
          <w:rFonts w:ascii="宋体" w:hAnsi="宋体" w:cs="宋体"/>
          <w:sz w:val="24"/>
        </w:rPr>
      </w:pPr>
      <w:r>
        <w:rPr>
          <w:rFonts w:hint="eastAsia" w:ascii="宋体" w:hAnsi="宋体" w:cs="宋体"/>
          <w:sz w:val="24"/>
        </w:rPr>
        <w:t xml:space="preserve">投标人业绩情况一览表格式： </w:t>
      </w:r>
    </w:p>
    <w:tbl>
      <w:tblPr>
        <w:tblStyle w:val="4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合同金额</w:t>
            </w:r>
          </w:p>
          <w:p>
            <w:pPr>
              <w:snapToGrid w:val="0"/>
              <w:spacing w:line="240" w:lineRule="exact"/>
              <w:jc w:val="center"/>
              <w:rPr>
                <w:rFonts w:ascii="宋体" w:hAnsi="宋体" w:cs="宋体"/>
                <w:sz w:val="24"/>
              </w:rPr>
            </w:pPr>
            <w:r>
              <w:rPr>
                <w:rFonts w:hint="eastAsia" w:ascii="宋体" w:hAnsi="宋体" w:cs="宋体"/>
                <w:sz w:val="24"/>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 w:val="24"/>
              </w:rPr>
            </w:pPr>
            <w:r>
              <w:rPr>
                <w:rFonts w:hint="eastAsia" w:ascii="宋体" w:hAnsi="宋体" w:cs="宋体"/>
                <w:sz w:val="24"/>
              </w:rPr>
              <w:t>采购人联系人及</w:t>
            </w:r>
          </w:p>
          <w:p>
            <w:pPr>
              <w:snapToGrid w:val="0"/>
              <w:spacing w:line="240" w:lineRule="exact"/>
              <w:jc w:val="center"/>
              <w:rPr>
                <w:rFonts w:ascii="宋体" w:hAnsi="宋体" w:cs="宋体"/>
                <w:sz w:val="24"/>
              </w:rPr>
            </w:pPr>
            <w:r>
              <w:rPr>
                <w:rFonts w:hint="eastAsia" w:ascii="宋体" w:hAnsi="宋体" w:cs="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 w:val="24"/>
              </w:rPr>
            </w:pPr>
          </w:p>
        </w:tc>
      </w:tr>
    </w:tbl>
    <w:p>
      <w:pPr>
        <w:pStyle w:val="14"/>
        <w:spacing w:before="0" w:after="0" w:line="360" w:lineRule="auto"/>
        <w:contextualSpacing/>
        <w:rPr>
          <w:rFonts w:ascii="宋体" w:hAnsi="宋体" w:eastAsia="宋体" w:cs="宋体"/>
          <w:sz w:val="24"/>
          <w:szCs w:val="24"/>
        </w:rPr>
      </w:pPr>
    </w:p>
    <w:p>
      <w:pPr>
        <w:pStyle w:val="14"/>
        <w:spacing w:before="0" w:after="0" w:line="360" w:lineRule="auto"/>
        <w:contextualSpacing/>
        <w:rPr>
          <w:rFonts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rPr>
        <w:t>投标人根据评标标准具体要求附业绩证明材料。</w:t>
      </w:r>
    </w:p>
    <w:p>
      <w:pPr>
        <w:pStyle w:val="14"/>
        <w:spacing w:before="0" w:after="0" w:line="360" w:lineRule="auto"/>
        <w:contextualSpacing/>
        <w:jc w:val="left"/>
        <w:rPr>
          <w:rFonts w:ascii="宋体" w:hAnsi="宋体" w:eastAsia="宋体" w:cs="宋体"/>
          <w:sz w:val="24"/>
          <w:szCs w:val="24"/>
          <w:u w:val="single"/>
        </w:rPr>
      </w:pPr>
      <w:r>
        <w:rPr>
          <w:rFonts w:hint="eastAsia" w:ascii="宋体" w:hAnsi="宋体" w:eastAsia="宋体" w:cs="宋体"/>
          <w:sz w:val="24"/>
          <w:szCs w:val="24"/>
        </w:rPr>
        <w:t>法定代表人或者委托代理人（</w:t>
      </w:r>
      <w:r>
        <w:rPr>
          <w:rFonts w:hint="eastAsia" w:ascii="宋体" w:hAnsi="宋体" w:eastAsia="宋体" w:cs="宋体"/>
          <w:sz w:val="24"/>
        </w:rPr>
        <w:t>签字或电子签名</w:t>
      </w:r>
      <w:r>
        <w:rPr>
          <w:rFonts w:hint="eastAsia" w:ascii="宋体" w:hAnsi="宋体" w:eastAsia="宋体" w:cs="宋体"/>
          <w:sz w:val="24"/>
          <w:szCs w:val="24"/>
        </w:rPr>
        <w:t>）：</w:t>
      </w:r>
      <w:r>
        <w:rPr>
          <w:rFonts w:hint="eastAsia" w:ascii="宋体" w:hAnsi="宋体" w:eastAsia="宋体" w:cs="宋体"/>
          <w:sz w:val="24"/>
          <w:szCs w:val="24"/>
          <w:u w:val="single"/>
        </w:rPr>
        <w:t>　　　　　</w:t>
      </w:r>
    </w:p>
    <w:p>
      <w:pPr>
        <w:spacing w:line="360" w:lineRule="auto"/>
        <w:ind w:right="480"/>
        <w:contextualSpacing/>
        <w:jc w:val="left"/>
        <w:rPr>
          <w:rFonts w:ascii="宋体" w:hAnsi="宋体" w:cs="宋体"/>
          <w:sz w:val="24"/>
          <w:szCs w:val="20"/>
        </w:rPr>
      </w:pPr>
      <w:r>
        <w:rPr>
          <w:rFonts w:hint="eastAsia" w:ascii="宋体" w:hAnsi="宋体" w:cs="宋体"/>
          <w:sz w:val="24"/>
        </w:rPr>
        <w:t>投标人（</w:t>
      </w:r>
      <w:r>
        <w:rPr>
          <w:rFonts w:hint="eastAsia" w:ascii="宋体" w:hAnsi="宋体" w:cs="宋体"/>
          <w:kern w:val="0"/>
          <w:sz w:val="24"/>
        </w:rPr>
        <w:t>电子签章</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                                                              年    月    日</w:t>
      </w:r>
    </w:p>
    <w:p>
      <w:pPr>
        <w:snapToGrid w:val="0"/>
        <w:spacing w:before="50"/>
        <w:ind w:firstLine="480" w:firstLineChars="200"/>
        <w:jc w:val="left"/>
        <w:rPr>
          <w:rFonts w:ascii="宋体" w:hAnsi="宋体" w:cs="宋体"/>
          <w:sz w:val="24"/>
          <w:szCs w:val="20"/>
        </w:rPr>
      </w:pPr>
    </w:p>
    <w:p>
      <w:pPr>
        <w:snapToGrid w:val="0"/>
        <w:spacing w:before="50"/>
        <w:jc w:val="left"/>
        <w:rPr>
          <w:rFonts w:ascii="宋体" w:hAnsi="宋体" w:cs="宋体"/>
          <w:sz w:val="24"/>
        </w:rPr>
      </w:pPr>
    </w:p>
    <w:p>
      <w:pPr>
        <w:snapToGrid w:val="0"/>
        <w:spacing w:before="120" w:beforeLines="50"/>
        <w:rPr>
          <w:rFonts w:ascii="宋体" w:hAnsi="宋体" w:cs="宋体"/>
          <w:sz w:val="24"/>
          <w:szCs w:val="20"/>
        </w:rPr>
        <w:sectPr>
          <w:pgSz w:w="11906" w:h="16838"/>
          <w:pgMar w:top="1440" w:right="1797" w:bottom="1440" w:left="1797" w:header="851" w:footer="992" w:gutter="0"/>
          <w:cols w:space="720" w:num="1"/>
          <w:docGrid w:linePitch="312" w:charSpace="0"/>
        </w:sectPr>
      </w:pPr>
    </w:p>
    <w:p>
      <w:pPr>
        <w:rPr>
          <w:rFonts w:ascii="宋体" w:hAnsi="宋体" w:cs="宋体"/>
          <w:b/>
          <w:sz w:val="28"/>
          <w:szCs w:val="28"/>
        </w:rPr>
      </w:pPr>
      <w:r>
        <w:rPr>
          <w:rFonts w:hint="eastAsia" w:ascii="宋体" w:hAnsi="宋体" w:cs="宋体"/>
          <w:b/>
          <w:sz w:val="28"/>
          <w:szCs w:val="28"/>
        </w:rPr>
        <w:t>四、技术文件格式</w:t>
      </w:r>
    </w:p>
    <w:p>
      <w:pPr>
        <w:snapToGrid w:val="0"/>
        <w:spacing w:before="165" w:beforeLines="50" w:after="50"/>
        <w:ind w:left="142"/>
        <w:jc w:val="left"/>
        <w:rPr>
          <w:rFonts w:ascii="宋体" w:hAnsi="宋体" w:cs="宋体"/>
          <w:b/>
          <w:sz w:val="24"/>
        </w:rPr>
      </w:pPr>
      <w:r>
        <w:rPr>
          <w:rFonts w:hint="eastAsia" w:ascii="宋体" w:hAnsi="宋体" w:cs="宋体"/>
          <w:b/>
          <w:sz w:val="24"/>
        </w:rPr>
        <w:t xml:space="preserve">1. 技术文件封面格式： </w:t>
      </w:r>
    </w:p>
    <w:p>
      <w:pPr>
        <w:snapToGrid w:val="0"/>
        <w:spacing w:before="165" w:beforeLines="50" w:after="50"/>
        <w:rPr>
          <w:rFonts w:ascii="宋体" w:hAnsi="宋体" w:cs="宋体"/>
          <w:b/>
          <w:bCs/>
          <w:sz w:val="32"/>
          <w:szCs w:val="20"/>
        </w:rPr>
      </w:pPr>
      <w:r>
        <w:rPr>
          <w:rFonts w:hint="eastAsia" w:ascii="宋体" w:hAnsi="宋体" w:cs="宋体"/>
          <w:sz w:val="24"/>
        </w:rPr>
        <w:t xml:space="preserve">                                                   </w:t>
      </w:r>
    </w:p>
    <w:p>
      <w:pPr>
        <w:snapToGrid w:val="0"/>
        <w:spacing w:before="165" w:beforeLines="50" w:after="50"/>
        <w:rPr>
          <w:rFonts w:ascii="宋体" w:hAnsi="宋体" w:cs="宋体"/>
          <w:sz w:val="24"/>
          <w:szCs w:val="20"/>
        </w:rPr>
      </w:pPr>
    </w:p>
    <w:p>
      <w:pPr>
        <w:snapToGrid w:val="0"/>
        <w:spacing w:before="165" w:beforeLines="50" w:after="50"/>
        <w:rPr>
          <w:rFonts w:ascii="宋体" w:hAnsi="宋体" w:cs="宋体"/>
          <w:sz w:val="24"/>
          <w:szCs w:val="20"/>
        </w:rPr>
      </w:pPr>
    </w:p>
    <w:p>
      <w:pPr>
        <w:snapToGrid w:val="0"/>
        <w:spacing w:before="165" w:beforeLines="50" w:after="50"/>
        <w:jc w:val="center"/>
        <w:rPr>
          <w:rFonts w:ascii="宋体" w:hAnsi="宋体" w:cs="宋体"/>
          <w:sz w:val="84"/>
          <w:szCs w:val="84"/>
        </w:rPr>
      </w:pPr>
      <w:r>
        <w:rPr>
          <w:rFonts w:hint="eastAsia" w:ascii="宋体" w:hAnsi="宋体" w:cs="宋体"/>
          <w:sz w:val="84"/>
          <w:szCs w:val="84"/>
        </w:rPr>
        <w:t>投  标  文  件</w:t>
      </w:r>
    </w:p>
    <w:p>
      <w:pPr>
        <w:snapToGrid w:val="0"/>
        <w:spacing w:before="165" w:beforeLines="50" w:after="50"/>
        <w:rPr>
          <w:rFonts w:ascii="宋体" w:hAnsi="宋体" w:cs="宋体"/>
          <w:sz w:val="24"/>
          <w:szCs w:val="20"/>
        </w:rPr>
      </w:pPr>
    </w:p>
    <w:p>
      <w:pPr>
        <w:snapToGrid w:val="0"/>
        <w:spacing w:before="165" w:beforeLines="50" w:after="50"/>
        <w:rPr>
          <w:rFonts w:ascii="宋体" w:hAnsi="宋体" w:cs="宋体"/>
          <w:sz w:val="24"/>
          <w:szCs w:val="20"/>
        </w:rPr>
      </w:pPr>
    </w:p>
    <w:p>
      <w:pPr>
        <w:snapToGrid w:val="0"/>
        <w:spacing w:before="165" w:beforeLines="50" w:after="50"/>
        <w:jc w:val="center"/>
        <w:rPr>
          <w:rFonts w:ascii="宋体" w:hAnsi="宋体" w:cs="宋体"/>
          <w:b/>
          <w:bCs/>
          <w:sz w:val="32"/>
          <w:szCs w:val="32"/>
        </w:rPr>
      </w:pPr>
      <w:r>
        <w:rPr>
          <w:rFonts w:hint="eastAsia" w:ascii="宋体" w:hAnsi="宋体" w:cs="宋体"/>
          <w:b/>
          <w:bCs/>
          <w:sz w:val="32"/>
          <w:szCs w:val="32"/>
        </w:rPr>
        <w:t>技  术  文  件</w:t>
      </w:r>
    </w:p>
    <w:p>
      <w:pPr>
        <w:snapToGrid w:val="0"/>
        <w:spacing w:before="165" w:beforeLines="50" w:after="50"/>
        <w:rPr>
          <w:rFonts w:ascii="宋体" w:hAnsi="宋体" w:cs="宋体"/>
          <w:bCs/>
          <w:sz w:val="24"/>
          <w:szCs w:val="20"/>
        </w:rPr>
      </w:pPr>
    </w:p>
    <w:p>
      <w:pPr>
        <w:snapToGrid w:val="0"/>
        <w:spacing w:before="165" w:beforeLines="50" w:after="50"/>
        <w:rPr>
          <w:rFonts w:ascii="宋体" w:hAnsi="宋体" w:cs="宋体"/>
          <w:bCs/>
          <w:sz w:val="24"/>
          <w:szCs w:val="20"/>
        </w:rPr>
      </w:pPr>
    </w:p>
    <w:p>
      <w:pPr>
        <w:snapToGrid w:val="0"/>
        <w:spacing w:before="165" w:beforeLines="50" w:after="50" w:line="400" w:lineRule="exact"/>
        <w:ind w:firstLine="360" w:firstLineChars="150"/>
        <w:rPr>
          <w:rFonts w:ascii="宋体" w:hAnsi="宋体" w:cs="宋体"/>
          <w:bCs/>
          <w:sz w:val="24"/>
        </w:rPr>
      </w:pPr>
      <w:r>
        <w:rPr>
          <w:rFonts w:hint="eastAsia" w:ascii="宋体" w:hAnsi="宋体" w:cs="宋体"/>
          <w:bCs/>
          <w:sz w:val="24"/>
        </w:rPr>
        <w:t xml:space="preserve">项目名称： </w:t>
      </w:r>
    </w:p>
    <w:p>
      <w:pPr>
        <w:snapToGrid w:val="0"/>
        <w:spacing w:before="165" w:beforeLines="50" w:after="50" w:line="400" w:lineRule="exact"/>
        <w:ind w:firstLine="360" w:firstLineChars="150"/>
        <w:rPr>
          <w:rFonts w:ascii="宋体" w:hAnsi="宋体" w:cs="宋体"/>
          <w:bCs/>
          <w:sz w:val="24"/>
          <w:szCs w:val="20"/>
        </w:rPr>
      </w:pPr>
    </w:p>
    <w:p>
      <w:pPr>
        <w:snapToGrid w:val="0"/>
        <w:spacing w:before="165" w:beforeLines="50" w:after="50" w:line="400" w:lineRule="exact"/>
        <w:ind w:firstLine="360" w:firstLineChars="150"/>
        <w:rPr>
          <w:rFonts w:ascii="宋体" w:hAnsi="宋体" w:cs="宋体"/>
          <w:bCs/>
          <w:sz w:val="24"/>
        </w:rPr>
      </w:pPr>
      <w:r>
        <w:rPr>
          <w:rFonts w:hint="eastAsia" w:ascii="宋体" w:hAnsi="宋体" w:cs="宋体"/>
          <w:bCs/>
          <w:sz w:val="24"/>
        </w:rPr>
        <w:t xml:space="preserve">项目编号： </w:t>
      </w:r>
    </w:p>
    <w:p>
      <w:pPr>
        <w:snapToGrid w:val="0"/>
        <w:spacing w:before="165" w:beforeLines="50" w:after="50" w:line="400" w:lineRule="exact"/>
        <w:ind w:firstLine="360" w:firstLineChars="150"/>
        <w:rPr>
          <w:rFonts w:ascii="宋体" w:hAnsi="宋体" w:cs="宋体"/>
          <w:bCs/>
          <w:sz w:val="24"/>
        </w:rPr>
      </w:pPr>
    </w:p>
    <w:p>
      <w:pPr>
        <w:snapToGrid w:val="0"/>
        <w:spacing w:before="165" w:beforeLines="50" w:after="50" w:line="400" w:lineRule="exact"/>
        <w:ind w:firstLine="360" w:firstLineChars="150"/>
        <w:rPr>
          <w:rFonts w:ascii="宋体" w:hAnsi="宋体" w:cs="宋体"/>
          <w:bCs/>
          <w:sz w:val="24"/>
        </w:rPr>
      </w:pPr>
      <w:r>
        <w:rPr>
          <w:rFonts w:hint="eastAsia" w:ascii="宋体" w:hAnsi="宋体" w:cs="宋体"/>
          <w:bCs/>
          <w:sz w:val="24"/>
        </w:rPr>
        <w:t>所投分标：</w:t>
      </w:r>
    </w:p>
    <w:p>
      <w:pPr>
        <w:snapToGrid w:val="0"/>
        <w:spacing w:before="165" w:beforeLines="50" w:after="50" w:line="400" w:lineRule="exact"/>
        <w:ind w:firstLine="360" w:firstLineChars="150"/>
        <w:rPr>
          <w:rFonts w:ascii="宋体" w:hAnsi="宋体" w:cs="宋体"/>
          <w:bCs/>
          <w:sz w:val="24"/>
        </w:rPr>
      </w:pPr>
    </w:p>
    <w:p>
      <w:pPr>
        <w:snapToGrid w:val="0"/>
        <w:spacing w:before="165" w:beforeLines="50" w:after="50" w:line="400" w:lineRule="exact"/>
        <w:ind w:firstLine="360" w:firstLineChars="150"/>
        <w:rPr>
          <w:rFonts w:ascii="宋体" w:hAnsi="宋体" w:cs="宋体"/>
          <w:bCs/>
          <w:sz w:val="24"/>
        </w:rPr>
      </w:pPr>
      <w:r>
        <w:rPr>
          <w:rFonts w:hint="eastAsia" w:ascii="宋体" w:hAnsi="宋体" w:cs="宋体"/>
          <w:bCs/>
          <w:sz w:val="24"/>
        </w:rPr>
        <w:t>投标人名称：</w:t>
      </w:r>
    </w:p>
    <w:p>
      <w:pPr>
        <w:snapToGrid w:val="0"/>
        <w:spacing w:before="165" w:beforeLines="50" w:after="50" w:line="400" w:lineRule="exact"/>
        <w:ind w:firstLine="360" w:firstLineChars="150"/>
        <w:rPr>
          <w:rFonts w:ascii="宋体" w:hAnsi="宋体" w:cs="宋体"/>
          <w:bCs/>
          <w:sz w:val="24"/>
        </w:rPr>
      </w:pPr>
    </w:p>
    <w:p>
      <w:pPr>
        <w:snapToGrid w:val="0"/>
        <w:spacing w:before="165" w:beforeLines="50" w:after="50" w:line="400" w:lineRule="exact"/>
        <w:ind w:firstLine="360" w:firstLineChars="150"/>
        <w:rPr>
          <w:rFonts w:ascii="宋体" w:hAnsi="宋体" w:cs="宋体"/>
          <w:bCs/>
          <w:sz w:val="24"/>
        </w:rPr>
      </w:pPr>
      <w:r>
        <w:rPr>
          <w:rFonts w:hint="eastAsia" w:ascii="宋体" w:hAnsi="宋体" w:cs="宋体"/>
          <w:bCs/>
          <w:sz w:val="24"/>
        </w:rPr>
        <w:t>投标人地址：</w:t>
      </w:r>
    </w:p>
    <w:p>
      <w:pPr>
        <w:snapToGrid w:val="0"/>
        <w:spacing w:before="165" w:beforeLines="50" w:after="50" w:line="400" w:lineRule="exact"/>
        <w:ind w:firstLine="360" w:firstLineChars="150"/>
        <w:rPr>
          <w:rFonts w:ascii="宋体" w:hAnsi="宋体" w:cs="宋体"/>
          <w:bCs/>
          <w:sz w:val="24"/>
        </w:rPr>
      </w:pPr>
    </w:p>
    <w:p>
      <w:pPr>
        <w:snapToGrid w:val="0"/>
        <w:spacing w:before="165" w:beforeLines="50" w:after="50"/>
        <w:ind w:firstLine="645"/>
        <w:jc w:val="center"/>
        <w:rPr>
          <w:rFonts w:ascii="宋体" w:hAnsi="宋体" w:cs="宋体"/>
          <w:sz w:val="24"/>
        </w:rPr>
      </w:pPr>
      <w:r>
        <w:rPr>
          <w:rFonts w:hint="eastAsia" w:ascii="宋体" w:hAnsi="宋体" w:cs="宋体"/>
          <w:sz w:val="24"/>
        </w:rPr>
        <w:t xml:space="preserve">               </w:t>
      </w:r>
    </w:p>
    <w:p>
      <w:pPr>
        <w:snapToGrid w:val="0"/>
        <w:spacing w:before="165" w:beforeLines="50" w:after="50"/>
        <w:ind w:firstLine="645"/>
        <w:jc w:val="center"/>
        <w:rPr>
          <w:rFonts w:ascii="宋体" w:hAnsi="宋体" w:cs="宋体"/>
          <w:sz w:val="24"/>
        </w:rPr>
      </w:pPr>
    </w:p>
    <w:p>
      <w:pPr>
        <w:snapToGrid w:val="0"/>
        <w:spacing w:before="165" w:beforeLines="50" w:after="50"/>
        <w:ind w:firstLine="645"/>
        <w:jc w:val="center"/>
        <w:rPr>
          <w:rFonts w:ascii="宋体" w:hAnsi="宋体" w:cs="宋体"/>
          <w:sz w:val="24"/>
        </w:rPr>
      </w:pPr>
      <w:r>
        <w:rPr>
          <w:rFonts w:hint="eastAsia" w:ascii="宋体" w:hAnsi="宋体" w:cs="宋体"/>
          <w:sz w:val="24"/>
        </w:rPr>
        <w:t>年    月    日</w:t>
      </w:r>
    </w:p>
    <w:p>
      <w:pPr>
        <w:snapToGrid w:val="0"/>
        <w:spacing w:before="165" w:beforeLines="50" w:after="50"/>
        <w:ind w:firstLine="645"/>
        <w:jc w:val="center"/>
        <w:rPr>
          <w:rFonts w:ascii="宋体" w:hAnsi="宋体" w:cs="宋体"/>
          <w:sz w:val="24"/>
          <w:szCs w:val="20"/>
        </w:rPr>
      </w:pPr>
    </w:p>
    <w:p>
      <w:pPr>
        <w:snapToGrid w:val="0"/>
        <w:spacing w:before="165" w:beforeLines="50" w:after="50"/>
        <w:ind w:left="142"/>
        <w:jc w:val="left"/>
        <w:rPr>
          <w:rFonts w:ascii="宋体" w:hAnsi="宋体" w:cs="宋体"/>
          <w:b/>
          <w:bCs/>
          <w:sz w:val="24"/>
        </w:rPr>
      </w:pPr>
      <w:r>
        <w:rPr>
          <w:rFonts w:hint="eastAsia" w:ascii="宋体" w:hAnsi="宋体" w:cs="宋体"/>
          <w:b/>
          <w:bCs/>
          <w:sz w:val="24"/>
        </w:rPr>
        <w:br w:type="page"/>
      </w:r>
      <w:r>
        <w:rPr>
          <w:rFonts w:hint="eastAsia" w:ascii="宋体" w:hAnsi="宋体" w:cs="宋体"/>
          <w:b/>
          <w:bCs/>
          <w:sz w:val="24"/>
        </w:rPr>
        <w:t>2.技术文件目录</w:t>
      </w:r>
    </w:p>
    <w:p>
      <w:pPr>
        <w:snapToGrid w:val="0"/>
        <w:spacing w:line="400" w:lineRule="exact"/>
        <w:jc w:val="left"/>
        <w:rPr>
          <w:rFonts w:ascii="宋体" w:hAnsi="宋体" w:cs="宋体"/>
          <w:szCs w:val="21"/>
        </w:rPr>
      </w:pPr>
      <w:r>
        <w:rPr>
          <w:rFonts w:hint="eastAsia" w:ascii="宋体" w:hAnsi="宋体" w:cs="宋体"/>
          <w:szCs w:val="21"/>
        </w:rPr>
        <w:t>1、项目要求及技术需求偏表</w:t>
      </w:r>
      <w:r>
        <w:rPr>
          <w:rFonts w:hint="eastAsia" w:ascii="宋体" w:hAnsi="宋体" w:cs="宋体"/>
          <w:kern w:val="0"/>
          <w:sz w:val="24"/>
        </w:rPr>
        <w:t>……………………………………………………（页码）</w:t>
      </w:r>
    </w:p>
    <w:p>
      <w:pPr>
        <w:snapToGrid w:val="0"/>
        <w:spacing w:line="400" w:lineRule="exact"/>
        <w:jc w:val="left"/>
        <w:rPr>
          <w:rFonts w:ascii="宋体" w:hAnsi="宋体" w:cs="宋体"/>
          <w:szCs w:val="21"/>
        </w:rPr>
      </w:pPr>
      <w:r>
        <w:rPr>
          <w:rFonts w:hint="eastAsia" w:ascii="宋体" w:hAnsi="宋体" w:cs="宋体"/>
          <w:szCs w:val="21"/>
        </w:rPr>
        <w:t>2、项目实施方案、管理制度方案、质量保证措施等</w:t>
      </w:r>
      <w:r>
        <w:rPr>
          <w:rFonts w:hint="eastAsia" w:ascii="宋体" w:hAnsi="宋体" w:cs="宋体"/>
          <w:kern w:val="0"/>
          <w:sz w:val="24"/>
        </w:rPr>
        <w:t>…………………………… （页码）</w:t>
      </w:r>
    </w:p>
    <w:p>
      <w:pPr>
        <w:snapToGrid w:val="0"/>
        <w:spacing w:line="400" w:lineRule="exact"/>
        <w:jc w:val="left"/>
        <w:rPr>
          <w:rFonts w:ascii="宋体" w:hAnsi="宋体" w:cs="宋体"/>
          <w:szCs w:val="21"/>
        </w:rPr>
      </w:pPr>
      <w:r>
        <w:rPr>
          <w:rFonts w:hint="eastAsia" w:ascii="宋体" w:hAnsi="宋体" w:cs="宋体"/>
          <w:szCs w:val="21"/>
        </w:rPr>
        <w:t>3、对本项目系统总体要求的理解</w:t>
      </w:r>
      <w:r>
        <w:rPr>
          <w:rFonts w:hint="eastAsia" w:ascii="宋体" w:hAnsi="宋体" w:cs="宋体"/>
          <w:kern w:val="0"/>
          <w:sz w:val="24"/>
        </w:rPr>
        <w:t>…………………………………………………（页码）</w:t>
      </w:r>
    </w:p>
    <w:p>
      <w:pPr>
        <w:snapToGrid w:val="0"/>
        <w:spacing w:line="400" w:lineRule="exact"/>
        <w:jc w:val="left"/>
        <w:rPr>
          <w:rFonts w:ascii="宋体" w:hAnsi="宋体" w:cs="宋体"/>
          <w:kern w:val="0"/>
          <w:sz w:val="24"/>
        </w:rPr>
      </w:pPr>
      <w:r>
        <w:rPr>
          <w:rFonts w:hint="eastAsia" w:ascii="宋体" w:hAnsi="宋体" w:cs="宋体"/>
          <w:szCs w:val="21"/>
        </w:rPr>
        <w:t>4、产品出厂标准、质量检测报告</w:t>
      </w:r>
      <w:r>
        <w:rPr>
          <w:rFonts w:hint="eastAsia" w:ascii="宋体" w:hAnsi="宋体" w:cs="宋体"/>
          <w:kern w:val="0"/>
          <w:sz w:val="24"/>
        </w:rPr>
        <w:t>…………………………………………………（页码）</w:t>
      </w:r>
    </w:p>
    <w:p>
      <w:pPr>
        <w:snapToGrid w:val="0"/>
        <w:spacing w:line="400" w:lineRule="exact"/>
        <w:jc w:val="left"/>
        <w:rPr>
          <w:rFonts w:ascii="宋体" w:hAnsi="宋体" w:cs="宋体"/>
          <w:szCs w:val="21"/>
        </w:rPr>
      </w:pPr>
      <w:r>
        <w:rPr>
          <w:rFonts w:hint="eastAsia" w:ascii="宋体" w:hAnsi="宋体" w:cs="宋体"/>
          <w:szCs w:val="21"/>
        </w:rPr>
        <w:t>5、优惠条件</w:t>
      </w:r>
      <w:r>
        <w:rPr>
          <w:rFonts w:hint="eastAsia" w:ascii="宋体" w:hAnsi="宋体" w:cs="宋体"/>
          <w:kern w:val="0"/>
          <w:sz w:val="24"/>
        </w:rPr>
        <w:t>………………………………………………………………………（页码）</w:t>
      </w:r>
    </w:p>
    <w:p>
      <w:pPr>
        <w:snapToGrid w:val="0"/>
        <w:spacing w:line="400" w:lineRule="exact"/>
        <w:jc w:val="left"/>
        <w:rPr>
          <w:rFonts w:ascii="宋体" w:hAnsi="宋体" w:cs="宋体"/>
          <w:szCs w:val="21"/>
        </w:rPr>
      </w:pPr>
      <w:r>
        <w:rPr>
          <w:rFonts w:hint="eastAsia" w:ascii="宋体" w:hAnsi="宋体" w:cs="宋体"/>
          <w:szCs w:val="21"/>
        </w:rPr>
        <w:t>6、投标人对本项目的合理化建议和改进措施</w:t>
      </w:r>
      <w:r>
        <w:rPr>
          <w:rFonts w:hint="eastAsia" w:ascii="宋体" w:hAnsi="宋体" w:cs="宋体"/>
          <w:kern w:val="0"/>
          <w:sz w:val="24"/>
        </w:rPr>
        <w:t>………………………………………（页码）</w:t>
      </w:r>
    </w:p>
    <w:p>
      <w:pPr>
        <w:snapToGrid w:val="0"/>
        <w:spacing w:line="400" w:lineRule="exact"/>
        <w:jc w:val="left"/>
        <w:rPr>
          <w:rFonts w:ascii="宋体" w:hAnsi="宋体" w:cs="宋体"/>
          <w:bCs/>
          <w:szCs w:val="21"/>
        </w:rPr>
      </w:pPr>
      <w:r>
        <w:rPr>
          <w:rFonts w:hint="eastAsia" w:ascii="宋体" w:hAnsi="宋体" w:cs="宋体"/>
          <w:szCs w:val="21"/>
        </w:rPr>
        <w:t>7、除招标文件规定必须提供以外，投标人需要说明的其他文件和说明</w:t>
      </w:r>
      <w:r>
        <w:rPr>
          <w:rFonts w:hint="eastAsia" w:ascii="宋体" w:hAnsi="宋体" w:cs="宋体"/>
          <w:kern w:val="0"/>
          <w:sz w:val="24"/>
        </w:rPr>
        <w:t>……………（页码）</w:t>
      </w:r>
    </w:p>
    <w:p>
      <w:pPr>
        <w:snapToGrid w:val="0"/>
        <w:spacing w:before="50" w:after="165" w:afterLines="50" w:line="360" w:lineRule="auto"/>
        <w:ind w:firstLine="480" w:firstLineChars="200"/>
        <w:jc w:val="left"/>
        <w:rPr>
          <w:rFonts w:ascii="宋体" w:hAnsi="宋体" w:cs="宋体"/>
          <w:sz w:val="24"/>
        </w:rPr>
      </w:pPr>
    </w:p>
    <w:p>
      <w:pPr>
        <w:snapToGrid w:val="0"/>
        <w:spacing w:before="165" w:beforeLines="50" w:after="50"/>
        <w:ind w:left="142"/>
        <w:jc w:val="left"/>
        <w:rPr>
          <w:rFonts w:ascii="宋体" w:hAnsi="宋体" w:cs="宋体"/>
          <w:b/>
          <w:sz w:val="24"/>
        </w:rPr>
      </w:pPr>
      <w:r>
        <w:rPr>
          <w:rFonts w:hint="eastAsia" w:ascii="宋体" w:hAnsi="宋体" w:cs="宋体"/>
          <w:b/>
          <w:sz w:val="24"/>
        </w:rPr>
        <w:br w:type="page"/>
      </w:r>
      <w:r>
        <w:rPr>
          <w:rFonts w:hint="eastAsia" w:ascii="宋体" w:hAnsi="宋体" w:cs="宋体"/>
          <w:sz w:val="24"/>
        </w:rPr>
        <w:t>3</w:t>
      </w:r>
      <w:r>
        <w:rPr>
          <w:rFonts w:hint="eastAsia" w:ascii="宋体" w:hAnsi="宋体" w:cs="宋体"/>
          <w:b/>
          <w:sz w:val="24"/>
        </w:rPr>
        <w:t>. 项目要求及技术需求偏离表（格式）</w:t>
      </w:r>
    </w:p>
    <w:p>
      <w:pPr>
        <w:snapToGrid w:val="0"/>
        <w:spacing w:before="165" w:beforeLines="50" w:after="50"/>
        <w:ind w:left="142"/>
        <w:jc w:val="left"/>
        <w:rPr>
          <w:rFonts w:ascii="宋体" w:hAnsi="宋体" w:cs="宋体"/>
          <w:b/>
          <w:sz w:val="24"/>
        </w:rPr>
      </w:pPr>
    </w:p>
    <w:p>
      <w:pPr>
        <w:snapToGrid w:val="0"/>
        <w:spacing w:before="165" w:beforeLines="50" w:after="50"/>
        <w:ind w:left="142"/>
        <w:jc w:val="center"/>
        <w:rPr>
          <w:rFonts w:ascii="宋体" w:hAnsi="宋体" w:cs="宋体"/>
          <w:b/>
          <w:sz w:val="32"/>
          <w:szCs w:val="32"/>
        </w:rPr>
      </w:pPr>
      <w:r>
        <w:rPr>
          <w:rFonts w:hint="eastAsia" w:ascii="宋体" w:hAnsi="宋体" w:cs="宋体"/>
          <w:b/>
          <w:sz w:val="32"/>
          <w:szCs w:val="32"/>
        </w:rPr>
        <w:t>项目要求及技术需求偏离表</w:t>
      </w:r>
    </w:p>
    <w:p>
      <w:pPr>
        <w:pStyle w:val="25"/>
        <w:rPr>
          <w:rFonts w:hAnsi="宋体" w:cs="宋体"/>
          <w:sz w:val="24"/>
          <w:szCs w:val="24"/>
        </w:rPr>
      </w:pPr>
      <w:r>
        <w:rPr>
          <w:rFonts w:hint="eastAsia" w:hAnsi="宋体" w:cs="宋体"/>
          <w:sz w:val="24"/>
          <w:szCs w:val="24"/>
        </w:rPr>
        <w:t>所投分标：</w:t>
      </w:r>
      <w:r>
        <w:rPr>
          <w:rFonts w:hint="eastAsia" w:hAnsi="宋体" w:cs="宋体"/>
          <w:sz w:val="24"/>
          <w:szCs w:val="24"/>
          <w:u w:val="single"/>
        </w:rPr>
        <w:t xml:space="preserve">     </w:t>
      </w:r>
      <w:r>
        <w:rPr>
          <w:rFonts w:hint="eastAsia" w:hAnsi="宋体" w:cs="宋体"/>
          <w:sz w:val="24"/>
          <w:szCs w:val="24"/>
        </w:rPr>
        <w:t>分标</w:t>
      </w:r>
    </w:p>
    <w:tbl>
      <w:tblPr>
        <w:tblStyle w:val="4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25"/>
              <w:spacing w:line="400" w:lineRule="exact"/>
              <w:jc w:val="center"/>
              <w:rPr>
                <w:rFonts w:hAnsi="宋体" w:cs="宋体"/>
                <w:kern w:val="2"/>
                <w:sz w:val="24"/>
                <w:szCs w:val="24"/>
              </w:rPr>
            </w:pPr>
            <w:r>
              <w:rPr>
                <w:rFonts w:hint="eastAsia" w:hAnsi="宋体" w:cs="宋体"/>
                <w:kern w:val="2"/>
                <w:sz w:val="24"/>
                <w:szCs w:val="24"/>
              </w:rPr>
              <w:t>项号</w:t>
            </w:r>
          </w:p>
        </w:tc>
        <w:tc>
          <w:tcPr>
            <w:tcW w:w="2143" w:type="dxa"/>
            <w:vAlign w:val="center"/>
          </w:tcPr>
          <w:p>
            <w:pPr>
              <w:pStyle w:val="25"/>
              <w:spacing w:line="400" w:lineRule="exact"/>
              <w:jc w:val="center"/>
              <w:rPr>
                <w:rFonts w:hAnsi="宋体" w:cs="宋体"/>
                <w:kern w:val="2"/>
                <w:sz w:val="24"/>
                <w:szCs w:val="24"/>
              </w:rPr>
            </w:pPr>
            <w:r>
              <w:rPr>
                <w:rFonts w:hint="eastAsia" w:hAnsi="宋体" w:cs="宋体"/>
                <w:kern w:val="2"/>
                <w:sz w:val="24"/>
                <w:szCs w:val="24"/>
              </w:rPr>
              <w:t>标的的名称</w:t>
            </w:r>
          </w:p>
        </w:tc>
        <w:tc>
          <w:tcPr>
            <w:tcW w:w="1834" w:type="dxa"/>
            <w:vAlign w:val="center"/>
          </w:tcPr>
          <w:p>
            <w:pPr>
              <w:pStyle w:val="25"/>
              <w:spacing w:line="400" w:lineRule="exact"/>
              <w:jc w:val="center"/>
              <w:rPr>
                <w:rFonts w:hAnsi="宋体" w:cs="宋体"/>
                <w:kern w:val="2"/>
                <w:sz w:val="24"/>
                <w:szCs w:val="24"/>
              </w:rPr>
            </w:pPr>
            <w:r>
              <w:rPr>
                <w:rFonts w:hint="eastAsia" w:hAnsi="宋体" w:cs="宋体"/>
                <w:kern w:val="2"/>
                <w:sz w:val="24"/>
                <w:szCs w:val="24"/>
              </w:rPr>
              <w:t>技术要求</w:t>
            </w:r>
          </w:p>
        </w:tc>
        <w:tc>
          <w:tcPr>
            <w:tcW w:w="2181" w:type="dxa"/>
            <w:vAlign w:val="center"/>
          </w:tcPr>
          <w:p>
            <w:pPr>
              <w:pStyle w:val="25"/>
              <w:spacing w:line="400" w:lineRule="exact"/>
              <w:jc w:val="center"/>
              <w:rPr>
                <w:rFonts w:hAnsi="宋体" w:cs="宋体"/>
                <w:kern w:val="2"/>
                <w:sz w:val="24"/>
                <w:szCs w:val="24"/>
              </w:rPr>
            </w:pPr>
            <w:r>
              <w:rPr>
                <w:rFonts w:hint="eastAsia" w:hAnsi="宋体" w:cs="宋体"/>
                <w:kern w:val="2"/>
                <w:sz w:val="24"/>
                <w:szCs w:val="24"/>
              </w:rPr>
              <w:t>投标响应</w:t>
            </w:r>
          </w:p>
        </w:tc>
        <w:tc>
          <w:tcPr>
            <w:tcW w:w="1934" w:type="dxa"/>
            <w:vAlign w:val="center"/>
          </w:tcPr>
          <w:p>
            <w:pPr>
              <w:pStyle w:val="25"/>
              <w:spacing w:line="400" w:lineRule="exact"/>
              <w:jc w:val="center"/>
              <w:rPr>
                <w:rFonts w:hAnsi="宋体" w:cs="宋体"/>
                <w:kern w:val="2"/>
                <w:sz w:val="24"/>
                <w:szCs w:val="24"/>
              </w:rPr>
            </w:pPr>
            <w:r>
              <w:rPr>
                <w:rFonts w:hint="eastAsia" w:hAnsi="宋体" w:cs="宋体"/>
                <w:kern w:val="2"/>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jc w:val="center"/>
              <w:rPr>
                <w:rFonts w:hAnsi="宋体" w:cs="宋体"/>
                <w:kern w:val="2"/>
                <w:sz w:val="24"/>
                <w:szCs w:val="24"/>
              </w:rPr>
            </w:pPr>
          </w:p>
        </w:tc>
        <w:tc>
          <w:tcPr>
            <w:tcW w:w="2143" w:type="dxa"/>
            <w:vAlign w:val="center"/>
          </w:tcPr>
          <w:p>
            <w:pPr>
              <w:pStyle w:val="25"/>
              <w:spacing w:line="600" w:lineRule="exact"/>
              <w:jc w:val="center"/>
              <w:rPr>
                <w:rFonts w:hAnsi="宋体" w:cs="宋体"/>
                <w:kern w:val="2"/>
                <w:sz w:val="24"/>
                <w:szCs w:val="24"/>
              </w:rPr>
            </w:pPr>
          </w:p>
        </w:tc>
        <w:tc>
          <w:tcPr>
            <w:tcW w:w="1834" w:type="dxa"/>
            <w:vAlign w:val="center"/>
          </w:tcPr>
          <w:p>
            <w:pPr>
              <w:pStyle w:val="25"/>
              <w:spacing w:line="600" w:lineRule="exact"/>
              <w:jc w:val="center"/>
              <w:rPr>
                <w:rFonts w:hAnsi="宋体" w:cs="宋体"/>
                <w:kern w:val="2"/>
                <w:sz w:val="24"/>
                <w:szCs w:val="24"/>
              </w:rPr>
            </w:pPr>
          </w:p>
        </w:tc>
        <w:tc>
          <w:tcPr>
            <w:tcW w:w="2181" w:type="dxa"/>
            <w:vAlign w:val="center"/>
          </w:tcPr>
          <w:p>
            <w:pPr>
              <w:pStyle w:val="25"/>
              <w:spacing w:line="600" w:lineRule="exact"/>
              <w:jc w:val="center"/>
              <w:rPr>
                <w:rFonts w:hAnsi="宋体" w:cs="宋体"/>
                <w:kern w:val="2"/>
                <w:sz w:val="24"/>
                <w:szCs w:val="24"/>
              </w:rPr>
            </w:pPr>
          </w:p>
        </w:tc>
        <w:tc>
          <w:tcPr>
            <w:tcW w:w="1934" w:type="dxa"/>
            <w:vAlign w:val="center"/>
          </w:tcPr>
          <w:p>
            <w:pPr>
              <w:pStyle w:val="25"/>
              <w:spacing w:line="600" w:lineRule="exact"/>
              <w:jc w:val="center"/>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宋体"/>
                <w:kern w:val="2"/>
                <w:sz w:val="24"/>
                <w:szCs w:val="24"/>
              </w:rPr>
            </w:pPr>
          </w:p>
        </w:tc>
        <w:tc>
          <w:tcPr>
            <w:tcW w:w="2143" w:type="dxa"/>
          </w:tcPr>
          <w:p>
            <w:pPr>
              <w:pStyle w:val="25"/>
              <w:spacing w:line="600" w:lineRule="exact"/>
              <w:rPr>
                <w:rFonts w:hAnsi="宋体" w:cs="宋体"/>
                <w:kern w:val="2"/>
                <w:sz w:val="24"/>
                <w:szCs w:val="24"/>
              </w:rPr>
            </w:pPr>
          </w:p>
        </w:tc>
        <w:tc>
          <w:tcPr>
            <w:tcW w:w="1834" w:type="dxa"/>
          </w:tcPr>
          <w:p>
            <w:pPr>
              <w:pStyle w:val="25"/>
              <w:spacing w:line="600" w:lineRule="exact"/>
              <w:rPr>
                <w:rFonts w:hAnsi="宋体" w:cs="宋体"/>
                <w:kern w:val="2"/>
                <w:sz w:val="24"/>
                <w:szCs w:val="24"/>
              </w:rPr>
            </w:pPr>
          </w:p>
        </w:tc>
        <w:tc>
          <w:tcPr>
            <w:tcW w:w="2181" w:type="dxa"/>
          </w:tcPr>
          <w:p>
            <w:pPr>
              <w:pStyle w:val="25"/>
              <w:spacing w:line="600" w:lineRule="exact"/>
              <w:rPr>
                <w:rFonts w:hAnsi="宋体" w:cs="宋体"/>
                <w:kern w:val="2"/>
                <w:sz w:val="24"/>
                <w:szCs w:val="24"/>
              </w:rPr>
            </w:pPr>
          </w:p>
        </w:tc>
        <w:tc>
          <w:tcPr>
            <w:tcW w:w="1934" w:type="dxa"/>
          </w:tcPr>
          <w:p>
            <w:pPr>
              <w:pStyle w:val="25"/>
              <w:spacing w:line="600" w:lineRule="exact"/>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宋体"/>
                <w:kern w:val="2"/>
                <w:sz w:val="24"/>
                <w:szCs w:val="24"/>
              </w:rPr>
            </w:pPr>
          </w:p>
        </w:tc>
        <w:tc>
          <w:tcPr>
            <w:tcW w:w="2143" w:type="dxa"/>
          </w:tcPr>
          <w:p>
            <w:pPr>
              <w:pStyle w:val="25"/>
              <w:spacing w:line="600" w:lineRule="exact"/>
              <w:rPr>
                <w:rFonts w:hAnsi="宋体" w:cs="宋体"/>
                <w:kern w:val="2"/>
                <w:sz w:val="24"/>
                <w:szCs w:val="24"/>
              </w:rPr>
            </w:pPr>
          </w:p>
        </w:tc>
        <w:tc>
          <w:tcPr>
            <w:tcW w:w="1834" w:type="dxa"/>
          </w:tcPr>
          <w:p>
            <w:pPr>
              <w:pStyle w:val="25"/>
              <w:spacing w:line="600" w:lineRule="exact"/>
              <w:rPr>
                <w:rFonts w:hAnsi="宋体" w:cs="宋体"/>
                <w:kern w:val="2"/>
                <w:sz w:val="24"/>
                <w:szCs w:val="24"/>
              </w:rPr>
            </w:pPr>
          </w:p>
        </w:tc>
        <w:tc>
          <w:tcPr>
            <w:tcW w:w="2181" w:type="dxa"/>
          </w:tcPr>
          <w:p>
            <w:pPr>
              <w:pStyle w:val="25"/>
              <w:spacing w:line="600" w:lineRule="exact"/>
              <w:rPr>
                <w:rFonts w:hAnsi="宋体" w:cs="宋体"/>
                <w:kern w:val="2"/>
                <w:sz w:val="24"/>
                <w:szCs w:val="24"/>
              </w:rPr>
            </w:pPr>
          </w:p>
        </w:tc>
        <w:tc>
          <w:tcPr>
            <w:tcW w:w="1934" w:type="dxa"/>
          </w:tcPr>
          <w:p>
            <w:pPr>
              <w:pStyle w:val="25"/>
              <w:spacing w:line="600" w:lineRule="exact"/>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宋体"/>
                <w:kern w:val="2"/>
                <w:sz w:val="24"/>
                <w:szCs w:val="24"/>
              </w:rPr>
            </w:pPr>
          </w:p>
        </w:tc>
        <w:tc>
          <w:tcPr>
            <w:tcW w:w="2143" w:type="dxa"/>
          </w:tcPr>
          <w:p>
            <w:pPr>
              <w:pStyle w:val="25"/>
              <w:spacing w:line="600" w:lineRule="exact"/>
              <w:rPr>
                <w:rFonts w:hAnsi="宋体" w:cs="宋体"/>
                <w:kern w:val="2"/>
                <w:sz w:val="24"/>
                <w:szCs w:val="24"/>
              </w:rPr>
            </w:pPr>
          </w:p>
        </w:tc>
        <w:tc>
          <w:tcPr>
            <w:tcW w:w="1834" w:type="dxa"/>
          </w:tcPr>
          <w:p>
            <w:pPr>
              <w:pStyle w:val="25"/>
              <w:spacing w:line="600" w:lineRule="exact"/>
              <w:rPr>
                <w:rFonts w:hAnsi="宋体" w:cs="宋体"/>
                <w:kern w:val="2"/>
                <w:sz w:val="24"/>
                <w:szCs w:val="24"/>
              </w:rPr>
            </w:pPr>
          </w:p>
        </w:tc>
        <w:tc>
          <w:tcPr>
            <w:tcW w:w="2181" w:type="dxa"/>
          </w:tcPr>
          <w:p>
            <w:pPr>
              <w:pStyle w:val="25"/>
              <w:spacing w:line="600" w:lineRule="exact"/>
              <w:rPr>
                <w:rFonts w:hAnsi="宋体" w:cs="宋体"/>
                <w:kern w:val="2"/>
                <w:sz w:val="24"/>
                <w:szCs w:val="24"/>
              </w:rPr>
            </w:pPr>
          </w:p>
        </w:tc>
        <w:tc>
          <w:tcPr>
            <w:tcW w:w="1934" w:type="dxa"/>
          </w:tcPr>
          <w:p>
            <w:pPr>
              <w:pStyle w:val="25"/>
              <w:spacing w:line="600" w:lineRule="exact"/>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宋体"/>
                <w:kern w:val="2"/>
                <w:sz w:val="24"/>
                <w:szCs w:val="24"/>
              </w:rPr>
            </w:pPr>
          </w:p>
        </w:tc>
        <w:tc>
          <w:tcPr>
            <w:tcW w:w="2143" w:type="dxa"/>
          </w:tcPr>
          <w:p>
            <w:pPr>
              <w:pStyle w:val="25"/>
              <w:spacing w:line="600" w:lineRule="exact"/>
              <w:rPr>
                <w:rFonts w:hAnsi="宋体" w:cs="宋体"/>
                <w:kern w:val="2"/>
                <w:sz w:val="24"/>
                <w:szCs w:val="24"/>
              </w:rPr>
            </w:pPr>
          </w:p>
        </w:tc>
        <w:tc>
          <w:tcPr>
            <w:tcW w:w="1834" w:type="dxa"/>
          </w:tcPr>
          <w:p>
            <w:pPr>
              <w:pStyle w:val="25"/>
              <w:spacing w:line="600" w:lineRule="exact"/>
              <w:rPr>
                <w:rFonts w:hAnsi="宋体" w:cs="宋体"/>
                <w:kern w:val="2"/>
                <w:sz w:val="24"/>
                <w:szCs w:val="24"/>
              </w:rPr>
            </w:pPr>
          </w:p>
        </w:tc>
        <w:tc>
          <w:tcPr>
            <w:tcW w:w="2181" w:type="dxa"/>
          </w:tcPr>
          <w:p>
            <w:pPr>
              <w:pStyle w:val="25"/>
              <w:spacing w:line="600" w:lineRule="exact"/>
              <w:rPr>
                <w:rFonts w:hAnsi="宋体" w:cs="宋体"/>
                <w:kern w:val="2"/>
                <w:sz w:val="24"/>
                <w:szCs w:val="24"/>
              </w:rPr>
            </w:pPr>
          </w:p>
        </w:tc>
        <w:tc>
          <w:tcPr>
            <w:tcW w:w="1934" w:type="dxa"/>
          </w:tcPr>
          <w:p>
            <w:pPr>
              <w:pStyle w:val="25"/>
              <w:spacing w:line="600" w:lineRule="exact"/>
              <w:rPr>
                <w:rFonts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宋体"/>
                <w:kern w:val="2"/>
                <w:sz w:val="24"/>
                <w:szCs w:val="24"/>
              </w:rPr>
            </w:pPr>
          </w:p>
        </w:tc>
        <w:tc>
          <w:tcPr>
            <w:tcW w:w="2143" w:type="dxa"/>
          </w:tcPr>
          <w:p>
            <w:pPr>
              <w:pStyle w:val="25"/>
              <w:spacing w:line="600" w:lineRule="exact"/>
              <w:rPr>
                <w:rFonts w:hAnsi="宋体" w:cs="宋体"/>
                <w:kern w:val="2"/>
                <w:sz w:val="24"/>
                <w:szCs w:val="24"/>
              </w:rPr>
            </w:pPr>
          </w:p>
        </w:tc>
        <w:tc>
          <w:tcPr>
            <w:tcW w:w="1834" w:type="dxa"/>
          </w:tcPr>
          <w:p>
            <w:pPr>
              <w:pStyle w:val="25"/>
              <w:spacing w:line="600" w:lineRule="exact"/>
              <w:rPr>
                <w:rFonts w:hAnsi="宋体" w:cs="宋体"/>
                <w:kern w:val="2"/>
                <w:sz w:val="24"/>
                <w:szCs w:val="24"/>
              </w:rPr>
            </w:pPr>
          </w:p>
        </w:tc>
        <w:tc>
          <w:tcPr>
            <w:tcW w:w="2181" w:type="dxa"/>
          </w:tcPr>
          <w:p>
            <w:pPr>
              <w:pStyle w:val="25"/>
              <w:spacing w:line="600" w:lineRule="exact"/>
              <w:rPr>
                <w:rFonts w:hAnsi="宋体" w:cs="宋体"/>
                <w:kern w:val="2"/>
                <w:sz w:val="24"/>
                <w:szCs w:val="24"/>
              </w:rPr>
            </w:pPr>
          </w:p>
        </w:tc>
        <w:tc>
          <w:tcPr>
            <w:tcW w:w="1934" w:type="dxa"/>
          </w:tcPr>
          <w:p>
            <w:pPr>
              <w:pStyle w:val="25"/>
              <w:spacing w:line="600" w:lineRule="exact"/>
              <w:rPr>
                <w:rFonts w:hAnsi="宋体" w:cs="宋体"/>
                <w:kern w:val="2"/>
                <w:sz w:val="24"/>
                <w:szCs w:val="24"/>
              </w:rPr>
            </w:pPr>
          </w:p>
        </w:tc>
      </w:tr>
    </w:tbl>
    <w:p>
      <w:pPr>
        <w:pStyle w:val="18"/>
        <w:rPr>
          <w:rFonts w:ascii="宋体" w:hAnsi="宋体" w:cs="宋体"/>
        </w:rPr>
      </w:pPr>
      <w:r>
        <w:rPr>
          <w:rFonts w:hint="eastAsia" w:ascii="宋体" w:hAnsi="宋体" w:cs="宋体"/>
        </w:rPr>
        <w:t>注：</w:t>
      </w:r>
    </w:p>
    <w:p>
      <w:pPr>
        <w:pStyle w:val="20"/>
        <w:spacing w:line="360" w:lineRule="auto"/>
        <w:ind w:firstLine="0" w:firstLineChars="0"/>
        <w:rPr>
          <w:rFonts w:ascii="宋体" w:hAnsi="宋体" w:eastAsia="宋体" w:cs="宋体"/>
          <w:szCs w:val="32"/>
        </w:rPr>
      </w:pPr>
      <w:r>
        <w:rPr>
          <w:rFonts w:hint="eastAsia" w:ascii="宋体" w:hAnsi="宋体" w:eastAsia="宋体" w:cs="宋体"/>
          <w:sz w:val="24"/>
          <w:szCs w:val="24"/>
        </w:rPr>
        <w:t>1. 说明：应对照招标文件“第二章 采购需求”中的“项目要求及技术需求”逐条作明确的投标响应，并作出偏离说明。</w:t>
      </w:r>
    </w:p>
    <w:p>
      <w:pPr>
        <w:pStyle w:val="18"/>
        <w:spacing w:line="360" w:lineRule="auto"/>
        <w:rPr>
          <w:rFonts w:ascii="宋体" w:hAnsi="宋体" w:cs="宋体"/>
          <w:b w:val="0"/>
          <w:bCs w:val="0"/>
        </w:rPr>
      </w:pPr>
      <w:r>
        <w:rPr>
          <w:rFonts w:hint="eastAsia" w:ascii="宋体" w:hAnsi="宋体" w:cs="宋体"/>
          <w:b w:val="0"/>
          <w:bCs w:val="0"/>
        </w:rPr>
        <w:t>2.投标人根据投标货物的性能指标，对照招标文件技术要求，在“偏离说明”中注明“</w:t>
      </w:r>
      <w:r>
        <w:rPr>
          <w:rFonts w:hint="eastAsia" w:ascii="宋体" w:hAnsi="宋体" w:cs="宋体"/>
        </w:rPr>
        <w:t>正偏离</w:t>
      </w:r>
      <w:r>
        <w:rPr>
          <w:rFonts w:hint="eastAsia" w:ascii="宋体" w:hAnsi="宋体" w:cs="宋体"/>
          <w:b w:val="0"/>
          <w:bCs w:val="0"/>
        </w:rPr>
        <w:t>”、“</w:t>
      </w:r>
      <w:r>
        <w:rPr>
          <w:rFonts w:hint="eastAsia" w:ascii="宋体" w:hAnsi="宋体" w:cs="宋体"/>
        </w:rPr>
        <w:t>负偏离</w:t>
      </w:r>
      <w:r>
        <w:rPr>
          <w:rFonts w:hint="eastAsia" w:ascii="宋体" w:hAnsi="宋体" w:cs="宋体"/>
          <w:b w:val="0"/>
          <w:bCs w:val="0"/>
        </w:rPr>
        <w:t>”或者“</w:t>
      </w:r>
      <w:r>
        <w:rPr>
          <w:rFonts w:hint="eastAsia" w:ascii="宋体" w:hAnsi="宋体" w:cs="宋体"/>
        </w:rPr>
        <w:t>无偏离</w:t>
      </w:r>
      <w:r>
        <w:rPr>
          <w:rFonts w:hint="eastAsia" w:ascii="宋体" w:hAnsi="宋体" w:cs="宋体"/>
          <w:b w:val="0"/>
          <w:bCs w:val="0"/>
        </w:rPr>
        <w:t>”。既不属于“</w:t>
      </w:r>
      <w:r>
        <w:rPr>
          <w:rFonts w:hint="eastAsia" w:ascii="宋体" w:hAnsi="宋体" w:cs="宋体"/>
        </w:rPr>
        <w:t>正偏离</w:t>
      </w:r>
      <w:r>
        <w:rPr>
          <w:rFonts w:hint="eastAsia" w:ascii="宋体" w:hAnsi="宋体" w:cs="宋体"/>
          <w:b w:val="0"/>
          <w:bCs w:val="0"/>
        </w:rPr>
        <w:t>”也不属于“</w:t>
      </w:r>
      <w:r>
        <w:rPr>
          <w:rFonts w:hint="eastAsia" w:ascii="宋体" w:hAnsi="宋体" w:cs="宋体"/>
        </w:rPr>
        <w:t>负偏离</w:t>
      </w:r>
      <w:r>
        <w:rPr>
          <w:rFonts w:hint="eastAsia" w:ascii="宋体" w:hAnsi="宋体" w:cs="宋体"/>
          <w:b w:val="0"/>
          <w:bCs w:val="0"/>
        </w:rPr>
        <w:t>”即为“</w:t>
      </w:r>
      <w:r>
        <w:rPr>
          <w:rFonts w:hint="eastAsia" w:ascii="宋体" w:hAnsi="宋体" w:cs="宋体"/>
        </w:rPr>
        <w:t>无偏离</w:t>
      </w:r>
      <w:r>
        <w:rPr>
          <w:rFonts w:hint="eastAsia" w:ascii="宋体" w:hAnsi="宋体" w:cs="宋体"/>
          <w:b w:val="0"/>
          <w:bCs w:val="0"/>
        </w:rPr>
        <w:t>”。</w:t>
      </w:r>
    </w:p>
    <w:p>
      <w:pPr>
        <w:pStyle w:val="2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投标人认为其投标响应有正偏离的，请在项目要求及技术需求偏离表中列明，且在投标文件中提供投标产品的彩页或国家认可的有资质的第三方检测机构出具的检测报告复印件或产品生产厂家出具的技术参数说明证明作为佐证，以上佐证材料均需加盖生产厂家或代理商（附生产厂家授权资料）公章。</w:t>
      </w:r>
    </w:p>
    <w:p>
      <w:pPr>
        <w:pStyle w:val="2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 如项目要求及技术需求偏离表中的投标响应与佐证材料不一致的，以佐证材料为准。</w:t>
      </w:r>
    </w:p>
    <w:p>
      <w:pPr>
        <w:snapToGrid w:val="0"/>
        <w:spacing w:before="50" w:after="50" w:line="360" w:lineRule="auto"/>
        <w:rPr>
          <w:rFonts w:ascii="宋体" w:hAnsi="宋体" w:cs="宋体"/>
          <w:sz w:val="24"/>
        </w:rPr>
      </w:pPr>
    </w:p>
    <w:p>
      <w:pPr>
        <w:snapToGrid w:val="0"/>
        <w:spacing w:before="50" w:after="50" w:line="360" w:lineRule="auto"/>
        <w:rPr>
          <w:rFonts w:ascii="宋体" w:hAnsi="宋体" w:cs="宋体"/>
          <w:spacing w:val="20"/>
          <w:sz w:val="24"/>
          <w:u w:val="single"/>
        </w:rPr>
      </w:pPr>
      <w:r>
        <w:rPr>
          <w:rFonts w:hint="eastAsia" w:ascii="宋体" w:hAnsi="宋体" w:cs="宋体"/>
          <w:sz w:val="24"/>
        </w:rPr>
        <w:t>法定代表人或者委托代理人</w:t>
      </w:r>
      <w:r>
        <w:rPr>
          <w:rFonts w:hint="eastAsia" w:ascii="宋体" w:hAnsi="宋体" w:cs="宋体"/>
          <w:spacing w:val="20"/>
          <w:sz w:val="24"/>
        </w:rPr>
        <w:t>（签字或电子签名）：</w:t>
      </w:r>
      <w:r>
        <w:rPr>
          <w:rFonts w:hint="eastAsia" w:ascii="宋体" w:hAnsi="宋体" w:cs="宋体"/>
          <w:spacing w:val="20"/>
          <w:sz w:val="24"/>
          <w:u w:val="single"/>
        </w:rPr>
        <w:t xml:space="preserve">        </w:t>
      </w:r>
    </w:p>
    <w:p>
      <w:pPr>
        <w:snapToGrid w:val="0"/>
        <w:spacing w:before="50" w:after="50" w:line="360" w:lineRule="auto"/>
        <w:rPr>
          <w:rFonts w:ascii="宋体" w:hAnsi="宋体" w:cs="宋体"/>
          <w:spacing w:val="20"/>
          <w:sz w:val="24"/>
          <w:u w:val="single"/>
        </w:rPr>
      </w:pPr>
      <w:r>
        <w:rPr>
          <w:rFonts w:hint="eastAsia" w:ascii="宋体" w:hAnsi="宋体" w:cs="宋体"/>
          <w:spacing w:val="20"/>
          <w:sz w:val="24"/>
        </w:rPr>
        <w:t>投标人（</w:t>
      </w:r>
      <w:r>
        <w:rPr>
          <w:rFonts w:hint="eastAsia" w:ascii="宋体" w:hAnsi="宋体" w:cs="宋体"/>
          <w:kern w:val="0"/>
          <w:sz w:val="24"/>
        </w:rPr>
        <w:t>电子签章</w:t>
      </w:r>
      <w:r>
        <w:rPr>
          <w:rFonts w:hint="eastAsia" w:ascii="宋体" w:hAnsi="宋体" w:cs="宋体"/>
          <w:spacing w:val="20"/>
          <w:sz w:val="24"/>
        </w:rPr>
        <w:t>）：</w:t>
      </w:r>
      <w:r>
        <w:rPr>
          <w:rFonts w:hint="eastAsia" w:ascii="宋体" w:hAnsi="宋体" w:cs="宋体"/>
          <w:spacing w:val="20"/>
          <w:sz w:val="24"/>
          <w:u w:val="single"/>
        </w:rPr>
        <w:t xml:space="preserve">            </w:t>
      </w:r>
      <w:r>
        <w:rPr>
          <w:rFonts w:hint="eastAsia" w:ascii="宋体" w:hAnsi="宋体" w:cs="宋体"/>
          <w:spacing w:val="20"/>
          <w:sz w:val="24"/>
        </w:rPr>
        <w:t xml:space="preserve">              日 期：</w:t>
      </w:r>
      <w:r>
        <w:rPr>
          <w:rFonts w:hint="eastAsia" w:ascii="宋体" w:hAnsi="宋体" w:cs="宋体"/>
          <w:spacing w:val="20"/>
          <w:sz w:val="24"/>
          <w:u w:val="single"/>
        </w:rPr>
        <w:t xml:space="preserve">        </w:t>
      </w:r>
    </w:p>
    <w:p>
      <w:pPr>
        <w:snapToGrid w:val="0"/>
        <w:spacing w:before="50" w:after="50" w:line="360" w:lineRule="auto"/>
        <w:rPr>
          <w:rFonts w:ascii="宋体" w:hAnsi="宋体" w:cs="宋体"/>
          <w:sz w:val="24"/>
          <w:szCs w:val="20"/>
        </w:rPr>
      </w:pPr>
    </w:p>
    <w:p>
      <w:pPr>
        <w:snapToGrid w:val="0"/>
        <w:spacing w:before="165" w:beforeLines="50" w:after="50"/>
        <w:ind w:left="142"/>
        <w:jc w:val="left"/>
        <w:rPr>
          <w:rFonts w:ascii="宋体" w:hAnsi="宋体" w:cs="宋体"/>
          <w:b/>
          <w:sz w:val="24"/>
        </w:rPr>
      </w:pPr>
      <w:r>
        <w:rPr>
          <w:rFonts w:hint="eastAsia" w:ascii="宋体" w:hAnsi="宋体" w:cs="宋体"/>
          <w:b/>
          <w:sz w:val="24"/>
        </w:rPr>
        <w:br w:type="page"/>
      </w:r>
      <w:r>
        <w:rPr>
          <w:rFonts w:hint="eastAsia" w:ascii="宋体" w:hAnsi="宋体" w:cs="宋体"/>
          <w:b/>
          <w:sz w:val="24"/>
        </w:rPr>
        <w:t>4. 项目实施人员一览表（格式）</w:t>
      </w:r>
    </w:p>
    <w:p>
      <w:pPr>
        <w:snapToGrid w:val="0"/>
        <w:spacing w:line="360" w:lineRule="auto"/>
        <w:jc w:val="center"/>
        <w:rPr>
          <w:rFonts w:ascii="宋体" w:hAnsi="宋体" w:cs="宋体"/>
          <w:b/>
          <w:sz w:val="30"/>
          <w:szCs w:val="30"/>
        </w:rPr>
      </w:pPr>
    </w:p>
    <w:p>
      <w:pPr>
        <w:snapToGrid w:val="0"/>
        <w:spacing w:line="360" w:lineRule="auto"/>
        <w:jc w:val="center"/>
        <w:rPr>
          <w:rFonts w:ascii="宋体" w:hAnsi="宋体" w:cs="宋体"/>
          <w:b/>
          <w:sz w:val="30"/>
          <w:szCs w:val="30"/>
        </w:rPr>
      </w:pPr>
      <w:r>
        <w:rPr>
          <w:rFonts w:hint="eastAsia" w:ascii="宋体" w:hAnsi="宋体" w:cs="宋体"/>
          <w:b/>
          <w:sz w:val="30"/>
          <w:szCs w:val="30"/>
        </w:rPr>
        <w:t>项目实施人员一览表</w:t>
      </w:r>
    </w:p>
    <w:p>
      <w:pPr>
        <w:jc w:val="center"/>
        <w:rPr>
          <w:rFonts w:ascii="宋体" w:hAnsi="宋体" w:cs="宋体"/>
          <w:b/>
          <w:bCs/>
          <w:sz w:val="24"/>
        </w:rPr>
      </w:pPr>
      <w:r>
        <w:rPr>
          <w:rFonts w:hint="eastAsia" w:ascii="宋体" w:hAnsi="宋体" w:cs="宋体"/>
          <w:sz w:val="24"/>
        </w:rPr>
        <w:t>（由供应商根据采购需求及招标文件要求编制）</w:t>
      </w:r>
    </w:p>
    <w:p>
      <w:pPr>
        <w:rPr>
          <w:rFonts w:ascii="宋体" w:hAnsi="宋体" w:cs="宋体"/>
          <w:kern w:val="0"/>
          <w:sz w:val="24"/>
        </w:rPr>
      </w:pPr>
      <w:r>
        <w:rPr>
          <w:rFonts w:hint="eastAsia" w:ascii="宋体" w:hAnsi="宋体" w:cs="宋体"/>
          <w:sz w:val="24"/>
        </w:rPr>
        <w:t>所投分标</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分标</w:t>
      </w:r>
    </w:p>
    <w:p>
      <w:pPr>
        <w:keepNext/>
        <w:autoSpaceDE w:val="0"/>
        <w:autoSpaceDN w:val="0"/>
        <w:ind w:firstLine="477"/>
        <w:rPr>
          <w:rFonts w:ascii="宋体" w:hAnsi="宋体" w:cs="宋体"/>
          <w:b/>
          <w:sz w:val="24"/>
        </w:rPr>
      </w:pPr>
      <w:r>
        <w:rPr>
          <w:rFonts w:hint="eastAsia" w:ascii="宋体" w:hAnsi="宋体" w:cs="宋体"/>
          <w:b/>
          <w:sz w:val="24"/>
        </w:rPr>
        <w:t>附表A:本项目的项目经理情况表</w:t>
      </w:r>
    </w:p>
    <w:tbl>
      <w:tblPr>
        <w:tblStyle w:val="47"/>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宋体" w:hAnsi="宋体" w:cs="宋体"/>
                <w:sz w:val="24"/>
              </w:rPr>
            </w:pPr>
            <w:r>
              <w:rPr>
                <w:rFonts w:hint="eastAsia" w:ascii="宋体" w:hAnsi="宋体" w:cs="宋体"/>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 w:val="24"/>
              </w:rPr>
            </w:pPr>
            <w:r>
              <w:rPr>
                <w:rFonts w:hint="eastAsia" w:ascii="宋体" w:hAnsi="宋体" w:cs="宋体"/>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 w:val="24"/>
              </w:rPr>
            </w:pPr>
            <w:r>
              <w:rPr>
                <w:rFonts w:hint="eastAsia" w:ascii="宋体" w:hAnsi="宋体" w:cs="宋体"/>
                <w:sz w:val="24"/>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宋体" w:hAnsi="宋体" w:cs="宋体"/>
                <w:sz w:val="24"/>
              </w:rPr>
            </w:pPr>
            <w:r>
              <w:rPr>
                <w:rFonts w:hint="eastAsia" w:ascii="宋体" w:hAnsi="宋体" w:cs="宋体"/>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jc w:val="center"/>
              <w:rPr>
                <w:rFonts w:ascii="宋体" w:hAnsi="宋体" w:cs="宋体"/>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宋体" w:hAnsi="宋体" w:cs="宋体"/>
                <w:sz w:val="24"/>
              </w:rPr>
            </w:pPr>
            <w:r>
              <w:rPr>
                <w:rFonts w:hint="eastAsia" w:ascii="宋体" w:hAnsi="宋体" w:cs="宋体"/>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r>
              <w:rPr>
                <w:rFonts w:hint="eastAsia" w:ascii="宋体" w:hAnsi="宋体" w:cs="宋体"/>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r>
              <w:rPr>
                <w:rFonts w:hint="eastAsia" w:ascii="宋体" w:hAnsi="宋体" w:cs="宋体"/>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r>
              <w:rPr>
                <w:rFonts w:hint="eastAsia" w:ascii="宋体" w:hAnsi="宋体" w:cs="宋体"/>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r>
              <w:rPr>
                <w:rFonts w:hint="eastAsia" w:ascii="宋体" w:hAnsi="宋体" w:cs="宋体"/>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r>
              <w:rPr>
                <w:rFonts w:hint="eastAsia" w:ascii="宋体" w:hAnsi="宋体" w:cs="宋体"/>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r>
              <w:rPr>
                <w:rFonts w:hint="eastAsia" w:ascii="宋体" w:hAnsi="宋体" w:cs="宋体"/>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jc w:val="center"/>
              <w:rPr>
                <w:rFonts w:ascii="宋体" w:hAnsi="宋体" w:cs="宋体"/>
                <w:sz w:val="24"/>
              </w:rPr>
            </w:pPr>
            <w:r>
              <w:rPr>
                <w:rFonts w:hint="eastAsia" w:ascii="宋体" w:hAnsi="宋体" w:cs="宋体"/>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p>
        </w:tc>
      </w:tr>
    </w:tbl>
    <w:p>
      <w:pPr>
        <w:autoSpaceDE w:val="0"/>
        <w:autoSpaceDN w:val="0"/>
        <w:rPr>
          <w:rFonts w:ascii="宋体" w:hAnsi="宋体" w:cs="宋体"/>
          <w:b/>
          <w:sz w:val="24"/>
        </w:rPr>
      </w:pPr>
      <w:r>
        <w:rPr>
          <w:rFonts w:hint="eastAsia" w:ascii="宋体" w:hAnsi="宋体" w:cs="宋体"/>
          <w:b/>
          <w:sz w:val="24"/>
        </w:rPr>
        <w:t>注：须随表提交相应的证书复印件并注明所在响应技术文件页码。</w:t>
      </w:r>
    </w:p>
    <w:p>
      <w:pPr>
        <w:keepNext/>
        <w:autoSpaceDE w:val="0"/>
        <w:autoSpaceDN w:val="0"/>
        <w:ind w:firstLine="477"/>
        <w:rPr>
          <w:rFonts w:ascii="宋体" w:hAnsi="宋体" w:cs="宋体"/>
          <w:b/>
          <w:sz w:val="24"/>
        </w:rPr>
      </w:pPr>
    </w:p>
    <w:p>
      <w:pPr>
        <w:keepNext/>
        <w:autoSpaceDE w:val="0"/>
        <w:autoSpaceDN w:val="0"/>
        <w:ind w:firstLine="477"/>
        <w:rPr>
          <w:rFonts w:ascii="宋体" w:hAnsi="宋体" w:cs="宋体"/>
          <w:b/>
          <w:sz w:val="24"/>
        </w:rPr>
      </w:pPr>
      <w:r>
        <w:rPr>
          <w:rFonts w:hint="eastAsia" w:ascii="宋体" w:hAnsi="宋体" w:cs="宋体"/>
          <w:b/>
          <w:sz w:val="24"/>
        </w:rPr>
        <w:t>附表B:本项目的项目小组人员情况表</w:t>
      </w:r>
      <w:r>
        <w:rPr>
          <w:rFonts w:hint="eastAsia" w:ascii="宋体" w:hAnsi="宋体" w:cs="宋体"/>
          <w:sz w:val="24"/>
        </w:rPr>
        <w:t>（按此格式自制）</w:t>
      </w:r>
    </w:p>
    <w:tbl>
      <w:tblPr>
        <w:tblStyle w:val="47"/>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r>
              <w:rPr>
                <w:rFonts w:hint="eastAsia" w:ascii="宋体" w:hAnsi="宋体" w:cs="宋体"/>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r>
              <w:rPr>
                <w:rFonts w:hint="eastAsia" w:ascii="宋体" w:hAnsi="宋体" w:cs="宋体"/>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r>
              <w:rPr>
                <w:rFonts w:hint="eastAsia" w:ascii="宋体" w:hAnsi="宋体" w:cs="宋体"/>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r>
              <w:rPr>
                <w:rFonts w:hint="eastAsia" w:ascii="宋体" w:hAnsi="宋体" w:cs="宋体"/>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r>
              <w:rPr>
                <w:rFonts w:hint="eastAsia" w:ascii="宋体" w:hAnsi="宋体" w:cs="宋体"/>
                <w:sz w:val="24"/>
              </w:rPr>
              <w:t>学历</w:t>
            </w:r>
          </w:p>
          <w:p>
            <w:pPr>
              <w:autoSpaceDE w:val="0"/>
              <w:autoSpaceDN w:val="0"/>
              <w:jc w:val="center"/>
              <w:rPr>
                <w:rFonts w:ascii="宋体" w:hAnsi="宋体" w:cs="宋体"/>
                <w:sz w:val="24"/>
              </w:rPr>
            </w:pPr>
            <w:r>
              <w:rPr>
                <w:rFonts w:hint="eastAsia" w:ascii="宋体" w:hAnsi="宋体" w:cs="宋体"/>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r>
              <w:rPr>
                <w:rFonts w:hint="eastAsia" w:ascii="宋体" w:hAnsi="宋体" w:cs="宋体"/>
                <w:sz w:val="24"/>
              </w:rPr>
              <w:t>专业</w:t>
            </w:r>
          </w:p>
          <w:p>
            <w:pPr>
              <w:autoSpaceDE w:val="0"/>
              <w:autoSpaceDN w:val="0"/>
              <w:jc w:val="center"/>
              <w:rPr>
                <w:rFonts w:ascii="宋体" w:hAnsi="宋体" w:cs="宋体"/>
                <w:sz w:val="24"/>
              </w:rPr>
            </w:pPr>
            <w:r>
              <w:rPr>
                <w:rFonts w:hint="eastAsia" w:ascii="宋体" w:hAnsi="宋体" w:cs="宋体"/>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r>
              <w:rPr>
                <w:rFonts w:hint="eastAsia" w:ascii="宋体" w:hAnsi="宋体" w:cs="宋体"/>
                <w:sz w:val="24"/>
              </w:rPr>
              <w:t>职称</w:t>
            </w:r>
          </w:p>
          <w:p>
            <w:pPr>
              <w:autoSpaceDE w:val="0"/>
              <w:autoSpaceDN w:val="0"/>
              <w:jc w:val="center"/>
              <w:rPr>
                <w:rFonts w:ascii="宋体" w:hAnsi="宋体" w:cs="宋体"/>
                <w:sz w:val="24"/>
              </w:rPr>
            </w:pPr>
            <w:r>
              <w:rPr>
                <w:rFonts w:hint="eastAsia" w:ascii="宋体" w:hAnsi="宋体" w:cs="宋体"/>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r>
              <w:rPr>
                <w:rFonts w:hint="eastAsia" w:ascii="宋体" w:hAnsi="宋体" w:cs="宋体"/>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r>
              <w:rPr>
                <w:rFonts w:hint="eastAsia" w:ascii="宋体" w:hAnsi="宋体" w:cs="宋体"/>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 w:val="24"/>
              </w:rPr>
            </w:pPr>
            <w:r>
              <w:rPr>
                <w:rFonts w:hint="eastAsia" w:ascii="宋体" w:hAnsi="宋体" w:cs="宋体"/>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s="宋体"/>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cs="宋体"/>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cs="宋体"/>
                <w:sz w:val="24"/>
              </w:rPr>
            </w:pPr>
          </w:p>
        </w:tc>
      </w:tr>
    </w:tbl>
    <w:p>
      <w:pPr>
        <w:rPr>
          <w:rFonts w:ascii="宋体" w:hAnsi="宋体" w:cs="宋体"/>
          <w:b/>
          <w:bCs/>
          <w:sz w:val="24"/>
        </w:rPr>
      </w:pPr>
      <w:r>
        <w:rPr>
          <w:rFonts w:hint="eastAsia" w:ascii="宋体" w:hAnsi="宋体" w:cs="宋体"/>
          <w:b/>
          <w:sz w:val="24"/>
        </w:rPr>
        <w:t>注：供应商可按上述的格式自行编制，须随表提交相应的证书复印件并注明所在响应技术文件页码。</w:t>
      </w:r>
    </w:p>
    <w:p>
      <w:pPr>
        <w:rPr>
          <w:rFonts w:ascii="宋体" w:hAnsi="宋体" w:cs="宋体"/>
          <w:b/>
          <w:bCs/>
          <w:sz w:val="24"/>
        </w:rPr>
      </w:pPr>
      <w:r>
        <w:rPr>
          <w:rFonts w:hint="eastAsia" w:ascii="宋体" w:hAnsi="宋体" w:cs="宋体"/>
          <w:b/>
          <w:sz w:val="24"/>
        </w:rPr>
        <w:t>附表C:本项目的项目经理和小组人员近1个月交纳社保记录情况表</w:t>
      </w:r>
      <w:r>
        <w:rPr>
          <w:rFonts w:hint="eastAsia" w:ascii="宋体" w:hAnsi="宋体" w:cs="宋体"/>
          <w:sz w:val="24"/>
        </w:rPr>
        <w:t>（以社保局缴纳凭证作附件）</w:t>
      </w:r>
    </w:p>
    <w:p>
      <w:pPr>
        <w:snapToGrid w:val="0"/>
        <w:ind w:firstLine="602" w:firstLineChars="200"/>
        <w:rPr>
          <w:rFonts w:ascii="宋体" w:hAnsi="宋体" w:cs="宋体"/>
          <w:b/>
          <w:sz w:val="30"/>
          <w:szCs w:val="30"/>
        </w:rPr>
      </w:pPr>
    </w:p>
    <w:p>
      <w:pPr>
        <w:autoSpaceDE w:val="0"/>
        <w:autoSpaceDN w:val="0"/>
        <w:ind w:firstLine="6505" w:firstLineChars="2700"/>
        <w:rPr>
          <w:rFonts w:ascii="宋体" w:hAnsi="宋体" w:cs="宋体"/>
          <w:b/>
          <w:bCs/>
          <w:sz w:val="24"/>
        </w:rPr>
      </w:pPr>
    </w:p>
    <w:p>
      <w:pPr>
        <w:autoSpaceDE w:val="0"/>
        <w:autoSpaceDN w:val="0"/>
        <w:ind w:left="4335" w:leftChars="1950" w:hanging="240" w:hangingChars="100"/>
        <w:rPr>
          <w:rFonts w:ascii="宋体" w:hAnsi="宋体" w:cs="宋体"/>
          <w:kern w:val="0"/>
          <w:sz w:val="24"/>
        </w:rPr>
      </w:pPr>
      <w:r>
        <w:rPr>
          <w:rFonts w:hint="eastAsia" w:ascii="宋体" w:hAnsi="宋体" w:cs="宋体"/>
          <w:kern w:val="0"/>
          <w:sz w:val="24"/>
        </w:rPr>
        <w:t>供应商名称（电子签章）：</w:t>
      </w:r>
    </w:p>
    <w:p>
      <w:pPr>
        <w:autoSpaceDE w:val="0"/>
        <w:autoSpaceDN w:val="0"/>
        <w:ind w:firstLine="4800" w:firstLineChars="2000"/>
        <w:rPr>
          <w:rFonts w:ascii="宋体" w:hAnsi="宋体" w:cs="宋体"/>
          <w:kern w:val="0"/>
          <w:sz w:val="24"/>
          <w:lang w:val="zh-CN"/>
        </w:rPr>
      </w:pPr>
      <w:r>
        <w:rPr>
          <w:rFonts w:hint="eastAsia" w:ascii="宋体" w:hAnsi="宋体" w:cs="宋体"/>
          <w:kern w:val="0"/>
          <w:sz w:val="24"/>
          <w:lang w:val="zh-CN"/>
        </w:rPr>
        <w:t>日期：  年  月   日</w:t>
      </w:r>
    </w:p>
    <w:p>
      <w:pPr>
        <w:snapToGrid w:val="0"/>
        <w:spacing w:before="165" w:beforeLines="50" w:after="50"/>
        <w:ind w:left="142"/>
        <w:jc w:val="left"/>
        <w:rPr>
          <w:rFonts w:ascii="宋体" w:hAnsi="宋体" w:cs="宋体"/>
          <w:b/>
          <w:sz w:val="24"/>
        </w:rPr>
      </w:pPr>
    </w:p>
    <w:p>
      <w:pPr>
        <w:rPr>
          <w:rFonts w:ascii="宋体" w:hAnsi="宋体" w:cs="宋体"/>
          <w:b/>
          <w:sz w:val="28"/>
          <w:szCs w:val="28"/>
        </w:rPr>
      </w:pPr>
      <w:r>
        <w:rPr>
          <w:rFonts w:hint="eastAsia" w:ascii="宋体" w:hAnsi="宋体" w:cs="宋体"/>
          <w:b/>
          <w:bCs/>
          <w:sz w:val="24"/>
        </w:rPr>
        <w:br w:type="page"/>
      </w:r>
      <w:r>
        <w:rPr>
          <w:rFonts w:hint="eastAsia" w:ascii="宋体" w:hAnsi="宋体" w:cs="宋体"/>
          <w:b/>
          <w:sz w:val="28"/>
          <w:szCs w:val="28"/>
        </w:rPr>
        <w:t>五、其他文书、文件格式</w:t>
      </w:r>
    </w:p>
    <w:p>
      <w:pPr>
        <w:rPr>
          <w:rFonts w:ascii="宋体" w:hAnsi="宋体" w:cs="宋体"/>
        </w:rPr>
      </w:pPr>
    </w:p>
    <w:p>
      <w:pPr>
        <w:pStyle w:val="25"/>
        <w:jc w:val="center"/>
        <w:rPr>
          <w:rFonts w:hAnsi="宋体" w:cs="宋体"/>
          <w:b/>
          <w:sz w:val="30"/>
          <w:szCs w:val="30"/>
        </w:rPr>
      </w:pPr>
      <w:r>
        <w:rPr>
          <w:rFonts w:hint="eastAsia" w:hAnsi="宋体" w:cs="宋体"/>
          <w:b/>
          <w:sz w:val="30"/>
          <w:szCs w:val="30"/>
        </w:rPr>
        <w:t>1、中小企业声明函（格式）（如有）</w:t>
      </w:r>
    </w:p>
    <w:p>
      <w:pPr>
        <w:pStyle w:val="20"/>
        <w:ind w:firstLine="739"/>
        <w:rPr>
          <w:rFonts w:ascii="宋体" w:hAnsi="宋体" w:eastAsia="宋体" w:cs="宋体"/>
          <w:sz w:val="21"/>
          <w:szCs w:val="21"/>
        </w:rPr>
      </w:pPr>
      <w:r>
        <w:rPr>
          <w:rFonts w:hint="eastAsia" w:ascii="宋体" w:hAnsi="宋体" w:eastAsia="宋体" w:cs="宋体"/>
          <w:sz w:val="21"/>
          <w:szCs w:val="21"/>
        </w:rPr>
        <w:t>说明：</w:t>
      </w:r>
    </w:p>
    <w:p>
      <w:pPr>
        <w:pStyle w:val="20"/>
        <w:ind w:firstLine="420" w:firstLineChars="200"/>
        <w:rPr>
          <w:rFonts w:ascii="宋体" w:hAnsi="宋体" w:eastAsia="宋体" w:cs="宋体"/>
          <w:sz w:val="21"/>
          <w:szCs w:val="21"/>
        </w:rPr>
      </w:pPr>
      <w:r>
        <w:rPr>
          <w:rFonts w:hint="eastAsia" w:ascii="宋体" w:hAnsi="宋体" w:eastAsia="宋体" w:cs="宋体"/>
          <w:sz w:val="21"/>
          <w:szCs w:val="21"/>
        </w:rPr>
        <w:t>1、本声明函主要供参加政府采购活动的中小企业填写，非中小企业无需填写。</w:t>
      </w:r>
    </w:p>
    <w:p>
      <w:pPr>
        <w:pStyle w:val="20"/>
        <w:ind w:firstLine="420" w:firstLineChars="200"/>
        <w:rPr>
          <w:rFonts w:ascii="宋体" w:hAnsi="宋体" w:eastAsia="宋体" w:cs="宋体"/>
          <w:sz w:val="21"/>
          <w:szCs w:val="21"/>
        </w:rPr>
      </w:pPr>
      <w:r>
        <w:rPr>
          <w:rFonts w:hint="eastAsia" w:ascii="宋体" w:hAnsi="宋体" w:eastAsia="宋体" w:cs="宋体"/>
          <w:sz w:val="21"/>
          <w:szCs w:val="21"/>
        </w:rPr>
        <w:t>2、小型、微型企业提供中型企业提供的服务的，视同为中型企业。</w:t>
      </w:r>
    </w:p>
    <w:p>
      <w:pPr>
        <w:pStyle w:val="20"/>
        <w:ind w:firstLine="420" w:firstLineChars="200"/>
        <w:rPr>
          <w:rFonts w:ascii="宋体" w:hAnsi="宋体" w:eastAsia="宋体" w:cs="宋体"/>
          <w:sz w:val="21"/>
          <w:szCs w:val="21"/>
        </w:rPr>
      </w:pPr>
    </w:p>
    <w:p>
      <w:pPr>
        <w:pStyle w:val="19"/>
        <w:spacing w:line="500" w:lineRule="exact"/>
        <w:ind w:right="142" w:firstLine="480" w:firstLineChars="200"/>
        <w:rPr>
          <w:rFonts w:ascii="宋体" w:hAnsi="宋体" w:cs="宋体"/>
        </w:rPr>
      </w:pPr>
      <w:r>
        <w:rPr>
          <w:rFonts w:hint="eastAsia" w:ascii="宋体" w:hAnsi="宋体" w:cs="宋体"/>
        </w:rPr>
        <w:t>本公司（联合体）郑重声明，根据《政府采购促进中小企业发展管理办法》（财库﹝2020﹞46号）的规定，本公司参加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00" w:firstLineChars="286"/>
        <w:rPr>
          <w:rFonts w:ascii="宋体" w:hAnsi="宋体" w:cs="宋体"/>
          <w:szCs w:val="21"/>
        </w:rPr>
      </w:pPr>
      <w:r>
        <w:rPr>
          <w:rFonts w:hint="eastAsia" w:ascii="宋体" w:hAnsi="宋体" w:cs="宋体"/>
          <w:szCs w:val="21"/>
        </w:rPr>
        <w:t>1.</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pPr>
        <w:tabs>
          <w:tab w:val="left" w:pos="1065"/>
          <w:tab w:val="left" w:pos="4262"/>
          <w:tab w:val="left" w:pos="6477"/>
        </w:tabs>
        <w:spacing w:before="20" w:line="500" w:lineRule="exact"/>
        <w:ind w:right="84" w:firstLine="600" w:firstLineChars="286"/>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pPr>
        <w:pStyle w:val="19"/>
        <w:spacing w:before="34" w:line="500" w:lineRule="exact"/>
        <w:ind w:left="765" w:right="142" w:hanging="5"/>
        <w:rPr>
          <w:rFonts w:ascii="宋体" w:hAnsi="宋体" w:cs="宋体"/>
        </w:rPr>
      </w:pPr>
      <w:r>
        <w:rPr>
          <w:rFonts w:hint="eastAsia" w:ascii="宋体" w:hAnsi="宋体" w:cs="宋体"/>
        </w:rPr>
        <w:t xml:space="preserve">…… </w:t>
      </w:r>
    </w:p>
    <w:p>
      <w:pPr>
        <w:pStyle w:val="19"/>
        <w:spacing w:before="34" w:line="500" w:lineRule="exact"/>
        <w:ind w:right="142" w:firstLine="48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pStyle w:val="19"/>
        <w:spacing w:before="34" w:line="500" w:lineRule="exact"/>
        <w:ind w:right="142" w:firstLine="480" w:firstLineChars="200"/>
        <w:rPr>
          <w:rFonts w:ascii="宋体" w:hAnsi="宋体" w:cs="宋体"/>
        </w:rPr>
      </w:pPr>
      <w:r>
        <w:rPr>
          <w:rFonts w:hint="eastAsia" w:ascii="宋体" w:hAnsi="宋体" w:cs="宋体"/>
        </w:rPr>
        <w:t>本企业对上述声明内容的真实性负责。如有虚假，将依法承担相应责任。</w:t>
      </w:r>
    </w:p>
    <w:p>
      <w:pPr>
        <w:pStyle w:val="25"/>
        <w:spacing w:line="360" w:lineRule="auto"/>
        <w:rPr>
          <w:rFonts w:hAnsi="宋体" w:cs="宋体"/>
        </w:rPr>
      </w:pPr>
    </w:p>
    <w:p>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25"/>
        <w:spacing w:line="360" w:lineRule="auto"/>
        <w:rPr>
          <w:rFonts w:hAnsi="宋体" w:cs="宋体"/>
        </w:rPr>
      </w:pPr>
    </w:p>
    <w:p>
      <w:pPr>
        <w:snapToGrid w:val="0"/>
        <w:spacing w:before="50" w:after="165" w:afterLines="50" w:line="360" w:lineRule="auto"/>
        <w:jc w:val="left"/>
        <w:rPr>
          <w:rFonts w:ascii="宋体" w:hAnsi="宋体" w:cs="宋体"/>
          <w:sz w:val="20"/>
        </w:rPr>
      </w:pPr>
      <w:r>
        <w:rPr>
          <w:rFonts w:hint="eastAsia" w:ascii="宋体" w:hAnsi="宋体" w:cs="宋体"/>
          <w:sz w:val="20"/>
        </w:rPr>
        <w:t>注：</w:t>
      </w:r>
    </w:p>
    <w:p>
      <w:pPr>
        <w:numPr>
          <w:ilvl w:val="0"/>
          <w:numId w:val="9"/>
        </w:numPr>
        <w:snapToGrid w:val="0"/>
        <w:spacing w:before="50" w:after="165" w:afterLines="50" w:line="360" w:lineRule="auto"/>
        <w:jc w:val="left"/>
        <w:rPr>
          <w:rFonts w:ascii="宋体" w:hAnsi="宋体" w:cs="宋体"/>
          <w:sz w:val="20"/>
        </w:rPr>
      </w:pPr>
      <w:r>
        <w:rPr>
          <w:rFonts w:hint="eastAsia" w:ascii="宋体" w:hAnsi="宋体" w:cs="宋体"/>
          <w:sz w:val="20"/>
        </w:rPr>
        <w:t>从业人员、营业收入、资产总额填报上一年度数据，无上一年度数据的新成立企业可不填报。</w:t>
      </w:r>
    </w:p>
    <w:p>
      <w:pPr>
        <w:snapToGrid w:val="0"/>
        <w:spacing w:before="50" w:after="165" w:afterLines="50" w:line="360" w:lineRule="auto"/>
        <w:ind w:firstLine="300" w:firstLineChars="150"/>
        <w:jc w:val="left"/>
        <w:rPr>
          <w:rFonts w:ascii="宋体" w:hAnsi="宋体" w:cs="宋体"/>
          <w:sz w:val="20"/>
        </w:rPr>
        <w:sectPr>
          <w:pgSz w:w="11906" w:h="16838"/>
          <w:pgMar w:top="1134" w:right="1134" w:bottom="1134" w:left="1134" w:header="720" w:footer="720" w:gutter="0"/>
          <w:cols w:space="720" w:num="1"/>
          <w:docGrid w:type="lines" w:linePitch="331" w:charSpace="0"/>
        </w:sectPr>
      </w:pPr>
      <w:r>
        <w:rPr>
          <w:rFonts w:hint="eastAsia" w:ascii="宋体" w:hAnsi="宋体" w:cs="宋体"/>
          <w:sz w:val="20"/>
        </w:rPr>
        <w:t>2、请根据自己的真实情况出具《中小企业声明函》。依法享受中小企业优惠政策的，采购人或者采购代理机构在公告中标结果时，同时公告其《中小企业声明函》，接受社会监督。</w:t>
      </w:r>
    </w:p>
    <w:p>
      <w:pPr>
        <w:pStyle w:val="25"/>
        <w:jc w:val="left"/>
        <w:rPr>
          <w:rFonts w:hAnsi="宋体" w:cs="宋体"/>
          <w:sz w:val="32"/>
          <w:szCs w:val="32"/>
        </w:rPr>
      </w:pPr>
      <w:r>
        <w:rPr>
          <w:rFonts w:hint="eastAsia" w:hAnsi="宋体" w:cs="宋体"/>
          <w:sz w:val="32"/>
          <w:szCs w:val="32"/>
        </w:rPr>
        <w:t>附：</w:t>
      </w:r>
    </w:p>
    <w:p>
      <w:pPr>
        <w:jc w:val="center"/>
        <w:rPr>
          <w:rFonts w:ascii="宋体" w:hAnsi="宋体" w:cs="宋体"/>
          <w:sz w:val="44"/>
          <w:szCs w:val="44"/>
        </w:rPr>
      </w:pPr>
      <w:r>
        <w:rPr>
          <w:rFonts w:hint="eastAsia" w:ascii="宋体" w:hAnsi="宋体" w:cs="宋体"/>
          <w:sz w:val="44"/>
          <w:szCs w:val="44"/>
        </w:rPr>
        <w:t>中小微企业划型标准</w:t>
      </w:r>
    </w:p>
    <w:p>
      <w:pPr>
        <w:ind w:left="1871"/>
        <w:rPr>
          <w:rFonts w:ascii="宋体" w:hAnsi="宋体" w:cs="宋体"/>
          <w:szCs w:val="21"/>
        </w:rPr>
      </w:pPr>
    </w:p>
    <w:tbl>
      <w:tblPr>
        <w:tblStyle w:val="47"/>
        <w:tblW w:w="7983" w:type="dxa"/>
        <w:tblInd w:w="250" w:type="dxa"/>
        <w:tblLayout w:type="fixed"/>
        <w:tblCellMar>
          <w:top w:w="0" w:type="dxa"/>
          <w:left w:w="108" w:type="dxa"/>
          <w:bottom w:w="0" w:type="dxa"/>
          <w:right w:w="108" w:type="dxa"/>
        </w:tblCellMar>
      </w:tblPr>
      <w:tblGrid>
        <w:gridCol w:w="1701"/>
        <w:gridCol w:w="1384"/>
        <w:gridCol w:w="913"/>
        <w:gridCol w:w="1620"/>
        <w:gridCol w:w="1440"/>
        <w:gridCol w:w="925"/>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24"/>
              </w:rPr>
            </w:pPr>
            <w:r>
              <w:rPr>
                <w:rFonts w:hint="eastAsia" w:ascii="宋体" w:hAnsi="宋体"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24"/>
              </w:rPr>
            </w:pPr>
            <w:r>
              <w:rPr>
                <w:rFonts w:hint="eastAsia" w:ascii="宋体" w:hAnsi="宋体" w:cs="宋体"/>
                <w:b/>
                <w:kern w:val="0"/>
                <w:sz w:val="24"/>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50≤Y＜500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300≤Y＜2000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300≤Y＜6000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300≤Z＜5000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5≤X＜20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1000≤Y＜5000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10≤X＜50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100≤Y＜500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200≤Y＜3000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50≤Y＜1000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100≤X＜1000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2000≤Y＜5000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500≤Y＜1000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100≤Z＜8000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X＜10</w:t>
            </w:r>
          </w:p>
        </w:tc>
      </w:tr>
    </w:tbl>
    <w:p>
      <w:pPr>
        <w:spacing w:line="360" w:lineRule="auto"/>
        <w:ind w:firstLine="525" w:firstLineChars="250"/>
        <w:rPr>
          <w:rFonts w:ascii="宋体" w:hAnsi="宋体" w:cs="宋体"/>
          <w:szCs w:val="21"/>
        </w:rPr>
      </w:pPr>
    </w:p>
    <w:p>
      <w:pPr>
        <w:spacing w:line="360" w:lineRule="auto"/>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pPr>
        <w:snapToGrid w:val="0"/>
        <w:spacing w:before="120" w:beforeLines="50" w:after="50"/>
        <w:ind w:left="142"/>
        <w:jc w:val="left"/>
        <w:rPr>
          <w:rFonts w:ascii="宋体" w:hAnsi="宋体" w:cs="宋体"/>
          <w:b/>
          <w:sz w:val="24"/>
        </w:rPr>
      </w:pPr>
    </w:p>
    <w:p>
      <w:pPr>
        <w:snapToGrid w:val="0"/>
        <w:spacing w:before="120" w:beforeLines="50" w:after="50"/>
        <w:ind w:left="142"/>
        <w:jc w:val="left"/>
        <w:rPr>
          <w:rFonts w:ascii="宋体" w:hAnsi="宋体" w:cs="宋体"/>
          <w:b/>
          <w:sz w:val="24"/>
        </w:rPr>
      </w:pPr>
    </w:p>
    <w:p>
      <w:pPr>
        <w:pStyle w:val="25"/>
        <w:ind w:firstLine="482"/>
        <w:jc w:val="left"/>
        <w:rPr>
          <w:rFonts w:hAnsi="宋体" w:cs="宋体"/>
          <w:b/>
          <w:bCs/>
          <w:sz w:val="24"/>
          <w:szCs w:val="24"/>
        </w:rPr>
      </w:pPr>
      <w:r>
        <w:rPr>
          <w:rFonts w:hint="eastAsia" w:hAnsi="宋体" w:cs="宋体"/>
          <w:b/>
          <w:sz w:val="24"/>
        </w:rPr>
        <w:br w:type="page"/>
      </w:r>
      <w:r>
        <w:rPr>
          <w:rFonts w:hint="eastAsia" w:hAnsi="宋体" w:cs="宋体"/>
          <w:b/>
          <w:kern w:val="2"/>
          <w:sz w:val="24"/>
          <w:szCs w:val="24"/>
        </w:rPr>
        <w:t>2、监狱企业证明文件</w:t>
      </w:r>
    </w:p>
    <w:p>
      <w:pPr>
        <w:pStyle w:val="27"/>
        <w:ind w:left="5250" w:firstLine="480"/>
        <w:rPr>
          <w:rFonts w:hAnsi="宋体" w:cs="宋体"/>
          <w:sz w:val="24"/>
          <w:szCs w:val="24"/>
        </w:rPr>
      </w:pPr>
    </w:p>
    <w:p>
      <w:pPr>
        <w:pStyle w:val="25"/>
        <w:spacing w:line="460" w:lineRule="exact"/>
        <w:ind w:firstLine="504" w:firstLineChars="200"/>
        <w:jc w:val="left"/>
        <w:rPr>
          <w:rFonts w:hAnsi="宋体" w:cs="宋体"/>
          <w:spacing w:val="6"/>
          <w:kern w:val="2"/>
          <w:sz w:val="24"/>
          <w:szCs w:val="24"/>
        </w:rPr>
      </w:pPr>
      <w:r>
        <w:rPr>
          <w:rFonts w:hint="eastAsia" w:hAnsi="宋体" w:cs="宋体"/>
          <w:spacing w:val="6"/>
          <w:kern w:val="2"/>
          <w:sz w:val="24"/>
          <w:szCs w:val="24"/>
        </w:rPr>
        <w:t>按《关于政府采购支持监狱企业发展有关问题的通知》(财库[2014]68 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500" w:lineRule="exact"/>
        <w:ind w:firstLine="240" w:firstLineChars="100"/>
        <w:rPr>
          <w:rFonts w:ascii="宋体" w:hAnsi="宋体" w:cs="宋体"/>
          <w:sz w:val="24"/>
        </w:rPr>
      </w:pPr>
    </w:p>
    <w:p>
      <w:pPr>
        <w:tabs>
          <w:tab w:val="left" w:pos="4860"/>
        </w:tabs>
        <w:spacing w:line="360" w:lineRule="auto"/>
        <w:ind w:right="1560" w:firstLine="504" w:firstLineChars="200"/>
        <w:contextualSpacing/>
        <w:jc w:val="center"/>
        <w:rPr>
          <w:rFonts w:ascii="宋体" w:hAnsi="宋体" w:cs="宋体"/>
          <w:spacing w:val="6"/>
          <w:sz w:val="24"/>
        </w:rPr>
      </w:pPr>
      <w:r>
        <w:rPr>
          <w:rFonts w:hint="eastAsia" w:ascii="宋体" w:hAnsi="宋体" w:cs="宋体"/>
          <w:spacing w:val="6"/>
          <w:sz w:val="24"/>
        </w:rPr>
        <w:t>单位名称（电子签章）：</w:t>
      </w:r>
    </w:p>
    <w:p>
      <w:pPr>
        <w:tabs>
          <w:tab w:val="left" w:pos="4860"/>
        </w:tabs>
        <w:spacing w:line="360" w:lineRule="auto"/>
        <w:ind w:right="1560" w:firstLine="504" w:firstLineChars="200"/>
        <w:contextualSpacing/>
        <w:jc w:val="center"/>
        <w:rPr>
          <w:rFonts w:ascii="宋体" w:hAnsi="宋体" w:cs="宋体"/>
          <w:spacing w:val="6"/>
          <w:sz w:val="24"/>
        </w:rPr>
      </w:pPr>
      <w:r>
        <w:rPr>
          <w:rFonts w:hint="eastAsia" w:ascii="宋体" w:hAnsi="宋体" w:cs="宋体"/>
          <w:spacing w:val="6"/>
          <w:sz w:val="24"/>
        </w:rPr>
        <w:t>日  期：</w:t>
      </w:r>
    </w:p>
    <w:p>
      <w:pPr>
        <w:pStyle w:val="25"/>
        <w:spacing w:line="460" w:lineRule="exact"/>
        <w:ind w:firstLine="420"/>
        <w:jc w:val="left"/>
        <w:rPr>
          <w:rFonts w:hAnsi="宋体" w:cs="宋体"/>
          <w:spacing w:val="6"/>
          <w:kern w:val="2"/>
          <w:sz w:val="24"/>
          <w:szCs w:val="24"/>
        </w:rPr>
      </w:pPr>
    </w:p>
    <w:p>
      <w:pPr>
        <w:pStyle w:val="25"/>
        <w:spacing w:line="460" w:lineRule="exact"/>
        <w:jc w:val="left"/>
        <w:rPr>
          <w:rFonts w:hAnsi="宋体" w:cs="宋体"/>
          <w:spacing w:val="6"/>
          <w:kern w:val="2"/>
          <w:sz w:val="24"/>
          <w:szCs w:val="24"/>
        </w:rPr>
      </w:pPr>
      <w:r>
        <w:rPr>
          <w:rFonts w:hint="eastAsia" w:hAnsi="宋体" w:cs="宋体"/>
          <w:sz w:val="24"/>
          <w:szCs w:val="24"/>
        </w:rPr>
        <w:t>注：招标人或招标代理机构</w:t>
      </w:r>
      <w:r>
        <w:rPr>
          <w:rFonts w:hint="eastAsia" w:hAnsi="宋体" w:cs="宋体"/>
          <w:spacing w:val="-4"/>
          <w:kern w:val="2"/>
          <w:sz w:val="24"/>
          <w:szCs w:val="24"/>
        </w:rPr>
        <w:t>在公告中标结果时，</w:t>
      </w:r>
      <w:r>
        <w:rPr>
          <w:rFonts w:hint="eastAsia" w:hAnsi="宋体" w:cs="宋体"/>
          <w:spacing w:val="6"/>
          <w:kern w:val="2"/>
          <w:sz w:val="24"/>
          <w:szCs w:val="24"/>
        </w:rPr>
        <w:t xml:space="preserve">同时公告其监狱企业证明文件。 </w:t>
      </w:r>
    </w:p>
    <w:p>
      <w:pPr>
        <w:pStyle w:val="2"/>
        <w:rPr>
          <w:rFonts w:ascii="宋体" w:hAnsi="宋体" w:cs="宋体"/>
          <w:spacing w:val="6"/>
          <w:kern w:val="2"/>
          <w:sz w:val="24"/>
          <w:szCs w:val="24"/>
        </w:rPr>
      </w:pPr>
    </w:p>
    <w:p>
      <w:pPr>
        <w:rPr>
          <w:rFonts w:ascii="宋体" w:hAnsi="宋体" w:cs="宋体"/>
          <w:spacing w:val="6"/>
          <w:sz w:val="24"/>
        </w:rPr>
      </w:pPr>
    </w:p>
    <w:p>
      <w:pPr>
        <w:pStyle w:val="31"/>
        <w:rPr>
          <w:rFonts w:ascii="宋体" w:hAnsi="宋体" w:cs="宋体"/>
          <w:spacing w:val="6"/>
          <w:kern w:val="2"/>
          <w:sz w:val="24"/>
          <w:szCs w:val="24"/>
        </w:rPr>
      </w:pPr>
    </w:p>
    <w:p>
      <w:pPr>
        <w:rPr>
          <w:rFonts w:ascii="宋体" w:hAnsi="宋体" w:cs="宋体"/>
          <w:spacing w:val="6"/>
          <w:sz w:val="24"/>
        </w:rPr>
      </w:pPr>
    </w:p>
    <w:p>
      <w:pPr>
        <w:pStyle w:val="31"/>
        <w:rPr>
          <w:rFonts w:ascii="宋体" w:hAnsi="宋体" w:cs="宋体"/>
          <w:spacing w:val="6"/>
          <w:kern w:val="2"/>
          <w:sz w:val="24"/>
          <w:szCs w:val="24"/>
        </w:rPr>
      </w:pPr>
    </w:p>
    <w:p>
      <w:pPr>
        <w:rPr>
          <w:rFonts w:ascii="宋体" w:hAnsi="宋体" w:cs="宋体"/>
          <w:spacing w:val="6"/>
          <w:sz w:val="24"/>
        </w:rPr>
      </w:pPr>
    </w:p>
    <w:p>
      <w:pPr>
        <w:pStyle w:val="31"/>
        <w:rPr>
          <w:rFonts w:ascii="宋体" w:hAnsi="宋体" w:cs="宋体"/>
          <w:spacing w:val="6"/>
          <w:kern w:val="2"/>
          <w:sz w:val="24"/>
          <w:szCs w:val="24"/>
        </w:rPr>
      </w:pPr>
    </w:p>
    <w:p>
      <w:pPr>
        <w:rPr>
          <w:rFonts w:ascii="宋体" w:hAnsi="宋体" w:cs="宋体"/>
          <w:spacing w:val="6"/>
          <w:sz w:val="24"/>
        </w:rPr>
      </w:pPr>
    </w:p>
    <w:p>
      <w:pPr>
        <w:pStyle w:val="31"/>
        <w:rPr>
          <w:rFonts w:ascii="宋体" w:hAnsi="宋体" w:cs="宋体"/>
          <w:spacing w:val="6"/>
          <w:kern w:val="2"/>
          <w:sz w:val="24"/>
          <w:szCs w:val="24"/>
        </w:rPr>
      </w:pPr>
    </w:p>
    <w:p>
      <w:pPr>
        <w:rPr>
          <w:rFonts w:ascii="宋体" w:hAnsi="宋体" w:cs="宋体"/>
          <w:spacing w:val="6"/>
          <w:sz w:val="24"/>
        </w:rPr>
      </w:pPr>
    </w:p>
    <w:p>
      <w:pPr>
        <w:pStyle w:val="31"/>
        <w:rPr>
          <w:rFonts w:ascii="宋体" w:hAnsi="宋体" w:cs="宋体"/>
          <w:spacing w:val="6"/>
          <w:kern w:val="2"/>
          <w:sz w:val="24"/>
          <w:szCs w:val="24"/>
        </w:rPr>
      </w:pPr>
    </w:p>
    <w:p>
      <w:pPr>
        <w:rPr>
          <w:rFonts w:ascii="宋体" w:hAnsi="宋体" w:cs="宋体"/>
          <w:spacing w:val="6"/>
          <w:sz w:val="24"/>
        </w:rPr>
      </w:pPr>
    </w:p>
    <w:p>
      <w:pPr>
        <w:pStyle w:val="31"/>
        <w:rPr>
          <w:rFonts w:ascii="宋体" w:hAnsi="宋体" w:cs="宋体"/>
          <w:spacing w:val="6"/>
          <w:kern w:val="2"/>
          <w:sz w:val="24"/>
          <w:szCs w:val="24"/>
        </w:rPr>
      </w:pPr>
    </w:p>
    <w:p>
      <w:pPr>
        <w:rPr>
          <w:rFonts w:ascii="宋体" w:hAnsi="宋体" w:cs="宋体"/>
          <w:spacing w:val="6"/>
          <w:sz w:val="24"/>
        </w:rPr>
      </w:pPr>
    </w:p>
    <w:p>
      <w:pPr>
        <w:pStyle w:val="31"/>
        <w:rPr>
          <w:rFonts w:ascii="宋体" w:hAnsi="宋体" w:cs="宋体"/>
          <w:spacing w:val="6"/>
          <w:kern w:val="2"/>
          <w:sz w:val="24"/>
          <w:szCs w:val="24"/>
        </w:rPr>
      </w:pPr>
    </w:p>
    <w:p>
      <w:pPr>
        <w:rPr>
          <w:rFonts w:ascii="宋体" w:hAnsi="宋体" w:cs="宋体"/>
          <w:spacing w:val="6"/>
          <w:sz w:val="24"/>
        </w:rPr>
      </w:pPr>
    </w:p>
    <w:p>
      <w:pPr>
        <w:pStyle w:val="31"/>
        <w:rPr>
          <w:rFonts w:ascii="宋体" w:hAnsi="宋体" w:cs="宋体"/>
          <w:spacing w:val="6"/>
          <w:kern w:val="2"/>
          <w:sz w:val="24"/>
          <w:szCs w:val="24"/>
        </w:rPr>
      </w:pPr>
    </w:p>
    <w:p>
      <w:pPr>
        <w:rPr>
          <w:rFonts w:ascii="宋体" w:hAnsi="宋体" w:cs="宋体"/>
          <w:spacing w:val="6"/>
          <w:sz w:val="24"/>
        </w:rPr>
      </w:pPr>
    </w:p>
    <w:p>
      <w:pPr>
        <w:pStyle w:val="31"/>
        <w:rPr>
          <w:rFonts w:ascii="宋体" w:hAnsi="宋体" w:cs="宋体"/>
          <w:spacing w:val="6"/>
          <w:kern w:val="2"/>
          <w:sz w:val="24"/>
          <w:szCs w:val="24"/>
        </w:rPr>
      </w:pPr>
    </w:p>
    <w:p>
      <w:pPr>
        <w:rPr>
          <w:rFonts w:ascii="宋体" w:hAnsi="宋体" w:cs="宋体"/>
          <w:spacing w:val="6"/>
          <w:sz w:val="24"/>
        </w:rPr>
      </w:pPr>
    </w:p>
    <w:p>
      <w:pPr>
        <w:pStyle w:val="31"/>
        <w:rPr>
          <w:rFonts w:ascii="宋体" w:hAnsi="宋体" w:cs="宋体"/>
          <w:spacing w:val="6"/>
          <w:kern w:val="2"/>
          <w:sz w:val="24"/>
          <w:szCs w:val="24"/>
        </w:rPr>
      </w:pPr>
    </w:p>
    <w:p>
      <w:pPr>
        <w:rPr>
          <w:rFonts w:ascii="宋体" w:hAnsi="宋体" w:cs="宋体"/>
          <w:spacing w:val="6"/>
          <w:sz w:val="24"/>
        </w:rPr>
      </w:pPr>
    </w:p>
    <w:p>
      <w:pPr>
        <w:pStyle w:val="31"/>
        <w:rPr>
          <w:rFonts w:ascii="宋体" w:hAnsi="宋体" w:cs="宋体"/>
          <w:spacing w:val="6"/>
          <w:kern w:val="2"/>
          <w:sz w:val="24"/>
          <w:szCs w:val="24"/>
        </w:rPr>
      </w:pPr>
    </w:p>
    <w:p>
      <w:pPr>
        <w:rPr>
          <w:rFonts w:ascii="宋体" w:hAnsi="宋体" w:cs="宋体"/>
          <w:spacing w:val="6"/>
          <w:sz w:val="24"/>
        </w:rPr>
      </w:pPr>
    </w:p>
    <w:p>
      <w:pPr>
        <w:pStyle w:val="31"/>
        <w:rPr>
          <w:rFonts w:ascii="宋体" w:hAnsi="宋体" w:cs="宋体"/>
        </w:rPr>
      </w:pPr>
    </w:p>
    <w:p>
      <w:pPr>
        <w:snapToGrid w:val="0"/>
        <w:spacing w:before="120" w:beforeLines="50" w:after="50"/>
        <w:ind w:left="142"/>
        <w:jc w:val="left"/>
        <w:rPr>
          <w:rFonts w:ascii="宋体" w:hAnsi="宋体" w:cs="宋体"/>
          <w:b/>
          <w:sz w:val="24"/>
        </w:rPr>
      </w:pPr>
      <w:r>
        <w:rPr>
          <w:rFonts w:hint="eastAsia" w:ascii="宋体" w:hAnsi="宋体" w:cs="宋体"/>
          <w:b/>
          <w:sz w:val="24"/>
        </w:rPr>
        <w:t>3.残疾人福利性单位声明函格式</w:t>
      </w:r>
    </w:p>
    <w:p>
      <w:pPr>
        <w:spacing w:line="588" w:lineRule="exact"/>
        <w:jc w:val="center"/>
        <w:rPr>
          <w:rFonts w:ascii="宋体" w:hAnsi="宋体" w:cs="宋体"/>
          <w:b/>
          <w:spacing w:val="6"/>
          <w:sz w:val="32"/>
          <w:szCs w:val="32"/>
        </w:rPr>
      </w:pPr>
    </w:p>
    <w:p>
      <w:pPr>
        <w:spacing w:line="588" w:lineRule="exact"/>
        <w:jc w:val="center"/>
        <w:rPr>
          <w:rFonts w:ascii="宋体" w:hAnsi="宋体" w:cs="宋体"/>
          <w:bCs/>
          <w:spacing w:val="6"/>
          <w:sz w:val="44"/>
          <w:szCs w:val="44"/>
        </w:rPr>
      </w:pPr>
      <w:r>
        <w:rPr>
          <w:rFonts w:hint="eastAsia" w:ascii="宋体" w:hAnsi="宋体" w:cs="宋体"/>
          <w:bCs/>
          <w:spacing w:val="6"/>
          <w:sz w:val="44"/>
          <w:szCs w:val="44"/>
        </w:rPr>
        <w:t>残疾人福利性单位声明函</w:t>
      </w:r>
    </w:p>
    <w:p>
      <w:pPr>
        <w:spacing w:line="360" w:lineRule="auto"/>
        <w:contextualSpacing/>
        <w:rPr>
          <w:rFonts w:ascii="宋体" w:hAnsi="宋体" w:cs="宋体"/>
          <w:bCs/>
          <w:spacing w:val="6"/>
          <w:sz w:val="30"/>
          <w:szCs w:val="30"/>
        </w:rPr>
      </w:pPr>
    </w:p>
    <w:p>
      <w:pPr>
        <w:spacing w:line="360" w:lineRule="auto"/>
        <w:ind w:firstLine="504" w:firstLineChars="200"/>
        <w:contextualSpacing/>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spacing w:val="-6"/>
          <w:sz w:val="24"/>
        </w:rPr>
        <w:t>疾人福利性单位制造的货物（不包括使用非残疾人福利性单位注册商标的货物）。</w:t>
      </w:r>
    </w:p>
    <w:p>
      <w:pPr>
        <w:spacing w:line="360" w:lineRule="auto"/>
        <w:ind w:firstLine="504" w:firstLineChars="200"/>
        <w:contextualSpacing/>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360" w:lineRule="auto"/>
        <w:ind w:firstLine="504" w:firstLineChars="200"/>
        <w:contextualSpacing/>
        <w:rPr>
          <w:rFonts w:ascii="宋体" w:hAnsi="宋体" w:cs="宋体"/>
          <w:spacing w:val="6"/>
          <w:sz w:val="24"/>
        </w:rPr>
      </w:pPr>
    </w:p>
    <w:p>
      <w:pPr>
        <w:spacing w:line="360" w:lineRule="auto"/>
        <w:ind w:firstLine="504" w:firstLineChars="200"/>
        <w:contextualSpacing/>
        <w:rPr>
          <w:rFonts w:ascii="宋体" w:hAnsi="宋体" w:cs="宋体"/>
          <w:spacing w:val="6"/>
          <w:sz w:val="24"/>
        </w:rPr>
      </w:pPr>
    </w:p>
    <w:p>
      <w:pPr>
        <w:tabs>
          <w:tab w:val="left" w:pos="4860"/>
        </w:tabs>
        <w:spacing w:line="360" w:lineRule="auto"/>
        <w:ind w:right="1560" w:firstLine="504" w:firstLineChars="200"/>
        <w:contextualSpacing/>
        <w:jc w:val="center"/>
        <w:rPr>
          <w:rFonts w:ascii="宋体" w:hAnsi="宋体" w:cs="宋体"/>
          <w:spacing w:val="6"/>
          <w:sz w:val="24"/>
        </w:rPr>
      </w:pPr>
      <w:r>
        <w:rPr>
          <w:rFonts w:hint="eastAsia" w:ascii="宋体" w:hAnsi="宋体" w:cs="宋体"/>
          <w:spacing w:val="6"/>
          <w:sz w:val="24"/>
        </w:rPr>
        <w:t>单位名称（电子签章）：</w:t>
      </w:r>
    </w:p>
    <w:p>
      <w:pPr>
        <w:tabs>
          <w:tab w:val="left" w:pos="4860"/>
        </w:tabs>
        <w:spacing w:line="360" w:lineRule="auto"/>
        <w:ind w:right="1560" w:firstLine="504" w:firstLineChars="200"/>
        <w:contextualSpacing/>
        <w:jc w:val="center"/>
        <w:rPr>
          <w:rFonts w:ascii="宋体" w:hAnsi="宋体" w:cs="宋体"/>
          <w:spacing w:val="6"/>
          <w:sz w:val="24"/>
        </w:rPr>
      </w:pPr>
      <w:r>
        <w:rPr>
          <w:rFonts w:hint="eastAsia" w:ascii="宋体" w:hAnsi="宋体" w:cs="宋体"/>
          <w:spacing w:val="6"/>
          <w:sz w:val="24"/>
        </w:rPr>
        <w:t>日  期：</w:t>
      </w: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p>
    <w:p>
      <w:pPr>
        <w:spacing w:line="360" w:lineRule="auto"/>
        <w:contextualSpacing/>
        <w:rPr>
          <w:rFonts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b/>
          <w:sz w:val="24"/>
        </w:rPr>
        <w:t>4.质疑函格式</w:t>
      </w:r>
    </w:p>
    <w:p>
      <w:pPr>
        <w:spacing w:line="360" w:lineRule="auto"/>
        <w:jc w:val="center"/>
        <w:rPr>
          <w:rFonts w:ascii="宋体" w:hAnsi="宋体" w:cs="宋体"/>
          <w:sz w:val="44"/>
          <w:szCs w:val="44"/>
        </w:rPr>
      </w:pPr>
      <w:r>
        <w:rPr>
          <w:rFonts w:hint="eastAsia" w:ascii="宋体" w:hAnsi="宋体" w:cs="宋体"/>
          <w:sz w:val="44"/>
          <w:szCs w:val="44"/>
        </w:rPr>
        <w:t>质疑函</w:t>
      </w:r>
    </w:p>
    <w:p>
      <w:pPr>
        <w:pStyle w:val="25"/>
        <w:snapToGrid w:val="0"/>
        <w:spacing w:line="312" w:lineRule="auto"/>
        <w:ind w:firstLine="482" w:firstLineChars="200"/>
        <w:rPr>
          <w:rFonts w:hAnsi="宋体" w:cs="宋体"/>
          <w:b/>
          <w:bCs/>
          <w:sz w:val="24"/>
          <w:szCs w:val="24"/>
        </w:rPr>
      </w:pPr>
      <w:r>
        <w:rPr>
          <w:rFonts w:hint="eastAsia" w:hAnsi="宋体" w:cs="宋体"/>
          <w:b/>
          <w:bCs/>
          <w:sz w:val="24"/>
          <w:szCs w:val="24"/>
        </w:rPr>
        <w:t>一、质疑供应商基本信息：</w:t>
      </w:r>
    </w:p>
    <w:p>
      <w:pPr>
        <w:pStyle w:val="25"/>
        <w:snapToGrid w:val="0"/>
        <w:spacing w:line="312" w:lineRule="auto"/>
        <w:ind w:firstLine="480" w:firstLineChars="200"/>
        <w:rPr>
          <w:rFonts w:hAnsi="宋体" w:cs="宋体"/>
          <w:bCs/>
          <w:sz w:val="24"/>
          <w:szCs w:val="24"/>
          <w:u w:val="single"/>
        </w:rPr>
      </w:pPr>
      <w:r>
        <w:rPr>
          <w:rFonts w:hint="eastAsia" w:hAnsi="宋体" w:cs="宋体"/>
          <w:bCs/>
          <w:sz w:val="24"/>
          <w:szCs w:val="24"/>
        </w:rPr>
        <w:t>质疑供应商：</w:t>
      </w:r>
      <w:r>
        <w:rPr>
          <w:rFonts w:hint="eastAsia" w:hAnsi="宋体" w:cs="宋体"/>
          <w:bCs/>
          <w:sz w:val="24"/>
          <w:szCs w:val="24"/>
          <w:u w:val="single"/>
        </w:rPr>
        <w:t xml:space="preserve">                                       </w:t>
      </w:r>
      <w:r>
        <w:rPr>
          <w:rFonts w:hint="eastAsia" w:hAnsi="宋体" w:cs="宋体"/>
          <w:bCs/>
          <w:sz w:val="24"/>
          <w:szCs w:val="24"/>
        </w:rPr>
        <w:t xml:space="preserve">                 </w:t>
      </w:r>
    </w:p>
    <w:p>
      <w:pPr>
        <w:pStyle w:val="25"/>
        <w:snapToGrid w:val="0"/>
        <w:spacing w:line="312" w:lineRule="auto"/>
        <w:ind w:firstLine="480" w:firstLineChars="200"/>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25"/>
        <w:snapToGrid w:val="0"/>
        <w:spacing w:line="312" w:lineRule="auto"/>
        <w:ind w:firstLine="480" w:firstLineChars="200"/>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pPr>
        <w:pStyle w:val="25"/>
        <w:snapToGrid w:val="0"/>
        <w:spacing w:line="312" w:lineRule="auto"/>
        <w:ind w:firstLine="480" w:firstLineChars="200"/>
        <w:rPr>
          <w:rFonts w:hAnsi="宋体" w:cs="宋体"/>
          <w:bCs/>
          <w:sz w:val="24"/>
          <w:szCs w:val="24"/>
        </w:rPr>
      </w:pPr>
      <w:r>
        <w:rPr>
          <w:rFonts w:hint="eastAsia" w:hAnsi="宋体" w:cs="宋体"/>
          <w:bCs/>
          <w:sz w:val="24"/>
          <w:szCs w:val="24"/>
        </w:rPr>
        <w:t>授权代表：</w:t>
      </w:r>
      <w:r>
        <w:rPr>
          <w:rFonts w:hint="eastAsia" w:hAnsi="宋体" w:cs="宋体"/>
          <w:bCs/>
          <w:sz w:val="24"/>
          <w:szCs w:val="24"/>
          <w:u w:val="single"/>
        </w:rPr>
        <w:t xml:space="preserve">                      </w:t>
      </w:r>
    </w:p>
    <w:p>
      <w:pPr>
        <w:pStyle w:val="25"/>
        <w:snapToGrid w:val="0"/>
        <w:spacing w:line="312" w:lineRule="auto"/>
        <w:ind w:firstLine="480" w:firstLineChars="200"/>
        <w:rPr>
          <w:rFonts w:hAnsi="宋体" w:cs="宋体"/>
          <w:bCs/>
          <w:sz w:val="24"/>
          <w:szCs w:val="24"/>
          <w:u w:val="single"/>
        </w:rPr>
      </w:pPr>
      <w:r>
        <w:rPr>
          <w:rFonts w:hint="eastAsia" w:hAnsi="宋体" w:cs="宋体"/>
          <w:bCs/>
          <w:sz w:val="24"/>
          <w:szCs w:val="24"/>
        </w:rPr>
        <w:t>联系电话：</w:t>
      </w:r>
      <w:r>
        <w:rPr>
          <w:rFonts w:hint="eastAsia" w:hAnsi="宋体" w:cs="宋体"/>
          <w:bCs/>
          <w:sz w:val="24"/>
          <w:szCs w:val="24"/>
          <w:u w:val="single"/>
        </w:rPr>
        <w:t xml:space="preserve">                      </w:t>
      </w:r>
    </w:p>
    <w:p>
      <w:pPr>
        <w:pStyle w:val="25"/>
        <w:snapToGrid w:val="0"/>
        <w:spacing w:line="312" w:lineRule="auto"/>
        <w:ind w:firstLine="480" w:firstLineChars="200"/>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25"/>
        <w:snapToGrid w:val="0"/>
        <w:spacing w:line="312" w:lineRule="auto"/>
        <w:ind w:firstLine="482" w:firstLineChars="200"/>
        <w:rPr>
          <w:rFonts w:hAnsi="宋体" w:cs="宋体"/>
          <w:b/>
          <w:bCs/>
          <w:sz w:val="24"/>
          <w:szCs w:val="24"/>
        </w:rPr>
      </w:pPr>
      <w:r>
        <w:rPr>
          <w:rFonts w:hint="eastAsia" w:hAnsi="宋体" w:cs="宋体"/>
          <w:b/>
          <w:bCs/>
          <w:sz w:val="24"/>
          <w:szCs w:val="24"/>
        </w:rPr>
        <w:t>二、质疑项目基本情况：</w:t>
      </w:r>
    </w:p>
    <w:p>
      <w:pPr>
        <w:pStyle w:val="25"/>
        <w:spacing w:line="312" w:lineRule="auto"/>
        <w:ind w:left="25" w:leftChars="12" w:firstLine="472" w:firstLineChars="197"/>
        <w:rPr>
          <w:rFonts w:hAnsi="宋体" w:cs="宋体"/>
          <w:sz w:val="24"/>
          <w:szCs w:val="24"/>
        </w:rPr>
      </w:pPr>
      <w:r>
        <w:rPr>
          <w:rFonts w:hint="eastAsia" w:hAnsi="宋体" w:cs="宋体"/>
          <w:bCs/>
          <w:sz w:val="24"/>
          <w:szCs w:val="24"/>
        </w:rPr>
        <w:t>质疑</w:t>
      </w:r>
      <w:r>
        <w:rPr>
          <w:rFonts w:hint="eastAsia" w:hAnsi="宋体" w:cs="宋体"/>
          <w:sz w:val="24"/>
          <w:szCs w:val="24"/>
        </w:rPr>
        <w:t>项目的名称：</w:t>
      </w:r>
      <w:r>
        <w:rPr>
          <w:rFonts w:hint="eastAsia" w:hAnsi="宋体" w:cs="宋体"/>
          <w:bCs/>
          <w:sz w:val="24"/>
          <w:szCs w:val="24"/>
          <w:u w:val="single"/>
        </w:rPr>
        <w:t xml:space="preserve">                                     </w:t>
      </w:r>
    </w:p>
    <w:p>
      <w:pPr>
        <w:pStyle w:val="25"/>
        <w:spacing w:line="312" w:lineRule="auto"/>
        <w:ind w:left="25" w:leftChars="12" w:firstLine="472" w:firstLineChars="197"/>
        <w:rPr>
          <w:rFonts w:hAnsi="宋体" w:cs="宋体"/>
          <w:sz w:val="24"/>
          <w:szCs w:val="24"/>
        </w:rPr>
      </w:pPr>
      <w:r>
        <w:rPr>
          <w:rFonts w:hint="eastAsia" w:hAnsi="宋体" w:cs="宋体"/>
          <w:bCs/>
          <w:sz w:val="24"/>
          <w:szCs w:val="24"/>
        </w:rPr>
        <w:t>质疑</w:t>
      </w:r>
      <w:r>
        <w:rPr>
          <w:rFonts w:hint="eastAsia" w:hAnsi="宋体" w:cs="宋体"/>
          <w:sz w:val="24"/>
          <w:szCs w:val="24"/>
        </w:rPr>
        <w:t>项目的编号：</w:t>
      </w:r>
      <w:r>
        <w:rPr>
          <w:rFonts w:hint="eastAsia" w:hAnsi="宋体" w:cs="宋体"/>
          <w:bCs/>
          <w:sz w:val="24"/>
          <w:szCs w:val="24"/>
          <w:u w:val="single"/>
        </w:rPr>
        <w:t xml:space="preserve">                                     </w:t>
      </w:r>
    </w:p>
    <w:p>
      <w:pPr>
        <w:pStyle w:val="25"/>
        <w:spacing w:line="312" w:lineRule="auto"/>
        <w:ind w:left="25" w:leftChars="12" w:firstLine="472" w:firstLineChars="197"/>
        <w:rPr>
          <w:rFonts w:hAnsi="宋体" w:cs="宋体"/>
          <w:sz w:val="24"/>
          <w:szCs w:val="24"/>
        </w:rPr>
      </w:pPr>
      <w:r>
        <w:rPr>
          <w:rFonts w:hint="eastAsia" w:hAnsi="宋体" w:cs="宋体"/>
          <w:sz w:val="24"/>
          <w:szCs w:val="24"/>
        </w:rPr>
        <w:t>采购人名称：</w:t>
      </w:r>
      <w:r>
        <w:rPr>
          <w:rFonts w:hint="eastAsia" w:hAnsi="宋体" w:cs="宋体"/>
          <w:bCs/>
          <w:sz w:val="24"/>
          <w:szCs w:val="24"/>
          <w:u w:val="single"/>
        </w:rPr>
        <w:t xml:space="preserve">                                         </w:t>
      </w:r>
    </w:p>
    <w:p>
      <w:pPr>
        <w:pStyle w:val="25"/>
        <w:spacing w:line="312" w:lineRule="auto"/>
        <w:ind w:left="25" w:leftChars="12" w:firstLine="472" w:firstLineChars="197"/>
        <w:rPr>
          <w:rFonts w:hAnsi="宋体" w:cs="宋体"/>
          <w:sz w:val="24"/>
          <w:szCs w:val="24"/>
        </w:rPr>
      </w:pPr>
      <w:r>
        <w:rPr>
          <w:rFonts w:hint="eastAsia" w:hAnsi="宋体" w:cs="宋体"/>
          <w:sz w:val="24"/>
          <w:szCs w:val="24"/>
        </w:rPr>
        <w:t>质疑事项：</w:t>
      </w:r>
    </w:p>
    <w:p>
      <w:pPr>
        <w:pStyle w:val="25"/>
        <w:spacing w:line="312" w:lineRule="auto"/>
        <w:ind w:left="25" w:leftChars="12" w:firstLine="352" w:firstLineChars="147"/>
        <w:rPr>
          <w:rFonts w:hAnsi="宋体" w:cs="宋体"/>
          <w:sz w:val="24"/>
          <w:szCs w:val="24"/>
        </w:rPr>
      </w:pPr>
      <w:r>
        <w:rPr>
          <w:rFonts w:hint="eastAsia" w:hAnsi="宋体" w:cs="宋体"/>
          <w:sz w:val="24"/>
          <w:szCs w:val="24"/>
        </w:rPr>
        <w:t>□招标文件   招标文件获取日期：</w:t>
      </w:r>
      <w:r>
        <w:rPr>
          <w:rFonts w:hint="eastAsia" w:hAnsi="宋体" w:cs="宋体"/>
          <w:bCs/>
          <w:sz w:val="24"/>
          <w:szCs w:val="24"/>
          <w:u w:val="single"/>
        </w:rPr>
        <w:t xml:space="preserve">                                   </w:t>
      </w:r>
    </w:p>
    <w:p>
      <w:pPr>
        <w:pStyle w:val="25"/>
        <w:spacing w:line="312" w:lineRule="auto"/>
        <w:ind w:left="25" w:leftChars="12" w:firstLine="352" w:firstLineChars="147"/>
        <w:rPr>
          <w:rFonts w:hAnsi="宋体" w:cs="宋体"/>
          <w:sz w:val="24"/>
          <w:szCs w:val="24"/>
        </w:rPr>
      </w:pPr>
      <w:r>
        <w:rPr>
          <w:rFonts w:hint="eastAsia" w:hAnsi="宋体" w:cs="宋体"/>
          <w:sz w:val="24"/>
          <w:szCs w:val="24"/>
        </w:rPr>
        <w:t xml:space="preserve">□采购过程   </w:t>
      </w:r>
    </w:p>
    <w:p>
      <w:pPr>
        <w:pStyle w:val="25"/>
        <w:spacing w:line="312" w:lineRule="auto"/>
        <w:ind w:left="25" w:leftChars="12" w:firstLine="352" w:firstLineChars="147"/>
        <w:rPr>
          <w:rFonts w:hAnsi="宋体" w:cs="宋体"/>
          <w:bCs/>
          <w:sz w:val="24"/>
          <w:szCs w:val="24"/>
          <w:u w:val="single"/>
        </w:rPr>
      </w:pPr>
      <w:r>
        <w:rPr>
          <w:rFonts w:hint="eastAsia" w:hAnsi="宋体" w:cs="宋体"/>
          <w:sz w:val="24"/>
          <w:szCs w:val="24"/>
        </w:rPr>
        <w:t xml:space="preserve">□中标结果   </w:t>
      </w:r>
    </w:p>
    <w:p>
      <w:pPr>
        <w:pStyle w:val="25"/>
        <w:spacing w:line="312" w:lineRule="auto"/>
        <w:ind w:left="25" w:leftChars="12" w:firstLine="472" w:firstLineChars="196"/>
        <w:rPr>
          <w:rFonts w:hAnsi="宋体" w:cs="宋体"/>
          <w:b/>
          <w:sz w:val="24"/>
          <w:szCs w:val="24"/>
        </w:rPr>
      </w:pPr>
      <w:r>
        <w:rPr>
          <w:rFonts w:hint="eastAsia" w:hAnsi="宋体" w:cs="宋体"/>
          <w:b/>
          <w:sz w:val="24"/>
          <w:szCs w:val="24"/>
        </w:rPr>
        <w:t>三、质疑事项具体内容</w:t>
      </w:r>
    </w:p>
    <w:p>
      <w:pPr>
        <w:pStyle w:val="25"/>
        <w:spacing w:line="312" w:lineRule="auto"/>
        <w:ind w:left="25" w:leftChars="12" w:firstLine="472" w:firstLineChars="197"/>
        <w:rPr>
          <w:rFonts w:hAnsi="宋体" w:cs="宋体"/>
          <w:sz w:val="24"/>
          <w:szCs w:val="24"/>
        </w:rPr>
      </w:pPr>
      <w:r>
        <w:rPr>
          <w:rFonts w:hint="eastAsia" w:hAnsi="宋体" w:cs="宋体"/>
          <w:sz w:val="24"/>
          <w:szCs w:val="24"/>
        </w:rPr>
        <w:t>质疑事项1：</w:t>
      </w:r>
      <w:r>
        <w:rPr>
          <w:rFonts w:hint="eastAsia" w:hAnsi="宋体" w:cs="宋体"/>
          <w:bCs/>
          <w:sz w:val="24"/>
          <w:szCs w:val="24"/>
          <w:u w:val="single"/>
        </w:rPr>
        <w:t xml:space="preserve">                                                                    </w:t>
      </w:r>
    </w:p>
    <w:p>
      <w:pPr>
        <w:pStyle w:val="25"/>
        <w:spacing w:line="312" w:lineRule="auto"/>
        <w:ind w:left="25" w:leftChars="12" w:firstLine="472" w:firstLineChars="197"/>
        <w:rPr>
          <w:rFonts w:hAnsi="宋体" w:cs="宋体"/>
          <w:sz w:val="24"/>
          <w:szCs w:val="24"/>
        </w:rPr>
      </w:pPr>
      <w:r>
        <w:rPr>
          <w:rFonts w:hint="eastAsia" w:hAnsi="宋体" w:cs="宋体"/>
          <w:sz w:val="24"/>
          <w:szCs w:val="24"/>
        </w:rPr>
        <w:t>事实依据：</w:t>
      </w:r>
      <w:r>
        <w:rPr>
          <w:rFonts w:hint="eastAsia" w:hAnsi="宋体" w:cs="宋体"/>
          <w:bCs/>
          <w:sz w:val="24"/>
          <w:szCs w:val="24"/>
          <w:u w:val="single"/>
        </w:rPr>
        <w:t xml:space="preserve">                                                                      </w:t>
      </w:r>
    </w:p>
    <w:p>
      <w:pPr>
        <w:pStyle w:val="25"/>
        <w:spacing w:line="312" w:lineRule="auto"/>
        <w:ind w:left="25" w:leftChars="12" w:firstLine="472" w:firstLineChars="197"/>
        <w:rPr>
          <w:rFonts w:hAnsi="宋体" w:cs="宋体"/>
          <w:sz w:val="24"/>
          <w:szCs w:val="24"/>
        </w:rPr>
      </w:pPr>
      <w:r>
        <w:rPr>
          <w:rFonts w:hint="eastAsia" w:hAnsi="宋体" w:cs="宋体"/>
          <w:sz w:val="24"/>
          <w:szCs w:val="24"/>
        </w:rPr>
        <w:t>法律依据：</w:t>
      </w:r>
      <w:r>
        <w:rPr>
          <w:rFonts w:hint="eastAsia" w:hAnsi="宋体" w:cs="宋体"/>
          <w:sz w:val="24"/>
          <w:szCs w:val="24"/>
          <w:u w:val="single"/>
        </w:rPr>
        <w:t xml:space="preserve">                                                        </w:t>
      </w:r>
      <w:r>
        <w:rPr>
          <w:rFonts w:hint="eastAsia" w:hAnsi="宋体" w:cs="宋体"/>
          <w:bCs/>
          <w:sz w:val="24"/>
          <w:szCs w:val="24"/>
          <w:u w:val="single"/>
        </w:rPr>
        <w:t xml:space="preserve">               </w:t>
      </w:r>
    </w:p>
    <w:p>
      <w:pPr>
        <w:pStyle w:val="25"/>
        <w:spacing w:line="312" w:lineRule="auto"/>
        <w:ind w:left="25" w:leftChars="12" w:firstLine="472" w:firstLineChars="197"/>
        <w:rPr>
          <w:rFonts w:hAnsi="宋体" w:cs="宋体"/>
          <w:sz w:val="24"/>
          <w:szCs w:val="24"/>
        </w:rPr>
      </w:pPr>
      <w:r>
        <w:rPr>
          <w:rFonts w:hint="eastAsia" w:hAnsi="宋体" w:cs="宋体"/>
          <w:sz w:val="24"/>
          <w:szCs w:val="24"/>
        </w:rPr>
        <w:t>质疑事项2</w:t>
      </w:r>
    </w:p>
    <w:p>
      <w:pPr>
        <w:pStyle w:val="25"/>
        <w:spacing w:line="312" w:lineRule="auto"/>
        <w:ind w:left="25" w:leftChars="12" w:firstLine="472" w:firstLineChars="197"/>
        <w:rPr>
          <w:rFonts w:hAnsi="宋体" w:cs="宋体"/>
          <w:sz w:val="24"/>
          <w:szCs w:val="24"/>
        </w:rPr>
      </w:pPr>
      <w:r>
        <w:rPr>
          <w:rFonts w:hint="eastAsia" w:hAnsi="宋体" w:cs="宋体"/>
          <w:sz w:val="24"/>
          <w:szCs w:val="24"/>
        </w:rPr>
        <w:t>……</w:t>
      </w:r>
    </w:p>
    <w:p>
      <w:pPr>
        <w:pStyle w:val="25"/>
        <w:spacing w:line="312" w:lineRule="auto"/>
        <w:ind w:left="25" w:leftChars="12" w:firstLine="472" w:firstLineChars="197"/>
        <w:rPr>
          <w:rFonts w:hAnsi="宋体" w:cs="宋体"/>
          <w:sz w:val="24"/>
          <w:szCs w:val="24"/>
        </w:rPr>
      </w:pPr>
      <w:r>
        <w:rPr>
          <w:rFonts w:hint="eastAsia" w:hAnsi="宋体" w:cs="宋体"/>
          <w:sz w:val="24"/>
          <w:szCs w:val="24"/>
        </w:rPr>
        <w:t>四、与质疑事项相关的质疑请求：</w:t>
      </w:r>
    </w:p>
    <w:p>
      <w:pPr>
        <w:pStyle w:val="25"/>
        <w:spacing w:line="312" w:lineRule="auto"/>
        <w:ind w:left="25" w:leftChars="12" w:firstLine="472" w:firstLineChars="197"/>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pPr>
        <w:pStyle w:val="25"/>
        <w:spacing w:line="312" w:lineRule="auto"/>
        <w:ind w:left="25" w:leftChars="12" w:firstLine="352" w:firstLineChars="147"/>
        <w:rPr>
          <w:rFonts w:hAnsi="宋体" w:cs="宋体"/>
          <w:sz w:val="24"/>
          <w:szCs w:val="24"/>
        </w:rPr>
      </w:pPr>
    </w:p>
    <w:p>
      <w:pPr>
        <w:pStyle w:val="25"/>
        <w:spacing w:line="312" w:lineRule="auto"/>
        <w:ind w:left="25" w:leftChars="12" w:firstLine="472" w:firstLineChars="197"/>
        <w:rPr>
          <w:rFonts w:hAnsi="宋体" w:cs="宋体"/>
          <w:sz w:val="24"/>
          <w:szCs w:val="24"/>
        </w:rPr>
      </w:pPr>
      <w:r>
        <w:rPr>
          <w:rFonts w:hint="eastAsia" w:hAnsi="宋体" w:cs="宋体"/>
          <w:sz w:val="24"/>
          <w:szCs w:val="24"/>
        </w:rPr>
        <w:t>签字（签章）：                                       公章：</w:t>
      </w:r>
    </w:p>
    <w:p>
      <w:pPr>
        <w:pStyle w:val="25"/>
        <w:spacing w:line="312" w:lineRule="auto"/>
        <w:ind w:left="25" w:leftChars="12" w:firstLine="352" w:firstLineChars="147"/>
        <w:rPr>
          <w:rFonts w:hAnsi="宋体" w:cs="宋体"/>
          <w:sz w:val="24"/>
          <w:szCs w:val="24"/>
        </w:rPr>
      </w:pPr>
    </w:p>
    <w:p>
      <w:pPr>
        <w:pStyle w:val="25"/>
        <w:spacing w:line="312" w:lineRule="auto"/>
        <w:ind w:left="25" w:leftChars="12" w:firstLine="472" w:firstLineChars="197"/>
        <w:rPr>
          <w:rFonts w:hAnsi="宋体" w:cs="宋体"/>
          <w:sz w:val="24"/>
          <w:szCs w:val="24"/>
        </w:rPr>
      </w:pPr>
      <w:r>
        <w:rPr>
          <w:rFonts w:hint="eastAsia" w:hAnsi="宋体" w:cs="宋体"/>
          <w:sz w:val="24"/>
          <w:szCs w:val="24"/>
        </w:rPr>
        <w:t>日期：</w:t>
      </w:r>
    </w:p>
    <w:p>
      <w:pPr>
        <w:pStyle w:val="25"/>
        <w:snapToGrid w:val="0"/>
        <w:spacing w:line="312" w:lineRule="auto"/>
        <w:rPr>
          <w:rFonts w:hAnsi="宋体" w:cs="宋体"/>
          <w:b/>
          <w:sz w:val="24"/>
          <w:szCs w:val="24"/>
        </w:rPr>
      </w:pPr>
    </w:p>
    <w:p>
      <w:pPr>
        <w:pStyle w:val="25"/>
        <w:snapToGrid w:val="0"/>
        <w:spacing w:line="360" w:lineRule="auto"/>
        <w:rPr>
          <w:rFonts w:hAnsi="宋体" w:cs="宋体"/>
          <w:b/>
          <w:sz w:val="24"/>
          <w:szCs w:val="24"/>
        </w:rPr>
      </w:pPr>
      <w:r>
        <w:rPr>
          <w:rFonts w:hint="eastAsia" w:hAnsi="宋体" w:cs="宋体"/>
          <w:b/>
          <w:sz w:val="24"/>
          <w:szCs w:val="24"/>
        </w:rPr>
        <w:t>说明：</w:t>
      </w:r>
    </w:p>
    <w:p>
      <w:pPr>
        <w:pStyle w:val="25"/>
        <w:spacing w:line="360" w:lineRule="auto"/>
        <w:ind w:left="25" w:leftChars="12" w:firstLine="354" w:firstLineChars="147"/>
        <w:rPr>
          <w:rFonts w:hAnsi="宋体" w:cs="宋体"/>
          <w:b/>
          <w:bCs/>
          <w:sz w:val="24"/>
          <w:szCs w:val="24"/>
        </w:rPr>
      </w:pPr>
      <w:r>
        <w:rPr>
          <w:rFonts w:hint="eastAsia" w:hAnsi="宋体" w:cs="宋体"/>
          <w:b/>
          <w:sz w:val="24"/>
          <w:szCs w:val="24"/>
        </w:rPr>
        <w:t>1.供应商提出质疑时，应提交质疑函和必要的证明材料</w:t>
      </w:r>
      <w:r>
        <w:rPr>
          <w:rFonts w:hint="eastAsia" w:hAnsi="宋体" w:cs="宋体"/>
          <w:b/>
          <w:bCs/>
          <w:sz w:val="24"/>
          <w:szCs w:val="24"/>
        </w:rPr>
        <w:t>。</w:t>
      </w:r>
    </w:p>
    <w:p>
      <w:pPr>
        <w:pStyle w:val="25"/>
        <w:spacing w:line="360" w:lineRule="auto"/>
        <w:ind w:left="25" w:leftChars="12" w:firstLine="354" w:firstLineChars="147"/>
        <w:rPr>
          <w:rFonts w:hAnsi="宋体" w:cs="宋体"/>
          <w:b/>
          <w:sz w:val="24"/>
          <w:szCs w:val="24"/>
        </w:rPr>
      </w:pPr>
      <w:r>
        <w:rPr>
          <w:rFonts w:hint="eastAsia" w:hAnsi="宋体" w:cs="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5"/>
        <w:spacing w:line="360" w:lineRule="auto"/>
        <w:ind w:left="25" w:leftChars="12" w:firstLine="354" w:firstLineChars="147"/>
        <w:rPr>
          <w:rFonts w:hAnsi="宋体" w:cs="宋体"/>
          <w:b/>
          <w:sz w:val="24"/>
          <w:szCs w:val="24"/>
        </w:rPr>
      </w:pPr>
      <w:r>
        <w:rPr>
          <w:rFonts w:hint="eastAsia" w:hAnsi="宋体" w:cs="宋体"/>
          <w:b/>
          <w:sz w:val="24"/>
          <w:szCs w:val="24"/>
        </w:rPr>
        <w:t>3.质疑函的质疑事项应具体、明确，并有必要的事实依据和法律依据。</w:t>
      </w:r>
    </w:p>
    <w:p>
      <w:pPr>
        <w:pStyle w:val="25"/>
        <w:spacing w:line="360" w:lineRule="auto"/>
        <w:ind w:left="25" w:leftChars="12" w:firstLine="354" w:firstLineChars="147"/>
        <w:rPr>
          <w:rFonts w:hAnsi="宋体" w:cs="宋体"/>
          <w:b/>
          <w:sz w:val="24"/>
          <w:szCs w:val="24"/>
        </w:rPr>
      </w:pPr>
      <w:r>
        <w:rPr>
          <w:rFonts w:hint="eastAsia" w:hAnsi="宋体" w:cs="宋体"/>
          <w:b/>
          <w:sz w:val="24"/>
          <w:szCs w:val="24"/>
        </w:rPr>
        <w:t>4.质疑函的质疑请求应与质疑事项相关。</w:t>
      </w:r>
    </w:p>
    <w:p>
      <w:pPr>
        <w:pStyle w:val="25"/>
        <w:spacing w:line="360" w:lineRule="auto"/>
        <w:ind w:left="25" w:leftChars="12" w:firstLine="354" w:firstLineChars="147"/>
        <w:rPr>
          <w:rFonts w:hAnsi="宋体" w:cs="宋体"/>
          <w:b/>
        </w:rPr>
      </w:pPr>
      <w:r>
        <w:rPr>
          <w:rFonts w:hint="eastAsia" w:hAnsi="宋体" w:cs="宋体"/>
          <w:b/>
          <w:sz w:val="24"/>
          <w:szCs w:val="24"/>
        </w:rPr>
        <w:t>5.质疑供应商为法人或者其他组织的，质疑函应由法定代表人、主要负责人，或者其授权代表签字或者盖章，并加盖公章。</w:t>
      </w:r>
    </w:p>
    <w:p>
      <w:pPr>
        <w:pStyle w:val="25"/>
        <w:snapToGrid w:val="0"/>
        <w:rPr>
          <w:rFonts w:hAnsi="宋体" w:cs="宋体"/>
          <w:b/>
          <w:sz w:val="24"/>
          <w:szCs w:val="24"/>
        </w:rPr>
      </w:pPr>
    </w:p>
    <w:p>
      <w:pPr>
        <w:spacing w:line="360" w:lineRule="auto"/>
        <w:jc w:val="left"/>
        <w:rPr>
          <w:rFonts w:ascii="宋体" w:hAnsi="宋体" w:cs="宋体"/>
          <w:b/>
          <w:bCs/>
          <w:sz w:val="32"/>
          <w:szCs w:val="32"/>
        </w:rPr>
      </w:pPr>
      <w:r>
        <w:rPr>
          <w:rFonts w:ascii="宋体" w:hAnsi="宋体" w:cs="宋体"/>
          <w:sz w:val="44"/>
        </w:rPr>
        <w:br w:type="page"/>
      </w:r>
      <w:r>
        <w:rPr>
          <w:rFonts w:hint="eastAsia" w:ascii="宋体" w:hAnsi="宋体" w:cs="宋体"/>
          <w:b/>
          <w:sz w:val="24"/>
        </w:rPr>
        <w:t>5.投诉书格式</w:t>
      </w:r>
    </w:p>
    <w:p>
      <w:pPr>
        <w:jc w:val="center"/>
        <w:rPr>
          <w:rFonts w:ascii="宋体" w:hAnsi="宋体" w:cs="宋体"/>
          <w:sz w:val="44"/>
          <w:szCs w:val="44"/>
        </w:rPr>
      </w:pPr>
      <w:r>
        <w:rPr>
          <w:rFonts w:hint="eastAsia" w:ascii="宋体" w:hAnsi="宋体" w:cs="宋体"/>
          <w:sz w:val="44"/>
          <w:szCs w:val="44"/>
        </w:rPr>
        <w:t>投诉书</w:t>
      </w:r>
    </w:p>
    <w:p>
      <w:pPr>
        <w:pStyle w:val="25"/>
        <w:snapToGrid w:val="0"/>
        <w:spacing w:line="440" w:lineRule="exact"/>
        <w:ind w:firstLine="482" w:firstLineChars="200"/>
        <w:rPr>
          <w:rFonts w:hAnsi="宋体" w:cs="宋体"/>
          <w:b/>
          <w:bCs/>
          <w:sz w:val="24"/>
          <w:szCs w:val="24"/>
        </w:rPr>
      </w:pPr>
    </w:p>
    <w:p>
      <w:pPr>
        <w:pStyle w:val="25"/>
        <w:snapToGrid w:val="0"/>
        <w:spacing w:line="440" w:lineRule="exact"/>
        <w:ind w:firstLine="482" w:firstLineChars="200"/>
        <w:rPr>
          <w:rFonts w:hAnsi="宋体" w:cs="宋体"/>
          <w:b/>
          <w:bCs/>
          <w:sz w:val="24"/>
          <w:szCs w:val="24"/>
        </w:rPr>
      </w:pPr>
      <w:r>
        <w:rPr>
          <w:rFonts w:hint="eastAsia" w:hAnsi="宋体" w:cs="宋体"/>
          <w:b/>
          <w:bCs/>
          <w:sz w:val="24"/>
          <w:szCs w:val="24"/>
        </w:rPr>
        <w:t>一、投诉相关主体基本情况：</w:t>
      </w:r>
    </w:p>
    <w:p>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投标人：</w:t>
      </w:r>
      <w:r>
        <w:rPr>
          <w:rFonts w:hint="eastAsia" w:hAnsi="宋体" w:cs="宋体"/>
          <w:bCs/>
          <w:sz w:val="24"/>
          <w:szCs w:val="24"/>
          <w:u w:val="single"/>
        </w:rPr>
        <w:t xml:space="preserve">                                                                        </w:t>
      </w:r>
      <w:r>
        <w:rPr>
          <w:rFonts w:hint="eastAsia" w:hAnsi="宋体" w:cs="宋体"/>
          <w:bCs/>
          <w:sz w:val="24"/>
          <w:szCs w:val="24"/>
        </w:rPr>
        <w:t xml:space="preserve">                 </w:t>
      </w:r>
    </w:p>
    <w:p>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法定代表人/主要负责人：</w:t>
      </w:r>
      <w:r>
        <w:rPr>
          <w:rFonts w:hint="eastAsia" w:hAnsi="宋体" w:cs="宋体"/>
          <w:bCs/>
          <w:sz w:val="24"/>
          <w:szCs w:val="24"/>
          <w:u w:val="single"/>
        </w:rPr>
        <w:t xml:space="preserve">                                                         </w:t>
      </w:r>
    </w:p>
    <w:p>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联系电话：</w:t>
      </w:r>
      <w:r>
        <w:rPr>
          <w:rFonts w:hint="eastAsia" w:hAnsi="宋体" w:cs="宋体"/>
          <w:bCs/>
          <w:sz w:val="24"/>
          <w:szCs w:val="24"/>
          <w:u w:val="single"/>
        </w:rPr>
        <w:t xml:space="preserve">                                         </w:t>
      </w:r>
    </w:p>
    <w:p>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授权代表：</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被投诉人1：</w:t>
      </w:r>
    </w:p>
    <w:p>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被投诉人2：</w:t>
      </w:r>
    </w:p>
    <w:p>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w:t>
      </w:r>
    </w:p>
    <w:p>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相关供应商：</w:t>
      </w:r>
      <w:r>
        <w:rPr>
          <w:rFonts w:hint="eastAsia" w:hAnsi="宋体" w:cs="宋体"/>
          <w:bCs/>
          <w:sz w:val="24"/>
          <w:szCs w:val="24"/>
          <w:u w:val="single"/>
        </w:rPr>
        <w:t xml:space="preserve">                                                                       </w:t>
      </w:r>
    </w:p>
    <w:p>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p>
    <w:p>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r>
        <w:rPr>
          <w:rFonts w:hint="eastAsia" w:hAnsi="宋体" w:cs="宋体"/>
          <w:bCs/>
          <w:sz w:val="24"/>
          <w:szCs w:val="24"/>
        </w:rPr>
        <w:t xml:space="preserve">                </w:t>
      </w:r>
    </w:p>
    <w:p>
      <w:pPr>
        <w:pStyle w:val="25"/>
        <w:snapToGrid w:val="0"/>
        <w:spacing w:line="440" w:lineRule="exact"/>
        <w:ind w:firstLine="482" w:firstLineChars="200"/>
        <w:rPr>
          <w:rFonts w:hAnsi="宋体" w:cs="宋体"/>
          <w:b/>
          <w:bCs/>
          <w:sz w:val="24"/>
          <w:szCs w:val="24"/>
        </w:rPr>
      </w:pPr>
      <w:r>
        <w:rPr>
          <w:rFonts w:hint="eastAsia" w:hAnsi="宋体" w:cs="宋体"/>
          <w:b/>
          <w:bCs/>
          <w:sz w:val="24"/>
          <w:szCs w:val="24"/>
        </w:rPr>
        <w:t>二、投诉项目基本情况：</w:t>
      </w:r>
    </w:p>
    <w:p>
      <w:pPr>
        <w:pStyle w:val="25"/>
        <w:spacing w:line="440" w:lineRule="exact"/>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项目的名称：</w:t>
      </w:r>
      <w:r>
        <w:rPr>
          <w:rFonts w:hint="eastAsia" w:hAnsi="宋体" w:cs="宋体"/>
          <w:bCs/>
          <w:sz w:val="24"/>
          <w:szCs w:val="24"/>
          <w:u w:val="single"/>
        </w:rPr>
        <w:t xml:space="preserve">                                                                   </w:t>
      </w:r>
    </w:p>
    <w:p>
      <w:pPr>
        <w:pStyle w:val="25"/>
        <w:spacing w:line="440" w:lineRule="exact"/>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项目的编号：</w:t>
      </w:r>
      <w:r>
        <w:rPr>
          <w:rFonts w:hint="eastAsia" w:hAnsi="宋体" w:cs="宋体"/>
          <w:bCs/>
          <w:sz w:val="24"/>
          <w:szCs w:val="24"/>
          <w:u w:val="single"/>
        </w:rPr>
        <w:t xml:space="preserve">                                          </w:t>
      </w:r>
    </w:p>
    <w:p>
      <w:pPr>
        <w:pStyle w:val="25"/>
        <w:spacing w:line="440" w:lineRule="exact"/>
        <w:ind w:left="25" w:leftChars="12" w:firstLine="472" w:firstLineChars="197"/>
        <w:rPr>
          <w:rFonts w:hAnsi="宋体" w:cs="宋体"/>
          <w:bCs/>
          <w:sz w:val="24"/>
          <w:szCs w:val="24"/>
          <w:u w:val="single"/>
        </w:rPr>
      </w:pPr>
      <w:r>
        <w:rPr>
          <w:rFonts w:hint="eastAsia" w:hAnsi="宋体" w:cs="宋体"/>
          <w:sz w:val="24"/>
          <w:szCs w:val="24"/>
        </w:rPr>
        <w:t>采购人名称：</w:t>
      </w:r>
      <w:r>
        <w:rPr>
          <w:rFonts w:hint="eastAsia" w:hAnsi="宋体" w:cs="宋体"/>
          <w:bCs/>
          <w:sz w:val="24"/>
          <w:szCs w:val="24"/>
          <w:u w:val="single"/>
        </w:rPr>
        <w:t xml:space="preserve">                                                                        </w:t>
      </w:r>
    </w:p>
    <w:p>
      <w:pPr>
        <w:pStyle w:val="25"/>
        <w:spacing w:line="440" w:lineRule="exact"/>
        <w:ind w:left="25" w:leftChars="12" w:firstLine="472" w:firstLineChars="197"/>
        <w:rPr>
          <w:rFonts w:hAnsi="宋体" w:cs="宋体"/>
          <w:bCs/>
          <w:sz w:val="24"/>
          <w:szCs w:val="24"/>
          <w:u w:val="single"/>
        </w:rPr>
      </w:pPr>
      <w:r>
        <w:rPr>
          <w:rFonts w:hint="eastAsia" w:hAnsi="宋体" w:cs="宋体"/>
          <w:sz w:val="24"/>
          <w:szCs w:val="24"/>
        </w:rPr>
        <w:t>代理机构名称：</w:t>
      </w:r>
      <w:r>
        <w:rPr>
          <w:rFonts w:hint="eastAsia" w:hAnsi="宋体" w:cs="宋体"/>
          <w:bCs/>
          <w:sz w:val="24"/>
          <w:szCs w:val="24"/>
          <w:u w:val="single"/>
        </w:rPr>
        <w:t xml:space="preserve">                                                                      </w:t>
      </w:r>
    </w:p>
    <w:p>
      <w:pPr>
        <w:pStyle w:val="25"/>
        <w:spacing w:line="440" w:lineRule="exact"/>
        <w:ind w:left="25" w:leftChars="12" w:firstLine="472" w:firstLineChars="197"/>
        <w:rPr>
          <w:rFonts w:hAnsi="宋体" w:cs="宋体"/>
          <w:bCs/>
          <w:sz w:val="24"/>
          <w:szCs w:val="24"/>
          <w:u w:val="single"/>
        </w:rPr>
      </w:pPr>
      <w:r>
        <w:rPr>
          <w:rFonts w:hint="eastAsia" w:hAnsi="宋体" w:cs="宋体"/>
          <w:bCs/>
          <w:sz w:val="24"/>
          <w:szCs w:val="24"/>
        </w:rPr>
        <w:t>招标文件公告：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pPr>
        <w:pStyle w:val="25"/>
        <w:spacing w:line="440" w:lineRule="exact"/>
        <w:ind w:left="25" w:leftChars="12" w:firstLine="472" w:firstLineChars="197"/>
        <w:rPr>
          <w:rFonts w:hAnsi="宋体" w:cs="宋体"/>
          <w:b/>
          <w:sz w:val="24"/>
          <w:szCs w:val="24"/>
        </w:rPr>
      </w:pPr>
      <w:r>
        <w:rPr>
          <w:rFonts w:hint="eastAsia" w:hAnsi="宋体" w:cs="宋体"/>
          <w:bCs/>
          <w:sz w:val="24"/>
          <w:szCs w:val="24"/>
        </w:rPr>
        <w:t>采购结果公告：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pPr>
        <w:pStyle w:val="25"/>
        <w:spacing w:line="440" w:lineRule="exact"/>
        <w:ind w:left="25" w:leftChars="12" w:firstLine="472" w:firstLineChars="196"/>
        <w:rPr>
          <w:rFonts w:hAnsi="宋体" w:cs="宋体"/>
          <w:b/>
          <w:sz w:val="24"/>
          <w:szCs w:val="24"/>
        </w:rPr>
      </w:pPr>
      <w:r>
        <w:rPr>
          <w:rFonts w:hint="eastAsia" w:hAnsi="宋体" w:cs="宋体"/>
          <w:b/>
          <w:sz w:val="24"/>
          <w:szCs w:val="24"/>
        </w:rPr>
        <w:t>三、质疑基本情况</w:t>
      </w:r>
    </w:p>
    <w:p>
      <w:pPr>
        <w:pStyle w:val="25"/>
        <w:spacing w:line="440" w:lineRule="exact"/>
        <w:ind w:left="25" w:leftChars="12" w:firstLine="480" w:firstLineChars="200"/>
        <w:rPr>
          <w:rFonts w:hAnsi="宋体" w:cs="宋体"/>
          <w:sz w:val="24"/>
          <w:szCs w:val="24"/>
        </w:rPr>
      </w:pPr>
      <w:r>
        <w:rPr>
          <w:rFonts w:hint="eastAsia" w:hAnsi="宋体" w:cs="宋体"/>
          <w:sz w:val="24"/>
          <w:szCs w:val="24"/>
        </w:rPr>
        <w:t>投诉人于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日，向</w:t>
      </w:r>
      <w:r>
        <w:rPr>
          <w:rFonts w:hint="eastAsia" w:hAnsi="宋体" w:cs="宋体"/>
          <w:sz w:val="24"/>
          <w:szCs w:val="24"/>
          <w:u w:val="single"/>
        </w:rPr>
        <w:t xml:space="preserve">                                </w:t>
      </w:r>
      <w:r>
        <w:rPr>
          <w:rFonts w:hint="eastAsia" w:hAnsi="宋体" w:cs="宋体"/>
          <w:sz w:val="24"/>
          <w:szCs w:val="24"/>
        </w:rPr>
        <w:t>提出质疑，质疑事项为：</w:t>
      </w:r>
    </w:p>
    <w:p>
      <w:pPr>
        <w:pStyle w:val="25"/>
        <w:spacing w:line="440" w:lineRule="exact"/>
        <w:ind w:firstLine="241"/>
        <w:rPr>
          <w:rFonts w:hAnsi="宋体" w:cs="宋体"/>
          <w:bCs/>
          <w:sz w:val="24"/>
          <w:szCs w:val="24"/>
          <w:u w:val="single"/>
        </w:rPr>
      </w:pPr>
      <w:r>
        <w:rPr>
          <w:rFonts w:hint="eastAsia" w:hAnsi="宋体" w:cs="宋体"/>
          <w:sz w:val="24"/>
          <w:szCs w:val="24"/>
        </w:rPr>
        <w:t xml:space="preserve">    </w:t>
      </w:r>
      <w:r>
        <w:rPr>
          <w:rFonts w:hint="eastAsia" w:hAnsi="宋体" w:cs="宋体"/>
          <w:bCs/>
          <w:sz w:val="24"/>
          <w:szCs w:val="24"/>
          <w:u w:val="single"/>
        </w:rPr>
        <w:t xml:space="preserve">                                                                                      </w:t>
      </w:r>
    </w:p>
    <w:p>
      <w:pPr>
        <w:pStyle w:val="25"/>
        <w:spacing w:line="440" w:lineRule="exact"/>
        <w:ind w:firstLine="241"/>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pPr>
        <w:pStyle w:val="25"/>
        <w:spacing w:line="440" w:lineRule="exact"/>
        <w:ind w:firstLine="480" w:firstLineChars="200"/>
        <w:rPr>
          <w:rFonts w:hAnsi="宋体" w:cs="宋体"/>
          <w:sz w:val="24"/>
          <w:szCs w:val="24"/>
        </w:rPr>
      </w:pPr>
      <w:r>
        <w:rPr>
          <w:rFonts w:hint="eastAsia" w:hAnsi="宋体" w:cs="宋体"/>
          <w:bCs/>
          <w:sz w:val="24"/>
          <w:szCs w:val="24"/>
          <w:u w:val="single"/>
        </w:rPr>
        <w:t>采购人/代理机构</w:t>
      </w:r>
      <w:r>
        <w:rPr>
          <w:rFonts w:hint="eastAsia" w:hAnsi="宋体" w:cs="宋体"/>
          <w:bCs/>
          <w:sz w:val="24"/>
          <w:szCs w:val="24"/>
        </w:rPr>
        <w:t>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r>
        <w:rPr>
          <w:rFonts w:hint="eastAsia" w:hAnsi="宋体" w:cs="宋体"/>
          <w:bCs/>
          <w:sz w:val="24"/>
          <w:szCs w:val="24"/>
        </w:rPr>
        <w:t xml:space="preserve">就质疑事项作出了答复/没有在法定期限内作出答复。                                                                                             </w:t>
      </w:r>
    </w:p>
    <w:p>
      <w:pPr>
        <w:pStyle w:val="25"/>
        <w:spacing w:line="440" w:lineRule="exact"/>
        <w:ind w:left="25" w:leftChars="12" w:firstLine="472" w:firstLineChars="196"/>
        <w:rPr>
          <w:rFonts w:hAnsi="宋体" w:cs="宋体"/>
          <w:b/>
          <w:sz w:val="24"/>
          <w:szCs w:val="24"/>
        </w:rPr>
      </w:pPr>
      <w:r>
        <w:rPr>
          <w:rFonts w:hint="eastAsia" w:hAnsi="宋体" w:cs="宋体"/>
          <w:b/>
          <w:sz w:val="24"/>
          <w:szCs w:val="24"/>
        </w:rPr>
        <w:t>四、投诉事项具体内容</w:t>
      </w:r>
    </w:p>
    <w:p>
      <w:pPr>
        <w:pStyle w:val="25"/>
        <w:spacing w:line="440" w:lineRule="exact"/>
        <w:ind w:left="25" w:leftChars="12" w:firstLine="472" w:firstLineChars="197"/>
        <w:rPr>
          <w:rFonts w:hAnsi="宋体" w:cs="宋体"/>
          <w:bCs/>
          <w:sz w:val="24"/>
          <w:szCs w:val="24"/>
          <w:u w:val="single"/>
        </w:rPr>
      </w:pPr>
      <w:r>
        <w:rPr>
          <w:rFonts w:hint="eastAsia" w:hAnsi="宋体" w:cs="宋体"/>
          <w:sz w:val="24"/>
          <w:szCs w:val="24"/>
        </w:rPr>
        <w:t>投诉事项1：</w:t>
      </w:r>
      <w:r>
        <w:rPr>
          <w:rFonts w:hint="eastAsia" w:hAnsi="宋体" w:cs="宋体"/>
          <w:bCs/>
          <w:sz w:val="24"/>
          <w:szCs w:val="24"/>
          <w:u w:val="single"/>
        </w:rPr>
        <w:t xml:space="preserve">                                                                           </w:t>
      </w:r>
    </w:p>
    <w:p>
      <w:pPr>
        <w:pStyle w:val="25"/>
        <w:spacing w:line="440" w:lineRule="exact"/>
        <w:ind w:firstLine="480" w:firstLineChars="200"/>
        <w:rPr>
          <w:rFonts w:hAnsi="宋体" w:cs="宋体"/>
          <w:bCs/>
          <w:sz w:val="24"/>
          <w:szCs w:val="24"/>
          <w:u w:val="single"/>
        </w:rPr>
      </w:pPr>
      <w:r>
        <w:rPr>
          <w:rFonts w:hint="eastAsia" w:hAnsi="宋体" w:cs="宋体"/>
          <w:bCs/>
          <w:sz w:val="24"/>
          <w:szCs w:val="24"/>
        </w:rPr>
        <w:t>事实依据：</w:t>
      </w:r>
      <w:r>
        <w:rPr>
          <w:rFonts w:hint="eastAsia" w:hAnsi="宋体" w:cs="宋体"/>
          <w:sz w:val="24"/>
          <w:szCs w:val="24"/>
        </w:rPr>
        <w:t xml:space="preserve"> </w:t>
      </w:r>
      <w:r>
        <w:rPr>
          <w:rFonts w:hint="eastAsia" w:hAnsi="宋体" w:cs="宋体"/>
          <w:bCs/>
          <w:sz w:val="24"/>
          <w:szCs w:val="24"/>
          <w:u w:val="single"/>
        </w:rPr>
        <w:t xml:space="preserve">                                                                                      </w:t>
      </w:r>
    </w:p>
    <w:p>
      <w:pPr>
        <w:pStyle w:val="25"/>
        <w:spacing w:line="440" w:lineRule="exact"/>
        <w:ind w:left="25" w:leftChars="12" w:firstLine="472" w:firstLineChars="197"/>
        <w:rPr>
          <w:rFonts w:hAnsi="宋体" w:cs="宋体"/>
          <w:sz w:val="24"/>
          <w:szCs w:val="24"/>
        </w:rPr>
      </w:pPr>
      <w:r>
        <w:rPr>
          <w:rFonts w:hint="eastAsia" w:hAnsi="宋体" w:cs="宋体"/>
          <w:bCs/>
          <w:sz w:val="24"/>
          <w:szCs w:val="24"/>
          <w:u w:val="single"/>
        </w:rPr>
        <w:t xml:space="preserve">                                                                                        </w:t>
      </w:r>
    </w:p>
    <w:p>
      <w:pPr>
        <w:pStyle w:val="25"/>
        <w:spacing w:line="440" w:lineRule="exact"/>
        <w:ind w:firstLine="480" w:firstLineChars="200"/>
        <w:rPr>
          <w:rFonts w:hAnsi="宋体" w:cs="宋体"/>
          <w:bCs/>
          <w:sz w:val="24"/>
          <w:szCs w:val="24"/>
          <w:u w:val="single"/>
        </w:rPr>
      </w:pPr>
      <w:r>
        <w:rPr>
          <w:rFonts w:hint="eastAsia" w:hAnsi="宋体" w:cs="宋体"/>
          <w:bCs/>
          <w:sz w:val="24"/>
          <w:szCs w:val="24"/>
        </w:rPr>
        <w:t>法律依据：</w:t>
      </w:r>
      <w:r>
        <w:rPr>
          <w:rFonts w:hint="eastAsia" w:hAnsi="宋体" w:cs="宋体"/>
          <w:sz w:val="24"/>
          <w:szCs w:val="24"/>
        </w:rPr>
        <w:t xml:space="preserve"> </w:t>
      </w:r>
      <w:r>
        <w:rPr>
          <w:rFonts w:hint="eastAsia" w:hAnsi="宋体" w:cs="宋体"/>
          <w:bCs/>
          <w:sz w:val="24"/>
          <w:szCs w:val="24"/>
          <w:u w:val="single"/>
        </w:rPr>
        <w:t xml:space="preserve">                                                                                      </w:t>
      </w:r>
    </w:p>
    <w:p>
      <w:pPr>
        <w:pStyle w:val="25"/>
        <w:spacing w:line="440" w:lineRule="exact"/>
        <w:ind w:left="25" w:leftChars="12" w:firstLine="352" w:firstLineChars="147"/>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pPr>
        <w:pStyle w:val="25"/>
        <w:spacing w:line="440" w:lineRule="exact"/>
        <w:ind w:left="25" w:leftChars="12" w:firstLine="472" w:firstLineChars="197"/>
        <w:rPr>
          <w:rFonts w:hAnsi="宋体" w:cs="宋体"/>
          <w:bCs/>
          <w:sz w:val="24"/>
          <w:szCs w:val="24"/>
        </w:rPr>
      </w:pPr>
      <w:r>
        <w:rPr>
          <w:rFonts w:hint="eastAsia" w:hAnsi="宋体" w:cs="宋体"/>
          <w:sz w:val="24"/>
          <w:szCs w:val="24"/>
        </w:rPr>
        <w:t xml:space="preserve">投诉事项2  </w:t>
      </w:r>
      <w:r>
        <w:rPr>
          <w:rFonts w:hint="eastAsia" w:hAnsi="宋体" w:cs="宋体"/>
          <w:bCs/>
          <w:sz w:val="24"/>
          <w:szCs w:val="24"/>
        </w:rPr>
        <w:t xml:space="preserve">   </w:t>
      </w:r>
    </w:p>
    <w:p>
      <w:pPr>
        <w:pStyle w:val="25"/>
        <w:spacing w:line="440" w:lineRule="exact"/>
        <w:ind w:left="25" w:leftChars="12" w:firstLine="472" w:firstLineChars="197"/>
        <w:rPr>
          <w:rFonts w:hAnsi="宋体" w:cs="宋体"/>
          <w:bCs/>
          <w:sz w:val="24"/>
          <w:szCs w:val="24"/>
        </w:rPr>
      </w:pPr>
      <w:r>
        <w:rPr>
          <w:rFonts w:hint="eastAsia" w:hAnsi="宋体" w:cs="宋体"/>
          <w:bCs/>
          <w:sz w:val="24"/>
          <w:szCs w:val="24"/>
        </w:rPr>
        <w:t>……</w:t>
      </w:r>
    </w:p>
    <w:p>
      <w:pPr>
        <w:pStyle w:val="25"/>
        <w:spacing w:line="440" w:lineRule="exact"/>
        <w:ind w:left="25" w:leftChars="12" w:firstLine="472" w:firstLineChars="196"/>
        <w:rPr>
          <w:rFonts w:hAnsi="宋体" w:cs="宋体"/>
          <w:b/>
          <w:sz w:val="24"/>
          <w:szCs w:val="24"/>
        </w:rPr>
      </w:pPr>
      <w:r>
        <w:rPr>
          <w:rFonts w:hint="eastAsia" w:hAnsi="宋体" w:cs="宋体"/>
          <w:b/>
          <w:sz w:val="24"/>
          <w:szCs w:val="24"/>
        </w:rPr>
        <w:t>五、与投诉事项相关的投诉请求：</w:t>
      </w:r>
    </w:p>
    <w:p>
      <w:pPr>
        <w:pStyle w:val="25"/>
        <w:spacing w:line="440" w:lineRule="exact"/>
        <w:ind w:left="25" w:leftChars="12" w:firstLine="472" w:firstLineChars="197"/>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pPr>
        <w:pStyle w:val="25"/>
        <w:spacing w:line="440" w:lineRule="exact"/>
        <w:ind w:left="25" w:leftChars="12" w:firstLine="352" w:firstLineChars="147"/>
        <w:rPr>
          <w:rFonts w:hAnsi="宋体" w:cs="宋体"/>
          <w:sz w:val="24"/>
          <w:szCs w:val="24"/>
        </w:rPr>
      </w:pPr>
    </w:p>
    <w:p>
      <w:pPr>
        <w:pStyle w:val="25"/>
        <w:spacing w:line="440" w:lineRule="exact"/>
        <w:ind w:left="25" w:leftChars="12" w:firstLine="472" w:firstLineChars="197"/>
        <w:rPr>
          <w:rFonts w:hAnsi="宋体" w:cs="宋体"/>
          <w:sz w:val="24"/>
          <w:szCs w:val="24"/>
        </w:rPr>
      </w:pPr>
      <w:r>
        <w:rPr>
          <w:rFonts w:hint="eastAsia" w:hAnsi="宋体" w:cs="宋体"/>
          <w:sz w:val="24"/>
          <w:szCs w:val="24"/>
        </w:rPr>
        <w:t>签字（签章）：                                       公章：</w:t>
      </w:r>
    </w:p>
    <w:p>
      <w:pPr>
        <w:pStyle w:val="25"/>
        <w:spacing w:line="440" w:lineRule="exact"/>
        <w:ind w:left="25" w:leftChars="12" w:firstLine="352" w:firstLineChars="147"/>
        <w:rPr>
          <w:rFonts w:hAnsi="宋体" w:cs="宋体"/>
          <w:sz w:val="24"/>
          <w:szCs w:val="24"/>
        </w:rPr>
      </w:pPr>
    </w:p>
    <w:p>
      <w:pPr>
        <w:pStyle w:val="25"/>
        <w:spacing w:line="440" w:lineRule="exact"/>
        <w:ind w:left="25" w:leftChars="12" w:firstLine="472" w:firstLineChars="197"/>
        <w:rPr>
          <w:rFonts w:hAnsi="宋体" w:cs="宋体"/>
          <w:sz w:val="24"/>
          <w:szCs w:val="24"/>
        </w:rPr>
      </w:pPr>
      <w:r>
        <w:rPr>
          <w:rFonts w:hint="eastAsia" w:hAnsi="宋体" w:cs="宋体"/>
          <w:sz w:val="24"/>
          <w:szCs w:val="24"/>
        </w:rPr>
        <w:t>日期：</w:t>
      </w:r>
    </w:p>
    <w:p>
      <w:pPr>
        <w:pStyle w:val="25"/>
        <w:spacing w:line="440" w:lineRule="exact"/>
        <w:ind w:left="25" w:leftChars="12" w:firstLine="472" w:firstLineChars="197"/>
        <w:rPr>
          <w:rFonts w:hAnsi="宋体" w:cs="宋体"/>
          <w:sz w:val="24"/>
          <w:szCs w:val="24"/>
        </w:rPr>
      </w:pPr>
      <w:r>
        <w:rPr>
          <w:rFonts w:hint="eastAsia" w:hAnsi="宋体" w:cs="宋体"/>
          <w:bCs/>
          <w:sz w:val="24"/>
          <w:szCs w:val="24"/>
        </w:rPr>
        <w:t xml:space="preserve">                                                                              </w:t>
      </w:r>
    </w:p>
    <w:p>
      <w:pPr>
        <w:pStyle w:val="25"/>
        <w:snapToGrid w:val="0"/>
        <w:spacing w:line="440" w:lineRule="exact"/>
        <w:rPr>
          <w:rFonts w:hAnsi="宋体" w:cs="宋体"/>
          <w:b/>
          <w:sz w:val="24"/>
          <w:szCs w:val="24"/>
        </w:rPr>
      </w:pPr>
      <w:r>
        <w:rPr>
          <w:rFonts w:hint="eastAsia" w:hAnsi="宋体" w:cs="宋体"/>
          <w:b/>
          <w:sz w:val="24"/>
          <w:szCs w:val="24"/>
        </w:rPr>
        <w:t>说明：</w:t>
      </w:r>
    </w:p>
    <w:p>
      <w:pPr>
        <w:pStyle w:val="25"/>
        <w:spacing w:line="440" w:lineRule="exact"/>
        <w:ind w:left="25" w:leftChars="12" w:firstLine="354" w:firstLineChars="147"/>
        <w:rPr>
          <w:rFonts w:hAnsi="宋体" w:cs="宋体"/>
          <w:b/>
          <w:bCs/>
          <w:sz w:val="24"/>
          <w:szCs w:val="24"/>
        </w:rPr>
      </w:pPr>
      <w:r>
        <w:rPr>
          <w:rFonts w:hint="eastAsia" w:hAnsi="宋体" w:cs="宋体"/>
          <w:b/>
          <w:sz w:val="24"/>
          <w:szCs w:val="24"/>
        </w:rPr>
        <w:t>1.投诉人提起投诉时，应当提交投诉书和必要的证明材料，并按照被投诉人和与投诉事项有关的供应商数量提供投诉书副本</w:t>
      </w:r>
      <w:r>
        <w:rPr>
          <w:rFonts w:hint="eastAsia" w:hAnsi="宋体" w:cs="宋体"/>
          <w:b/>
          <w:bCs/>
          <w:sz w:val="24"/>
          <w:szCs w:val="24"/>
        </w:rPr>
        <w:t>。</w:t>
      </w:r>
    </w:p>
    <w:p>
      <w:pPr>
        <w:pStyle w:val="25"/>
        <w:spacing w:line="440" w:lineRule="exact"/>
        <w:ind w:left="25" w:leftChars="12" w:firstLine="354" w:firstLineChars="147"/>
        <w:rPr>
          <w:rFonts w:hAnsi="宋体" w:cs="宋体"/>
          <w:b/>
          <w:sz w:val="24"/>
          <w:szCs w:val="24"/>
        </w:rPr>
      </w:pPr>
      <w:r>
        <w:rPr>
          <w:rFonts w:hint="eastAsia" w:hAnsi="宋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5"/>
        <w:spacing w:line="440" w:lineRule="exact"/>
        <w:ind w:left="25" w:leftChars="12" w:firstLine="354" w:firstLineChars="147"/>
        <w:rPr>
          <w:rFonts w:hAnsi="宋体" w:cs="宋体"/>
          <w:b/>
          <w:sz w:val="24"/>
          <w:szCs w:val="24"/>
        </w:rPr>
      </w:pPr>
      <w:r>
        <w:rPr>
          <w:rFonts w:hint="eastAsia" w:hAnsi="宋体" w:cs="宋体"/>
          <w:b/>
          <w:sz w:val="24"/>
          <w:szCs w:val="24"/>
        </w:rPr>
        <w:t>3.投诉书应简要列明质疑事项，质疑函、质疑答复等作为附件材料提供。</w:t>
      </w:r>
    </w:p>
    <w:p>
      <w:pPr>
        <w:pStyle w:val="25"/>
        <w:spacing w:line="440" w:lineRule="exact"/>
        <w:ind w:left="25" w:leftChars="12" w:firstLine="354" w:firstLineChars="147"/>
        <w:rPr>
          <w:rFonts w:hAnsi="宋体" w:cs="宋体"/>
          <w:b/>
          <w:sz w:val="24"/>
          <w:szCs w:val="24"/>
        </w:rPr>
      </w:pPr>
      <w:r>
        <w:rPr>
          <w:rFonts w:hint="eastAsia" w:hAnsi="宋体" w:cs="宋体"/>
          <w:b/>
          <w:sz w:val="24"/>
          <w:szCs w:val="24"/>
        </w:rPr>
        <w:t>4.投诉书的投诉事项应具体、明确，并有必要的事实依据和法律依据。</w:t>
      </w:r>
    </w:p>
    <w:p>
      <w:pPr>
        <w:pStyle w:val="25"/>
        <w:spacing w:line="440" w:lineRule="exact"/>
        <w:ind w:left="25" w:leftChars="12" w:firstLine="354" w:firstLineChars="147"/>
        <w:rPr>
          <w:rFonts w:hAnsi="宋体" w:cs="宋体"/>
          <w:b/>
          <w:sz w:val="24"/>
          <w:szCs w:val="24"/>
        </w:rPr>
      </w:pPr>
      <w:r>
        <w:rPr>
          <w:rFonts w:hint="eastAsia" w:hAnsi="宋体" w:cs="宋体"/>
          <w:b/>
          <w:sz w:val="24"/>
          <w:szCs w:val="24"/>
        </w:rPr>
        <w:t>5.投诉书的投诉请求应与投诉事项相关。</w:t>
      </w:r>
    </w:p>
    <w:p>
      <w:pPr>
        <w:pStyle w:val="25"/>
        <w:spacing w:line="440" w:lineRule="exact"/>
        <w:ind w:left="25" w:leftChars="12" w:firstLine="354" w:firstLineChars="147"/>
        <w:rPr>
          <w:rFonts w:hAnsi="宋体" w:cs="宋体"/>
          <w:b/>
        </w:rPr>
      </w:pPr>
      <w:r>
        <w:rPr>
          <w:rFonts w:hint="eastAsia" w:hAnsi="宋体" w:cs="宋体"/>
          <w:b/>
          <w:sz w:val="24"/>
          <w:szCs w:val="24"/>
        </w:rPr>
        <w:t>6.投诉人为法人或者其他组织的，投诉书应由法定代表人、主要负责人，或者其授权代表签字或者盖章，并加盖公章。</w:t>
      </w:r>
    </w:p>
    <w:sectPr>
      <w:footerReference r:id="rId11" w:type="first"/>
      <w:headerReference r:id="rId8" w:type="default"/>
      <w:footerReference r:id="rId9" w:type="default"/>
      <w:footerReference r:id="rId10"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1A361DA7-4EAD-4AAF-8E4C-7B8E90BCB069}"/>
  </w:font>
  <w:font w:name="Cambria">
    <w:panose1 w:val="02040503050406030204"/>
    <w:charset w:val="00"/>
    <w:family w:val="roman"/>
    <w:pitch w:val="default"/>
    <w:sig w:usb0="E00002FF" w:usb1="400004FF" w:usb2="00000000" w:usb3="00000000" w:csb0="2000019F" w:csb1="00000000"/>
  </w:font>
  <w:font w:name="GFNQTL+SimSun">
    <w:altName w:val="宋体"/>
    <w:panose1 w:val="00000000000000000000"/>
    <w:charset w:val="86"/>
    <w:family w:val="roma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altName w:val="Nyala"/>
    <w:panose1 w:val="02040604050505020304"/>
    <w:charset w:val="00"/>
    <w:family w:val="roman"/>
    <w:pitch w:val="default"/>
    <w:sig w:usb0="00000000" w:usb1="00000000" w:usb2="00000000" w:usb3="00000000" w:csb0="0000009F" w:csb1="00000000"/>
  </w:font>
  <w:font w:name="Arial Unicode MS">
    <w:altName w:val="宋体"/>
    <w:panose1 w:val="020B0604020202020204"/>
    <w:charset w:val="86"/>
    <w:family w:val="roman"/>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embedRegular r:id="rId2" w:fontKey="{CE5902DD-7CD8-4B12-B21F-38F1E3BEF9A0}"/>
  </w:font>
  <w:font w:name="微软雅黑">
    <w:panose1 w:val="020B0503020204020204"/>
    <w:charset w:val="86"/>
    <w:family w:val="auto"/>
    <w:pitch w:val="default"/>
    <w:sig w:usb0="80000287" w:usb1="280F3C52" w:usb2="00000016" w:usb3="00000000" w:csb0="0004001F" w:csb1="0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jc w:val="center"/>
                          </w:pPr>
                          <w:r>
                            <w:fldChar w:fldCharType="begin"/>
                          </w:r>
                          <w:r>
                            <w:instrText xml:space="preserve"> PAGE   \* MERGEFORMAT </w:instrText>
                          </w:r>
                          <w:r>
                            <w:fldChar w:fldCharType="separate"/>
                          </w:r>
                          <w:r>
                            <w:rPr>
                              <w:lang w:val="zh-CN"/>
                            </w:rPr>
                            <w:t>15</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pPr>
                      <w:pStyle w:val="31"/>
                      <w:jc w:val="center"/>
                    </w:pPr>
                    <w:r>
                      <w:fldChar w:fldCharType="begin"/>
                    </w:r>
                    <w:r>
                      <w:instrText xml:space="preserve"> PAGE   \* MERGEFORMAT </w:instrText>
                    </w:r>
                    <w:r>
                      <w:fldChar w:fldCharType="separate"/>
                    </w:r>
                    <w:r>
                      <w:rPr>
                        <w:lang w:val="zh-CN"/>
                      </w:rPr>
                      <w:t>15</w:t>
                    </w:r>
                    <w:r>
                      <w:fldChar w:fldCharType="end"/>
                    </w:r>
                  </w:p>
                </w:txbxContent>
              </v:textbox>
            </v:shape>
          </w:pict>
        </mc:Fallback>
      </mc:AlternateContent>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Pr>
    </w:pPr>
    <w:r>
      <w:fldChar w:fldCharType="begin"/>
    </w:r>
    <w:r>
      <w:rPr>
        <w:rStyle w:val="52"/>
      </w:rPr>
      <w:instrText xml:space="preserve">PAGE  </w:instrText>
    </w:r>
    <w:r>
      <w:fldChar w:fldCharType="end"/>
    </w:r>
  </w:p>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jc w:val="center"/>
                          </w:pPr>
                          <w:r>
                            <w:fldChar w:fldCharType="begin"/>
                          </w:r>
                          <w:r>
                            <w:instrText xml:space="preserve">PAGE   \* MERGEFORMAT</w:instrText>
                          </w:r>
                          <w:r>
                            <w:fldChar w:fldCharType="separate"/>
                          </w:r>
                          <w:r>
                            <w:rPr>
                              <w:lang w:val="zh-CN"/>
                            </w:rPr>
                            <w:t>1</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g0Z8IBAACN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INGfCAQAAjQMAAA4AAAAAAAAAAQAgAAAAHgEAAGRycy9lMm9Eb2MueG1sUEsF&#10;BgAAAAAGAAYAWQEAAFIFAAAAAA==&#10;">
              <v:fill on="f" focussize="0,0"/>
              <v:stroke on="f"/>
              <v:imagedata o:title=""/>
              <o:lock v:ext="edit" aspectratio="f"/>
              <v:textbox inset="0mm,0mm,0mm,0mm" style="mso-fit-shape-to-text:t;">
                <w:txbxContent>
                  <w:p>
                    <w:pPr>
                      <w:pStyle w:val="31"/>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31"/>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jc w:val="center"/>
                          </w:pPr>
                          <w:r>
                            <w:fldChar w:fldCharType="begin"/>
                          </w:r>
                          <w:r>
                            <w:instrText xml:space="preserve"> PAGE   \* MERGEFORMAT </w:instrText>
                          </w:r>
                          <w:r>
                            <w:fldChar w:fldCharType="separate"/>
                          </w:r>
                          <w:r>
                            <w:rPr>
                              <w:lang w:val="zh-CN"/>
                            </w:rPr>
                            <w:t>80</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Qsy8IBAACN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ZkLMvCAQAAjQMAAA4AAAAAAAAAAQAgAAAAHgEAAGRycy9lMm9Eb2MueG1sUEsF&#10;BgAAAAAGAAYAWQEAAFIFAAAAAA==&#10;">
              <v:fill on="f" focussize="0,0"/>
              <v:stroke on="f"/>
              <v:imagedata o:title=""/>
              <o:lock v:ext="edit" aspectratio="f"/>
              <v:textbox inset="0mm,0mm,0mm,0mm" style="mso-fit-shape-to-text:t;">
                <w:txbxContent>
                  <w:p>
                    <w:pPr>
                      <w:pStyle w:val="31"/>
                      <w:jc w:val="center"/>
                    </w:pPr>
                    <w:r>
                      <w:fldChar w:fldCharType="begin"/>
                    </w:r>
                    <w:r>
                      <w:instrText xml:space="preserve"> PAGE   \* MERGEFORMAT </w:instrText>
                    </w:r>
                    <w:r>
                      <w:fldChar w:fldCharType="separate"/>
                    </w:r>
                    <w:r>
                      <w:rPr>
                        <w:lang w:val="zh-CN"/>
                      </w:rPr>
                      <w:t>80</w:t>
                    </w:r>
                    <w:r>
                      <w:fldChar w:fldCharType="end"/>
                    </w:r>
                  </w:p>
                </w:txbxContent>
              </v:textbox>
            </v:shape>
          </w:pict>
        </mc:Fallback>
      </mc:AlternateContent>
    </w:r>
  </w:p>
  <w:p>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Pr>
    </w:pPr>
    <w:r>
      <w:fldChar w:fldCharType="begin"/>
    </w:r>
    <w:r>
      <w:rPr>
        <w:rStyle w:val="52"/>
      </w:rPr>
      <w:instrText xml:space="preserve">PAGE  </w:instrText>
    </w:r>
    <w:r>
      <w:fldChar w:fldCharType="end"/>
    </w:r>
  </w:p>
  <w:p>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95C03"/>
    <w:multiLevelType w:val="singleLevel"/>
    <w:tmpl w:val="89F95C03"/>
    <w:lvl w:ilvl="0" w:tentative="0">
      <w:start w:val="1"/>
      <w:numFmt w:val="chineseCounting"/>
      <w:suff w:val="nothing"/>
      <w:lvlText w:val="（%1）"/>
      <w:lvlJc w:val="left"/>
      <w:rPr>
        <w:rFonts w:hint="eastAsia"/>
      </w:rPr>
    </w:lvl>
  </w:abstractNum>
  <w:abstractNum w:abstractNumId="1">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3AE66EA4"/>
    <w:multiLevelType w:val="singleLevel"/>
    <w:tmpl w:val="3AE66EA4"/>
    <w:lvl w:ilvl="0" w:tentative="0">
      <w:start w:val="7"/>
      <w:numFmt w:val="decimal"/>
      <w:lvlText w:val="%1."/>
      <w:lvlJc w:val="left"/>
      <w:pPr>
        <w:tabs>
          <w:tab w:val="left" w:pos="312"/>
        </w:tabs>
      </w:pPr>
    </w:lvl>
  </w:abstractNum>
  <w:abstractNum w:abstractNumId="5">
    <w:nsid w:val="4C3D8704"/>
    <w:multiLevelType w:val="multilevel"/>
    <w:tmpl w:val="4C3D8704"/>
    <w:lvl w:ilvl="0" w:tentative="0">
      <w:start w:val="1"/>
      <w:numFmt w:val="japaneseCounting"/>
      <w:lvlText w:val="第%1条"/>
      <w:lvlJc w:val="left"/>
      <w:pPr>
        <w:tabs>
          <w:tab w:val="left" w:pos="1262"/>
        </w:tabs>
        <w:ind w:left="1262" w:hanging="840"/>
      </w:p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6">
    <w:nsid w:val="4C601917"/>
    <w:multiLevelType w:val="singleLevel"/>
    <w:tmpl w:val="4C601917"/>
    <w:lvl w:ilvl="0" w:tentative="0">
      <w:start w:val="1"/>
      <w:numFmt w:val="decimal"/>
      <w:suff w:val="nothing"/>
      <w:lvlText w:val="（%1）"/>
      <w:lvlJc w:val="left"/>
      <w:pPr>
        <w:ind w:left="-2"/>
      </w:pPr>
    </w:lvl>
  </w:abstractNum>
  <w:abstractNum w:abstractNumId="7">
    <w:nsid w:val="5FABD14B"/>
    <w:multiLevelType w:val="singleLevel"/>
    <w:tmpl w:val="5FABD14B"/>
    <w:lvl w:ilvl="0" w:tentative="0">
      <w:start w:val="1"/>
      <w:numFmt w:val="decimal"/>
      <w:suff w:val="nothing"/>
      <w:lvlText w:val="（%1）"/>
      <w:lvlJc w:val="left"/>
    </w:lvl>
  </w:abstractNum>
  <w:abstractNum w:abstractNumId="8">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2"/>
  </w:num>
  <w:num w:numId="2">
    <w:abstractNumId w:val="1"/>
  </w:num>
  <w:num w:numId="3">
    <w:abstractNumId w:val="0"/>
  </w:num>
  <w:num w:numId="4">
    <w:abstractNumId w:val="6"/>
  </w:num>
  <w:num w:numId="5">
    <w:abstractNumId w:val="7"/>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NGZjOTcxYWVlYjliZGNjMGE1NjQwMTFhMmY2ZWIifQ=="/>
  </w:docVars>
  <w:rsids>
    <w:rsidRoot w:val="00F9008B"/>
    <w:rsid w:val="0000010C"/>
    <w:rsid w:val="000004FE"/>
    <w:rsid w:val="00000FE0"/>
    <w:rsid w:val="00001068"/>
    <w:rsid w:val="0000114A"/>
    <w:rsid w:val="00001731"/>
    <w:rsid w:val="00001C2D"/>
    <w:rsid w:val="00001C55"/>
    <w:rsid w:val="00001CA8"/>
    <w:rsid w:val="00001FAE"/>
    <w:rsid w:val="0000229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20607"/>
    <w:rsid w:val="0002103A"/>
    <w:rsid w:val="000217E4"/>
    <w:rsid w:val="00021852"/>
    <w:rsid w:val="00021A12"/>
    <w:rsid w:val="000223BF"/>
    <w:rsid w:val="00022622"/>
    <w:rsid w:val="00023363"/>
    <w:rsid w:val="000235F3"/>
    <w:rsid w:val="00023644"/>
    <w:rsid w:val="00023712"/>
    <w:rsid w:val="00023807"/>
    <w:rsid w:val="00024E3C"/>
    <w:rsid w:val="00024EB0"/>
    <w:rsid w:val="00025604"/>
    <w:rsid w:val="00025DAF"/>
    <w:rsid w:val="0002646A"/>
    <w:rsid w:val="0002651D"/>
    <w:rsid w:val="00026CFD"/>
    <w:rsid w:val="00027C8B"/>
    <w:rsid w:val="00027CD9"/>
    <w:rsid w:val="00030242"/>
    <w:rsid w:val="00030B06"/>
    <w:rsid w:val="0003183A"/>
    <w:rsid w:val="00031CDC"/>
    <w:rsid w:val="00032461"/>
    <w:rsid w:val="0003263B"/>
    <w:rsid w:val="0003282C"/>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25AC"/>
    <w:rsid w:val="000427B8"/>
    <w:rsid w:val="00042F4A"/>
    <w:rsid w:val="00043AC8"/>
    <w:rsid w:val="00043BE5"/>
    <w:rsid w:val="00044003"/>
    <w:rsid w:val="00044527"/>
    <w:rsid w:val="000447E8"/>
    <w:rsid w:val="00044897"/>
    <w:rsid w:val="00044ACF"/>
    <w:rsid w:val="000454F4"/>
    <w:rsid w:val="00045D1E"/>
    <w:rsid w:val="00045E69"/>
    <w:rsid w:val="00045E97"/>
    <w:rsid w:val="00045EF4"/>
    <w:rsid w:val="00046547"/>
    <w:rsid w:val="000466D7"/>
    <w:rsid w:val="00046753"/>
    <w:rsid w:val="00047254"/>
    <w:rsid w:val="00047E41"/>
    <w:rsid w:val="0005022B"/>
    <w:rsid w:val="00050450"/>
    <w:rsid w:val="00050771"/>
    <w:rsid w:val="000509BA"/>
    <w:rsid w:val="000513F3"/>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77E81"/>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7A6"/>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45C"/>
    <w:rsid w:val="000A5B49"/>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DAF"/>
    <w:rsid w:val="000C006F"/>
    <w:rsid w:val="000C071C"/>
    <w:rsid w:val="000C0931"/>
    <w:rsid w:val="000C0BB4"/>
    <w:rsid w:val="000C0BEE"/>
    <w:rsid w:val="000C11BE"/>
    <w:rsid w:val="000C1CB9"/>
    <w:rsid w:val="000C2159"/>
    <w:rsid w:val="000C21BB"/>
    <w:rsid w:val="000C289B"/>
    <w:rsid w:val="000C2E2E"/>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A32"/>
    <w:rsid w:val="000F1CC2"/>
    <w:rsid w:val="000F1D15"/>
    <w:rsid w:val="000F270A"/>
    <w:rsid w:val="000F2FA3"/>
    <w:rsid w:val="000F34C8"/>
    <w:rsid w:val="000F38BC"/>
    <w:rsid w:val="000F3E2A"/>
    <w:rsid w:val="000F4D26"/>
    <w:rsid w:val="000F5639"/>
    <w:rsid w:val="000F58A4"/>
    <w:rsid w:val="000F5F99"/>
    <w:rsid w:val="000F6833"/>
    <w:rsid w:val="000F6A24"/>
    <w:rsid w:val="000F7502"/>
    <w:rsid w:val="000F7616"/>
    <w:rsid w:val="000F7DE9"/>
    <w:rsid w:val="000F7F7A"/>
    <w:rsid w:val="001002F4"/>
    <w:rsid w:val="0010050C"/>
    <w:rsid w:val="001006CB"/>
    <w:rsid w:val="001011FC"/>
    <w:rsid w:val="0010165F"/>
    <w:rsid w:val="00101E7C"/>
    <w:rsid w:val="001023DC"/>
    <w:rsid w:val="00102572"/>
    <w:rsid w:val="00102946"/>
    <w:rsid w:val="00102FBF"/>
    <w:rsid w:val="0010333D"/>
    <w:rsid w:val="0010372A"/>
    <w:rsid w:val="00103F41"/>
    <w:rsid w:val="00104662"/>
    <w:rsid w:val="00104F34"/>
    <w:rsid w:val="001053C5"/>
    <w:rsid w:val="001055AD"/>
    <w:rsid w:val="00105C14"/>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F09"/>
    <w:rsid w:val="0013002A"/>
    <w:rsid w:val="0013085D"/>
    <w:rsid w:val="0013089C"/>
    <w:rsid w:val="00130A2D"/>
    <w:rsid w:val="00130F54"/>
    <w:rsid w:val="00131888"/>
    <w:rsid w:val="00131F17"/>
    <w:rsid w:val="0013212F"/>
    <w:rsid w:val="00132284"/>
    <w:rsid w:val="001323F9"/>
    <w:rsid w:val="0013251F"/>
    <w:rsid w:val="00133088"/>
    <w:rsid w:val="00133346"/>
    <w:rsid w:val="001335B1"/>
    <w:rsid w:val="00133B4E"/>
    <w:rsid w:val="0013410F"/>
    <w:rsid w:val="001346AF"/>
    <w:rsid w:val="00134990"/>
    <w:rsid w:val="001354D1"/>
    <w:rsid w:val="00135840"/>
    <w:rsid w:val="00135A0A"/>
    <w:rsid w:val="00135BB9"/>
    <w:rsid w:val="0013621D"/>
    <w:rsid w:val="00136354"/>
    <w:rsid w:val="00136674"/>
    <w:rsid w:val="00136B0E"/>
    <w:rsid w:val="00136C3B"/>
    <w:rsid w:val="001376AB"/>
    <w:rsid w:val="0013777C"/>
    <w:rsid w:val="00137D5F"/>
    <w:rsid w:val="00140082"/>
    <w:rsid w:val="001400C5"/>
    <w:rsid w:val="00140175"/>
    <w:rsid w:val="00140757"/>
    <w:rsid w:val="00140D07"/>
    <w:rsid w:val="00141A3A"/>
    <w:rsid w:val="00141FD4"/>
    <w:rsid w:val="001423FA"/>
    <w:rsid w:val="001427B5"/>
    <w:rsid w:val="001428CF"/>
    <w:rsid w:val="00142D0C"/>
    <w:rsid w:val="00142E3C"/>
    <w:rsid w:val="00143387"/>
    <w:rsid w:val="001439BA"/>
    <w:rsid w:val="00144013"/>
    <w:rsid w:val="001455C3"/>
    <w:rsid w:val="00145A17"/>
    <w:rsid w:val="00145BBE"/>
    <w:rsid w:val="001460B5"/>
    <w:rsid w:val="0014641F"/>
    <w:rsid w:val="001464A8"/>
    <w:rsid w:val="001467BB"/>
    <w:rsid w:val="00146CA8"/>
    <w:rsid w:val="00147884"/>
    <w:rsid w:val="00150468"/>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592"/>
    <w:rsid w:val="0015687C"/>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94E"/>
    <w:rsid w:val="0016236C"/>
    <w:rsid w:val="00162625"/>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33A4"/>
    <w:rsid w:val="0017383D"/>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FE0"/>
    <w:rsid w:val="00183911"/>
    <w:rsid w:val="00184418"/>
    <w:rsid w:val="001845FB"/>
    <w:rsid w:val="001857FB"/>
    <w:rsid w:val="00185DA6"/>
    <w:rsid w:val="00185F64"/>
    <w:rsid w:val="00186096"/>
    <w:rsid w:val="001862FE"/>
    <w:rsid w:val="001864AC"/>
    <w:rsid w:val="00187317"/>
    <w:rsid w:val="0018772E"/>
    <w:rsid w:val="00187A94"/>
    <w:rsid w:val="0019029E"/>
    <w:rsid w:val="00190804"/>
    <w:rsid w:val="0019088F"/>
    <w:rsid w:val="00190C51"/>
    <w:rsid w:val="00192F00"/>
    <w:rsid w:val="00193ACC"/>
    <w:rsid w:val="00193BFE"/>
    <w:rsid w:val="00195322"/>
    <w:rsid w:val="0019560E"/>
    <w:rsid w:val="001958E3"/>
    <w:rsid w:val="00195FFA"/>
    <w:rsid w:val="0019601B"/>
    <w:rsid w:val="00196048"/>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2A3"/>
    <w:rsid w:val="001A46FB"/>
    <w:rsid w:val="001A4EC9"/>
    <w:rsid w:val="001A5944"/>
    <w:rsid w:val="001A5FB1"/>
    <w:rsid w:val="001A618F"/>
    <w:rsid w:val="001A698A"/>
    <w:rsid w:val="001A6CCC"/>
    <w:rsid w:val="001A6E3B"/>
    <w:rsid w:val="001A70C8"/>
    <w:rsid w:val="001A71C9"/>
    <w:rsid w:val="001A7429"/>
    <w:rsid w:val="001A760C"/>
    <w:rsid w:val="001A76F0"/>
    <w:rsid w:val="001A7977"/>
    <w:rsid w:val="001A799B"/>
    <w:rsid w:val="001A7AC7"/>
    <w:rsid w:val="001A7C38"/>
    <w:rsid w:val="001B02F8"/>
    <w:rsid w:val="001B2104"/>
    <w:rsid w:val="001B2279"/>
    <w:rsid w:val="001B2729"/>
    <w:rsid w:val="001B2866"/>
    <w:rsid w:val="001B2881"/>
    <w:rsid w:val="001B2B73"/>
    <w:rsid w:val="001B3675"/>
    <w:rsid w:val="001B37C8"/>
    <w:rsid w:val="001B48BA"/>
    <w:rsid w:val="001B4B2C"/>
    <w:rsid w:val="001B4E60"/>
    <w:rsid w:val="001B4F10"/>
    <w:rsid w:val="001B5154"/>
    <w:rsid w:val="001B5AFF"/>
    <w:rsid w:val="001B6E30"/>
    <w:rsid w:val="001B7C8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190"/>
    <w:rsid w:val="001D039B"/>
    <w:rsid w:val="001D0849"/>
    <w:rsid w:val="001D1258"/>
    <w:rsid w:val="001D1AB8"/>
    <w:rsid w:val="001D26F5"/>
    <w:rsid w:val="001D286F"/>
    <w:rsid w:val="001D2B58"/>
    <w:rsid w:val="001D2C94"/>
    <w:rsid w:val="001D33D9"/>
    <w:rsid w:val="001D36F6"/>
    <w:rsid w:val="001D4303"/>
    <w:rsid w:val="001D45E5"/>
    <w:rsid w:val="001D461A"/>
    <w:rsid w:val="001D4A9D"/>
    <w:rsid w:val="001D4AAD"/>
    <w:rsid w:val="001D4E16"/>
    <w:rsid w:val="001D5AFA"/>
    <w:rsid w:val="001D652D"/>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700A"/>
    <w:rsid w:val="001E70AD"/>
    <w:rsid w:val="001E7237"/>
    <w:rsid w:val="001E7AF6"/>
    <w:rsid w:val="001F01B8"/>
    <w:rsid w:val="001F0FC3"/>
    <w:rsid w:val="001F1188"/>
    <w:rsid w:val="001F1B8D"/>
    <w:rsid w:val="001F1C50"/>
    <w:rsid w:val="001F274F"/>
    <w:rsid w:val="001F289C"/>
    <w:rsid w:val="001F2BF9"/>
    <w:rsid w:val="001F3AF2"/>
    <w:rsid w:val="001F6008"/>
    <w:rsid w:val="001F604B"/>
    <w:rsid w:val="001F641B"/>
    <w:rsid w:val="001F6D4D"/>
    <w:rsid w:val="0020125C"/>
    <w:rsid w:val="0020130D"/>
    <w:rsid w:val="00201916"/>
    <w:rsid w:val="00201B15"/>
    <w:rsid w:val="00201D06"/>
    <w:rsid w:val="00201E9F"/>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65F"/>
    <w:rsid w:val="00213232"/>
    <w:rsid w:val="00213817"/>
    <w:rsid w:val="00214428"/>
    <w:rsid w:val="002145EB"/>
    <w:rsid w:val="00214F82"/>
    <w:rsid w:val="00214FE7"/>
    <w:rsid w:val="00215033"/>
    <w:rsid w:val="00215834"/>
    <w:rsid w:val="00215CC2"/>
    <w:rsid w:val="00215D95"/>
    <w:rsid w:val="00215ED8"/>
    <w:rsid w:val="00215FAF"/>
    <w:rsid w:val="002167FD"/>
    <w:rsid w:val="00217700"/>
    <w:rsid w:val="002177E2"/>
    <w:rsid w:val="0021783B"/>
    <w:rsid w:val="00217B43"/>
    <w:rsid w:val="002205F3"/>
    <w:rsid w:val="0022085B"/>
    <w:rsid w:val="00220E53"/>
    <w:rsid w:val="0022176C"/>
    <w:rsid w:val="002225D1"/>
    <w:rsid w:val="002230FA"/>
    <w:rsid w:val="002232B9"/>
    <w:rsid w:val="002234C8"/>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08A"/>
    <w:rsid w:val="00231D05"/>
    <w:rsid w:val="0023241A"/>
    <w:rsid w:val="002336E2"/>
    <w:rsid w:val="00233AC2"/>
    <w:rsid w:val="00233BAF"/>
    <w:rsid w:val="00233F80"/>
    <w:rsid w:val="0023423A"/>
    <w:rsid w:val="00235420"/>
    <w:rsid w:val="00235700"/>
    <w:rsid w:val="0023788D"/>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365"/>
    <w:rsid w:val="0024459A"/>
    <w:rsid w:val="002446A3"/>
    <w:rsid w:val="00244771"/>
    <w:rsid w:val="00244903"/>
    <w:rsid w:val="00244AFB"/>
    <w:rsid w:val="002453DF"/>
    <w:rsid w:val="00245A81"/>
    <w:rsid w:val="002462A5"/>
    <w:rsid w:val="0024692C"/>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57FB"/>
    <w:rsid w:val="00265D10"/>
    <w:rsid w:val="00265E2E"/>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36"/>
    <w:rsid w:val="00272E48"/>
    <w:rsid w:val="00272FBF"/>
    <w:rsid w:val="00273A10"/>
    <w:rsid w:val="00273A58"/>
    <w:rsid w:val="00274C6E"/>
    <w:rsid w:val="00274CAB"/>
    <w:rsid w:val="00274E8A"/>
    <w:rsid w:val="002755A8"/>
    <w:rsid w:val="00275FCE"/>
    <w:rsid w:val="002766B8"/>
    <w:rsid w:val="0027680F"/>
    <w:rsid w:val="002777C0"/>
    <w:rsid w:val="0028076D"/>
    <w:rsid w:val="00281006"/>
    <w:rsid w:val="002815B1"/>
    <w:rsid w:val="00281893"/>
    <w:rsid w:val="00281C1F"/>
    <w:rsid w:val="00281EEA"/>
    <w:rsid w:val="00281F88"/>
    <w:rsid w:val="0028240D"/>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63CE"/>
    <w:rsid w:val="00287E20"/>
    <w:rsid w:val="0029110F"/>
    <w:rsid w:val="00291492"/>
    <w:rsid w:val="00291527"/>
    <w:rsid w:val="002916B4"/>
    <w:rsid w:val="0029199A"/>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1617"/>
    <w:rsid w:val="002B1A90"/>
    <w:rsid w:val="002B1D11"/>
    <w:rsid w:val="002B273B"/>
    <w:rsid w:val="002B29AA"/>
    <w:rsid w:val="002B2A7E"/>
    <w:rsid w:val="002B2F1B"/>
    <w:rsid w:val="002B3332"/>
    <w:rsid w:val="002B34C7"/>
    <w:rsid w:val="002B3F25"/>
    <w:rsid w:val="002B5AFB"/>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51DF"/>
    <w:rsid w:val="002E57B9"/>
    <w:rsid w:val="002E6127"/>
    <w:rsid w:val="002E6885"/>
    <w:rsid w:val="002E72E4"/>
    <w:rsid w:val="002E739D"/>
    <w:rsid w:val="002F0F36"/>
    <w:rsid w:val="002F1276"/>
    <w:rsid w:val="002F1986"/>
    <w:rsid w:val="002F1E5F"/>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D6A"/>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4CF8"/>
    <w:rsid w:val="0031535B"/>
    <w:rsid w:val="003154DD"/>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EED"/>
    <w:rsid w:val="003334A7"/>
    <w:rsid w:val="003337E8"/>
    <w:rsid w:val="00333A14"/>
    <w:rsid w:val="00333B2A"/>
    <w:rsid w:val="00333FD5"/>
    <w:rsid w:val="00334649"/>
    <w:rsid w:val="003350E9"/>
    <w:rsid w:val="003351BA"/>
    <w:rsid w:val="0033520F"/>
    <w:rsid w:val="0033596B"/>
    <w:rsid w:val="00335A93"/>
    <w:rsid w:val="00335A9B"/>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36B"/>
    <w:rsid w:val="003564CC"/>
    <w:rsid w:val="00357424"/>
    <w:rsid w:val="00357BE9"/>
    <w:rsid w:val="003601A2"/>
    <w:rsid w:val="00361789"/>
    <w:rsid w:val="0036196D"/>
    <w:rsid w:val="00361A59"/>
    <w:rsid w:val="00362136"/>
    <w:rsid w:val="003627BD"/>
    <w:rsid w:val="00362997"/>
    <w:rsid w:val="00362C59"/>
    <w:rsid w:val="00363040"/>
    <w:rsid w:val="003630B7"/>
    <w:rsid w:val="00363786"/>
    <w:rsid w:val="003638A4"/>
    <w:rsid w:val="003639BF"/>
    <w:rsid w:val="00363E41"/>
    <w:rsid w:val="00363FD2"/>
    <w:rsid w:val="00364653"/>
    <w:rsid w:val="0036572E"/>
    <w:rsid w:val="00366168"/>
    <w:rsid w:val="003663D9"/>
    <w:rsid w:val="003666BF"/>
    <w:rsid w:val="00366707"/>
    <w:rsid w:val="00366FA9"/>
    <w:rsid w:val="00367B19"/>
    <w:rsid w:val="00367E49"/>
    <w:rsid w:val="003700E6"/>
    <w:rsid w:val="0037017C"/>
    <w:rsid w:val="00370490"/>
    <w:rsid w:val="00371C86"/>
    <w:rsid w:val="0037236C"/>
    <w:rsid w:val="003729DE"/>
    <w:rsid w:val="00372EA2"/>
    <w:rsid w:val="003735D3"/>
    <w:rsid w:val="0037386D"/>
    <w:rsid w:val="00373956"/>
    <w:rsid w:val="00374153"/>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44BF"/>
    <w:rsid w:val="003854D5"/>
    <w:rsid w:val="0038552A"/>
    <w:rsid w:val="003859EA"/>
    <w:rsid w:val="0038709E"/>
    <w:rsid w:val="00387D30"/>
    <w:rsid w:val="00391753"/>
    <w:rsid w:val="00391C7F"/>
    <w:rsid w:val="00392454"/>
    <w:rsid w:val="00392C85"/>
    <w:rsid w:val="00392FD8"/>
    <w:rsid w:val="00393E11"/>
    <w:rsid w:val="00394475"/>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207E"/>
    <w:rsid w:val="003B230B"/>
    <w:rsid w:val="003B23BC"/>
    <w:rsid w:val="003B28BA"/>
    <w:rsid w:val="003B28F6"/>
    <w:rsid w:val="003B2DB5"/>
    <w:rsid w:val="003B2F05"/>
    <w:rsid w:val="003B3966"/>
    <w:rsid w:val="003B39B7"/>
    <w:rsid w:val="003B4754"/>
    <w:rsid w:val="003B4EB0"/>
    <w:rsid w:val="003B5094"/>
    <w:rsid w:val="003B5F6A"/>
    <w:rsid w:val="003B6B7F"/>
    <w:rsid w:val="003B7820"/>
    <w:rsid w:val="003C01A4"/>
    <w:rsid w:val="003C0219"/>
    <w:rsid w:val="003C0941"/>
    <w:rsid w:val="003C0C12"/>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80"/>
    <w:rsid w:val="003E28FB"/>
    <w:rsid w:val="003E2A00"/>
    <w:rsid w:val="003E382C"/>
    <w:rsid w:val="003E3D00"/>
    <w:rsid w:val="003E4487"/>
    <w:rsid w:val="003E4531"/>
    <w:rsid w:val="003E4771"/>
    <w:rsid w:val="003E52E3"/>
    <w:rsid w:val="003E541C"/>
    <w:rsid w:val="003E54A8"/>
    <w:rsid w:val="003E5833"/>
    <w:rsid w:val="003E5DA8"/>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3AD"/>
    <w:rsid w:val="00401E20"/>
    <w:rsid w:val="004021C0"/>
    <w:rsid w:val="004024F9"/>
    <w:rsid w:val="004028CE"/>
    <w:rsid w:val="0040313D"/>
    <w:rsid w:val="004043FA"/>
    <w:rsid w:val="00404970"/>
    <w:rsid w:val="00405181"/>
    <w:rsid w:val="0040567F"/>
    <w:rsid w:val="00405727"/>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773"/>
    <w:rsid w:val="00415CAE"/>
    <w:rsid w:val="00415EE7"/>
    <w:rsid w:val="00415FD6"/>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C3E"/>
    <w:rsid w:val="00426CF3"/>
    <w:rsid w:val="004275CD"/>
    <w:rsid w:val="00427E74"/>
    <w:rsid w:val="00427FEB"/>
    <w:rsid w:val="00427FF2"/>
    <w:rsid w:val="004305C0"/>
    <w:rsid w:val="00430B20"/>
    <w:rsid w:val="00430B6C"/>
    <w:rsid w:val="0043227C"/>
    <w:rsid w:val="00432291"/>
    <w:rsid w:val="004330B1"/>
    <w:rsid w:val="004335C0"/>
    <w:rsid w:val="00433B34"/>
    <w:rsid w:val="00435121"/>
    <w:rsid w:val="00435715"/>
    <w:rsid w:val="0043571B"/>
    <w:rsid w:val="00435EE0"/>
    <w:rsid w:val="00435F29"/>
    <w:rsid w:val="0043610C"/>
    <w:rsid w:val="004366FF"/>
    <w:rsid w:val="00437D83"/>
    <w:rsid w:val="004401DD"/>
    <w:rsid w:val="00440344"/>
    <w:rsid w:val="00441264"/>
    <w:rsid w:val="00441B0F"/>
    <w:rsid w:val="00441F06"/>
    <w:rsid w:val="004425C6"/>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4660"/>
    <w:rsid w:val="004546A7"/>
    <w:rsid w:val="00454831"/>
    <w:rsid w:val="004548DF"/>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50B"/>
    <w:rsid w:val="00465602"/>
    <w:rsid w:val="004656A4"/>
    <w:rsid w:val="00466A4A"/>
    <w:rsid w:val="00466AFD"/>
    <w:rsid w:val="00470696"/>
    <w:rsid w:val="004713A5"/>
    <w:rsid w:val="0047162F"/>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D3A"/>
    <w:rsid w:val="00490954"/>
    <w:rsid w:val="0049102F"/>
    <w:rsid w:val="0049277A"/>
    <w:rsid w:val="00492B38"/>
    <w:rsid w:val="00492FE4"/>
    <w:rsid w:val="00493035"/>
    <w:rsid w:val="0049330F"/>
    <w:rsid w:val="00493321"/>
    <w:rsid w:val="004936DE"/>
    <w:rsid w:val="004949B0"/>
    <w:rsid w:val="00494A50"/>
    <w:rsid w:val="0049544E"/>
    <w:rsid w:val="00495670"/>
    <w:rsid w:val="0049567B"/>
    <w:rsid w:val="0049604B"/>
    <w:rsid w:val="00496107"/>
    <w:rsid w:val="00496666"/>
    <w:rsid w:val="00496AC9"/>
    <w:rsid w:val="004A040E"/>
    <w:rsid w:val="004A042D"/>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5D5"/>
    <w:rsid w:val="004D3A57"/>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2D3"/>
    <w:rsid w:val="004F1715"/>
    <w:rsid w:val="004F17DA"/>
    <w:rsid w:val="004F1A3C"/>
    <w:rsid w:val="004F355B"/>
    <w:rsid w:val="004F3BD2"/>
    <w:rsid w:val="004F4372"/>
    <w:rsid w:val="004F43E0"/>
    <w:rsid w:val="004F45EB"/>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DCD"/>
    <w:rsid w:val="00507325"/>
    <w:rsid w:val="00507583"/>
    <w:rsid w:val="00507C56"/>
    <w:rsid w:val="00507F13"/>
    <w:rsid w:val="005109D4"/>
    <w:rsid w:val="00510CF4"/>
    <w:rsid w:val="0051160A"/>
    <w:rsid w:val="005118BA"/>
    <w:rsid w:val="00511C56"/>
    <w:rsid w:val="00512385"/>
    <w:rsid w:val="00512A4D"/>
    <w:rsid w:val="00512D87"/>
    <w:rsid w:val="005130DA"/>
    <w:rsid w:val="0051341C"/>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575D"/>
    <w:rsid w:val="005259FC"/>
    <w:rsid w:val="00525A53"/>
    <w:rsid w:val="005260F1"/>
    <w:rsid w:val="00526569"/>
    <w:rsid w:val="00526726"/>
    <w:rsid w:val="005268ED"/>
    <w:rsid w:val="00526F91"/>
    <w:rsid w:val="00527256"/>
    <w:rsid w:val="00527934"/>
    <w:rsid w:val="00527B57"/>
    <w:rsid w:val="00527C8D"/>
    <w:rsid w:val="00527C9C"/>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1DE"/>
    <w:rsid w:val="00536356"/>
    <w:rsid w:val="00536CBB"/>
    <w:rsid w:val="00536DDD"/>
    <w:rsid w:val="00537033"/>
    <w:rsid w:val="00540A37"/>
    <w:rsid w:val="00540B49"/>
    <w:rsid w:val="005418DB"/>
    <w:rsid w:val="0054230B"/>
    <w:rsid w:val="005434EA"/>
    <w:rsid w:val="00544ABA"/>
    <w:rsid w:val="00545B24"/>
    <w:rsid w:val="00545D55"/>
    <w:rsid w:val="005461AB"/>
    <w:rsid w:val="00546C6A"/>
    <w:rsid w:val="00546FBA"/>
    <w:rsid w:val="00547F04"/>
    <w:rsid w:val="00550924"/>
    <w:rsid w:val="00550D63"/>
    <w:rsid w:val="00550EF1"/>
    <w:rsid w:val="00551075"/>
    <w:rsid w:val="005513C8"/>
    <w:rsid w:val="0055236E"/>
    <w:rsid w:val="0055352C"/>
    <w:rsid w:val="005538A6"/>
    <w:rsid w:val="00554F94"/>
    <w:rsid w:val="00555161"/>
    <w:rsid w:val="00555A59"/>
    <w:rsid w:val="00555DE6"/>
    <w:rsid w:val="00555EB3"/>
    <w:rsid w:val="005567F6"/>
    <w:rsid w:val="00556E29"/>
    <w:rsid w:val="00557474"/>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F82"/>
    <w:rsid w:val="00564FF6"/>
    <w:rsid w:val="005653AF"/>
    <w:rsid w:val="00565501"/>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3C9C"/>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70"/>
    <w:rsid w:val="005A1295"/>
    <w:rsid w:val="005A1FBF"/>
    <w:rsid w:val="005A1FD5"/>
    <w:rsid w:val="005A29B1"/>
    <w:rsid w:val="005A2EBF"/>
    <w:rsid w:val="005A3750"/>
    <w:rsid w:val="005A380B"/>
    <w:rsid w:val="005A4890"/>
    <w:rsid w:val="005A49D4"/>
    <w:rsid w:val="005A4D7C"/>
    <w:rsid w:val="005A51C9"/>
    <w:rsid w:val="005A5A96"/>
    <w:rsid w:val="005A5D7F"/>
    <w:rsid w:val="005A5DC0"/>
    <w:rsid w:val="005A65C3"/>
    <w:rsid w:val="005A6B6D"/>
    <w:rsid w:val="005A6ED5"/>
    <w:rsid w:val="005A6F0E"/>
    <w:rsid w:val="005A6F57"/>
    <w:rsid w:val="005A7235"/>
    <w:rsid w:val="005A795B"/>
    <w:rsid w:val="005A7BAF"/>
    <w:rsid w:val="005B01EB"/>
    <w:rsid w:val="005B05FA"/>
    <w:rsid w:val="005B0652"/>
    <w:rsid w:val="005B1213"/>
    <w:rsid w:val="005B1B55"/>
    <w:rsid w:val="005B1DBD"/>
    <w:rsid w:val="005B1FBF"/>
    <w:rsid w:val="005B26B0"/>
    <w:rsid w:val="005B3EBD"/>
    <w:rsid w:val="005B3F0C"/>
    <w:rsid w:val="005B48E8"/>
    <w:rsid w:val="005B564F"/>
    <w:rsid w:val="005B56D9"/>
    <w:rsid w:val="005B5BA3"/>
    <w:rsid w:val="005B5E62"/>
    <w:rsid w:val="005B6DBE"/>
    <w:rsid w:val="005B7E97"/>
    <w:rsid w:val="005B7F46"/>
    <w:rsid w:val="005C059E"/>
    <w:rsid w:val="005C07D2"/>
    <w:rsid w:val="005C09A7"/>
    <w:rsid w:val="005C0EA8"/>
    <w:rsid w:val="005C102D"/>
    <w:rsid w:val="005C132C"/>
    <w:rsid w:val="005C17FB"/>
    <w:rsid w:val="005C1833"/>
    <w:rsid w:val="005C1838"/>
    <w:rsid w:val="005C18C2"/>
    <w:rsid w:val="005C19F8"/>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C7C59"/>
    <w:rsid w:val="005D029E"/>
    <w:rsid w:val="005D0427"/>
    <w:rsid w:val="005D0776"/>
    <w:rsid w:val="005D07AE"/>
    <w:rsid w:val="005D08FD"/>
    <w:rsid w:val="005D0C83"/>
    <w:rsid w:val="005D113B"/>
    <w:rsid w:val="005D1732"/>
    <w:rsid w:val="005D1A1D"/>
    <w:rsid w:val="005D2D9A"/>
    <w:rsid w:val="005D3A6E"/>
    <w:rsid w:val="005D3B21"/>
    <w:rsid w:val="005D4019"/>
    <w:rsid w:val="005D41DC"/>
    <w:rsid w:val="005D460F"/>
    <w:rsid w:val="005D4DC5"/>
    <w:rsid w:val="005D5442"/>
    <w:rsid w:val="005D5C22"/>
    <w:rsid w:val="005D5E6C"/>
    <w:rsid w:val="005D63A9"/>
    <w:rsid w:val="005D65AF"/>
    <w:rsid w:val="005D65D5"/>
    <w:rsid w:val="005D6C56"/>
    <w:rsid w:val="005D6CED"/>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A62"/>
    <w:rsid w:val="005F0FA8"/>
    <w:rsid w:val="005F17D2"/>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0B37"/>
    <w:rsid w:val="00602DFA"/>
    <w:rsid w:val="006031D1"/>
    <w:rsid w:val="006033BF"/>
    <w:rsid w:val="00603702"/>
    <w:rsid w:val="00603B4B"/>
    <w:rsid w:val="00603F20"/>
    <w:rsid w:val="006046A9"/>
    <w:rsid w:val="0060471B"/>
    <w:rsid w:val="00604F37"/>
    <w:rsid w:val="0060508A"/>
    <w:rsid w:val="006055AF"/>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2EA"/>
    <w:rsid w:val="00613481"/>
    <w:rsid w:val="00613CA5"/>
    <w:rsid w:val="0061401C"/>
    <w:rsid w:val="0061420B"/>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6F3"/>
    <w:rsid w:val="006207F4"/>
    <w:rsid w:val="00620C67"/>
    <w:rsid w:val="00621646"/>
    <w:rsid w:val="00621803"/>
    <w:rsid w:val="00621A34"/>
    <w:rsid w:val="006220F1"/>
    <w:rsid w:val="00623E46"/>
    <w:rsid w:val="00624604"/>
    <w:rsid w:val="00624D2C"/>
    <w:rsid w:val="00624F7F"/>
    <w:rsid w:val="00625142"/>
    <w:rsid w:val="00625145"/>
    <w:rsid w:val="00626768"/>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6F62"/>
    <w:rsid w:val="006370E1"/>
    <w:rsid w:val="00637382"/>
    <w:rsid w:val="006375B2"/>
    <w:rsid w:val="006375BB"/>
    <w:rsid w:val="006409EE"/>
    <w:rsid w:val="00640BF7"/>
    <w:rsid w:val="00640FFF"/>
    <w:rsid w:val="00641761"/>
    <w:rsid w:val="006419AF"/>
    <w:rsid w:val="006425FC"/>
    <w:rsid w:val="00642631"/>
    <w:rsid w:val="00642DF5"/>
    <w:rsid w:val="0064304A"/>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E90"/>
    <w:rsid w:val="00647FA3"/>
    <w:rsid w:val="006500F7"/>
    <w:rsid w:val="00650769"/>
    <w:rsid w:val="0065106D"/>
    <w:rsid w:val="006516B7"/>
    <w:rsid w:val="006518E4"/>
    <w:rsid w:val="006519F4"/>
    <w:rsid w:val="00651FB8"/>
    <w:rsid w:val="0065203F"/>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2FE"/>
    <w:rsid w:val="00671F3E"/>
    <w:rsid w:val="00672482"/>
    <w:rsid w:val="00672A18"/>
    <w:rsid w:val="006735D0"/>
    <w:rsid w:val="006739E9"/>
    <w:rsid w:val="00674D52"/>
    <w:rsid w:val="00674F93"/>
    <w:rsid w:val="0067546F"/>
    <w:rsid w:val="00676287"/>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79B"/>
    <w:rsid w:val="00683D98"/>
    <w:rsid w:val="00683D99"/>
    <w:rsid w:val="00684079"/>
    <w:rsid w:val="00684556"/>
    <w:rsid w:val="006848E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5F1"/>
    <w:rsid w:val="00694B8D"/>
    <w:rsid w:val="0069532F"/>
    <w:rsid w:val="0069561C"/>
    <w:rsid w:val="00695634"/>
    <w:rsid w:val="0069600D"/>
    <w:rsid w:val="006963AE"/>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8D2"/>
    <w:rsid w:val="006B5AB2"/>
    <w:rsid w:val="006B5C67"/>
    <w:rsid w:val="006B6B5D"/>
    <w:rsid w:val="006B6BF6"/>
    <w:rsid w:val="006B6C0D"/>
    <w:rsid w:val="006B7657"/>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062"/>
    <w:rsid w:val="006C53EB"/>
    <w:rsid w:val="006C5434"/>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663E"/>
    <w:rsid w:val="006E6EDF"/>
    <w:rsid w:val="006E7BA5"/>
    <w:rsid w:val="006F01E8"/>
    <w:rsid w:val="006F02D7"/>
    <w:rsid w:val="006F03EC"/>
    <w:rsid w:val="006F059F"/>
    <w:rsid w:val="006F0EBB"/>
    <w:rsid w:val="006F1E96"/>
    <w:rsid w:val="006F2D24"/>
    <w:rsid w:val="006F352A"/>
    <w:rsid w:val="006F37F7"/>
    <w:rsid w:val="006F3909"/>
    <w:rsid w:val="006F3D9D"/>
    <w:rsid w:val="006F4036"/>
    <w:rsid w:val="006F428E"/>
    <w:rsid w:val="006F48E1"/>
    <w:rsid w:val="006F4FA0"/>
    <w:rsid w:val="006F5096"/>
    <w:rsid w:val="006F5160"/>
    <w:rsid w:val="006F5374"/>
    <w:rsid w:val="006F57D7"/>
    <w:rsid w:val="006F5C15"/>
    <w:rsid w:val="006F60DF"/>
    <w:rsid w:val="006F64DE"/>
    <w:rsid w:val="006F6766"/>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7E0F"/>
    <w:rsid w:val="0071068A"/>
    <w:rsid w:val="00710E19"/>
    <w:rsid w:val="00710E52"/>
    <w:rsid w:val="0071154B"/>
    <w:rsid w:val="0071174F"/>
    <w:rsid w:val="0071196A"/>
    <w:rsid w:val="00711B11"/>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B00"/>
    <w:rsid w:val="0072680C"/>
    <w:rsid w:val="00726B3D"/>
    <w:rsid w:val="00726C64"/>
    <w:rsid w:val="007310B7"/>
    <w:rsid w:val="00731237"/>
    <w:rsid w:val="00731A22"/>
    <w:rsid w:val="0073207E"/>
    <w:rsid w:val="00732523"/>
    <w:rsid w:val="0073254B"/>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1452"/>
    <w:rsid w:val="007521A5"/>
    <w:rsid w:val="00752E99"/>
    <w:rsid w:val="00753959"/>
    <w:rsid w:val="00753DD6"/>
    <w:rsid w:val="00754A4A"/>
    <w:rsid w:val="00755F9F"/>
    <w:rsid w:val="007566FB"/>
    <w:rsid w:val="007567A8"/>
    <w:rsid w:val="00756D6A"/>
    <w:rsid w:val="00757EE2"/>
    <w:rsid w:val="0076043F"/>
    <w:rsid w:val="00760F66"/>
    <w:rsid w:val="007611F8"/>
    <w:rsid w:val="00761200"/>
    <w:rsid w:val="00761931"/>
    <w:rsid w:val="00761BD1"/>
    <w:rsid w:val="007627BA"/>
    <w:rsid w:val="0076291E"/>
    <w:rsid w:val="00762C76"/>
    <w:rsid w:val="00762D81"/>
    <w:rsid w:val="0076317B"/>
    <w:rsid w:val="007643D5"/>
    <w:rsid w:val="00765366"/>
    <w:rsid w:val="00765914"/>
    <w:rsid w:val="00765AC2"/>
    <w:rsid w:val="0076614D"/>
    <w:rsid w:val="0076624C"/>
    <w:rsid w:val="0076627D"/>
    <w:rsid w:val="00766304"/>
    <w:rsid w:val="00767A28"/>
    <w:rsid w:val="00767DD2"/>
    <w:rsid w:val="00770264"/>
    <w:rsid w:val="0077082B"/>
    <w:rsid w:val="00770E60"/>
    <w:rsid w:val="00771324"/>
    <w:rsid w:val="00771C8F"/>
    <w:rsid w:val="0077266E"/>
    <w:rsid w:val="0077292E"/>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4AE"/>
    <w:rsid w:val="00777E7E"/>
    <w:rsid w:val="00777EFA"/>
    <w:rsid w:val="007804DD"/>
    <w:rsid w:val="00780EC1"/>
    <w:rsid w:val="00780F3B"/>
    <w:rsid w:val="0078115B"/>
    <w:rsid w:val="007816EE"/>
    <w:rsid w:val="00781742"/>
    <w:rsid w:val="00782071"/>
    <w:rsid w:val="00782783"/>
    <w:rsid w:val="00782946"/>
    <w:rsid w:val="00782ECD"/>
    <w:rsid w:val="00782F44"/>
    <w:rsid w:val="0078363B"/>
    <w:rsid w:val="00783CCF"/>
    <w:rsid w:val="00783F5B"/>
    <w:rsid w:val="00784609"/>
    <w:rsid w:val="00784720"/>
    <w:rsid w:val="0078481D"/>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B19"/>
    <w:rsid w:val="00794FFA"/>
    <w:rsid w:val="00795B8D"/>
    <w:rsid w:val="00795E34"/>
    <w:rsid w:val="00795F0E"/>
    <w:rsid w:val="00796495"/>
    <w:rsid w:val="00796BEC"/>
    <w:rsid w:val="00797063"/>
    <w:rsid w:val="00797D8F"/>
    <w:rsid w:val="007A0C00"/>
    <w:rsid w:val="007A0E15"/>
    <w:rsid w:val="007A176E"/>
    <w:rsid w:val="007A19BF"/>
    <w:rsid w:val="007A2A69"/>
    <w:rsid w:val="007A2CF1"/>
    <w:rsid w:val="007A384E"/>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300"/>
    <w:rsid w:val="007B565C"/>
    <w:rsid w:val="007B595F"/>
    <w:rsid w:val="007B5B7E"/>
    <w:rsid w:val="007B5D75"/>
    <w:rsid w:val="007B6D5E"/>
    <w:rsid w:val="007B7115"/>
    <w:rsid w:val="007B736B"/>
    <w:rsid w:val="007C012E"/>
    <w:rsid w:val="007C055A"/>
    <w:rsid w:val="007C0853"/>
    <w:rsid w:val="007C0C90"/>
    <w:rsid w:val="007C0E07"/>
    <w:rsid w:val="007C0E86"/>
    <w:rsid w:val="007C13F8"/>
    <w:rsid w:val="007C192C"/>
    <w:rsid w:val="007C249E"/>
    <w:rsid w:val="007C26CF"/>
    <w:rsid w:val="007C271B"/>
    <w:rsid w:val="007C2C14"/>
    <w:rsid w:val="007C3A55"/>
    <w:rsid w:val="007C404B"/>
    <w:rsid w:val="007C4166"/>
    <w:rsid w:val="007C44E1"/>
    <w:rsid w:val="007C48DD"/>
    <w:rsid w:val="007C4A05"/>
    <w:rsid w:val="007C5711"/>
    <w:rsid w:val="007C57B9"/>
    <w:rsid w:val="007C6325"/>
    <w:rsid w:val="007C73A3"/>
    <w:rsid w:val="007C7975"/>
    <w:rsid w:val="007C7EF5"/>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71B7"/>
    <w:rsid w:val="007D7C66"/>
    <w:rsid w:val="007D7CF3"/>
    <w:rsid w:val="007E0274"/>
    <w:rsid w:val="007E02A7"/>
    <w:rsid w:val="007E0415"/>
    <w:rsid w:val="007E0991"/>
    <w:rsid w:val="007E0AFE"/>
    <w:rsid w:val="007E0B2C"/>
    <w:rsid w:val="007E0BD1"/>
    <w:rsid w:val="007E107F"/>
    <w:rsid w:val="007E2FD7"/>
    <w:rsid w:val="007E310B"/>
    <w:rsid w:val="007E38DA"/>
    <w:rsid w:val="007E3D65"/>
    <w:rsid w:val="007E3EE2"/>
    <w:rsid w:val="007E47E7"/>
    <w:rsid w:val="007E4A68"/>
    <w:rsid w:val="007E4A98"/>
    <w:rsid w:val="007E4EB6"/>
    <w:rsid w:val="007E5DD7"/>
    <w:rsid w:val="007E6FB9"/>
    <w:rsid w:val="007E7139"/>
    <w:rsid w:val="007E7366"/>
    <w:rsid w:val="007E7EA1"/>
    <w:rsid w:val="007E7EA4"/>
    <w:rsid w:val="007F03CE"/>
    <w:rsid w:val="007F04D3"/>
    <w:rsid w:val="007F137D"/>
    <w:rsid w:val="007F17B5"/>
    <w:rsid w:val="007F245F"/>
    <w:rsid w:val="007F2D8D"/>
    <w:rsid w:val="007F2EBF"/>
    <w:rsid w:val="007F3044"/>
    <w:rsid w:val="007F3249"/>
    <w:rsid w:val="007F3704"/>
    <w:rsid w:val="007F4657"/>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46A"/>
    <w:rsid w:val="00820B20"/>
    <w:rsid w:val="00820B84"/>
    <w:rsid w:val="0082199B"/>
    <w:rsid w:val="00821C2A"/>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6D2"/>
    <w:rsid w:val="00833852"/>
    <w:rsid w:val="00833AB9"/>
    <w:rsid w:val="00833B62"/>
    <w:rsid w:val="00834820"/>
    <w:rsid w:val="00834C82"/>
    <w:rsid w:val="00834DB6"/>
    <w:rsid w:val="00834F93"/>
    <w:rsid w:val="00835F6D"/>
    <w:rsid w:val="008375DA"/>
    <w:rsid w:val="00840C4A"/>
    <w:rsid w:val="008411B9"/>
    <w:rsid w:val="0084122F"/>
    <w:rsid w:val="00841573"/>
    <w:rsid w:val="00841D08"/>
    <w:rsid w:val="00842D43"/>
    <w:rsid w:val="00842F64"/>
    <w:rsid w:val="0084323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FE3"/>
    <w:rsid w:val="0086722D"/>
    <w:rsid w:val="00867AD8"/>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9A1"/>
    <w:rsid w:val="00886B3F"/>
    <w:rsid w:val="0088727A"/>
    <w:rsid w:val="0089015D"/>
    <w:rsid w:val="0089021A"/>
    <w:rsid w:val="0089022E"/>
    <w:rsid w:val="00890475"/>
    <w:rsid w:val="00890A7C"/>
    <w:rsid w:val="00890D11"/>
    <w:rsid w:val="008910EE"/>
    <w:rsid w:val="00891A26"/>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D8"/>
    <w:rsid w:val="008B66EE"/>
    <w:rsid w:val="008B6793"/>
    <w:rsid w:val="008B6E87"/>
    <w:rsid w:val="008B75C2"/>
    <w:rsid w:val="008B787A"/>
    <w:rsid w:val="008C0A89"/>
    <w:rsid w:val="008C0AA9"/>
    <w:rsid w:val="008C0E71"/>
    <w:rsid w:val="008C1852"/>
    <w:rsid w:val="008C2CFF"/>
    <w:rsid w:val="008C2E1E"/>
    <w:rsid w:val="008C2E22"/>
    <w:rsid w:val="008C2ED2"/>
    <w:rsid w:val="008C3612"/>
    <w:rsid w:val="008C3D4D"/>
    <w:rsid w:val="008C4026"/>
    <w:rsid w:val="008C417E"/>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C72"/>
    <w:rsid w:val="008D4CF8"/>
    <w:rsid w:val="008D5246"/>
    <w:rsid w:val="008D5291"/>
    <w:rsid w:val="008D5368"/>
    <w:rsid w:val="008D561B"/>
    <w:rsid w:val="008D582B"/>
    <w:rsid w:val="008D5CF9"/>
    <w:rsid w:val="008D5D0A"/>
    <w:rsid w:val="008D6199"/>
    <w:rsid w:val="008D64B9"/>
    <w:rsid w:val="008D6794"/>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ADB"/>
    <w:rsid w:val="008E5DC8"/>
    <w:rsid w:val="008E6465"/>
    <w:rsid w:val="008E6C57"/>
    <w:rsid w:val="008E7082"/>
    <w:rsid w:val="008E72AF"/>
    <w:rsid w:val="008F0952"/>
    <w:rsid w:val="008F1154"/>
    <w:rsid w:val="008F1B84"/>
    <w:rsid w:val="008F1B9D"/>
    <w:rsid w:val="008F1DB6"/>
    <w:rsid w:val="008F337C"/>
    <w:rsid w:val="008F39C0"/>
    <w:rsid w:val="008F39E4"/>
    <w:rsid w:val="008F51F0"/>
    <w:rsid w:val="008F57CD"/>
    <w:rsid w:val="008F5960"/>
    <w:rsid w:val="008F5CD0"/>
    <w:rsid w:val="008F629A"/>
    <w:rsid w:val="008F62B4"/>
    <w:rsid w:val="008F667F"/>
    <w:rsid w:val="008F6A9B"/>
    <w:rsid w:val="008F6F03"/>
    <w:rsid w:val="008F7603"/>
    <w:rsid w:val="008F769D"/>
    <w:rsid w:val="008F76B7"/>
    <w:rsid w:val="008F76DC"/>
    <w:rsid w:val="008F7D2F"/>
    <w:rsid w:val="008F7E68"/>
    <w:rsid w:val="009013C5"/>
    <w:rsid w:val="0090147B"/>
    <w:rsid w:val="00901649"/>
    <w:rsid w:val="00901CBA"/>
    <w:rsid w:val="00901DC6"/>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4EAF"/>
    <w:rsid w:val="00915428"/>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3A"/>
    <w:rsid w:val="009252F1"/>
    <w:rsid w:val="00925588"/>
    <w:rsid w:val="00925733"/>
    <w:rsid w:val="00925AF5"/>
    <w:rsid w:val="00926268"/>
    <w:rsid w:val="009264A2"/>
    <w:rsid w:val="0092715D"/>
    <w:rsid w:val="00927299"/>
    <w:rsid w:val="00930632"/>
    <w:rsid w:val="009310BC"/>
    <w:rsid w:val="00931D3F"/>
    <w:rsid w:val="009324C4"/>
    <w:rsid w:val="00932671"/>
    <w:rsid w:val="00932A7A"/>
    <w:rsid w:val="00932D26"/>
    <w:rsid w:val="009330BF"/>
    <w:rsid w:val="00933817"/>
    <w:rsid w:val="009340EB"/>
    <w:rsid w:val="00934510"/>
    <w:rsid w:val="0093476C"/>
    <w:rsid w:val="00935A1E"/>
    <w:rsid w:val="00935AA3"/>
    <w:rsid w:val="00935B7C"/>
    <w:rsid w:val="00935E3A"/>
    <w:rsid w:val="00936005"/>
    <w:rsid w:val="0093607C"/>
    <w:rsid w:val="00940008"/>
    <w:rsid w:val="00940FFA"/>
    <w:rsid w:val="00941010"/>
    <w:rsid w:val="00941503"/>
    <w:rsid w:val="0094187D"/>
    <w:rsid w:val="009423ED"/>
    <w:rsid w:val="00942C90"/>
    <w:rsid w:val="00942F29"/>
    <w:rsid w:val="00942FB6"/>
    <w:rsid w:val="009430E1"/>
    <w:rsid w:val="009434EB"/>
    <w:rsid w:val="00943EA6"/>
    <w:rsid w:val="009443F2"/>
    <w:rsid w:val="009448F2"/>
    <w:rsid w:val="009451E0"/>
    <w:rsid w:val="0094524B"/>
    <w:rsid w:val="009456E3"/>
    <w:rsid w:val="00945759"/>
    <w:rsid w:val="00945925"/>
    <w:rsid w:val="009466E9"/>
    <w:rsid w:val="00946CB3"/>
    <w:rsid w:val="00946D20"/>
    <w:rsid w:val="00946E51"/>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78DB"/>
    <w:rsid w:val="00970728"/>
    <w:rsid w:val="009707C9"/>
    <w:rsid w:val="00971303"/>
    <w:rsid w:val="00971E0B"/>
    <w:rsid w:val="00971F6B"/>
    <w:rsid w:val="00972101"/>
    <w:rsid w:val="00972285"/>
    <w:rsid w:val="00972FB5"/>
    <w:rsid w:val="00973607"/>
    <w:rsid w:val="009736FE"/>
    <w:rsid w:val="00973B96"/>
    <w:rsid w:val="00973D09"/>
    <w:rsid w:val="00973E3C"/>
    <w:rsid w:val="00974763"/>
    <w:rsid w:val="009757CA"/>
    <w:rsid w:val="00976E76"/>
    <w:rsid w:val="00977A14"/>
    <w:rsid w:val="00977E9B"/>
    <w:rsid w:val="009807BF"/>
    <w:rsid w:val="009809AF"/>
    <w:rsid w:val="009809CE"/>
    <w:rsid w:val="0098131F"/>
    <w:rsid w:val="00981479"/>
    <w:rsid w:val="00981F74"/>
    <w:rsid w:val="0098237C"/>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0527"/>
    <w:rsid w:val="0099177B"/>
    <w:rsid w:val="00991B8C"/>
    <w:rsid w:val="0099367E"/>
    <w:rsid w:val="00993FE4"/>
    <w:rsid w:val="0099425E"/>
    <w:rsid w:val="00994CDC"/>
    <w:rsid w:val="009969CD"/>
    <w:rsid w:val="0099770A"/>
    <w:rsid w:val="00997769"/>
    <w:rsid w:val="00997A2E"/>
    <w:rsid w:val="009A048E"/>
    <w:rsid w:val="009A0F81"/>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C0C"/>
    <w:rsid w:val="009A5D40"/>
    <w:rsid w:val="009A5E10"/>
    <w:rsid w:val="009A6665"/>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42A4"/>
    <w:rsid w:val="009B42D2"/>
    <w:rsid w:val="009B44D0"/>
    <w:rsid w:val="009B4A06"/>
    <w:rsid w:val="009B60EA"/>
    <w:rsid w:val="009B70C8"/>
    <w:rsid w:val="009B737C"/>
    <w:rsid w:val="009B742E"/>
    <w:rsid w:val="009C0AC6"/>
    <w:rsid w:val="009C11B2"/>
    <w:rsid w:val="009C1456"/>
    <w:rsid w:val="009C1623"/>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B6"/>
    <w:rsid w:val="009C61E3"/>
    <w:rsid w:val="009C6B56"/>
    <w:rsid w:val="009C7DB8"/>
    <w:rsid w:val="009C7FF0"/>
    <w:rsid w:val="009D010D"/>
    <w:rsid w:val="009D0244"/>
    <w:rsid w:val="009D0F71"/>
    <w:rsid w:val="009D111C"/>
    <w:rsid w:val="009D17A0"/>
    <w:rsid w:val="009D1F7A"/>
    <w:rsid w:val="009D2873"/>
    <w:rsid w:val="009D2942"/>
    <w:rsid w:val="009D2BB8"/>
    <w:rsid w:val="009D3A1A"/>
    <w:rsid w:val="009D426A"/>
    <w:rsid w:val="009D4F15"/>
    <w:rsid w:val="009D5BDB"/>
    <w:rsid w:val="009D6B03"/>
    <w:rsid w:val="009D6B3D"/>
    <w:rsid w:val="009D7422"/>
    <w:rsid w:val="009D78E7"/>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529"/>
    <w:rsid w:val="00A03E0E"/>
    <w:rsid w:val="00A040D1"/>
    <w:rsid w:val="00A044B7"/>
    <w:rsid w:val="00A04A0A"/>
    <w:rsid w:val="00A050A8"/>
    <w:rsid w:val="00A056A3"/>
    <w:rsid w:val="00A059AF"/>
    <w:rsid w:val="00A05B51"/>
    <w:rsid w:val="00A06286"/>
    <w:rsid w:val="00A06318"/>
    <w:rsid w:val="00A063BC"/>
    <w:rsid w:val="00A068E1"/>
    <w:rsid w:val="00A06A80"/>
    <w:rsid w:val="00A06D8A"/>
    <w:rsid w:val="00A0711F"/>
    <w:rsid w:val="00A07B0B"/>
    <w:rsid w:val="00A102A0"/>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52D3"/>
    <w:rsid w:val="00A15F4F"/>
    <w:rsid w:val="00A160AB"/>
    <w:rsid w:val="00A16745"/>
    <w:rsid w:val="00A16747"/>
    <w:rsid w:val="00A17E93"/>
    <w:rsid w:val="00A20013"/>
    <w:rsid w:val="00A2056F"/>
    <w:rsid w:val="00A20582"/>
    <w:rsid w:val="00A20C65"/>
    <w:rsid w:val="00A21767"/>
    <w:rsid w:val="00A21FD5"/>
    <w:rsid w:val="00A22751"/>
    <w:rsid w:val="00A227E4"/>
    <w:rsid w:val="00A22940"/>
    <w:rsid w:val="00A23102"/>
    <w:rsid w:val="00A233D8"/>
    <w:rsid w:val="00A2343F"/>
    <w:rsid w:val="00A23505"/>
    <w:rsid w:val="00A2428B"/>
    <w:rsid w:val="00A247E5"/>
    <w:rsid w:val="00A248BD"/>
    <w:rsid w:val="00A24D81"/>
    <w:rsid w:val="00A24EA5"/>
    <w:rsid w:val="00A25173"/>
    <w:rsid w:val="00A252F0"/>
    <w:rsid w:val="00A259F2"/>
    <w:rsid w:val="00A26463"/>
    <w:rsid w:val="00A2660E"/>
    <w:rsid w:val="00A26916"/>
    <w:rsid w:val="00A26B47"/>
    <w:rsid w:val="00A26FF1"/>
    <w:rsid w:val="00A27547"/>
    <w:rsid w:val="00A2770B"/>
    <w:rsid w:val="00A27806"/>
    <w:rsid w:val="00A3068C"/>
    <w:rsid w:val="00A3127F"/>
    <w:rsid w:val="00A315BC"/>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27C"/>
    <w:rsid w:val="00A4329D"/>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23B"/>
    <w:rsid w:val="00A7660A"/>
    <w:rsid w:val="00A7663A"/>
    <w:rsid w:val="00A7696B"/>
    <w:rsid w:val="00A769D4"/>
    <w:rsid w:val="00A8008F"/>
    <w:rsid w:val="00A804C7"/>
    <w:rsid w:val="00A80857"/>
    <w:rsid w:val="00A80A39"/>
    <w:rsid w:val="00A80DF0"/>
    <w:rsid w:val="00A80E64"/>
    <w:rsid w:val="00A81A16"/>
    <w:rsid w:val="00A823A7"/>
    <w:rsid w:val="00A824D4"/>
    <w:rsid w:val="00A825C8"/>
    <w:rsid w:val="00A82742"/>
    <w:rsid w:val="00A82A29"/>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803"/>
    <w:rsid w:val="00AA2BF2"/>
    <w:rsid w:val="00AA2D68"/>
    <w:rsid w:val="00AA2D6F"/>
    <w:rsid w:val="00AA2E92"/>
    <w:rsid w:val="00AA3987"/>
    <w:rsid w:val="00AA3B68"/>
    <w:rsid w:val="00AA3E79"/>
    <w:rsid w:val="00AA4FB4"/>
    <w:rsid w:val="00AA5C0B"/>
    <w:rsid w:val="00AA5E3B"/>
    <w:rsid w:val="00AA63AD"/>
    <w:rsid w:val="00AA65B4"/>
    <w:rsid w:val="00AA6A75"/>
    <w:rsid w:val="00AA745E"/>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1231"/>
    <w:rsid w:val="00AC1992"/>
    <w:rsid w:val="00AC1E14"/>
    <w:rsid w:val="00AC2CFA"/>
    <w:rsid w:val="00AC3263"/>
    <w:rsid w:val="00AC337E"/>
    <w:rsid w:val="00AC3E12"/>
    <w:rsid w:val="00AC406E"/>
    <w:rsid w:val="00AC417C"/>
    <w:rsid w:val="00AC430C"/>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E2"/>
    <w:rsid w:val="00AD4261"/>
    <w:rsid w:val="00AD46F5"/>
    <w:rsid w:val="00AD51A3"/>
    <w:rsid w:val="00AD598B"/>
    <w:rsid w:val="00AD7154"/>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18E2"/>
    <w:rsid w:val="00AF24E7"/>
    <w:rsid w:val="00AF272B"/>
    <w:rsid w:val="00AF291B"/>
    <w:rsid w:val="00AF2DAA"/>
    <w:rsid w:val="00AF2EBD"/>
    <w:rsid w:val="00AF33AE"/>
    <w:rsid w:val="00AF3CDC"/>
    <w:rsid w:val="00AF44B1"/>
    <w:rsid w:val="00AF5800"/>
    <w:rsid w:val="00AF6986"/>
    <w:rsid w:val="00AF69FE"/>
    <w:rsid w:val="00AF6A77"/>
    <w:rsid w:val="00AF6D1B"/>
    <w:rsid w:val="00AF73ED"/>
    <w:rsid w:val="00AF7D69"/>
    <w:rsid w:val="00AF7ED2"/>
    <w:rsid w:val="00B004D8"/>
    <w:rsid w:val="00B00830"/>
    <w:rsid w:val="00B00CC5"/>
    <w:rsid w:val="00B016D2"/>
    <w:rsid w:val="00B02091"/>
    <w:rsid w:val="00B0250E"/>
    <w:rsid w:val="00B02B43"/>
    <w:rsid w:val="00B03697"/>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797"/>
    <w:rsid w:val="00B137BF"/>
    <w:rsid w:val="00B13A1B"/>
    <w:rsid w:val="00B13A76"/>
    <w:rsid w:val="00B13B78"/>
    <w:rsid w:val="00B142D9"/>
    <w:rsid w:val="00B145D5"/>
    <w:rsid w:val="00B14BC4"/>
    <w:rsid w:val="00B158A3"/>
    <w:rsid w:val="00B15B25"/>
    <w:rsid w:val="00B15C36"/>
    <w:rsid w:val="00B15EA0"/>
    <w:rsid w:val="00B16069"/>
    <w:rsid w:val="00B1745A"/>
    <w:rsid w:val="00B17785"/>
    <w:rsid w:val="00B17A4E"/>
    <w:rsid w:val="00B17B30"/>
    <w:rsid w:val="00B17C2F"/>
    <w:rsid w:val="00B2153E"/>
    <w:rsid w:val="00B218CB"/>
    <w:rsid w:val="00B21FA7"/>
    <w:rsid w:val="00B22022"/>
    <w:rsid w:val="00B225E4"/>
    <w:rsid w:val="00B23223"/>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27C4D"/>
    <w:rsid w:val="00B30003"/>
    <w:rsid w:val="00B3015C"/>
    <w:rsid w:val="00B30642"/>
    <w:rsid w:val="00B31201"/>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EB9"/>
    <w:rsid w:val="00B436F0"/>
    <w:rsid w:val="00B441FE"/>
    <w:rsid w:val="00B44821"/>
    <w:rsid w:val="00B44AD3"/>
    <w:rsid w:val="00B450EB"/>
    <w:rsid w:val="00B45152"/>
    <w:rsid w:val="00B454DD"/>
    <w:rsid w:val="00B45E54"/>
    <w:rsid w:val="00B460B8"/>
    <w:rsid w:val="00B464E4"/>
    <w:rsid w:val="00B4689A"/>
    <w:rsid w:val="00B46D5F"/>
    <w:rsid w:val="00B46E7B"/>
    <w:rsid w:val="00B47DC5"/>
    <w:rsid w:val="00B50395"/>
    <w:rsid w:val="00B505B3"/>
    <w:rsid w:val="00B50882"/>
    <w:rsid w:val="00B50A74"/>
    <w:rsid w:val="00B5199C"/>
    <w:rsid w:val="00B51F85"/>
    <w:rsid w:val="00B520A0"/>
    <w:rsid w:val="00B5257E"/>
    <w:rsid w:val="00B525CE"/>
    <w:rsid w:val="00B52CFD"/>
    <w:rsid w:val="00B545A8"/>
    <w:rsid w:val="00B56527"/>
    <w:rsid w:val="00B56706"/>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47"/>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60FD"/>
    <w:rsid w:val="00B76185"/>
    <w:rsid w:val="00B76BCD"/>
    <w:rsid w:val="00B779E6"/>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6D6C"/>
    <w:rsid w:val="00B86EB5"/>
    <w:rsid w:val="00B86F47"/>
    <w:rsid w:val="00B874B4"/>
    <w:rsid w:val="00B8787A"/>
    <w:rsid w:val="00B87887"/>
    <w:rsid w:val="00B90123"/>
    <w:rsid w:val="00B90196"/>
    <w:rsid w:val="00B911C1"/>
    <w:rsid w:val="00B91374"/>
    <w:rsid w:val="00B9216A"/>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F20"/>
    <w:rsid w:val="00BA5F44"/>
    <w:rsid w:val="00BA68D9"/>
    <w:rsid w:val="00BA695F"/>
    <w:rsid w:val="00BA6FD8"/>
    <w:rsid w:val="00BA7172"/>
    <w:rsid w:val="00BA7B01"/>
    <w:rsid w:val="00BB02D7"/>
    <w:rsid w:val="00BB0D9F"/>
    <w:rsid w:val="00BB0DEE"/>
    <w:rsid w:val="00BB0F93"/>
    <w:rsid w:val="00BB1031"/>
    <w:rsid w:val="00BB1B33"/>
    <w:rsid w:val="00BB2480"/>
    <w:rsid w:val="00BB27FD"/>
    <w:rsid w:val="00BB2C4E"/>
    <w:rsid w:val="00BB2E29"/>
    <w:rsid w:val="00BB2F74"/>
    <w:rsid w:val="00BB3206"/>
    <w:rsid w:val="00BB3277"/>
    <w:rsid w:val="00BB32C2"/>
    <w:rsid w:val="00BB39BF"/>
    <w:rsid w:val="00BB3B0D"/>
    <w:rsid w:val="00BB524C"/>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570"/>
    <w:rsid w:val="00BD0853"/>
    <w:rsid w:val="00BD112D"/>
    <w:rsid w:val="00BD214E"/>
    <w:rsid w:val="00BD2395"/>
    <w:rsid w:val="00BD25B8"/>
    <w:rsid w:val="00BD2842"/>
    <w:rsid w:val="00BD2F80"/>
    <w:rsid w:val="00BD3120"/>
    <w:rsid w:val="00BD3354"/>
    <w:rsid w:val="00BD384E"/>
    <w:rsid w:val="00BD3E76"/>
    <w:rsid w:val="00BD3EE2"/>
    <w:rsid w:val="00BD3FCF"/>
    <w:rsid w:val="00BD42D2"/>
    <w:rsid w:val="00BD47D7"/>
    <w:rsid w:val="00BD4EFB"/>
    <w:rsid w:val="00BD5076"/>
    <w:rsid w:val="00BD5551"/>
    <w:rsid w:val="00BD6D43"/>
    <w:rsid w:val="00BD7090"/>
    <w:rsid w:val="00BD7490"/>
    <w:rsid w:val="00BD767F"/>
    <w:rsid w:val="00BD7DA0"/>
    <w:rsid w:val="00BE096B"/>
    <w:rsid w:val="00BE09C3"/>
    <w:rsid w:val="00BE0C27"/>
    <w:rsid w:val="00BE0F9B"/>
    <w:rsid w:val="00BE15BB"/>
    <w:rsid w:val="00BE198F"/>
    <w:rsid w:val="00BE4875"/>
    <w:rsid w:val="00BE4CCF"/>
    <w:rsid w:val="00BE5964"/>
    <w:rsid w:val="00BE660B"/>
    <w:rsid w:val="00BE6AFE"/>
    <w:rsid w:val="00BE6BBE"/>
    <w:rsid w:val="00BE7021"/>
    <w:rsid w:val="00BE7300"/>
    <w:rsid w:val="00BE76F7"/>
    <w:rsid w:val="00BE784F"/>
    <w:rsid w:val="00BE79C6"/>
    <w:rsid w:val="00BF0238"/>
    <w:rsid w:val="00BF0717"/>
    <w:rsid w:val="00BF1750"/>
    <w:rsid w:val="00BF178E"/>
    <w:rsid w:val="00BF189F"/>
    <w:rsid w:val="00BF1B44"/>
    <w:rsid w:val="00BF1D88"/>
    <w:rsid w:val="00BF1F01"/>
    <w:rsid w:val="00BF1FC2"/>
    <w:rsid w:val="00BF23CC"/>
    <w:rsid w:val="00BF243F"/>
    <w:rsid w:val="00BF2708"/>
    <w:rsid w:val="00BF3284"/>
    <w:rsid w:val="00BF4C2B"/>
    <w:rsid w:val="00BF507A"/>
    <w:rsid w:val="00BF53F1"/>
    <w:rsid w:val="00BF5717"/>
    <w:rsid w:val="00BF58FB"/>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C9A"/>
    <w:rsid w:val="00C06E6F"/>
    <w:rsid w:val="00C075DB"/>
    <w:rsid w:val="00C07EBA"/>
    <w:rsid w:val="00C07FBC"/>
    <w:rsid w:val="00C100E2"/>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C92"/>
    <w:rsid w:val="00C16ED6"/>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9A"/>
    <w:rsid w:val="00C32639"/>
    <w:rsid w:val="00C32808"/>
    <w:rsid w:val="00C32AD2"/>
    <w:rsid w:val="00C33114"/>
    <w:rsid w:val="00C3415E"/>
    <w:rsid w:val="00C34193"/>
    <w:rsid w:val="00C347FD"/>
    <w:rsid w:val="00C34DAE"/>
    <w:rsid w:val="00C34E1E"/>
    <w:rsid w:val="00C34E5A"/>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B32"/>
    <w:rsid w:val="00C63DED"/>
    <w:rsid w:val="00C63E88"/>
    <w:rsid w:val="00C64296"/>
    <w:rsid w:val="00C6436D"/>
    <w:rsid w:val="00C64F97"/>
    <w:rsid w:val="00C65585"/>
    <w:rsid w:val="00C656EB"/>
    <w:rsid w:val="00C65DF4"/>
    <w:rsid w:val="00C667F0"/>
    <w:rsid w:val="00C66AC8"/>
    <w:rsid w:val="00C67B49"/>
    <w:rsid w:val="00C711F5"/>
    <w:rsid w:val="00C713A1"/>
    <w:rsid w:val="00C71828"/>
    <w:rsid w:val="00C72105"/>
    <w:rsid w:val="00C74520"/>
    <w:rsid w:val="00C74954"/>
    <w:rsid w:val="00C75765"/>
    <w:rsid w:val="00C76028"/>
    <w:rsid w:val="00C76184"/>
    <w:rsid w:val="00C76462"/>
    <w:rsid w:val="00C7673D"/>
    <w:rsid w:val="00C76A80"/>
    <w:rsid w:val="00C76C27"/>
    <w:rsid w:val="00C76E09"/>
    <w:rsid w:val="00C76F07"/>
    <w:rsid w:val="00C77EF6"/>
    <w:rsid w:val="00C80B4B"/>
    <w:rsid w:val="00C80D63"/>
    <w:rsid w:val="00C80E85"/>
    <w:rsid w:val="00C8129D"/>
    <w:rsid w:val="00C812D5"/>
    <w:rsid w:val="00C81536"/>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5FCB"/>
    <w:rsid w:val="00C8638E"/>
    <w:rsid w:val="00C874C8"/>
    <w:rsid w:val="00C90165"/>
    <w:rsid w:val="00C902DA"/>
    <w:rsid w:val="00C90733"/>
    <w:rsid w:val="00C921C4"/>
    <w:rsid w:val="00C9235F"/>
    <w:rsid w:val="00C9257F"/>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12D"/>
    <w:rsid w:val="00CA613C"/>
    <w:rsid w:val="00CA66C3"/>
    <w:rsid w:val="00CA6CAD"/>
    <w:rsid w:val="00CA70A8"/>
    <w:rsid w:val="00CA70D0"/>
    <w:rsid w:val="00CA74A4"/>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48B7"/>
    <w:rsid w:val="00CB59E7"/>
    <w:rsid w:val="00CB5D27"/>
    <w:rsid w:val="00CB5E4A"/>
    <w:rsid w:val="00CB6DE9"/>
    <w:rsid w:val="00CB6FCA"/>
    <w:rsid w:val="00CB724D"/>
    <w:rsid w:val="00CB73EA"/>
    <w:rsid w:val="00CB76E3"/>
    <w:rsid w:val="00CB7D4E"/>
    <w:rsid w:val="00CB7F1F"/>
    <w:rsid w:val="00CC002B"/>
    <w:rsid w:val="00CC022F"/>
    <w:rsid w:val="00CC07E5"/>
    <w:rsid w:val="00CC09F0"/>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57E"/>
    <w:rsid w:val="00CD4CD3"/>
    <w:rsid w:val="00CD589F"/>
    <w:rsid w:val="00CD60C9"/>
    <w:rsid w:val="00CD6345"/>
    <w:rsid w:val="00CD6835"/>
    <w:rsid w:val="00CD6BBB"/>
    <w:rsid w:val="00CD7005"/>
    <w:rsid w:val="00CD7482"/>
    <w:rsid w:val="00CE05BD"/>
    <w:rsid w:val="00CE07C1"/>
    <w:rsid w:val="00CE1567"/>
    <w:rsid w:val="00CE1859"/>
    <w:rsid w:val="00CE186F"/>
    <w:rsid w:val="00CE20E3"/>
    <w:rsid w:val="00CE273A"/>
    <w:rsid w:val="00CE321C"/>
    <w:rsid w:val="00CE32E8"/>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6A8"/>
    <w:rsid w:val="00CF6806"/>
    <w:rsid w:val="00CF69B0"/>
    <w:rsid w:val="00CF6C05"/>
    <w:rsid w:val="00CF709F"/>
    <w:rsid w:val="00CF7485"/>
    <w:rsid w:val="00CF7E56"/>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A90"/>
    <w:rsid w:val="00D140E6"/>
    <w:rsid w:val="00D14C7E"/>
    <w:rsid w:val="00D158E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B55"/>
    <w:rsid w:val="00D22C81"/>
    <w:rsid w:val="00D23055"/>
    <w:rsid w:val="00D230AD"/>
    <w:rsid w:val="00D2320E"/>
    <w:rsid w:val="00D2327A"/>
    <w:rsid w:val="00D251AB"/>
    <w:rsid w:val="00D25240"/>
    <w:rsid w:val="00D25AC6"/>
    <w:rsid w:val="00D25BF1"/>
    <w:rsid w:val="00D261D3"/>
    <w:rsid w:val="00D27086"/>
    <w:rsid w:val="00D319DF"/>
    <w:rsid w:val="00D31C02"/>
    <w:rsid w:val="00D3225E"/>
    <w:rsid w:val="00D324BC"/>
    <w:rsid w:val="00D32B9F"/>
    <w:rsid w:val="00D331A5"/>
    <w:rsid w:val="00D33565"/>
    <w:rsid w:val="00D33761"/>
    <w:rsid w:val="00D33762"/>
    <w:rsid w:val="00D34BD1"/>
    <w:rsid w:val="00D35177"/>
    <w:rsid w:val="00D356E1"/>
    <w:rsid w:val="00D37806"/>
    <w:rsid w:val="00D40609"/>
    <w:rsid w:val="00D40983"/>
    <w:rsid w:val="00D40B3B"/>
    <w:rsid w:val="00D41188"/>
    <w:rsid w:val="00D417D3"/>
    <w:rsid w:val="00D418D5"/>
    <w:rsid w:val="00D41DB1"/>
    <w:rsid w:val="00D4260C"/>
    <w:rsid w:val="00D4276D"/>
    <w:rsid w:val="00D42798"/>
    <w:rsid w:val="00D42970"/>
    <w:rsid w:val="00D43468"/>
    <w:rsid w:val="00D43AED"/>
    <w:rsid w:val="00D44916"/>
    <w:rsid w:val="00D45AE4"/>
    <w:rsid w:val="00D45CA4"/>
    <w:rsid w:val="00D45EA7"/>
    <w:rsid w:val="00D45F22"/>
    <w:rsid w:val="00D47178"/>
    <w:rsid w:val="00D4752E"/>
    <w:rsid w:val="00D47842"/>
    <w:rsid w:val="00D47BEF"/>
    <w:rsid w:val="00D50826"/>
    <w:rsid w:val="00D51675"/>
    <w:rsid w:val="00D51F73"/>
    <w:rsid w:val="00D52827"/>
    <w:rsid w:val="00D529BE"/>
    <w:rsid w:val="00D52CF6"/>
    <w:rsid w:val="00D53D3E"/>
    <w:rsid w:val="00D547E0"/>
    <w:rsid w:val="00D54992"/>
    <w:rsid w:val="00D55291"/>
    <w:rsid w:val="00D55C48"/>
    <w:rsid w:val="00D55E47"/>
    <w:rsid w:val="00D56392"/>
    <w:rsid w:val="00D56997"/>
    <w:rsid w:val="00D56BF7"/>
    <w:rsid w:val="00D570E6"/>
    <w:rsid w:val="00D5730F"/>
    <w:rsid w:val="00D5774F"/>
    <w:rsid w:val="00D60809"/>
    <w:rsid w:val="00D60D7F"/>
    <w:rsid w:val="00D61066"/>
    <w:rsid w:val="00D61C9C"/>
    <w:rsid w:val="00D61E7B"/>
    <w:rsid w:val="00D62111"/>
    <w:rsid w:val="00D62229"/>
    <w:rsid w:val="00D625B8"/>
    <w:rsid w:val="00D626F8"/>
    <w:rsid w:val="00D636DC"/>
    <w:rsid w:val="00D63F4C"/>
    <w:rsid w:val="00D64613"/>
    <w:rsid w:val="00D64702"/>
    <w:rsid w:val="00D649DC"/>
    <w:rsid w:val="00D65A6A"/>
    <w:rsid w:val="00D66BFD"/>
    <w:rsid w:val="00D66C91"/>
    <w:rsid w:val="00D674EE"/>
    <w:rsid w:val="00D67535"/>
    <w:rsid w:val="00D67BC9"/>
    <w:rsid w:val="00D67DBC"/>
    <w:rsid w:val="00D704D9"/>
    <w:rsid w:val="00D70612"/>
    <w:rsid w:val="00D70934"/>
    <w:rsid w:val="00D70BD2"/>
    <w:rsid w:val="00D713F2"/>
    <w:rsid w:val="00D721B1"/>
    <w:rsid w:val="00D72705"/>
    <w:rsid w:val="00D738BF"/>
    <w:rsid w:val="00D73B93"/>
    <w:rsid w:val="00D73C95"/>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79F"/>
    <w:rsid w:val="00D8103B"/>
    <w:rsid w:val="00D8111B"/>
    <w:rsid w:val="00D81242"/>
    <w:rsid w:val="00D812D2"/>
    <w:rsid w:val="00D82C80"/>
    <w:rsid w:val="00D82D02"/>
    <w:rsid w:val="00D82D0F"/>
    <w:rsid w:val="00D83A5A"/>
    <w:rsid w:val="00D84157"/>
    <w:rsid w:val="00D84AB8"/>
    <w:rsid w:val="00D84BD7"/>
    <w:rsid w:val="00D84DCA"/>
    <w:rsid w:val="00D85114"/>
    <w:rsid w:val="00D857BC"/>
    <w:rsid w:val="00D85CC6"/>
    <w:rsid w:val="00D86A92"/>
    <w:rsid w:val="00D871B6"/>
    <w:rsid w:val="00D875E1"/>
    <w:rsid w:val="00D90275"/>
    <w:rsid w:val="00D902F5"/>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310"/>
    <w:rsid w:val="00DB46C8"/>
    <w:rsid w:val="00DB52F0"/>
    <w:rsid w:val="00DB540E"/>
    <w:rsid w:val="00DB5A63"/>
    <w:rsid w:val="00DB6166"/>
    <w:rsid w:val="00DB6520"/>
    <w:rsid w:val="00DB656B"/>
    <w:rsid w:val="00DB6803"/>
    <w:rsid w:val="00DB691E"/>
    <w:rsid w:val="00DB6C99"/>
    <w:rsid w:val="00DB75A3"/>
    <w:rsid w:val="00DC0025"/>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7D90"/>
    <w:rsid w:val="00E10187"/>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61E6"/>
    <w:rsid w:val="00E167C9"/>
    <w:rsid w:val="00E1698C"/>
    <w:rsid w:val="00E16BDB"/>
    <w:rsid w:val="00E172BE"/>
    <w:rsid w:val="00E17CF7"/>
    <w:rsid w:val="00E205D6"/>
    <w:rsid w:val="00E209AB"/>
    <w:rsid w:val="00E216EC"/>
    <w:rsid w:val="00E2189A"/>
    <w:rsid w:val="00E21A60"/>
    <w:rsid w:val="00E22B5A"/>
    <w:rsid w:val="00E22B68"/>
    <w:rsid w:val="00E231C9"/>
    <w:rsid w:val="00E23EBF"/>
    <w:rsid w:val="00E23FD5"/>
    <w:rsid w:val="00E24669"/>
    <w:rsid w:val="00E24A70"/>
    <w:rsid w:val="00E24C48"/>
    <w:rsid w:val="00E24EE4"/>
    <w:rsid w:val="00E25981"/>
    <w:rsid w:val="00E26056"/>
    <w:rsid w:val="00E26141"/>
    <w:rsid w:val="00E266F5"/>
    <w:rsid w:val="00E2673E"/>
    <w:rsid w:val="00E26EEF"/>
    <w:rsid w:val="00E270D3"/>
    <w:rsid w:val="00E27FC7"/>
    <w:rsid w:val="00E3050B"/>
    <w:rsid w:val="00E30700"/>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713C"/>
    <w:rsid w:val="00E3767B"/>
    <w:rsid w:val="00E37E1C"/>
    <w:rsid w:val="00E40079"/>
    <w:rsid w:val="00E40126"/>
    <w:rsid w:val="00E4013B"/>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5460"/>
    <w:rsid w:val="00E55B28"/>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6A3C"/>
    <w:rsid w:val="00E76F9B"/>
    <w:rsid w:val="00E771FC"/>
    <w:rsid w:val="00E773E5"/>
    <w:rsid w:val="00E77BDD"/>
    <w:rsid w:val="00E806D3"/>
    <w:rsid w:val="00E8104D"/>
    <w:rsid w:val="00E81C34"/>
    <w:rsid w:val="00E81D83"/>
    <w:rsid w:val="00E81F00"/>
    <w:rsid w:val="00E821BB"/>
    <w:rsid w:val="00E822E9"/>
    <w:rsid w:val="00E826FE"/>
    <w:rsid w:val="00E8275E"/>
    <w:rsid w:val="00E827AF"/>
    <w:rsid w:val="00E82DE9"/>
    <w:rsid w:val="00E83253"/>
    <w:rsid w:val="00E83714"/>
    <w:rsid w:val="00E83831"/>
    <w:rsid w:val="00E844AB"/>
    <w:rsid w:val="00E84C97"/>
    <w:rsid w:val="00E85005"/>
    <w:rsid w:val="00E85296"/>
    <w:rsid w:val="00E8533B"/>
    <w:rsid w:val="00E85E4E"/>
    <w:rsid w:val="00E86327"/>
    <w:rsid w:val="00E86DF0"/>
    <w:rsid w:val="00E87BD2"/>
    <w:rsid w:val="00E87CDC"/>
    <w:rsid w:val="00E90B33"/>
    <w:rsid w:val="00E910E4"/>
    <w:rsid w:val="00E911E0"/>
    <w:rsid w:val="00E92115"/>
    <w:rsid w:val="00E93407"/>
    <w:rsid w:val="00E940A8"/>
    <w:rsid w:val="00E94307"/>
    <w:rsid w:val="00E947E8"/>
    <w:rsid w:val="00E94B0F"/>
    <w:rsid w:val="00E9503F"/>
    <w:rsid w:val="00E956F3"/>
    <w:rsid w:val="00E95AA7"/>
    <w:rsid w:val="00E96E68"/>
    <w:rsid w:val="00E97013"/>
    <w:rsid w:val="00E97EA1"/>
    <w:rsid w:val="00EA0BBE"/>
    <w:rsid w:val="00EA18B9"/>
    <w:rsid w:val="00EA1FBC"/>
    <w:rsid w:val="00EA20A1"/>
    <w:rsid w:val="00EA212B"/>
    <w:rsid w:val="00EA24B5"/>
    <w:rsid w:val="00EA2AAA"/>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FE9"/>
    <w:rsid w:val="00EB72FF"/>
    <w:rsid w:val="00EB756F"/>
    <w:rsid w:val="00EB79C8"/>
    <w:rsid w:val="00EB7E3F"/>
    <w:rsid w:val="00EB7E78"/>
    <w:rsid w:val="00EC0301"/>
    <w:rsid w:val="00EC08B5"/>
    <w:rsid w:val="00EC09C6"/>
    <w:rsid w:val="00EC0EA5"/>
    <w:rsid w:val="00EC1056"/>
    <w:rsid w:val="00EC1470"/>
    <w:rsid w:val="00EC222E"/>
    <w:rsid w:val="00EC2716"/>
    <w:rsid w:val="00EC2DBB"/>
    <w:rsid w:val="00EC358E"/>
    <w:rsid w:val="00EC3FD2"/>
    <w:rsid w:val="00EC4095"/>
    <w:rsid w:val="00EC43B5"/>
    <w:rsid w:val="00EC4537"/>
    <w:rsid w:val="00EC4960"/>
    <w:rsid w:val="00EC4AE3"/>
    <w:rsid w:val="00EC5414"/>
    <w:rsid w:val="00EC54EE"/>
    <w:rsid w:val="00EC59B2"/>
    <w:rsid w:val="00EC5A3B"/>
    <w:rsid w:val="00EC6424"/>
    <w:rsid w:val="00EC73A7"/>
    <w:rsid w:val="00EC786C"/>
    <w:rsid w:val="00EC7ADD"/>
    <w:rsid w:val="00EC7C26"/>
    <w:rsid w:val="00ED04FE"/>
    <w:rsid w:val="00ED0DD0"/>
    <w:rsid w:val="00ED1122"/>
    <w:rsid w:val="00ED1989"/>
    <w:rsid w:val="00ED28F2"/>
    <w:rsid w:val="00ED2F3E"/>
    <w:rsid w:val="00ED3145"/>
    <w:rsid w:val="00ED3309"/>
    <w:rsid w:val="00ED356E"/>
    <w:rsid w:val="00ED3792"/>
    <w:rsid w:val="00ED3BDA"/>
    <w:rsid w:val="00ED5A3B"/>
    <w:rsid w:val="00ED5C30"/>
    <w:rsid w:val="00ED5E02"/>
    <w:rsid w:val="00ED5EED"/>
    <w:rsid w:val="00ED612A"/>
    <w:rsid w:val="00ED6B1C"/>
    <w:rsid w:val="00ED6CF7"/>
    <w:rsid w:val="00ED6F33"/>
    <w:rsid w:val="00ED70A5"/>
    <w:rsid w:val="00ED7716"/>
    <w:rsid w:val="00ED7737"/>
    <w:rsid w:val="00ED7747"/>
    <w:rsid w:val="00ED7CF4"/>
    <w:rsid w:val="00ED7FA2"/>
    <w:rsid w:val="00EE0786"/>
    <w:rsid w:val="00EE1B0E"/>
    <w:rsid w:val="00EE22FB"/>
    <w:rsid w:val="00EE2407"/>
    <w:rsid w:val="00EE26AE"/>
    <w:rsid w:val="00EE29C8"/>
    <w:rsid w:val="00EE2A54"/>
    <w:rsid w:val="00EE2FC2"/>
    <w:rsid w:val="00EE3B6B"/>
    <w:rsid w:val="00EE3B88"/>
    <w:rsid w:val="00EE4334"/>
    <w:rsid w:val="00EE4B75"/>
    <w:rsid w:val="00EE4D34"/>
    <w:rsid w:val="00EE4DBD"/>
    <w:rsid w:val="00EE6AC6"/>
    <w:rsid w:val="00EE6E26"/>
    <w:rsid w:val="00EE784F"/>
    <w:rsid w:val="00EE7A1D"/>
    <w:rsid w:val="00EE7DBD"/>
    <w:rsid w:val="00EF0500"/>
    <w:rsid w:val="00EF0808"/>
    <w:rsid w:val="00EF1002"/>
    <w:rsid w:val="00EF143F"/>
    <w:rsid w:val="00EF1D3B"/>
    <w:rsid w:val="00EF23D8"/>
    <w:rsid w:val="00EF2A5A"/>
    <w:rsid w:val="00EF2A87"/>
    <w:rsid w:val="00EF3A74"/>
    <w:rsid w:val="00EF3AE9"/>
    <w:rsid w:val="00EF3EA5"/>
    <w:rsid w:val="00EF49FB"/>
    <w:rsid w:val="00EF4B11"/>
    <w:rsid w:val="00EF55D6"/>
    <w:rsid w:val="00EF644D"/>
    <w:rsid w:val="00EF6BAD"/>
    <w:rsid w:val="00EF6D29"/>
    <w:rsid w:val="00EF6E79"/>
    <w:rsid w:val="00EF7138"/>
    <w:rsid w:val="00EF7E0B"/>
    <w:rsid w:val="00F00881"/>
    <w:rsid w:val="00F00917"/>
    <w:rsid w:val="00F00B65"/>
    <w:rsid w:val="00F010BB"/>
    <w:rsid w:val="00F012C1"/>
    <w:rsid w:val="00F0175F"/>
    <w:rsid w:val="00F01A41"/>
    <w:rsid w:val="00F03280"/>
    <w:rsid w:val="00F0362A"/>
    <w:rsid w:val="00F0385C"/>
    <w:rsid w:val="00F03ABE"/>
    <w:rsid w:val="00F03B69"/>
    <w:rsid w:val="00F04345"/>
    <w:rsid w:val="00F047A4"/>
    <w:rsid w:val="00F04F52"/>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3F8"/>
    <w:rsid w:val="00F15671"/>
    <w:rsid w:val="00F1643E"/>
    <w:rsid w:val="00F16695"/>
    <w:rsid w:val="00F16B94"/>
    <w:rsid w:val="00F17159"/>
    <w:rsid w:val="00F1733F"/>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5E6"/>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5760"/>
    <w:rsid w:val="00F45925"/>
    <w:rsid w:val="00F46BA6"/>
    <w:rsid w:val="00F46C97"/>
    <w:rsid w:val="00F4703E"/>
    <w:rsid w:val="00F4775F"/>
    <w:rsid w:val="00F50781"/>
    <w:rsid w:val="00F50CA3"/>
    <w:rsid w:val="00F517ED"/>
    <w:rsid w:val="00F51F3F"/>
    <w:rsid w:val="00F528B5"/>
    <w:rsid w:val="00F528E7"/>
    <w:rsid w:val="00F52C8A"/>
    <w:rsid w:val="00F5352D"/>
    <w:rsid w:val="00F53615"/>
    <w:rsid w:val="00F53A91"/>
    <w:rsid w:val="00F54466"/>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6333"/>
    <w:rsid w:val="00F770C6"/>
    <w:rsid w:val="00F77100"/>
    <w:rsid w:val="00F8090F"/>
    <w:rsid w:val="00F80A8A"/>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9C7"/>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D94"/>
    <w:rsid w:val="00F96F86"/>
    <w:rsid w:val="00F97A99"/>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DA6"/>
    <w:rsid w:val="00FB02F8"/>
    <w:rsid w:val="00FB06E7"/>
    <w:rsid w:val="00FB0822"/>
    <w:rsid w:val="00FB09C0"/>
    <w:rsid w:val="00FB0AC3"/>
    <w:rsid w:val="00FB1093"/>
    <w:rsid w:val="00FB13A0"/>
    <w:rsid w:val="00FB2142"/>
    <w:rsid w:val="00FB227E"/>
    <w:rsid w:val="00FB25DA"/>
    <w:rsid w:val="00FB267D"/>
    <w:rsid w:val="00FB2A18"/>
    <w:rsid w:val="00FB2BF4"/>
    <w:rsid w:val="00FB2C8D"/>
    <w:rsid w:val="00FB2DC6"/>
    <w:rsid w:val="00FB4267"/>
    <w:rsid w:val="00FB59D4"/>
    <w:rsid w:val="00FB5E81"/>
    <w:rsid w:val="00FB6E6C"/>
    <w:rsid w:val="00FB71B0"/>
    <w:rsid w:val="00FB7ABA"/>
    <w:rsid w:val="00FB7C21"/>
    <w:rsid w:val="00FB7C46"/>
    <w:rsid w:val="00FC04E0"/>
    <w:rsid w:val="00FC06CE"/>
    <w:rsid w:val="00FC0D98"/>
    <w:rsid w:val="00FC0E2F"/>
    <w:rsid w:val="00FC1042"/>
    <w:rsid w:val="00FC11C6"/>
    <w:rsid w:val="00FC17D8"/>
    <w:rsid w:val="00FC279A"/>
    <w:rsid w:val="00FC324D"/>
    <w:rsid w:val="00FC330E"/>
    <w:rsid w:val="00FC39A1"/>
    <w:rsid w:val="00FC3BC3"/>
    <w:rsid w:val="00FC3E47"/>
    <w:rsid w:val="00FC4753"/>
    <w:rsid w:val="00FC4B53"/>
    <w:rsid w:val="00FC4BAE"/>
    <w:rsid w:val="00FC4F75"/>
    <w:rsid w:val="00FC5160"/>
    <w:rsid w:val="00FC5A36"/>
    <w:rsid w:val="00FC6353"/>
    <w:rsid w:val="00FC69CF"/>
    <w:rsid w:val="00FC6B0B"/>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458"/>
    <w:rsid w:val="00FE07DC"/>
    <w:rsid w:val="00FE08FB"/>
    <w:rsid w:val="00FE1116"/>
    <w:rsid w:val="00FE2075"/>
    <w:rsid w:val="00FE2080"/>
    <w:rsid w:val="00FE27B9"/>
    <w:rsid w:val="00FE2E37"/>
    <w:rsid w:val="00FE30EF"/>
    <w:rsid w:val="00FE3640"/>
    <w:rsid w:val="00FE36B6"/>
    <w:rsid w:val="00FE3780"/>
    <w:rsid w:val="00FE3954"/>
    <w:rsid w:val="00FE3AE5"/>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113400C"/>
    <w:rsid w:val="013B7FED"/>
    <w:rsid w:val="01AA2C10"/>
    <w:rsid w:val="02774981"/>
    <w:rsid w:val="028C3CDE"/>
    <w:rsid w:val="033F0590"/>
    <w:rsid w:val="03473806"/>
    <w:rsid w:val="037738D8"/>
    <w:rsid w:val="03EF5698"/>
    <w:rsid w:val="04272850"/>
    <w:rsid w:val="04431573"/>
    <w:rsid w:val="0551112D"/>
    <w:rsid w:val="05656A5F"/>
    <w:rsid w:val="057C5CD7"/>
    <w:rsid w:val="06640499"/>
    <w:rsid w:val="068955F4"/>
    <w:rsid w:val="06B93D80"/>
    <w:rsid w:val="07445783"/>
    <w:rsid w:val="075F0692"/>
    <w:rsid w:val="075F5104"/>
    <w:rsid w:val="07817FB2"/>
    <w:rsid w:val="0782189B"/>
    <w:rsid w:val="07983B34"/>
    <w:rsid w:val="07B92A66"/>
    <w:rsid w:val="07DB054A"/>
    <w:rsid w:val="08063B76"/>
    <w:rsid w:val="082E353B"/>
    <w:rsid w:val="083D2AF4"/>
    <w:rsid w:val="08D37B58"/>
    <w:rsid w:val="08F53B23"/>
    <w:rsid w:val="090B3338"/>
    <w:rsid w:val="091C32AD"/>
    <w:rsid w:val="09B43ADB"/>
    <w:rsid w:val="09F359D0"/>
    <w:rsid w:val="0A053C89"/>
    <w:rsid w:val="0A070656"/>
    <w:rsid w:val="0A2C751F"/>
    <w:rsid w:val="0A913ED8"/>
    <w:rsid w:val="0AD96F7B"/>
    <w:rsid w:val="0B24171E"/>
    <w:rsid w:val="0B5C3243"/>
    <w:rsid w:val="0B5E59FA"/>
    <w:rsid w:val="0B6B70BF"/>
    <w:rsid w:val="0B994D61"/>
    <w:rsid w:val="0BAB69EC"/>
    <w:rsid w:val="0BAD59A4"/>
    <w:rsid w:val="0C357211"/>
    <w:rsid w:val="0C3923C8"/>
    <w:rsid w:val="0C466B45"/>
    <w:rsid w:val="0D584403"/>
    <w:rsid w:val="0DEE7765"/>
    <w:rsid w:val="0E23383D"/>
    <w:rsid w:val="0E4868F2"/>
    <w:rsid w:val="0EAA7742"/>
    <w:rsid w:val="0ED23379"/>
    <w:rsid w:val="0F0E0266"/>
    <w:rsid w:val="0F204221"/>
    <w:rsid w:val="0F2B5D1F"/>
    <w:rsid w:val="0FF063FB"/>
    <w:rsid w:val="10053F70"/>
    <w:rsid w:val="101C0A97"/>
    <w:rsid w:val="10F67974"/>
    <w:rsid w:val="10FB7C4C"/>
    <w:rsid w:val="111B5956"/>
    <w:rsid w:val="113B273E"/>
    <w:rsid w:val="11A65CB0"/>
    <w:rsid w:val="11C646FD"/>
    <w:rsid w:val="11D0732A"/>
    <w:rsid w:val="122E5DFF"/>
    <w:rsid w:val="12685FCD"/>
    <w:rsid w:val="12812A60"/>
    <w:rsid w:val="12A47E0A"/>
    <w:rsid w:val="12D04177"/>
    <w:rsid w:val="130E284F"/>
    <w:rsid w:val="13734411"/>
    <w:rsid w:val="13EF0479"/>
    <w:rsid w:val="141379A2"/>
    <w:rsid w:val="146124BC"/>
    <w:rsid w:val="146F2C7A"/>
    <w:rsid w:val="149E4992"/>
    <w:rsid w:val="14AC5EDB"/>
    <w:rsid w:val="14CD18FF"/>
    <w:rsid w:val="15100EF3"/>
    <w:rsid w:val="15710540"/>
    <w:rsid w:val="15BE1504"/>
    <w:rsid w:val="15F91FB1"/>
    <w:rsid w:val="16D763CF"/>
    <w:rsid w:val="1707358B"/>
    <w:rsid w:val="170E5D26"/>
    <w:rsid w:val="17694B12"/>
    <w:rsid w:val="17BE59A2"/>
    <w:rsid w:val="17C84DD7"/>
    <w:rsid w:val="18185849"/>
    <w:rsid w:val="18510C73"/>
    <w:rsid w:val="190C7C11"/>
    <w:rsid w:val="19135C36"/>
    <w:rsid w:val="1921046B"/>
    <w:rsid w:val="1954601C"/>
    <w:rsid w:val="1979523D"/>
    <w:rsid w:val="19C6108D"/>
    <w:rsid w:val="19DC4392"/>
    <w:rsid w:val="1A1D43B6"/>
    <w:rsid w:val="1A255D39"/>
    <w:rsid w:val="1A4150D7"/>
    <w:rsid w:val="1A442DE9"/>
    <w:rsid w:val="1AFB2E83"/>
    <w:rsid w:val="1B2478B3"/>
    <w:rsid w:val="1B454C69"/>
    <w:rsid w:val="1B662AAD"/>
    <w:rsid w:val="1B97060E"/>
    <w:rsid w:val="1BC305D3"/>
    <w:rsid w:val="1C070820"/>
    <w:rsid w:val="1C1918CE"/>
    <w:rsid w:val="1C6F3169"/>
    <w:rsid w:val="1CAB69CA"/>
    <w:rsid w:val="1CD55680"/>
    <w:rsid w:val="1CEA3398"/>
    <w:rsid w:val="1D17637F"/>
    <w:rsid w:val="1D321E13"/>
    <w:rsid w:val="1D6E5431"/>
    <w:rsid w:val="1DBC044E"/>
    <w:rsid w:val="1DBC6CDD"/>
    <w:rsid w:val="1E3D566C"/>
    <w:rsid w:val="1E543091"/>
    <w:rsid w:val="1F06438B"/>
    <w:rsid w:val="1F4849CA"/>
    <w:rsid w:val="1F873477"/>
    <w:rsid w:val="1FDE0E64"/>
    <w:rsid w:val="201A6864"/>
    <w:rsid w:val="20591ECA"/>
    <w:rsid w:val="20B00655"/>
    <w:rsid w:val="21351A9F"/>
    <w:rsid w:val="21455F84"/>
    <w:rsid w:val="219D2C2E"/>
    <w:rsid w:val="227A7E77"/>
    <w:rsid w:val="228B7D11"/>
    <w:rsid w:val="230E088F"/>
    <w:rsid w:val="23700025"/>
    <w:rsid w:val="23AA3325"/>
    <w:rsid w:val="24294D56"/>
    <w:rsid w:val="24907DDE"/>
    <w:rsid w:val="24954EC6"/>
    <w:rsid w:val="24977600"/>
    <w:rsid w:val="24B831E2"/>
    <w:rsid w:val="250B120F"/>
    <w:rsid w:val="252C7220"/>
    <w:rsid w:val="252F6F5A"/>
    <w:rsid w:val="253778BB"/>
    <w:rsid w:val="257D4C7B"/>
    <w:rsid w:val="25BA5ED0"/>
    <w:rsid w:val="26027CCE"/>
    <w:rsid w:val="267918E7"/>
    <w:rsid w:val="26A50560"/>
    <w:rsid w:val="26C57E79"/>
    <w:rsid w:val="270F55EE"/>
    <w:rsid w:val="27256C05"/>
    <w:rsid w:val="272F1A96"/>
    <w:rsid w:val="273C55B4"/>
    <w:rsid w:val="274708B8"/>
    <w:rsid w:val="275B2D9A"/>
    <w:rsid w:val="277B4318"/>
    <w:rsid w:val="278F1B80"/>
    <w:rsid w:val="27930786"/>
    <w:rsid w:val="27B01338"/>
    <w:rsid w:val="27EE00B2"/>
    <w:rsid w:val="27F52753"/>
    <w:rsid w:val="28AA222B"/>
    <w:rsid w:val="28DF501C"/>
    <w:rsid w:val="28E33031"/>
    <w:rsid w:val="290A0F1C"/>
    <w:rsid w:val="290B325F"/>
    <w:rsid w:val="290F6532"/>
    <w:rsid w:val="29516039"/>
    <w:rsid w:val="297B0CF7"/>
    <w:rsid w:val="2A2B4716"/>
    <w:rsid w:val="2AD17CD9"/>
    <w:rsid w:val="2ADD0D44"/>
    <w:rsid w:val="2AEB2687"/>
    <w:rsid w:val="2B4029D3"/>
    <w:rsid w:val="2B822DA1"/>
    <w:rsid w:val="2D145EC5"/>
    <w:rsid w:val="2D32459D"/>
    <w:rsid w:val="2D4A5D8B"/>
    <w:rsid w:val="2D584F9C"/>
    <w:rsid w:val="2D9B00E0"/>
    <w:rsid w:val="2E156399"/>
    <w:rsid w:val="2E1B2005"/>
    <w:rsid w:val="2EA133AF"/>
    <w:rsid w:val="2EC6144D"/>
    <w:rsid w:val="2EDD2DD9"/>
    <w:rsid w:val="2EE644C2"/>
    <w:rsid w:val="2EF316AB"/>
    <w:rsid w:val="2F723467"/>
    <w:rsid w:val="2F7F3FED"/>
    <w:rsid w:val="2F922149"/>
    <w:rsid w:val="2FBB25B6"/>
    <w:rsid w:val="2FCA66A1"/>
    <w:rsid w:val="306835D0"/>
    <w:rsid w:val="309F5952"/>
    <w:rsid w:val="30B11C7D"/>
    <w:rsid w:val="31171DFE"/>
    <w:rsid w:val="31522F76"/>
    <w:rsid w:val="31975317"/>
    <w:rsid w:val="31A54EB0"/>
    <w:rsid w:val="32153FA4"/>
    <w:rsid w:val="3220530C"/>
    <w:rsid w:val="32A0292F"/>
    <w:rsid w:val="32A02B99"/>
    <w:rsid w:val="32C77048"/>
    <w:rsid w:val="32E60304"/>
    <w:rsid w:val="330F2BAA"/>
    <w:rsid w:val="33281F09"/>
    <w:rsid w:val="337D5F7B"/>
    <w:rsid w:val="33D414D0"/>
    <w:rsid w:val="3411197D"/>
    <w:rsid w:val="34303B21"/>
    <w:rsid w:val="34603E67"/>
    <w:rsid w:val="350B4052"/>
    <w:rsid w:val="351A16D2"/>
    <w:rsid w:val="354632DC"/>
    <w:rsid w:val="35A01932"/>
    <w:rsid w:val="35CD358A"/>
    <w:rsid w:val="35FA5E74"/>
    <w:rsid w:val="360C3CB8"/>
    <w:rsid w:val="36232DB0"/>
    <w:rsid w:val="363870C8"/>
    <w:rsid w:val="369342FF"/>
    <w:rsid w:val="36A828A0"/>
    <w:rsid w:val="37575E0D"/>
    <w:rsid w:val="37A51884"/>
    <w:rsid w:val="37BE442C"/>
    <w:rsid w:val="37DA77C3"/>
    <w:rsid w:val="383D6974"/>
    <w:rsid w:val="385F359C"/>
    <w:rsid w:val="38D91DC5"/>
    <w:rsid w:val="39C11D24"/>
    <w:rsid w:val="3A7601BF"/>
    <w:rsid w:val="3A9B5D9C"/>
    <w:rsid w:val="3AA6136A"/>
    <w:rsid w:val="3AAE2954"/>
    <w:rsid w:val="3AC3717D"/>
    <w:rsid w:val="3AD66F8F"/>
    <w:rsid w:val="3B245E6D"/>
    <w:rsid w:val="3B4151E2"/>
    <w:rsid w:val="3B977062"/>
    <w:rsid w:val="3BA80B19"/>
    <w:rsid w:val="3BCA6437"/>
    <w:rsid w:val="3C19712A"/>
    <w:rsid w:val="3C21415B"/>
    <w:rsid w:val="3C3A3403"/>
    <w:rsid w:val="3C4240EC"/>
    <w:rsid w:val="3C980F4D"/>
    <w:rsid w:val="3CD97D33"/>
    <w:rsid w:val="3D1141CF"/>
    <w:rsid w:val="3D1A43D8"/>
    <w:rsid w:val="3D711B40"/>
    <w:rsid w:val="3E0661B6"/>
    <w:rsid w:val="3E127D0F"/>
    <w:rsid w:val="3E285C74"/>
    <w:rsid w:val="3E381C1C"/>
    <w:rsid w:val="3E720B3A"/>
    <w:rsid w:val="3E800AA6"/>
    <w:rsid w:val="3EC4590F"/>
    <w:rsid w:val="3F340649"/>
    <w:rsid w:val="3F3A1FEB"/>
    <w:rsid w:val="3F542A99"/>
    <w:rsid w:val="3F5A6E24"/>
    <w:rsid w:val="3F6E3630"/>
    <w:rsid w:val="3F7B55BE"/>
    <w:rsid w:val="3FA26360"/>
    <w:rsid w:val="3FBD38D8"/>
    <w:rsid w:val="400F6A26"/>
    <w:rsid w:val="40524C47"/>
    <w:rsid w:val="40A67243"/>
    <w:rsid w:val="40B24412"/>
    <w:rsid w:val="4114428E"/>
    <w:rsid w:val="41C16096"/>
    <w:rsid w:val="41E53E7C"/>
    <w:rsid w:val="42253D73"/>
    <w:rsid w:val="422C7D41"/>
    <w:rsid w:val="425145DC"/>
    <w:rsid w:val="427C0258"/>
    <w:rsid w:val="42913E89"/>
    <w:rsid w:val="42E47FFA"/>
    <w:rsid w:val="431D479C"/>
    <w:rsid w:val="432D5ADB"/>
    <w:rsid w:val="438A2EB5"/>
    <w:rsid w:val="43BF1773"/>
    <w:rsid w:val="43F61428"/>
    <w:rsid w:val="441E71D2"/>
    <w:rsid w:val="447514E8"/>
    <w:rsid w:val="44C51A9D"/>
    <w:rsid w:val="44E4602A"/>
    <w:rsid w:val="455530C7"/>
    <w:rsid w:val="45794692"/>
    <w:rsid w:val="45B80788"/>
    <w:rsid w:val="461848EB"/>
    <w:rsid w:val="4682246B"/>
    <w:rsid w:val="47B6609F"/>
    <w:rsid w:val="47CA38F8"/>
    <w:rsid w:val="47E9061B"/>
    <w:rsid w:val="48002EF7"/>
    <w:rsid w:val="48082DD5"/>
    <w:rsid w:val="48416FFB"/>
    <w:rsid w:val="484245C7"/>
    <w:rsid w:val="48810B92"/>
    <w:rsid w:val="488D7CFE"/>
    <w:rsid w:val="49323FD7"/>
    <w:rsid w:val="495E02CF"/>
    <w:rsid w:val="49BB607B"/>
    <w:rsid w:val="49E3107C"/>
    <w:rsid w:val="4A1307B6"/>
    <w:rsid w:val="4A835607"/>
    <w:rsid w:val="4A9A6448"/>
    <w:rsid w:val="4AFF1B0B"/>
    <w:rsid w:val="4B0F55B5"/>
    <w:rsid w:val="4B5F25A5"/>
    <w:rsid w:val="4BEB6533"/>
    <w:rsid w:val="4C12409B"/>
    <w:rsid w:val="4C381A09"/>
    <w:rsid w:val="4C5B29DC"/>
    <w:rsid w:val="4C627DF5"/>
    <w:rsid w:val="4C7D1B31"/>
    <w:rsid w:val="4D5601C7"/>
    <w:rsid w:val="4D6B792C"/>
    <w:rsid w:val="4D907392"/>
    <w:rsid w:val="4D98742A"/>
    <w:rsid w:val="4E660124"/>
    <w:rsid w:val="4EAC5711"/>
    <w:rsid w:val="4ED319A6"/>
    <w:rsid w:val="4ED82D9F"/>
    <w:rsid w:val="4F221B96"/>
    <w:rsid w:val="4F436BFB"/>
    <w:rsid w:val="4F5B6594"/>
    <w:rsid w:val="4FE8134B"/>
    <w:rsid w:val="4FFF25AD"/>
    <w:rsid w:val="50966A6E"/>
    <w:rsid w:val="50AC1958"/>
    <w:rsid w:val="50BF1F63"/>
    <w:rsid w:val="50C376EA"/>
    <w:rsid w:val="51017FE1"/>
    <w:rsid w:val="513F2CA9"/>
    <w:rsid w:val="51B03B5F"/>
    <w:rsid w:val="51B2004B"/>
    <w:rsid w:val="52101EB8"/>
    <w:rsid w:val="523C542E"/>
    <w:rsid w:val="52E77A54"/>
    <w:rsid w:val="53756401"/>
    <w:rsid w:val="54124D07"/>
    <w:rsid w:val="54556AEA"/>
    <w:rsid w:val="54720924"/>
    <w:rsid w:val="547370A9"/>
    <w:rsid w:val="54980F22"/>
    <w:rsid w:val="55131A57"/>
    <w:rsid w:val="55622629"/>
    <w:rsid w:val="556A11A7"/>
    <w:rsid w:val="55EE2EA8"/>
    <w:rsid w:val="5614761A"/>
    <w:rsid w:val="56725887"/>
    <w:rsid w:val="568571D2"/>
    <w:rsid w:val="56A04BCB"/>
    <w:rsid w:val="56B0015D"/>
    <w:rsid w:val="56BA5F6D"/>
    <w:rsid w:val="56CA6B61"/>
    <w:rsid w:val="573C40E7"/>
    <w:rsid w:val="577D71D5"/>
    <w:rsid w:val="579969F9"/>
    <w:rsid w:val="582244C8"/>
    <w:rsid w:val="58417C07"/>
    <w:rsid w:val="584B6C46"/>
    <w:rsid w:val="58A118DF"/>
    <w:rsid w:val="58CE0D6F"/>
    <w:rsid w:val="58CF32DC"/>
    <w:rsid w:val="594763B6"/>
    <w:rsid w:val="597B395E"/>
    <w:rsid w:val="5980597B"/>
    <w:rsid w:val="59BB5797"/>
    <w:rsid w:val="5A3A2DDD"/>
    <w:rsid w:val="5A780DCD"/>
    <w:rsid w:val="5B565675"/>
    <w:rsid w:val="5B6B549F"/>
    <w:rsid w:val="5BC434D0"/>
    <w:rsid w:val="5BF918A2"/>
    <w:rsid w:val="5C3967C0"/>
    <w:rsid w:val="5C5E74A0"/>
    <w:rsid w:val="5CAC13C7"/>
    <w:rsid w:val="5CDF79EE"/>
    <w:rsid w:val="5D2B49E2"/>
    <w:rsid w:val="5D890A34"/>
    <w:rsid w:val="5E1B41D0"/>
    <w:rsid w:val="5E8C325E"/>
    <w:rsid w:val="5EB34C8F"/>
    <w:rsid w:val="5F372E10"/>
    <w:rsid w:val="5F4F6B8E"/>
    <w:rsid w:val="60182240"/>
    <w:rsid w:val="60AA207F"/>
    <w:rsid w:val="60B371C8"/>
    <w:rsid w:val="60BB607C"/>
    <w:rsid w:val="60CC6E5E"/>
    <w:rsid w:val="60F65FB0"/>
    <w:rsid w:val="616D74AC"/>
    <w:rsid w:val="61D70C94"/>
    <w:rsid w:val="61FF0E6B"/>
    <w:rsid w:val="62093465"/>
    <w:rsid w:val="62315204"/>
    <w:rsid w:val="623F0B7F"/>
    <w:rsid w:val="62485641"/>
    <w:rsid w:val="627A7692"/>
    <w:rsid w:val="62B8336A"/>
    <w:rsid w:val="63777D6A"/>
    <w:rsid w:val="6396497C"/>
    <w:rsid w:val="63C94F54"/>
    <w:rsid w:val="64337579"/>
    <w:rsid w:val="64441196"/>
    <w:rsid w:val="6445282D"/>
    <w:rsid w:val="6464222E"/>
    <w:rsid w:val="64DE2EB8"/>
    <w:rsid w:val="65091B75"/>
    <w:rsid w:val="65BC6440"/>
    <w:rsid w:val="65C36E7F"/>
    <w:rsid w:val="65D21A26"/>
    <w:rsid w:val="663557DC"/>
    <w:rsid w:val="663B7430"/>
    <w:rsid w:val="664B26DE"/>
    <w:rsid w:val="66807B4C"/>
    <w:rsid w:val="66BD4EB0"/>
    <w:rsid w:val="672A0BC3"/>
    <w:rsid w:val="674E13E4"/>
    <w:rsid w:val="676C2C42"/>
    <w:rsid w:val="67E34D44"/>
    <w:rsid w:val="682F4FA3"/>
    <w:rsid w:val="687775B2"/>
    <w:rsid w:val="689F3660"/>
    <w:rsid w:val="69855479"/>
    <w:rsid w:val="69E72A56"/>
    <w:rsid w:val="6A1B14A7"/>
    <w:rsid w:val="6A4B221F"/>
    <w:rsid w:val="6A614836"/>
    <w:rsid w:val="6AE5012B"/>
    <w:rsid w:val="6AEA423A"/>
    <w:rsid w:val="6B142F59"/>
    <w:rsid w:val="6B241A17"/>
    <w:rsid w:val="6B367ECC"/>
    <w:rsid w:val="6B6F2C38"/>
    <w:rsid w:val="6B7636D8"/>
    <w:rsid w:val="6B823B05"/>
    <w:rsid w:val="6B833C3B"/>
    <w:rsid w:val="6BF81432"/>
    <w:rsid w:val="6C63671C"/>
    <w:rsid w:val="6C7202C2"/>
    <w:rsid w:val="6C8D2FC3"/>
    <w:rsid w:val="6CB2402D"/>
    <w:rsid w:val="6CBF5146"/>
    <w:rsid w:val="6CC05184"/>
    <w:rsid w:val="6CDA2248"/>
    <w:rsid w:val="6D06656D"/>
    <w:rsid w:val="6D5503DF"/>
    <w:rsid w:val="6D9F54C4"/>
    <w:rsid w:val="6DD54C21"/>
    <w:rsid w:val="6E0C43BB"/>
    <w:rsid w:val="6E1148C4"/>
    <w:rsid w:val="6E5A218B"/>
    <w:rsid w:val="6E5F3E53"/>
    <w:rsid w:val="6E7C733D"/>
    <w:rsid w:val="6E914282"/>
    <w:rsid w:val="6E9C0F6F"/>
    <w:rsid w:val="6F0E4EC3"/>
    <w:rsid w:val="6FF624C2"/>
    <w:rsid w:val="700E0C38"/>
    <w:rsid w:val="70557737"/>
    <w:rsid w:val="709F32C5"/>
    <w:rsid w:val="70D95DF5"/>
    <w:rsid w:val="70E272B2"/>
    <w:rsid w:val="71AD7318"/>
    <w:rsid w:val="71C37A53"/>
    <w:rsid w:val="71D24010"/>
    <w:rsid w:val="720535FB"/>
    <w:rsid w:val="72113D4E"/>
    <w:rsid w:val="721675B7"/>
    <w:rsid w:val="72553376"/>
    <w:rsid w:val="7267635A"/>
    <w:rsid w:val="726D70E7"/>
    <w:rsid w:val="72A63D8F"/>
    <w:rsid w:val="73351CBE"/>
    <w:rsid w:val="73C82F34"/>
    <w:rsid w:val="741A09E2"/>
    <w:rsid w:val="744B56A6"/>
    <w:rsid w:val="747D74F0"/>
    <w:rsid w:val="7481091C"/>
    <w:rsid w:val="74AC5FB0"/>
    <w:rsid w:val="74C31ECB"/>
    <w:rsid w:val="74F12DCB"/>
    <w:rsid w:val="755C3388"/>
    <w:rsid w:val="75706E64"/>
    <w:rsid w:val="75942919"/>
    <w:rsid w:val="75AF5E0D"/>
    <w:rsid w:val="75B0264C"/>
    <w:rsid w:val="75CA2B92"/>
    <w:rsid w:val="75CF3FC2"/>
    <w:rsid w:val="76A5715B"/>
    <w:rsid w:val="76C4494D"/>
    <w:rsid w:val="76D10FD2"/>
    <w:rsid w:val="76D17F50"/>
    <w:rsid w:val="76DD0079"/>
    <w:rsid w:val="76FB321F"/>
    <w:rsid w:val="771E7B4B"/>
    <w:rsid w:val="77685B09"/>
    <w:rsid w:val="77AA57AB"/>
    <w:rsid w:val="780118BE"/>
    <w:rsid w:val="7809626E"/>
    <w:rsid w:val="78D44F8B"/>
    <w:rsid w:val="7955463C"/>
    <w:rsid w:val="79860335"/>
    <w:rsid w:val="79BA4CCB"/>
    <w:rsid w:val="7A431FFE"/>
    <w:rsid w:val="7A794B87"/>
    <w:rsid w:val="7AAA36FF"/>
    <w:rsid w:val="7AAF05A8"/>
    <w:rsid w:val="7AB45BBF"/>
    <w:rsid w:val="7ACD0924"/>
    <w:rsid w:val="7B272834"/>
    <w:rsid w:val="7B560A24"/>
    <w:rsid w:val="7B6E3FBF"/>
    <w:rsid w:val="7B6F7194"/>
    <w:rsid w:val="7B864A30"/>
    <w:rsid w:val="7BAE2AFA"/>
    <w:rsid w:val="7BDC5732"/>
    <w:rsid w:val="7C0552B2"/>
    <w:rsid w:val="7C417926"/>
    <w:rsid w:val="7C634A7F"/>
    <w:rsid w:val="7C6667F9"/>
    <w:rsid w:val="7C9C4E59"/>
    <w:rsid w:val="7D072223"/>
    <w:rsid w:val="7D0F13A5"/>
    <w:rsid w:val="7D8B2AD6"/>
    <w:rsid w:val="7DA168CE"/>
    <w:rsid w:val="7DF06FD5"/>
    <w:rsid w:val="7E2F1D63"/>
    <w:rsid w:val="7E3420E2"/>
    <w:rsid w:val="7E665422"/>
    <w:rsid w:val="7F30558E"/>
    <w:rsid w:val="7F7B4EFD"/>
    <w:rsid w:val="7F843761"/>
    <w:rsid w:val="7FBD5515"/>
    <w:rsid w:val="7FF67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iPriority="99"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9"/>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0"/>
    <w:autoRedefine/>
    <w:qFormat/>
    <w:uiPriority w:val="0"/>
    <w:pPr>
      <w:keepNext/>
      <w:keepLines/>
      <w:spacing w:before="260" w:after="260" w:line="416" w:lineRule="auto"/>
      <w:outlineLvl w:val="2"/>
    </w:pPr>
    <w:rPr>
      <w:b/>
      <w:bCs/>
      <w:kern w:val="0"/>
      <w:sz w:val="32"/>
      <w:szCs w:val="32"/>
    </w:rPr>
  </w:style>
  <w:style w:type="paragraph" w:styleId="5">
    <w:name w:val="heading 4"/>
    <w:basedOn w:val="1"/>
    <w:next w:val="1"/>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61"/>
    <w:autoRedefine/>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2"/>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3"/>
    <w:autoRedefine/>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4"/>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5"/>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66"/>
    <w:autoRedefine/>
    <w:unhideWhenUsed/>
    <w:qFormat/>
    <w:uiPriority w:val="0"/>
    <w:pPr>
      <w:shd w:val="clear" w:color="auto" w:fill="000080"/>
    </w:pPr>
    <w:rPr>
      <w:rFonts w:hint="eastAsia" w:ascii="宋体" w:hAnsi="宋体"/>
      <w:kern w:val="0"/>
      <w:sz w:val="20"/>
      <w:szCs w:val="20"/>
    </w:rPr>
  </w:style>
  <w:style w:type="paragraph" w:styleId="16">
    <w:name w:val="toa heading"/>
    <w:basedOn w:val="1"/>
    <w:next w:val="1"/>
    <w:autoRedefine/>
    <w:unhideWhenUsed/>
    <w:qFormat/>
    <w:uiPriority w:val="99"/>
    <w:pPr>
      <w:spacing w:before="120"/>
    </w:pPr>
    <w:rPr>
      <w:rFonts w:ascii="Arial" w:hAnsi="Arial" w:cs="Arial"/>
      <w:sz w:val="24"/>
    </w:rPr>
  </w:style>
  <w:style w:type="paragraph" w:styleId="17">
    <w:name w:val="annotation text"/>
    <w:basedOn w:val="1"/>
    <w:link w:val="67"/>
    <w:autoRedefine/>
    <w:unhideWhenUsed/>
    <w:qFormat/>
    <w:uiPriority w:val="0"/>
    <w:pPr>
      <w:jc w:val="left"/>
    </w:pPr>
  </w:style>
  <w:style w:type="paragraph" w:styleId="18">
    <w:name w:val="Body Text 3"/>
    <w:basedOn w:val="1"/>
    <w:link w:val="68"/>
    <w:autoRedefine/>
    <w:qFormat/>
    <w:uiPriority w:val="0"/>
    <w:pPr>
      <w:spacing w:line="500" w:lineRule="exact"/>
    </w:pPr>
    <w:rPr>
      <w:b/>
      <w:bCs/>
      <w:kern w:val="0"/>
      <w:sz w:val="24"/>
    </w:rPr>
  </w:style>
  <w:style w:type="paragraph" w:styleId="19">
    <w:name w:val="Body Text"/>
    <w:basedOn w:val="1"/>
    <w:next w:val="1"/>
    <w:link w:val="69"/>
    <w:autoRedefine/>
    <w:qFormat/>
    <w:uiPriority w:val="99"/>
    <w:pPr>
      <w:spacing w:line="380" w:lineRule="exact"/>
    </w:pPr>
    <w:rPr>
      <w:kern w:val="0"/>
      <w:sz w:val="24"/>
    </w:rPr>
  </w:style>
  <w:style w:type="paragraph" w:styleId="20">
    <w:name w:val="Body Text Indent"/>
    <w:basedOn w:val="1"/>
    <w:next w:val="1"/>
    <w:link w:val="70"/>
    <w:autoRedefine/>
    <w:qFormat/>
    <w:uiPriority w:val="0"/>
    <w:pPr>
      <w:ind w:firstLine="830" w:firstLineChars="352"/>
    </w:pPr>
    <w:rPr>
      <w:rFonts w:ascii="仿宋_GB2312" w:eastAsia="仿宋_GB2312"/>
      <w:kern w:val="0"/>
      <w:sz w:val="32"/>
      <w:szCs w:val="20"/>
    </w:rPr>
  </w:style>
  <w:style w:type="paragraph" w:styleId="21">
    <w:name w:val="List Number 3"/>
    <w:basedOn w:val="1"/>
    <w:autoRedefine/>
    <w:qFormat/>
    <w:uiPriority w:val="0"/>
    <w:pPr>
      <w:numPr>
        <w:ilvl w:val="0"/>
        <w:numId w:val="2"/>
      </w:numPr>
    </w:pPr>
  </w:style>
  <w:style w:type="paragraph" w:styleId="22">
    <w:name w:val="List 2"/>
    <w:basedOn w:val="1"/>
    <w:autoRedefine/>
    <w:qFormat/>
    <w:uiPriority w:val="0"/>
    <w:pPr>
      <w:ind w:left="100" w:leftChars="200" w:hanging="200" w:hangingChars="200"/>
    </w:pPr>
    <w:rPr>
      <w:sz w:val="28"/>
    </w:rPr>
  </w:style>
  <w:style w:type="paragraph" w:styleId="23">
    <w:name w:val="toc 5"/>
    <w:basedOn w:val="1"/>
    <w:next w:val="1"/>
    <w:autoRedefine/>
    <w:unhideWhenUsed/>
    <w:qFormat/>
    <w:uiPriority w:val="39"/>
    <w:pPr>
      <w:ind w:left="1680" w:leftChars="800"/>
    </w:pPr>
    <w:rPr>
      <w:rFonts w:ascii="Calibri" w:hAnsi="Calibri"/>
      <w:szCs w:val="22"/>
    </w:rPr>
  </w:style>
  <w:style w:type="paragraph" w:styleId="24">
    <w:name w:val="toc 3"/>
    <w:basedOn w:val="1"/>
    <w:next w:val="1"/>
    <w:autoRedefine/>
    <w:unhideWhenUsed/>
    <w:qFormat/>
    <w:uiPriority w:val="39"/>
    <w:pPr>
      <w:ind w:left="840" w:leftChars="400"/>
    </w:pPr>
    <w:rPr>
      <w:rFonts w:ascii="Calibri" w:hAnsi="Calibri"/>
      <w:szCs w:val="22"/>
    </w:rPr>
  </w:style>
  <w:style w:type="paragraph" w:styleId="25">
    <w:name w:val="Plain Text"/>
    <w:basedOn w:val="1"/>
    <w:next w:val="5"/>
    <w:link w:val="71"/>
    <w:autoRedefine/>
    <w:qFormat/>
    <w:uiPriority w:val="0"/>
    <w:rPr>
      <w:rFonts w:ascii="宋体" w:hAnsi="Courier New"/>
      <w:kern w:val="0"/>
      <w:sz w:val="20"/>
      <w:szCs w:val="21"/>
    </w:rPr>
  </w:style>
  <w:style w:type="paragraph" w:styleId="26">
    <w:name w:val="toc 8"/>
    <w:basedOn w:val="1"/>
    <w:next w:val="1"/>
    <w:autoRedefine/>
    <w:unhideWhenUsed/>
    <w:qFormat/>
    <w:uiPriority w:val="39"/>
    <w:pPr>
      <w:ind w:left="2940" w:leftChars="1400"/>
    </w:pPr>
    <w:rPr>
      <w:rFonts w:ascii="Calibri" w:hAnsi="Calibri"/>
      <w:szCs w:val="22"/>
    </w:rPr>
  </w:style>
  <w:style w:type="paragraph" w:styleId="27">
    <w:name w:val="Date"/>
    <w:basedOn w:val="1"/>
    <w:next w:val="1"/>
    <w:link w:val="72"/>
    <w:autoRedefine/>
    <w:qFormat/>
    <w:uiPriority w:val="0"/>
    <w:pPr>
      <w:ind w:left="100" w:leftChars="2500"/>
    </w:pPr>
    <w:rPr>
      <w:rFonts w:ascii="宋体" w:hAnsi="Courier New"/>
      <w:kern w:val="0"/>
      <w:sz w:val="20"/>
      <w:szCs w:val="21"/>
    </w:rPr>
  </w:style>
  <w:style w:type="paragraph" w:styleId="28">
    <w:name w:val="Body Text Indent 2"/>
    <w:basedOn w:val="1"/>
    <w:link w:val="73"/>
    <w:autoRedefine/>
    <w:qFormat/>
    <w:uiPriority w:val="0"/>
    <w:pPr>
      <w:ind w:firstLine="630"/>
    </w:pPr>
    <w:rPr>
      <w:kern w:val="0"/>
      <w:sz w:val="32"/>
      <w:szCs w:val="20"/>
    </w:rPr>
  </w:style>
  <w:style w:type="paragraph" w:styleId="29">
    <w:name w:val="endnote text"/>
    <w:basedOn w:val="1"/>
    <w:link w:val="74"/>
    <w:autoRedefine/>
    <w:unhideWhenUsed/>
    <w:qFormat/>
    <w:uiPriority w:val="99"/>
    <w:pPr>
      <w:snapToGrid w:val="0"/>
      <w:jc w:val="left"/>
    </w:pPr>
  </w:style>
  <w:style w:type="paragraph" w:styleId="30">
    <w:name w:val="Balloon Text"/>
    <w:basedOn w:val="1"/>
    <w:link w:val="75"/>
    <w:autoRedefine/>
    <w:semiHidden/>
    <w:qFormat/>
    <w:uiPriority w:val="0"/>
    <w:rPr>
      <w:kern w:val="0"/>
      <w:sz w:val="18"/>
      <w:szCs w:val="18"/>
    </w:rPr>
  </w:style>
  <w:style w:type="paragraph" w:styleId="31">
    <w:name w:val="footer"/>
    <w:basedOn w:val="1"/>
    <w:next w:val="1"/>
    <w:link w:val="76"/>
    <w:autoRedefine/>
    <w:unhideWhenUsed/>
    <w:qFormat/>
    <w:uiPriority w:val="99"/>
    <w:pPr>
      <w:tabs>
        <w:tab w:val="center" w:pos="4153"/>
        <w:tab w:val="right" w:pos="8306"/>
      </w:tabs>
      <w:snapToGrid w:val="0"/>
      <w:jc w:val="left"/>
    </w:pPr>
    <w:rPr>
      <w:kern w:val="0"/>
      <w:sz w:val="18"/>
      <w:szCs w:val="18"/>
    </w:rPr>
  </w:style>
  <w:style w:type="paragraph" w:styleId="32">
    <w:name w:val="header"/>
    <w:basedOn w:val="1"/>
    <w:link w:val="77"/>
    <w:autoRedefine/>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autoRedefine/>
    <w:unhideWhenUsed/>
    <w:qFormat/>
    <w:uiPriority w:val="39"/>
    <w:pPr>
      <w:ind w:left="1260" w:leftChars="600"/>
    </w:pPr>
    <w:rPr>
      <w:rFonts w:ascii="Calibri" w:hAnsi="Calibri"/>
      <w:szCs w:val="22"/>
    </w:rPr>
  </w:style>
  <w:style w:type="paragraph" w:styleId="35">
    <w:name w:val="List"/>
    <w:basedOn w:val="1"/>
    <w:autoRedefine/>
    <w:qFormat/>
    <w:uiPriority w:val="0"/>
    <w:pPr>
      <w:ind w:left="200" w:hanging="200" w:hangingChars="200"/>
    </w:pPr>
    <w:rPr>
      <w:sz w:val="28"/>
    </w:rPr>
  </w:style>
  <w:style w:type="paragraph" w:styleId="36">
    <w:name w:val="footnote text"/>
    <w:basedOn w:val="1"/>
    <w:link w:val="78"/>
    <w:autoRedefine/>
    <w:unhideWhenUsed/>
    <w:qFormat/>
    <w:uiPriority w:val="99"/>
    <w:pPr>
      <w:snapToGrid w:val="0"/>
      <w:jc w:val="left"/>
    </w:pPr>
    <w:rPr>
      <w:sz w:val="18"/>
      <w:szCs w:val="18"/>
    </w:rPr>
  </w:style>
  <w:style w:type="paragraph" w:styleId="37">
    <w:name w:val="toc 6"/>
    <w:basedOn w:val="1"/>
    <w:next w:val="1"/>
    <w:autoRedefine/>
    <w:unhideWhenUsed/>
    <w:qFormat/>
    <w:uiPriority w:val="39"/>
    <w:pPr>
      <w:ind w:left="2100" w:leftChars="1000"/>
    </w:pPr>
    <w:rPr>
      <w:rFonts w:ascii="Calibri" w:hAnsi="Calibri"/>
      <w:szCs w:val="22"/>
    </w:rPr>
  </w:style>
  <w:style w:type="paragraph" w:styleId="38">
    <w:name w:val="Body Text Indent 3"/>
    <w:basedOn w:val="1"/>
    <w:link w:val="79"/>
    <w:autoRedefine/>
    <w:qFormat/>
    <w:uiPriority w:val="0"/>
    <w:pPr>
      <w:spacing w:after="120"/>
      <w:ind w:left="420" w:leftChars="200"/>
    </w:pPr>
    <w:rPr>
      <w:kern w:val="0"/>
      <w:sz w:val="16"/>
      <w:szCs w:val="16"/>
    </w:rPr>
  </w:style>
  <w:style w:type="paragraph" w:styleId="39">
    <w:name w:val="toc 2"/>
    <w:basedOn w:val="1"/>
    <w:next w:val="1"/>
    <w:autoRedefine/>
    <w:unhideWhenUsed/>
    <w:qFormat/>
    <w:uiPriority w:val="39"/>
    <w:pPr>
      <w:ind w:left="420" w:leftChars="200"/>
    </w:pPr>
  </w:style>
  <w:style w:type="paragraph" w:styleId="40">
    <w:name w:val="toc 9"/>
    <w:basedOn w:val="1"/>
    <w:next w:val="1"/>
    <w:autoRedefine/>
    <w:unhideWhenUsed/>
    <w:qFormat/>
    <w:uiPriority w:val="39"/>
    <w:pPr>
      <w:ind w:left="3360" w:leftChars="1600"/>
    </w:pPr>
    <w:rPr>
      <w:rFonts w:ascii="Calibri" w:hAnsi="Calibri"/>
      <w:szCs w:val="22"/>
    </w:rPr>
  </w:style>
  <w:style w:type="paragraph" w:styleId="41">
    <w:name w:val="Body Text 2"/>
    <w:basedOn w:val="1"/>
    <w:link w:val="80"/>
    <w:autoRedefine/>
    <w:qFormat/>
    <w:uiPriority w:val="0"/>
    <w:pPr>
      <w:spacing w:after="120" w:line="480" w:lineRule="auto"/>
    </w:pPr>
    <w:rPr>
      <w:kern w:val="0"/>
      <w:sz w:val="20"/>
    </w:rPr>
  </w:style>
  <w:style w:type="paragraph" w:styleId="4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44">
    <w:name w:val="Title"/>
    <w:basedOn w:val="1"/>
    <w:next w:val="1"/>
    <w:link w:val="81"/>
    <w:autoRedefine/>
    <w:qFormat/>
    <w:uiPriority w:val="10"/>
    <w:pPr>
      <w:spacing w:before="240" w:after="60"/>
      <w:jc w:val="center"/>
      <w:outlineLvl w:val="0"/>
    </w:pPr>
    <w:rPr>
      <w:rFonts w:ascii="Cambria" w:hAnsi="Cambria"/>
      <w:b/>
      <w:bCs/>
      <w:sz w:val="32"/>
      <w:szCs w:val="32"/>
    </w:rPr>
  </w:style>
  <w:style w:type="paragraph" w:styleId="45">
    <w:name w:val="annotation subject"/>
    <w:basedOn w:val="17"/>
    <w:next w:val="17"/>
    <w:link w:val="82"/>
    <w:autoRedefine/>
    <w:unhideWhenUsed/>
    <w:qFormat/>
    <w:uiPriority w:val="99"/>
    <w:rPr>
      <w:b/>
      <w:bCs/>
    </w:rPr>
  </w:style>
  <w:style w:type="paragraph" w:styleId="46">
    <w:name w:val="Body Text First Indent 2"/>
    <w:basedOn w:val="20"/>
    <w:autoRedefine/>
    <w:unhideWhenUsed/>
    <w:qFormat/>
    <w:uiPriority w:val="99"/>
    <w:pPr>
      <w:spacing w:after="120"/>
      <w:ind w:left="420" w:leftChars="200" w:firstLine="420" w:firstLineChars="200"/>
    </w:pPr>
    <w:rPr>
      <w:rFonts w:ascii="Times New Roman" w:eastAsia="宋体"/>
      <w:kern w:val="2"/>
      <w:sz w:val="21"/>
      <w:szCs w:val="24"/>
    </w:rPr>
  </w:style>
  <w:style w:type="table" w:styleId="48">
    <w:name w:val="Table Grid"/>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autoRedefine/>
    <w:qFormat/>
    <w:uiPriority w:val="22"/>
    <w:rPr>
      <w:b/>
    </w:rPr>
  </w:style>
  <w:style w:type="character" w:styleId="51">
    <w:name w:val="endnote reference"/>
    <w:autoRedefine/>
    <w:unhideWhenUsed/>
    <w:qFormat/>
    <w:uiPriority w:val="99"/>
    <w:rPr>
      <w:vertAlign w:val="superscript"/>
    </w:rPr>
  </w:style>
  <w:style w:type="character" w:styleId="52">
    <w:name w:val="page number"/>
    <w:autoRedefine/>
    <w:qFormat/>
    <w:uiPriority w:val="0"/>
  </w:style>
  <w:style w:type="character" w:styleId="53">
    <w:name w:val="FollowedHyperlink"/>
    <w:autoRedefine/>
    <w:qFormat/>
    <w:uiPriority w:val="0"/>
    <w:rPr>
      <w:color w:val="000000"/>
      <w:u w:val="none"/>
    </w:rPr>
  </w:style>
  <w:style w:type="character" w:styleId="54">
    <w:name w:val="Hyperlink"/>
    <w:autoRedefine/>
    <w:qFormat/>
    <w:uiPriority w:val="99"/>
    <w:rPr>
      <w:color w:val="000000"/>
      <w:u w:val="none"/>
    </w:rPr>
  </w:style>
  <w:style w:type="character" w:styleId="55">
    <w:name w:val="annotation reference"/>
    <w:autoRedefine/>
    <w:unhideWhenUsed/>
    <w:qFormat/>
    <w:uiPriority w:val="0"/>
    <w:rPr>
      <w:sz w:val="21"/>
      <w:szCs w:val="21"/>
    </w:rPr>
  </w:style>
  <w:style w:type="character" w:styleId="56">
    <w:name w:val="footnote reference"/>
    <w:autoRedefine/>
    <w:unhideWhenUsed/>
    <w:qFormat/>
    <w:uiPriority w:val="99"/>
    <w:rPr>
      <w:vertAlign w:val="superscript"/>
    </w:rPr>
  </w:style>
  <w:style w:type="character" w:styleId="57">
    <w:name w:val="HTML Sample"/>
    <w:autoRedefine/>
    <w:unhideWhenUsed/>
    <w:qFormat/>
    <w:uiPriority w:val="99"/>
    <w:rPr>
      <w:rFonts w:ascii="Courier New" w:hAnsi="Courier New"/>
    </w:rPr>
  </w:style>
  <w:style w:type="character" w:customStyle="1" w:styleId="58">
    <w:name w:val="标题 1 字符1"/>
    <w:link w:val="2"/>
    <w:autoRedefine/>
    <w:qFormat/>
    <w:uiPriority w:val="0"/>
    <w:rPr>
      <w:rFonts w:ascii="Times New Roman" w:hAnsi="Times New Roman" w:eastAsia="宋体" w:cs="Times New Roman"/>
      <w:b/>
      <w:bCs/>
      <w:kern w:val="44"/>
      <w:sz w:val="44"/>
      <w:szCs w:val="44"/>
    </w:rPr>
  </w:style>
  <w:style w:type="character" w:customStyle="1" w:styleId="59">
    <w:name w:val="标题 2 字符"/>
    <w:link w:val="3"/>
    <w:autoRedefine/>
    <w:qFormat/>
    <w:uiPriority w:val="0"/>
    <w:rPr>
      <w:rFonts w:ascii="Arial" w:hAnsi="Arial" w:eastAsia="黑体" w:cs="Times New Roman"/>
      <w:b/>
      <w:bCs/>
      <w:sz w:val="32"/>
      <w:szCs w:val="32"/>
    </w:rPr>
  </w:style>
  <w:style w:type="character" w:customStyle="1" w:styleId="60">
    <w:name w:val="标题 3 字符"/>
    <w:link w:val="4"/>
    <w:autoRedefine/>
    <w:qFormat/>
    <w:uiPriority w:val="0"/>
    <w:rPr>
      <w:rFonts w:ascii="Times New Roman" w:hAnsi="Times New Roman" w:eastAsia="宋体" w:cs="Times New Roman"/>
      <w:b/>
      <w:bCs/>
      <w:sz w:val="32"/>
      <w:szCs w:val="32"/>
    </w:rPr>
  </w:style>
  <w:style w:type="character" w:customStyle="1" w:styleId="61">
    <w:name w:val="标题 5 字符"/>
    <w:link w:val="6"/>
    <w:autoRedefine/>
    <w:qFormat/>
    <w:uiPriority w:val="0"/>
    <w:rPr>
      <w:b/>
      <w:kern w:val="2"/>
      <w:sz w:val="28"/>
      <w:szCs w:val="24"/>
    </w:rPr>
  </w:style>
  <w:style w:type="character" w:customStyle="1" w:styleId="62">
    <w:name w:val="标题 6 字符"/>
    <w:link w:val="8"/>
    <w:autoRedefine/>
    <w:qFormat/>
    <w:uiPriority w:val="0"/>
    <w:rPr>
      <w:rFonts w:ascii="Arial" w:hAnsi="Arial" w:eastAsia="黑体"/>
      <w:b/>
      <w:kern w:val="2"/>
      <w:sz w:val="24"/>
      <w:szCs w:val="24"/>
    </w:rPr>
  </w:style>
  <w:style w:type="character" w:customStyle="1" w:styleId="63">
    <w:name w:val="标题 7 字符"/>
    <w:link w:val="9"/>
    <w:autoRedefine/>
    <w:qFormat/>
    <w:uiPriority w:val="0"/>
    <w:rPr>
      <w:rFonts w:ascii="Times New Roman" w:hAnsi="Times New Roman"/>
      <w:b/>
      <w:kern w:val="2"/>
      <w:sz w:val="24"/>
      <w:szCs w:val="24"/>
    </w:rPr>
  </w:style>
  <w:style w:type="character" w:customStyle="1" w:styleId="64">
    <w:name w:val="标题 8 字符"/>
    <w:link w:val="10"/>
    <w:autoRedefine/>
    <w:qFormat/>
    <w:uiPriority w:val="0"/>
    <w:rPr>
      <w:rFonts w:ascii="Arial" w:hAnsi="Arial" w:eastAsia="黑体"/>
      <w:kern w:val="2"/>
      <w:sz w:val="24"/>
      <w:szCs w:val="24"/>
    </w:rPr>
  </w:style>
  <w:style w:type="character" w:customStyle="1" w:styleId="65">
    <w:name w:val="标题 9 字符"/>
    <w:link w:val="11"/>
    <w:autoRedefine/>
    <w:qFormat/>
    <w:uiPriority w:val="0"/>
    <w:rPr>
      <w:rFonts w:ascii="Arial" w:hAnsi="Arial" w:eastAsia="黑体"/>
      <w:kern w:val="2"/>
      <w:sz w:val="21"/>
      <w:szCs w:val="24"/>
    </w:rPr>
  </w:style>
  <w:style w:type="character" w:customStyle="1" w:styleId="66">
    <w:name w:val="文档结构图 字符"/>
    <w:link w:val="15"/>
    <w:autoRedefine/>
    <w:qFormat/>
    <w:uiPriority w:val="0"/>
    <w:rPr>
      <w:rFonts w:hint="eastAsia" w:ascii="宋体" w:hAnsi="宋体" w:eastAsia="宋体" w:cs="宋体"/>
    </w:rPr>
  </w:style>
  <w:style w:type="character" w:customStyle="1" w:styleId="67">
    <w:name w:val="批注文字 字符2"/>
    <w:link w:val="17"/>
    <w:autoRedefine/>
    <w:qFormat/>
    <w:uiPriority w:val="0"/>
    <w:rPr>
      <w:rFonts w:ascii="Times New Roman" w:hAnsi="Times New Roman"/>
      <w:kern w:val="2"/>
      <w:sz w:val="21"/>
      <w:szCs w:val="24"/>
    </w:rPr>
  </w:style>
  <w:style w:type="character" w:customStyle="1" w:styleId="68">
    <w:name w:val="正文文本 3 字符"/>
    <w:link w:val="18"/>
    <w:autoRedefine/>
    <w:qFormat/>
    <w:uiPriority w:val="0"/>
    <w:rPr>
      <w:rFonts w:ascii="Times New Roman" w:hAnsi="Times New Roman" w:eastAsia="宋体" w:cs="Times New Roman"/>
      <w:b/>
      <w:bCs/>
      <w:sz w:val="24"/>
      <w:szCs w:val="24"/>
    </w:rPr>
  </w:style>
  <w:style w:type="character" w:customStyle="1" w:styleId="69">
    <w:name w:val="正文文本 字符"/>
    <w:link w:val="19"/>
    <w:autoRedefine/>
    <w:qFormat/>
    <w:uiPriority w:val="99"/>
    <w:rPr>
      <w:rFonts w:ascii="Times New Roman" w:hAnsi="Times New Roman" w:eastAsia="宋体" w:cs="Times New Roman"/>
      <w:sz w:val="24"/>
      <w:szCs w:val="24"/>
    </w:rPr>
  </w:style>
  <w:style w:type="character" w:customStyle="1" w:styleId="70">
    <w:name w:val="正文文本缩进 字符1"/>
    <w:link w:val="20"/>
    <w:autoRedefine/>
    <w:qFormat/>
    <w:uiPriority w:val="0"/>
    <w:rPr>
      <w:rFonts w:ascii="仿宋_GB2312" w:hAnsi="Times New Roman" w:eastAsia="仿宋_GB2312" w:cs="Times New Roman"/>
      <w:sz w:val="32"/>
      <w:szCs w:val="20"/>
    </w:rPr>
  </w:style>
  <w:style w:type="character" w:customStyle="1" w:styleId="71">
    <w:name w:val="纯文本 字符2"/>
    <w:link w:val="25"/>
    <w:autoRedefine/>
    <w:qFormat/>
    <w:uiPriority w:val="0"/>
    <w:rPr>
      <w:rFonts w:ascii="宋体" w:hAnsi="Courier New" w:eastAsia="宋体" w:cs="Courier New"/>
      <w:szCs w:val="21"/>
    </w:rPr>
  </w:style>
  <w:style w:type="character" w:customStyle="1" w:styleId="72">
    <w:name w:val="日期 字符"/>
    <w:link w:val="27"/>
    <w:autoRedefine/>
    <w:qFormat/>
    <w:uiPriority w:val="0"/>
    <w:rPr>
      <w:rFonts w:ascii="宋体" w:hAnsi="Courier New" w:eastAsia="宋体" w:cs="Courier New"/>
      <w:szCs w:val="21"/>
    </w:rPr>
  </w:style>
  <w:style w:type="character" w:customStyle="1" w:styleId="73">
    <w:name w:val="正文文本缩进 2 字符"/>
    <w:link w:val="28"/>
    <w:autoRedefine/>
    <w:qFormat/>
    <w:uiPriority w:val="0"/>
    <w:rPr>
      <w:rFonts w:ascii="Times New Roman" w:hAnsi="Times New Roman" w:eastAsia="宋体" w:cs="Times New Roman"/>
      <w:sz w:val="32"/>
      <w:szCs w:val="20"/>
    </w:rPr>
  </w:style>
  <w:style w:type="character" w:customStyle="1" w:styleId="74">
    <w:name w:val="尾注文本 字符"/>
    <w:link w:val="29"/>
    <w:autoRedefine/>
    <w:semiHidden/>
    <w:qFormat/>
    <w:uiPriority w:val="99"/>
    <w:rPr>
      <w:rFonts w:ascii="Times New Roman" w:hAnsi="Times New Roman"/>
      <w:kern w:val="2"/>
      <w:sz w:val="21"/>
      <w:szCs w:val="24"/>
    </w:rPr>
  </w:style>
  <w:style w:type="character" w:customStyle="1" w:styleId="75">
    <w:name w:val="批注框文本 字符"/>
    <w:link w:val="30"/>
    <w:autoRedefine/>
    <w:semiHidden/>
    <w:qFormat/>
    <w:uiPriority w:val="0"/>
    <w:rPr>
      <w:rFonts w:ascii="Times New Roman" w:hAnsi="Times New Roman" w:eastAsia="宋体" w:cs="Times New Roman"/>
      <w:sz w:val="18"/>
      <w:szCs w:val="18"/>
    </w:rPr>
  </w:style>
  <w:style w:type="character" w:customStyle="1" w:styleId="76">
    <w:name w:val="页脚 字符1"/>
    <w:link w:val="31"/>
    <w:autoRedefine/>
    <w:qFormat/>
    <w:uiPriority w:val="99"/>
    <w:rPr>
      <w:sz w:val="18"/>
      <w:szCs w:val="18"/>
    </w:rPr>
  </w:style>
  <w:style w:type="character" w:customStyle="1" w:styleId="77">
    <w:name w:val="页眉 字符"/>
    <w:link w:val="32"/>
    <w:autoRedefine/>
    <w:qFormat/>
    <w:uiPriority w:val="99"/>
    <w:rPr>
      <w:rFonts w:ascii="Times New Roman" w:hAnsi="Times New Roman"/>
      <w:kern w:val="2"/>
      <w:sz w:val="18"/>
      <w:szCs w:val="18"/>
    </w:rPr>
  </w:style>
  <w:style w:type="character" w:customStyle="1" w:styleId="78">
    <w:name w:val="脚注文本 字符"/>
    <w:link w:val="36"/>
    <w:autoRedefine/>
    <w:semiHidden/>
    <w:qFormat/>
    <w:uiPriority w:val="99"/>
    <w:rPr>
      <w:rFonts w:ascii="Times New Roman" w:hAnsi="Times New Roman"/>
      <w:kern w:val="2"/>
      <w:sz w:val="18"/>
      <w:szCs w:val="18"/>
    </w:rPr>
  </w:style>
  <w:style w:type="character" w:customStyle="1" w:styleId="79">
    <w:name w:val="正文文本缩进 3 字符"/>
    <w:link w:val="38"/>
    <w:autoRedefine/>
    <w:qFormat/>
    <w:uiPriority w:val="0"/>
    <w:rPr>
      <w:rFonts w:ascii="Times New Roman" w:hAnsi="Times New Roman" w:eastAsia="宋体" w:cs="Times New Roman"/>
      <w:sz w:val="16"/>
      <w:szCs w:val="16"/>
    </w:rPr>
  </w:style>
  <w:style w:type="character" w:customStyle="1" w:styleId="80">
    <w:name w:val="正文文本 2 字符"/>
    <w:link w:val="41"/>
    <w:autoRedefine/>
    <w:qFormat/>
    <w:uiPriority w:val="0"/>
    <w:rPr>
      <w:rFonts w:ascii="Times New Roman" w:hAnsi="Times New Roman" w:eastAsia="宋体" w:cs="Times New Roman"/>
      <w:szCs w:val="24"/>
    </w:rPr>
  </w:style>
  <w:style w:type="character" w:customStyle="1" w:styleId="81">
    <w:name w:val="标题 字符"/>
    <w:link w:val="44"/>
    <w:autoRedefine/>
    <w:qFormat/>
    <w:uiPriority w:val="10"/>
    <w:rPr>
      <w:rFonts w:ascii="Cambria" w:hAnsi="Cambria" w:cs="Times New Roman"/>
      <w:b/>
      <w:bCs/>
      <w:kern w:val="2"/>
      <w:sz w:val="32"/>
      <w:szCs w:val="32"/>
    </w:rPr>
  </w:style>
  <w:style w:type="character" w:customStyle="1" w:styleId="82">
    <w:name w:val="批注主题 字符"/>
    <w:link w:val="45"/>
    <w:autoRedefine/>
    <w:semiHidden/>
    <w:qFormat/>
    <w:uiPriority w:val="99"/>
    <w:rPr>
      <w:rFonts w:ascii="Times New Roman" w:hAnsi="Times New Roman"/>
      <w:b/>
      <w:bCs/>
      <w:kern w:val="2"/>
      <w:sz w:val="21"/>
      <w:szCs w:val="24"/>
    </w:rPr>
  </w:style>
  <w:style w:type="paragraph" w:customStyle="1" w:styleId="83">
    <w:name w:val="Default"/>
    <w:basedOn w:val="44"/>
    <w:autoRedefine/>
    <w:qFormat/>
    <w:uiPriority w:val="0"/>
    <w:pPr>
      <w:autoSpaceDE w:val="0"/>
      <w:autoSpaceDN w:val="0"/>
      <w:adjustRightInd w:val="0"/>
    </w:pPr>
    <w:rPr>
      <w:rFonts w:ascii="GFNQTL+SimSun" w:hAnsi="Calibri" w:eastAsia="GFNQTL+SimSun" w:cs="GFNQTL+SimSun"/>
      <w:color w:val="000000"/>
      <w:sz w:val="24"/>
      <w:szCs w:val="24"/>
    </w:rPr>
  </w:style>
  <w:style w:type="paragraph" w:customStyle="1" w:styleId="84">
    <w:name w:val="表格文字"/>
    <w:basedOn w:val="1"/>
    <w:next w:val="19"/>
    <w:autoRedefine/>
    <w:qFormat/>
    <w:uiPriority w:val="0"/>
    <w:pPr>
      <w:adjustRightInd w:val="0"/>
      <w:spacing w:line="420" w:lineRule="atLeast"/>
      <w:jc w:val="left"/>
      <w:textAlignment w:val="baseline"/>
    </w:pPr>
    <w:rPr>
      <w:kern w:val="0"/>
    </w:rPr>
  </w:style>
  <w:style w:type="character" w:customStyle="1" w:styleId="85">
    <w:name w:val="批注文字 Char1"/>
    <w:autoRedefine/>
    <w:qFormat/>
    <w:locked/>
    <w:uiPriority w:val="0"/>
    <w:rPr>
      <w:rFonts w:ascii="Times New Roman" w:hAnsi="Times New Roman"/>
      <w:kern w:val="2"/>
      <w:sz w:val="21"/>
      <w:szCs w:val="24"/>
    </w:rPr>
  </w:style>
  <w:style w:type="character" w:customStyle="1" w:styleId="86">
    <w:name w:val="case31"/>
    <w:autoRedefine/>
    <w:qFormat/>
    <w:uiPriority w:val="0"/>
    <w:rPr>
      <w:rFonts w:hint="default" w:ascii="_x000B__x000C_" w:hAnsi="_x000B__x000C_"/>
      <w:sz w:val="21"/>
      <w:szCs w:val="21"/>
    </w:rPr>
  </w:style>
  <w:style w:type="character" w:customStyle="1" w:styleId="87">
    <w:name w:val="批注文字 Char"/>
    <w:autoRedefine/>
    <w:qFormat/>
    <w:uiPriority w:val="0"/>
    <w:rPr>
      <w:rFonts w:ascii="Times New Roman" w:hAnsi="Times New Roman"/>
      <w:kern w:val="2"/>
      <w:sz w:val="21"/>
      <w:szCs w:val="24"/>
    </w:rPr>
  </w:style>
  <w:style w:type="character" w:customStyle="1" w:styleId="88">
    <w:name w:val="纯文本 Char"/>
    <w:autoRedefine/>
    <w:qFormat/>
    <w:uiPriority w:val="0"/>
    <w:rPr>
      <w:rFonts w:ascii="宋体" w:hAnsi="Courier New" w:eastAsia="宋体"/>
      <w:kern w:val="2"/>
      <w:sz w:val="21"/>
      <w:lang w:val="en-US" w:eastAsia="zh-CN" w:bidi="ar-SA"/>
    </w:rPr>
  </w:style>
  <w:style w:type="character" w:customStyle="1" w:styleId="89">
    <w:name w:val="纯文本 字符1"/>
    <w:autoRedefine/>
    <w:qFormat/>
    <w:uiPriority w:val="0"/>
    <w:rPr>
      <w:rFonts w:ascii="宋体" w:hAnsi="Courier New"/>
    </w:rPr>
  </w:style>
  <w:style w:type="character" w:customStyle="1" w:styleId="90">
    <w:name w:val="批注文字 字符1"/>
    <w:autoRedefine/>
    <w:qFormat/>
    <w:uiPriority w:val="0"/>
    <w:rPr>
      <w:rFonts w:ascii="Times New Roman" w:hAnsi="Times New Roman"/>
      <w:kern w:val="2"/>
      <w:sz w:val="21"/>
      <w:szCs w:val="24"/>
    </w:rPr>
  </w:style>
  <w:style w:type="character" w:customStyle="1" w:styleId="91">
    <w:name w:val="正文文本 Char1"/>
    <w:autoRedefine/>
    <w:semiHidden/>
    <w:qFormat/>
    <w:locked/>
    <w:uiPriority w:val="99"/>
    <w:rPr>
      <w:sz w:val="24"/>
      <w:szCs w:val="24"/>
    </w:rPr>
  </w:style>
  <w:style w:type="character" w:customStyle="1" w:styleId="92">
    <w:name w:val="apple-style-span"/>
    <w:autoRedefine/>
    <w:qFormat/>
    <w:uiPriority w:val="0"/>
  </w:style>
  <w:style w:type="character" w:customStyle="1" w:styleId="93">
    <w:name w:val="textcontents"/>
    <w:autoRedefine/>
    <w:qFormat/>
    <w:uiPriority w:val="0"/>
  </w:style>
  <w:style w:type="character" w:customStyle="1" w:styleId="94">
    <w:name w:val="普通文字 Char Char2"/>
    <w:autoRedefine/>
    <w:qFormat/>
    <w:uiPriority w:val="0"/>
    <w:rPr>
      <w:rFonts w:ascii="宋体" w:hAnsi="Courier New" w:eastAsia="宋体"/>
      <w:kern w:val="2"/>
      <w:sz w:val="21"/>
      <w:lang w:val="en-US" w:eastAsia="zh-CN" w:bidi="ar-SA"/>
    </w:rPr>
  </w:style>
  <w:style w:type="character" w:customStyle="1" w:styleId="95">
    <w:name w:val="标题 5 Char"/>
    <w:autoRedefine/>
    <w:qFormat/>
    <w:uiPriority w:val="9"/>
    <w:rPr>
      <w:b/>
      <w:kern w:val="2"/>
      <w:sz w:val="28"/>
      <w:szCs w:val="24"/>
    </w:rPr>
  </w:style>
  <w:style w:type="character" w:customStyle="1" w:styleId="96">
    <w:name w:val="批注文字 字符"/>
    <w:autoRedefine/>
    <w:qFormat/>
    <w:uiPriority w:val="0"/>
    <w:rPr>
      <w:rFonts w:ascii="Times New Roman" w:hAnsi="Times New Roman"/>
      <w:kern w:val="2"/>
      <w:sz w:val="21"/>
      <w:szCs w:val="24"/>
    </w:rPr>
  </w:style>
  <w:style w:type="character" w:customStyle="1" w:styleId="97">
    <w:name w:val="标题 1 字符"/>
    <w:autoRedefine/>
    <w:qFormat/>
    <w:uiPriority w:val="9"/>
    <w:rPr>
      <w:rFonts w:ascii="Times New Roman" w:hAnsi="Times New Roman" w:eastAsia="宋体" w:cs="Times New Roman"/>
      <w:b/>
      <w:bCs/>
      <w:kern w:val="44"/>
      <w:sz w:val="44"/>
      <w:szCs w:val="44"/>
    </w:rPr>
  </w:style>
  <w:style w:type="character" w:customStyle="1" w:styleId="98">
    <w:name w:val="纯文本 字符"/>
    <w:autoRedefine/>
    <w:qFormat/>
    <w:uiPriority w:val="0"/>
    <w:rPr>
      <w:rFonts w:ascii="宋体" w:hAnsi="Courier New" w:eastAsia="宋体" w:cs="Courier New"/>
      <w:szCs w:val="21"/>
    </w:rPr>
  </w:style>
  <w:style w:type="character" w:customStyle="1" w:styleId="99">
    <w:name w:val="headline-content4"/>
    <w:autoRedefine/>
    <w:qFormat/>
    <w:uiPriority w:val="0"/>
  </w:style>
  <w:style w:type="character" w:customStyle="1" w:styleId="100">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1">
    <w:name w:val="正文文本缩进 字符"/>
    <w:autoRedefine/>
    <w:qFormat/>
    <w:uiPriority w:val="0"/>
    <w:rPr>
      <w:rFonts w:ascii="仿宋_GB2312" w:hAnsi="Times New Roman" w:eastAsia="仿宋_GB2312" w:cs="Times New Roman"/>
      <w:sz w:val="32"/>
      <w:szCs w:val="20"/>
    </w:rPr>
  </w:style>
  <w:style w:type="paragraph" w:customStyle="1" w:styleId="102">
    <w:name w:val="Char1"/>
    <w:basedOn w:val="1"/>
    <w:autoRedefine/>
    <w:qFormat/>
    <w:uiPriority w:val="0"/>
    <w:rPr>
      <w:szCs w:val="21"/>
    </w:rPr>
  </w:style>
  <w:style w:type="paragraph" w:styleId="103">
    <w:name w:val="List Paragraph"/>
    <w:basedOn w:val="1"/>
    <w:autoRedefine/>
    <w:qFormat/>
    <w:uiPriority w:val="34"/>
    <w:pPr>
      <w:ind w:firstLine="420" w:firstLineChars="200"/>
    </w:pPr>
  </w:style>
  <w:style w:type="paragraph" w:customStyle="1" w:styleId="104">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105">
    <w:name w:val="默认段落字体 Para Char Char Char Char Char Char Char Char Char1 Char Char Char Char"/>
    <w:basedOn w:val="1"/>
    <w:autoRedefine/>
    <w:qFormat/>
    <w:uiPriority w:val="0"/>
    <w:rPr>
      <w:rFonts w:ascii="Tahoma" w:hAnsi="Tahoma"/>
      <w:sz w:val="24"/>
      <w:szCs w:val="20"/>
    </w:rPr>
  </w:style>
  <w:style w:type="paragraph" w:customStyle="1" w:styleId="106">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7">
    <w:name w:val="纯文本1"/>
    <w:basedOn w:val="1"/>
    <w:autoRedefine/>
    <w:qFormat/>
    <w:uiPriority w:val="0"/>
    <w:rPr>
      <w:rFonts w:ascii="宋体" w:hAnsi="Courier New" w:cs="Century"/>
      <w:szCs w:val="21"/>
    </w:rPr>
  </w:style>
  <w:style w:type="paragraph" w:customStyle="1" w:styleId="108">
    <w:name w:val="Table Paragraph"/>
    <w:basedOn w:val="1"/>
    <w:autoRedefine/>
    <w:qFormat/>
    <w:uiPriority w:val="1"/>
    <w:pPr>
      <w:jc w:val="left"/>
    </w:pPr>
    <w:rPr>
      <w:rFonts w:ascii="Calibri" w:hAnsi="Calibri"/>
      <w:kern w:val="0"/>
      <w:sz w:val="22"/>
      <w:szCs w:val="22"/>
      <w:lang w:eastAsia="en-US"/>
    </w:rPr>
  </w:style>
  <w:style w:type="paragraph" w:customStyle="1" w:styleId="109">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10">
    <w:name w:val="表格"/>
    <w:basedOn w:val="1"/>
    <w:autoRedefine/>
    <w:qFormat/>
    <w:uiPriority w:val="0"/>
    <w:pPr>
      <w:spacing w:line="400" w:lineRule="exact"/>
    </w:pPr>
    <w:rPr>
      <w:sz w:val="24"/>
    </w:rPr>
  </w:style>
  <w:style w:type="paragraph" w:customStyle="1" w:styleId="111">
    <w:name w:val="样式 首行缩进:  2 字符"/>
    <w:basedOn w:val="1"/>
    <w:autoRedefine/>
    <w:qFormat/>
    <w:uiPriority w:val="0"/>
    <w:pPr>
      <w:spacing w:line="400" w:lineRule="exact"/>
      <w:ind w:firstLine="200" w:firstLineChars="200"/>
    </w:pPr>
    <w:rPr>
      <w:rFonts w:cs="宋体"/>
      <w:sz w:val="24"/>
    </w:rPr>
  </w:style>
  <w:style w:type="paragraph" w:customStyle="1" w:styleId="112">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3">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14">
    <w:name w:val="正文首行缩进两字符"/>
    <w:basedOn w:val="1"/>
    <w:autoRedefine/>
    <w:qFormat/>
    <w:uiPriority w:val="0"/>
    <w:pPr>
      <w:spacing w:line="360" w:lineRule="auto"/>
      <w:ind w:firstLine="200" w:firstLineChars="200"/>
    </w:pPr>
  </w:style>
  <w:style w:type="paragraph" w:customStyle="1" w:styleId="115">
    <w:name w:val="正文段"/>
    <w:basedOn w:val="1"/>
    <w:autoRedefine/>
    <w:qFormat/>
    <w:uiPriority w:val="0"/>
    <w:pPr>
      <w:widowControl/>
      <w:snapToGrid w:val="0"/>
      <w:spacing w:after="50" w:afterLines="50"/>
      <w:ind w:firstLine="200" w:firstLineChars="200"/>
    </w:pPr>
    <w:rPr>
      <w:kern w:val="0"/>
      <w:sz w:val="24"/>
      <w:szCs w:val="20"/>
    </w:rPr>
  </w:style>
  <w:style w:type="table" w:customStyle="1" w:styleId="116">
    <w:name w:val="Table Normal"/>
    <w:autoRedefine/>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7">
    <w:name w:val="页脚 字符"/>
    <w:autoRedefine/>
    <w:qFormat/>
    <w:uiPriority w:val="99"/>
  </w:style>
  <w:style w:type="character" w:customStyle="1" w:styleId="118">
    <w:name w:val="标题 1 Char1"/>
    <w:autoRedefine/>
    <w:qFormat/>
    <w:uiPriority w:val="0"/>
    <w:rPr>
      <w:rFonts w:eastAsia="宋体"/>
      <w:b/>
      <w:bCs/>
      <w:kern w:val="44"/>
      <w:sz w:val="44"/>
      <w:szCs w:val="44"/>
      <w:lang w:val="en-US" w:eastAsia="zh-CN" w:bidi="ar-SA"/>
    </w:rPr>
  </w:style>
  <w:style w:type="paragraph" w:customStyle="1" w:styleId="119">
    <w:name w:val="列出段落1"/>
    <w:basedOn w:val="1"/>
    <w:autoRedefine/>
    <w:qFormat/>
    <w:uiPriority w:val="0"/>
    <w:pPr>
      <w:ind w:firstLine="200" w:firstLineChars="200"/>
    </w:pPr>
  </w:style>
  <w:style w:type="paragraph" w:customStyle="1" w:styleId="120">
    <w:name w:val="Body text|1"/>
    <w:basedOn w:val="1"/>
    <w:autoRedefine/>
    <w:qFormat/>
    <w:uiPriority w:val="0"/>
    <w:pPr>
      <w:spacing w:line="480" w:lineRule="auto"/>
    </w:pPr>
    <w:rPr>
      <w:rFonts w:ascii="宋体" w:hAnsi="宋体" w:cs="宋体"/>
      <w:sz w:val="19"/>
      <w:szCs w:val="19"/>
      <w:lang w:val="zh-TW" w:eastAsia="zh-TW" w:bidi="zh-TW"/>
    </w:rPr>
  </w:style>
  <w:style w:type="paragraph" w:customStyle="1" w:styleId="121">
    <w:name w:val="正文2"/>
    <w:basedOn w:val="1"/>
    <w:autoRedefine/>
    <w:qFormat/>
    <w:uiPriority w:val="0"/>
    <w:pPr>
      <w:adjustRightInd w:val="0"/>
      <w:spacing w:before="156" w:line="360" w:lineRule="auto"/>
      <w:ind w:firstLine="510" w:firstLineChars="200"/>
    </w:pPr>
    <w:rPr>
      <w:sz w:val="24"/>
      <w:szCs w:val="20"/>
    </w:rPr>
  </w:style>
  <w:style w:type="paragraph" w:customStyle="1" w:styleId="122">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23">
    <w:name w:val="Table Text"/>
    <w:basedOn w:val="1"/>
    <w:autoRedefine/>
    <w:semiHidden/>
    <w:qFormat/>
    <w:uiPriority w:val="0"/>
    <w:rPr>
      <w:rFonts w:ascii="宋体" w:hAnsi="宋体" w:cs="宋体"/>
      <w:szCs w:val="21"/>
      <w:lang w:eastAsia="en-US"/>
    </w:rPr>
  </w:style>
  <w:style w:type="paragraph" w:customStyle="1" w:styleId="124">
    <w:name w:val="纯文本11"/>
    <w:basedOn w:val="1"/>
    <w:autoRedefine/>
    <w:qFormat/>
    <w:uiPriority w:val="0"/>
    <w:rPr>
      <w:rFonts w:hint="eastAsia" w:ascii="宋体" w:hAnsi="Courier New"/>
      <w:szCs w:val="20"/>
    </w:rPr>
  </w:style>
  <w:style w:type="paragraph" w:customStyle="1" w:styleId="125">
    <w:name w:val="_Style 124"/>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26">
    <w:name w:val="修订1"/>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KWZB;</Company>
  <Pages>88</Pages>
  <Words>9114</Words>
  <Characters>51951</Characters>
  <Lines>432</Lines>
  <Paragraphs>121</Paragraphs>
  <TotalTime>55</TotalTime>
  <ScaleCrop>false</ScaleCrop>
  <LinksUpToDate>false</LinksUpToDate>
  <CharactersWithSpaces>60944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2025-03-24T06:20:00Z</dcterms:created>
  <dc:creator>KWZB</dc:creator>
  <cp:lastModifiedBy>CYD</cp:lastModifiedBy>
  <cp:lastPrinted>2022-10-10T09:35:00Z</cp:lastPrinted>
  <dcterms:modified xsi:type="dcterms:W3CDTF">2025-04-28T01:04:14Z</dcterms:modified>
  <dc:title>公开招标采购文件范本</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992266AA5A7E440B89B76A591CCF315F_13</vt:lpwstr>
  </property>
  <property fmtid="{D5CDD505-2E9C-101B-9397-08002B2CF9AE}" pid="4" name="KSOTemplateDocerSaveRecord">
    <vt:lpwstr>eyJoZGlkIjoiZThmNjAzMWJlZjFkMmQwODUwMTJkYzE2ODFiYmFmYTciLCJ1c2VySWQiOiIyOTc2OTEyMjcifQ==</vt:lpwstr>
  </property>
</Properties>
</file>