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61B38">
      <w:pPr>
        <w:spacing w:line="360" w:lineRule="auto"/>
        <w:jc w:val="center"/>
        <w:rPr>
          <w:rFonts w:ascii="方正小标宋简体" w:hAnsi="方正小标宋简体" w:eastAsia="方正小标宋简体" w:cs="方正小标宋简体"/>
          <w:color w:val="auto"/>
          <w:sz w:val="52"/>
          <w:szCs w:val="52"/>
          <w:highlight w:val="none"/>
        </w:rPr>
      </w:pPr>
      <w:r>
        <w:rPr>
          <w:rFonts w:hint="eastAsia" w:ascii="方正小标宋简体" w:hAnsi="方正小标宋简体" w:eastAsia="方正小标宋简体" w:cs="方正小标宋简体"/>
          <w:color w:val="auto"/>
          <w:sz w:val="52"/>
          <w:szCs w:val="52"/>
          <w:highlight w:val="none"/>
        </w:rPr>
        <w:t>云之龙咨询集团有限公司</w:t>
      </w:r>
    </w:p>
    <w:p w14:paraId="418C1161">
      <w:pPr>
        <w:spacing w:line="360" w:lineRule="auto"/>
        <w:jc w:val="center"/>
        <w:rPr>
          <w:rFonts w:ascii="方正小标宋简体" w:hAnsi="方正小标宋简体" w:eastAsia="方正小标宋简体" w:cs="方正小标宋简体"/>
          <w:b/>
          <w:color w:val="auto"/>
          <w:sz w:val="44"/>
          <w:szCs w:val="44"/>
          <w:highlight w:val="none"/>
        </w:rPr>
      </w:pPr>
    </w:p>
    <w:p w14:paraId="7972A28C">
      <w:pPr>
        <w:snapToGrid w:val="0"/>
        <w:spacing w:beforeLines="50" w:line="360" w:lineRule="auto"/>
        <w:jc w:val="center"/>
        <w:rPr>
          <w:rFonts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竞争性磋商文件</w:t>
      </w:r>
    </w:p>
    <w:p w14:paraId="46F177E4">
      <w:pPr>
        <w:snapToGrid w:val="0"/>
        <w:spacing w:beforeLines="50" w:line="360" w:lineRule="auto"/>
        <w:jc w:val="center"/>
        <w:rPr>
          <w:rFonts w:ascii="仿宋_GB2312" w:hAnsi="宋体" w:eastAsia="仿宋_GB2312"/>
          <w:b/>
          <w:color w:val="auto"/>
          <w:sz w:val="30"/>
          <w:szCs w:val="72"/>
          <w:highlight w:val="none"/>
        </w:rPr>
      </w:pPr>
      <w:r>
        <w:rPr>
          <w:rFonts w:hint="eastAsia" w:ascii="仿宋_GB2312" w:hAnsi="宋体" w:eastAsia="仿宋_GB2312"/>
          <w:b/>
          <w:color w:val="auto"/>
          <w:sz w:val="48"/>
          <w:szCs w:val="48"/>
          <w:highlight w:val="none"/>
        </w:rPr>
        <w:t>（全流程电子化采购）</w:t>
      </w:r>
    </w:p>
    <w:p w14:paraId="60995899">
      <w:pPr>
        <w:snapToGrid w:val="0"/>
        <w:spacing w:line="360" w:lineRule="auto"/>
        <w:rPr>
          <w:rFonts w:ascii="仿宋_GB2312" w:hAnsi="宋体" w:eastAsia="仿宋_GB2312"/>
          <w:color w:val="auto"/>
          <w:sz w:val="30"/>
          <w:szCs w:val="72"/>
          <w:highlight w:val="none"/>
        </w:rPr>
      </w:pPr>
    </w:p>
    <w:p w14:paraId="01607CC8">
      <w:pPr>
        <w:pStyle w:val="15"/>
        <w:snapToGrid w:val="0"/>
        <w:spacing w:line="660" w:lineRule="exact"/>
        <w:ind w:firstLine="840" w:firstLineChars="279"/>
        <w:rPr>
          <w:rFonts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项目名称</w:t>
      </w:r>
      <w:r>
        <w:rPr>
          <w:rFonts w:hint="eastAsia" w:ascii="仿宋_GB2312" w:hAnsi="宋体" w:eastAsia="仿宋_GB2312"/>
          <w:b/>
          <w:bCs/>
          <w:color w:val="auto"/>
          <w:sz w:val="30"/>
          <w:szCs w:val="30"/>
          <w:highlight w:val="none"/>
          <w:lang w:eastAsia="zh-CN"/>
        </w:rPr>
        <w:t>：</w:t>
      </w:r>
      <w:r>
        <w:rPr>
          <w:rFonts w:hint="eastAsia" w:ascii="仿宋_GB2312" w:hAnsi="宋体" w:eastAsia="仿宋_GB2312"/>
          <w:b/>
          <w:bCs/>
          <w:color w:val="auto"/>
          <w:sz w:val="30"/>
          <w:szCs w:val="30"/>
          <w:highlight w:val="none"/>
        </w:rPr>
        <w:t>2025年会计服务采购</w:t>
      </w:r>
    </w:p>
    <w:p w14:paraId="31B6F334">
      <w:pPr>
        <w:pStyle w:val="15"/>
        <w:snapToGrid w:val="0"/>
        <w:spacing w:line="660" w:lineRule="exact"/>
        <w:ind w:firstLine="840" w:firstLineChars="279"/>
        <w:rPr>
          <w:rFonts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项目编号：GXZC2025-C3-000993-YZLZ</w:t>
      </w:r>
    </w:p>
    <w:p w14:paraId="221F427D">
      <w:pPr>
        <w:pStyle w:val="15"/>
        <w:snapToGrid w:val="0"/>
        <w:spacing w:line="660" w:lineRule="exact"/>
        <w:ind w:firstLine="840" w:firstLineChars="279"/>
        <w:rPr>
          <w:rFonts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采购人：中国共产党广西壮族自治区委员会金融委员会办公室</w:t>
      </w:r>
    </w:p>
    <w:p w14:paraId="17074E22">
      <w:pPr>
        <w:pStyle w:val="15"/>
        <w:snapToGrid w:val="0"/>
        <w:spacing w:line="660" w:lineRule="exact"/>
        <w:ind w:firstLine="840" w:firstLineChars="279"/>
        <w:rPr>
          <w:rFonts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采购代理机构：云之龙咨询集团有限公司</w:t>
      </w:r>
    </w:p>
    <w:p w14:paraId="58F1E930">
      <w:pPr>
        <w:pStyle w:val="15"/>
        <w:snapToGrid w:val="0"/>
        <w:spacing w:line="660" w:lineRule="exact"/>
        <w:ind w:firstLine="1125" w:firstLineChars="393"/>
        <w:rPr>
          <w:rFonts w:ascii="仿宋_GB2312" w:hAnsi="宋体" w:eastAsia="仿宋_GB2312"/>
          <w:b/>
          <w:bCs/>
          <w:color w:val="auto"/>
          <w:w w:val="95"/>
          <w:sz w:val="30"/>
          <w:szCs w:val="30"/>
          <w:highlight w:val="none"/>
        </w:rPr>
      </w:pPr>
    </w:p>
    <w:p w14:paraId="05A01C02">
      <w:pPr>
        <w:pStyle w:val="15"/>
        <w:snapToGrid w:val="0"/>
        <w:spacing w:line="660" w:lineRule="exact"/>
        <w:ind w:firstLine="1125" w:firstLineChars="393"/>
        <w:rPr>
          <w:rFonts w:ascii="仿宋_GB2312" w:hAnsi="宋体" w:eastAsia="仿宋_GB2312"/>
          <w:b/>
          <w:bCs/>
          <w:color w:val="auto"/>
          <w:w w:val="95"/>
          <w:sz w:val="30"/>
          <w:szCs w:val="30"/>
          <w:highlight w:val="none"/>
        </w:rPr>
      </w:pPr>
    </w:p>
    <w:p w14:paraId="4C8B763F">
      <w:pPr>
        <w:pStyle w:val="15"/>
        <w:snapToGrid w:val="0"/>
        <w:spacing w:line="660" w:lineRule="exact"/>
        <w:ind w:firstLine="3171" w:firstLineChars="1053"/>
        <w:rPr>
          <w:rFonts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2025年4月</w:t>
      </w:r>
      <w:r>
        <w:rPr>
          <w:rFonts w:hint="eastAsia" w:ascii="仿宋_GB2312" w:hAnsi="宋体" w:eastAsia="仿宋_GB2312"/>
          <w:b/>
          <w:bCs/>
          <w:color w:val="auto"/>
          <w:sz w:val="30"/>
          <w:szCs w:val="30"/>
          <w:highlight w:val="none"/>
          <w:lang w:val="en-US" w:eastAsia="zh-CN"/>
        </w:rPr>
        <w:t>30</w:t>
      </w:r>
      <w:r>
        <w:rPr>
          <w:rFonts w:hint="eastAsia" w:ascii="仿宋_GB2312" w:hAnsi="宋体" w:eastAsia="仿宋_GB2312"/>
          <w:b/>
          <w:bCs/>
          <w:color w:val="auto"/>
          <w:sz w:val="30"/>
          <w:szCs w:val="30"/>
          <w:highlight w:val="none"/>
        </w:rPr>
        <w:t>日</w:t>
      </w:r>
    </w:p>
    <w:p w14:paraId="1110D813">
      <w:pPr>
        <w:pStyle w:val="15"/>
        <w:snapToGrid w:val="0"/>
        <w:spacing w:line="360" w:lineRule="auto"/>
        <w:ind w:left="420" w:firstLine="588" w:firstLineChars="294"/>
        <w:rPr>
          <w:rFonts w:ascii="仿宋_GB2312" w:eastAsia="仿宋_GB2312"/>
          <w:color w:val="auto"/>
          <w:szCs w:val="20"/>
          <w:highlight w:val="none"/>
        </w:rPr>
      </w:pPr>
    </w:p>
    <w:p w14:paraId="3E8F4B0D">
      <w:pPr>
        <w:spacing w:line="360" w:lineRule="auto"/>
        <w:jc w:val="center"/>
        <w:rPr>
          <w:rFonts w:ascii="宋体" w:hAnsi="宋体" w:cs="宋体"/>
          <w:b/>
          <w:bCs/>
          <w:color w:val="auto"/>
          <w:kern w:val="0"/>
          <w:sz w:val="32"/>
          <w:szCs w:val="32"/>
          <w:highlight w:val="none"/>
        </w:rPr>
      </w:pPr>
    </w:p>
    <w:p w14:paraId="5E7835F8">
      <w:pPr>
        <w:spacing w:line="360" w:lineRule="auto"/>
        <w:jc w:val="center"/>
        <w:rPr>
          <w:rFonts w:ascii="宋体" w:hAnsi="宋体" w:cs="宋体"/>
          <w:b/>
          <w:bCs/>
          <w:color w:val="auto"/>
          <w:kern w:val="0"/>
          <w:sz w:val="32"/>
          <w:szCs w:val="32"/>
          <w:highlight w:val="none"/>
        </w:rPr>
      </w:pPr>
    </w:p>
    <w:p w14:paraId="6FC950A8">
      <w:pPr>
        <w:spacing w:line="360" w:lineRule="auto"/>
        <w:jc w:val="center"/>
        <w:rPr>
          <w:rFonts w:ascii="宋体" w:hAnsi="宋体" w:cs="宋体"/>
          <w:b/>
          <w:bCs/>
          <w:color w:val="auto"/>
          <w:kern w:val="0"/>
          <w:sz w:val="32"/>
          <w:szCs w:val="32"/>
          <w:highlight w:val="none"/>
        </w:rPr>
      </w:pPr>
    </w:p>
    <w:p w14:paraId="534B03D3">
      <w:pPr>
        <w:spacing w:line="360" w:lineRule="auto"/>
        <w:jc w:val="center"/>
        <w:rPr>
          <w:rFonts w:ascii="宋体" w:hAnsi="宋体"/>
          <w:b/>
          <w:color w:val="auto"/>
          <w:sz w:val="44"/>
          <w:szCs w:val="44"/>
          <w:highlight w:val="none"/>
        </w:rPr>
      </w:pPr>
      <w:r>
        <w:rPr>
          <w:rFonts w:ascii="黑体" w:hAnsi="黑体" w:eastAsia="黑体" w:cs="宋体"/>
          <w:b/>
          <w:bCs/>
          <w:color w:val="auto"/>
          <w:kern w:val="0"/>
          <w:sz w:val="32"/>
          <w:szCs w:val="32"/>
          <w:highlight w:val="none"/>
        </w:rPr>
        <w:br w:type="page"/>
      </w:r>
    </w:p>
    <w:p w14:paraId="6D08F8F8">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68F82E62">
      <w:pPr>
        <w:spacing w:line="400" w:lineRule="exact"/>
        <w:jc w:val="center"/>
        <w:rPr>
          <w:rFonts w:ascii="宋体" w:hAnsi="宋体"/>
          <w:b/>
          <w:color w:val="auto"/>
          <w:sz w:val="44"/>
          <w:szCs w:val="44"/>
          <w:highlight w:val="none"/>
        </w:rPr>
      </w:pPr>
    </w:p>
    <w:p w14:paraId="3191F871">
      <w:pPr>
        <w:pStyle w:val="20"/>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Fonts w:hint="eastAsia" w:ascii="宋体" w:hAnsi="宋体"/>
          <w:b/>
          <w:color w:val="auto"/>
          <w:sz w:val="24"/>
          <w:highlight w:val="none"/>
        </w:rPr>
        <w:instrText xml:space="preserve">TOC \o "1-3" \h \z \u</w:instrText>
      </w:r>
      <w:r>
        <w:rPr>
          <w:rFonts w:ascii="宋体" w:hAnsi="宋体"/>
          <w:b/>
          <w:color w:val="auto"/>
          <w:sz w:val="24"/>
          <w:highlight w:val="none"/>
        </w:rPr>
        <w:fldChar w:fldCharType="separate"/>
      </w:r>
      <w:r>
        <w:rPr>
          <w:color w:val="auto"/>
          <w:highlight w:val="none"/>
        </w:rPr>
        <w:fldChar w:fldCharType="begin"/>
      </w:r>
      <w:r>
        <w:rPr>
          <w:color w:val="auto"/>
          <w:highlight w:val="none"/>
        </w:rPr>
        <w:instrText xml:space="preserve"> HYPERLINK \l "_Toc74323456" </w:instrText>
      </w:r>
      <w:r>
        <w:rPr>
          <w:color w:val="auto"/>
          <w:highlight w:val="none"/>
        </w:rPr>
        <w:fldChar w:fldCharType="separate"/>
      </w:r>
      <w:r>
        <w:rPr>
          <w:rStyle w:val="30"/>
          <w:rFonts w:hint="eastAsia" w:ascii="宋体" w:hAnsi="宋体"/>
          <w:b/>
          <w:color w:val="auto"/>
          <w:sz w:val="24"/>
          <w:highlight w:val="none"/>
        </w:rPr>
        <w:t>第一章</w:t>
      </w:r>
      <w:r>
        <w:rPr>
          <w:rStyle w:val="30"/>
          <w:rFonts w:hint="eastAsia" w:ascii="宋体" w:hAnsi="宋体"/>
          <w:b/>
          <w:color w:val="auto"/>
          <w:sz w:val="24"/>
          <w:highlight w:val="none"/>
          <w:lang w:val="en-US" w:eastAsia="zh-CN"/>
        </w:rPr>
        <w:t xml:space="preserve">  </w:t>
      </w:r>
      <w:r>
        <w:rPr>
          <w:rStyle w:val="30"/>
          <w:rFonts w:hint="eastAsia" w:ascii="宋体" w:hAnsi="宋体"/>
          <w:b/>
          <w:color w:val="auto"/>
          <w:sz w:val="24"/>
          <w:highlight w:val="none"/>
        </w:rPr>
        <w:t>竞争性磋商公告</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_Toc74323456 \h </w:instrText>
      </w:r>
      <w:r>
        <w:rPr>
          <w:rFonts w:ascii="宋体" w:hAnsi="宋体"/>
          <w:b/>
          <w:color w:val="auto"/>
          <w:sz w:val="24"/>
          <w:highlight w:val="none"/>
        </w:rPr>
        <w:fldChar w:fldCharType="separate"/>
      </w:r>
      <w:r>
        <w:rPr>
          <w:rFonts w:ascii="宋体" w:hAnsi="宋体"/>
          <w:b/>
          <w:color w:val="auto"/>
          <w:sz w:val="24"/>
          <w:highlight w:val="none"/>
        </w:rPr>
        <w:t>1</w:t>
      </w:r>
      <w:r>
        <w:rPr>
          <w:rFonts w:ascii="宋体" w:hAnsi="宋体"/>
          <w:b/>
          <w:color w:val="auto"/>
          <w:sz w:val="24"/>
          <w:highlight w:val="none"/>
        </w:rPr>
        <w:fldChar w:fldCharType="end"/>
      </w:r>
      <w:r>
        <w:rPr>
          <w:rFonts w:ascii="宋体" w:hAnsi="宋体"/>
          <w:b/>
          <w:color w:val="auto"/>
          <w:sz w:val="24"/>
          <w:highlight w:val="none"/>
        </w:rPr>
        <w:fldChar w:fldCharType="end"/>
      </w:r>
    </w:p>
    <w:p w14:paraId="06BF031B">
      <w:pPr>
        <w:pStyle w:val="20"/>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"_Toc74323457" </w:instrText>
      </w:r>
      <w:r>
        <w:rPr>
          <w:color w:val="auto"/>
          <w:highlight w:val="none"/>
        </w:rPr>
        <w:fldChar w:fldCharType="separate"/>
      </w:r>
      <w:r>
        <w:rPr>
          <w:rStyle w:val="30"/>
          <w:rFonts w:hint="eastAsia" w:ascii="宋体" w:hAnsi="宋体"/>
          <w:b/>
          <w:color w:val="auto"/>
          <w:sz w:val="24"/>
          <w:highlight w:val="none"/>
        </w:rPr>
        <w:t>第二章</w:t>
      </w:r>
      <w:r>
        <w:rPr>
          <w:rStyle w:val="30"/>
          <w:rFonts w:hint="eastAsia" w:ascii="宋体" w:hAnsi="宋体"/>
          <w:b/>
          <w:color w:val="auto"/>
          <w:sz w:val="24"/>
          <w:highlight w:val="none"/>
          <w:lang w:val="en-US" w:eastAsia="zh-CN"/>
        </w:rPr>
        <w:t xml:space="preserve">  </w:t>
      </w:r>
      <w:r>
        <w:rPr>
          <w:rStyle w:val="30"/>
          <w:rFonts w:hint="eastAsia" w:ascii="宋体" w:hAnsi="宋体"/>
          <w:b/>
          <w:color w:val="auto"/>
          <w:sz w:val="24"/>
          <w:highlight w:val="none"/>
        </w:rPr>
        <w:t>供应</w:t>
      </w:r>
      <w:bookmarkStart w:id="0" w:name="_Hlt82161237"/>
      <w:r>
        <w:rPr>
          <w:rStyle w:val="30"/>
          <w:rFonts w:hint="eastAsia" w:ascii="宋体" w:hAnsi="宋体"/>
          <w:b/>
          <w:color w:val="auto"/>
          <w:sz w:val="24"/>
          <w:highlight w:val="none"/>
        </w:rPr>
        <w:t>商</w:t>
      </w:r>
      <w:bookmarkEnd w:id="0"/>
      <w:r>
        <w:rPr>
          <w:rStyle w:val="30"/>
          <w:rFonts w:hint="eastAsia" w:ascii="宋体" w:hAnsi="宋体"/>
          <w:b/>
          <w:color w:val="auto"/>
          <w:sz w:val="24"/>
          <w:highlight w:val="none"/>
        </w:rPr>
        <w:t>须知</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_Toc74323457 \h </w:instrText>
      </w:r>
      <w:r>
        <w:rPr>
          <w:rFonts w:ascii="宋体" w:hAnsi="宋体"/>
          <w:b/>
          <w:color w:val="auto"/>
          <w:sz w:val="24"/>
          <w:highlight w:val="none"/>
        </w:rPr>
        <w:fldChar w:fldCharType="separate"/>
      </w:r>
      <w:r>
        <w:rPr>
          <w:rFonts w:ascii="宋体" w:hAnsi="宋体"/>
          <w:b/>
          <w:color w:val="auto"/>
          <w:sz w:val="24"/>
          <w:highlight w:val="none"/>
        </w:rPr>
        <w:t>7</w:t>
      </w:r>
      <w:r>
        <w:rPr>
          <w:rFonts w:ascii="宋体" w:hAnsi="宋体"/>
          <w:b/>
          <w:color w:val="auto"/>
          <w:sz w:val="24"/>
          <w:highlight w:val="none"/>
        </w:rPr>
        <w:fldChar w:fldCharType="end"/>
      </w:r>
      <w:r>
        <w:rPr>
          <w:rFonts w:ascii="宋体" w:hAnsi="宋体"/>
          <w:b/>
          <w:color w:val="auto"/>
          <w:sz w:val="24"/>
          <w:highlight w:val="none"/>
        </w:rPr>
        <w:fldChar w:fldCharType="end"/>
      </w:r>
    </w:p>
    <w:p w14:paraId="38839081">
      <w:pPr>
        <w:pStyle w:val="20"/>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"_Toc74323458" </w:instrText>
      </w:r>
      <w:r>
        <w:rPr>
          <w:color w:val="auto"/>
          <w:highlight w:val="none"/>
        </w:rPr>
        <w:fldChar w:fldCharType="separate"/>
      </w:r>
      <w:r>
        <w:rPr>
          <w:rStyle w:val="30"/>
          <w:rFonts w:hint="eastAsia" w:ascii="宋体" w:hAnsi="宋体"/>
          <w:b/>
          <w:color w:val="auto"/>
          <w:sz w:val="24"/>
          <w:highlight w:val="none"/>
        </w:rPr>
        <w:t>第三章</w:t>
      </w:r>
      <w:r>
        <w:rPr>
          <w:rStyle w:val="30"/>
          <w:rFonts w:hint="eastAsia" w:ascii="宋体" w:hAnsi="宋体"/>
          <w:b/>
          <w:color w:val="auto"/>
          <w:sz w:val="24"/>
          <w:highlight w:val="none"/>
          <w:lang w:val="en-US" w:eastAsia="zh-CN"/>
        </w:rPr>
        <w:t xml:space="preserve">  </w:t>
      </w:r>
      <w:r>
        <w:rPr>
          <w:rStyle w:val="30"/>
          <w:rFonts w:hint="eastAsia" w:ascii="宋体" w:hAnsi="宋体"/>
          <w:b/>
          <w:color w:val="auto"/>
          <w:sz w:val="24"/>
          <w:highlight w:val="none"/>
        </w:rPr>
        <w:t>采购需</w:t>
      </w:r>
      <w:bookmarkStart w:id="1" w:name="_Hlt82166940"/>
      <w:r>
        <w:rPr>
          <w:rStyle w:val="30"/>
          <w:rFonts w:hint="eastAsia" w:ascii="宋体" w:hAnsi="宋体"/>
          <w:b/>
          <w:color w:val="auto"/>
          <w:sz w:val="24"/>
          <w:highlight w:val="none"/>
        </w:rPr>
        <w:t>求</w:t>
      </w:r>
      <w:bookmarkEnd w:id="1"/>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_Toc74323458 \h </w:instrText>
      </w:r>
      <w:r>
        <w:rPr>
          <w:rFonts w:ascii="宋体" w:hAnsi="宋体"/>
          <w:b/>
          <w:color w:val="auto"/>
          <w:sz w:val="24"/>
          <w:highlight w:val="none"/>
        </w:rPr>
        <w:fldChar w:fldCharType="separate"/>
      </w:r>
      <w:r>
        <w:rPr>
          <w:rFonts w:ascii="宋体" w:hAnsi="宋体"/>
          <w:b/>
          <w:color w:val="auto"/>
          <w:sz w:val="24"/>
          <w:highlight w:val="none"/>
        </w:rPr>
        <w:t>26</w:t>
      </w:r>
      <w:r>
        <w:rPr>
          <w:rFonts w:ascii="宋体" w:hAnsi="宋体"/>
          <w:b/>
          <w:color w:val="auto"/>
          <w:sz w:val="24"/>
          <w:highlight w:val="none"/>
        </w:rPr>
        <w:fldChar w:fldCharType="end"/>
      </w:r>
      <w:r>
        <w:rPr>
          <w:rFonts w:ascii="宋体" w:hAnsi="宋体"/>
          <w:b/>
          <w:color w:val="auto"/>
          <w:sz w:val="24"/>
          <w:highlight w:val="none"/>
        </w:rPr>
        <w:fldChar w:fldCharType="end"/>
      </w:r>
    </w:p>
    <w:p w14:paraId="206D5BFC">
      <w:pPr>
        <w:pStyle w:val="20"/>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"_Toc74323459" </w:instrText>
      </w:r>
      <w:r>
        <w:rPr>
          <w:color w:val="auto"/>
          <w:highlight w:val="none"/>
        </w:rPr>
        <w:fldChar w:fldCharType="separate"/>
      </w:r>
      <w:r>
        <w:rPr>
          <w:rStyle w:val="30"/>
          <w:rFonts w:hint="eastAsia" w:ascii="宋体" w:hAnsi="宋体"/>
          <w:b/>
          <w:color w:val="auto"/>
          <w:sz w:val="24"/>
          <w:highlight w:val="none"/>
        </w:rPr>
        <w:t>第四章</w:t>
      </w:r>
      <w:r>
        <w:rPr>
          <w:rStyle w:val="30"/>
          <w:rFonts w:hint="eastAsia" w:ascii="宋体" w:hAnsi="宋体"/>
          <w:b/>
          <w:color w:val="auto"/>
          <w:sz w:val="24"/>
          <w:highlight w:val="none"/>
          <w:lang w:val="en-US" w:eastAsia="zh-CN"/>
        </w:rPr>
        <w:t xml:space="preserve">  </w:t>
      </w:r>
      <w:r>
        <w:rPr>
          <w:rStyle w:val="30"/>
          <w:rFonts w:hint="eastAsia" w:ascii="宋体" w:hAnsi="宋体"/>
          <w:b/>
          <w:color w:val="auto"/>
          <w:sz w:val="24"/>
          <w:highlight w:val="none"/>
        </w:rPr>
        <w:t>评审程序、</w:t>
      </w:r>
      <w:bookmarkStart w:id="2" w:name="_Hlt82166000"/>
      <w:r>
        <w:rPr>
          <w:rStyle w:val="30"/>
          <w:rFonts w:hint="eastAsia" w:ascii="宋体" w:hAnsi="宋体"/>
          <w:b/>
          <w:color w:val="auto"/>
          <w:sz w:val="24"/>
          <w:highlight w:val="none"/>
        </w:rPr>
        <w:t>评</w:t>
      </w:r>
      <w:bookmarkEnd w:id="2"/>
      <w:r>
        <w:rPr>
          <w:rStyle w:val="30"/>
          <w:rFonts w:hint="eastAsia" w:ascii="宋体" w:hAnsi="宋体"/>
          <w:b/>
          <w:color w:val="auto"/>
          <w:sz w:val="24"/>
          <w:highlight w:val="none"/>
        </w:rPr>
        <w:t>审方法和评审标准</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_Toc74323459 \h </w:instrText>
      </w:r>
      <w:r>
        <w:rPr>
          <w:rFonts w:ascii="宋体" w:hAnsi="宋体"/>
          <w:b/>
          <w:color w:val="auto"/>
          <w:sz w:val="24"/>
          <w:highlight w:val="none"/>
        </w:rPr>
        <w:fldChar w:fldCharType="separate"/>
      </w:r>
      <w:r>
        <w:rPr>
          <w:rFonts w:ascii="宋体" w:hAnsi="宋体"/>
          <w:b/>
          <w:color w:val="auto"/>
          <w:sz w:val="24"/>
          <w:highlight w:val="none"/>
        </w:rPr>
        <w:t>43</w:t>
      </w:r>
      <w:r>
        <w:rPr>
          <w:rFonts w:ascii="宋体" w:hAnsi="宋体"/>
          <w:b/>
          <w:color w:val="auto"/>
          <w:sz w:val="24"/>
          <w:highlight w:val="none"/>
        </w:rPr>
        <w:fldChar w:fldCharType="end"/>
      </w:r>
      <w:r>
        <w:rPr>
          <w:rFonts w:ascii="宋体" w:hAnsi="宋体"/>
          <w:b/>
          <w:color w:val="auto"/>
          <w:sz w:val="24"/>
          <w:highlight w:val="none"/>
        </w:rPr>
        <w:fldChar w:fldCharType="end"/>
      </w:r>
    </w:p>
    <w:p w14:paraId="05377094">
      <w:pPr>
        <w:pStyle w:val="20"/>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"_Toc74323460" </w:instrText>
      </w:r>
      <w:r>
        <w:rPr>
          <w:color w:val="auto"/>
          <w:highlight w:val="none"/>
        </w:rPr>
        <w:fldChar w:fldCharType="separate"/>
      </w:r>
      <w:r>
        <w:rPr>
          <w:rStyle w:val="30"/>
          <w:rFonts w:hint="eastAsia" w:ascii="宋体" w:hAnsi="宋体"/>
          <w:b/>
          <w:color w:val="auto"/>
          <w:sz w:val="24"/>
          <w:highlight w:val="none"/>
        </w:rPr>
        <w:t>第五章</w:t>
      </w:r>
      <w:r>
        <w:rPr>
          <w:rStyle w:val="30"/>
          <w:rFonts w:hint="eastAsia" w:ascii="宋体" w:hAnsi="宋体"/>
          <w:b/>
          <w:color w:val="auto"/>
          <w:sz w:val="24"/>
          <w:highlight w:val="none"/>
          <w:lang w:val="en-US" w:eastAsia="zh-CN"/>
        </w:rPr>
        <w:t xml:space="preserve">  </w:t>
      </w:r>
      <w:r>
        <w:rPr>
          <w:rStyle w:val="30"/>
          <w:rFonts w:hint="eastAsia" w:ascii="宋体" w:hAnsi="宋体"/>
          <w:b/>
          <w:color w:val="auto"/>
          <w:sz w:val="24"/>
          <w:highlight w:val="none"/>
        </w:rPr>
        <w:t>响应文件格式</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_Toc74323460 \h </w:instrText>
      </w:r>
      <w:r>
        <w:rPr>
          <w:rFonts w:ascii="宋体" w:hAnsi="宋体"/>
          <w:b/>
          <w:color w:val="auto"/>
          <w:sz w:val="24"/>
          <w:highlight w:val="none"/>
        </w:rPr>
        <w:fldChar w:fldCharType="separate"/>
      </w:r>
      <w:r>
        <w:rPr>
          <w:rFonts w:ascii="宋体" w:hAnsi="宋体"/>
          <w:b/>
          <w:color w:val="auto"/>
          <w:sz w:val="24"/>
          <w:highlight w:val="none"/>
        </w:rPr>
        <w:t>52</w:t>
      </w:r>
      <w:r>
        <w:rPr>
          <w:rFonts w:ascii="宋体" w:hAnsi="宋体"/>
          <w:b/>
          <w:color w:val="auto"/>
          <w:sz w:val="24"/>
          <w:highlight w:val="none"/>
        </w:rPr>
        <w:fldChar w:fldCharType="end"/>
      </w:r>
      <w:r>
        <w:rPr>
          <w:rFonts w:ascii="宋体" w:hAnsi="宋体"/>
          <w:b/>
          <w:color w:val="auto"/>
          <w:sz w:val="24"/>
          <w:highlight w:val="none"/>
        </w:rPr>
        <w:fldChar w:fldCharType="end"/>
      </w:r>
    </w:p>
    <w:p w14:paraId="15D77DB7">
      <w:pPr>
        <w:pStyle w:val="20"/>
        <w:tabs>
          <w:tab w:val="right" w:leader="dot" w:pos="8869"/>
        </w:tabs>
        <w:snapToGrid w:val="0"/>
        <w:spacing w:line="500" w:lineRule="atLeast"/>
        <w:rPr>
          <w:rFonts w:ascii="宋体" w:hAnsi="宋体"/>
          <w:color w:val="auto"/>
          <w:sz w:val="24"/>
          <w:highlight w:val="none"/>
        </w:rPr>
      </w:pPr>
      <w:r>
        <w:rPr>
          <w:color w:val="auto"/>
          <w:highlight w:val="none"/>
        </w:rPr>
        <w:fldChar w:fldCharType="begin"/>
      </w:r>
      <w:r>
        <w:rPr>
          <w:color w:val="auto"/>
          <w:highlight w:val="none"/>
        </w:rPr>
        <w:instrText xml:space="preserve"> HYPERLINK \l "_Toc74323461" </w:instrText>
      </w:r>
      <w:r>
        <w:rPr>
          <w:color w:val="auto"/>
          <w:highlight w:val="none"/>
        </w:rPr>
        <w:fldChar w:fldCharType="separate"/>
      </w:r>
      <w:r>
        <w:rPr>
          <w:rStyle w:val="30"/>
          <w:rFonts w:hint="eastAsia" w:ascii="宋体" w:hAnsi="宋体"/>
          <w:b/>
          <w:color w:val="auto"/>
          <w:sz w:val="24"/>
          <w:highlight w:val="none"/>
        </w:rPr>
        <w:t>第六章</w:t>
      </w:r>
      <w:r>
        <w:rPr>
          <w:rStyle w:val="30"/>
          <w:rFonts w:hint="eastAsia" w:ascii="宋体" w:hAnsi="宋体"/>
          <w:b/>
          <w:color w:val="auto"/>
          <w:sz w:val="24"/>
          <w:highlight w:val="none"/>
          <w:lang w:val="en-US" w:eastAsia="zh-CN"/>
        </w:rPr>
        <w:t xml:space="preserve">  </w:t>
      </w:r>
      <w:r>
        <w:rPr>
          <w:rStyle w:val="30"/>
          <w:rFonts w:hint="eastAsia" w:ascii="宋体" w:hAnsi="宋体"/>
          <w:b/>
          <w:color w:val="auto"/>
          <w:sz w:val="24"/>
          <w:highlight w:val="none"/>
        </w:rPr>
        <w:t>合同文本</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_Toc74323461 \h </w:instrText>
      </w:r>
      <w:r>
        <w:rPr>
          <w:rFonts w:ascii="宋体" w:hAnsi="宋体"/>
          <w:b/>
          <w:color w:val="auto"/>
          <w:sz w:val="24"/>
          <w:highlight w:val="none"/>
        </w:rPr>
        <w:fldChar w:fldCharType="separate"/>
      </w:r>
      <w:r>
        <w:rPr>
          <w:rFonts w:ascii="宋体" w:hAnsi="宋体"/>
          <w:b/>
          <w:color w:val="auto"/>
          <w:sz w:val="24"/>
          <w:highlight w:val="none"/>
        </w:rPr>
        <w:t>83</w:t>
      </w:r>
      <w:r>
        <w:rPr>
          <w:rFonts w:ascii="宋体" w:hAnsi="宋体"/>
          <w:b/>
          <w:color w:val="auto"/>
          <w:sz w:val="24"/>
          <w:highlight w:val="none"/>
        </w:rPr>
        <w:fldChar w:fldCharType="end"/>
      </w:r>
      <w:r>
        <w:rPr>
          <w:rFonts w:ascii="宋体" w:hAnsi="宋体"/>
          <w:b/>
          <w:color w:val="auto"/>
          <w:sz w:val="24"/>
          <w:highlight w:val="none"/>
        </w:rPr>
        <w:fldChar w:fldCharType="end"/>
      </w:r>
    </w:p>
    <w:p w14:paraId="0ACCCA1F">
      <w:pPr>
        <w:pStyle w:val="21"/>
        <w:tabs>
          <w:tab w:val="right" w:leader="dot" w:pos="8931"/>
          <w:tab w:val="clear" w:pos="8296"/>
        </w:tabs>
        <w:snapToGrid w:val="0"/>
        <w:spacing w:line="500" w:lineRule="atLeast"/>
        <w:ind w:left="0" w:leftChars="0"/>
        <w:rPr>
          <w:rFonts w:ascii="宋体" w:hAnsi="宋体"/>
          <w:b/>
          <w:color w:val="auto"/>
          <w:sz w:val="24"/>
          <w:highlight w:val="none"/>
        </w:rPr>
      </w:pPr>
      <w:r>
        <w:rPr>
          <w:rFonts w:ascii="宋体" w:hAnsi="宋体"/>
          <w:b/>
          <w:color w:val="auto"/>
          <w:sz w:val="24"/>
          <w:highlight w:val="none"/>
        </w:rPr>
        <w:fldChar w:fldCharType="end"/>
      </w:r>
    </w:p>
    <w:p w14:paraId="2385C32D">
      <w:pPr>
        <w:spacing w:line="400" w:lineRule="exact"/>
        <w:jc w:val="left"/>
        <w:rPr>
          <w:rFonts w:ascii="宋体" w:hAnsi="宋体"/>
          <w:b/>
          <w:color w:val="auto"/>
          <w:sz w:val="32"/>
          <w:szCs w:val="32"/>
          <w:highlight w:val="none"/>
        </w:rPr>
      </w:pPr>
    </w:p>
    <w:p w14:paraId="4BA258E7">
      <w:pPr>
        <w:spacing w:line="400" w:lineRule="exact"/>
        <w:jc w:val="center"/>
        <w:rPr>
          <w:rFonts w:ascii="宋体" w:hAnsi="宋体"/>
          <w:b/>
          <w:color w:val="auto"/>
          <w:sz w:val="32"/>
          <w:szCs w:val="32"/>
          <w:highlight w:val="none"/>
        </w:rPr>
      </w:pPr>
    </w:p>
    <w:p w14:paraId="52E1E08D">
      <w:pPr>
        <w:spacing w:line="400" w:lineRule="exact"/>
        <w:jc w:val="center"/>
        <w:rPr>
          <w:rFonts w:ascii="宋体" w:hAnsi="宋体"/>
          <w:b/>
          <w:color w:val="auto"/>
          <w:sz w:val="32"/>
          <w:szCs w:val="32"/>
          <w:highlight w:val="none"/>
        </w:rPr>
      </w:pPr>
    </w:p>
    <w:p w14:paraId="171AF930">
      <w:pPr>
        <w:spacing w:line="400" w:lineRule="exact"/>
        <w:jc w:val="center"/>
        <w:rPr>
          <w:rFonts w:ascii="宋体" w:hAnsi="宋体"/>
          <w:b/>
          <w:color w:val="auto"/>
          <w:sz w:val="32"/>
          <w:szCs w:val="32"/>
          <w:highlight w:val="none"/>
        </w:rPr>
      </w:pPr>
    </w:p>
    <w:p w14:paraId="5E6DE6D9">
      <w:pPr>
        <w:spacing w:line="400" w:lineRule="exact"/>
        <w:jc w:val="center"/>
        <w:rPr>
          <w:rFonts w:ascii="宋体" w:hAnsi="宋体"/>
          <w:b/>
          <w:color w:val="auto"/>
          <w:sz w:val="32"/>
          <w:szCs w:val="32"/>
          <w:highlight w:val="none"/>
        </w:rPr>
      </w:pPr>
    </w:p>
    <w:p w14:paraId="25855119">
      <w:pPr>
        <w:spacing w:line="400" w:lineRule="exact"/>
        <w:rPr>
          <w:rFonts w:ascii="宋体" w:hAnsi="宋体"/>
          <w:b/>
          <w:color w:val="auto"/>
          <w:sz w:val="32"/>
          <w:szCs w:val="32"/>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3BDD5464">
      <w:pPr>
        <w:pStyle w:val="3"/>
        <w:jc w:val="center"/>
        <w:rPr>
          <w:color w:val="auto"/>
          <w:highlight w:val="none"/>
        </w:rPr>
      </w:pPr>
      <w:bookmarkStart w:id="3" w:name="_Toc74323456"/>
      <w:r>
        <w:rPr>
          <w:rFonts w:hint="eastAsia"/>
          <w:color w:val="auto"/>
          <w:highlight w:val="none"/>
        </w:rPr>
        <w:t>第一章 竞争性磋商公告</w:t>
      </w:r>
      <w:bookmarkEnd w:id="3"/>
    </w:p>
    <w:p w14:paraId="02F1F706">
      <w:pPr>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竞争性磋商公告</w:t>
      </w:r>
    </w:p>
    <w:p w14:paraId="4159328D">
      <w:pPr>
        <w:spacing w:line="360" w:lineRule="auto"/>
        <w:rPr>
          <w:rFonts w:ascii="宋体" w:hAnsi="宋体"/>
          <w:color w:val="auto"/>
          <w:szCs w:val="21"/>
          <w:highlight w:val="none"/>
        </w:rPr>
      </w:pPr>
    </w:p>
    <w:p w14:paraId="6BAAB145">
      <w:pPr>
        <w:pBdr>
          <w:top w:val="single" w:color="auto" w:sz="4" w:space="1"/>
          <w:left w:val="single" w:color="auto" w:sz="4" w:space="4"/>
          <w:bottom w:val="single" w:color="auto" w:sz="4" w:space="1"/>
          <w:right w:val="single" w:color="auto" w:sz="4" w:space="4"/>
        </w:pBdr>
        <w:spacing w:line="360" w:lineRule="exact"/>
        <w:ind w:firstLine="420" w:firstLineChars="200"/>
        <w:rPr>
          <w:rFonts w:ascii="宋体" w:hAnsi="宋体"/>
          <w:color w:val="auto"/>
          <w:szCs w:val="21"/>
          <w:highlight w:val="none"/>
        </w:rPr>
      </w:pPr>
      <w:bookmarkStart w:id="4" w:name="_Hlk37430271"/>
      <w:r>
        <w:rPr>
          <w:rFonts w:hint="eastAsia" w:ascii="宋体" w:hAnsi="宋体"/>
          <w:color w:val="auto"/>
          <w:szCs w:val="21"/>
          <w:highlight w:val="none"/>
        </w:rPr>
        <w:t>项目概况</w:t>
      </w:r>
    </w:p>
    <w:p w14:paraId="78724024">
      <w:pPr>
        <w:pBdr>
          <w:top w:val="single" w:color="auto" w:sz="4" w:space="1"/>
          <w:left w:val="single" w:color="auto" w:sz="4" w:space="4"/>
          <w:bottom w:val="single" w:color="auto" w:sz="4" w:space="1"/>
          <w:right w:val="single" w:color="auto" w:sz="4" w:space="4"/>
        </w:pBd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2025年会计服务采购项目的潜在供应商应在广西政府采购云平台（https://www.gcy.zfcg.gxzf.gov.cn/）获取（下载）竞争性磋商文件，并于</w:t>
      </w:r>
      <w:r>
        <w:rPr>
          <w:rFonts w:hint="eastAsia" w:ascii="宋体" w:hAnsi="宋体"/>
          <w:color w:val="auto"/>
          <w:szCs w:val="21"/>
          <w:highlight w:val="none"/>
          <w:u w:val="single"/>
        </w:rPr>
        <w:t>2025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13</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15</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u w:val="single"/>
        </w:rPr>
        <w:t>分（</w:t>
      </w:r>
      <w:r>
        <w:rPr>
          <w:rFonts w:hint="eastAsia" w:ascii="宋体" w:hAnsi="宋体"/>
          <w:bCs/>
          <w:color w:val="auto"/>
          <w:szCs w:val="21"/>
          <w:highlight w:val="none"/>
        </w:rPr>
        <w:t>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7C355EAC">
      <w:pPr>
        <w:spacing w:line="360" w:lineRule="exact"/>
        <w:rPr>
          <w:rFonts w:ascii="宋体" w:hAnsi="宋体"/>
          <w:color w:val="auto"/>
          <w:szCs w:val="21"/>
          <w:highlight w:val="none"/>
        </w:rPr>
      </w:pPr>
    </w:p>
    <w:p w14:paraId="75D4CC31">
      <w:pPr>
        <w:spacing w:line="440" w:lineRule="exact"/>
        <w:ind w:firstLine="361" w:firstLineChars="150"/>
        <w:rPr>
          <w:rFonts w:ascii="黑体" w:hAnsi="黑体" w:eastAsia="黑体"/>
          <w:b/>
          <w:color w:val="auto"/>
          <w:sz w:val="24"/>
          <w:highlight w:val="none"/>
        </w:rPr>
      </w:pPr>
      <w:bookmarkStart w:id="5" w:name="_Toc35393629"/>
      <w:bookmarkStart w:id="6" w:name="_Toc28359089"/>
      <w:bookmarkStart w:id="7" w:name="_Toc44229878"/>
      <w:bookmarkStart w:id="8" w:name="_Toc71366166"/>
      <w:bookmarkStart w:id="9" w:name="_Toc28359012"/>
      <w:bookmarkStart w:id="10" w:name="_Toc35393798"/>
      <w:r>
        <w:rPr>
          <w:rFonts w:hint="eastAsia" w:ascii="黑体" w:hAnsi="黑体" w:eastAsia="黑体"/>
          <w:b/>
          <w:color w:val="auto"/>
          <w:sz w:val="24"/>
          <w:highlight w:val="none"/>
        </w:rPr>
        <w:t>一、项目基本情况</w:t>
      </w:r>
      <w:bookmarkEnd w:id="5"/>
      <w:bookmarkEnd w:id="6"/>
      <w:bookmarkEnd w:id="7"/>
      <w:bookmarkEnd w:id="8"/>
      <w:bookmarkEnd w:id="9"/>
      <w:bookmarkEnd w:id="10"/>
    </w:p>
    <w:p w14:paraId="15335DA2">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lang w:eastAsia="zh-CN"/>
        </w:rPr>
        <w:t>：</w:t>
      </w:r>
      <w:r>
        <w:rPr>
          <w:rFonts w:hint="eastAsia" w:ascii="宋体" w:hAnsi="宋体"/>
          <w:color w:val="auto"/>
          <w:szCs w:val="21"/>
          <w:highlight w:val="none"/>
        </w:rPr>
        <w:t>GXZC2025-C3-000993-YZLZ</w:t>
      </w:r>
    </w:p>
    <w:p w14:paraId="45DC13D5">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项目名称：2025年会计服务采购</w:t>
      </w:r>
    </w:p>
    <w:p w14:paraId="39A995B7">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4CBB77DA">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预算金额：A分标81万元；B分标72万元</w:t>
      </w:r>
    </w:p>
    <w:p w14:paraId="1D06109C">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最高限价：A分标81万元；B分标72万元</w:t>
      </w:r>
    </w:p>
    <w:p w14:paraId="0619EDDE">
      <w:pPr>
        <w:spacing w:line="440" w:lineRule="exact"/>
        <w:ind w:firstLine="420" w:firstLineChars="200"/>
        <w:rPr>
          <w:rFonts w:hint="eastAsia" w:hAnsi="宋体"/>
          <w:b/>
          <w:bCs/>
          <w:color w:val="auto"/>
          <w:highlight w:val="none"/>
        </w:rPr>
      </w:pPr>
      <w:r>
        <w:rPr>
          <w:rFonts w:hint="eastAsia" w:ascii="宋体" w:hAnsi="宋体"/>
          <w:color w:val="auto"/>
          <w:szCs w:val="21"/>
          <w:highlight w:val="none"/>
        </w:rPr>
        <w:t>采购需求：</w:t>
      </w:r>
      <w:bookmarkStart w:id="11" w:name="_Toc35393799"/>
      <w:bookmarkStart w:id="12" w:name="_Toc28359013"/>
      <w:bookmarkStart w:id="13" w:name="_Toc28359090"/>
      <w:bookmarkStart w:id="14" w:name="_Toc44229879"/>
      <w:bookmarkStart w:id="15" w:name="_Toc71366167"/>
      <w:bookmarkStart w:id="16" w:name="_Toc35393630"/>
    </w:p>
    <w:tbl>
      <w:tblPr>
        <w:tblStyle w:val="2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0"/>
        <w:gridCol w:w="1028"/>
        <w:gridCol w:w="952"/>
        <w:gridCol w:w="5230"/>
        <w:gridCol w:w="1008"/>
      </w:tblGrid>
      <w:tr w14:paraId="05A97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000" w:type="pct"/>
            <w:gridSpan w:val="5"/>
            <w:noWrap/>
            <w:vAlign w:val="center"/>
          </w:tcPr>
          <w:p w14:paraId="40CBA93A">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A分标</w:t>
            </w:r>
          </w:p>
        </w:tc>
      </w:tr>
      <w:tr w14:paraId="6F6E1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1" w:type="pct"/>
            <w:noWrap/>
            <w:vAlign w:val="center"/>
          </w:tcPr>
          <w:p w14:paraId="35799D96">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602" w:type="pct"/>
            <w:noWrap/>
            <w:vAlign w:val="center"/>
          </w:tcPr>
          <w:p w14:paraId="28C3506A">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558" w:type="pct"/>
            <w:noWrap/>
            <w:vAlign w:val="center"/>
          </w:tcPr>
          <w:p w14:paraId="0C30AA74">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3066" w:type="pct"/>
            <w:noWrap/>
            <w:vAlign w:val="center"/>
          </w:tcPr>
          <w:p w14:paraId="5CBDBAA8">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简要技术需求或者服务要求</w:t>
            </w:r>
          </w:p>
        </w:tc>
        <w:tc>
          <w:tcPr>
            <w:tcW w:w="590" w:type="pct"/>
            <w:noWrap/>
            <w:vAlign w:val="center"/>
          </w:tcPr>
          <w:p w14:paraId="0E2BD26A">
            <w:pPr>
              <w:tabs>
                <w:tab w:val="left" w:pos="180"/>
                <w:tab w:val="left" w:pos="1620"/>
              </w:tabs>
              <w:spacing w:line="400" w:lineRule="exact"/>
              <w:rPr>
                <w:rFonts w:ascii="宋体" w:hAnsi="宋体" w:cs="宋体"/>
                <w:color w:val="auto"/>
                <w:szCs w:val="21"/>
                <w:highlight w:val="none"/>
              </w:rPr>
            </w:pPr>
            <w:r>
              <w:rPr>
                <w:rFonts w:hint="eastAsia" w:ascii="宋体" w:hAnsi="宋体" w:cs="宋体"/>
                <w:color w:val="auto"/>
                <w:szCs w:val="21"/>
                <w:highlight w:val="none"/>
              </w:rPr>
              <w:t>分项预算金额（万元）</w:t>
            </w:r>
          </w:p>
        </w:tc>
      </w:tr>
      <w:tr w14:paraId="1C9BA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1" w:type="pct"/>
            <w:noWrap/>
            <w:vAlign w:val="center"/>
          </w:tcPr>
          <w:p w14:paraId="693B0D37">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602" w:type="pct"/>
            <w:noWrap/>
            <w:vAlign w:val="center"/>
          </w:tcPr>
          <w:p w14:paraId="6F5249FA">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小额贷款公司现场检查</w:t>
            </w:r>
            <w:r>
              <w:rPr>
                <w:rFonts w:hint="eastAsia" w:ascii="宋体" w:hAnsi="宋体" w:cs="宋体"/>
                <w:color w:val="auto"/>
                <w:szCs w:val="21"/>
                <w:highlight w:val="none"/>
                <w:lang w:eastAsia="zh-CN"/>
              </w:rPr>
              <w:t>与监管评级</w:t>
            </w:r>
          </w:p>
        </w:tc>
        <w:tc>
          <w:tcPr>
            <w:tcW w:w="558" w:type="pct"/>
            <w:noWrap/>
            <w:vAlign w:val="center"/>
          </w:tcPr>
          <w:p w14:paraId="4882D0C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3066" w:type="pct"/>
            <w:noWrap/>
            <w:vAlign w:val="center"/>
          </w:tcPr>
          <w:p w14:paraId="6114DC59">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一、服务内容要求</w:t>
            </w:r>
          </w:p>
          <w:p w14:paraId="7FCFA5F9">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Calibri"/>
                <w:color w:val="auto"/>
                <w:szCs w:val="21"/>
                <w:highlight w:val="none"/>
              </w:rPr>
              <w:t>根据《小额贷款公司监督管理暂行办</w:t>
            </w:r>
            <w:r>
              <w:rPr>
                <w:rStyle w:val="31"/>
                <w:rFonts w:hint="eastAsia"/>
                <w:color w:val="auto"/>
                <w:highlight w:val="none"/>
                <w:lang w:val="en-US" w:eastAsia="zh-CN"/>
              </w:rPr>
              <w:t>法</w:t>
            </w:r>
            <w:r>
              <w:rPr>
                <w:rFonts w:hint="eastAsia" w:ascii="宋体" w:hAnsi="宋体" w:cs="Calibri"/>
                <w:color w:val="auto"/>
                <w:szCs w:val="21"/>
                <w:highlight w:val="none"/>
              </w:rPr>
              <w:t>》（金规〔2024〕26号）、《中国银保监会办公厅关于加强小额贷款公司监督管理的通知》（银保监办发〔2020〕86号）</w:t>
            </w:r>
            <w:r>
              <w:rPr>
                <w:rFonts w:hint="eastAsia" w:ascii="宋体" w:hAnsi="宋体" w:cs="Calibri"/>
                <w:color w:val="auto"/>
                <w:szCs w:val="21"/>
                <w:highlight w:val="none"/>
                <w:lang w:val="en-US" w:eastAsia="zh-CN"/>
              </w:rPr>
              <w:t>，具体详见《第三章  采购需求》。</w:t>
            </w:r>
          </w:p>
        </w:tc>
        <w:tc>
          <w:tcPr>
            <w:tcW w:w="590" w:type="pct"/>
            <w:noWrap/>
            <w:vAlign w:val="center"/>
          </w:tcPr>
          <w:p w14:paraId="34212E3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36.00</w:t>
            </w:r>
          </w:p>
        </w:tc>
      </w:tr>
      <w:tr w14:paraId="22EE5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1" w:type="pct"/>
            <w:noWrap/>
            <w:vAlign w:val="center"/>
          </w:tcPr>
          <w:p w14:paraId="327BC6A0">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602" w:type="pct"/>
            <w:noWrap/>
            <w:vAlign w:val="center"/>
          </w:tcPr>
          <w:p w14:paraId="114B981C">
            <w:pPr>
              <w:spacing w:line="400" w:lineRule="exact"/>
              <w:jc w:val="center"/>
              <w:rPr>
                <w:rFonts w:ascii="宋体" w:hAnsi="宋体" w:cs="宋体"/>
                <w:color w:val="auto"/>
                <w:szCs w:val="21"/>
                <w:highlight w:val="none"/>
              </w:rPr>
            </w:pPr>
            <w:r>
              <w:rPr>
                <w:rFonts w:hint="eastAsia" w:ascii="宋体" w:hAnsi="宋体" w:cs="Calibri"/>
                <w:color w:val="auto"/>
                <w:szCs w:val="21"/>
                <w:highlight w:val="none"/>
              </w:rPr>
              <w:t>典当行现场检查与监管评级</w:t>
            </w:r>
          </w:p>
        </w:tc>
        <w:tc>
          <w:tcPr>
            <w:tcW w:w="558" w:type="pct"/>
            <w:noWrap/>
            <w:vAlign w:val="center"/>
          </w:tcPr>
          <w:p w14:paraId="6E0EC66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3066" w:type="pct"/>
            <w:noWrap/>
            <w:vAlign w:val="center"/>
          </w:tcPr>
          <w:p w14:paraId="4763F92F">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一、服务内容要求</w:t>
            </w:r>
          </w:p>
          <w:p w14:paraId="2A69070A">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Calibri"/>
                <w:color w:val="auto"/>
                <w:szCs w:val="21"/>
                <w:highlight w:val="none"/>
              </w:rPr>
              <w:t>根据《典当管理办法》（商务部、公安部2005年第8号令）、《典当行业监管规定》</w:t>
            </w:r>
            <w:r>
              <w:rPr>
                <w:rFonts w:hint="eastAsia" w:ascii="宋体" w:hAnsi="宋体" w:cs="Calibri"/>
                <w:color w:val="auto"/>
                <w:szCs w:val="21"/>
                <w:highlight w:val="none"/>
                <w:lang w:eastAsia="zh-CN"/>
              </w:rPr>
              <w:t>（</w:t>
            </w:r>
            <w:r>
              <w:rPr>
                <w:rFonts w:hint="eastAsia" w:ascii="宋体" w:hAnsi="宋体" w:cs="Calibri"/>
                <w:color w:val="auto"/>
                <w:szCs w:val="21"/>
                <w:highlight w:val="none"/>
              </w:rPr>
              <w:t>商流通发〔2012〕423号</w:t>
            </w:r>
            <w:r>
              <w:rPr>
                <w:rFonts w:hint="eastAsia" w:ascii="宋体" w:hAnsi="宋体" w:cs="Calibri"/>
                <w:color w:val="auto"/>
                <w:szCs w:val="21"/>
                <w:highlight w:val="none"/>
                <w:lang w:eastAsia="zh-CN"/>
              </w:rPr>
              <w:t>）</w:t>
            </w:r>
            <w:r>
              <w:rPr>
                <w:rFonts w:hint="eastAsia" w:ascii="宋体" w:hAnsi="宋体" w:cs="Calibri"/>
                <w:color w:val="auto"/>
                <w:szCs w:val="21"/>
                <w:highlight w:val="none"/>
                <w:lang w:val="en-US" w:eastAsia="zh-CN"/>
              </w:rPr>
              <w:t>，具体详见《第三章  采购需求》。</w:t>
            </w:r>
          </w:p>
        </w:tc>
        <w:tc>
          <w:tcPr>
            <w:tcW w:w="590" w:type="pct"/>
            <w:noWrap/>
            <w:vAlign w:val="center"/>
          </w:tcPr>
          <w:p w14:paraId="7797C69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15.00</w:t>
            </w:r>
          </w:p>
        </w:tc>
      </w:tr>
      <w:tr w14:paraId="45F8E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1" w:type="pct"/>
            <w:noWrap/>
            <w:vAlign w:val="center"/>
          </w:tcPr>
          <w:p w14:paraId="04E47BA9">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602" w:type="pct"/>
            <w:noWrap/>
            <w:vAlign w:val="center"/>
          </w:tcPr>
          <w:p w14:paraId="6276FD16">
            <w:pPr>
              <w:spacing w:line="400" w:lineRule="exact"/>
              <w:jc w:val="center"/>
              <w:rPr>
                <w:rFonts w:ascii="宋体" w:hAnsi="宋体" w:cs="宋体"/>
                <w:color w:val="auto"/>
                <w:szCs w:val="21"/>
                <w:highlight w:val="none"/>
              </w:rPr>
            </w:pPr>
            <w:r>
              <w:rPr>
                <w:rFonts w:hint="eastAsia" w:ascii="宋体" w:hAnsi="宋体" w:cs="仿宋_GB2312"/>
                <w:color w:val="auto"/>
                <w:szCs w:val="21"/>
                <w:highlight w:val="none"/>
              </w:rPr>
              <w:t>地方资产管理公司现场检查与监管评级</w:t>
            </w:r>
          </w:p>
        </w:tc>
        <w:tc>
          <w:tcPr>
            <w:tcW w:w="558" w:type="pct"/>
            <w:noWrap/>
            <w:vAlign w:val="center"/>
          </w:tcPr>
          <w:p w14:paraId="07A836D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3066" w:type="pct"/>
            <w:noWrap/>
            <w:vAlign w:val="center"/>
          </w:tcPr>
          <w:p w14:paraId="6424AA66">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一、服务内容要求</w:t>
            </w:r>
          </w:p>
          <w:p w14:paraId="70C03D76">
            <w:pPr>
              <w:spacing w:line="400" w:lineRule="exact"/>
              <w:ind w:firstLine="420" w:firstLineChars="200"/>
              <w:rPr>
                <w:rFonts w:hint="eastAsia" w:ascii="宋体" w:hAnsi="宋体" w:eastAsia="宋体" w:cs="宋体"/>
                <w:b/>
                <w:color w:val="auto"/>
                <w:szCs w:val="21"/>
                <w:highlight w:val="none"/>
                <w:lang w:eastAsia="zh-CN"/>
              </w:rPr>
            </w:pPr>
            <w:r>
              <w:rPr>
                <w:rFonts w:hint="eastAsia" w:ascii="宋体" w:hAnsi="宋体" w:cs="Calibri"/>
                <w:color w:val="auto"/>
                <w:szCs w:val="21"/>
                <w:highlight w:val="none"/>
              </w:rPr>
              <w:t>根据《中国银保监会办公厅关于加强地方资产管理公司监督管理工作的通知》（银保监办发〔2019〕153号）、《广西壮族自治区地方资产管理公司监督管理指引（试行）》（桂金监贰〔2021〕7号）等有关文件</w:t>
            </w:r>
            <w:r>
              <w:rPr>
                <w:rFonts w:hint="eastAsia" w:ascii="宋体" w:hAnsi="宋体" w:cs="Calibri"/>
                <w:color w:val="auto"/>
                <w:szCs w:val="21"/>
                <w:highlight w:val="none"/>
                <w:lang w:val="en-US" w:eastAsia="zh-CN"/>
              </w:rPr>
              <w:t>，具体详见《第三章  采购需求》。</w:t>
            </w:r>
          </w:p>
        </w:tc>
        <w:tc>
          <w:tcPr>
            <w:tcW w:w="590" w:type="pct"/>
            <w:noWrap/>
            <w:vAlign w:val="center"/>
          </w:tcPr>
          <w:p w14:paraId="405C84F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2.00</w:t>
            </w:r>
          </w:p>
        </w:tc>
      </w:tr>
      <w:tr w14:paraId="48D20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1" w:type="pct"/>
            <w:noWrap/>
            <w:vAlign w:val="center"/>
          </w:tcPr>
          <w:p w14:paraId="4B27ABBB">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602" w:type="pct"/>
            <w:noWrap/>
            <w:vAlign w:val="center"/>
          </w:tcPr>
          <w:p w14:paraId="121513D2">
            <w:pPr>
              <w:spacing w:line="400" w:lineRule="exact"/>
              <w:jc w:val="center"/>
              <w:rPr>
                <w:rFonts w:ascii="宋体" w:hAnsi="宋体" w:cs="宋体"/>
                <w:color w:val="auto"/>
                <w:szCs w:val="21"/>
                <w:highlight w:val="none"/>
              </w:rPr>
            </w:pPr>
            <w:r>
              <w:rPr>
                <w:rFonts w:hint="eastAsia" w:ascii="宋体" w:hAnsi="宋体" w:cs="仿宋_GB2312"/>
                <w:color w:val="auto"/>
                <w:szCs w:val="21"/>
                <w:highlight w:val="none"/>
              </w:rPr>
              <w:t>跨境人民币结算奖补审核服务</w:t>
            </w:r>
          </w:p>
        </w:tc>
        <w:tc>
          <w:tcPr>
            <w:tcW w:w="558" w:type="pct"/>
            <w:noWrap/>
            <w:vAlign w:val="center"/>
          </w:tcPr>
          <w:p w14:paraId="4CDB3D0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3066" w:type="pct"/>
            <w:noWrap/>
            <w:vAlign w:val="center"/>
          </w:tcPr>
          <w:p w14:paraId="28467F9D">
            <w:pPr>
              <w:spacing w:line="400" w:lineRule="exact"/>
              <w:ind w:firstLine="420" w:firstLineChars="200"/>
              <w:rPr>
                <w:rFonts w:ascii="宋体" w:hAnsi="宋体" w:cs="宋体"/>
                <w:color w:val="auto"/>
                <w:szCs w:val="21"/>
                <w:highlight w:val="none"/>
              </w:rPr>
            </w:pPr>
            <w:r>
              <w:rPr>
                <w:rFonts w:hint="eastAsia" w:ascii="宋体" w:hAnsi="宋体" w:cs="Calibri"/>
                <w:color w:val="auto"/>
                <w:szCs w:val="21"/>
                <w:highlight w:val="none"/>
              </w:rPr>
              <w:t>按照自治区党委金融办要求对跨境人民币结算奖补材料进行集中审核，包括但不限于奖补申请项目是否符合文件要求、奖补申请材料是否齐全等，按质按量完成审核工作并出具审核报告</w:t>
            </w:r>
            <w:r>
              <w:rPr>
                <w:rFonts w:hint="eastAsia" w:ascii="宋体" w:hAnsi="宋体" w:cs="Calibri"/>
                <w:color w:val="auto"/>
                <w:szCs w:val="21"/>
                <w:highlight w:val="none"/>
                <w:lang w:val="en-US" w:eastAsia="zh-CN"/>
              </w:rPr>
              <w:t>，具体详见《第三章  采购需求》。</w:t>
            </w:r>
          </w:p>
        </w:tc>
        <w:tc>
          <w:tcPr>
            <w:tcW w:w="590" w:type="pct"/>
            <w:noWrap/>
            <w:vAlign w:val="center"/>
          </w:tcPr>
          <w:p w14:paraId="1CF5E24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2.00</w:t>
            </w:r>
          </w:p>
        </w:tc>
      </w:tr>
      <w:tr w14:paraId="55C91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1" w:type="pct"/>
            <w:noWrap/>
            <w:vAlign w:val="center"/>
          </w:tcPr>
          <w:p w14:paraId="22E00410">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602" w:type="pct"/>
            <w:noWrap/>
            <w:vAlign w:val="center"/>
          </w:tcPr>
          <w:p w14:paraId="24A1D66B">
            <w:pPr>
              <w:spacing w:line="400" w:lineRule="exact"/>
              <w:jc w:val="center"/>
              <w:rPr>
                <w:rFonts w:ascii="宋体" w:hAnsi="宋体" w:cs="宋体"/>
                <w:color w:val="auto"/>
                <w:szCs w:val="21"/>
                <w:highlight w:val="none"/>
              </w:rPr>
            </w:pPr>
            <w:r>
              <w:rPr>
                <w:rFonts w:hint="eastAsia" w:ascii="宋体" w:hAnsi="宋体" w:cs="仿宋_GB2312"/>
                <w:color w:val="auto"/>
                <w:szCs w:val="21"/>
                <w:highlight w:val="none"/>
              </w:rPr>
              <w:t>直接融资奖补审核服务</w:t>
            </w:r>
          </w:p>
        </w:tc>
        <w:tc>
          <w:tcPr>
            <w:tcW w:w="558" w:type="pct"/>
            <w:noWrap/>
            <w:vAlign w:val="center"/>
          </w:tcPr>
          <w:p w14:paraId="66BF379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3066" w:type="pct"/>
            <w:noWrap/>
            <w:vAlign w:val="center"/>
          </w:tcPr>
          <w:p w14:paraId="5823E4DE">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Calibri"/>
                <w:color w:val="auto"/>
                <w:szCs w:val="21"/>
                <w:highlight w:val="none"/>
              </w:rPr>
              <w:t>按照自治区党委金融办要求对直接融资奖补材料进行集中审核，包括但不限于奖补申请项目是否符合文件要求、奖补申请材料是否齐全等，按质按量完成审核工作并出具审核报告，具体详见《第三章  采购需求》</w:t>
            </w:r>
            <w:r>
              <w:rPr>
                <w:rFonts w:hint="eastAsia" w:ascii="宋体" w:hAnsi="宋体" w:cs="Calibri"/>
                <w:color w:val="auto"/>
                <w:szCs w:val="21"/>
                <w:highlight w:val="none"/>
                <w:lang w:eastAsia="zh-CN"/>
              </w:rPr>
              <w:t>。</w:t>
            </w:r>
          </w:p>
        </w:tc>
        <w:tc>
          <w:tcPr>
            <w:tcW w:w="590" w:type="pct"/>
            <w:tcBorders>
              <w:bottom w:val="single" w:color="auto" w:sz="4" w:space="0"/>
            </w:tcBorders>
            <w:noWrap/>
            <w:vAlign w:val="center"/>
          </w:tcPr>
          <w:p w14:paraId="53147AE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2.00</w:t>
            </w:r>
          </w:p>
        </w:tc>
      </w:tr>
      <w:tr w14:paraId="5D927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1" w:type="pct"/>
            <w:noWrap/>
            <w:vAlign w:val="center"/>
          </w:tcPr>
          <w:p w14:paraId="3489F7DA">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602" w:type="pct"/>
            <w:noWrap/>
            <w:vAlign w:val="center"/>
          </w:tcPr>
          <w:p w14:paraId="1AC1D2A3">
            <w:pPr>
              <w:spacing w:line="400" w:lineRule="exact"/>
              <w:jc w:val="center"/>
              <w:rPr>
                <w:rFonts w:ascii="宋体" w:hAnsi="宋体" w:cs="宋体"/>
                <w:color w:val="auto"/>
                <w:szCs w:val="21"/>
                <w:highlight w:val="none"/>
              </w:rPr>
            </w:pPr>
            <w:r>
              <w:rPr>
                <w:rFonts w:hint="eastAsia" w:ascii="宋体" w:hAnsi="宋体" w:cs="Calibri"/>
                <w:color w:val="auto"/>
                <w:szCs w:val="21"/>
                <w:highlight w:val="none"/>
              </w:rPr>
              <w:t>交易场所现场检查</w:t>
            </w:r>
          </w:p>
        </w:tc>
        <w:tc>
          <w:tcPr>
            <w:tcW w:w="558" w:type="pct"/>
            <w:noWrap/>
            <w:vAlign w:val="center"/>
          </w:tcPr>
          <w:p w14:paraId="2842067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3066" w:type="pct"/>
            <w:tcBorders>
              <w:right w:val="single" w:color="auto" w:sz="4" w:space="0"/>
            </w:tcBorders>
            <w:noWrap/>
            <w:vAlign w:val="center"/>
          </w:tcPr>
          <w:p w14:paraId="3BF15189">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Calibri"/>
                <w:color w:val="auto"/>
                <w:szCs w:val="21"/>
                <w:highlight w:val="none"/>
              </w:rPr>
              <w:t>对广西壮族自治区内交易场所(约12家，以实际检查机构数量为准)的合规经营、风险防范、投资者权益保护等情况进行专项检查并提交最终检查报告。</w:t>
            </w:r>
            <w:r>
              <w:rPr>
                <w:rFonts w:ascii="宋体" w:hAnsi="宋体" w:cs="Calibri"/>
                <w:color w:val="auto"/>
                <w:szCs w:val="21"/>
                <w:highlight w:val="none"/>
              </w:rPr>
              <w:t>审核意见要求对审核项目有清晰审核意见及依据、审核项目齐全、表述文字格式统一</w:t>
            </w:r>
            <w:r>
              <w:rPr>
                <w:rFonts w:hint="eastAsia" w:ascii="宋体" w:hAnsi="宋体" w:cs="Calibri"/>
                <w:color w:val="auto"/>
                <w:szCs w:val="21"/>
                <w:highlight w:val="none"/>
              </w:rPr>
              <w:t>，具体详见《第三章  采购需求》</w:t>
            </w:r>
            <w:r>
              <w:rPr>
                <w:rFonts w:hint="eastAsia" w:ascii="宋体" w:hAnsi="宋体" w:cs="Calibri"/>
                <w:color w:val="auto"/>
                <w:szCs w:val="21"/>
                <w:highlight w:val="none"/>
                <w:lang w:eastAsia="zh-CN"/>
              </w:rPr>
              <w:t>。</w:t>
            </w:r>
          </w:p>
        </w:tc>
        <w:tc>
          <w:tcPr>
            <w:tcW w:w="590" w:type="pct"/>
            <w:tcBorders>
              <w:top w:val="single" w:color="auto" w:sz="4" w:space="0"/>
              <w:left w:val="single" w:color="auto" w:sz="4" w:space="0"/>
              <w:bottom w:val="single" w:color="auto" w:sz="4" w:space="0"/>
              <w:right w:val="single" w:color="auto" w:sz="4" w:space="0"/>
            </w:tcBorders>
            <w:noWrap/>
            <w:vAlign w:val="center"/>
          </w:tcPr>
          <w:p w14:paraId="31BD10A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24.00</w:t>
            </w:r>
          </w:p>
        </w:tc>
      </w:tr>
      <w:tr w14:paraId="0B7C8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000" w:type="pct"/>
            <w:gridSpan w:val="5"/>
            <w:noWrap/>
            <w:vAlign w:val="center"/>
          </w:tcPr>
          <w:p w14:paraId="73FE87D2">
            <w:pPr>
              <w:spacing w:line="400" w:lineRule="exact"/>
              <w:rPr>
                <w:rFonts w:ascii="宋体" w:hAnsi="宋体" w:cs="宋体"/>
                <w:color w:val="auto"/>
                <w:szCs w:val="21"/>
                <w:highlight w:val="none"/>
              </w:rPr>
            </w:pPr>
            <w:r>
              <w:rPr>
                <w:rFonts w:hint="eastAsia" w:ascii="宋体" w:hAnsi="宋体" w:cs="宋体"/>
                <w:color w:val="auto"/>
                <w:szCs w:val="21"/>
                <w:highlight w:val="none"/>
              </w:rPr>
              <w:t>合同履行期限：</w:t>
            </w:r>
          </w:p>
          <w:p w14:paraId="75457641">
            <w:pPr>
              <w:spacing w:line="400" w:lineRule="exact"/>
              <w:rPr>
                <w:rFonts w:ascii="宋体" w:hAnsi="宋体" w:cs="宋体"/>
                <w:color w:val="auto"/>
                <w:szCs w:val="21"/>
                <w:highlight w:val="none"/>
              </w:rPr>
            </w:pPr>
            <w:r>
              <w:rPr>
                <w:rFonts w:hint="eastAsia" w:ascii="宋体" w:hAnsi="宋体" w:cs="宋体"/>
                <w:color w:val="auto"/>
                <w:szCs w:val="21"/>
                <w:highlight w:val="none"/>
              </w:rPr>
              <w:t>1.小额贷款公司现场检查与监管评级：2025年8月1日—9月30日进场考核复评和现场检查；2025年10月31日前完成各类监管评级与现场检查报告终稿。</w:t>
            </w:r>
          </w:p>
          <w:p w14:paraId="4B75EF41">
            <w:pPr>
              <w:spacing w:line="400" w:lineRule="exact"/>
              <w:rPr>
                <w:rFonts w:ascii="宋体" w:hAnsi="宋体" w:cs="宋体"/>
                <w:color w:val="auto"/>
                <w:szCs w:val="21"/>
                <w:highlight w:val="none"/>
              </w:rPr>
            </w:pPr>
            <w:r>
              <w:rPr>
                <w:rFonts w:hint="eastAsia" w:ascii="宋体" w:hAnsi="宋体" w:cs="宋体"/>
                <w:color w:val="auto"/>
                <w:szCs w:val="21"/>
                <w:highlight w:val="none"/>
              </w:rPr>
              <w:t>2.典当行现场检查与监管评级：2025年8月1日—9月30日进场考核复评和现场检查；2025年10月31日前完成各类监管评级与现场检查报告终稿。</w:t>
            </w:r>
          </w:p>
          <w:p w14:paraId="1E12FD14">
            <w:pPr>
              <w:spacing w:line="400" w:lineRule="exact"/>
              <w:rPr>
                <w:rFonts w:ascii="宋体" w:hAnsi="宋体" w:cs="宋体"/>
                <w:color w:val="auto"/>
                <w:szCs w:val="21"/>
                <w:highlight w:val="none"/>
              </w:rPr>
            </w:pPr>
            <w:r>
              <w:rPr>
                <w:rFonts w:hint="eastAsia" w:ascii="宋体" w:hAnsi="宋体" w:cs="宋体"/>
                <w:color w:val="auto"/>
                <w:szCs w:val="21"/>
                <w:highlight w:val="none"/>
              </w:rPr>
              <w:t>3.地方资产管理公司现场检查与监管评级：2025年6月16日—6月30日，进场开展考评和第一次现场检查，2025年7月5日前完成第一次监管评级与现场检查报告终稿。2025年12月10日—12月13日，进场开展第二次现场检查，2025年12月15日前完成第二次现场检查报告终稿。</w:t>
            </w:r>
          </w:p>
          <w:p w14:paraId="730A1A09">
            <w:pPr>
              <w:spacing w:line="400" w:lineRule="exact"/>
              <w:rPr>
                <w:rFonts w:ascii="宋体" w:hAnsi="宋体" w:cs="宋体"/>
                <w:color w:val="auto"/>
                <w:szCs w:val="21"/>
                <w:highlight w:val="none"/>
              </w:rPr>
            </w:pPr>
            <w:r>
              <w:rPr>
                <w:rFonts w:hint="eastAsia" w:ascii="宋体" w:hAnsi="宋体" w:cs="宋体"/>
                <w:color w:val="auto"/>
                <w:szCs w:val="21"/>
                <w:highlight w:val="none"/>
              </w:rPr>
              <w:t>4.跨境人民币结算奖补审核服务：2025年6月30日前完成审核工作并出具审核报告。</w:t>
            </w:r>
          </w:p>
          <w:p w14:paraId="04103E17">
            <w:pPr>
              <w:spacing w:line="400" w:lineRule="exact"/>
              <w:rPr>
                <w:rFonts w:ascii="宋体" w:hAnsi="宋体" w:cs="宋体"/>
                <w:color w:val="auto"/>
                <w:szCs w:val="21"/>
                <w:highlight w:val="none"/>
              </w:rPr>
            </w:pPr>
            <w:r>
              <w:rPr>
                <w:rFonts w:hint="eastAsia" w:ascii="宋体" w:hAnsi="宋体" w:cs="宋体"/>
                <w:color w:val="auto"/>
                <w:szCs w:val="21"/>
                <w:highlight w:val="none"/>
              </w:rPr>
              <w:t>5.直接融资奖补审核服务：2025年10月15日前完成审核工作并</w:t>
            </w:r>
            <w:r>
              <w:rPr>
                <w:rFonts w:hint="eastAsia" w:ascii="宋体" w:hAnsi="宋体" w:cs="宋体"/>
                <w:color w:val="auto"/>
                <w:szCs w:val="21"/>
                <w:highlight w:val="none"/>
                <w:lang w:eastAsia="zh-CN"/>
              </w:rPr>
              <w:t>出具</w:t>
            </w:r>
            <w:r>
              <w:rPr>
                <w:rFonts w:hint="eastAsia" w:ascii="宋体" w:hAnsi="宋体" w:cs="宋体"/>
                <w:color w:val="auto"/>
                <w:szCs w:val="21"/>
                <w:highlight w:val="none"/>
              </w:rPr>
              <w:t>审计报告初稿；2025年10月30日前完成出具审计报告终稿。</w:t>
            </w:r>
          </w:p>
          <w:p w14:paraId="2F0CAB56">
            <w:pPr>
              <w:spacing w:line="400" w:lineRule="exact"/>
              <w:rPr>
                <w:rFonts w:ascii="宋体" w:hAnsi="宋体" w:cs="宋体"/>
                <w:color w:val="auto"/>
                <w:szCs w:val="21"/>
                <w:highlight w:val="none"/>
              </w:rPr>
            </w:pPr>
            <w:r>
              <w:rPr>
                <w:rFonts w:hint="eastAsia" w:ascii="宋体" w:hAnsi="宋体" w:cs="宋体"/>
                <w:color w:val="auto"/>
                <w:szCs w:val="21"/>
                <w:highlight w:val="none"/>
              </w:rPr>
              <w:t>6.交易场所现场检查：2025年10月31日前完成全部审计工作；2025年11月15日前完成审计报告初稿；2025年11月30日前完成审计报告终稿。</w:t>
            </w:r>
          </w:p>
        </w:tc>
      </w:tr>
      <w:tr w14:paraId="77A23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000" w:type="pct"/>
            <w:gridSpan w:val="5"/>
            <w:noWrap/>
            <w:vAlign w:val="center"/>
          </w:tcPr>
          <w:p w14:paraId="2F3B068F">
            <w:pPr>
              <w:spacing w:line="400" w:lineRule="exact"/>
              <w:rPr>
                <w:rFonts w:ascii="宋体" w:hAnsi="宋体" w:cs="宋体"/>
                <w:color w:val="auto"/>
                <w:szCs w:val="21"/>
                <w:highlight w:val="none"/>
              </w:rPr>
            </w:pPr>
            <w:r>
              <w:rPr>
                <w:rFonts w:hint="eastAsia" w:ascii="宋体" w:hAnsi="宋体"/>
                <w:b/>
                <w:bCs/>
                <w:color w:val="auto"/>
                <w:szCs w:val="21"/>
                <w:highlight w:val="none"/>
              </w:rPr>
              <w:t>本分标不接受联合体</w:t>
            </w:r>
          </w:p>
        </w:tc>
      </w:tr>
    </w:tbl>
    <w:p w14:paraId="65988467">
      <w:pPr>
        <w:pStyle w:val="2"/>
        <w:rPr>
          <w:rFonts w:hint="eastAsia" w:hAnsi="宋体"/>
          <w:b/>
          <w:bCs/>
          <w:color w:val="auto"/>
          <w:highlight w:val="none"/>
        </w:rPr>
      </w:pPr>
    </w:p>
    <w:p w14:paraId="5B56BFD7">
      <w:pPr>
        <w:pStyle w:val="2"/>
        <w:rPr>
          <w:rFonts w:hint="eastAsia" w:hAnsi="宋体"/>
          <w:b/>
          <w:bCs/>
          <w:color w:val="auto"/>
          <w:highlight w:val="none"/>
        </w:rPr>
      </w:pPr>
    </w:p>
    <w:tbl>
      <w:tblPr>
        <w:tblStyle w:val="2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2"/>
        <w:gridCol w:w="878"/>
        <w:gridCol w:w="965"/>
        <w:gridCol w:w="5207"/>
        <w:gridCol w:w="1026"/>
      </w:tblGrid>
      <w:tr w14:paraId="6DB57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000" w:type="pct"/>
            <w:gridSpan w:val="5"/>
            <w:noWrap/>
            <w:vAlign w:val="center"/>
          </w:tcPr>
          <w:p w14:paraId="6DD1C295">
            <w:pPr>
              <w:tabs>
                <w:tab w:val="left" w:pos="180"/>
                <w:tab w:val="left" w:pos="1620"/>
              </w:tabs>
              <w:spacing w:line="440" w:lineRule="exact"/>
              <w:jc w:val="center"/>
              <w:rPr>
                <w:rFonts w:ascii="宋体" w:hAnsi="宋体" w:cs="宋体"/>
                <w:color w:val="auto"/>
                <w:szCs w:val="21"/>
                <w:highlight w:val="none"/>
              </w:rPr>
            </w:pPr>
            <w:r>
              <w:rPr>
                <w:rFonts w:hint="eastAsia" w:ascii="宋体" w:hAnsi="宋体"/>
                <w:b/>
                <w:bCs/>
                <w:color w:val="auto"/>
                <w:szCs w:val="21"/>
                <w:highlight w:val="none"/>
              </w:rPr>
              <w:t>B分标</w:t>
            </w:r>
          </w:p>
        </w:tc>
      </w:tr>
      <w:tr w14:paraId="63C50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65" w:type="pct"/>
            <w:noWrap/>
            <w:vAlign w:val="center"/>
          </w:tcPr>
          <w:p w14:paraId="0C635C6E">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514" w:type="pct"/>
            <w:noWrap/>
            <w:vAlign w:val="center"/>
          </w:tcPr>
          <w:p w14:paraId="4F20242D">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565" w:type="pct"/>
            <w:noWrap/>
            <w:vAlign w:val="center"/>
          </w:tcPr>
          <w:p w14:paraId="10046097">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3052" w:type="pct"/>
            <w:noWrap/>
            <w:vAlign w:val="center"/>
          </w:tcPr>
          <w:p w14:paraId="265785F7">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简要技术需求或者服务要求</w:t>
            </w:r>
          </w:p>
        </w:tc>
        <w:tc>
          <w:tcPr>
            <w:tcW w:w="601" w:type="pct"/>
            <w:noWrap/>
            <w:vAlign w:val="center"/>
          </w:tcPr>
          <w:p w14:paraId="75A0E0AE">
            <w:pPr>
              <w:tabs>
                <w:tab w:val="left" w:pos="180"/>
                <w:tab w:val="left" w:pos="1620"/>
              </w:tabs>
              <w:spacing w:line="440" w:lineRule="exact"/>
              <w:rPr>
                <w:rFonts w:ascii="宋体" w:hAnsi="宋体" w:cs="宋体"/>
                <w:color w:val="auto"/>
                <w:szCs w:val="21"/>
                <w:highlight w:val="none"/>
              </w:rPr>
            </w:pPr>
            <w:r>
              <w:rPr>
                <w:rFonts w:hint="eastAsia" w:ascii="宋体" w:hAnsi="宋体" w:cs="宋体"/>
                <w:color w:val="auto"/>
                <w:szCs w:val="21"/>
                <w:highlight w:val="none"/>
              </w:rPr>
              <w:t>分项预算金额（万元）</w:t>
            </w:r>
          </w:p>
        </w:tc>
      </w:tr>
      <w:tr w14:paraId="508E6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65" w:type="pct"/>
            <w:noWrap/>
            <w:vAlign w:val="center"/>
          </w:tcPr>
          <w:p w14:paraId="77B4F059">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514" w:type="pct"/>
            <w:noWrap/>
            <w:vAlign w:val="center"/>
          </w:tcPr>
          <w:p w14:paraId="5DA645AB">
            <w:pPr>
              <w:spacing w:line="440" w:lineRule="exact"/>
              <w:jc w:val="center"/>
              <w:rPr>
                <w:rFonts w:ascii="宋体" w:hAnsi="宋体" w:cs="宋体"/>
                <w:color w:val="auto"/>
                <w:szCs w:val="21"/>
                <w:highlight w:val="none"/>
              </w:rPr>
            </w:pPr>
            <w:r>
              <w:rPr>
                <w:rFonts w:hint="eastAsia" w:ascii="宋体" w:hAnsi="宋体" w:cs="Calibri"/>
                <w:color w:val="auto"/>
                <w:szCs w:val="21"/>
                <w:highlight w:val="none"/>
              </w:rPr>
              <w:t>融资担保公司现场检查与监管评级</w:t>
            </w:r>
          </w:p>
        </w:tc>
        <w:tc>
          <w:tcPr>
            <w:tcW w:w="565" w:type="pct"/>
            <w:noWrap/>
            <w:vAlign w:val="center"/>
          </w:tcPr>
          <w:p w14:paraId="77E68666">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3052" w:type="pct"/>
            <w:noWrap/>
            <w:vAlign w:val="center"/>
          </w:tcPr>
          <w:p w14:paraId="3874143A">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一、服务要求内容</w:t>
            </w:r>
          </w:p>
          <w:p w14:paraId="3AD5C80F">
            <w:pPr>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Calibri"/>
                <w:color w:val="auto"/>
                <w:szCs w:val="21"/>
                <w:highlight w:val="none"/>
              </w:rPr>
              <w:t>根据《融资担保公司监督管理条例》（国务院令第683号）及其四项配套制度</w:t>
            </w:r>
            <w:r>
              <w:rPr>
                <w:rFonts w:hint="eastAsia" w:ascii="宋体" w:hAnsi="宋体" w:cs="Calibri"/>
                <w:color w:val="auto"/>
                <w:szCs w:val="21"/>
                <w:highlight w:val="none"/>
                <w:lang w:val="en-US" w:eastAsia="zh-CN"/>
              </w:rPr>
              <w:t>，具体详见《第三章  采购需求》。</w:t>
            </w:r>
          </w:p>
        </w:tc>
        <w:tc>
          <w:tcPr>
            <w:tcW w:w="601" w:type="pct"/>
            <w:noWrap/>
            <w:vAlign w:val="center"/>
          </w:tcPr>
          <w:p w14:paraId="6C875CA2">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35.50</w:t>
            </w:r>
          </w:p>
        </w:tc>
      </w:tr>
      <w:tr w14:paraId="5AF6C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65" w:type="pct"/>
            <w:noWrap/>
            <w:vAlign w:val="center"/>
          </w:tcPr>
          <w:p w14:paraId="51776B27">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514" w:type="pct"/>
            <w:noWrap/>
            <w:vAlign w:val="center"/>
          </w:tcPr>
          <w:p w14:paraId="2C47E97E">
            <w:pPr>
              <w:spacing w:line="440" w:lineRule="exact"/>
              <w:jc w:val="center"/>
              <w:rPr>
                <w:rFonts w:ascii="宋体" w:hAnsi="宋体" w:cs="宋体"/>
                <w:color w:val="auto"/>
                <w:szCs w:val="21"/>
                <w:highlight w:val="none"/>
              </w:rPr>
            </w:pPr>
            <w:r>
              <w:rPr>
                <w:rFonts w:hint="eastAsia" w:ascii="宋体" w:hAnsi="宋体" w:cs="Calibri"/>
                <w:color w:val="auto"/>
                <w:szCs w:val="21"/>
                <w:highlight w:val="none"/>
              </w:rPr>
              <w:t>融资租赁公司现场检查与监管评级</w:t>
            </w:r>
          </w:p>
        </w:tc>
        <w:tc>
          <w:tcPr>
            <w:tcW w:w="565" w:type="pct"/>
            <w:noWrap/>
            <w:vAlign w:val="center"/>
          </w:tcPr>
          <w:p w14:paraId="42756B0A">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3052" w:type="pct"/>
            <w:noWrap/>
            <w:vAlign w:val="center"/>
          </w:tcPr>
          <w:p w14:paraId="289019FC">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一、服务内容要求</w:t>
            </w:r>
          </w:p>
          <w:p w14:paraId="3DE44DE5">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Calibri"/>
                <w:color w:val="auto"/>
                <w:szCs w:val="21"/>
                <w:highlight w:val="none"/>
              </w:rPr>
              <w:t>根据《融资租赁公司监督管理暂行办法》（银保监发〔2020〕22号）</w:t>
            </w:r>
            <w:r>
              <w:rPr>
                <w:rFonts w:hint="eastAsia" w:ascii="宋体" w:hAnsi="宋体" w:cs="Calibri"/>
                <w:color w:val="auto"/>
                <w:szCs w:val="21"/>
                <w:highlight w:val="none"/>
                <w:lang w:val="en-US" w:eastAsia="zh-CN"/>
              </w:rPr>
              <w:t>，具体详见《第三章  采购需求》。</w:t>
            </w:r>
          </w:p>
        </w:tc>
        <w:tc>
          <w:tcPr>
            <w:tcW w:w="601" w:type="pct"/>
            <w:noWrap/>
            <w:vAlign w:val="center"/>
          </w:tcPr>
          <w:p w14:paraId="2C1BBC27">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5.50</w:t>
            </w:r>
          </w:p>
        </w:tc>
      </w:tr>
      <w:tr w14:paraId="5D5E5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65" w:type="pct"/>
            <w:noWrap/>
            <w:vAlign w:val="center"/>
          </w:tcPr>
          <w:p w14:paraId="70B29033">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514" w:type="pct"/>
            <w:noWrap/>
            <w:vAlign w:val="center"/>
          </w:tcPr>
          <w:p w14:paraId="1EA8BDB3">
            <w:pPr>
              <w:spacing w:line="440" w:lineRule="exact"/>
              <w:jc w:val="center"/>
              <w:rPr>
                <w:rFonts w:ascii="宋体" w:hAnsi="宋体" w:cs="宋体"/>
                <w:color w:val="auto"/>
                <w:szCs w:val="21"/>
                <w:highlight w:val="none"/>
              </w:rPr>
            </w:pPr>
            <w:r>
              <w:rPr>
                <w:rFonts w:hint="eastAsia" w:ascii="宋体" w:hAnsi="宋体" w:cs="Calibri"/>
                <w:color w:val="auto"/>
                <w:szCs w:val="21"/>
                <w:highlight w:val="none"/>
              </w:rPr>
              <w:t>商业保理公司现场检查与监管评级</w:t>
            </w:r>
          </w:p>
        </w:tc>
        <w:tc>
          <w:tcPr>
            <w:tcW w:w="565" w:type="pct"/>
            <w:noWrap/>
            <w:vAlign w:val="center"/>
          </w:tcPr>
          <w:p w14:paraId="359FFD13">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3052" w:type="pct"/>
            <w:noWrap/>
            <w:vAlign w:val="center"/>
          </w:tcPr>
          <w:p w14:paraId="5038589E">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一、服务内容要求</w:t>
            </w:r>
          </w:p>
          <w:p w14:paraId="78FD319C">
            <w:pPr>
              <w:spacing w:line="440" w:lineRule="exact"/>
              <w:ind w:firstLine="420" w:firstLineChars="200"/>
              <w:rPr>
                <w:rFonts w:hint="eastAsia" w:ascii="宋体" w:hAnsi="宋体" w:eastAsia="宋体" w:cs="宋体"/>
                <w:b/>
                <w:color w:val="auto"/>
                <w:szCs w:val="21"/>
                <w:highlight w:val="none"/>
                <w:lang w:eastAsia="zh-CN"/>
              </w:rPr>
            </w:pPr>
            <w:r>
              <w:rPr>
                <w:rFonts w:hint="eastAsia" w:ascii="宋体" w:hAnsi="宋体" w:cs="Calibri"/>
                <w:color w:val="auto"/>
                <w:szCs w:val="21"/>
                <w:highlight w:val="none"/>
              </w:rPr>
              <w:t>根据《中国银保监会办公厅关于加强商业保理企业监督管理的通知》（银保监办发〔2019〕205号）</w:t>
            </w:r>
            <w:r>
              <w:rPr>
                <w:rFonts w:hint="eastAsia" w:ascii="宋体" w:hAnsi="宋体" w:cs="Calibri"/>
                <w:color w:val="auto"/>
                <w:szCs w:val="21"/>
                <w:highlight w:val="none"/>
                <w:lang w:val="en-US" w:eastAsia="zh-CN"/>
              </w:rPr>
              <w:t>，具体详见《第三章  采购需求》。</w:t>
            </w:r>
          </w:p>
        </w:tc>
        <w:tc>
          <w:tcPr>
            <w:tcW w:w="601" w:type="pct"/>
            <w:noWrap/>
            <w:vAlign w:val="center"/>
          </w:tcPr>
          <w:p w14:paraId="498C225A">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4.00</w:t>
            </w:r>
          </w:p>
        </w:tc>
      </w:tr>
      <w:tr w14:paraId="5F052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65" w:type="pct"/>
            <w:noWrap/>
            <w:vAlign w:val="center"/>
          </w:tcPr>
          <w:p w14:paraId="1A08B55C">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514" w:type="pct"/>
            <w:noWrap/>
            <w:vAlign w:val="center"/>
          </w:tcPr>
          <w:p w14:paraId="757DB678">
            <w:pPr>
              <w:spacing w:line="440" w:lineRule="exact"/>
              <w:jc w:val="center"/>
              <w:rPr>
                <w:rFonts w:ascii="宋体" w:hAnsi="宋体" w:cs="宋体"/>
                <w:color w:val="auto"/>
                <w:szCs w:val="21"/>
                <w:highlight w:val="none"/>
              </w:rPr>
            </w:pPr>
            <w:r>
              <w:rPr>
                <w:rFonts w:hint="eastAsia" w:ascii="宋体" w:hAnsi="宋体" w:cs="仿宋_GB2312"/>
                <w:color w:val="auto"/>
                <w:szCs w:val="21"/>
                <w:highlight w:val="none"/>
              </w:rPr>
              <w:t>财政贴息资金申请项目审核服务</w:t>
            </w:r>
          </w:p>
        </w:tc>
        <w:tc>
          <w:tcPr>
            <w:tcW w:w="565" w:type="pct"/>
            <w:noWrap/>
            <w:vAlign w:val="center"/>
          </w:tcPr>
          <w:p w14:paraId="793BEF40">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3052" w:type="pct"/>
            <w:noWrap/>
            <w:vAlign w:val="center"/>
          </w:tcPr>
          <w:p w14:paraId="0F7B9A59">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Calibri"/>
                <w:color w:val="auto"/>
                <w:szCs w:val="21"/>
                <w:highlight w:val="none"/>
                <w:lang w:val="en-US" w:eastAsia="zh-CN"/>
              </w:rPr>
              <w:t>一、2025年“财政贴息资金申请项目审核服务”采购，按照自治区党委金融办要求组织开展财政贴息资金审核工作，采购数量1份，具体详见《第三章  采购需求》。</w:t>
            </w:r>
          </w:p>
        </w:tc>
        <w:tc>
          <w:tcPr>
            <w:tcW w:w="601" w:type="pct"/>
            <w:noWrap/>
            <w:vAlign w:val="center"/>
          </w:tcPr>
          <w:p w14:paraId="79458093">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25.00</w:t>
            </w:r>
          </w:p>
        </w:tc>
      </w:tr>
      <w:tr w14:paraId="24BB7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65" w:type="pct"/>
            <w:noWrap/>
            <w:vAlign w:val="center"/>
          </w:tcPr>
          <w:p w14:paraId="637A3E2F">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514" w:type="pct"/>
            <w:noWrap/>
            <w:vAlign w:val="center"/>
          </w:tcPr>
          <w:p w14:paraId="69B447B3">
            <w:pPr>
              <w:spacing w:line="440" w:lineRule="exact"/>
              <w:jc w:val="center"/>
              <w:rPr>
                <w:rFonts w:ascii="宋体" w:hAnsi="宋体" w:cs="宋体"/>
                <w:color w:val="auto"/>
                <w:szCs w:val="21"/>
                <w:highlight w:val="none"/>
              </w:rPr>
            </w:pPr>
            <w:r>
              <w:rPr>
                <w:rFonts w:hint="eastAsia" w:ascii="宋体" w:hAnsi="宋体" w:cs="Calibri"/>
                <w:color w:val="auto"/>
                <w:szCs w:val="21"/>
                <w:highlight w:val="none"/>
              </w:rPr>
              <w:t>保险资金奖补审核服务</w:t>
            </w:r>
          </w:p>
        </w:tc>
        <w:tc>
          <w:tcPr>
            <w:tcW w:w="565" w:type="pct"/>
            <w:noWrap/>
            <w:vAlign w:val="center"/>
          </w:tcPr>
          <w:p w14:paraId="34AA120D">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3052" w:type="pct"/>
            <w:tcBorders>
              <w:right w:val="single" w:color="auto" w:sz="4" w:space="0"/>
            </w:tcBorders>
            <w:noWrap/>
            <w:vAlign w:val="center"/>
          </w:tcPr>
          <w:p w14:paraId="2D2E0CE2">
            <w:pPr>
              <w:spacing w:line="440" w:lineRule="exact"/>
              <w:ind w:firstLine="420" w:firstLineChars="200"/>
              <w:rPr>
                <w:rFonts w:hint="eastAsia" w:ascii="宋体" w:hAnsi="宋体" w:eastAsia="宋体" w:cs="宋体"/>
                <w:color w:val="auto"/>
                <w:szCs w:val="21"/>
                <w:highlight w:val="none"/>
                <w:lang w:eastAsia="zh-CN"/>
              </w:rPr>
            </w:pPr>
            <w:r>
              <w:rPr>
                <w:rFonts w:hint="default" w:ascii="宋体" w:hAnsi="宋体" w:cs="Calibri"/>
                <w:color w:val="auto"/>
                <w:szCs w:val="21"/>
                <w:highlight w:val="none"/>
              </w:rPr>
              <w:t>对保险资金奖补材料进行集中审核，包括但不限于业务是否符合奖补条件、奖补申请材料是否真实、齐全等，按质按量完成审核工作并出具审核报告，具体详见《第三章  采购需求》</w:t>
            </w:r>
            <w:r>
              <w:rPr>
                <w:rFonts w:hint="eastAsia" w:ascii="宋体" w:hAnsi="宋体" w:cs="Calibri"/>
                <w:color w:val="auto"/>
                <w:szCs w:val="21"/>
                <w:highlight w:val="none"/>
                <w:lang w:eastAsia="zh-CN"/>
              </w:rPr>
              <w:t>。</w:t>
            </w:r>
          </w:p>
        </w:tc>
        <w:tc>
          <w:tcPr>
            <w:tcW w:w="601" w:type="pct"/>
            <w:tcBorders>
              <w:top w:val="single" w:color="auto" w:sz="4" w:space="0"/>
              <w:left w:val="single" w:color="auto" w:sz="4" w:space="0"/>
              <w:bottom w:val="single" w:color="auto" w:sz="4" w:space="0"/>
              <w:right w:val="single" w:color="auto" w:sz="4" w:space="0"/>
            </w:tcBorders>
            <w:noWrap/>
            <w:vAlign w:val="center"/>
          </w:tcPr>
          <w:p w14:paraId="70421B07">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2.00</w:t>
            </w:r>
          </w:p>
        </w:tc>
      </w:tr>
      <w:tr w14:paraId="73D24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000" w:type="pct"/>
            <w:gridSpan w:val="5"/>
            <w:tcBorders>
              <w:right w:val="single" w:color="auto" w:sz="4" w:space="0"/>
            </w:tcBorders>
            <w:noWrap/>
            <w:vAlign w:val="center"/>
          </w:tcPr>
          <w:p w14:paraId="6512E6C9">
            <w:pPr>
              <w:spacing w:line="440" w:lineRule="exact"/>
              <w:rPr>
                <w:rFonts w:ascii="宋体" w:hAnsi="宋体" w:cs="宋体"/>
                <w:color w:val="auto"/>
                <w:szCs w:val="21"/>
                <w:highlight w:val="none"/>
              </w:rPr>
            </w:pPr>
            <w:r>
              <w:rPr>
                <w:rFonts w:hint="eastAsia" w:ascii="宋体" w:hAnsi="宋体" w:cs="宋体"/>
                <w:color w:val="auto"/>
                <w:szCs w:val="21"/>
                <w:highlight w:val="none"/>
              </w:rPr>
              <w:t>合同履行期限：</w:t>
            </w:r>
          </w:p>
          <w:p w14:paraId="725A6A2E">
            <w:pPr>
              <w:spacing w:line="440" w:lineRule="exact"/>
              <w:rPr>
                <w:rFonts w:ascii="宋体" w:hAnsi="宋体" w:cs="宋体"/>
                <w:color w:val="auto"/>
                <w:szCs w:val="21"/>
                <w:highlight w:val="none"/>
              </w:rPr>
            </w:pPr>
            <w:r>
              <w:rPr>
                <w:rFonts w:hint="eastAsia" w:ascii="宋体" w:hAnsi="宋体" w:cs="宋体"/>
                <w:color w:val="auto"/>
                <w:szCs w:val="21"/>
                <w:highlight w:val="none"/>
              </w:rPr>
              <w:t>1.融资担保公司现场检查与监管评级：2025年8月1日—2025年9月30日在广西壮族自治区全区范围内进场考评和现场检查，2025年9月15日前提交全区政府性融资担保公司监管评级考核结果，2025年10月31日前完成各类监管评级与现场检查报告终稿。</w:t>
            </w:r>
          </w:p>
          <w:p w14:paraId="73D08ABD">
            <w:pPr>
              <w:spacing w:line="440" w:lineRule="exact"/>
              <w:rPr>
                <w:rFonts w:ascii="宋体" w:hAnsi="宋体" w:cs="宋体"/>
                <w:color w:val="auto"/>
                <w:szCs w:val="21"/>
                <w:highlight w:val="none"/>
              </w:rPr>
            </w:pPr>
            <w:r>
              <w:rPr>
                <w:rFonts w:hint="eastAsia" w:ascii="宋体" w:hAnsi="宋体" w:cs="宋体"/>
                <w:color w:val="auto"/>
                <w:szCs w:val="21"/>
                <w:highlight w:val="none"/>
              </w:rPr>
              <w:t>2.融资租赁公司现场检查与监管评级：2025年8月1日—9月30日进场考评和现场检查；2025年10月31日前完成各类监管评级与现场检查报告终稿。</w:t>
            </w:r>
          </w:p>
          <w:p w14:paraId="601DD1D7">
            <w:pPr>
              <w:spacing w:line="440" w:lineRule="exact"/>
              <w:rPr>
                <w:rFonts w:ascii="宋体" w:hAnsi="宋体" w:cs="宋体"/>
                <w:color w:val="auto"/>
                <w:szCs w:val="21"/>
                <w:highlight w:val="none"/>
              </w:rPr>
            </w:pPr>
            <w:r>
              <w:rPr>
                <w:rFonts w:hint="eastAsia" w:ascii="宋体" w:hAnsi="宋体" w:cs="宋体"/>
                <w:color w:val="auto"/>
                <w:szCs w:val="21"/>
                <w:highlight w:val="none"/>
              </w:rPr>
              <w:t>3.商业保理公司现场检查与监管评级：2025年8月1日—9月30日进场考评和现场检查；2025年10月31日前完成各类监管评级与现场检查</w:t>
            </w:r>
            <w:r>
              <w:rPr>
                <w:rFonts w:hint="eastAsia" w:ascii="宋体" w:hAnsi="宋体" w:cs="宋体"/>
                <w:color w:val="auto"/>
                <w:szCs w:val="21"/>
                <w:highlight w:val="none"/>
                <w:lang w:eastAsia="zh-CN"/>
              </w:rPr>
              <w:t>报告</w:t>
            </w:r>
            <w:r>
              <w:rPr>
                <w:rFonts w:hint="eastAsia" w:ascii="宋体" w:hAnsi="宋体" w:cs="宋体"/>
                <w:color w:val="auto"/>
                <w:szCs w:val="21"/>
                <w:highlight w:val="none"/>
              </w:rPr>
              <w:t>终稿。</w:t>
            </w:r>
          </w:p>
          <w:p w14:paraId="3546DE2A">
            <w:pPr>
              <w:spacing w:line="440" w:lineRule="exact"/>
              <w:rPr>
                <w:rFonts w:ascii="宋体" w:hAnsi="宋体" w:cs="宋体"/>
                <w:color w:val="auto"/>
                <w:szCs w:val="21"/>
                <w:highlight w:val="none"/>
              </w:rPr>
            </w:pPr>
            <w:r>
              <w:rPr>
                <w:rFonts w:hint="eastAsia" w:ascii="宋体" w:hAnsi="宋体" w:cs="宋体"/>
                <w:color w:val="auto"/>
                <w:szCs w:val="21"/>
                <w:highlight w:val="none"/>
              </w:rPr>
              <w:t>4.财政贴息资金申请项目审核服务：</w:t>
            </w:r>
            <w:r>
              <w:rPr>
                <w:rFonts w:hint="eastAsia" w:ascii="宋体" w:hAnsi="宋体" w:cs="Calibri"/>
                <w:color w:val="auto"/>
                <w:szCs w:val="21"/>
                <w:highlight w:val="none"/>
              </w:rPr>
              <w:t>动态审核贴息贷款申请（包括担保补贴），原则上当日审核完毕当日新提交的贴息申请，每季度首月20 日前需出具上一季度贴息审核通过报表、退息报表以及以往季度已审核通过的贴息申请在上一季度产生的利息补贴报表，并出具相应的审核报告。</w:t>
            </w:r>
            <w:r>
              <w:rPr>
                <w:rFonts w:hint="eastAsia" w:ascii="宋体" w:hAnsi="宋体" w:cs="宋体"/>
                <w:color w:val="auto"/>
                <w:szCs w:val="21"/>
                <w:highlight w:val="none"/>
              </w:rPr>
              <w:t>（该项线上审核即可）</w:t>
            </w:r>
          </w:p>
          <w:p w14:paraId="23BD6FDC">
            <w:pPr>
              <w:pStyle w:val="2"/>
              <w:spacing w:line="440" w:lineRule="exact"/>
              <w:rPr>
                <w:color w:val="auto"/>
                <w:highlight w:val="none"/>
              </w:rPr>
            </w:pPr>
            <w:r>
              <w:rPr>
                <w:rFonts w:hint="eastAsia" w:hAnsi="宋体" w:cs="Calibri"/>
                <w:color w:val="auto"/>
                <w:kern w:val="2"/>
                <w:sz w:val="21"/>
                <w:szCs w:val="21"/>
                <w:highlight w:val="none"/>
              </w:rPr>
              <w:t>5.保险资金奖补审核服务：2025年10月15日前完成审核工作并审计报告初稿；</w:t>
            </w:r>
            <w:r>
              <w:rPr>
                <w:rFonts w:hint="eastAsia" w:hAnsi="宋体"/>
                <w:color w:val="auto"/>
                <w:sz w:val="21"/>
                <w:szCs w:val="21"/>
                <w:highlight w:val="none"/>
              </w:rPr>
              <w:t>2025年10月30日前完成出具审计报告终稿。</w:t>
            </w:r>
          </w:p>
        </w:tc>
      </w:tr>
      <w:tr w14:paraId="3B3DA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000" w:type="pct"/>
            <w:gridSpan w:val="5"/>
            <w:tcBorders>
              <w:right w:val="single" w:color="auto" w:sz="4" w:space="0"/>
            </w:tcBorders>
            <w:noWrap/>
            <w:vAlign w:val="center"/>
          </w:tcPr>
          <w:p w14:paraId="4B87A0C0">
            <w:pPr>
              <w:pStyle w:val="2"/>
              <w:spacing w:line="440" w:lineRule="exact"/>
              <w:rPr>
                <w:rFonts w:hAnsi="宋体" w:cs="Calibri"/>
                <w:color w:val="auto"/>
                <w:kern w:val="2"/>
                <w:sz w:val="21"/>
                <w:szCs w:val="21"/>
                <w:highlight w:val="none"/>
              </w:rPr>
            </w:pPr>
            <w:r>
              <w:rPr>
                <w:rFonts w:hint="eastAsia" w:hAnsi="宋体" w:cs="Calibri"/>
                <w:b/>
                <w:bCs/>
                <w:color w:val="auto"/>
                <w:kern w:val="2"/>
                <w:sz w:val="21"/>
                <w:szCs w:val="21"/>
                <w:highlight w:val="none"/>
              </w:rPr>
              <w:t>本分标不接受联合体</w:t>
            </w:r>
          </w:p>
        </w:tc>
      </w:tr>
    </w:tbl>
    <w:p w14:paraId="3B16365E">
      <w:pPr>
        <w:spacing w:line="440" w:lineRule="exact"/>
        <w:ind w:firstLine="316" w:firstLineChars="150"/>
        <w:rPr>
          <w:rFonts w:hint="eastAsia" w:ascii="黑体" w:hAnsi="黑体" w:eastAsia="黑体"/>
          <w:b/>
          <w:color w:val="auto"/>
          <w:sz w:val="24"/>
          <w:highlight w:val="none"/>
        </w:rPr>
      </w:pPr>
      <w:r>
        <w:rPr>
          <w:rFonts w:hint="eastAsia" w:hAnsi="宋体"/>
          <w:b/>
          <w:bCs/>
          <w:color w:val="auto"/>
          <w:highlight w:val="none"/>
        </w:rPr>
        <w:t>供应商可以参与一个或多个分标的竞标，但是只允许成交1个分标，评审将以</w:t>
      </w:r>
      <w:r>
        <w:rPr>
          <w:rFonts w:hint="eastAsia" w:hAnsi="宋体"/>
          <w:b/>
          <w:bCs/>
          <w:color w:val="auto"/>
          <w:highlight w:val="none"/>
          <w:lang w:eastAsia="zh-CN"/>
        </w:rPr>
        <w:t>A分标→B分标</w:t>
      </w:r>
      <w:r>
        <w:rPr>
          <w:rFonts w:hint="eastAsia" w:hAnsi="宋体"/>
          <w:b/>
          <w:bCs/>
          <w:color w:val="auto"/>
          <w:highlight w:val="none"/>
        </w:rPr>
        <w:t>的顺序依次推荐成交候选人。</w:t>
      </w:r>
    </w:p>
    <w:p w14:paraId="11AD5FE0">
      <w:pPr>
        <w:spacing w:line="440" w:lineRule="exact"/>
        <w:ind w:firstLine="361" w:firstLineChars="150"/>
        <w:rPr>
          <w:rFonts w:ascii="黑体" w:hAnsi="黑体" w:eastAsia="黑体"/>
          <w:b/>
          <w:color w:val="auto"/>
          <w:sz w:val="24"/>
          <w:highlight w:val="none"/>
        </w:rPr>
      </w:pPr>
      <w:r>
        <w:rPr>
          <w:rFonts w:hint="eastAsia" w:ascii="黑体" w:hAnsi="黑体" w:eastAsia="黑体"/>
          <w:b/>
          <w:color w:val="auto"/>
          <w:sz w:val="24"/>
          <w:highlight w:val="none"/>
        </w:rPr>
        <w:t>二、申请人的资格条件：</w:t>
      </w:r>
      <w:bookmarkEnd w:id="11"/>
      <w:bookmarkEnd w:id="12"/>
      <w:bookmarkEnd w:id="13"/>
      <w:bookmarkEnd w:id="14"/>
      <w:bookmarkEnd w:id="15"/>
      <w:bookmarkEnd w:id="16"/>
    </w:p>
    <w:p w14:paraId="451F879A">
      <w:pPr>
        <w:spacing w:line="440" w:lineRule="exact"/>
        <w:ind w:firstLine="420" w:firstLineChars="200"/>
        <w:rPr>
          <w:rFonts w:ascii="宋体" w:hAnsi="宋体"/>
          <w:color w:val="auto"/>
          <w:szCs w:val="21"/>
          <w:highlight w:val="none"/>
        </w:rPr>
      </w:pPr>
      <w:bookmarkStart w:id="17" w:name="_Toc28359091"/>
      <w:bookmarkStart w:id="18" w:name="_Toc44229880"/>
      <w:bookmarkStart w:id="19" w:name="_Toc35393800"/>
      <w:bookmarkStart w:id="20" w:name="_Toc35393631"/>
      <w:bookmarkStart w:id="21" w:name="_Toc28359014"/>
      <w:r>
        <w:rPr>
          <w:rFonts w:hint="eastAsia" w:ascii="宋体" w:hAnsi="宋体"/>
          <w:color w:val="auto"/>
          <w:szCs w:val="21"/>
          <w:highlight w:val="none"/>
        </w:rPr>
        <w:t>1.满足《中华人民共和国政府采购法》第二十二条规定；</w:t>
      </w:r>
    </w:p>
    <w:p w14:paraId="05396CB4">
      <w:pPr>
        <w:spacing w:line="44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bCs/>
          <w:color w:val="auto"/>
          <w:szCs w:val="21"/>
          <w:highlight w:val="none"/>
        </w:rPr>
        <w:t>本项目为专门面向中小企业预留项目，参加本项目磋商的供应商必须为中型或小型或微型企业或监狱企业或残疾人福利性单位。</w:t>
      </w:r>
    </w:p>
    <w:p w14:paraId="3174306B">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w:t>
      </w:r>
      <w:r>
        <w:rPr>
          <w:rFonts w:hint="eastAsia"/>
          <w:color w:val="auto"/>
          <w:szCs w:val="21"/>
          <w:highlight w:val="none"/>
        </w:rPr>
        <w:t>须具有财政主管部门颁发的有效的《会计师事务所执业证书》</w:t>
      </w:r>
      <w:r>
        <w:rPr>
          <w:rFonts w:hint="eastAsia" w:ascii="宋体" w:hAnsi="宋体"/>
          <w:color w:val="auto"/>
          <w:highlight w:val="none"/>
        </w:rPr>
        <w:t>。</w:t>
      </w:r>
    </w:p>
    <w:p w14:paraId="1736C0D7">
      <w:pPr>
        <w:spacing w:line="440" w:lineRule="exact"/>
        <w:ind w:firstLine="361" w:firstLineChars="150"/>
        <w:rPr>
          <w:rFonts w:ascii="黑体" w:hAnsi="黑体" w:eastAsia="黑体"/>
          <w:b/>
          <w:color w:val="auto"/>
          <w:sz w:val="24"/>
          <w:highlight w:val="none"/>
        </w:rPr>
      </w:pPr>
      <w:bookmarkStart w:id="22" w:name="_Toc71366168"/>
      <w:r>
        <w:rPr>
          <w:rFonts w:hint="eastAsia" w:ascii="黑体" w:hAnsi="黑体" w:eastAsia="黑体"/>
          <w:b/>
          <w:color w:val="auto"/>
          <w:sz w:val="24"/>
          <w:highlight w:val="none"/>
        </w:rPr>
        <w:t>三、获取竞争性磋商文件</w:t>
      </w:r>
      <w:bookmarkEnd w:id="17"/>
      <w:bookmarkEnd w:id="18"/>
      <w:bookmarkEnd w:id="19"/>
      <w:bookmarkEnd w:id="20"/>
      <w:bookmarkEnd w:id="21"/>
      <w:bookmarkEnd w:id="22"/>
    </w:p>
    <w:p w14:paraId="64327EB4">
      <w:pPr>
        <w:spacing w:line="440" w:lineRule="exact"/>
        <w:ind w:firstLine="420" w:firstLineChars="200"/>
        <w:rPr>
          <w:rFonts w:ascii="宋体" w:hAnsi="宋体" w:cs="宋体"/>
          <w:bCs/>
          <w:color w:val="auto"/>
          <w:kern w:val="0"/>
          <w:szCs w:val="21"/>
          <w:highlight w:val="none"/>
        </w:rPr>
      </w:pPr>
      <w:bookmarkStart w:id="23" w:name="_Toc28359092"/>
      <w:bookmarkStart w:id="24" w:name="_Toc28359015"/>
      <w:bookmarkStart w:id="25" w:name="_Toc35393632"/>
      <w:bookmarkStart w:id="26" w:name="_Toc44229881"/>
      <w:bookmarkStart w:id="27" w:name="_Toc35393801"/>
      <w:r>
        <w:rPr>
          <w:rFonts w:hint="eastAsia" w:ascii="宋体" w:hAnsi="宋体" w:cs="宋体"/>
          <w:bCs/>
          <w:color w:val="auto"/>
          <w:kern w:val="0"/>
          <w:szCs w:val="21"/>
          <w:highlight w:val="none"/>
        </w:rPr>
        <w:t>时间：</w:t>
      </w:r>
      <w:r>
        <w:rPr>
          <w:rFonts w:hint="eastAsia" w:ascii="宋体" w:hAnsi="宋体"/>
          <w:bCs/>
          <w:color w:val="auto"/>
          <w:szCs w:val="21"/>
          <w:highlight w:val="none"/>
          <w:u w:val="single"/>
        </w:rPr>
        <w:t>2025年4月</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至</w:t>
      </w:r>
      <w:r>
        <w:rPr>
          <w:rFonts w:hint="eastAsia" w:ascii="宋体" w:hAnsi="宋体"/>
          <w:bCs/>
          <w:color w:val="auto"/>
          <w:szCs w:val="21"/>
          <w:highlight w:val="none"/>
          <w:u w:val="single"/>
        </w:rPr>
        <w:t>2025年</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12</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，每天上午</w:t>
      </w:r>
      <w:r>
        <w:rPr>
          <w:rFonts w:hint="eastAsia" w:ascii="宋体" w:hAnsi="宋体" w:cs="宋体"/>
          <w:bCs/>
          <w:color w:val="auto"/>
          <w:kern w:val="0"/>
          <w:szCs w:val="21"/>
          <w:highlight w:val="none"/>
          <w:u w:val="single"/>
        </w:rPr>
        <w:t>08:00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12:00</w:t>
      </w:r>
      <w:r>
        <w:rPr>
          <w:rFonts w:hint="eastAsia" w:ascii="宋体" w:hAnsi="宋体" w:cs="宋体"/>
          <w:bCs/>
          <w:color w:val="auto"/>
          <w:kern w:val="0"/>
          <w:szCs w:val="21"/>
          <w:highlight w:val="none"/>
        </w:rPr>
        <w:t>，下午</w:t>
      </w:r>
      <w:r>
        <w:rPr>
          <w:rFonts w:hint="eastAsia" w:ascii="宋体" w:hAnsi="宋体" w:cs="宋体"/>
          <w:bCs/>
          <w:color w:val="auto"/>
          <w:kern w:val="0"/>
          <w:szCs w:val="21"/>
          <w:highlight w:val="none"/>
          <w:u w:val="single"/>
        </w:rPr>
        <w:t>15:00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w:t>
      </w:r>
      <w:r>
        <w:rPr>
          <w:rFonts w:ascii="宋体" w:hAnsi="宋体" w:cs="宋体"/>
          <w:bCs/>
          <w:color w:val="auto"/>
          <w:kern w:val="0"/>
          <w:szCs w:val="21"/>
          <w:highlight w:val="none"/>
          <w:u w:val="single"/>
        </w:rPr>
        <w:t>8</w:t>
      </w:r>
      <w:r>
        <w:rPr>
          <w:rFonts w:hint="eastAsia" w:ascii="宋体" w:hAnsi="宋体" w:cs="宋体"/>
          <w:bCs/>
          <w:color w:val="auto"/>
          <w:kern w:val="0"/>
          <w:szCs w:val="21"/>
          <w:highlight w:val="none"/>
          <w:u w:val="single"/>
        </w:rPr>
        <w:t>：00</w:t>
      </w:r>
      <w:r>
        <w:rPr>
          <w:rFonts w:hint="eastAsia" w:ascii="宋体" w:hAnsi="宋体" w:cs="宋体"/>
          <w:bCs/>
          <w:color w:val="auto"/>
          <w:kern w:val="0"/>
          <w:szCs w:val="21"/>
          <w:highlight w:val="none"/>
        </w:rPr>
        <w:t>（北京时间，法定节假日除外）</w:t>
      </w:r>
    </w:p>
    <w:p w14:paraId="3B85DB16">
      <w:pPr>
        <w:spacing w:line="44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5199C5A6">
      <w:pPr>
        <w:spacing w:line="44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广西政府采购云平台（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w:t>
      </w:r>
    </w:p>
    <w:p w14:paraId="240E82A1">
      <w:pPr>
        <w:spacing w:line="44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售价：0元</w:t>
      </w:r>
    </w:p>
    <w:p w14:paraId="77BCA0BB">
      <w:pPr>
        <w:spacing w:line="440" w:lineRule="exact"/>
        <w:ind w:firstLine="361" w:firstLineChars="150"/>
        <w:rPr>
          <w:rFonts w:ascii="黑体" w:hAnsi="黑体" w:eastAsia="黑体"/>
          <w:b/>
          <w:color w:val="auto"/>
          <w:sz w:val="24"/>
          <w:highlight w:val="none"/>
        </w:rPr>
      </w:pPr>
      <w:bookmarkStart w:id="28" w:name="_Toc71366169"/>
      <w:r>
        <w:rPr>
          <w:rFonts w:hint="eastAsia" w:ascii="黑体" w:hAnsi="黑体" w:eastAsia="黑体"/>
          <w:b/>
          <w:color w:val="auto"/>
          <w:sz w:val="24"/>
          <w:highlight w:val="none"/>
        </w:rPr>
        <w:t>四、响应文件提交</w:t>
      </w:r>
      <w:bookmarkEnd w:id="23"/>
      <w:bookmarkEnd w:id="24"/>
      <w:bookmarkEnd w:id="25"/>
      <w:bookmarkEnd w:id="26"/>
      <w:bookmarkEnd w:id="27"/>
      <w:bookmarkEnd w:id="28"/>
    </w:p>
    <w:p w14:paraId="279A4D1A">
      <w:pPr>
        <w:spacing w:line="440" w:lineRule="exact"/>
        <w:ind w:firstLine="420" w:firstLineChars="200"/>
        <w:rPr>
          <w:rFonts w:ascii="宋体" w:hAnsi="宋体"/>
          <w:bCs/>
          <w:color w:val="auto"/>
          <w:szCs w:val="21"/>
          <w:highlight w:val="none"/>
        </w:rPr>
      </w:pPr>
      <w:bookmarkStart w:id="29" w:name="_Toc35393633"/>
      <w:bookmarkStart w:id="30" w:name="_Toc28359093"/>
      <w:bookmarkStart w:id="31" w:name="_Toc28359016"/>
      <w:bookmarkStart w:id="32" w:name="_Toc35393802"/>
      <w:bookmarkStart w:id="33" w:name="_Toc44229882"/>
      <w:r>
        <w:rPr>
          <w:rFonts w:hint="eastAsia" w:ascii="宋体" w:hAnsi="宋体"/>
          <w:color w:val="auto"/>
          <w:szCs w:val="21"/>
          <w:highlight w:val="none"/>
        </w:rPr>
        <w:t>截止时间：</w:t>
      </w:r>
      <w:r>
        <w:rPr>
          <w:rFonts w:hint="eastAsia" w:ascii="宋体" w:hAnsi="宋体"/>
          <w:bCs/>
          <w:color w:val="auto"/>
          <w:szCs w:val="21"/>
          <w:highlight w:val="none"/>
          <w:u w:val="single"/>
        </w:rPr>
        <w:t>2025年</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13</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15</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u w:val="single"/>
        </w:rPr>
        <w:t>分</w:t>
      </w:r>
      <w:r>
        <w:rPr>
          <w:rFonts w:hint="eastAsia" w:ascii="宋体" w:hAnsi="宋体"/>
          <w:bCs/>
          <w:color w:val="auto"/>
          <w:szCs w:val="21"/>
          <w:highlight w:val="none"/>
        </w:rPr>
        <w:t>（北京时间）</w:t>
      </w:r>
    </w:p>
    <w:p w14:paraId="753737B7">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地点：广西政府采购云平台（https://www.gcy.zfcg.gxzf.gov.cn/）</w:t>
      </w:r>
    </w:p>
    <w:p w14:paraId="4D66C464">
      <w:pPr>
        <w:spacing w:line="440" w:lineRule="exact"/>
        <w:ind w:firstLine="361" w:firstLineChars="150"/>
        <w:rPr>
          <w:rFonts w:ascii="黑体" w:hAnsi="黑体" w:eastAsia="黑体"/>
          <w:b/>
          <w:color w:val="auto"/>
          <w:sz w:val="24"/>
          <w:highlight w:val="none"/>
        </w:rPr>
      </w:pPr>
      <w:bookmarkStart w:id="34" w:name="_Toc71366170"/>
      <w:r>
        <w:rPr>
          <w:rFonts w:hint="eastAsia" w:ascii="黑体" w:hAnsi="黑体" w:eastAsia="黑体"/>
          <w:b/>
          <w:color w:val="auto"/>
          <w:sz w:val="24"/>
          <w:highlight w:val="none"/>
        </w:rPr>
        <w:t>五、开启</w:t>
      </w:r>
      <w:bookmarkEnd w:id="29"/>
      <w:bookmarkEnd w:id="30"/>
      <w:bookmarkEnd w:id="31"/>
      <w:bookmarkEnd w:id="32"/>
      <w:bookmarkEnd w:id="33"/>
      <w:bookmarkEnd w:id="34"/>
    </w:p>
    <w:p w14:paraId="57A03074">
      <w:pPr>
        <w:spacing w:line="44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hint="eastAsia" w:ascii="宋体" w:hAnsi="宋体"/>
          <w:bCs/>
          <w:color w:val="auto"/>
          <w:szCs w:val="21"/>
          <w:highlight w:val="none"/>
          <w:u w:val="single"/>
        </w:rPr>
        <w:t>2025年</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13</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15</w:t>
      </w:r>
      <w:bookmarkStart w:id="187" w:name="_GoBack"/>
      <w:bookmarkEnd w:id="187"/>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u w:val="single"/>
        </w:rPr>
        <w:t>分</w:t>
      </w:r>
      <w:r>
        <w:rPr>
          <w:rFonts w:hint="eastAsia" w:ascii="宋体" w:hAnsi="宋体"/>
          <w:bCs/>
          <w:color w:val="auto"/>
          <w:szCs w:val="21"/>
          <w:highlight w:val="none"/>
        </w:rPr>
        <w:t>（北京时间）</w:t>
      </w:r>
    </w:p>
    <w:p w14:paraId="5B7A655C">
      <w:pPr>
        <w:spacing w:line="44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地点：广西政府采购云平台（https://www.gcy.zfcg.gxzf.gov.cn/）</w:t>
      </w:r>
    </w:p>
    <w:p w14:paraId="6F671F59">
      <w:pPr>
        <w:spacing w:line="440" w:lineRule="exact"/>
        <w:ind w:firstLine="361" w:firstLineChars="150"/>
        <w:rPr>
          <w:rFonts w:ascii="黑体" w:hAnsi="黑体" w:eastAsia="黑体"/>
          <w:b/>
          <w:color w:val="auto"/>
          <w:sz w:val="24"/>
          <w:highlight w:val="none"/>
        </w:rPr>
      </w:pPr>
      <w:bookmarkStart w:id="35" w:name="_Toc28359017"/>
      <w:bookmarkStart w:id="36" w:name="_Toc35393803"/>
      <w:bookmarkStart w:id="37" w:name="_Toc35393634"/>
      <w:bookmarkStart w:id="38" w:name="_Toc44229883"/>
      <w:bookmarkStart w:id="39" w:name="_Toc28359094"/>
      <w:bookmarkStart w:id="40" w:name="_Toc71366171"/>
      <w:r>
        <w:rPr>
          <w:rFonts w:hint="eastAsia" w:ascii="黑体" w:hAnsi="黑体" w:eastAsia="黑体"/>
          <w:b/>
          <w:color w:val="auto"/>
          <w:sz w:val="24"/>
          <w:highlight w:val="none"/>
        </w:rPr>
        <w:t>六、公告期限</w:t>
      </w:r>
      <w:bookmarkEnd w:id="35"/>
      <w:bookmarkEnd w:id="36"/>
      <w:bookmarkEnd w:id="37"/>
      <w:bookmarkEnd w:id="38"/>
      <w:bookmarkEnd w:id="39"/>
      <w:bookmarkEnd w:id="40"/>
    </w:p>
    <w:p w14:paraId="5FE4375C">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个工作日。</w:t>
      </w:r>
    </w:p>
    <w:p w14:paraId="432FF2EE">
      <w:pPr>
        <w:spacing w:line="440" w:lineRule="exact"/>
        <w:ind w:firstLine="361" w:firstLineChars="150"/>
        <w:rPr>
          <w:rFonts w:ascii="黑体" w:hAnsi="黑体" w:eastAsia="黑体"/>
          <w:b/>
          <w:color w:val="auto"/>
          <w:sz w:val="24"/>
          <w:highlight w:val="none"/>
        </w:rPr>
      </w:pPr>
      <w:bookmarkStart w:id="41" w:name="_Toc35393635"/>
      <w:bookmarkStart w:id="42" w:name="_Toc71366172"/>
      <w:bookmarkStart w:id="43" w:name="_Toc35393804"/>
      <w:bookmarkStart w:id="44" w:name="_Toc44229884"/>
      <w:r>
        <w:rPr>
          <w:rFonts w:hint="eastAsia" w:ascii="黑体" w:hAnsi="黑体" w:eastAsia="黑体"/>
          <w:b/>
          <w:color w:val="auto"/>
          <w:sz w:val="24"/>
          <w:highlight w:val="none"/>
        </w:rPr>
        <w:t>七、其他补充事宜</w:t>
      </w:r>
      <w:bookmarkEnd w:id="41"/>
      <w:bookmarkEnd w:id="42"/>
      <w:bookmarkEnd w:id="43"/>
      <w:bookmarkEnd w:id="44"/>
    </w:p>
    <w:p w14:paraId="7EBD55E6">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50ED56D2">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http://www.ccgp.gov.cn（中国政府采购网）、http://zfcg.gxzf.gov.cn（广西壮族自治区政府采购网）。</w:t>
      </w:r>
    </w:p>
    <w:p w14:paraId="2A56C393">
      <w:pPr>
        <w:spacing w:line="440" w:lineRule="exact"/>
        <w:ind w:firstLine="424" w:firstLineChars="202"/>
        <w:rPr>
          <w:rFonts w:ascii="宋体" w:hAnsi="宋体" w:cs="宋体"/>
          <w:color w:val="auto"/>
          <w:kern w:val="0"/>
          <w:szCs w:val="21"/>
          <w:highlight w:val="none"/>
        </w:rPr>
      </w:pPr>
      <w:bookmarkStart w:id="45" w:name="_Hlk37429674"/>
      <w:bookmarkStart w:id="46" w:name="_Toc44229885"/>
      <w:bookmarkStart w:id="47" w:name="_Toc28359095"/>
      <w:bookmarkStart w:id="48" w:name="_Toc28359018"/>
      <w:bookmarkStart w:id="49" w:name="_Toc35393636"/>
      <w:bookmarkStart w:id="50" w:name="_Toc35393805"/>
      <w:r>
        <w:rPr>
          <w:rFonts w:hint="eastAsia" w:ascii="宋体" w:hAnsi="宋体"/>
          <w:color w:val="auto"/>
          <w:szCs w:val="21"/>
          <w:highlight w:val="none"/>
        </w:rPr>
        <w:t>2</w:t>
      </w:r>
      <w:r>
        <w:rPr>
          <w:rFonts w:hint="eastAsia" w:ascii="宋体" w:hAnsi="宋体" w:cs="宋体"/>
          <w:color w:val="auto"/>
          <w:kern w:val="0"/>
          <w:szCs w:val="21"/>
          <w:highlight w:val="none"/>
        </w:rPr>
        <w:t>.本项目需要落实的政府采购政策</w:t>
      </w:r>
    </w:p>
    <w:p w14:paraId="29B8FDF2">
      <w:pPr>
        <w:spacing w:line="440" w:lineRule="exact"/>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4FA9A723">
      <w:pPr>
        <w:spacing w:line="440" w:lineRule="exact"/>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2C8A21DA">
      <w:pPr>
        <w:spacing w:line="440" w:lineRule="exact"/>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221B453D">
      <w:pPr>
        <w:spacing w:line="440" w:lineRule="exact"/>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74A1FFB1">
      <w:pPr>
        <w:spacing w:line="440" w:lineRule="exact"/>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bookmarkEnd w:id="45"/>
    <w:p w14:paraId="1B581EC7">
      <w:pPr>
        <w:widowControl/>
        <w:spacing w:line="44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rPr>
        <w:t>竞标注意事项</w:t>
      </w:r>
    </w:p>
    <w:p w14:paraId="3ACF3BC9">
      <w:pPr>
        <w:widowControl/>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供应商在广西政府采购云平台提交电子响应文件时，请填写参加远程采购活动经办人联系方式。</w:t>
      </w:r>
      <w:r>
        <w:rPr>
          <w:rFonts w:hint="eastAsia" w:ascii="宋体" w:hAnsi="宋体"/>
          <w:color w:val="auto"/>
          <w:szCs w:val="21"/>
          <w:highlight w:val="none"/>
        </w:rPr>
        <w:t>供应商登录广西政府采购云平台，依次进入“服务中心-项目采购-操作流程-电子招投标-</w:t>
      </w:r>
      <w:r>
        <w:rPr>
          <w:rFonts w:hint="eastAsia"/>
          <w:color w:val="auto"/>
          <w:highlight w:val="none"/>
        </w:rPr>
        <w:t>政府采购项目电子交易管理操作指南</w:t>
      </w:r>
      <w:r>
        <w:rPr>
          <w:color w:val="auto"/>
          <w:highlight w:val="none"/>
        </w:rPr>
        <w:t>-</w:t>
      </w:r>
      <w:r>
        <w:rPr>
          <w:rFonts w:hint="eastAsia"/>
          <w:color w:val="auto"/>
          <w:highlight w:val="none"/>
        </w:rPr>
        <w:t>供应商</w:t>
      </w:r>
      <w:r>
        <w:rPr>
          <w:rFonts w:hint="eastAsia" w:ascii="宋体" w:hAnsi="宋体"/>
          <w:color w:val="auto"/>
          <w:szCs w:val="21"/>
          <w:highlight w:val="none"/>
        </w:rPr>
        <w:t>”查看电子竞标具体操作流程。</w:t>
      </w:r>
    </w:p>
    <w:p w14:paraId="563ACB1B">
      <w:pPr>
        <w:widowControl/>
        <w:wordWrap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如在操作过程中遇到问题或者需要技术支持，请致电客服热线：95763或者0771-3381253</w:t>
      </w:r>
      <w:r>
        <w:rPr>
          <w:rFonts w:hint="eastAsia" w:ascii="宋体" w:hAnsi="宋体"/>
          <w:color w:val="auto"/>
          <w:szCs w:val="21"/>
          <w:highlight w:val="none"/>
        </w:rPr>
        <w:t>）。</w:t>
      </w:r>
    </w:p>
    <w:p w14:paraId="23E0D311">
      <w:pPr>
        <w:snapToGrid w:val="0"/>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7328B2E3">
      <w:pPr>
        <w:widowControl/>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w:t>
      </w:r>
    </w:p>
    <w:p w14:paraId="0FF8A923">
      <w:pPr>
        <w:widowControl/>
        <w:spacing w:line="440" w:lineRule="exact"/>
        <w:ind w:firstLine="420" w:firstLineChars="200"/>
        <w:jc w:val="left"/>
        <w:rPr>
          <w:rFonts w:ascii="宋体" w:hAnsi="宋体"/>
          <w:bCs/>
          <w:color w:val="auto"/>
          <w:szCs w:val="21"/>
          <w:highlight w:val="none"/>
        </w:rPr>
      </w:pPr>
      <w:r>
        <w:rPr>
          <w:rFonts w:hint="eastAsia" w:ascii="宋体" w:hAnsi="宋体"/>
          <w:color w:val="auto"/>
          <w:szCs w:val="21"/>
          <w:highlight w:val="none"/>
        </w:rPr>
        <w:t>2）</w:t>
      </w:r>
      <w:r>
        <w:rPr>
          <w:rFonts w:hint="eastAsia" w:ascii="宋体" w:hAnsi="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37957CCB">
      <w:pPr>
        <w:spacing w:line="440" w:lineRule="exact"/>
        <w:ind w:firstLine="420" w:firstLineChars="200"/>
        <w:rPr>
          <w:rFonts w:ascii="宋体" w:hAnsi="宋体"/>
          <w:color w:val="auto"/>
          <w:szCs w:val="21"/>
          <w:highlight w:val="none"/>
          <w:u w:val="single"/>
        </w:rPr>
      </w:pPr>
      <w:r>
        <w:rPr>
          <w:rFonts w:hint="eastAsia" w:ascii="宋体" w:hAnsi="宋体" w:cs="宋体"/>
          <w:color w:val="auto"/>
          <w:kern w:val="0"/>
          <w:szCs w:val="21"/>
          <w:highlight w:val="none"/>
        </w:rPr>
        <w:t>（4）供应商需要在具备有摄像头及语音功能且互联网网络状况良好的电脑登录广西政府采购云平台远程开标大厅参与本次磋商，否则后果自负。</w:t>
      </w:r>
    </w:p>
    <w:p w14:paraId="0E16594B">
      <w:pPr>
        <w:spacing w:line="440" w:lineRule="exact"/>
        <w:ind w:firstLine="361" w:firstLineChars="150"/>
        <w:rPr>
          <w:rFonts w:ascii="黑体" w:hAnsi="黑体" w:eastAsia="黑体"/>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r>
        <w:rPr>
          <w:rFonts w:hint="eastAsia" w:ascii="黑体" w:hAnsi="黑体" w:eastAsia="黑体"/>
          <w:color w:val="auto"/>
          <w:sz w:val="24"/>
          <w:highlight w:val="none"/>
        </w:rPr>
        <w:t>。</w:t>
      </w:r>
      <w:bookmarkEnd w:id="46"/>
      <w:bookmarkEnd w:id="47"/>
      <w:bookmarkEnd w:id="48"/>
      <w:bookmarkEnd w:id="49"/>
      <w:bookmarkEnd w:id="50"/>
    </w:p>
    <w:p w14:paraId="54B1B67C">
      <w:pPr>
        <w:spacing w:line="440" w:lineRule="exact"/>
        <w:ind w:firstLine="420" w:firstLineChars="200"/>
        <w:rPr>
          <w:rFonts w:ascii="宋体" w:hAnsi="宋体" w:cs="宋体"/>
          <w:color w:val="auto"/>
          <w:kern w:val="0"/>
          <w:szCs w:val="21"/>
          <w:highlight w:val="none"/>
        </w:rPr>
      </w:pPr>
      <w:bookmarkStart w:id="51" w:name="_Toc28359019"/>
      <w:bookmarkStart w:id="52" w:name="_Toc35393806"/>
      <w:bookmarkStart w:id="53" w:name="_Toc28359096"/>
      <w:bookmarkStart w:id="54" w:name="_Toc35393637"/>
      <w:r>
        <w:rPr>
          <w:rFonts w:hint="eastAsia" w:ascii="宋体" w:hAnsi="宋体" w:cs="宋体"/>
          <w:color w:val="auto"/>
          <w:kern w:val="0"/>
          <w:szCs w:val="21"/>
          <w:highlight w:val="none"/>
        </w:rPr>
        <w:t>1.采购人信息</w:t>
      </w:r>
      <w:bookmarkEnd w:id="51"/>
      <w:bookmarkEnd w:id="52"/>
      <w:bookmarkEnd w:id="53"/>
      <w:bookmarkEnd w:id="54"/>
    </w:p>
    <w:p w14:paraId="0908DE47">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u w:val="single"/>
        </w:rPr>
        <w:t>中国共产党广西壮族自治区委员会金融委员会办公室</w:t>
      </w:r>
    </w:p>
    <w:p w14:paraId="3B31A4F0">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广西壮族自治区南宁市青秀区民生路2号政府大院4号楼</w:t>
      </w:r>
    </w:p>
    <w:p w14:paraId="36A53974">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u w:val="single"/>
          <w:lang w:val="en-US" w:eastAsia="zh-CN"/>
        </w:rPr>
        <w:t>廖高威</w:t>
      </w:r>
      <w:r>
        <w:rPr>
          <w:rFonts w:hint="eastAsia" w:ascii="宋体" w:hAnsi="宋体"/>
          <w:color w:val="auto"/>
          <w:szCs w:val="21"/>
          <w:highlight w:val="none"/>
          <w:u w:val="single"/>
        </w:rPr>
        <w:t>0771-8805522</w:t>
      </w:r>
    </w:p>
    <w:p w14:paraId="273B730B">
      <w:pPr>
        <w:spacing w:line="440" w:lineRule="exact"/>
        <w:ind w:firstLine="420" w:firstLineChars="200"/>
        <w:rPr>
          <w:rFonts w:ascii="宋体" w:hAnsi="宋体" w:cs="宋体"/>
          <w:color w:val="auto"/>
          <w:kern w:val="0"/>
          <w:szCs w:val="21"/>
          <w:highlight w:val="none"/>
        </w:rPr>
      </w:pPr>
      <w:bookmarkStart w:id="55" w:name="_Toc28359020"/>
      <w:bookmarkStart w:id="56" w:name="_Toc28359097"/>
      <w:bookmarkStart w:id="57" w:name="_Toc35393638"/>
      <w:bookmarkStart w:id="58" w:name="_Toc35393807"/>
      <w:r>
        <w:rPr>
          <w:rFonts w:hint="eastAsia" w:ascii="宋体" w:hAnsi="宋体" w:cs="宋体"/>
          <w:color w:val="auto"/>
          <w:kern w:val="0"/>
          <w:szCs w:val="21"/>
          <w:highlight w:val="none"/>
        </w:rPr>
        <w:t>2.采购代理机构信息</w:t>
      </w:r>
      <w:bookmarkEnd w:id="55"/>
      <w:bookmarkEnd w:id="56"/>
      <w:bookmarkEnd w:id="57"/>
      <w:bookmarkEnd w:id="58"/>
    </w:p>
    <w:p w14:paraId="22A786B1">
      <w:pPr>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rPr>
        <w:t>名    称：</w:t>
      </w:r>
      <w:r>
        <w:rPr>
          <w:rFonts w:hint="eastAsia" w:ascii="宋体" w:hAnsi="宋体"/>
          <w:color w:val="auto"/>
          <w:szCs w:val="21"/>
          <w:highlight w:val="none"/>
          <w:u w:val="single"/>
        </w:rPr>
        <w:t>云之龙咨询集团有限公司</w:t>
      </w:r>
    </w:p>
    <w:p w14:paraId="1834C863">
      <w:pPr>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single"/>
        </w:rPr>
        <w:t>南宁市良庆区云英路15号3号楼云之龙咨询集团大厦6楼</w:t>
      </w:r>
    </w:p>
    <w:p w14:paraId="0A14FE33">
      <w:pPr>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联系方式：</w:t>
      </w:r>
      <w:r>
        <w:rPr>
          <w:rFonts w:hint="eastAsia" w:ascii="宋体" w:hAnsi="宋体"/>
          <w:color w:val="auto"/>
          <w:szCs w:val="21"/>
          <w:highlight w:val="none"/>
          <w:u w:val="single"/>
        </w:rPr>
        <w:t>0771-2618199、0771-2618118</w:t>
      </w:r>
    </w:p>
    <w:p w14:paraId="1F1467F2">
      <w:pPr>
        <w:spacing w:line="440" w:lineRule="exact"/>
        <w:ind w:firstLine="420" w:firstLineChars="200"/>
        <w:rPr>
          <w:rFonts w:ascii="宋体" w:hAnsi="宋体" w:cs="宋体"/>
          <w:color w:val="auto"/>
          <w:kern w:val="0"/>
          <w:szCs w:val="21"/>
          <w:highlight w:val="none"/>
        </w:rPr>
      </w:pPr>
      <w:bookmarkStart w:id="59" w:name="_Toc35393808"/>
      <w:bookmarkStart w:id="60" w:name="_Toc35393639"/>
      <w:bookmarkStart w:id="61" w:name="_Toc28359021"/>
      <w:bookmarkStart w:id="62" w:name="_Toc28359098"/>
      <w:r>
        <w:rPr>
          <w:rFonts w:hint="eastAsia" w:ascii="宋体" w:hAnsi="宋体" w:cs="宋体"/>
          <w:color w:val="auto"/>
          <w:kern w:val="0"/>
          <w:szCs w:val="21"/>
          <w:highlight w:val="none"/>
        </w:rPr>
        <w:t>3.项目联系</w:t>
      </w:r>
      <w:r>
        <w:rPr>
          <w:rFonts w:ascii="宋体" w:hAnsi="宋体" w:cs="宋体"/>
          <w:color w:val="auto"/>
          <w:kern w:val="0"/>
          <w:szCs w:val="21"/>
          <w:highlight w:val="none"/>
        </w:rPr>
        <w:t>方式</w:t>
      </w:r>
      <w:bookmarkEnd w:id="59"/>
      <w:bookmarkEnd w:id="60"/>
      <w:bookmarkEnd w:id="61"/>
      <w:bookmarkEnd w:id="62"/>
    </w:p>
    <w:p w14:paraId="13E326A8">
      <w:pPr>
        <w:pStyle w:val="15"/>
        <w:spacing w:line="440" w:lineRule="exact"/>
        <w:ind w:firstLine="420" w:firstLineChars="200"/>
        <w:rPr>
          <w:rFonts w:hAnsi="宋体"/>
          <w:color w:val="auto"/>
          <w:sz w:val="21"/>
          <w:highlight w:val="none"/>
        </w:rPr>
      </w:pPr>
      <w:r>
        <w:rPr>
          <w:rFonts w:hint="eastAsia" w:hAnsi="宋体"/>
          <w:color w:val="auto"/>
          <w:sz w:val="21"/>
          <w:highlight w:val="none"/>
        </w:rPr>
        <w:t>项目联系人：</w:t>
      </w:r>
      <w:r>
        <w:rPr>
          <w:rFonts w:hint="eastAsia" w:hAnsi="宋体"/>
          <w:color w:val="auto"/>
          <w:sz w:val="21"/>
          <w:highlight w:val="none"/>
          <w:u w:val="single"/>
          <w:lang w:val="en-US" w:eastAsia="zh-CN"/>
        </w:rPr>
        <w:t>黄旭</w:t>
      </w:r>
      <w:r>
        <w:rPr>
          <w:rFonts w:hint="eastAsia" w:hAnsi="宋体"/>
          <w:color w:val="auto"/>
          <w:sz w:val="21"/>
          <w:highlight w:val="none"/>
          <w:u w:val="single"/>
        </w:rPr>
        <w:t>（6062）</w:t>
      </w:r>
    </w:p>
    <w:p w14:paraId="1D9247EC">
      <w:pPr>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0771-2618199、0771-2618118</w:t>
      </w:r>
    </w:p>
    <w:bookmarkEnd w:id="4"/>
    <w:p w14:paraId="2DBAB39F">
      <w:pPr>
        <w:pStyle w:val="3"/>
        <w:spacing w:line="440" w:lineRule="exact"/>
        <w:jc w:val="center"/>
        <w:rPr>
          <w:color w:val="auto"/>
          <w:highlight w:val="none"/>
        </w:rPr>
      </w:pPr>
      <w:r>
        <w:rPr>
          <w:rFonts w:ascii="宋体" w:hAnsi="宋体"/>
          <w:color w:val="auto"/>
          <w:sz w:val="32"/>
          <w:szCs w:val="32"/>
          <w:highlight w:val="none"/>
        </w:rPr>
        <w:br w:type="page"/>
      </w:r>
      <w:bookmarkStart w:id="63" w:name="_Toc74323457"/>
      <w:r>
        <w:rPr>
          <w:rFonts w:hint="eastAsia"/>
          <w:color w:val="auto"/>
          <w:highlight w:val="none"/>
        </w:rPr>
        <w:t>第二章 供应商须知</w:t>
      </w:r>
      <w:bookmarkEnd w:id="63"/>
    </w:p>
    <w:p w14:paraId="2B6F50D7">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14:paraId="1F2D3F78">
      <w:pPr>
        <w:spacing w:line="400" w:lineRule="exact"/>
        <w:jc w:val="center"/>
        <w:rPr>
          <w:rFonts w:ascii="宋体" w:hAnsi="宋体"/>
          <w:b/>
          <w:color w:val="auto"/>
          <w:sz w:val="32"/>
          <w:szCs w:val="32"/>
          <w:highlight w:val="none"/>
        </w:rPr>
      </w:pP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6C083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top"/>
          </w:tcPr>
          <w:p w14:paraId="7B9A7E8C">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12" w:type="dxa"/>
            <w:noWrap/>
            <w:vAlign w:val="top"/>
          </w:tcPr>
          <w:p w14:paraId="5CEDF9A9">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219B9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AE187F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912" w:type="dxa"/>
            <w:noWrap/>
            <w:vAlign w:val="center"/>
          </w:tcPr>
          <w:p w14:paraId="494F7EB9">
            <w:pPr>
              <w:spacing w:line="360" w:lineRule="auto"/>
              <w:rPr>
                <w:rFonts w:ascii="宋体" w:hAnsi="宋体"/>
                <w:color w:val="auto"/>
                <w:szCs w:val="21"/>
                <w:highlight w:val="none"/>
              </w:rPr>
            </w:pPr>
            <w:r>
              <w:rPr>
                <w:rFonts w:hint="eastAsia" w:ascii="宋体" w:hAnsi="宋体" w:cs="宋体"/>
                <w:bCs/>
                <w:color w:val="auto"/>
                <w:szCs w:val="21"/>
                <w:highlight w:val="none"/>
              </w:rPr>
              <w:t>1.供应商的资格条件</w:t>
            </w:r>
            <w:r>
              <w:rPr>
                <w:rFonts w:hint="eastAsia" w:ascii="宋体" w:hAnsi="宋体" w:cs="宋体"/>
                <w:color w:val="auto"/>
                <w:szCs w:val="21"/>
                <w:highlight w:val="none"/>
              </w:rPr>
              <w:t>：详见竞争性磋商公告</w:t>
            </w:r>
          </w:p>
          <w:p w14:paraId="471EF3C4">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4C81797B">
            <w:pPr>
              <w:spacing w:line="360" w:lineRule="auto"/>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10E6317">
            <w:pPr>
              <w:spacing w:line="360" w:lineRule="auto"/>
              <w:rPr>
                <w:rFonts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4E4B8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4E56CF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12" w:type="dxa"/>
            <w:noWrap/>
            <w:vAlign w:val="center"/>
          </w:tcPr>
          <w:p w14:paraId="14893461">
            <w:pPr>
              <w:spacing w:line="360" w:lineRule="auto"/>
              <w:rPr>
                <w:rFonts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p>
        </w:tc>
      </w:tr>
      <w:tr w14:paraId="5CB09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08BC5E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noWrap/>
            <w:vAlign w:val="center"/>
          </w:tcPr>
          <w:p w14:paraId="00B13FF3">
            <w:pPr>
              <w:spacing w:line="360" w:lineRule="auto"/>
              <w:rPr>
                <w:rFonts w:ascii="宋体" w:hAnsi="宋体" w:cs="宋体"/>
                <w:color w:val="auto"/>
                <w:szCs w:val="21"/>
                <w:highlight w:val="none"/>
              </w:rPr>
            </w:pPr>
            <w:r>
              <w:rPr>
                <w:rFonts w:hint="eastAsia" w:ascii="宋体" w:hAnsi="宋体"/>
                <w:color w:val="auto"/>
                <w:szCs w:val="21"/>
                <w:highlight w:val="none"/>
              </w:rPr>
              <w:t>如接受联合体竞标，联合体竞标要求如下：</w:t>
            </w:r>
          </w:p>
          <w:p w14:paraId="28051168">
            <w:pPr>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两个以上供应商可以组成一个竞标联合体，以一个供应商的身份共同参加竞标。联合体竞标的，须提供《联合体竞标协议书》（格式后附）。</w:t>
            </w:r>
          </w:p>
          <w:p w14:paraId="2DF1174B">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5FD5B637">
            <w:pPr>
              <w:spacing w:line="360" w:lineRule="auto"/>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联合体各方之间必须签订联合竞标协议，协议书必须明确主体方（或者牵头方）并明确约定联合体各方承担的工作和相应的责任（</w:t>
            </w:r>
            <w:r>
              <w:rPr>
                <w:rFonts w:hint="eastAsia" w:ascii="宋体" w:hAnsi="宋体" w:cs="宋体"/>
                <w:b/>
                <w:color w:val="auto"/>
                <w:szCs w:val="21"/>
                <w:highlight w:val="none"/>
              </w:rPr>
              <w:t>各方承担责任与义务的分工必须符合采购需求，否则，联合体竞标无效</w:t>
            </w:r>
            <w:r>
              <w:rPr>
                <w:rFonts w:hint="eastAsia" w:ascii="宋体" w:hAnsi="宋体" w:cs="宋体"/>
                <w:color w:val="auto"/>
                <w:szCs w:val="21"/>
                <w:highlight w:val="none"/>
              </w:rPr>
              <w:t>），并将联合竞标协议放入响应文件。联合体各方必须共同与采购人签订采购合同，就采购合同约定的事项对采购人承担连带责任。</w:t>
            </w:r>
          </w:p>
          <w:p w14:paraId="4FD36831">
            <w:pPr>
              <w:spacing w:line="360" w:lineRule="auto"/>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以联合体形式参加政府采购活动的，联合体各方不得再单独参加或者与其他供应商另外组成联合体参加同一合同项下的政府采购活动。</w:t>
            </w:r>
          </w:p>
          <w:p w14:paraId="124D5729">
            <w:pPr>
              <w:spacing w:line="360" w:lineRule="auto"/>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联合体中有同类资质的供应商按照联合体分工承担相同工作的，应当按照资质等级较低的供应商确定资质等级。</w:t>
            </w:r>
          </w:p>
          <w:p w14:paraId="7ED8D554">
            <w:pPr>
              <w:spacing w:line="360" w:lineRule="auto"/>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szCs w:val="21"/>
                <w:highlight w:val="none"/>
              </w:rPr>
              <w:t>联合体竞标业绩、履约能力按照联合体各方中较高的一方认定并计算（磋商文件另有规定的除外）。</w:t>
            </w:r>
          </w:p>
          <w:p w14:paraId="0E69A073">
            <w:pPr>
              <w:spacing w:line="360" w:lineRule="auto"/>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供应商为联合体的，可以由联合体中的一方或者多方共同交纳磋商保证金，其交纳的保证金对联合体各方均具有约束力。</w:t>
            </w:r>
          </w:p>
          <w:p w14:paraId="11241898">
            <w:pPr>
              <w:spacing w:line="360" w:lineRule="auto"/>
              <w:rPr>
                <w:rFonts w:ascii="宋体" w:hAnsi="宋体" w:cs="宋体"/>
                <w:color w:val="auto"/>
                <w:szCs w:val="21"/>
                <w:highlight w:val="none"/>
              </w:rPr>
            </w:pP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s="宋体"/>
                <w:color w:val="auto"/>
                <w:szCs w:val="21"/>
                <w:highlight w:val="none"/>
              </w:rPr>
              <w:t>联合体各方均应按照磋商文件的规定提交资格证明文件。</w:t>
            </w:r>
          </w:p>
        </w:tc>
      </w:tr>
      <w:tr w14:paraId="5B2E4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95DBE0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12" w:type="dxa"/>
            <w:noWrap/>
            <w:vAlign w:val="center"/>
          </w:tcPr>
          <w:p w14:paraId="185FFB70">
            <w:pPr>
              <w:pStyle w:val="10"/>
              <w:spacing w:line="360" w:lineRule="auto"/>
              <w:rPr>
                <w:rFonts w:ascii="宋体" w:hAnsi="宋体"/>
                <w:color w:val="auto"/>
                <w:szCs w:val="21"/>
                <w:highlight w:val="none"/>
                <w:lang w:val="en-US" w:eastAsia="zh-CN"/>
              </w:rPr>
            </w:pPr>
            <w:r>
              <w:rPr>
                <w:rFonts w:hint="eastAsia" w:ascii="宋体" w:hAnsi="宋体"/>
                <w:color w:val="auto"/>
                <w:szCs w:val="21"/>
                <w:highlight w:val="none"/>
                <w:lang w:val="en-US" w:eastAsia="zh-CN"/>
              </w:rPr>
              <w:t>☑不允许分包</w:t>
            </w:r>
          </w:p>
          <w:p w14:paraId="133AFAA5">
            <w:pPr>
              <w:pStyle w:val="10"/>
              <w:spacing w:line="360" w:lineRule="auto"/>
              <w:rPr>
                <w:rFonts w:ascii="宋体" w:hAnsi="宋体"/>
                <w:color w:val="auto"/>
                <w:szCs w:val="21"/>
                <w:highlight w:val="none"/>
                <w:lang w:val="en-US" w:eastAsia="zh-CN"/>
              </w:rPr>
            </w:pPr>
            <w:r>
              <w:rPr>
                <w:rFonts w:hint="eastAsia" w:ascii="宋体" w:hAnsi="宋体"/>
                <w:color w:val="auto"/>
                <w:szCs w:val="21"/>
                <w:highlight w:val="none"/>
                <w:lang w:val="en-US" w:eastAsia="zh-CN"/>
              </w:rPr>
              <w:t>□允许分包</w:t>
            </w:r>
          </w:p>
          <w:p w14:paraId="38EC2F3D">
            <w:pPr>
              <w:pStyle w:val="10"/>
              <w:spacing w:line="360" w:lineRule="auto"/>
              <w:rPr>
                <w:rFonts w:ascii="宋体" w:hAnsi="宋体"/>
                <w:color w:val="auto"/>
                <w:szCs w:val="21"/>
                <w:highlight w:val="none"/>
                <w:u w:val="single"/>
                <w:lang w:val="en-US" w:eastAsia="zh-CN"/>
              </w:rPr>
            </w:pPr>
            <w:r>
              <w:rPr>
                <w:rFonts w:hint="eastAsia" w:ascii="宋体" w:hAnsi="宋体"/>
                <w:color w:val="auto"/>
                <w:szCs w:val="21"/>
                <w:highlight w:val="none"/>
                <w:lang w:val="en-US" w:eastAsia="zh-CN"/>
              </w:rPr>
              <w:t>分包内容：</w:t>
            </w:r>
            <w:r>
              <w:rPr>
                <w:rFonts w:hint="eastAsia" w:ascii="宋体" w:hAnsi="宋体"/>
                <w:color w:val="auto"/>
                <w:szCs w:val="21"/>
                <w:highlight w:val="none"/>
                <w:u w:val="single"/>
                <w:lang w:val="en-US" w:eastAsia="zh-CN"/>
              </w:rPr>
              <w:t xml:space="preserve">                                     。</w:t>
            </w:r>
          </w:p>
          <w:p w14:paraId="6FDFD222">
            <w:pPr>
              <w:pStyle w:val="10"/>
              <w:spacing w:line="360" w:lineRule="auto"/>
              <w:rPr>
                <w:rFonts w:ascii="宋体" w:hAnsi="宋体" w:cs="宋体"/>
                <w:color w:val="auto"/>
                <w:szCs w:val="21"/>
                <w:highlight w:val="none"/>
                <w:lang w:val="en-US" w:eastAsia="zh-CN"/>
              </w:rPr>
            </w:pPr>
            <w:r>
              <w:rPr>
                <w:rFonts w:hint="eastAsia" w:ascii="宋体" w:hAnsi="宋体"/>
                <w:color w:val="auto"/>
                <w:szCs w:val="21"/>
                <w:highlight w:val="none"/>
                <w:lang w:val="en-US" w:eastAsia="zh-CN"/>
              </w:rPr>
              <w:t>分包金额或者比例：</w:t>
            </w:r>
            <w:r>
              <w:rPr>
                <w:rFonts w:hint="eastAsia" w:ascii="宋体" w:hAnsi="宋体"/>
                <w:color w:val="auto"/>
                <w:szCs w:val="21"/>
                <w:highlight w:val="none"/>
                <w:u w:val="single"/>
                <w:lang w:val="en-US" w:eastAsia="zh-CN"/>
              </w:rPr>
              <w:t xml:space="preserve">                                     。</w:t>
            </w:r>
          </w:p>
        </w:tc>
      </w:tr>
      <w:tr w14:paraId="1FD9C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E421C4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noWrap/>
            <w:vAlign w:val="center"/>
          </w:tcPr>
          <w:p w14:paraId="4EFED14C">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7F455777">
            <w:pPr>
              <w:pStyle w:val="10"/>
              <w:spacing w:line="360" w:lineRule="auto"/>
              <w:rPr>
                <w:rFonts w:ascii="宋体" w:hAnsi="宋体"/>
                <w:color w:val="auto"/>
                <w:szCs w:val="21"/>
                <w:highlight w:val="none"/>
                <w:lang w:val="en-US" w:eastAsia="zh-CN"/>
              </w:rPr>
            </w:pPr>
            <w:r>
              <w:rPr>
                <w:rFonts w:hint="eastAsia" w:ascii="宋体" w:hAnsi="宋体" w:cs="宋体"/>
                <w:color w:val="auto"/>
                <w:szCs w:val="21"/>
                <w:highlight w:val="none"/>
                <w:lang w:val="en-US" w:eastAsia="zh-CN"/>
              </w:rPr>
              <w:t>1.供应商为法人或者其他组织的，提供营业执照等证明文件（如营业执照或者事业单位法人证书或者执业许可证或者登记证书等），供应商为自然人的提供其身份证复印件；（</w:t>
            </w:r>
            <w:r>
              <w:rPr>
                <w:rFonts w:hint="eastAsia" w:ascii="宋体" w:hAnsi="宋体" w:cs="宋体"/>
                <w:b/>
                <w:color w:val="auto"/>
                <w:szCs w:val="21"/>
                <w:highlight w:val="none"/>
                <w:lang w:val="en-US" w:eastAsia="zh-CN"/>
              </w:rPr>
              <w:t>必须提供，否则响应文件按无效响应处理</w:t>
            </w:r>
            <w:r>
              <w:rPr>
                <w:rFonts w:hint="eastAsia" w:ascii="宋体" w:hAnsi="宋体" w:cs="宋体"/>
                <w:color w:val="auto"/>
                <w:szCs w:val="21"/>
                <w:highlight w:val="none"/>
                <w:lang w:val="en-US" w:eastAsia="zh-CN"/>
              </w:rPr>
              <w:t>）</w:t>
            </w:r>
          </w:p>
          <w:p w14:paraId="67E1D92D">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2. 供应商依法缴纳税收的相关材料（</w:t>
            </w:r>
            <w:r>
              <w:rPr>
                <w:rFonts w:hint="eastAsia" w:ascii="宋体" w:hAnsi="宋体" w:cs="宋体"/>
                <w:color w:val="auto"/>
                <w:szCs w:val="21"/>
                <w:highlight w:val="none"/>
                <w:u w:val="single"/>
              </w:rPr>
              <w:t>2024年11月至2025年5月</w:t>
            </w:r>
            <w:r>
              <w:rPr>
                <w:rFonts w:hint="eastAsia" w:ascii="宋体" w:hAnsi="宋体" w:cs="宋体"/>
                <w:color w:val="auto"/>
                <w:szCs w:val="21"/>
                <w:highlight w:val="none"/>
              </w:rPr>
              <w:t>内任意</w:t>
            </w:r>
            <w:r>
              <w:rPr>
                <w:rFonts w:hint="eastAsia" w:ascii="宋体" w:hAnsi="宋体" w:cs="宋体"/>
                <w:color w:val="auto"/>
                <w:szCs w:val="21"/>
                <w:highlight w:val="none"/>
                <w:u w:val="single"/>
              </w:rPr>
              <w:t>1</w:t>
            </w:r>
            <w:r>
              <w:rPr>
                <w:rFonts w:hint="eastAsia" w:ascii="宋体" w:hAnsi="宋体" w:cs="宋体"/>
                <w:color w:val="auto"/>
                <w:szCs w:val="21"/>
                <w:highlight w:val="none"/>
              </w:rPr>
              <w:t>个月的依法缴纳税收的凭据复印件；</w:t>
            </w:r>
            <w:r>
              <w:rPr>
                <w:rFonts w:hint="eastAsia"/>
                <w:color w:val="auto"/>
                <w:highlight w:val="none"/>
              </w:rPr>
              <w:t>依法免税的，必须提供相应文件证明其依法免税。</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的依法缴纳税收</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88370B1">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3. 供应商依法缴纳社会保障资金的相关材料[</w:t>
            </w:r>
            <w:r>
              <w:rPr>
                <w:rFonts w:hint="eastAsia" w:ascii="宋体" w:hAnsi="宋体" w:cs="宋体"/>
                <w:color w:val="auto"/>
                <w:szCs w:val="21"/>
                <w:highlight w:val="none"/>
                <w:u w:val="single"/>
              </w:rPr>
              <w:t>2024年11月至2025年5月</w:t>
            </w:r>
            <w:r>
              <w:rPr>
                <w:rFonts w:hint="eastAsia" w:ascii="宋体" w:hAnsi="宋体" w:cs="宋体"/>
                <w:color w:val="auto"/>
                <w:szCs w:val="21"/>
                <w:highlight w:val="none"/>
              </w:rPr>
              <w:t>任意</w:t>
            </w:r>
            <w:r>
              <w:rPr>
                <w:rFonts w:hint="eastAsia" w:ascii="宋体" w:hAnsi="宋体" w:cs="宋体"/>
                <w:color w:val="auto"/>
                <w:szCs w:val="21"/>
                <w:highlight w:val="none"/>
                <w:u w:val="single"/>
              </w:rPr>
              <w:t>1</w:t>
            </w:r>
            <w:r>
              <w:rPr>
                <w:rFonts w:hint="eastAsia" w:ascii="宋体" w:hAnsi="宋体" w:cs="宋体"/>
                <w:color w:val="auto"/>
                <w:szCs w:val="21"/>
                <w:highlight w:val="none"/>
              </w:rPr>
              <w:t>个月的依法缴纳社会保障资金的缴费凭证（</w:t>
            </w:r>
            <w:r>
              <w:rPr>
                <w:rFonts w:hint="eastAsia"/>
                <w:color w:val="auto"/>
                <w:highlight w:val="none"/>
              </w:rPr>
              <w:t>如：</w:t>
            </w:r>
            <w:r>
              <w:rPr>
                <w:rFonts w:hint="eastAsia" w:ascii="宋体" w:hAnsi="宋体" w:cs="宋体"/>
                <w:color w:val="auto"/>
                <w:szCs w:val="21"/>
                <w:highlight w:val="none"/>
              </w:rPr>
              <w:t>专用收据、社会保险缴纳清单或者社保部门的证明）复印件；</w:t>
            </w:r>
            <w:r>
              <w:rPr>
                <w:rFonts w:hint="eastAsia"/>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的依法缴纳社会保障资金的</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F70E977">
            <w:pPr>
              <w:spacing w:line="360" w:lineRule="auto"/>
              <w:contextualSpacing/>
              <w:jc w:val="left"/>
              <w:rPr>
                <w:rFonts w:ascii="宋体" w:hAnsi="宋体" w:cs="宋体"/>
                <w:b/>
                <w:color w:val="auto"/>
                <w:szCs w:val="21"/>
                <w:highlight w:val="none"/>
              </w:rPr>
            </w:pPr>
            <w:r>
              <w:rPr>
                <w:rFonts w:hint="eastAsia" w:ascii="宋体" w:hAnsi="宋体" w:cs="宋体"/>
                <w:color w:val="auto"/>
                <w:szCs w:val="21"/>
                <w:highlight w:val="none"/>
              </w:rPr>
              <w:t>4. 供应商</w:t>
            </w:r>
            <w:r>
              <w:rPr>
                <w:rFonts w:hint="eastAsia"/>
                <w:color w:val="auto"/>
                <w:szCs w:val="21"/>
                <w:highlight w:val="none"/>
              </w:rPr>
              <w:t>财务状况报告</w:t>
            </w:r>
            <w:r>
              <w:rPr>
                <w:rFonts w:hint="eastAsia" w:ascii="宋体" w:hAnsi="宋体" w:cs="宋体"/>
                <w:color w:val="auto"/>
                <w:szCs w:val="21"/>
                <w:highlight w:val="none"/>
              </w:rPr>
              <w:t>[2023年或2024</w:t>
            </w:r>
            <w:r>
              <w:rPr>
                <w:rFonts w:hint="eastAsia"/>
                <w:color w:val="auto"/>
                <w:szCs w:val="21"/>
                <w:highlight w:val="none"/>
              </w:rPr>
              <w:t>年度财务报表复印件，或者银行出具的资信证明，或者中国人民银行征信中心出具的信用报告（企业竞标的提供企业信用报告，自然人竞标的提供个人信用报告，供应商属于</w:t>
            </w:r>
            <w:r>
              <w:rPr>
                <w:rFonts w:hint="eastAsia"/>
                <w:color w:val="auto"/>
                <w:highlight w:val="none"/>
              </w:rPr>
              <w:t>成立时间</w:t>
            </w:r>
            <w:r>
              <w:rPr>
                <w:rFonts w:hint="eastAsia"/>
                <w:color w:val="auto"/>
                <w:kern w:val="0"/>
                <w:highlight w:val="none"/>
              </w:rPr>
              <w:t>在规定年度之后</w:t>
            </w:r>
            <w:r>
              <w:rPr>
                <w:rFonts w:hint="eastAsia"/>
                <w:color w:val="auto"/>
                <w:highlight w:val="none"/>
              </w:rPr>
              <w:t>的</w:t>
            </w:r>
            <w:r>
              <w:rPr>
                <w:rFonts w:hint="eastAsia"/>
                <w:color w:val="auto"/>
                <w:szCs w:val="21"/>
                <w:highlight w:val="none"/>
              </w:rPr>
              <w:t>法人或其他组织</w:t>
            </w:r>
            <w:r>
              <w:rPr>
                <w:rFonts w:hint="eastAsia"/>
                <w:color w:val="auto"/>
                <w:highlight w:val="none"/>
              </w:rPr>
              <w:t>，需提供成立之日起至响应文件提交截止时间前的月报表</w:t>
            </w:r>
            <w:r>
              <w:rPr>
                <w:rFonts w:hint="eastAsia"/>
                <w:color w:val="auto"/>
                <w:szCs w:val="21"/>
                <w:highlight w:val="none"/>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bCs/>
                <w:color w:val="auto"/>
                <w:szCs w:val="21"/>
                <w:highlight w:val="none"/>
              </w:rPr>
              <w:t>）</w:t>
            </w:r>
          </w:p>
          <w:p w14:paraId="5DFF0F1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5.供应商直接控股信息表（格式后附）；（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FA283E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 供应商直接管理关系信息表（格式后附）；（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F59742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6D490F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w:t>
            </w:r>
            <w:r>
              <w:rPr>
                <w:rFonts w:hint="eastAsia"/>
                <w:color w:val="auto"/>
                <w:szCs w:val="21"/>
                <w:highlight w:val="none"/>
              </w:rPr>
              <w:t>供应商具有财政主管部门颁发的有效的《会计师事务所执业证书》</w:t>
            </w:r>
            <w:r>
              <w:rPr>
                <w:rFonts w:hint="eastAsia" w:ascii="宋体" w:hAnsi="宋体"/>
                <w:color w:val="auto"/>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A509C9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9.联合体竞标协议书（格式后附）；（</w:t>
            </w:r>
            <w:r>
              <w:rPr>
                <w:rFonts w:hint="eastAsia" w:ascii="宋体" w:hAnsi="宋体" w:cs="宋体"/>
                <w:b/>
                <w:color w:val="auto"/>
                <w:szCs w:val="21"/>
                <w:highlight w:val="none"/>
              </w:rPr>
              <w:t>联合体竞标时必须提供，否则响应文件按无效响应处理</w:t>
            </w:r>
            <w:r>
              <w:rPr>
                <w:rFonts w:hint="eastAsia" w:ascii="宋体" w:hAnsi="宋体" w:cs="宋体"/>
                <w:color w:val="auto"/>
                <w:szCs w:val="21"/>
                <w:highlight w:val="none"/>
              </w:rPr>
              <w:t>）</w:t>
            </w:r>
          </w:p>
          <w:p w14:paraId="365CE73D">
            <w:pPr>
              <w:snapToGrid w:val="0"/>
              <w:spacing w:line="360" w:lineRule="auto"/>
              <w:jc w:val="left"/>
              <w:rPr>
                <w:rFonts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w:t>
            </w:r>
            <w:r>
              <w:rPr>
                <w:rFonts w:hint="eastAsia" w:ascii="宋体" w:hAnsi="宋体"/>
                <w:color w:val="auto"/>
                <w:szCs w:val="21"/>
                <w:highlight w:val="none"/>
              </w:rPr>
              <w:t>供应商</w:t>
            </w:r>
            <w:r>
              <w:rPr>
                <w:rFonts w:ascii="宋体" w:hAnsi="宋体"/>
                <w:color w:val="auto"/>
                <w:szCs w:val="21"/>
                <w:highlight w:val="none"/>
              </w:rPr>
              <w:t>需提供《</w:t>
            </w:r>
            <w:r>
              <w:rPr>
                <w:rFonts w:hint="eastAsia" w:ascii="宋体" w:hAnsi="宋体"/>
                <w:color w:val="auto"/>
                <w:szCs w:val="21"/>
                <w:highlight w:val="none"/>
              </w:rPr>
              <w:t>中小企业声明函》或《残疾人福利性单位声明函》或属于监狱企业的证明文件</w:t>
            </w:r>
            <w:r>
              <w:rPr>
                <w:rFonts w:hint="eastAsia" w:ascii="宋体" w:hAnsi="宋体"/>
                <w:color w:val="auto"/>
                <w:szCs w:val="21"/>
                <w:highlight w:val="none"/>
                <w:lang w:eastAsia="zh-CN"/>
              </w:rPr>
              <w:t>；</w:t>
            </w:r>
            <w:r>
              <w:rPr>
                <w:rFonts w:hint="eastAsia" w:ascii="宋体" w:hAnsi="宋体"/>
                <w:b/>
                <w:color w:val="auto"/>
                <w:szCs w:val="21"/>
                <w:highlight w:val="none"/>
              </w:rPr>
              <w:t>（必须提供，否则</w:t>
            </w:r>
            <w:r>
              <w:rPr>
                <w:rFonts w:hint="eastAsia" w:ascii="宋体" w:hAnsi="宋体"/>
                <w:b/>
                <w:color w:val="auto"/>
                <w:szCs w:val="21"/>
                <w:highlight w:val="none"/>
                <w:lang w:val="en-US" w:eastAsia="zh-CN"/>
              </w:rPr>
              <w:t>响应</w:t>
            </w:r>
            <w:r>
              <w:rPr>
                <w:rFonts w:hint="eastAsia" w:ascii="宋体" w:hAnsi="宋体"/>
                <w:b/>
                <w:color w:val="auto"/>
                <w:szCs w:val="21"/>
                <w:highlight w:val="none"/>
              </w:rPr>
              <w:t>文件按无效处理）</w:t>
            </w:r>
          </w:p>
          <w:p w14:paraId="7354F2D4">
            <w:pPr>
              <w:snapToGrid w:val="0"/>
              <w:spacing w:line="360" w:lineRule="auto"/>
              <w:jc w:val="left"/>
              <w:rPr>
                <w:rFonts w:ascii="宋体" w:hAnsi="宋体" w:cs="宋体"/>
                <w:color w:val="auto"/>
                <w:szCs w:val="21"/>
                <w:highlight w:val="none"/>
              </w:rPr>
            </w:pPr>
            <w:r>
              <w:rPr>
                <w:rFonts w:hint="eastAsia" w:ascii="宋体" w:hAnsi="宋体"/>
                <w:color w:val="auto"/>
                <w:szCs w:val="21"/>
                <w:highlight w:val="none"/>
              </w:rPr>
              <w:t>11</w:t>
            </w:r>
            <w:r>
              <w:rPr>
                <w:rFonts w:hint="eastAsia" w:ascii="宋体" w:hAnsi="宋体" w:cs="宋体"/>
                <w:color w:val="auto"/>
                <w:szCs w:val="21"/>
                <w:highlight w:val="none"/>
              </w:rPr>
              <w:t>.除磋商文件规定必须提供以外，供应商认为需要提供的其他证明材料；</w:t>
            </w:r>
          </w:p>
          <w:p w14:paraId="548167F6">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14:paraId="50CF6EBC">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w:t>
            </w:r>
            <w:r>
              <w:rPr>
                <w:rFonts w:hint="eastAsia"/>
                <w:b/>
                <w:color w:val="auto"/>
                <w:highlight w:val="none"/>
              </w:rPr>
              <w:t>电子签章</w:t>
            </w:r>
            <w:r>
              <w:rPr>
                <w:rFonts w:hint="eastAsia" w:ascii="宋体" w:hAnsi="宋体" w:cs="宋体"/>
                <w:b/>
                <w:color w:val="auto"/>
                <w:szCs w:val="21"/>
                <w:highlight w:val="none"/>
              </w:rPr>
              <w:t>，否则响应文件按无效处理。</w:t>
            </w:r>
          </w:p>
          <w:p w14:paraId="5AA89C64">
            <w:pPr>
              <w:pStyle w:val="10"/>
              <w:spacing w:line="360" w:lineRule="auto"/>
              <w:ind w:firstLine="422" w:firstLineChars="200"/>
              <w:rPr>
                <w:rFonts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2.联合体竞标时，第1-6、8、10项资格证明文件联合体各方均必须分别提供，</w:t>
            </w:r>
            <w:r>
              <w:rPr>
                <w:rFonts w:hint="eastAsia"/>
                <w:b/>
                <w:color w:val="auto"/>
                <w:highlight w:val="none"/>
                <w:lang w:val="en-US" w:eastAsia="zh-CN"/>
              </w:rPr>
              <w:t>并由</w:t>
            </w:r>
            <w:r>
              <w:rPr>
                <w:rFonts w:hint="eastAsia" w:ascii="宋体" w:hAnsi="宋体" w:cs="宋体"/>
                <w:b/>
                <w:color w:val="auto"/>
                <w:szCs w:val="21"/>
                <w:highlight w:val="none"/>
                <w:lang w:val="en-US" w:eastAsia="zh-CN"/>
              </w:rPr>
              <w:t>联合体</w:t>
            </w:r>
            <w:r>
              <w:rPr>
                <w:rFonts w:hint="eastAsia"/>
                <w:b/>
                <w:color w:val="auto"/>
                <w:highlight w:val="none"/>
                <w:lang w:val="en-US" w:eastAsia="zh-CN"/>
              </w:rPr>
              <w:t>牵头人加盖电子签章</w:t>
            </w:r>
            <w:r>
              <w:rPr>
                <w:rFonts w:hint="eastAsia" w:ascii="宋体" w:hAnsi="宋体" w:cs="宋体"/>
                <w:b/>
                <w:color w:val="auto"/>
                <w:szCs w:val="21"/>
                <w:highlight w:val="none"/>
                <w:lang w:val="en-US" w:eastAsia="zh-CN"/>
              </w:rPr>
              <w:t>，</w:t>
            </w:r>
            <w:r>
              <w:rPr>
                <w:rFonts w:hint="eastAsia"/>
                <w:b/>
                <w:color w:val="auto"/>
                <w:highlight w:val="none"/>
                <w:lang w:val="en-US" w:eastAsia="zh-CN"/>
              </w:rPr>
              <w:t>规定签字</w:t>
            </w:r>
            <w:r>
              <w:rPr>
                <w:rFonts w:hint="eastAsia" w:ascii="宋体" w:hAnsi="宋体" w:cs="宋体"/>
                <w:b/>
                <w:color w:val="auto"/>
                <w:szCs w:val="21"/>
                <w:highlight w:val="none"/>
                <w:lang w:val="en-US" w:eastAsia="zh-CN"/>
              </w:rPr>
              <w:t>处签字</w:t>
            </w:r>
            <w:r>
              <w:rPr>
                <w:rFonts w:hint="eastAsia" w:ascii="宋体" w:hAnsi="宋体"/>
                <w:b/>
                <w:bCs/>
                <w:color w:val="auto"/>
                <w:szCs w:val="21"/>
                <w:highlight w:val="none"/>
                <w:lang w:val="en-US" w:eastAsia="zh-CN"/>
              </w:rPr>
              <w:t>（或者电子签名）</w:t>
            </w:r>
            <w:r>
              <w:rPr>
                <w:rFonts w:hint="eastAsia" w:ascii="宋体" w:hAnsi="宋体" w:cs="宋体"/>
                <w:b/>
                <w:color w:val="auto"/>
                <w:szCs w:val="21"/>
                <w:highlight w:val="none"/>
                <w:lang w:val="en-US" w:eastAsia="zh-CN"/>
              </w:rPr>
              <w:t>，否则响应文件按无效处理。</w:t>
            </w:r>
          </w:p>
        </w:tc>
      </w:tr>
      <w:tr w14:paraId="6B0A8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A33A5E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noWrap/>
            <w:vAlign w:val="center"/>
          </w:tcPr>
          <w:p w14:paraId="39DB6D72">
            <w:pPr>
              <w:spacing w:line="360" w:lineRule="auto"/>
              <w:rPr>
                <w:rFonts w:ascii="宋体" w:hAnsi="宋体" w:cs="宋体"/>
                <w:color w:val="auto"/>
                <w:szCs w:val="21"/>
                <w:highlight w:val="none"/>
              </w:rPr>
            </w:pPr>
            <w:r>
              <w:rPr>
                <w:rFonts w:hint="eastAsia" w:ascii="宋体" w:hAnsi="宋体" w:cs="宋体"/>
                <w:color w:val="auto"/>
                <w:szCs w:val="21"/>
                <w:highlight w:val="none"/>
              </w:rPr>
              <w:t>报价文件</w:t>
            </w:r>
          </w:p>
          <w:p w14:paraId="444B0ED2">
            <w:pPr>
              <w:spacing w:line="360" w:lineRule="auto"/>
              <w:rPr>
                <w:rFonts w:ascii="宋体" w:hAnsi="宋体" w:cs="宋体"/>
                <w:color w:val="auto"/>
                <w:szCs w:val="21"/>
                <w:highlight w:val="none"/>
              </w:rPr>
            </w:pPr>
            <w:r>
              <w:rPr>
                <w:rFonts w:hint="eastAsia" w:ascii="宋体" w:hAnsi="宋体" w:cs="宋体"/>
                <w:color w:val="auto"/>
                <w:szCs w:val="21"/>
                <w:highlight w:val="none"/>
              </w:rPr>
              <w:t>1.竞标报价表（格式后附）；（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02C3871E">
            <w:pPr>
              <w:spacing w:line="360" w:lineRule="auto"/>
              <w:rPr>
                <w:rFonts w:ascii="宋体" w:hAnsi="宋体" w:cs="宋体"/>
                <w:color w:val="auto"/>
                <w:szCs w:val="21"/>
                <w:highlight w:val="none"/>
              </w:rPr>
            </w:pPr>
            <w:r>
              <w:rPr>
                <w:rFonts w:hint="eastAsia" w:ascii="宋体" w:hAnsi="宋体" w:cs="宋体"/>
                <w:color w:val="auto"/>
                <w:szCs w:val="21"/>
                <w:highlight w:val="none"/>
              </w:rPr>
              <w:t>2.供应商认为需要提供的其他有关资料。</w:t>
            </w:r>
          </w:p>
        </w:tc>
      </w:tr>
      <w:tr w14:paraId="5BCEA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4E8686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noWrap/>
            <w:vAlign w:val="center"/>
          </w:tcPr>
          <w:p w14:paraId="6DB61D91">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商务技术文件</w:t>
            </w:r>
          </w:p>
          <w:p w14:paraId="1EC2F597">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BE12E0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D88D33F">
            <w:pPr>
              <w:spacing w:line="360" w:lineRule="auto"/>
              <w:rPr>
                <w:rFonts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180CEFEA">
            <w:pPr>
              <w:spacing w:line="360" w:lineRule="auto"/>
              <w:rPr>
                <w:rFonts w:ascii="宋体" w:hAnsi="宋体" w:cs="宋体"/>
                <w:color w:val="auto"/>
                <w:szCs w:val="21"/>
                <w:highlight w:val="none"/>
              </w:rPr>
            </w:pPr>
            <w:r>
              <w:rPr>
                <w:rFonts w:hint="eastAsia" w:ascii="宋体" w:hAnsi="宋体" w:cs="宋体"/>
                <w:color w:val="auto"/>
                <w:szCs w:val="21"/>
                <w:highlight w:val="none"/>
              </w:rPr>
              <w:t>4.磋商保证金提交凭证；（</w:t>
            </w:r>
            <w:r>
              <w:rPr>
                <w:rFonts w:hint="eastAsia"/>
                <w:b/>
                <w:bCs/>
                <w:color w:val="auto"/>
                <w:highlight w:val="none"/>
              </w:rPr>
              <w:t>如要求提交磋商保证金的则必须提供</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42C3DF37">
            <w:pPr>
              <w:spacing w:line="360" w:lineRule="auto"/>
              <w:rPr>
                <w:rFonts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3B8678E">
            <w:pPr>
              <w:spacing w:line="360" w:lineRule="auto"/>
              <w:rPr>
                <w:rFonts w:ascii="宋体" w:hAnsi="宋体" w:cs="宋体"/>
                <w:color w:val="auto"/>
                <w:szCs w:val="21"/>
                <w:highlight w:val="none"/>
              </w:rPr>
            </w:pPr>
            <w:r>
              <w:rPr>
                <w:rFonts w:hint="eastAsia" w:ascii="宋体" w:hAnsi="宋体" w:cs="宋体"/>
                <w:color w:val="auto"/>
                <w:szCs w:val="21"/>
                <w:highlight w:val="none"/>
              </w:rPr>
              <w:t>6.服务方案（格式自拟）；</w:t>
            </w:r>
          </w:p>
          <w:p w14:paraId="515EDFBB">
            <w:pPr>
              <w:spacing w:line="360" w:lineRule="auto"/>
              <w:rPr>
                <w:rFonts w:ascii="宋体" w:hAnsi="宋体" w:cs="宋体"/>
                <w:color w:val="auto"/>
                <w:szCs w:val="21"/>
                <w:highlight w:val="none"/>
              </w:rPr>
            </w:pPr>
            <w:r>
              <w:rPr>
                <w:rFonts w:hint="eastAsia" w:ascii="宋体" w:hAnsi="宋体" w:cs="宋体"/>
                <w:color w:val="auto"/>
                <w:szCs w:val="21"/>
                <w:highlight w:val="none"/>
              </w:rPr>
              <w:t>7.技术要求偏离表（格式后附）；（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E3C0C0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8.项目实施人员一览表（格式自拟）； </w:t>
            </w:r>
          </w:p>
          <w:p w14:paraId="3B04F753">
            <w:pPr>
              <w:spacing w:line="360" w:lineRule="auto"/>
              <w:rPr>
                <w:rFonts w:ascii="宋体" w:hAnsi="宋体" w:cs="宋体"/>
                <w:bCs/>
                <w:color w:val="auto"/>
                <w:szCs w:val="21"/>
                <w:highlight w:val="none"/>
              </w:rPr>
            </w:pPr>
            <w:r>
              <w:rPr>
                <w:rFonts w:hint="eastAsia" w:ascii="宋体" w:hAnsi="宋体" w:cs="宋体"/>
                <w:bCs/>
                <w:color w:val="auto"/>
                <w:szCs w:val="21"/>
                <w:highlight w:val="none"/>
              </w:rPr>
              <w:t>9.代理服务费承诺书</w:t>
            </w:r>
            <w:r>
              <w:rPr>
                <w:rFonts w:hint="eastAsia" w:ascii="宋体" w:hAnsi="宋体" w:cs="宋体"/>
                <w:color w:val="auto"/>
                <w:szCs w:val="21"/>
                <w:highlight w:val="none"/>
              </w:rPr>
              <w:t>（格式后附）；</w:t>
            </w:r>
          </w:p>
          <w:p w14:paraId="6312A664">
            <w:pPr>
              <w:spacing w:line="360" w:lineRule="auto"/>
              <w:rPr>
                <w:rFonts w:ascii="宋体" w:hAnsi="宋体" w:cs="宋体"/>
                <w:color w:val="auto"/>
                <w:szCs w:val="21"/>
                <w:highlight w:val="none"/>
              </w:rPr>
            </w:pPr>
            <w:r>
              <w:rPr>
                <w:rFonts w:hint="eastAsia" w:ascii="宋体" w:hAnsi="宋体" w:cs="宋体"/>
                <w:color w:val="auto"/>
                <w:szCs w:val="21"/>
                <w:highlight w:val="none"/>
              </w:rPr>
              <w:t>10.对应采购需求的技术要求、商务要求提供的其他文件资料（格式自拟）；</w:t>
            </w:r>
          </w:p>
          <w:p w14:paraId="615AC0E0">
            <w:pPr>
              <w:spacing w:line="360" w:lineRule="auto"/>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1.供应商认为需要提供的其他有关资料。</w:t>
            </w:r>
          </w:p>
          <w:p w14:paraId="2633D900">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注：以上标明“必须提供”的材料属于复印件的，必须加盖供应商</w:t>
            </w:r>
            <w:r>
              <w:rPr>
                <w:rFonts w:hint="eastAsia" w:ascii="宋体" w:hAnsi="宋体"/>
                <w:b/>
                <w:bCs/>
                <w:color w:val="auto"/>
                <w:szCs w:val="21"/>
                <w:highlight w:val="none"/>
              </w:rPr>
              <w:t>电子签章</w:t>
            </w:r>
            <w:r>
              <w:rPr>
                <w:rFonts w:hint="eastAsia" w:ascii="宋体" w:hAnsi="宋体" w:cs="宋体"/>
                <w:b/>
                <w:color w:val="auto"/>
                <w:szCs w:val="21"/>
                <w:highlight w:val="none"/>
              </w:rPr>
              <w:t>，否则响应文件按无效响应处理。</w:t>
            </w:r>
          </w:p>
        </w:tc>
      </w:tr>
      <w:tr w14:paraId="7BF09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F8F8F6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12" w:type="dxa"/>
            <w:noWrap/>
            <w:vAlign w:val="center"/>
          </w:tcPr>
          <w:p w14:paraId="59C4B7D3">
            <w:pPr>
              <w:spacing w:line="360" w:lineRule="auto"/>
              <w:contextualSpacing/>
              <w:jc w:val="left"/>
              <w:rPr>
                <w:rFonts w:ascii="宋体" w:hAnsi="宋体" w:cs="宋体"/>
                <w:color w:val="auto"/>
                <w:szCs w:val="21"/>
                <w:highlight w:val="none"/>
              </w:rPr>
            </w:pPr>
            <w:r>
              <w:rPr>
                <w:rFonts w:hint="eastAsia" w:ascii="宋体" w:hAnsi="宋体"/>
                <w:color w:val="auto"/>
                <w:szCs w:val="21"/>
                <w:highlight w:val="none"/>
              </w:rPr>
              <w:t>竞标报价是履行合同的最终价格，</w:t>
            </w:r>
            <w:r>
              <w:rPr>
                <w:rFonts w:hint="eastAsia" w:ascii="宋体" w:hAnsi="宋体" w:cs="宋体"/>
                <w:color w:val="auto"/>
                <w:szCs w:val="21"/>
                <w:highlight w:val="none"/>
              </w:rPr>
              <w:t>即满足全部采购需求所应提供的服务的价格；包括竞标服务的成本、运输（含保险）（如有）、技术服务、培训、税费等所有费用。</w:t>
            </w:r>
            <w:r>
              <w:rPr>
                <w:rFonts w:hint="eastAsia" w:ascii="宋体" w:hAnsi="宋体"/>
                <w:b/>
                <w:color w:val="auto"/>
                <w:szCs w:val="21"/>
                <w:highlight w:val="none"/>
              </w:rPr>
              <w:t>（采购需求另有约定的，从其约定）</w:t>
            </w:r>
          </w:p>
        </w:tc>
      </w:tr>
      <w:tr w14:paraId="22457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0DF16E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noWrap/>
            <w:vAlign w:val="center"/>
          </w:tcPr>
          <w:p w14:paraId="658EBF79">
            <w:pPr>
              <w:pStyle w:val="9"/>
              <w:widowControl w:val="0"/>
              <w:tabs>
                <w:tab w:val="clear" w:pos="454"/>
              </w:tabs>
              <w:snapToGrid w:val="0"/>
              <w:spacing w:afterLines="0" w:line="360" w:lineRule="auto"/>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120</w:t>
            </w:r>
            <w:r>
              <w:rPr>
                <w:rFonts w:hint="eastAsia" w:ascii="宋体" w:hAnsi="宋体" w:cs="宋体"/>
                <w:color w:val="auto"/>
                <w:kern w:val="2"/>
                <w:sz w:val="21"/>
                <w:szCs w:val="21"/>
                <w:highlight w:val="none"/>
              </w:rPr>
              <w:t>日。</w:t>
            </w:r>
          </w:p>
        </w:tc>
      </w:tr>
      <w:tr w14:paraId="4C8A7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A2D5BD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7912" w:type="dxa"/>
            <w:noWrap/>
            <w:vAlign w:val="center"/>
          </w:tcPr>
          <w:p w14:paraId="3BD7F766">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□本项目不收取磋商保证金。</w:t>
            </w:r>
          </w:p>
          <w:p w14:paraId="1BD6873D">
            <w:pPr>
              <w:snapToGrid w:val="0"/>
              <w:spacing w:line="360" w:lineRule="auto"/>
              <w:rPr>
                <w:rFonts w:ascii="宋体" w:hAnsi="宋体"/>
                <w:color w:val="auto"/>
                <w:szCs w:val="21"/>
                <w:highlight w:val="none"/>
              </w:rPr>
            </w:pPr>
            <w:r>
              <w:rPr>
                <w:rFonts w:hint="eastAsia" w:ascii="宋体" w:hAnsi="宋体"/>
                <w:color w:val="auto"/>
                <w:szCs w:val="21"/>
                <w:highlight w:val="none"/>
              </w:rPr>
              <w:t>☑本项目收取磋商保证金，具体规定如下：</w:t>
            </w:r>
          </w:p>
          <w:p w14:paraId="70DC1C19">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磋商保证金人民币</w:t>
            </w:r>
            <w:r>
              <w:rPr>
                <w:rFonts w:hint="eastAsia" w:ascii="宋体" w:hAnsi="宋体" w:cs="宋体"/>
                <w:color w:val="auto"/>
                <w:kern w:val="0"/>
                <w:szCs w:val="21"/>
                <w:highlight w:val="none"/>
                <w:u w:val="single"/>
              </w:rPr>
              <w:t>A分标捌仟元整（¥8000.00）；B分标柒仟元整（¥7000.00）</w:t>
            </w:r>
            <w:r>
              <w:rPr>
                <w:rFonts w:hint="eastAsia" w:ascii="宋体" w:hAnsi="宋体" w:cs="宋体"/>
                <w:color w:val="auto"/>
                <w:kern w:val="0"/>
                <w:szCs w:val="21"/>
                <w:highlight w:val="none"/>
              </w:rPr>
              <w:t>。</w:t>
            </w:r>
          </w:p>
          <w:p w14:paraId="7332985E">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磋商保证金的交纳方式：银行转账、支票、汇票、本票或者银行、保险机构出具的保函</w:t>
            </w:r>
            <w:r>
              <w:rPr>
                <w:rFonts w:hint="eastAsia"/>
                <w:color w:val="auto"/>
                <w:highlight w:val="none"/>
              </w:rPr>
              <w:t>（包含电子保函）</w:t>
            </w:r>
            <w:r>
              <w:rPr>
                <w:rFonts w:hint="eastAsia" w:ascii="宋体" w:hAnsi="宋体" w:cs="宋体"/>
                <w:color w:val="auto"/>
                <w:kern w:val="0"/>
                <w:szCs w:val="21"/>
                <w:highlight w:val="none"/>
              </w:rPr>
              <w:t>，禁止采用现钞方式。采用银行转账方式的，在响应文件提交截止时间前交至指定账户并且到账（开户银行：</w:t>
            </w:r>
            <w:r>
              <w:rPr>
                <w:rFonts w:hint="eastAsia" w:ascii="宋体" w:hAnsi="宋体" w:cs="宋体"/>
                <w:color w:val="auto"/>
                <w:kern w:val="0"/>
                <w:szCs w:val="21"/>
                <w:highlight w:val="none"/>
                <w:u w:val="single"/>
              </w:rPr>
              <w:t>中国银行南宁市民主支行（网银支付可选中国银行股份有限公司南宁分行）</w:t>
            </w:r>
            <w:r>
              <w:rPr>
                <w:rFonts w:hint="eastAsia" w:ascii="宋体" w:hAnsi="宋体" w:cs="宋体"/>
                <w:color w:val="auto"/>
                <w:kern w:val="0"/>
                <w:szCs w:val="21"/>
                <w:highlight w:val="none"/>
              </w:rPr>
              <w:t>，开户名称：</w:t>
            </w:r>
            <w:r>
              <w:rPr>
                <w:rFonts w:hint="eastAsia" w:ascii="宋体" w:hAnsi="宋体" w:cs="宋体"/>
                <w:color w:val="auto"/>
                <w:kern w:val="0"/>
                <w:szCs w:val="21"/>
                <w:highlight w:val="none"/>
                <w:u w:val="single"/>
              </w:rPr>
              <w:t>云之龙咨询集团有限公司</w:t>
            </w:r>
            <w:r>
              <w:rPr>
                <w:rFonts w:hint="eastAsia" w:ascii="宋体" w:hAnsi="宋体" w:cs="宋体"/>
                <w:color w:val="auto"/>
                <w:kern w:val="0"/>
                <w:szCs w:val="21"/>
                <w:highlight w:val="none"/>
              </w:rPr>
              <w:t>，银行账号：</w:t>
            </w:r>
            <w:r>
              <w:rPr>
                <w:rFonts w:ascii="宋体" w:hAnsi="宋体" w:cs="宋体"/>
                <w:color w:val="auto"/>
                <w:kern w:val="0"/>
                <w:szCs w:val="21"/>
                <w:highlight w:val="none"/>
                <w:u w:val="single"/>
              </w:rPr>
              <w:t>623661021638</w:t>
            </w:r>
            <w:r>
              <w:rPr>
                <w:rFonts w:hint="eastAsia" w:ascii="宋体" w:hAnsi="宋体" w:cs="宋体"/>
                <w:color w:val="auto"/>
                <w:kern w:val="0"/>
                <w:szCs w:val="21"/>
                <w:highlight w:val="none"/>
              </w:rPr>
              <w:t>）；采用支票、汇票、本票或者保函等方式的，在响应文件提交截止时间前，供应商必须提交单独密封的支票、汇票、本票或者保函原件。否则视为无效磋商保证金。</w:t>
            </w:r>
          </w:p>
          <w:p w14:paraId="684A219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相关要求：</w:t>
            </w:r>
          </w:p>
          <w:p w14:paraId="3F7752A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64292FA0">
            <w:pPr>
              <w:snapToGrid w:val="0"/>
              <w:spacing w:line="360" w:lineRule="auto"/>
              <w:rPr>
                <w:rFonts w:ascii="宋体" w:hAnsi="宋体"/>
                <w:color w:val="auto"/>
                <w:szCs w:val="21"/>
                <w:highlight w:val="none"/>
              </w:rPr>
            </w:pPr>
            <w:r>
              <w:rPr>
                <w:rFonts w:hint="eastAsia" w:ascii="宋体" w:hAnsi="宋体"/>
                <w:color w:val="auto"/>
                <w:szCs w:val="21"/>
                <w:highlight w:val="none"/>
              </w:rPr>
              <w:t>2.磋商保证金采用支票、汇票、本票或者银行、保险机构出具的保函</w:t>
            </w:r>
            <w:r>
              <w:rPr>
                <w:rFonts w:hint="eastAsia"/>
                <w:color w:val="auto"/>
                <w:highlight w:val="none"/>
              </w:rPr>
              <w:t>（包含电子保函）</w:t>
            </w:r>
            <w:r>
              <w:rPr>
                <w:rFonts w:hint="eastAsia" w:ascii="宋体" w:hAnsi="宋体"/>
                <w:color w:val="auto"/>
                <w:szCs w:val="21"/>
                <w:highlight w:val="none"/>
              </w:rPr>
              <w:t>交纳方式的，供应商应将支票、汇票、本票或者银行、保险机构出具的保函</w:t>
            </w:r>
            <w:r>
              <w:rPr>
                <w:rFonts w:hint="eastAsia"/>
                <w:color w:val="auto"/>
                <w:highlight w:val="none"/>
              </w:rPr>
              <w:t>（包含电子保函）</w:t>
            </w:r>
            <w:r>
              <w:rPr>
                <w:rFonts w:hint="eastAsia" w:ascii="宋体" w:hAnsi="宋体"/>
                <w:color w:val="auto"/>
                <w:szCs w:val="21"/>
                <w:highlight w:val="none"/>
              </w:rPr>
              <w:t>的复印件作为磋商保证金提交凭证，放置于</w:t>
            </w:r>
            <w:r>
              <w:rPr>
                <w:rFonts w:hint="eastAsia" w:ascii="宋体" w:hAnsi="宋体" w:cs="宋体"/>
                <w:color w:val="auto"/>
                <w:szCs w:val="21"/>
                <w:highlight w:val="none"/>
              </w:rPr>
              <w:t>商务技术文件</w:t>
            </w:r>
            <w:r>
              <w:rPr>
                <w:rFonts w:hint="eastAsia" w:ascii="宋体" w:hAnsi="宋体"/>
                <w:color w:val="auto"/>
                <w:szCs w:val="21"/>
                <w:highlight w:val="none"/>
              </w:rPr>
              <w:t>中，</w:t>
            </w:r>
            <w:r>
              <w:rPr>
                <w:rFonts w:hint="eastAsia" w:ascii="宋体" w:hAnsi="宋体" w:cs="宋体"/>
                <w:b/>
                <w:color w:val="auto"/>
                <w:szCs w:val="21"/>
                <w:highlight w:val="none"/>
              </w:rPr>
              <w:t>否则响应文件按无效</w:t>
            </w:r>
            <w:r>
              <w:rPr>
                <w:rFonts w:hint="eastAsia" w:ascii="宋体" w:hAnsi="宋体"/>
                <w:color w:val="auto"/>
                <w:szCs w:val="21"/>
                <w:highlight w:val="none"/>
              </w:rPr>
              <w:t>处理。供应商必须在响应文件提交截止时间前采用现场或邮寄方式（现场提交地址：</w:t>
            </w:r>
            <w:r>
              <w:rPr>
                <w:rFonts w:hint="eastAsia" w:ascii="宋体" w:hAnsi="宋体"/>
                <w:color w:val="auto"/>
                <w:szCs w:val="21"/>
                <w:highlight w:val="none"/>
                <w:u w:val="single"/>
              </w:rPr>
              <w:t>广西南宁市良庆区云英路15号3号楼云之龙咨询集团大厦4楼</w:t>
            </w:r>
            <w:r>
              <w:rPr>
                <w:rFonts w:hint="eastAsia" w:ascii="宋体" w:hAnsi="宋体"/>
                <w:color w:val="auto"/>
                <w:szCs w:val="21"/>
                <w:highlight w:val="none"/>
              </w:rPr>
              <w:t xml:space="preserve">；邮寄地址： </w:t>
            </w:r>
            <w:r>
              <w:rPr>
                <w:rFonts w:hint="eastAsia" w:ascii="宋体" w:hAnsi="宋体"/>
                <w:color w:val="auto"/>
                <w:szCs w:val="21"/>
                <w:highlight w:val="none"/>
                <w:u w:val="single"/>
              </w:rPr>
              <w:t>广西南宁市良庆区云英路15号3号楼云之龙咨询集团大厦6楼</w:t>
            </w:r>
            <w:r>
              <w:rPr>
                <w:rFonts w:hint="eastAsia" w:ascii="宋体" w:hAnsi="宋体"/>
                <w:color w:val="auto"/>
                <w:szCs w:val="21"/>
                <w:highlight w:val="none"/>
              </w:rPr>
              <w:t>，收件人：</w:t>
            </w:r>
            <w:r>
              <w:rPr>
                <w:rFonts w:hint="eastAsia" w:ascii="宋体" w:hAnsi="宋体"/>
                <w:color w:val="auto"/>
                <w:szCs w:val="21"/>
                <w:highlight w:val="none"/>
                <w:u w:val="single"/>
              </w:rPr>
              <w:t>陈春华，联系方式：0771-2618118、2611889、2611898</w:t>
            </w:r>
            <w:r>
              <w:rPr>
                <w:rFonts w:hint="eastAsia" w:ascii="宋体" w:hAnsi="宋体"/>
                <w:color w:val="auto"/>
                <w:szCs w:val="21"/>
                <w:highlight w:val="none"/>
              </w:rPr>
              <w:t>）将单独</w:t>
            </w:r>
            <w:r>
              <w:rPr>
                <w:rFonts w:hint="eastAsia" w:ascii="宋体" w:hAnsi="宋体" w:cs="宋体"/>
                <w:color w:val="auto"/>
                <w:kern w:val="0"/>
                <w:szCs w:val="21"/>
                <w:highlight w:val="none"/>
              </w:rPr>
              <w:t>密封的</w:t>
            </w:r>
            <w:r>
              <w:rPr>
                <w:rFonts w:hint="eastAsia" w:ascii="宋体" w:hAnsi="宋体"/>
                <w:color w:val="auto"/>
                <w:szCs w:val="21"/>
                <w:highlight w:val="none"/>
              </w:rPr>
              <w:t>支票、汇票、本票或者银行、保险机构出具的保函原件提交给采购人或者采购代理机构，由采购人或者采购代理机构向供应商出具回执（邮寄方式的除外），并妥善保管。</w:t>
            </w:r>
          </w:p>
          <w:p w14:paraId="227D6013">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3.供应商为联合体的，可以由联合体中的一方或者多方共同交纳磋商保证金，其交纳的保证金对联合体各方均具有约束力。</w:t>
            </w:r>
          </w:p>
          <w:p w14:paraId="30624D33">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备注： </w:t>
            </w:r>
          </w:p>
          <w:p w14:paraId="49E28038">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1.磋商保证金在响应文件提交截止时间后提交的，或者不按规定交纳方式交纳的，或者未足额交纳的（包含保函额度不足的），视为无效磋商保证金。</w:t>
            </w:r>
          </w:p>
          <w:p w14:paraId="49364142">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2.供应商采用现钞方式或者从个人账户（自然人竞标除外）转出的磋商保证金，视为无效磋商保证金。</w:t>
            </w:r>
          </w:p>
          <w:p w14:paraId="43DF1811">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3.支票、汇票或者本票出现无效或者背书情形的，视为无效磋商保证金。</w:t>
            </w:r>
          </w:p>
          <w:p w14:paraId="239B5B14">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4.保函有效期低于竞标有效期的，视为无效磋商保证金。</w:t>
            </w:r>
          </w:p>
          <w:p w14:paraId="4AF2896B">
            <w:pPr>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5.采用银行、保险机构出具保函的，必须为无条件保函，否则视为无效磋商保证金。</w:t>
            </w:r>
          </w:p>
        </w:tc>
      </w:tr>
      <w:tr w14:paraId="3506A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F91BA44">
            <w:pPr>
              <w:spacing w:line="360" w:lineRule="auto"/>
              <w:jc w:val="center"/>
              <w:rPr>
                <w:rFonts w:ascii="宋体" w:hAnsi="宋体" w:cs="宋体"/>
                <w:color w:val="auto"/>
                <w:szCs w:val="21"/>
                <w:highlight w:val="none"/>
              </w:rPr>
            </w:pPr>
            <w:r>
              <w:rPr>
                <w:rFonts w:ascii="宋体" w:hAnsi="宋体" w:cs="宋体"/>
                <w:color w:val="auto"/>
                <w:szCs w:val="21"/>
                <w:highlight w:val="none"/>
              </w:rPr>
              <w:t>19</w:t>
            </w:r>
          </w:p>
        </w:tc>
        <w:tc>
          <w:tcPr>
            <w:tcW w:w="7912" w:type="dxa"/>
            <w:noWrap/>
            <w:vAlign w:val="center"/>
          </w:tcPr>
          <w:p w14:paraId="707FDC04">
            <w:pPr>
              <w:autoSpaceDE w:val="0"/>
              <w:autoSpaceDN w:val="0"/>
              <w:adjustRightInd w:val="0"/>
              <w:spacing w:line="360" w:lineRule="auto"/>
              <w:textAlignment w:val="bottom"/>
              <w:rPr>
                <w:rFonts w:ascii="宋体" w:hAnsi="宋体" w:cs="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14:paraId="631A0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302AF4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12" w:type="dxa"/>
            <w:noWrap/>
            <w:vAlign w:val="center"/>
          </w:tcPr>
          <w:p w14:paraId="2461B1FD">
            <w:pPr>
              <w:spacing w:line="360" w:lineRule="auto"/>
              <w:contextualSpacing/>
              <w:jc w:val="left"/>
              <w:rPr>
                <w:rFonts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w:t>
            </w:r>
          </w:p>
          <w:p w14:paraId="518A0E65">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响应文件提交地点：详见竞争性磋商公告。</w:t>
            </w:r>
          </w:p>
        </w:tc>
      </w:tr>
      <w:tr w14:paraId="44A81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8F7DB4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912" w:type="dxa"/>
            <w:noWrap/>
            <w:vAlign w:val="center"/>
          </w:tcPr>
          <w:p w14:paraId="56D59AD0">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 xml:space="preserve">磋商小组的人数： </w:t>
            </w:r>
            <w:r>
              <w:rPr>
                <w:rFonts w:hint="eastAsia" w:ascii="宋体" w:hAnsi="宋体" w:cs="宋体"/>
                <w:color w:val="auto"/>
                <w:szCs w:val="21"/>
                <w:highlight w:val="none"/>
                <w:u w:val="single"/>
              </w:rPr>
              <w:t xml:space="preserve"> 3</w:t>
            </w:r>
            <w:r>
              <w:rPr>
                <w:rFonts w:hint="eastAsia" w:ascii="宋体" w:hAnsi="宋体" w:cs="宋体"/>
                <w:color w:val="auto"/>
                <w:szCs w:val="21"/>
                <w:highlight w:val="none"/>
              </w:rPr>
              <w:t>人或以上单数。</w:t>
            </w:r>
          </w:p>
        </w:tc>
      </w:tr>
      <w:tr w14:paraId="04185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139E34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noWrap/>
            <w:vAlign w:val="center"/>
          </w:tcPr>
          <w:p w14:paraId="6B5F8D6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p w14:paraId="1E839BA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首次响应文件解密时间：</w:t>
            </w:r>
            <w:r>
              <w:rPr>
                <w:rFonts w:hint="eastAsia" w:hAnsi="宋体"/>
                <w:color w:val="auto"/>
                <w:highlight w:val="none"/>
                <w:u w:val="single"/>
              </w:rPr>
              <w:t>45</w:t>
            </w:r>
            <w:r>
              <w:rPr>
                <w:rFonts w:hint="eastAsia" w:hAnsi="宋体"/>
                <w:color w:val="auto"/>
                <w:highlight w:val="none"/>
              </w:rPr>
              <w:t>分钟</w:t>
            </w:r>
          </w:p>
        </w:tc>
      </w:tr>
      <w:tr w14:paraId="45DE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noWrap/>
            <w:vAlign w:val="center"/>
          </w:tcPr>
          <w:p w14:paraId="40EA9EF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6.3</w:t>
            </w:r>
          </w:p>
        </w:tc>
        <w:tc>
          <w:tcPr>
            <w:tcW w:w="7912" w:type="dxa"/>
            <w:noWrap/>
            <w:vAlign w:val="center"/>
          </w:tcPr>
          <w:p w14:paraId="072F201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p w14:paraId="3271BB2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tc>
      </w:tr>
      <w:tr w14:paraId="34097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F063B0A">
            <w:pPr>
              <w:spacing w:line="360" w:lineRule="auto"/>
              <w:jc w:val="center"/>
              <w:rPr>
                <w:rFonts w:ascii="宋体" w:hAnsi="宋体" w:cs="宋体"/>
                <w:color w:val="auto"/>
                <w:szCs w:val="21"/>
                <w:highlight w:val="none"/>
              </w:rPr>
            </w:pPr>
            <w:r>
              <w:rPr>
                <w:rFonts w:ascii="宋体" w:hAnsi="宋体" w:cs="宋体"/>
                <w:color w:val="auto"/>
                <w:szCs w:val="21"/>
                <w:highlight w:val="none"/>
              </w:rPr>
              <w:t>28.1</w:t>
            </w:r>
          </w:p>
        </w:tc>
        <w:tc>
          <w:tcPr>
            <w:tcW w:w="7912" w:type="dxa"/>
            <w:noWrap/>
            <w:vAlign w:val="center"/>
          </w:tcPr>
          <w:p w14:paraId="58B34738">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☑本项目不收取履约保证金。</w:t>
            </w:r>
          </w:p>
          <w:p w14:paraId="2EA4FA37">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□本项目收取履约保证金，具体规定如下：</w:t>
            </w:r>
          </w:p>
          <w:p w14:paraId="065E2B3A">
            <w:pPr>
              <w:autoSpaceDE w:val="0"/>
              <w:autoSpaceDN w:val="0"/>
              <w:snapToGrid w:val="0"/>
              <w:spacing w:line="360" w:lineRule="auto"/>
              <w:textAlignment w:val="bottom"/>
              <w:rPr>
                <w:rFonts w:ascii="宋体" w:hAnsi="宋体"/>
                <w:color w:val="auto"/>
                <w:szCs w:val="21"/>
                <w:highlight w:val="none"/>
              </w:rPr>
            </w:pPr>
            <w:r>
              <w:rPr>
                <w:rFonts w:hint="eastAsia" w:ascii="宋体" w:hAnsi="宋体" w:cs="宋体"/>
                <w:color w:val="auto"/>
                <w:szCs w:val="21"/>
                <w:highlight w:val="none"/>
              </w:rPr>
              <w:t>履约保证金金额：按成交金额的</w:t>
            </w:r>
            <w:r>
              <w:rPr>
                <w:rFonts w:hint="eastAsia" w:ascii="宋体" w:hAnsi="宋体" w:cs="宋体"/>
                <w:color w:val="auto"/>
                <w:szCs w:val="21"/>
                <w:highlight w:val="none"/>
                <w:u w:val="single"/>
              </w:rPr>
              <w:t>2</w:t>
            </w:r>
            <w:r>
              <w:rPr>
                <w:rFonts w:hint="eastAsia" w:ascii="宋体" w:hAnsi="宋体" w:cs="宋体"/>
                <w:color w:val="auto"/>
                <w:szCs w:val="21"/>
                <w:highlight w:val="none"/>
              </w:rPr>
              <w:t>%</w:t>
            </w:r>
            <w:r>
              <w:rPr>
                <w:rFonts w:hint="eastAsia" w:ascii="宋体" w:hAnsi="宋体"/>
                <w:color w:val="auto"/>
                <w:szCs w:val="21"/>
                <w:highlight w:val="none"/>
              </w:rPr>
              <w:t>。</w:t>
            </w:r>
          </w:p>
          <w:p w14:paraId="76759DEC">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履约保证金提交方式：银行转账、支票、汇票、本票或者银行、保险机构出具的保函等非现金方式。</w:t>
            </w:r>
          </w:p>
          <w:p w14:paraId="51B80828">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履约保证金缴纳期限：</w:t>
            </w:r>
            <w:r>
              <w:rPr>
                <w:rFonts w:hint="eastAsia" w:ascii="宋体" w:hAnsi="宋体" w:cs="宋体"/>
                <w:color w:val="auto"/>
                <w:szCs w:val="21"/>
                <w:highlight w:val="none"/>
              </w:rPr>
              <w:t>/</w:t>
            </w:r>
            <w:r>
              <w:rPr>
                <w:rFonts w:hint="eastAsia" w:ascii="宋体" w:hAnsi="宋体"/>
                <w:color w:val="auto"/>
                <w:szCs w:val="21"/>
                <w:highlight w:val="none"/>
              </w:rPr>
              <w:t>。</w:t>
            </w:r>
          </w:p>
          <w:p w14:paraId="7555B6DD">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履约保证金退付方式、时间及条件：服务期满验收完成后无息退付。履约保证金退付方式同磋商保证金退付方式。</w:t>
            </w:r>
          </w:p>
          <w:p w14:paraId="18911D73">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由成交供应商向履约保证金收取单位提供《广西壮族自治区政府采购项目合同验收书》（详见桂财采〔2015〕22号），保证金收取单位在收到合格材料后5个工作日内办理退还手续（不计利息）。</w:t>
            </w:r>
          </w:p>
          <w:p w14:paraId="099A304C">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履约保证金指定账户：</w:t>
            </w:r>
          </w:p>
          <w:p w14:paraId="474A686D">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开户名称：</w:t>
            </w:r>
            <w:r>
              <w:rPr>
                <w:rFonts w:hint="eastAsia" w:ascii="宋体" w:hAnsi="宋体" w:cs="宋体"/>
                <w:color w:val="auto"/>
                <w:szCs w:val="21"/>
                <w:highlight w:val="none"/>
                <w:u w:val="single"/>
              </w:rPr>
              <w:t>成交后提供</w:t>
            </w:r>
          </w:p>
          <w:p w14:paraId="42CD6429">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成交后提供</w:t>
            </w:r>
          </w:p>
          <w:p w14:paraId="4BE4F71C">
            <w:pPr>
              <w:spacing w:line="360" w:lineRule="auto"/>
              <w:contextualSpacing/>
              <w:rPr>
                <w:rFonts w:ascii="宋体" w:hAnsi="宋体" w:cs="宋体"/>
                <w:color w:val="auto"/>
                <w:szCs w:val="21"/>
                <w:highlight w:val="none"/>
                <w:u w:val="single"/>
              </w:rPr>
            </w:pPr>
            <w:r>
              <w:rPr>
                <w:rFonts w:hint="eastAsia" w:ascii="宋体" w:hAnsi="宋体" w:cs="宋体"/>
                <w:color w:val="auto"/>
                <w:szCs w:val="21"/>
                <w:highlight w:val="none"/>
              </w:rPr>
              <w:t>银行账号：</w:t>
            </w:r>
            <w:r>
              <w:rPr>
                <w:rFonts w:hint="eastAsia" w:ascii="宋体" w:hAnsi="宋体" w:cs="宋体"/>
                <w:color w:val="auto"/>
                <w:szCs w:val="21"/>
                <w:highlight w:val="none"/>
                <w:u w:val="single"/>
              </w:rPr>
              <w:t>成交后提供</w:t>
            </w:r>
          </w:p>
          <w:p w14:paraId="0D7F2595">
            <w:pPr>
              <w:spacing w:line="360" w:lineRule="auto"/>
              <w:contextualSpacing/>
              <w:rPr>
                <w:rFonts w:ascii="宋体" w:hAnsi="宋体" w:cs="宋体"/>
                <w:b/>
                <w:color w:val="auto"/>
                <w:kern w:val="0"/>
                <w:sz w:val="24"/>
                <w:highlight w:val="none"/>
              </w:rPr>
            </w:pPr>
            <w:r>
              <w:rPr>
                <w:rFonts w:hint="eastAsia" w:ascii="宋体" w:hAnsi="宋体" w:cs="宋体"/>
                <w:color w:val="auto"/>
                <w:szCs w:val="21"/>
                <w:highlight w:val="none"/>
              </w:rPr>
              <w:t>备注：</w:t>
            </w:r>
            <w:r>
              <w:rPr>
                <w:rFonts w:hint="eastAsia" w:ascii="宋体" w:hAnsi="宋体" w:cs="宋体"/>
                <w:color w:val="auto"/>
                <w:szCs w:val="21"/>
                <w:highlight w:val="none"/>
              </w:rPr>
              <w:br w:type="textWrapping"/>
            </w:r>
            <w:r>
              <w:rPr>
                <w:rFonts w:hint="eastAsia" w:ascii="宋体" w:hAnsi="宋体" w:cs="宋体"/>
                <w:b/>
                <w:color w:val="auto"/>
                <w:szCs w:val="21"/>
                <w:highlight w:val="none"/>
              </w:rPr>
              <w:t>1</w:t>
            </w:r>
            <w:r>
              <w:rPr>
                <w:rFonts w:ascii="宋体" w:hAnsi="宋体" w:cs="宋体"/>
                <w:b/>
                <w:color w:val="auto"/>
                <w:szCs w:val="21"/>
                <w:highlight w:val="none"/>
              </w:rPr>
              <w:t>.</w:t>
            </w:r>
            <w:bookmarkStart w:id="64" w:name="_Hlk54170335"/>
            <w:r>
              <w:rPr>
                <w:rFonts w:hint="eastAsia" w:ascii="宋体" w:hAnsi="宋体"/>
                <w:b/>
                <w:color w:val="auto"/>
                <w:szCs w:val="21"/>
                <w:highlight w:val="none"/>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r>
              <w:rPr>
                <w:rFonts w:hint="eastAsia" w:ascii="宋体" w:hAnsi="宋体" w:cs="宋体"/>
                <w:b/>
                <w:color w:val="auto"/>
                <w:kern w:val="0"/>
                <w:sz w:val="24"/>
                <w:highlight w:val="none"/>
              </w:rPr>
              <w:t>。</w:t>
            </w:r>
            <w:bookmarkEnd w:id="64"/>
          </w:p>
          <w:p w14:paraId="191309A0">
            <w:pPr>
              <w:spacing w:line="360" w:lineRule="auto"/>
              <w:contextualSpacing/>
              <w:rPr>
                <w:rFonts w:ascii="宋体" w:hAnsi="宋体" w:cs="宋体"/>
                <w:b/>
                <w:color w:val="auto"/>
                <w:szCs w:val="21"/>
                <w:highlight w:val="none"/>
              </w:rPr>
            </w:pPr>
            <w:r>
              <w:rPr>
                <w:rFonts w:hint="eastAsia" w:ascii="宋体" w:hAnsi="宋体" w:cs="宋体"/>
                <w:b/>
                <w:color w:val="auto"/>
                <w:szCs w:val="21"/>
                <w:highlight w:val="none"/>
              </w:rPr>
              <w:t>2</w:t>
            </w:r>
            <w:r>
              <w:rPr>
                <w:rFonts w:ascii="宋体" w:hAnsi="宋体" w:cs="宋体"/>
                <w:b/>
                <w:color w:val="auto"/>
                <w:szCs w:val="21"/>
                <w:highlight w:val="none"/>
              </w:rPr>
              <w:t>.</w:t>
            </w:r>
            <w:r>
              <w:rPr>
                <w:rFonts w:hint="eastAsia" w:ascii="宋体" w:hAnsi="宋体"/>
                <w:b/>
                <w:color w:val="auto"/>
                <w:szCs w:val="21"/>
                <w:highlight w:val="none"/>
              </w:rPr>
              <w:t xml:space="preserve"> 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hint="eastAsia" w:ascii="宋体" w:hAnsi="宋体" w:cs="宋体"/>
                <w:b/>
                <w:color w:val="auto"/>
                <w:szCs w:val="21"/>
                <w:highlight w:val="none"/>
              </w:rPr>
              <w:br w:type="textWrapping"/>
            </w:r>
            <w:r>
              <w:rPr>
                <w:rFonts w:ascii="宋体" w:hAnsi="宋体" w:cs="宋体"/>
                <w:b/>
                <w:color w:val="auto"/>
                <w:szCs w:val="21"/>
                <w:highlight w:val="none"/>
              </w:rPr>
              <w:t>3.</w:t>
            </w:r>
            <w:r>
              <w:rPr>
                <w:rFonts w:hint="eastAsia" w:ascii="宋体" w:hAnsi="宋体" w:cs="宋体"/>
                <w:b/>
                <w:color w:val="auto"/>
                <w:szCs w:val="21"/>
                <w:highlight w:val="none"/>
              </w:rPr>
              <w:t>采用银行、保险机构出具的保函的，必须为无条件保函，否则不予签订合同。</w:t>
            </w:r>
          </w:p>
          <w:p w14:paraId="03C73E47">
            <w:pPr>
              <w:snapToGrid w:val="0"/>
              <w:spacing w:line="360" w:lineRule="auto"/>
              <w:rPr>
                <w:rFonts w:ascii="宋体" w:hAnsi="宋体" w:cs="宋体"/>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供应商为联合体的，由联合体任意一方按规定提交的履约保证金，视为有效履约保证金。</w:t>
            </w:r>
          </w:p>
        </w:tc>
      </w:tr>
      <w:tr w14:paraId="4A8A7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53A4A902">
            <w:pPr>
              <w:spacing w:line="360" w:lineRule="auto"/>
              <w:jc w:val="center"/>
              <w:rPr>
                <w:rFonts w:ascii="宋体" w:hAnsi="宋体" w:cs="宋体"/>
                <w:color w:val="auto"/>
                <w:szCs w:val="21"/>
                <w:highlight w:val="none"/>
              </w:rPr>
            </w:pPr>
            <w:r>
              <w:rPr>
                <w:rFonts w:ascii="宋体" w:hAnsi="宋体" w:cs="宋体"/>
                <w:color w:val="auto"/>
                <w:szCs w:val="21"/>
                <w:highlight w:val="none"/>
              </w:rPr>
              <w:t>29.1</w:t>
            </w:r>
          </w:p>
        </w:tc>
        <w:tc>
          <w:tcPr>
            <w:tcW w:w="7912" w:type="dxa"/>
            <w:noWrap/>
            <w:vAlign w:val="center"/>
          </w:tcPr>
          <w:p w14:paraId="0E0C9D5D">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14:paraId="358A1D48">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1B9CE3B2">
            <w:pPr>
              <w:snapToGrid w:val="0"/>
              <w:spacing w:line="360" w:lineRule="auto"/>
              <w:rPr>
                <w:rFonts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61B26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B6B21D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noWrap/>
            <w:vAlign w:val="center"/>
          </w:tcPr>
          <w:p w14:paraId="0533615C">
            <w:pPr>
              <w:snapToGrid w:val="0"/>
              <w:spacing w:line="360" w:lineRule="auto"/>
              <w:rPr>
                <w:rFonts w:ascii="宋体" w:hAnsi="宋体"/>
                <w:color w:val="auto"/>
                <w:szCs w:val="21"/>
                <w:highlight w:val="none"/>
              </w:rPr>
            </w:pPr>
            <w:r>
              <w:rPr>
                <w:rFonts w:hint="eastAsia" w:ascii="宋体" w:hAnsi="宋体"/>
                <w:color w:val="auto"/>
                <w:szCs w:val="21"/>
                <w:highlight w:val="none"/>
              </w:rPr>
              <w:t>接收质疑函方式：以书面形式。</w:t>
            </w:r>
          </w:p>
          <w:p w14:paraId="401E8643">
            <w:pPr>
              <w:snapToGrid w:val="0"/>
              <w:spacing w:line="360" w:lineRule="auto"/>
              <w:rPr>
                <w:rFonts w:ascii="宋体" w:hAnsi="宋体"/>
                <w:color w:val="auto"/>
                <w:szCs w:val="21"/>
                <w:highlight w:val="none"/>
              </w:rPr>
            </w:pPr>
            <w:r>
              <w:rPr>
                <w:rFonts w:hint="eastAsia" w:ascii="宋体" w:hAnsi="宋体"/>
                <w:color w:val="auto"/>
                <w:szCs w:val="21"/>
                <w:highlight w:val="none"/>
              </w:rPr>
              <w:t>质疑联系部门及联系方式：</w:t>
            </w:r>
            <w:r>
              <w:rPr>
                <w:rFonts w:hint="eastAsia" w:ascii="宋体" w:hAnsi="宋体"/>
                <w:color w:val="auto"/>
                <w:szCs w:val="21"/>
                <w:highlight w:val="none"/>
                <w:u w:val="single"/>
              </w:rPr>
              <w:t>云之龙咨询集团有限公司</w:t>
            </w:r>
            <w:r>
              <w:rPr>
                <w:rFonts w:hint="eastAsia" w:ascii="宋体" w:hAnsi="宋体"/>
                <w:color w:val="auto"/>
                <w:szCs w:val="21"/>
                <w:highlight w:val="none"/>
              </w:rPr>
              <w:t>，联系电话：</w:t>
            </w:r>
            <w:r>
              <w:rPr>
                <w:rFonts w:hint="eastAsia" w:ascii="宋体" w:hAnsi="宋体"/>
                <w:color w:val="auto"/>
                <w:szCs w:val="21"/>
                <w:highlight w:val="none"/>
                <w:u w:val="single"/>
              </w:rPr>
              <w:t>0771-2618118、2611889、2611898</w:t>
            </w:r>
            <w:r>
              <w:rPr>
                <w:rFonts w:hint="eastAsia" w:ascii="宋体" w:hAnsi="宋体"/>
                <w:color w:val="auto"/>
                <w:szCs w:val="21"/>
                <w:highlight w:val="none"/>
              </w:rPr>
              <w:t>，通讯地址：</w:t>
            </w:r>
            <w:r>
              <w:rPr>
                <w:rFonts w:hint="eastAsia" w:ascii="宋体" w:hAnsi="宋体"/>
                <w:color w:val="auto"/>
                <w:szCs w:val="21"/>
                <w:highlight w:val="none"/>
                <w:u w:val="single"/>
              </w:rPr>
              <w:t>广西南宁市良庆区云英路15号3号楼云之龙咨询集团大厦6楼</w:t>
            </w:r>
            <w:r>
              <w:rPr>
                <w:rFonts w:hint="eastAsia" w:ascii="宋体" w:hAnsi="宋体"/>
                <w:color w:val="auto"/>
                <w:szCs w:val="21"/>
                <w:highlight w:val="none"/>
              </w:rPr>
              <w:t>。</w:t>
            </w:r>
          </w:p>
          <w:p w14:paraId="041BC7A6">
            <w:pPr>
              <w:pStyle w:val="15"/>
              <w:snapToGrid w:val="0"/>
              <w:spacing w:line="360" w:lineRule="auto"/>
              <w:rPr>
                <w:rFonts w:hAnsi="宋体"/>
                <w:color w:val="auto"/>
                <w:highlight w:val="none"/>
                <w:lang w:val="en-US" w:eastAsia="zh-CN"/>
              </w:rPr>
            </w:pPr>
            <w:r>
              <w:rPr>
                <w:rFonts w:hint="eastAsia" w:hAnsi="宋体"/>
                <w:color w:val="auto"/>
                <w:highlight w:val="none"/>
                <w:lang w:val="en-US" w:eastAsia="zh-CN"/>
              </w:rPr>
              <w:t>业务时间：工作日每天上午8时00分到12时00分，下午3时00分到6时00分。</w:t>
            </w:r>
          </w:p>
        </w:tc>
      </w:tr>
      <w:tr w14:paraId="361BF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6BFFB22">
            <w:pPr>
              <w:spacing w:line="360" w:lineRule="auto"/>
              <w:jc w:val="center"/>
              <w:rPr>
                <w:rFonts w:ascii="宋体" w:hAnsi="宋体" w:cs="宋体"/>
                <w:color w:val="auto"/>
                <w:szCs w:val="21"/>
                <w:highlight w:val="none"/>
              </w:rPr>
            </w:pPr>
            <w:r>
              <w:rPr>
                <w:rFonts w:ascii="宋体" w:hAnsi="宋体" w:cs="宋体"/>
                <w:color w:val="auto"/>
                <w:szCs w:val="21"/>
                <w:highlight w:val="none"/>
              </w:rPr>
              <w:t>32.1</w:t>
            </w:r>
          </w:p>
        </w:tc>
        <w:tc>
          <w:tcPr>
            <w:tcW w:w="7912" w:type="dxa"/>
            <w:noWrap/>
            <w:vAlign w:val="center"/>
          </w:tcPr>
          <w:p w14:paraId="7A76926D">
            <w:pPr>
              <w:pStyle w:val="15"/>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1.采购代理费支付方式：</w:t>
            </w:r>
          </w:p>
          <w:p w14:paraId="4C111EDD">
            <w:pPr>
              <w:pStyle w:val="15"/>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☑本项目代理服务费由</w:t>
            </w:r>
            <w:r>
              <w:rPr>
                <w:rFonts w:hint="eastAsia" w:hAnsi="宋体" w:cs="宋体"/>
                <w:color w:val="auto"/>
                <w:sz w:val="21"/>
                <w:highlight w:val="none"/>
                <w:u w:val="single"/>
                <w:lang w:val="en-US" w:eastAsia="zh-CN"/>
              </w:rPr>
              <w:t>成交供应商</w:t>
            </w:r>
            <w:r>
              <w:rPr>
                <w:rFonts w:hint="eastAsia" w:hAnsi="宋体" w:cs="宋体"/>
                <w:color w:val="auto"/>
                <w:sz w:val="21"/>
                <w:highlight w:val="none"/>
                <w:lang w:val="en-US" w:eastAsia="zh-CN"/>
              </w:rPr>
              <w:t>一次性向采购代理机构支付。</w:t>
            </w:r>
          </w:p>
          <w:p w14:paraId="787CF071">
            <w:pPr>
              <w:pStyle w:val="15"/>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□采购人支付。</w:t>
            </w:r>
          </w:p>
          <w:p w14:paraId="7C682812">
            <w:pPr>
              <w:pStyle w:val="15"/>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2.采购代理费收取标准：</w:t>
            </w:r>
          </w:p>
          <w:p w14:paraId="089EAFC2">
            <w:pPr>
              <w:pStyle w:val="15"/>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☑以分标（☑成交金额/□采购预算/□暂定成交金额/□其他）为计费额，按本须知正文第</w:t>
            </w:r>
            <w:r>
              <w:rPr>
                <w:rFonts w:hAnsi="宋体" w:cs="宋体"/>
                <w:color w:val="auto"/>
                <w:sz w:val="21"/>
                <w:highlight w:val="none"/>
                <w:lang w:val="en-US" w:eastAsia="zh-CN"/>
              </w:rPr>
              <w:t>32</w:t>
            </w:r>
            <w:r>
              <w:rPr>
                <w:rFonts w:hint="eastAsia" w:hAnsi="宋体" w:cs="宋体"/>
                <w:color w:val="auto"/>
                <w:sz w:val="21"/>
                <w:highlight w:val="none"/>
                <w:lang w:val="en-US" w:eastAsia="zh-CN"/>
              </w:rPr>
              <w:t>.</w:t>
            </w:r>
            <w:r>
              <w:rPr>
                <w:rFonts w:hAnsi="宋体" w:cs="宋体"/>
                <w:color w:val="auto"/>
                <w:sz w:val="21"/>
                <w:highlight w:val="none"/>
                <w:lang w:val="en-US" w:eastAsia="zh-CN"/>
              </w:rPr>
              <w:t>2</w:t>
            </w:r>
            <w:r>
              <w:rPr>
                <w:rFonts w:hint="eastAsia" w:hAnsi="宋体" w:cs="宋体"/>
                <w:color w:val="auto"/>
                <w:sz w:val="21"/>
                <w:highlight w:val="none"/>
                <w:lang w:val="en-US" w:eastAsia="zh-CN"/>
              </w:rPr>
              <w:t>条规定的收费计算标准（□货物类/☑服务类/□工程类）采用差额定率累进法计算出收费基准价格，采购代理收费以（□收费基准价格/☑收费基准价格下浮</w:t>
            </w:r>
            <w:r>
              <w:rPr>
                <w:rFonts w:hint="eastAsia" w:hAnsi="宋体" w:cs="宋体"/>
                <w:color w:val="auto"/>
                <w:sz w:val="21"/>
                <w:highlight w:val="none"/>
                <w:u w:val="single"/>
                <w:lang w:val="en-US" w:eastAsia="zh-CN"/>
              </w:rPr>
              <w:t>15%</w:t>
            </w:r>
            <w:r>
              <w:rPr>
                <w:rFonts w:hAnsi="宋体" w:cs="宋体"/>
                <w:color w:val="auto"/>
                <w:sz w:val="21"/>
                <w:highlight w:val="none"/>
                <w:lang w:val="en-US" w:eastAsia="zh-CN"/>
              </w:rPr>
              <w:t>/</w:t>
            </w:r>
            <w:r>
              <w:rPr>
                <w:rFonts w:hint="eastAsia" w:hAnsi="宋体" w:cs="宋体"/>
                <w:color w:val="auto"/>
                <w:sz w:val="21"/>
                <w:highlight w:val="none"/>
                <w:lang w:val="en-US" w:eastAsia="zh-CN"/>
              </w:rPr>
              <w:t>□收费基准价格上浮</w:t>
            </w:r>
            <w:r>
              <w:rPr>
                <w:rFonts w:hint="eastAsia" w:hAnsi="宋体" w:cs="宋体"/>
                <w:color w:val="auto"/>
                <w:sz w:val="21"/>
                <w:highlight w:val="none"/>
                <w:u w:val="single"/>
                <w:lang w:val="en-US" w:eastAsia="zh-CN"/>
              </w:rPr>
              <w:t>%</w:t>
            </w:r>
            <w:r>
              <w:rPr>
                <w:rFonts w:hint="eastAsia" w:hAnsi="宋体" w:cs="宋体"/>
                <w:color w:val="auto"/>
                <w:sz w:val="21"/>
                <w:highlight w:val="none"/>
                <w:lang w:val="en-US" w:eastAsia="zh-CN"/>
              </w:rPr>
              <w:t>）收取。</w:t>
            </w:r>
          </w:p>
          <w:p w14:paraId="02F1C5FB">
            <w:pPr>
              <w:pStyle w:val="15"/>
              <w:snapToGrid w:val="0"/>
              <w:spacing w:line="360" w:lineRule="auto"/>
              <w:rPr>
                <w:rFonts w:hAnsi="宋体" w:cs="宋体"/>
                <w:color w:val="auto"/>
                <w:sz w:val="21"/>
                <w:highlight w:val="none"/>
                <w:u w:val="single"/>
                <w:lang w:val="en-US" w:eastAsia="zh-CN"/>
              </w:rPr>
            </w:pPr>
            <w:r>
              <w:rPr>
                <w:rFonts w:hint="eastAsia" w:hAnsi="宋体" w:cs="宋体"/>
                <w:color w:val="auto"/>
                <w:sz w:val="21"/>
                <w:highlight w:val="none"/>
                <w:lang w:val="en-US" w:eastAsia="zh-CN"/>
              </w:rPr>
              <w:t>□固定采购代理收费</w:t>
            </w:r>
            <w:r>
              <w:rPr>
                <w:rFonts w:hint="eastAsia" w:hAnsi="宋体" w:cs="宋体"/>
                <w:color w:val="auto"/>
                <w:sz w:val="21"/>
                <w:highlight w:val="none"/>
                <w:u w:val="single"/>
                <w:lang w:val="en-US" w:eastAsia="zh-CN"/>
              </w:rPr>
              <w:t xml:space="preserve">              。</w:t>
            </w:r>
          </w:p>
          <w:p w14:paraId="463486DA">
            <w:pPr>
              <w:pStyle w:val="15"/>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3. 采购代理费收取银行账户</w:t>
            </w:r>
          </w:p>
          <w:p w14:paraId="6CC8418E">
            <w:pPr>
              <w:pStyle w:val="15"/>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开户名称：云之龙咨询集团有限公司</w:t>
            </w:r>
          </w:p>
          <w:p w14:paraId="31662B0A">
            <w:pPr>
              <w:pStyle w:val="15"/>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开户银行：中国银行南宁市民主支行（网银支付可选中国银行股份有限公司南宁分行）</w:t>
            </w:r>
          </w:p>
          <w:p w14:paraId="00F19E69">
            <w:pPr>
              <w:pStyle w:val="15"/>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 xml:space="preserve">银行账号：623661021638  </w:t>
            </w:r>
          </w:p>
        </w:tc>
      </w:tr>
      <w:tr w14:paraId="286D0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28953E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noWrap/>
            <w:vAlign w:val="center"/>
          </w:tcPr>
          <w:p w14:paraId="71ECD5E4">
            <w:pPr>
              <w:pStyle w:val="15"/>
              <w:snapToGrid w:val="0"/>
              <w:spacing w:line="360" w:lineRule="auto"/>
              <w:rPr>
                <w:rFonts w:hAnsi="宋体" w:cs="宋体"/>
                <w:color w:val="auto"/>
                <w:kern w:val="2"/>
                <w:sz w:val="21"/>
                <w:highlight w:val="none"/>
                <w:lang w:val="en-US" w:eastAsia="zh-CN"/>
              </w:rPr>
            </w:pPr>
            <w:r>
              <w:rPr>
                <w:rFonts w:hint="eastAsia" w:hAnsi="宋体" w:cs="宋体"/>
                <w:color w:val="auto"/>
                <w:sz w:val="21"/>
                <w:highlight w:val="none"/>
                <w:lang w:val="en-US" w:eastAsia="zh-CN"/>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2ED6D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1A0C87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12" w:type="dxa"/>
            <w:noWrap/>
            <w:vAlign w:val="center"/>
          </w:tcPr>
          <w:p w14:paraId="1090331D">
            <w:pPr>
              <w:pStyle w:val="15"/>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055790AB">
            <w:pPr>
              <w:pStyle w:val="15"/>
              <w:snapToGrid w:val="0"/>
              <w:spacing w:line="360" w:lineRule="auto"/>
              <w:rPr>
                <w:rFonts w:hAnsi="宋体" w:cs="宋体"/>
                <w:color w:val="auto"/>
                <w:sz w:val="21"/>
                <w:highlight w:val="none"/>
                <w:lang w:val="en-US" w:eastAsia="zh-CN"/>
              </w:rPr>
            </w:pPr>
            <w:r>
              <w:rPr>
                <w:rFonts w:hint="eastAsia" w:hAnsi="宋体" w:cs="宋体"/>
                <w:bCs/>
                <w:color w:val="auto"/>
                <w:sz w:val="21"/>
                <w:highlight w:val="none"/>
                <w:lang w:val="en-US" w:eastAsia="zh-CN"/>
              </w:rPr>
              <w:t>2.本磋商文件所称的“</w:t>
            </w:r>
            <w:r>
              <w:rPr>
                <w:rFonts w:hint="eastAsia" w:hAnsi="宋体"/>
                <w:color w:val="auto"/>
                <w:sz w:val="21"/>
                <w:highlight w:val="none"/>
                <w:lang w:val="en-US" w:eastAsia="zh-CN"/>
              </w:rPr>
              <w:t>电子签章</w:t>
            </w:r>
            <w:r>
              <w:rPr>
                <w:rFonts w:hint="eastAsia" w:hAnsi="宋体" w:cs="宋体"/>
                <w:bCs/>
                <w:color w:val="auto"/>
                <w:sz w:val="21"/>
                <w:highlight w:val="none"/>
                <w:lang w:val="en-US" w:eastAsia="zh-CN"/>
              </w:rPr>
              <w:t>”“电子签名”</w:t>
            </w:r>
            <w:r>
              <w:rPr>
                <w:rFonts w:hint="eastAsia" w:hAnsi="宋体"/>
                <w:color w:val="auto"/>
                <w:sz w:val="21"/>
                <w:highlight w:val="none"/>
                <w:lang w:val="en-US" w:eastAsia="zh-CN"/>
              </w:rPr>
              <w:t>，是指经广西政府采购云平台认可的CA认证的电子签名数据为表现形式的印章，可用于签署电子响应文件，电子印章与实物印章具有同等法律效力，不因其采用电子化表现形式而否定其法律效力。</w:t>
            </w:r>
          </w:p>
          <w:p w14:paraId="6E096011">
            <w:pPr>
              <w:pStyle w:val="15"/>
              <w:snapToGrid w:val="0"/>
              <w:spacing w:line="360" w:lineRule="auto"/>
              <w:rPr>
                <w:rFonts w:hAnsi="宋体" w:cs="宋体"/>
                <w:bCs/>
                <w:color w:val="auto"/>
                <w:sz w:val="21"/>
                <w:highlight w:val="none"/>
                <w:lang w:val="en-US" w:eastAsia="zh-CN"/>
              </w:rPr>
            </w:pPr>
            <w:r>
              <w:rPr>
                <w:rFonts w:hAnsi="宋体" w:cs="宋体"/>
                <w:color w:val="auto"/>
                <w:sz w:val="21"/>
                <w:highlight w:val="none"/>
                <w:lang w:val="en-US" w:eastAsia="zh-CN"/>
              </w:rPr>
              <w:t>3</w:t>
            </w:r>
            <w:r>
              <w:rPr>
                <w:rFonts w:hint="eastAsia" w:hAnsi="宋体" w:cs="宋体"/>
                <w:color w:val="auto"/>
                <w:sz w:val="21"/>
                <w:highlight w:val="none"/>
                <w:lang w:val="en-US" w:eastAsia="zh-CN"/>
              </w:rPr>
              <w:t>.供应商为其他组织或者自然人时，本磋商文件规定的法定代表人指负责人或者自然人。本磋商文件所称负责人是指参加竞标的其他组织</w:t>
            </w:r>
            <w:r>
              <w:rPr>
                <w:rFonts w:hint="eastAsia" w:hAnsi="宋体" w:cs="宋体"/>
                <w:bCs/>
                <w:color w:val="auto"/>
                <w:sz w:val="21"/>
                <w:highlight w:val="none"/>
                <w:lang w:val="en-US" w:eastAsia="zh-CN"/>
              </w:rPr>
              <w:t>营业执照或者执业许可证等证照上的</w:t>
            </w:r>
            <w:r>
              <w:rPr>
                <w:rFonts w:hint="eastAsia" w:hAnsi="宋体" w:cs="宋体"/>
                <w:color w:val="auto"/>
                <w:sz w:val="21"/>
                <w:highlight w:val="none"/>
                <w:lang w:val="en-US" w:eastAsia="zh-CN"/>
              </w:rPr>
              <w:t>负责人，本磋商文件所称自然人指参与竞标的自然人本人，</w:t>
            </w:r>
            <w:r>
              <w:rPr>
                <w:rFonts w:hint="eastAsia" w:hAnsi="宋体" w:cs="宋体"/>
                <w:bCs/>
                <w:color w:val="auto"/>
                <w:sz w:val="21"/>
                <w:highlight w:val="none"/>
                <w:lang w:val="en-US" w:eastAsia="zh-CN"/>
              </w:rPr>
              <w:t>且应具备独立承担民事责任能力，自然人应当为年满18岁以上成年人（十六周岁以上的未成年人，以自己的劳动收入为主要生活来源的，视为完全民事行为能力人）。</w:t>
            </w:r>
          </w:p>
          <w:p w14:paraId="36C2A7AE">
            <w:pPr>
              <w:pStyle w:val="15"/>
              <w:snapToGrid w:val="0"/>
              <w:spacing w:line="360" w:lineRule="auto"/>
              <w:rPr>
                <w:rFonts w:hAnsi="宋体" w:cs="宋体"/>
                <w:color w:val="auto"/>
                <w:sz w:val="21"/>
                <w:highlight w:val="none"/>
                <w:lang w:val="en-US" w:eastAsia="zh-CN"/>
              </w:rPr>
            </w:pPr>
            <w:r>
              <w:rPr>
                <w:rFonts w:hAnsi="宋体" w:cs="宋体"/>
                <w:color w:val="auto"/>
                <w:sz w:val="21"/>
                <w:highlight w:val="none"/>
                <w:lang w:val="en-US" w:eastAsia="zh-CN"/>
              </w:rPr>
              <w:t>4.</w:t>
            </w:r>
            <w:r>
              <w:rPr>
                <w:rFonts w:hint="eastAsia" w:hAnsi="宋体" w:cs="宋体"/>
                <w:color w:val="auto"/>
                <w:sz w:val="21"/>
                <w:highlight w:val="none"/>
                <w:lang w:val="en-US" w:eastAsia="zh-CN"/>
              </w:rPr>
              <w:t>本磋商文件中描述供应商的“签字”是指供应商的法定代表人或者委托代理人亲自在文件规定签署处亲笔写上个人的名字的行为，私章、签字章、印鉴、影印等其他形式均不能代替亲笔签字。</w:t>
            </w:r>
          </w:p>
          <w:p w14:paraId="18D314FE">
            <w:pPr>
              <w:pStyle w:val="15"/>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5</w:t>
            </w:r>
            <w:r>
              <w:rPr>
                <w:rFonts w:hAnsi="宋体" w:cs="宋体"/>
                <w:color w:val="auto"/>
                <w:sz w:val="21"/>
                <w:highlight w:val="none"/>
                <w:lang w:val="en-US" w:eastAsia="zh-CN"/>
              </w:rPr>
              <w:t>.</w:t>
            </w:r>
            <w:r>
              <w:rPr>
                <w:rFonts w:hint="eastAsia" w:hAnsi="宋体" w:cs="宋体"/>
                <w:color w:val="auto"/>
                <w:sz w:val="21"/>
                <w:highlight w:val="none"/>
                <w:lang w:val="en-US" w:eastAsia="zh-CN"/>
              </w:rPr>
              <w:t>本磋商文件所称的“以上”“以下”“以内”“届满”，包括本数；所称的“不满”“超过”“以外”，不包括本数。</w:t>
            </w:r>
          </w:p>
        </w:tc>
      </w:tr>
    </w:tbl>
    <w:p w14:paraId="56E623BC">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2E0D8C95">
      <w:pPr>
        <w:spacing w:line="400" w:lineRule="exact"/>
        <w:jc w:val="center"/>
        <w:rPr>
          <w:rFonts w:ascii="宋体" w:hAnsi="宋体"/>
          <w:b/>
          <w:color w:val="auto"/>
          <w:sz w:val="32"/>
          <w:szCs w:val="32"/>
          <w:highlight w:val="none"/>
        </w:rPr>
      </w:pPr>
    </w:p>
    <w:p w14:paraId="43E87A3A">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2007B2A1">
      <w:pPr>
        <w:spacing w:line="400" w:lineRule="exact"/>
        <w:rPr>
          <w:rFonts w:ascii="宋体" w:hAnsi="宋体"/>
          <w:color w:val="auto"/>
          <w:szCs w:val="21"/>
          <w:highlight w:val="none"/>
        </w:rPr>
      </w:pPr>
    </w:p>
    <w:p w14:paraId="30F66A0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403107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3D2F4B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0017225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108425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06D8C979">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196340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449EB4BD">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48F8CA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“竞标”是指供应商按照本项目竞争性磋商公告规定的方式获取磋商文件、提交响应文件并希望获得标的的行为。</w:t>
      </w:r>
    </w:p>
    <w:p w14:paraId="58A6F930">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5BA973B3">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619E327A">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729B52C3">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06D0FF69">
      <w:pPr>
        <w:spacing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242FBBEB">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7166AFEE">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37C5ACE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0BA772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3F9ED32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597438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310503E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15C5FB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792100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101407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w:t>
      </w:r>
      <w:bookmarkStart w:id="65" w:name="_Hlk66782192"/>
      <w:r>
        <w:rPr>
          <w:rFonts w:hint="eastAsia" w:ascii="宋体" w:hAnsi="宋体"/>
          <w:bCs/>
          <w:color w:val="auto"/>
          <w:szCs w:val="21"/>
          <w:highlight w:val="none"/>
        </w:rPr>
        <w:t>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65"/>
    </w:p>
    <w:p w14:paraId="7A8E194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5A867CB9">
      <w:pPr>
        <w:pStyle w:val="6"/>
        <w:keepNext w:val="0"/>
        <w:keepLines w:val="0"/>
        <w:spacing w:before="0" w:after="0" w:line="360" w:lineRule="auto"/>
        <w:ind w:left="420" w:leftChars="200"/>
        <w:rPr>
          <w:rFonts w:ascii="宋体" w:hAnsi="宋体"/>
          <w:b w:val="0"/>
          <w:color w:val="auto"/>
          <w:sz w:val="21"/>
          <w:szCs w:val="21"/>
          <w:highlight w:val="none"/>
        </w:rPr>
      </w:pPr>
      <w:bookmarkStart w:id="66" w:name="_Toc254970532"/>
      <w:bookmarkStart w:id="67" w:name="_Toc254970673"/>
      <w:r>
        <w:rPr>
          <w:rFonts w:hint="eastAsia" w:ascii="宋体" w:hAnsi="宋体"/>
          <w:b w:val="0"/>
          <w:color w:val="auto"/>
          <w:sz w:val="21"/>
          <w:szCs w:val="21"/>
          <w:highlight w:val="none"/>
        </w:rPr>
        <w:t>6.1本项目不允许转包。</w:t>
      </w:r>
    </w:p>
    <w:p w14:paraId="717487B5">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681DEEEB">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70A4F45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66"/>
      <w:bookmarkEnd w:id="67"/>
    </w:p>
    <w:p w14:paraId="09CCB86F">
      <w:pPr>
        <w:spacing w:line="360" w:lineRule="auto"/>
        <w:ind w:firstLine="420" w:firstLineChars="200"/>
        <w:rPr>
          <w:rFonts w:ascii="宋体" w:hAnsi="宋体" w:cs="宋体"/>
          <w:color w:val="auto"/>
          <w:szCs w:val="21"/>
          <w:highlight w:val="none"/>
        </w:rPr>
      </w:pPr>
      <w:bookmarkStart w:id="68" w:name="_8.1提供相同品牌产品且通过资格审查、符合性审查的不同投标人参加同一合"/>
      <w:bookmarkEnd w:id="68"/>
      <w:r>
        <w:rPr>
          <w:rFonts w:hint="eastAsia" w:ascii="宋体" w:hAnsi="宋体" w:cs="宋体"/>
          <w:color w:val="auto"/>
          <w:szCs w:val="21"/>
          <w:highlight w:val="none"/>
        </w:rPr>
        <w:t>7.</w:t>
      </w:r>
      <w:r>
        <w:rPr>
          <w:rFonts w:ascii="宋体" w:hAnsi="宋体" w:cs="宋体"/>
          <w:color w:val="auto"/>
          <w:szCs w:val="21"/>
          <w:highlight w:val="none"/>
        </w:rPr>
        <w:t>1</w:t>
      </w:r>
      <w:bookmarkStart w:id="69"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69"/>
    <w:p w14:paraId="680AF3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04CD10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0E58F8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53966D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1E8BF5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5D1999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2A2ED9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7A104D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5A9A41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470A5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484F18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502902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61A08D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5EC292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2DCB24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63BAE889">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68A326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2FD815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6DF895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65C617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121755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3B235C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EC35C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3312FA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0FE0BC5F">
      <w:pPr>
        <w:spacing w:line="360" w:lineRule="auto"/>
        <w:ind w:firstLine="420" w:firstLineChars="200"/>
        <w:rPr>
          <w:rFonts w:ascii="宋体" w:hAnsi="宋体" w:cs="宋体"/>
          <w:color w:val="auto"/>
          <w:szCs w:val="21"/>
          <w:highlight w:val="none"/>
        </w:rPr>
      </w:pPr>
    </w:p>
    <w:p w14:paraId="40148D25">
      <w:pPr>
        <w:spacing w:line="360" w:lineRule="auto"/>
        <w:ind w:left="1" w:firstLine="417" w:firstLineChars="199"/>
        <w:jc w:val="center"/>
        <w:rPr>
          <w:rFonts w:ascii="宋体" w:hAnsi="宋体"/>
          <w:color w:val="auto"/>
          <w:highlight w:val="none"/>
        </w:rPr>
      </w:pPr>
      <w:bookmarkStart w:id="70" w:name="_Toc254970675"/>
      <w:bookmarkStart w:id="71" w:name="_Toc254970534"/>
    </w:p>
    <w:p w14:paraId="45419C63">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二、磋商文件</w:t>
      </w:r>
      <w:bookmarkEnd w:id="70"/>
      <w:bookmarkEnd w:id="71"/>
    </w:p>
    <w:p w14:paraId="79ED695F">
      <w:pPr>
        <w:spacing w:line="360" w:lineRule="auto"/>
        <w:rPr>
          <w:rFonts w:ascii="宋体" w:hAnsi="宋体"/>
          <w:color w:val="auto"/>
          <w:szCs w:val="21"/>
          <w:highlight w:val="none"/>
        </w:rPr>
      </w:pPr>
    </w:p>
    <w:p w14:paraId="25A1711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0020EBD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（1）竞争性磋商公告；</w:t>
      </w:r>
    </w:p>
    <w:p w14:paraId="13DB6B4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（2）供应商须知； </w:t>
      </w:r>
    </w:p>
    <w:p w14:paraId="471345B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（3）采购需求；</w:t>
      </w:r>
    </w:p>
    <w:p w14:paraId="68405B6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（4）评审程序、评审方法和评审标准；</w:t>
      </w:r>
    </w:p>
    <w:p w14:paraId="13D2E10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（5）响应文件格式；</w:t>
      </w:r>
    </w:p>
    <w:p w14:paraId="60BF9A8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（6）合同文本。</w:t>
      </w:r>
    </w:p>
    <w:p w14:paraId="4070D89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03457E0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供应商应认真阅读磋商文件的采购需求，如供应商对磋商文件有疑问的，如要求采购人作出澄清或者修改的，供应商应在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449DD32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2C989777">
      <w:pPr>
        <w:spacing w:line="360" w:lineRule="auto"/>
        <w:ind w:firstLine="420" w:firstLineChars="200"/>
        <w:rPr>
          <w:rFonts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磋商文件的供应商，不足3个工作日的，应当顺延提交首次响应文件截止之日。</w:t>
      </w:r>
    </w:p>
    <w:p w14:paraId="7B11A770">
      <w:pPr>
        <w:spacing w:line="360" w:lineRule="auto"/>
        <w:rPr>
          <w:rFonts w:ascii="宋体" w:hAnsi="宋体"/>
          <w:color w:val="auto"/>
          <w:szCs w:val="21"/>
          <w:highlight w:val="none"/>
        </w:rPr>
      </w:pPr>
    </w:p>
    <w:p w14:paraId="6E0EC180">
      <w:pPr>
        <w:spacing w:line="360" w:lineRule="auto"/>
        <w:jc w:val="center"/>
        <w:rPr>
          <w:rFonts w:ascii="宋体" w:hAnsi="宋体"/>
          <w:b/>
          <w:bCs/>
          <w:color w:val="auto"/>
          <w:szCs w:val="21"/>
          <w:highlight w:val="none"/>
        </w:rPr>
      </w:pPr>
      <w:r>
        <w:rPr>
          <w:rFonts w:hint="eastAsia" w:ascii="宋体" w:hAnsi="宋体"/>
          <w:b/>
          <w:bCs/>
          <w:color w:val="auto"/>
          <w:sz w:val="32"/>
          <w:szCs w:val="32"/>
          <w:highlight w:val="none"/>
        </w:rPr>
        <w:t>三、响应文件的编制</w:t>
      </w:r>
    </w:p>
    <w:p w14:paraId="000F7377">
      <w:pPr>
        <w:spacing w:line="360" w:lineRule="auto"/>
        <w:rPr>
          <w:rFonts w:ascii="宋体" w:hAnsi="宋体"/>
          <w:color w:val="auto"/>
          <w:szCs w:val="21"/>
          <w:highlight w:val="none"/>
        </w:rPr>
      </w:pPr>
    </w:p>
    <w:p w14:paraId="3EAB394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0DC24A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w:t>
      </w:r>
      <w:r>
        <w:rPr>
          <w:rFonts w:hint="eastAsia" w:ascii="宋体" w:hAnsi="宋体"/>
          <w:color w:val="auto"/>
          <w:szCs w:val="21"/>
          <w:highlight w:val="none"/>
        </w:rPr>
        <w:t>提出的要求和条件作出明确响应</w:t>
      </w:r>
      <w:r>
        <w:rPr>
          <w:rFonts w:hint="eastAsia" w:ascii="宋体" w:hAnsi="宋体" w:cs="宋体"/>
          <w:color w:val="auto"/>
          <w:szCs w:val="21"/>
          <w:highlight w:val="none"/>
        </w:rPr>
        <w:t>。</w:t>
      </w:r>
    </w:p>
    <w:p w14:paraId="21BCCD3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70BC73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7B186F90">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0419FB47">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72F9D4D9">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26A7C21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77C761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856E2F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555EF0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5F92DD0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0C0B0606">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3942A98E">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27B18AF3">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14:paraId="47ABFB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14:paraId="6FE5A49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705A551F">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7F02D9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7D92D8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竞标报价（包含首次报价、最后报价）超过所竞标分标规定的采购预算金额或者最高限价的，其响应文件将按无效处理。</w:t>
      </w:r>
    </w:p>
    <w:p w14:paraId="2B9B07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bookmarkStart w:id="72" w:name="_Hlk42592874"/>
      <w:r>
        <w:rPr>
          <w:rFonts w:hint="eastAsia" w:ascii="宋体" w:hAnsi="宋体" w:cs="宋体"/>
          <w:color w:val="auto"/>
          <w:szCs w:val="21"/>
          <w:highlight w:val="none"/>
        </w:rPr>
        <w:t>竞标报价（包含首次报价、最后报价）超过分项采购预算金额或者最高限价的，其响应文件将按无效处理。</w:t>
      </w:r>
    </w:p>
    <w:bookmarkEnd w:id="72"/>
    <w:p w14:paraId="441FDA6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68FF7D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5B817C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r>
        <w:rPr>
          <w:rFonts w:hint="eastAsia" w:ascii="宋体" w:hAnsi="宋体"/>
          <w:color w:val="auto"/>
          <w:szCs w:val="21"/>
          <w:highlight w:val="none"/>
        </w:rPr>
        <w:t>承诺的竞标有效期低于采购文件规定期限的，供应商的响应文件作无效处理。</w:t>
      </w:r>
    </w:p>
    <w:p w14:paraId="6D94BB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2269F98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7F775358">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2C838F5F">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0FD026B5">
      <w:pPr>
        <w:spacing w:line="360" w:lineRule="auto"/>
        <w:ind w:firstLine="420" w:firstLineChars="200"/>
        <w:rPr>
          <w:rFonts w:ascii="宋体" w:hAnsi="宋体" w:cs="宋体"/>
          <w:color w:val="auto"/>
          <w:szCs w:val="21"/>
          <w:highlight w:val="none"/>
        </w:rPr>
      </w:pPr>
      <w:bookmarkStart w:id="73"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成交供应商的竞标保证金自成交通知书发出之日起5个工作日内退还；</w:t>
      </w:r>
      <w:r>
        <w:rPr>
          <w:rFonts w:hint="eastAsia" w:ascii="宋体" w:hAnsi="宋体" w:cs="宋体"/>
          <w:color w:val="auto"/>
          <w:szCs w:val="21"/>
          <w:highlight w:val="none"/>
        </w:rPr>
        <w:t>成交供应商的磋商保证金自签订合同之日起5个工作日内退还。</w:t>
      </w:r>
      <w:bookmarkEnd w:id="73"/>
    </w:p>
    <w:p w14:paraId="1B927478">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17.3除逾期退还磋商保证金和终止采购的情形以外，磋商保证金不计息。</w:t>
      </w:r>
    </w:p>
    <w:p w14:paraId="430C50BD">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7844CA46">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244E0E47">
      <w:pPr>
        <w:spacing w:line="360" w:lineRule="auto"/>
        <w:ind w:left="420" w:leftChars="200"/>
        <w:rPr>
          <w:rFonts w:ascii="宋体" w:hAnsi="宋体" w:cs="宋体"/>
          <w:color w:val="auto"/>
          <w:szCs w:val="21"/>
          <w:highlight w:val="none"/>
        </w:rPr>
      </w:pPr>
      <w:r>
        <w:rPr>
          <w:rFonts w:hint="eastAsia" w:ascii="宋体" w:hAnsi="宋体"/>
          <w:color w:val="auto"/>
          <w:szCs w:val="21"/>
          <w:highlight w:val="none"/>
        </w:rPr>
        <w:t>（2）未按规定提交履约保证金的；</w:t>
      </w:r>
    </w:p>
    <w:p w14:paraId="15F191C6">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08B90B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62F345F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58149834">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331DD42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6DA6AF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按照本项目磋商文件规定的格式和顺序和广西政府采购云平台的要求编制响应文件并加密。响应文件内容不完整、编排混乱导致响应文件被误读、漏读或者查找不到相关内容的，由此引发的后果由供应商承担。</w:t>
      </w:r>
    </w:p>
    <w:p w14:paraId="56EADE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24C53A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6DA228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w:t>
      </w:r>
      <w:r>
        <w:rPr>
          <w:rFonts w:hint="eastAsia" w:ascii="宋体" w:hAnsi="宋体"/>
          <w:b/>
          <w:color w:val="auto"/>
          <w:szCs w:val="21"/>
          <w:highlight w:val="none"/>
        </w:rPr>
        <w:t>并与广西政府采购云平台中获取采购文件的供应商名称一致，</w:t>
      </w:r>
      <w:r>
        <w:rPr>
          <w:rFonts w:hint="eastAsia" w:ascii="宋体" w:hAnsi="宋体" w:cs="宋体"/>
          <w:color w:val="auto"/>
          <w:szCs w:val="21"/>
          <w:highlight w:val="none"/>
        </w:rPr>
        <w:t>供应商为自然人的，标注的供应商名称应与身份证姓名及签名一致，否则其响应文件按无效响应处理。</w:t>
      </w:r>
    </w:p>
    <w:p w14:paraId="4DBAB1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783A0443">
      <w:pPr>
        <w:spacing w:line="360" w:lineRule="auto"/>
        <w:ind w:firstLine="482" w:firstLineChars="200"/>
        <w:rPr>
          <w:rFonts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289AFCAC">
      <w:pPr>
        <w:spacing w:line="360" w:lineRule="auto"/>
        <w:ind w:firstLine="420" w:firstLineChars="200"/>
        <w:rPr>
          <w:rFonts w:ascii="宋体" w:hAnsi="宋体" w:cs="宋体"/>
          <w:color w:val="auto"/>
          <w:szCs w:val="21"/>
          <w:highlight w:val="none"/>
        </w:rPr>
      </w:pPr>
      <w:r>
        <w:rPr>
          <w:rFonts w:hint="eastAsia"/>
          <w:color w:val="auto"/>
          <w:highlight w:val="none"/>
        </w:rPr>
        <w:t>电子备份响应文件是指通过在线编制生成且后缀名为“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详见“供应商须知前附表”。</w:t>
      </w:r>
    </w:p>
    <w:p w14:paraId="61160A2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5113F190">
      <w:pPr>
        <w:spacing w:line="360" w:lineRule="auto"/>
        <w:ind w:firstLine="420" w:firstLineChars="200"/>
        <w:rPr>
          <w:rFonts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 xml:space="preserve">。 </w:t>
      </w:r>
    </w:p>
    <w:p w14:paraId="154544D3">
      <w:pPr>
        <w:spacing w:line="360" w:lineRule="auto"/>
        <w:ind w:firstLine="422" w:firstLineChars="200"/>
        <w:rPr>
          <w:rFonts w:ascii="宋体" w:hAnsi="宋体" w:cs="宋体"/>
          <w:color w:val="auto"/>
          <w:szCs w:val="21"/>
          <w:highlight w:val="none"/>
        </w:rPr>
      </w:pPr>
      <w:r>
        <w:rPr>
          <w:rFonts w:hint="eastAsia" w:ascii="宋体" w:hAnsi="宋体"/>
          <w:b/>
          <w:color w:val="auto"/>
          <w:szCs w:val="21"/>
          <w:highlight w:val="none"/>
        </w:rPr>
        <w:t>20.</w:t>
      </w:r>
      <w:r>
        <w:rPr>
          <w:rFonts w:ascii="宋体" w:hAnsi="宋体"/>
          <w:b/>
          <w:color w:val="auto"/>
          <w:szCs w:val="21"/>
          <w:highlight w:val="none"/>
        </w:rPr>
        <w:t>2</w:t>
      </w:r>
      <w:r>
        <w:rPr>
          <w:rFonts w:hint="eastAsia" w:ascii="宋体" w:hAnsi="宋体"/>
          <w:b/>
          <w:color w:val="auto"/>
          <w:szCs w:val="21"/>
          <w:highlight w:val="none"/>
        </w:rPr>
        <w:t>未在规定时间内提交或者未按照磋商文件要求加密的电子响应文件，广西政府采购云平台将拒收。</w:t>
      </w:r>
    </w:p>
    <w:p w14:paraId="71E5543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5621C3AA">
      <w:pPr>
        <w:snapToGrid w:val="0"/>
        <w:spacing w:line="360" w:lineRule="auto"/>
        <w:ind w:firstLine="420"/>
        <w:jc w:val="left"/>
        <w:rPr>
          <w:rFonts w:ascii="宋体" w:hAnsi="宋体"/>
          <w:color w:val="auto"/>
          <w:szCs w:val="21"/>
          <w:highlight w:val="none"/>
        </w:rPr>
      </w:pPr>
      <w:bookmarkStart w:id="74" w:name="_Toc254970684"/>
      <w:bookmarkStart w:id="75" w:name="_Toc254970543"/>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 xml:space="preserve"> “电子投标文件制作与投送教程”）</w:t>
      </w:r>
    </w:p>
    <w:bookmarkEnd w:id="74"/>
    <w:bookmarkEnd w:id="75"/>
    <w:p w14:paraId="56137B50">
      <w:pPr>
        <w:pStyle w:val="66"/>
        <w:spacing w:before="0"/>
        <w:ind w:firstLine="42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4F3672D0">
      <w:pPr>
        <w:spacing w:line="360" w:lineRule="auto"/>
        <w:ind w:firstLine="482" w:firstLineChars="200"/>
        <w:rPr>
          <w:rFonts w:ascii="黑体" w:hAnsi="黑体" w:eastAsia="黑体" w:cs="宋体"/>
          <w:b/>
          <w:bCs/>
          <w:color w:val="auto"/>
          <w:sz w:val="24"/>
          <w:highlight w:val="none"/>
        </w:rPr>
      </w:pPr>
      <w:bookmarkStart w:id="76" w:name="_Hlk45702405"/>
      <w:r>
        <w:rPr>
          <w:rFonts w:hint="eastAsia" w:ascii="黑体" w:hAnsi="黑体" w:eastAsia="黑体" w:cs="宋体"/>
          <w:b/>
          <w:bCs/>
          <w:color w:val="auto"/>
          <w:sz w:val="24"/>
          <w:highlight w:val="none"/>
        </w:rPr>
        <w:t>22.响应文件的退回</w:t>
      </w:r>
    </w:p>
    <w:p w14:paraId="516EF0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1C0284B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046442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供应商在响应文件提交截止时间后向采购人、采购代理机构书面申请撤回响应文件的，将根据本须知正文17.4的规定不予退还其磋商保证金。</w:t>
      </w:r>
    </w:p>
    <w:bookmarkEnd w:id="76"/>
    <w:p w14:paraId="367C0D18">
      <w:pPr>
        <w:spacing w:line="360" w:lineRule="auto"/>
        <w:rPr>
          <w:rFonts w:ascii="宋体" w:hAnsi="宋体"/>
          <w:color w:val="auto"/>
          <w:szCs w:val="21"/>
          <w:highlight w:val="none"/>
        </w:rPr>
      </w:pPr>
    </w:p>
    <w:p w14:paraId="23BC8DFB">
      <w:pPr>
        <w:spacing w:line="360" w:lineRule="auto"/>
        <w:ind w:left="420" w:firstLine="420"/>
        <w:jc w:val="center"/>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14:paraId="5A20E610">
      <w:pPr>
        <w:spacing w:line="360" w:lineRule="auto"/>
        <w:ind w:left="420" w:firstLine="420"/>
        <w:rPr>
          <w:rFonts w:ascii="宋体" w:hAnsi="宋体"/>
          <w:color w:val="auto"/>
          <w:szCs w:val="21"/>
          <w:highlight w:val="none"/>
        </w:rPr>
      </w:pPr>
    </w:p>
    <w:p w14:paraId="69F2F0E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734BA5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及以上单数组成。</w:t>
      </w:r>
    </w:p>
    <w:p w14:paraId="46FC9D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396D881">
      <w:pPr>
        <w:spacing w:line="360" w:lineRule="auto"/>
        <w:ind w:firstLine="420" w:firstLineChars="200"/>
        <w:rPr>
          <w:rFonts w:hAnsi="宋体"/>
          <w:bCs/>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6D836F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24.4参加过采购项目前期咨询论证的专家，不得参加该采购项目的评审活动。</w:t>
      </w:r>
    </w:p>
    <w:p w14:paraId="618B5235">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027224CB">
      <w:pPr>
        <w:spacing w:line="360" w:lineRule="auto"/>
        <w:ind w:firstLine="420" w:firstLineChars="200"/>
        <w:rPr>
          <w:rFonts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20BEDAD3">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532B55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4E36C76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382CAD8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6.3 </w:t>
      </w:r>
      <w:r>
        <w:rPr>
          <w:rFonts w:hint="eastAsia" w:ascii="宋体" w:hAnsi="宋体"/>
          <w:color w:val="auto"/>
          <w:szCs w:val="21"/>
          <w:highlight w:val="none"/>
        </w:rPr>
        <w:t>商务/技术要求允许负偏离的条款数详见“供应商须知前附表”。</w:t>
      </w:r>
    </w:p>
    <w:p w14:paraId="3E705459">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w:t>
      </w:r>
      <w:r>
        <w:rPr>
          <w:rFonts w:ascii="宋体" w:hAnsi="宋体" w:cs="宋体"/>
          <w:color w:val="auto"/>
          <w:highlight w:val="none"/>
        </w:rPr>
        <w:t>4</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作出结论。持不同意见的磋商小组成员应当在评审报告上签署不同意见并说明理由，否则视为同意。</w:t>
      </w:r>
    </w:p>
    <w:p w14:paraId="172148C3">
      <w:pPr>
        <w:spacing w:line="360" w:lineRule="auto"/>
        <w:ind w:firstLine="420" w:firstLineChars="200"/>
        <w:rPr>
          <w:rFonts w:hAnsi="宋体"/>
          <w:color w:val="auto"/>
          <w:highlight w:val="none"/>
        </w:rPr>
      </w:pPr>
      <w:r>
        <w:rPr>
          <w:rFonts w:hint="eastAsia" w:ascii="宋体" w:hAnsi="宋体" w:cs="宋体"/>
          <w:color w:val="auto"/>
          <w:highlight w:val="none"/>
        </w:rPr>
        <w:t>2</w:t>
      </w:r>
      <w:r>
        <w:rPr>
          <w:rFonts w:ascii="宋体" w:hAnsi="宋体" w:cs="宋体"/>
          <w:color w:val="auto"/>
          <w:highlight w:val="none"/>
        </w:rPr>
        <w:t>6.5</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096BF8AC">
      <w:pPr>
        <w:spacing w:line="360" w:lineRule="auto"/>
        <w:ind w:firstLine="420" w:firstLineChars="200"/>
        <w:rPr>
          <w:rFonts w:hAnsi="宋体"/>
          <w:color w:val="auto"/>
          <w:highlight w:val="none"/>
        </w:rPr>
      </w:pPr>
      <w:r>
        <w:rPr>
          <w:rFonts w:hint="eastAsia" w:hAnsi="宋体"/>
          <w:color w:val="auto"/>
          <w:highlight w:val="none"/>
        </w:rPr>
        <w:t xml:space="preserve">（1）电子交易平台发生故障而无法登录访问的； </w:t>
      </w:r>
    </w:p>
    <w:p w14:paraId="1AA06F6D">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14:paraId="22417F80">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14:paraId="0A006BD9">
      <w:pPr>
        <w:spacing w:line="360" w:lineRule="auto"/>
        <w:ind w:firstLine="420" w:firstLineChars="200"/>
        <w:rPr>
          <w:rFonts w:hAnsi="宋体"/>
          <w:color w:val="auto"/>
          <w:highlight w:val="none"/>
        </w:rPr>
      </w:pPr>
      <w:r>
        <w:rPr>
          <w:rFonts w:hint="eastAsia" w:hAnsi="宋体"/>
          <w:color w:val="auto"/>
          <w:highlight w:val="none"/>
        </w:rPr>
        <w:t xml:space="preserve">（4）病毒发作导致不能进行正常操作的； </w:t>
      </w:r>
    </w:p>
    <w:p w14:paraId="18AB1F21">
      <w:pPr>
        <w:spacing w:line="360" w:lineRule="auto"/>
        <w:ind w:firstLine="420" w:firstLineChars="200"/>
        <w:rPr>
          <w:rFonts w:hAnsi="宋体"/>
          <w:color w:val="auto"/>
          <w:highlight w:val="none"/>
        </w:rPr>
      </w:pPr>
      <w:r>
        <w:rPr>
          <w:rFonts w:hint="eastAsia" w:hAnsi="宋体"/>
          <w:color w:val="auto"/>
          <w:highlight w:val="none"/>
        </w:rPr>
        <w:t>（5）其他无法保证电子交易的公平、公正和安全的情况。</w:t>
      </w:r>
    </w:p>
    <w:p w14:paraId="33C9FE2F">
      <w:pPr>
        <w:spacing w:line="360" w:lineRule="auto"/>
        <w:ind w:firstLine="420" w:firstLineChars="200"/>
        <w:rPr>
          <w:rFonts w:ascii="宋体" w:hAnsi="宋体" w:cs="宋体"/>
          <w:color w:val="auto"/>
          <w:szCs w:val="21"/>
          <w:highlight w:val="none"/>
        </w:rPr>
      </w:pPr>
      <w:r>
        <w:rPr>
          <w:rFonts w:hint="eastAsia" w:ascii="宋体" w:hAnsi="宋体"/>
          <w:color w:val="auto"/>
          <w:highlight w:val="none"/>
        </w:rPr>
        <w:t>26.</w:t>
      </w:r>
      <w:r>
        <w:rPr>
          <w:rFonts w:ascii="宋体" w:hAnsi="宋体"/>
          <w:color w:val="auto"/>
          <w:highlight w:val="none"/>
        </w:rPr>
        <w:t>6</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做出妥善保密处理，并报财政部门备案。</w:t>
      </w:r>
    </w:p>
    <w:p w14:paraId="1AABFFA9">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4D3EFB3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286299E">
      <w:pPr>
        <w:spacing w:line="360" w:lineRule="auto"/>
        <w:ind w:firstLine="420" w:firstLineChars="200"/>
        <w:rPr>
          <w:rFonts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7"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77"/>
    </w:p>
    <w:p w14:paraId="2E7DFEBF">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27.3出现下列情形之一的，采购人或者采购代理机构应当终止竞争性磋商采购活动，发布项目终止公告并说明原因，重新开展采购活动：</w:t>
      </w:r>
    </w:p>
    <w:p w14:paraId="66417470">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（1）因情况变化，不再符合规定的竞争性磋商采购方式适用情形的；</w:t>
      </w:r>
    </w:p>
    <w:p w14:paraId="36945B7E">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14:paraId="30C499C0">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（3）除“第四章 评审程序、评审方法和评审标准”第4.3条规定的情形外，在采购过程中符合要求的供应商或者报价未超过采购预算的供应商不足3家的。</w:t>
      </w:r>
    </w:p>
    <w:p w14:paraId="2EC27BC6">
      <w:pPr>
        <w:spacing w:line="360" w:lineRule="auto"/>
        <w:ind w:firstLine="420" w:firstLineChars="200"/>
        <w:rPr>
          <w:rFonts w:ascii="宋体" w:hAnsi="宋体" w:cs="宋体"/>
          <w:color w:val="auto"/>
          <w:szCs w:val="21"/>
          <w:highlight w:val="none"/>
        </w:rPr>
      </w:pPr>
      <w:r>
        <w:rPr>
          <w:rFonts w:hint="eastAsia" w:ascii="宋体" w:hAnsi="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32FED4FC">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2F1D280C">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.1履约保证金的金额、提交方式、缴纳期限、退付的时间和条件详见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w:t>
      </w:r>
    </w:p>
    <w:p w14:paraId="54A2DDB2">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.2在履约保证金退还日期前，若成交供应商的开户名称、开户银行、账号有变动的，请以书面形式通知履约保证金收取单位，否则由此产生的后果由成交供应商自行承担。</w:t>
      </w:r>
    </w:p>
    <w:p w14:paraId="1E4AB91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66D7EAF7">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40C8236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29CF118F">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7BB4F642">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1F06D3AA">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D8AC689">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6470EF43">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1CA9D4E3">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62050AEA">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60C220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0EC05380">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003368A7">
      <w:pPr>
        <w:pStyle w:val="7"/>
        <w:spacing w:line="360" w:lineRule="auto"/>
        <w:rPr>
          <w:rFonts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1BDADA9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546AE13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48EFEFA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4848114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17A9ADE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218A88D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50D0D25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3B7FBCC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5EA8859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313A30B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4822B96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2879637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18DE72D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127C33E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14EBFC0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3268B68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DC0D54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4C76E167">
      <w:pPr>
        <w:spacing w:line="360" w:lineRule="auto"/>
        <w:ind w:firstLine="420" w:firstLineChars="200"/>
        <w:rPr>
          <w:rFonts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6F36187">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4D47E318">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.1代理服务收取标准及缴费账户详见“供应商须知前附表”，供应商为联合体的，可以由联合体中的一方或者多方共同交纳代理服务费。</w:t>
      </w:r>
    </w:p>
    <w:p w14:paraId="41C5A257">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0CCB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ign w:val="top"/>
          </w:tcPr>
          <w:p w14:paraId="22EB2FD8">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23BF5C60">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noWrap/>
            <w:vAlign w:val="center"/>
          </w:tcPr>
          <w:p w14:paraId="3E0CA6C8">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noWrap/>
            <w:vAlign w:val="center"/>
          </w:tcPr>
          <w:p w14:paraId="52B4BD4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noWrap/>
            <w:vAlign w:val="center"/>
          </w:tcPr>
          <w:p w14:paraId="023F01F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1FF3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ign w:val="top"/>
          </w:tcPr>
          <w:p w14:paraId="2ED19D5E">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vAlign w:val="top"/>
          </w:tcPr>
          <w:p w14:paraId="6B964562">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noWrap/>
            <w:vAlign w:val="top"/>
          </w:tcPr>
          <w:p w14:paraId="5B10AB16">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noWrap/>
            <w:vAlign w:val="top"/>
          </w:tcPr>
          <w:p w14:paraId="2E01E69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3B8C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ign w:val="top"/>
          </w:tcPr>
          <w:p w14:paraId="1D6B9086">
            <w:pPr>
              <w:spacing w:line="360" w:lineRule="auto"/>
              <w:rPr>
                <w:rFonts w:ascii="宋体" w:hAnsi="宋体" w:cs="宋体"/>
                <w:color w:val="auto"/>
                <w:szCs w:val="21"/>
                <w:highlight w:val="none"/>
              </w:rPr>
            </w:pPr>
            <w:r>
              <w:rPr>
                <w:rFonts w:hint="eastAsia" w:ascii="宋体" w:hAnsi="宋体" w:cs="宋体"/>
                <w:color w:val="auto"/>
                <w:szCs w:val="21"/>
                <w:highlight w:val="none"/>
              </w:rPr>
              <w:t>100万～500万元</w:t>
            </w:r>
          </w:p>
        </w:tc>
        <w:tc>
          <w:tcPr>
            <w:tcW w:w="1659" w:type="dxa"/>
            <w:noWrap/>
            <w:vAlign w:val="top"/>
          </w:tcPr>
          <w:p w14:paraId="3895FE5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noWrap/>
            <w:vAlign w:val="top"/>
          </w:tcPr>
          <w:p w14:paraId="1FFEC38E">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noWrap/>
            <w:vAlign w:val="top"/>
          </w:tcPr>
          <w:p w14:paraId="655F2A2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3978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ign w:val="top"/>
          </w:tcPr>
          <w:p w14:paraId="3DA78F12">
            <w:pPr>
              <w:spacing w:line="360" w:lineRule="auto"/>
              <w:rPr>
                <w:rFonts w:ascii="宋体" w:hAnsi="宋体" w:cs="宋体"/>
                <w:color w:val="auto"/>
                <w:szCs w:val="21"/>
                <w:highlight w:val="none"/>
              </w:rPr>
            </w:pPr>
            <w:r>
              <w:rPr>
                <w:rFonts w:hint="eastAsia" w:ascii="宋体" w:hAnsi="宋体" w:cs="宋体"/>
                <w:color w:val="auto"/>
                <w:szCs w:val="21"/>
                <w:highlight w:val="none"/>
              </w:rPr>
              <w:t>500万～1000万元</w:t>
            </w:r>
          </w:p>
        </w:tc>
        <w:tc>
          <w:tcPr>
            <w:tcW w:w="1659" w:type="dxa"/>
            <w:noWrap/>
            <w:vAlign w:val="top"/>
          </w:tcPr>
          <w:p w14:paraId="782B7F69">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noWrap/>
            <w:vAlign w:val="top"/>
          </w:tcPr>
          <w:p w14:paraId="5C3CB23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noWrap/>
            <w:vAlign w:val="top"/>
          </w:tcPr>
          <w:p w14:paraId="0065516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438F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ign w:val="top"/>
          </w:tcPr>
          <w:p w14:paraId="705C9204">
            <w:pPr>
              <w:spacing w:line="360" w:lineRule="auto"/>
              <w:rPr>
                <w:rFonts w:ascii="宋体" w:hAnsi="宋体" w:cs="宋体"/>
                <w:color w:val="auto"/>
                <w:szCs w:val="21"/>
                <w:highlight w:val="none"/>
              </w:rPr>
            </w:pPr>
            <w:r>
              <w:rPr>
                <w:rFonts w:hint="eastAsia" w:ascii="宋体" w:hAnsi="宋体" w:cs="宋体"/>
                <w:color w:val="auto"/>
                <w:szCs w:val="21"/>
                <w:highlight w:val="none"/>
              </w:rPr>
              <w:t>1000万～5000万元</w:t>
            </w:r>
          </w:p>
        </w:tc>
        <w:tc>
          <w:tcPr>
            <w:tcW w:w="1659" w:type="dxa"/>
            <w:noWrap/>
            <w:vAlign w:val="top"/>
          </w:tcPr>
          <w:p w14:paraId="3724252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noWrap/>
            <w:vAlign w:val="top"/>
          </w:tcPr>
          <w:p w14:paraId="4B43FD0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noWrap/>
            <w:vAlign w:val="top"/>
          </w:tcPr>
          <w:p w14:paraId="6F16802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5E38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ign w:val="top"/>
          </w:tcPr>
          <w:p w14:paraId="53D334F7">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vAlign w:val="top"/>
          </w:tcPr>
          <w:p w14:paraId="087FF37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noWrap/>
            <w:vAlign w:val="top"/>
          </w:tcPr>
          <w:p w14:paraId="5FE4BAC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noWrap/>
            <w:vAlign w:val="top"/>
          </w:tcPr>
          <w:p w14:paraId="13FC7E9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36F2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ign w:val="top"/>
          </w:tcPr>
          <w:p w14:paraId="5EF8FC6F">
            <w:pPr>
              <w:spacing w:line="360" w:lineRule="auto"/>
              <w:rPr>
                <w:rFonts w:ascii="宋体" w:hAnsi="宋体" w:cs="宋体"/>
                <w:color w:val="auto"/>
                <w:szCs w:val="21"/>
                <w:highlight w:val="none"/>
              </w:rPr>
            </w:pPr>
            <w:r>
              <w:rPr>
                <w:rFonts w:hint="eastAsia" w:ascii="宋体" w:hAnsi="宋体" w:cs="宋体"/>
                <w:color w:val="auto"/>
                <w:szCs w:val="21"/>
                <w:highlight w:val="none"/>
              </w:rPr>
              <w:t>1亿～5亿元</w:t>
            </w:r>
          </w:p>
        </w:tc>
        <w:tc>
          <w:tcPr>
            <w:tcW w:w="1659" w:type="dxa"/>
            <w:noWrap/>
            <w:vAlign w:val="top"/>
          </w:tcPr>
          <w:p w14:paraId="23511BD1">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noWrap/>
            <w:vAlign w:val="top"/>
          </w:tcPr>
          <w:p w14:paraId="50F31977">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noWrap/>
            <w:vAlign w:val="top"/>
          </w:tcPr>
          <w:p w14:paraId="7FCD87A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1F2A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ign w:val="top"/>
          </w:tcPr>
          <w:p w14:paraId="22348100">
            <w:pPr>
              <w:spacing w:line="360" w:lineRule="auto"/>
              <w:rPr>
                <w:rFonts w:ascii="宋体" w:hAnsi="宋体" w:cs="宋体"/>
                <w:color w:val="auto"/>
                <w:szCs w:val="21"/>
                <w:highlight w:val="none"/>
              </w:rPr>
            </w:pPr>
            <w:r>
              <w:rPr>
                <w:rFonts w:hint="eastAsia" w:ascii="宋体" w:hAnsi="宋体" w:cs="宋体"/>
                <w:color w:val="auto"/>
                <w:szCs w:val="21"/>
                <w:highlight w:val="none"/>
              </w:rPr>
              <w:t>5亿～10亿元</w:t>
            </w:r>
          </w:p>
        </w:tc>
        <w:tc>
          <w:tcPr>
            <w:tcW w:w="1659" w:type="dxa"/>
            <w:noWrap/>
            <w:vAlign w:val="top"/>
          </w:tcPr>
          <w:p w14:paraId="0FEBA7ED">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noWrap/>
            <w:vAlign w:val="top"/>
          </w:tcPr>
          <w:p w14:paraId="29DCC63B">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noWrap/>
            <w:vAlign w:val="top"/>
          </w:tcPr>
          <w:p w14:paraId="34EF71DC">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7141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ign w:val="top"/>
          </w:tcPr>
          <w:p w14:paraId="0EAD7C25">
            <w:pPr>
              <w:spacing w:line="360" w:lineRule="auto"/>
              <w:rPr>
                <w:rFonts w:ascii="宋体" w:hAnsi="宋体" w:cs="宋体"/>
                <w:color w:val="auto"/>
                <w:szCs w:val="21"/>
                <w:highlight w:val="none"/>
              </w:rPr>
            </w:pPr>
            <w:r>
              <w:rPr>
                <w:rFonts w:hint="eastAsia" w:ascii="宋体" w:hAnsi="宋体" w:cs="宋体"/>
                <w:color w:val="auto"/>
                <w:szCs w:val="21"/>
                <w:highlight w:val="none"/>
              </w:rPr>
              <w:t>10亿～50亿元</w:t>
            </w:r>
          </w:p>
        </w:tc>
        <w:tc>
          <w:tcPr>
            <w:tcW w:w="1659" w:type="dxa"/>
            <w:noWrap/>
            <w:vAlign w:val="top"/>
          </w:tcPr>
          <w:p w14:paraId="57782D44">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noWrap/>
            <w:vAlign w:val="top"/>
          </w:tcPr>
          <w:p w14:paraId="267DA91E">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noWrap/>
            <w:vAlign w:val="top"/>
          </w:tcPr>
          <w:p w14:paraId="7E4CE098">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31C0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ign w:val="top"/>
          </w:tcPr>
          <w:p w14:paraId="0923ED30">
            <w:pPr>
              <w:spacing w:line="360" w:lineRule="auto"/>
              <w:rPr>
                <w:rFonts w:ascii="宋体" w:hAnsi="宋体" w:cs="宋体"/>
                <w:color w:val="auto"/>
                <w:szCs w:val="21"/>
                <w:highlight w:val="none"/>
              </w:rPr>
            </w:pPr>
            <w:r>
              <w:rPr>
                <w:rFonts w:hint="eastAsia" w:ascii="宋体" w:hAnsi="宋体" w:cs="宋体"/>
                <w:color w:val="auto"/>
                <w:szCs w:val="21"/>
                <w:highlight w:val="none"/>
              </w:rPr>
              <w:t>50亿～100亿元</w:t>
            </w:r>
          </w:p>
        </w:tc>
        <w:tc>
          <w:tcPr>
            <w:tcW w:w="1659" w:type="dxa"/>
            <w:noWrap/>
            <w:vAlign w:val="top"/>
          </w:tcPr>
          <w:p w14:paraId="077EB89F">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noWrap/>
            <w:vAlign w:val="top"/>
          </w:tcPr>
          <w:p w14:paraId="13DBF9B6">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noWrap/>
            <w:vAlign w:val="top"/>
          </w:tcPr>
          <w:p w14:paraId="31057478">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1976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ign w:val="top"/>
          </w:tcPr>
          <w:p w14:paraId="22441423">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noWrap/>
            <w:vAlign w:val="top"/>
          </w:tcPr>
          <w:p w14:paraId="2B12D8BD">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noWrap/>
            <w:vAlign w:val="top"/>
          </w:tcPr>
          <w:p w14:paraId="42607505">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noWrap/>
            <w:vAlign w:val="top"/>
          </w:tcPr>
          <w:p w14:paraId="5EBCB9A2">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5C23FB6C">
      <w:pPr>
        <w:spacing w:line="360" w:lineRule="auto"/>
        <w:ind w:firstLine="420" w:firstLineChars="200"/>
        <w:rPr>
          <w:rFonts w:ascii="宋体" w:hAnsi="宋体" w:cs="宋体"/>
          <w:color w:val="auto"/>
          <w:highlight w:val="none"/>
        </w:rPr>
      </w:pPr>
      <w:r>
        <w:rPr>
          <w:rFonts w:ascii="宋体" w:hAnsi="宋体" w:cs="宋体"/>
          <w:color w:val="auto"/>
          <w:highlight w:val="none"/>
        </w:rPr>
        <w:t>注：</w:t>
      </w:r>
    </w:p>
    <w:p w14:paraId="2524F6F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21B1994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5ECE4666">
      <w:pPr>
        <w:spacing w:line="360" w:lineRule="auto"/>
        <w:ind w:firstLine="420" w:firstLineChars="200"/>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服务采购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6B98E5A5">
      <w:pPr>
        <w:spacing w:line="360" w:lineRule="auto"/>
        <w:ind w:firstLine="420" w:firstLineChars="200"/>
        <w:rPr>
          <w:rFonts w:ascii="宋体" w:hAnsi="宋体" w:cs="宋体"/>
          <w:color w:val="auto"/>
          <w:highlight w:val="none"/>
        </w:rPr>
      </w:pPr>
      <w:r>
        <w:rPr>
          <w:rFonts w:ascii="宋体" w:hAnsi="宋体" w:cs="宋体"/>
          <w:color w:val="auto"/>
          <w:highlight w:val="none"/>
        </w:rPr>
        <w:t>100 万元 ×l.5 %＝ 1.5 万元</w:t>
      </w:r>
    </w:p>
    <w:p w14:paraId="0DB03396">
      <w:pPr>
        <w:spacing w:line="360" w:lineRule="auto"/>
        <w:ind w:firstLine="420" w:firstLineChars="200"/>
        <w:rPr>
          <w:rFonts w:ascii="宋体" w:hAnsi="宋体" w:cs="宋体"/>
          <w:color w:val="auto"/>
          <w:highlight w:val="none"/>
        </w:rPr>
      </w:pPr>
      <w:r>
        <w:rPr>
          <w:rFonts w:ascii="宋体" w:hAnsi="宋体" w:cs="宋体"/>
          <w:color w:val="auto"/>
          <w:highlight w:val="none"/>
        </w:rPr>
        <w:t>（ 150 － 100 ）万元 ×0.8%＝ 0.4万元</w:t>
      </w:r>
    </w:p>
    <w:p w14:paraId="7EF9B3C9">
      <w:pPr>
        <w:spacing w:line="360" w:lineRule="auto"/>
        <w:ind w:firstLine="420" w:firstLineChars="200"/>
        <w:rPr>
          <w:rFonts w:ascii="宋体" w:hAnsi="宋体" w:cs="宋体"/>
          <w:color w:val="auto"/>
          <w:highlight w:val="none"/>
        </w:rPr>
      </w:pPr>
      <w:r>
        <w:rPr>
          <w:rFonts w:ascii="宋体" w:hAnsi="宋体" w:cs="宋体"/>
          <w:color w:val="auto"/>
          <w:highlight w:val="none"/>
        </w:rPr>
        <w:t>合计收费＝ 1.5 ＋ 0.4＝ 1.9 万元</w:t>
      </w:r>
    </w:p>
    <w:p w14:paraId="05177B9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730A65F0">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本磋商文件解释规则详见“供应商须知前附表”。</w:t>
      </w:r>
    </w:p>
    <w:p w14:paraId="60846FB5">
      <w:pPr>
        <w:pStyle w:val="15"/>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33.2</w:t>
      </w:r>
      <w:r>
        <w:rPr>
          <w:rFonts w:hint="eastAsia" w:hAnsi="宋体" w:cs="宋体"/>
          <w:color w:val="auto"/>
          <w:kern w:val="2"/>
          <w:sz w:val="21"/>
          <w:highlight w:val="none"/>
        </w:rPr>
        <w:t xml:space="preserve"> 其他事项详见“供应商须知前附表”。</w:t>
      </w:r>
    </w:p>
    <w:p w14:paraId="4F0C2608">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6DDCF905">
      <w:pPr>
        <w:pStyle w:val="15"/>
        <w:spacing w:line="360" w:lineRule="auto"/>
        <w:ind w:firstLine="420" w:firstLineChars="20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7180C032">
      <w:pPr>
        <w:pStyle w:val="15"/>
        <w:spacing w:line="360" w:lineRule="auto"/>
        <w:ind w:firstLine="420" w:firstLineChars="20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346DD4BD">
      <w:pPr>
        <w:pStyle w:val="15"/>
        <w:spacing w:line="360" w:lineRule="auto"/>
        <w:ind w:firstLine="420" w:firstLineChars="20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B3030EC">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494C4A8E">
      <w:pPr>
        <w:pStyle w:val="15"/>
        <w:spacing w:line="360" w:lineRule="auto"/>
        <w:ind w:firstLine="420" w:firstLineChars="200"/>
        <w:textAlignment w:val="center"/>
        <w:rPr>
          <w:b/>
          <w:bCs/>
          <w:color w:val="auto"/>
          <w:sz w:val="18"/>
          <w:szCs w:val="18"/>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r>
        <w:rPr>
          <w:rFonts w:hAnsi="宋体"/>
          <w:b/>
          <w:color w:val="auto"/>
          <w:highlight w:val="none"/>
        </w:rPr>
        <w:br w:type="page"/>
      </w:r>
    </w:p>
    <w:p w14:paraId="3081029B">
      <w:pPr>
        <w:jc w:val="left"/>
        <w:rPr>
          <w:rFonts w:hAnsi="宋体"/>
          <w:b/>
          <w:color w:val="auto"/>
          <w:sz w:val="32"/>
          <w:szCs w:val="32"/>
          <w:highlight w:val="none"/>
        </w:rPr>
      </w:pPr>
    </w:p>
    <w:p w14:paraId="5682D64A">
      <w:pPr>
        <w:pStyle w:val="3"/>
        <w:jc w:val="center"/>
        <w:rPr>
          <w:color w:val="auto"/>
          <w:highlight w:val="none"/>
        </w:rPr>
      </w:pPr>
      <w:bookmarkStart w:id="78" w:name="_Toc74323458"/>
      <w:r>
        <w:rPr>
          <w:rFonts w:hint="eastAsia"/>
          <w:color w:val="auto"/>
          <w:highlight w:val="none"/>
        </w:rPr>
        <w:t>第三章 采购需求</w:t>
      </w:r>
      <w:bookmarkEnd w:id="78"/>
    </w:p>
    <w:p w14:paraId="7501880B">
      <w:pPr>
        <w:spacing w:line="440" w:lineRule="exact"/>
        <w:jc w:val="center"/>
        <w:rPr>
          <w:rFonts w:ascii="宋体" w:hAnsi="宋体"/>
          <w:b/>
          <w:color w:val="auto"/>
          <w:sz w:val="32"/>
          <w:szCs w:val="32"/>
          <w:highlight w:val="none"/>
        </w:rPr>
      </w:pPr>
      <w:r>
        <w:rPr>
          <w:rFonts w:hint="eastAsia" w:ascii="宋体" w:hAnsi="宋体"/>
          <w:b/>
          <w:color w:val="auto"/>
          <w:sz w:val="32"/>
          <w:szCs w:val="32"/>
          <w:highlight w:val="none"/>
        </w:rPr>
        <w:t>采购项目技术规格、参数及要求</w:t>
      </w:r>
    </w:p>
    <w:p w14:paraId="22AE0486">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14:paraId="7B020F37">
      <w:pPr>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1.为落实政府采购政策需满足的要求</w:t>
      </w:r>
    </w:p>
    <w:p w14:paraId="285E07C9">
      <w:pPr>
        <w:spacing w:line="440" w:lineRule="exact"/>
        <w:ind w:firstLine="420" w:firstLineChars="200"/>
        <w:rPr>
          <w:rFonts w:ascii="宋体" w:hAnsi="宋体"/>
          <w:color w:val="auto"/>
          <w:szCs w:val="21"/>
          <w:highlight w:val="none"/>
        </w:rPr>
      </w:pPr>
      <w:r>
        <w:rPr>
          <w:rFonts w:hint="eastAsia" w:ascii="宋体" w:hAnsi="宋体"/>
          <w:bCs/>
          <w:color w:val="auto"/>
          <w:szCs w:val="21"/>
          <w:highlight w:val="none"/>
        </w:rPr>
        <w:t>本项目为专门面向中小企业预留项目，参加本项目磋商的供应商必须为中型或小型或微型企业或监狱企业或残疾人福利性单位。</w:t>
      </w:r>
    </w:p>
    <w:p w14:paraId="3F6A7AC7">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2.“实质性要求”是指采购需求中带“▲”的条款或者不能负偏离的条款或者已经指明不满足按响应文件按无效处理的条款。</w:t>
      </w:r>
    </w:p>
    <w:p w14:paraId="621602A5">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供应商应根据自身实际情况如实响应磋商文件，对磋商文件提出的要求和条件作出明确响应，否则将作无效响应处理。对于重要技术条款或技术参数应当在响应文件中提供技术支持资料，技术支持资料以磋商文件中规定的形式为准，否则将视为无效技术支持资料。</w:t>
      </w:r>
    </w:p>
    <w:p w14:paraId="6EDFB98C">
      <w:pPr>
        <w:spacing w:line="360" w:lineRule="auto"/>
        <w:ind w:firstLine="424" w:firstLineChars="202"/>
        <w:jc w:val="left"/>
        <w:rPr>
          <w:rFonts w:ascii="宋体" w:hAnsi="宋体" w:cs="Arial"/>
          <w:bCs/>
          <w:color w:val="auto"/>
          <w:szCs w:val="21"/>
          <w:highlight w:val="none"/>
          <w:u w:val="single"/>
        </w:rPr>
      </w:pPr>
      <w:r>
        <w:rPr>
          <w:rFonts w:hint="eastAsia" w:ascii="宋体" w:hAnsi="宋体" w:cs="宋体"/>
          <w:color w:val="auto"/>
          <w:szCs w:val="21"/>
          <w:highlight w:val="none"/>
        </w:rPr>
        <w:t>4.</w:t>
      </w:r>
      <w:r>
        <w:rPr>
          <w:rFonts w:hint="eastAsia"/>
          <w:color w:val="auto"/>
          <w:highlight w:val="none"/>
        </w:rPr>
        <w:t>供应商必须自行为其竞标产品侵犯他人的知识产权或者专利成果的行为承担相应法律责任。</w:t>
      </w:r>
    </w:p>
    <w:p w14:paraId="76A9B972">
      <w:pPr>
        <w:spacing w:line="360" w:lineRule="auto"/>
        <w:ind w:firstLine="308" w:firstLineChars="147"/>
        <w:jc w:val="left"/>
        <w:rPr>
          <w:rFonts w:ascii="宋体" w:hAnsi="宋体" w:cs="Arial"/>
          <w:b/>
          <w:color w:val="auto"/>
          <w:szCs w:val="21"/>
          <w:highlight w:val="none"/>
          <w:u w:val="single"/>
        </w:rPr>
      </w:pPr>
      <w:r>
        <w:rPr>
          <w:rFonts w:hint="eastAsia" w:ascii="宋体" w:hAnsi="宋体" w:cs="Arial"/>
          <w:bCs/>
          <w:color w:val="auto"/>
          <w:szCs w:val="21"/>
          <w:highlight w:val="none"/>
          <w:u w:val="single"/>
        </w:rPr>
        <w:t>A</w:t>
      </w:r>
      <w:r>
        <w:rPr>
          <w:rFonts w:hint="eastAsia" w:ascii="宋体" w:hAnsi="宋体"/>
          <w:b/>
          <w:color w:val="auto"/>
          <w:szCs w:val="21"/>
          <w:highlight w:val="none"/>
        </w:rPr>
        <w:t>分标      采购预算：</w:t>
      </w:r>
      <w:r>
        <w:rPr>
          <w:rFonts w:hint="eastAsia" w:ascii="宋体" w:hAnsi="宋体" w:cs="Arial"/>
          <w:b/>
          <w:color w:val="auto"/>
          <w:szCs w:val="21"/>
          <w:highlight w:val="none"/>
          <w:u w:val="single"/>
        </w:rPr>
        <w:t>81万元</w:t>
      </w:r>
    </w:p>
    <w:tbl>
      <w:tblPr>
        <w:tblStyle w:val="2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1"/>
        <w:gridCol w:w="869"/>
        <w:gridCol w:w="703"/>
        <w:gridCol w:w="766"/>
        <w:gridCol w:w="4792"/>
        <w:gridCol w:w="1107"/>
      </w:tblGrid>
      <w:tr w14:paraId="3723D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70" w:type="pct"/>
            <w:noWrap/>
            <w:vAlign w:val="center"/>
          </w:tcPr>
          <w:p w14:paraId="15694392">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509" w:type="pct"/>
            <w:noWrap/>
            <w:vAlign w:val="center"/>
          </w:tcPr>
          <w:p w14:paraId="2FCAFC04">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412" w:type="pct"/>
            <w:noWrap/>
            <w:vAlign w:val="center"/>
          </w:tcPr>
          <w:p w14:paraId="52995DE4">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449" w:type="pct"/>
            <w:noWrap/>
            <w:vAlign w:val="center"/>
          </w:tcPr>
          <w:p w14:paraId="1883E8EA">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所属</w:t>
            </w:r>
          </w:p>
          <w:p w14:paraId="738FECD4">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2809" w:type="pct"/>
            <w:noWrap/>
            <w:vAlign w:val="center"/>
          </w:tcPr>
          <w:p w14:paraId="0EDAC7E2">
            <w:pPr>
              <w:tabs>
                <w:tab w:val="left" w:pos="180"/>
                <w:tab w:val="left" w:pos="1620"/>
              </w:tabs>
              <w:spacing w:line="400" w:lineRule="exact"/>
              <w:jc w:val="center"/>
              <w:rPr>
                <w:rFonts w:ascii="宋体" w:hAnsi="宋体" w:cs="宋体"/>
                <w:color w:val="auto"/>
                <w:szCs w:val="21"/>
                <w:highlight w:val="none"/>
              </w:rPr>
            </w:pPr>
            <w:r>
              <w:rPr>
                <w:rFonts w:hint="eastAsia" w:ascii="宋体" w:hAnsi="宋体"/>
                <w:color w:val="auto"/>
                <w:szCs w:val="21"/>
                <w:highlight w:val="none"/>
              </w:rPr>
              <w:t>技术要求</w:t>
            </w:r>
          </w:p>
        </w:tc>
        <w:tc>
          <w:tcPr>
            <w:tcW w:w="649" w:type="pct"/>
            <w:noWrap/>
            <w:vAlign w:val="center"/>
          </w:tcPr>
          <w:p w14:paraId="44C30F46">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分项预算金额</w:t>
            </w:r>
          </w:p>
          <w:p w14:paraId="42801AD2">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（万元）</w:t>
            </w:r>
          </w:p>
        </w:tc>
      </w:tr>
      <w:tr w14:paraId="5D5D2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70" w:type="pct"/>
            <w:noWrap/>
            <w:vAlign w:val="center"/>
          </w:tcPr>
          <w:p w14:paraId="202E8028">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509" w:type="pct"/>
            <w:noWrap/>
            <w:vAlign w:val="center"/>
          </w:tcPr>
          <w:p w14:paraId="30394ABF">
            <w:pPr>
              <w:spacing w:line="400" w:lineRule="exact"/>
              <w:jc w:val="center"/>
              <w:rPr>
                <w:rFonts w:hint="eastAsia" w:ascii="宋体" w:hAnsi="宋体" w:eastAsia="宋体" w:cs="Calibri"/>
                <w:color w:val="auto"/>
                <w:szCs w:val="21"/>
                <w:highlight w:val="none"/>
                <w:lang w:eastAsia="zh-CN"/>
              </w:rPr>
            </w:pPr>
            <w:r>
              <w:rPr>
                <w:rFonts w:hint="eastAsia" w:ascii="宋体" w:hAnsi="宋体" w:cs="宋体"/>
                <w:color w:val="auto"/>
                <w:szCs w:val="21"/>
                <w:highlight w:val="none"/>
              </w:rPr>
              <w:t>小额贷款公司现场检查</w:t>
            </w:r>
            <w:r>
              <w:rPr>
                <w:rFonts w:hint="eastAsia" w:ascii="宋体" w:hAnsi="宋体" w:cs="宋体"/>
                <w:color w:val="auto"/>
                <w:szCs w:val="21"/>
                <w:highlight w:val="none"/>
                <w:lang w:eastAsia="zh-CN"/>
              </w:rPr>
              <w:t>与监管评级</w:t>
            </w:r>
          </w:p>
        </w:tc>
        <w:tc>
          <w:tcPr>
            <w:tcW w:w="412" w:type="pct"/>
            <w:noWrap/>
            <w:vAlign w:val="center"/>
          </w:tcPr>
          <w:p w14:paraId="060CA3A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449" w:type="pct"/>
            <w:noWrap/>
            <w:vAlign w:val="center"/>
          </w:tcPr>
          <w:p w14:paraId="632A85E4">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租赁和商务服务业</w:t>
            </w:r>
          </w:p>
        </w:tc>
        <w:tc>
          <w:tcPr>
            <w:tcW w:w="2809" w:type="pct"/>
            <w:noWrap/>
            <w:vAlign w:val="center"/>
          </w:tcPr>
          <w:p w14:paraId="05FF7050">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一、服务内容要求</w:t>
            </w:r>
          </w:p>
          <w:p w14:paraId="74CEBA13">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根据《小额贷款公司监督管理暂行办</w:t>
            </w:r>
            <w:r>
              <w:rPr>
                <w:rStyle w:val="31"/>
                <w:rFonts w:hint="eastAsia"/>
                <w:color w:val="auto"/>
                <w:highlight w:val="none"/>
                <w:lang w:val="en-US" w:eastAsia="zh-CN"/>
              </w:rPr>
              <w:t>法</w:t>
            </w:r>
            <w:r>
              <w:rPr>
                <w:rFonts w:hint="eastAsia" w:ascii="宋体" w:hAnsi="宋体" w:cs="Calibri"/>
                <w:color w:val="auto"/>
                <w:szCs w:val="21"/>
                <w:highlight w:val="none"/>
              </w:rPr>
              <w:t>》（金规〔2024〕26号）、《中国银保监会办公厅关于加强小额贷款公司监督管理的通知》（银保监办发〔2020〕86号）、《广西壮族自治区小额贷款公司管理办法》（桂政发〔2009〕71号）、《广西壮族自治区小额贷款公司监督管理指引（试行）》（桂金监贰〔2022〕5号）等有关文件，对采购人指定的广西壮族自治区内60家小额贷款公司</w:t>
            </w:r>
            <w:r>
              <w:rPr>
                <w:rStyle w:val="31"/>
                <w:rFonts w:hint="eastAsia"/>
                <w:color w:val="auto"/>
                <w:highlight w:val="none"/>
                <w:lang w:eastAsia="zh-CN"/>
              </w:rPr>
              <w:t>（签订合同后提供名单）</w:t>
            </w:r>
            <w:r>
              <w:rPr>
                <w:rFonts w:hint="eastAsia" w:ascii="宋体" w:hAnsi="宋体" w:cs="Calibri"/>
                <w:color w:val="auto"/>
                <w:szCs w:val="21"/>
                <w:highlight w:val="none"/>
              </w:rPr>
              <w:t>进行现场检查和监管评级（附件1：广西壮族自治区小额贷款公司2024年度监管评级评分表），对每家公司出具1份现场检查和监管评级报告（附监管评级评分表），以及出具1份行业现场检查和监管评级总报告（附监管评级评分汇总表、以前年度现场检查发现问题整改情况表、现场检查发现问题汇总表、现场检查发现问题明细表）。</w:t>
            </w:r>
          </w:p>
          <w:p w14:paraId="0B7BD5F3">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二、工作要求</w:t>
            </w:r>
          </w:p>
          <w:p w14:paraId="3F3524FF">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1.加强组织领导。供应商要统筹安排检查力量，组建精干检查组，为圆满完成检查任务提供有力的组织保障。</w:t>
            </w:r>
          </w:p>
          <w:p w14:paraId="076027DA">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2.保证工作质量。审计过程中要认真做好审计取证、审计工作底稿等基础性工作，做到事实清楚，证据充分，依据有力，定性准确。</w:t>
            </w:r>
          </w:p>
          <w:p w14:paraId="43465AE6">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3.加强沟通和协调。审计中，要及时向采购人反映审计过程的重要信息和成果，及时报告审计进展情况，如实反映审计中发现的问题。</w:t>
            </w:r>
          </w:p>
          <w:p w14:paraId="37512D10">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4.审计期间应当严格执行审计保密和廉洁工作纪律，对在审计中获得的资料和信息要严格保密，不能对外泄露，要按照审计署《关于加强审计纪律的规定》的“八不准”的规定，严肃纪律，树立良好审计形象。</w:t>
            </w:r>
          </w:p>
          <w:p w14:paraId="33950F14">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5.对每家公司出具考核复评和现场检查报告，并出具汇总报告。供应商应保守因现场检查所获悉的受评公司的商业秘密。供应商出具的考核复评和现场检查的结果和工作报告未经采购人许可，不得将评估资料清单、调查手册、结果及报告公开公布或泄露给第三方。</w:t>
            </w:r>
          </w:p>
        </w:tc>
        <w:tc>
          <w:tcPr>
            <w:tcW w:w="649" w:type="pct"/>
            <w:noWrap/>
            <w:vAlign w:val="center"/>
          </w:tcPr>
          <w:p w14:paraId="4ABB789C">
            <w:pPr>
              <w:spacing w:line="400" w:lineRule="exact"/>
              <w:jc w:val="center"/>
              <w:rPr>
                <w:rFonts w:ascii="宋体" w:hAnsi="宋体" w:cs="Calibri"/>
                <w:color w:val="auto"/>
                <w:szCs w:val="21"/>
                <w:highlight w:val="none"/>
              </w:rPr>
            </w:pPr>
            <w:r>
              <w:rPr>
                <w:rFonts w:hint="eastAsia" w:ascii="宋体" w:hAnsi="宋体" w:cs="Calibri"/>
                <w:color w:val="auto"/>
                <w:szCs w:val="21"/>
                <w:highlight w:val="none"/>
              </w:rPr>
              <w:t>36.00</w:t>
            </w:r>
          </w:p>
        </w:tc>
      </w:tr>
      <w:tr w14:paraId="74337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70" w:type="pct"/>
            <w:noWrap/>
            <w:vAlign w:val="center"/>
          </w:tcPr>
          <w:p w14:paraId="79B0D82D">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509" w:type="pct"/>
            <w:noWrap/>
            <w:vAlign w:val="center"/>
          </w:tcPr>
          <w:p w14:paraId="1FF1F6F8">
            <w:pPr>
              <w:spacing w:line="400" w:lineRule="exact"/>
              <w:jc w:val="center"/>
              <w:rPr>
                <w:rFonts w:ascii="宋体" w:hAnsi="宋体" w:cs="Calibri"/>
                <w:color w:val="auto"/>
                <w:szCs w:val="21"/>
                <w:highlight w:val="none"/>
              </w:rPr>
            </w:pPr>
            <w:r>
              <w:rPr>
                <w:rFonts w:hint="eastAsia" w:ascii="宋体" w:hAnsi="宋体" w:cs="Calibri"/>
                <w:color w:val="auto"/>
                <w:szCs w:val="21"/>
                <w:highlight w:val="none"/>
              </w:rPr>
              <w:t>典当行现场检查与监管评级</w:t>
            </w:r>
          </w:p>
        </w:tc>
        <w:tc>
          <w:tcPr>
            <w:tcW w:w="412" w:type="pct"/>
            <w:noWrap/>
            <w:vAlign w:val="center"/>
          </w:tcPr>
          <w:p w14:paraId="21A54E6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449" w:type="pct"/>
            <w:noWrap/>
            <w:vAlign w:val="center"/>
          </w:tcPr>
          <w:p w14:paraId="5B13604F">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租赁和商务服务业</w:t>
            </w:r>
          </w:p>
        </w:tc>
        <w:tc>
          <w:tcPr>
            <w:tcW w:w="2809" w:type="pct"/>
            <w:noWrap/>
            <w:vAlign w:val="center"/>
          </w:tcPr>
          <w:p w14:paraId="4857A26C">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一、服务内容要求</w:t>
            </w:r>
          </w:p>
          <w:p w14:paraId="0A7181E8">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根据《典当管理办法》（商务部、公安部2005年第8号令）、《典当行业监管规定》</w:t>
            </w:r>
            <w:r>
              <w:rPr>
                <w:rFonts w:hint="eastAsia" w:ascii="宋体" w:hAnsi="宋体" w:cs="Calibri"/>
                <w:color w:val="auto"/>
                <w:szCs w:val="21"/>
                <w:highlight w:val="none"/>
                <w:lang w:eastAsia="zh-CN"/>
              </w:rPr>
              <w:t>（</w:t>
            </w:r>
            <w:r>
              <w:rPr>
                <w:rFonts w:hint="eastAsia" w:ascii="宋体" w:hAnsi="宋体" w:cs="Calibri"/>
                <w:color w:val="auto"/>
                <w:szCs w:val="21"/>
                <w:highlight w:val="none"/>
              </w:rPr>
              <w:t>商流通发〔2012〕423号</w:t>
            </w:r>
            <w:r>
              <w:rPr>
                <w:rFonts w:hint="eastAsia" w:ascii="宋体" w:hAnsi="宋体" w:cs="Calibri"/>
                <w:color w:val="auto"/>
                <w:szCs w:val="21"/>
                <w:highlight w:val="none"/>
                <w:lang w:eastAsia="zh-CN"/>
              </w:rPr>
              <w:t>）</w:t>
            </w:r>
            <w:r>
              <w:rPr>
                <w:rFonts w:hint="eastAsia" w:ascii="宋体" w:hAnsi="宋体" w:cs="Calibri"/>
                <w:color w:val="auto"/>
                <w:szCs w:val="21"/>
                <w:highlight w:val="none"/>
              </w:rPr>
              <w:t>、《中国银保监会办公厅关于加强典当行监督管理的通知》（银保监办发〔2020〕38号）、《广西壮族自治区典当行监督管理指引（试行）》（桂金监贰〔2021〕9号）等有关文件，对采购人指定的广西壮族自治区内30家典当行</w:t>
            </w:r>
            <w:r>
              <w:rPr>
                <w:rFonts w:hint="eastAsia" w:ascii="宋体" w:hAnsi="宋体" w:cs="Calibri"/>
                <w:color w:val="auto"/>
                <w:szCs w:val="21"/>
                <w:highlight w:val="none"/>
                <w:lang w:eastAsia="zh-CN"/>
              </w:rPr>
              <w:t>（签订合同后提供名单）</w:t>
            </w:r>
            <w:r>
              <w:rPr>
                <w:rFonts w:hint="eastAsia" w:ascii="宋体" w:hAnsi="宋体" w:cs="Calibri"/>
                <w:color w:val="auto"/>
                <w:szCs w:val="21"/>
                <w:highlight w:val="none"/>
              </w:rPr>
              <w:t>进行现场检查和监管评级（附件</w:t>
            </w:r>
            <w:r>
              <w:rPr>
                <w:rFonts w:hint="eastAsia" w:ascii="宋体" w:hAnsi="宋体" w:cs="Calibri"/>
                <w:color w:val="auto"/>
                <w:szCs w:val="21"/>
                <w:highlight w:val="none"/>
                <w:lang w:val="en-US" w:eastAsia="zh-CN"/>
              </w:rPr>
              <w:t>2</w:t>
            </w:r>
            <w:r>
              <w:rPr>
                <w:rFonts w:hint="eastAsia" w:ascii="宋体" w:hAnsi="宋体" w:cs="Calibri"/>
                <w:color w:val="auto"/>
                <w:szCs w:val="21"/>
                <w:highlight w:val="none"/>
              </w:rPr>
              <w:t>：广西壮族自治区典当行2024年度监管评级评分表），对每家公司出具1份现场检查和监管评级报告（附监管评级评分表），以及出具1份行业现场检查和监管评级总报告（附监管评级评分汇总表、以前年度现场检查发现问题整改情况表、现场检查发现问题汇总表、现场检查发现问题明细表）。</w:t>
            </w:r>
          </w:p>
          <w:p w14:paraId="0157E19F">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二、工作要求</w:t>
            </w:r>
          </w:p>
          <w:p w14:paraId="71A413F4">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1.加强组织领导。供应商要统筹安排检查力量，组建精干检查组，为圆满完成检查任务提供有力的组织保障。</w:t>
            </w:r>
          </w:p>
          <w:p w14:paraId="48104B0B">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2.保证工作质量。审计过程中要认真做好审计取证、审计工作底稿等基础性工作，做到事实清楚，证据充分，依据有力，定性准确。</w:t>
            </w:r>
          </w:p>
          <w:p w14:paraId="02DB84E5">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3.加强沟通和协调。审计中，要及时向采购人反映审计过程的重要信息和成果，及时报告审计进展情况，如实反映审计中发现的问题。</w:t>
            </w:r>
          </w:p>
          <w:p w14:paraId="21A00A34">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4.审计期间应当严格执行审计保密和廉洁工作纪律，对在审计中获得的资料和信息要严格保密，不能对外泄露，要按照审计署《关于加强审计纪律的规定》的“八不准”的规定，严肃纪律，树立良好审计形象。</w:t>
            </w:r>
          </w:p>
          <w:p w14:paraId="2D0D61FE">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5.对每家公司出具考核复评和现场检查报告，并出具汇总报告。供应商应保守因现场检查所获悉的受评公司的商业秘密。供应商出具的考核复评和现场检查的结果和工作报告未经采购人许可，不得将评估资料清单、调查手册、结果及报告公开公布或泄露给第三方。</w:t>
            </w:r>
          </w:p>
        </w:tc>
        <w:tc>
          <w:tcPr>
            <w:tcW w:w="649" w:type="pct"/>
            <w:noWrap/>
            <w:vAlign w:val="center"/>
          </w:tcPr>
          <w:p w14:paraId="7CF4487F">
            <w:pPr>
              <w:spacing w:line="400" w:lineRule="exact"/>
              <w:jc w:val="center"/>
              <w:rPr>
                <w:rFonts w:ascii="宋体" w:hAnsi="宋体" w:cs="Calibri"/>
                <w:color w:val="auto"/>
                <w:szCs w:val="21"/>
                <w:highlight w:val="none"/>
              </w:rPr>
            </w:pPr>
            <w:r>
              <w:rPr>
                <w:rFonts w:hint="eastAsia" w:ascii="宋体" w:hAnsi="宋体" w:cs="Calibri"/>
                <w:color w:val="auto"/>
                <w:szCs w:val="21"/>
                <w:highlight w:val="none"/>
              </w:rPr>
              <w:t>15.00</w:t>
            </w:r>
          </w:p>
        </w:tc>
      </w:tr>
      <w:tr w14:paraId="7CB28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70" w:type="pct"/>
            <w:noWrap/>
            <w:vAlign w:val="center"/>
          </w:tcPr>
          <w:p w14:paraId="79EE50B8">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509" w:type="pct"/>
            <w:noWrap/>
            <w:vAlign w:val="center"/>
          </w:tcPr>
          <w:p w14:paraId="16924E9D">
            <w:pPr>
              <w:spacing w:line="400" w:lineRule="exact"/>
              <w:jc w:val="center"/>
              <w:rPr>
                <w:rFonts w:ascii="宋体" w:hAnsi="宋体" w:cs="Calibri"/>
                <w:color w:val="auto"/>
                <w:szCs w:val="21"/>
                <w:highlight w:val="none"/>
              </w:rPr>
            </w:pPr>
            <w:r>
              <w:rPr>
                <w:rFonts w:hint="eastAsia" w:ascii="宋体" w:hAnsi="宋体" w:cs="仿宋_GB2312"/>
                <w:color w:val="auto"/>
                <w:szCs w:val="21"/>
                <w:highlight w:val="none"/>
              </w:rPr>
              <w:t>地方资产管理公司现场检查与监管评级</w:t>
            </w:r>
          </w:p>
        </w:tc>
        <w:tc>
          <w:tcPr>
            <w:tcW w:w="412" w:type="pct"/>
            <w:noWrap/>
            <w:vAlign w:val="center"/>
          </w:tcPr>
          <w:p w14:paraId="621010A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449" w:type="pct"/>
            <w:noWrap/>
            <w:vAlign w:val="center"/>
          </w:tcPr>
          <w:p w14:paraId="150967B3">
            <w:pPr>
              <w:tabs>
                <w:tab w:val="left" w:pos="180"/>
                <w:tab w:val="left" w:pos="1620"/>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租赁和商务服务业</w:t>
            </w:r>
          </w:p>
        </w:tc>
        <w:tc>
          <w:tcPr>
            <w:tcW w:w="2809" w:type="pct"/>
            <w:noWrap/>
            <w:vAlign w:val="center"/>
          </w:tcPr>
          <w:p w14:paraId="7C4FAD6D">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一、服务内容要求</w:t>
            </w:r>
          </w:p>
          <w:p w14:paraId="32E5C81D">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根据《中国银保监会办公厅关于加强地方资产管理公司监督管理工作的通知》（银保监办发〔2019〕153号）、《广西壮族自治区地方资产管理公司监督管理指引（试行）》（桂金监贰〔2021〕7号）等有关文件，对2家地方资产管理公司</w:t>
            </w:r>
            <w:r>
              <w:rPr>
                <w:rFonts w:hint="eastAsia" w:ascii="宋体" w:hAnsi="宋体" w:cs="Calibri"/>
                <w:color w:val="auto"/>
                <w:szCs w:val="21"/>
                <w:highlight w:val="none"/>
                <w:lang w:eastAsia="zh-CN"/>
              </w:rPr>
              <w:t>（签订合同后提供名单）</w:t>
            </w:r>
            <w:r>
              <w:rPr>
                <w:rFonts w:hint="eastAsia" w:ascii="宋体" w:hAnsi="宋体" w:cs="Calibri"/>
                <w:color w:val="auto"/>
                <w:szCs w:val="21"/>
                <w:highlight w:val="none"/>
              </w:rPr>
              <w:t>开展2024年度监管评级（附件</w:t>
            </w:r>
            <w:r>
              <w:rPr>
                <w:rFonts w:hint="eastAsia" w:ascii="宋体" w:hAnsi="宋体" w:cs="Calibri"/>
                <w:color w:val="auto"/>
                <w:szCs w:val="21"/>
                <w:highlight w:val="none"/>
                <w:lang w:val="en-US" w:eastAsia="zh-CN"/>
              </w:rPr>
              <w:t>3</w:t>
            </w:r>
            <w:r>
              <w:rPr>
                <w:rFonts w:hint="eastAsia" w:ascii="宋体" w:hAnsi="宋体" w:cs="Calibri"/>
                <w:color w:val="auto"/>
                <w:szCs w:val="21"/>
                <w:highlight w:val="none"/>
              </w:rPr>
              <w:t>：广西壮族自治区地方资产管理公司2024年度监管评级评分表）和2025年2次现场检查，对每家公司出具1份监管评级及第一次现场检查报告（附监管评级评分表）和1份第二次现场检查报告，以及出具2份行业汇总报告（附监管评级评分汇总表、以前年度现场检查发现问题整改情况表、现场检查发现问题汇总表、现场检查发现问题明细表）。</w:t>
            </w:r>
          </w:p>
          <w:p w14:paraId="6DE6AEA3">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二、工作要求</w:t>
            </w:r>
          </w:p>
          <w:p w14:paraId="3017290F">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1.加强组织领导。供应商要统筹安排检查力量，组建精干检查组，为圆满完成检查任务提供有力的组织保障。</w:t>
            </w:r>
          </w:p>
          <w:p w14:paraId="5891A3BC">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2.保证工作质量。审计过程中要认真做好审计取证、审计工作底稿等基础性工作，做到事实清楚，证据充分，依据有力，定性准确。</w:t>
            </w:r>
          </w:p>
          <w:p w14:paraId="76273342">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3.加强沟通和协调。审计中，要及时向采购人反映审计过程的重要信息和成果，及时报告审计进展情况，如实反映审计中发现的问题。</w:t>
            </w:r>
          </w:p>
          <w:p w14:paraId="135893CE">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4.审计期间应当严格执行审计保密和廉洁工作纪律，对在审计中获得的资料和信息要严格保密，不能对外泄露，要按照审计署《关于加强审计纪律的规定》的“八不准”的规定，严肃纪律，树立良好审计形象。</w:t>
            </w:r>
          </w:p>
          <w:p w14:paraId="51D7538C">
            <w:pPr>
              <w:spacing w:line="400" w:lineRule="exact"/>
              <w:ind w:firstLine="420" w:firstLineChars="200"/>
              <w:rPr>
                <w:rFonts w:ascii="宋体" w:hAnsi="宋体" w:cs="Calibri"/>
                <w:b/>
                <w:color w:val="auto"/>
                <w:szCs w:val="21"/>
                <w:highlight w:val="none"/>
              </w:rPr>
            </w:pPr>
            <w:r>
              <w:rPr>
                <w:rFonts w:hint="eastAsia" w:ascii="宋体" w:hAnsi="宋体" w:cs="Calibri"/>
                <w:color w:val="auto"/>
                <w:szCs w:val="21"/>
                <w:highlight w:val="none"/>
              </w:rPr>
              <w:t>5.对每家公司出具考评和现场检查报告，并出具汇总报告。供应商应保守因现场检查所获悉的受评公司的商业秘密。供应商出具的考评和现场检查的结果和工作报告未经采购人许可，不得将评估资料清单、调查手册、结果及报告公开公布或泄露给第三方。</w:t>
            </w:r>
          </w:p>
        </w:tc>
        <w:tc>
          <w:tcPr>
            <w:tcW w:w="649" w:type="pct"/>
            <w:noWrap/>
            <w:vAlign w:val="center"/>
          </w:tcPr>
          <w:p w14:paraId="15A3582A">
            <w:pPr>
              <w:spacing w:line="400" w:lineRule="exact"/>
              <w:jc w:val="center"/>
              <w:rPr>
                <w:rFonts w:ascii="宋体" w:hAnsi="宋体" w:cs="Calibri"/>
                <w:color w:val="auto"/>
                <w:szCs w:val="21"/>
                <w:highlight w:val="none"/>
              </w:rPr>
            </w:pPr>
            <w:r>
              <w:rPr>
                <w:rFonts w:hint="eastAsia" w:ascii="宋体" w:hAnsi="宋体" w:cs="Calibri"/>
                <w:color w:val="auto"/>
                <w:szCs w:val="21"/>
                <w:highlight w:val="none"/>
              </w:rPr>
              <w:t>2.00</w:t>
            </w:r>
          </w:p>
        </w:tc>
      </w:tr>
      <w:tr w14:paraId="5DB07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70" w:type="pct"/>
            <w:noWrap/>
            <w:vAlign w:val="center"/>
          </w:tcPr>
          <w:p w14:paraId="3859BCDC">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509" w:type="pct"/>
            <w:noWrap/>
            <w:vAlign w:val="center"/>
          </w:tcPr>
          <w:p w14:paraId="11CA7908">
            <w:pPr>
              <w:spacing w:line="400" w:lineRule="exact"/>
              <w:jc w:val="center"/>
              <w:rPr>
                <w:rFonts w:ascii="宋体" w:hAnsi="宋体" w:cs="仿宋_GB2312"/>
                <w:color w:val="auto"/>
                <w:szCs w:val="21"/>
                <w:highlight w:val="none"/>
              </w:rPr>
            </w:pPr>
            <w:r>
              <w:rPr>
                <w:rFonts w:hint="eastAsia" w:ascii="宋体" w:hAnsi="宋体" w:cs="仿宋_GB2312"/>
                <w:color w:val="auto"/>
                <w:szCs w:val="21"/>
                <w:highlight w:val="none"/>
              </w:rPr>
              <w:t>跨境人民币结算奖补审核服务</w:t>
            </w:r>
          </w:p>
        </w:tc>
        <w:tc>
          <w:tcPr>
            <w:tcW w:w="412" w:type="pct"/>
            <w:noWrap/>
            <w:vAlign w:val="center"/>
          </w:tcPr>
          <w:p w14:paraId="4EE5212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449" w:type="pct"/>
            <w:noWrap/>
            <w:vAlign w:val="center"/>
          </w:tcPr>
          <w:p w14:paraId="48C8177E">
            <w:pPr>
              <w:tabs>
                <w:tab w:val="left" w:pos="180"/>
                <w:tab w:val="left" w:pos="1620"/>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租赁和商务服务业</w:t>
            </w:r>
          </w:p>
        </w:tc>
        <w:tc>
          <w:tcPr>
            <w:tcW w:w="2809" w:type="pct"/>
            <w:noWrap/>
            <w:vAlign w:val="center"/>
          </w:tcPr>
          <w:p w14:paraId="01B71E80">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按照自治区党委金融办要求对跨境人民币结算奖补材料进行集中审核，包括但不限于奖补申请项目是否符合文件要求、奖补申请材料是否齐全等，按质按量完成审核工作并出具审核报告。</w:t>
            </w:r>
          </w:p>
          <w:p w14:paraId="2793363F">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审核要求：</w:t>
            </w:r>
          </w:p>
          <w:p w14:paraId="64192BB3">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对各企业提交的跨境人民币结算奖补申报材料进行审核，包括但不限于奖补申请项目是否符合文件要求、奖补申请材料是否齐全等，按质按量完成审核工作并出具审核报告。</w:t>
            </w:r>
          </w:p>
        </w:tc>
        <w:tc>
          <w:tcPr>
            <w:tcW w:w="649" w:type="pct"/>
            <w:noWrap/>
            <w:vAlign w:val="center"/>
          </w:tcPr>
          <w:p w14:paraId="191796BE">
            <w:pPr>
              <w:spacing w:line="400" w:lineRule="exact"/>
              <w:jc w:val="center"/>
              <w:rPr>
                <w:rFonts w:ascii="宋体" w:hAnsi="宋体" w:cs="Calibri"/>
                <w:color w:val="auto"/>
                <w:szCs w:val="21"/>
                <w:highlight w:val="none"/>
              </w:rPr>
            </w:pPr>
            <w:r>
              <w:rPr>
                <w:rFonts w:hint="eastAsia" w:ascii="宋体" w:hAnsi="宋体" w:cs="Calibri"/>
                <w:color w:val="auto"/>
                <w:szCs w:val="21"/>
                <w:highlight w:val="none"/>
              </w:rPr>
              <w:t>2.00</w:t>
            </w:r>
          </w:p>
        </w:tc>
      </w:tr>
      <w:tr w14:paraId="76BAC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70" w:type="pct"/>
            <w:noWrap/>
            <w:vAlign w:val="center"/>
          </w:tcPr>
          <w:p w14:paraId="675EB32F">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509" w:type="pct"/>
            <w:noWrap/>
            <w:vAlign w:val="center"/>
          </w:tcPr>
          <w:p w14:paraId="462B9360">
            <w:pPr>
              <w:spacing w:line="400" w:lineRule="exact"/>
              <w:jc w:val="center"/>
              <w:rPr>
                <w:rFonts w:ascii="宋体" w:hAnsi="宋体" w:cs="仿宋_GB2312"/>
                <w:color w:val="auto"/>
                <w:szCs w:val="21"/>
                <w:highlight w:val="none"/>
              </w:rPr>
            </w:pPr>
            <w:r>
              <w:rPr>
                <w:rFonts w:hint="eastAsia" w:ascii="宋体" w:hAnsi="宋体" w:cs="仿宋_GB2312"/>
                <w:color w:val="auto"/>
                <w:szCs w:val="21"/>
                <w:highlight w:val="none"/>
              </w:rPr>
              <w:t>直接融资奖补审核服务</w:t>
            </w:r>
          </w:p>
        </w:tc>
        <w:tc>
          <w:tcPr>
            <w:tcW w:w="412" w:type="pct"/>
            <w:noWrap/>
            <w:vAlign w:val="center"/>
          </w:tcPr>
          <w:p w14:paraId="35CAD2D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449" w:type="pct"/>
            <w:noWrap/>
            <w:vAlign w:val="center"/>
          </w:tcPr>
          <w:p w14:paraId="6B2D3445">
            <w:pPr>
              <w:tabs>
                <w:tab w:val="left" w:pos="180"/>
                <w:tab w:val="left" w:pos="1620"/>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租赁和商务服务业</w:t>
            </w:r>
          </w:p>
        </w:tc>
        <w:tc>
          <w:tcPr>
            <w:tcW w:w="2809" w:type="pct"/>
            <w:noWrap/>
            <w:vAlign w:val="center"/>
          </w:tcPr>
          <w:p w14:paraId="2FE54D2D">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按照自治区党委金融办要求对直接融资奖补材料进行集中审核，包括但不限于奖补申请项目是否符合文件要求、奖补申请材料是否齐全等，按质按量完成审核工作并出具审核报告。</w:t>
            </w:r>
          </w:p>
          <w:p w14:paraId="5458ABF7">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审核要求：</w:t>
            </w:r>
          </w:p>
          <w:p w14:paraId="294C97A3">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对各市、企业提交的直接融资奖补申报材料进行</w:t>
            </w:r>
            <w:r>
              <w:rPr>
                <w:rFonts w:hint="eastAsia" w:ascii="宋体" w:hAnsi="宋体" w:cs="Calibri"/>
                <w:color w:val="auto"/>
                <w:szCs w:val="21"/>
                <w:highlight w:val="none"/>
                <w:lang w:eastAsia="zh-CN"/>
              </w:rPr>
              <w:t>集中</w:t>
            </w:r>
            <w:r>
              <w:rPr>
                <w:rFonts w:hint="eastAsia" w:ascii="宋体" w:hAnsi="宋体" w:cs="Calibri"/>
                <w:color w:val="auto"/>
                <w:szCs w:val="21"/>
                <w:highlight w:val="none"/>
              </w:rPr>
              <w:t>审核，包括但不限于奖补申请项目是否符合文件要求、奖补申请材料是否齐全等，按质按量完成审核工作并出具审核报告。</w:t>
            </w:r>
            <w:r>
              <w:rPr>
                <w:rFonts w:ascii="宋体" w:hAnsi="宋体" w:cs="Calibri"/>
                <w:color w:val="auto"/>
                <w:szCs w:val="21"/>
                <w:highlight w:val="none"/>
              </w:rPr>
              <w:t>审核意见要求对审核项目有清晰审核意见及依据、审核项目齐全、表述文字格式统一。</w:t>
            </w:r>
          </w:p>
        </w:tc>
        <w:tc>
          <w:tcPr>
            <w:tcW w:w="649" w:type="pct"/>
            <w:noWrap/>
            <w:vAlign w:val="center"/>
          </w:tcPr>
          <w:p w14:paraId="31C97583">
            <w:pPr>
              <w:spacing w:line="400" w:lineRule="exact"/>
              <w:jc w:val="center"/>
              <w:rPr>
                <w:rFonts w:ascii="宋体" w:hAnsi="宋体" w:cs="Calibri"/>
                <w:color w:val="auto"/>
                <w:szCs w:val="21"/>
                <w:highlight w:val="none"/>
              </w:rPr>
            </w:pPr>
            <w:r>
              <w:rPr>
                <w:rFonts w:hint="eastAsia" w:ascii="宋体" w:hAnsi="宋体" w:cs="Calibri"/>
                <w:color w:val="auto"/>
                <w:szCs w:val="21"/>
                <w:highlight w:val="none"/>
              </w:rPr>
              <w:t>2.00</w:t>
            </w:r>
          </w:p>
        </w:tc>
      </w:tr>
      <w:tr w14:paraId="70F28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70" w:type="pct"/>
            <w:noWrap/>
            <w:vAlign w:val="center"/>
          </w:tcPr>
          <w:p w14:paraId="20E9BC42">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509" w:type="pct"/>
            <w:noWrap/>
            <w:vAlign w:val="center"/>
          </w:tcPr>
          <w:p w14:paraId="674FE738">
            <w:pPr>
              <w:spacing w:line="400" w:lineRule="exact"/>
              <w:jc w:val="center"/>
              <w:rPr>
                <w:rFonts w:ascii="宋体" w:hAnsi="宋体" w:cs="仿宋_GB2312"/>
                <w:color w:val="auto"/>
                <w:szCs w:val="21"/>
                <w:highlight w:val="none"/>
              </w:rPr>
            </w:pPr>
            <w:r>
              <w:rPr>
                <w:rFonts w:hint="eastAsia" w:ascii="宋体" w:hAnsi="宋体" w:cs="Calibri"/>
                <w:color w:val="auto"/>
                <w:szCs w:val="21"/>
                <w:highlight w:val="none"/>
              </w:rPr>
              <w:t>交易场所现场检查</w:t>
            </w:r>
          </w:p>
        </w:tc>
        <w:tc>
          <w:tcPr>
            <w:tcW w:w="412" w:type="pct"/>
            <w:noWrap/>
            <w:vAlign w:val="center"/>
          </w:tcPr>
          <w:p w14:paraId="021963C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449" w:type="pct"/>
            <w:noWrap/>
            <w:vAlign w:val="center"/>
          </w:tcPr>
          <w:p w14:paraId="0E5238BB">
            <w:pPr>
              <w:tabs>
                <w:tab w:val="left" w:pos="180"/>
                <w:tab w:val="left" w:pos="1620"/>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租赁和商务服务业</w:t>
            </w:r>
          </w:p>
        </w:tc>
        <w:tc>
          <w:tcPr>
            <w:tcW w:w="2809" w:type="pct"/>
            <w:noWrap/>
            <w:vAlign w:val="center"/>
          </w:tcPr>
          <w:p w14:paraId="2AFB7982">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对广西壮族自治区内交易场所(约12家，以实际检查机构数量为准)的合规经营、风险防范、投资者权益保护等情况进行专项检查并提交最终检查报告。</w:t>
            </w:r>
            <w:r>
              <w:rPr>
                <w:rFonts w:ascii="宋体" w:hAnsi="宋体" w:cs="Calibri"/>
                <w:color w:val="auto"/>
                <w:szCs w:val="21"/>
                <w:highlight w:val="none"/>
              </w:rPr>
              <w:t>审核意见要求对审核项目有清晰审核意见及依据、审核项目齐全、表述文字格式统一。</w:t>
            </w:r>
          </w:p>
          <w:p w14:paraId="3B443FA4">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一、服务内容要求：</w:t>
            </w:r>
          </w:p>
          <w:p w14:paraId="79CDB68E">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1.现场检查交易场所名单及所在地详见附件</w:t>
            </w:r>
            <w:r>
              <w:rPr>
                <w:rFonts w:hint="eastAsia" w:ascii="宋体" w:hAnsi="宋体" w:cs="Calibri"/>
                <w:color w:val="auto"/>
                <w:szCs w:val="21"/>
                <w:highlight w:val="none"/>
                <w:lang w:val="en-US" w:eastAsia="zh-CN"/>
              </w:rPr>
              <w:t>7</w:t>
            </w:r>
            <w:r>
              <w:rPr>
                <w:rFonts w:hint="eastAsia" w:ascii="宋体" w:hAnsi="宋体" w:cs="Calibri"/>
                <w:color w:val="auto"/>
                <w:szCs w:val="21"/>
                <w:highlight w:val="none"/>
              </w:rPr>
              <w:t>。</w:t>
            </w:r>
          </w:p>
          <w:p w14:paraId="50C23E5D">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2.检查项目清单详见附件</w:t>
            </w:r>
            <w:r>
              <w:rPr>
                <w:rFonts w:hint="eastAsia" w:ascii="宋体" w:hAnsi="宋体" w:cs="Calibri"/>
                <w:color w:val="auto"/>
                <w:szCs w:val="21"/>
                <w:highlight w:val="none"/>
                <w:lang w:val="en-US" w:eastAsia="zh-CN"/>
              </w:rPr>
              <w:t>8</w:t>
            </w:r>
            <w:r>
              <w:rPr>
                <w:rFonts w:hint="eastAsia" w:ascii="宋体" w:hAnsi="宋体" w:cs="Calibri"/>
                <w:color w:val="auto"/>
                <w:szCs w:val="21"/>
                <w:highlight w:val="none"/>
              </w:rPr>
              <w:t>、</w:t>
            </w:r>
            <w:r>
              <w:rPr>
                <w:rFonts w:hint="eastAsia" w:ascii="宋体" w:hAnsi="宋体" w:cs="Calibri"/>
                <w:color w:val="auto"/>
                <w:szCs w:val="21"/>
                <w:highlight w:val="none"/>
                <w:lang w:val="en-US" w:eastAsia="zh-CN"/>
              </w:rPr>
              <w:t>9</w:t>
            </w:r>
            <w:r>
              <w:rPr>
                <w:rFonts w:hint="eastAsia" w:ascii="宋体" w:hAnsi="宋体" w:cs="Calibri"/>
                <w:color w:val="auto"/>
                <w:szCs w:val="21"/>
                <w:highlight w:val="none"/>
              </w:rPr>
              <w:t>。</w:t>
            </w:r>
          </w:p>
          <w:p w14:paraId="3E2FB74E">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3.每个交易场所驻点检查时间为1个工作日，并可根据实际检查需要缩短或延长驻点检查时间。</w:t>
            </w:r>
          </w:p>
          <w:p w14:paraId="4CAC17FB">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二、工作要求：</w:t>
            </w:r>
          </w:p>
          <w:p w14:paraId="6A9FE164">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1.加强组织领导。供应商要统筹安排检查力量，组建精干检查组，为圆满完成检查任务提供有力的组织保障。</w:t>
            </w:r>
          </w:p>
          <w:p w14:paraId="5E90071F">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2.保证工作质量。审计过程中要认真做好审计取证、审计工作底稿等基础性工作，做到事实清楚，证据充分，依据有力，定性准确。</w:t>
            </w:r>
          </w:p>
          <w:p w14:paraId="372936FA">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3.加强沟通和协调。审计中，要及时向采购人反映审计过程的重要信息和成果，及时报告审计进展情况，如实反映审计中发现的问题。</w:t>
            </w:r>
          </w:p>
          <w:p w14:paraId="59371692">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4.审计期间应当严格执行审计保密和廉洁工作纪律，对在审计中获得的资料和信息要严格保密，不能对外泄露，要按照审计署《关于加强审计纪律的规定》的“八不准”的规定，严肃纪律，树立良好审计形象。</w:t>
            </w:r>
          </w:p>
          <w:p w14:paraId="1DB7F382">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5.对每家交易场所出具检查报告并出具交易场所检查总报告。供应商应保守因现场检查所获悉的受评场所的商业秘密。供应商出具的现场检查结果和现场检查工作报告未经自治区地方金融管理局许可，不得将评估资料清单、调查手册、结果及报告公开公布或泄露给第三方。</w:t>
            </w:r>
          </w:p>
        </w:tc>
        <w:tc>
          <w:tcPr>
            <w:tcW w:w="649" w:type="pct"/>
            <w:noWrap/>
            <w:vAlign w:val="center"/>
          </w:tcPr>
          <w:p w14:paraId="34426956">
            <w:pPr>
              <w:spacing w:line="400" w:lineRule="exact"/>
              <w:jc w:val="center"/>
              <w:rPr>
                <w:rFonts w:ascii="宋体" w:hAnsi="宋体" w:cs="Calibri"/>
                <w:color w:val="auto"/>
                <w:szCs w:val="21"/>
                <w:highlight w:val="none"/>
              </w:rPr>
            </w:pPr>
            <w:r>
              <w:rPr>
                <w:rFonts w:hint="eastAsia" w:ascii="宋体" w:hAnsi="宋体" w:cs="Calibri"/>
                <w:color w:val="auto"/>
                <w:szCs w:val="21"/>
                <w:highlight w:val="none"/>
              </w:rPr>
              <w:t>24.00</w:t>
            </w:r>
          </w:p>
        </w:tc>
      </w:tr>
      <w:tr w14:paraId="5375D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5000" w:type="pct"/>
            <w:gridSpan w:val="6"/>
            <w:noWrap/>
            <w:vAlign w:val="center"/>
          </w:tcPr>
          <w:p w14:paraId="08398454">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▲一、商务要求</w:t>
            </w:r>
          </w:p>
        </w:tc>
      </w:tr>
      <w:tr w14:paraId="5B804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80" w:type="pct"/>
            <w:gridSpan w:val="2"/>
            <w:noWrap/>
            <w:vAlign w:val="center"/>
          </w:tcPr>
          <w:p w14:paraId="6A811C59">
            <w:pPr>
              <w:spacing w:line="400" w:lineRule="exact"/>
              <w:jc w:val="center"/>
              <w:rPr>
                <w:rFonts w:ascii="宋体" w:hAnsi="宋体" w:cs="仿宋_GB2312"/>
                <w:color w:val="auto"/>
                <w:szCs w:val="21"/>
                <w:highlight w:val="none"/>
              </w:rPr>
            </w:pPr>
            <w:r>
              <w:rPr>
                <w:rFonts w:hint="eastAsia" w:ascii="宋体" w:hAnsi="宋体" w:cs="宋体"/>
                <w:color w:val="auto"/>
                <w:szCs w:val="21"/>
                <w:highlight w:val="none"/>
              </w:rPr>
              <w:t>服务期和地点</w:t>
            </w:r>
          </w:p>
        </w:tc>
        <w:tc>
          <w:tcPr>
            <w:tcW w:w="4319" w:type="pct"/>
            <w:gridSpan w:val="4"/>
            <w:noWrap/>
            <w:vAlign w:val="center"/>
          </w:tcPr>
          <w:p w14:paraId="26450D1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1.完成时间：</w:t>
            </w:r>
          </w:p>
          <w:p w14:paraId="2F15F142">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default" w:ascii="宋体" w:hAnsi="宋体" w:eastAsia="宋体" w:cs="宋体"/>
                <w:color w:val="auto"/>
                <w:szCs w:val="21"/>
                <w:highlight w:val="none"/>
                <w:lang w:val="en-US" w:eastAsia="zh-CN"/>
              </w:rPr>
              <w:t>小额贷款公司现场检查与监管评级：2025年8月1日—9月30日进场考核复评和现场检查；2025年10月31日前完成各类监管评级与现场检查报告终稿。</w:t>
            </w:r>
          </w:p>
          <w:p w14:paraId="25481D90">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default" w:ascii="宋体" w:hAnsi="宋体" w:eastAsia="宋体" w:cs="宋体"/>
                <w:color w:val="auto"/>
                <w:szCs w:val="21"/>
                <w:highlight w:val="none"/>
                <w:lang w:val="en-US" w:eastAsia="zh-CN"/>
              </w:rPr>
              <w:t>典当行现场检查与监管评级：2025年8月1日—9月30日进场考核复评和现场检查；2025年10月31日前完成各类监管评级与现场检查报告终稿。</w:t>
            </w:r>
          </w:p>
          <w:p w14:paraId="77CEC70C">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default" w:ascii="宋体" w:hAnsi="宋体" w:eastAsia="宋体" w:cs="宋体"/>
                <w:color w:val="auto"/>
                <w:szCs w:val="21"/>
                <w:highlight w:val="none"/>
                <w:lang w:val="en-US" w:eastAsia="zh-CN"/>
              </w:rPr>
              <w:t>地方资产管理公司现场检查与监管评级：2025年6月16日—6月30日，进场开展考评和第一次现场检查，2025年7月5日前完成第一次监管评级与现场检查报告终稿。2025年12月10日—12月13日，进场开展第二次现场检查，2025年12月15日前完成第二次现场检查报告终稿。</w:t>
            </w:r>
          </w:p>
          <w:p w14:paraId="7F87A38D">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default" w:ascii="宋体" w:hAnsi="宋体" w:eastAsia="宋体" w:cs="宋体"/>
                <w:color w:val="auto"/>
                <w:szCs w:val="21"/>
                <w:highlight w:val="none"/>
                <w:lang w:val="en-US" w:eastAsia="zh-CN"/>
              </w:rPr>
              <w:t>跨境人民币结算奖补审核服务：2025年6月30日前完成审核工作并出具审核报告。</w:t>
            </w:r>
          </w:p>
          <w:p w14:paraId="18343D5C">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default" w:ascii="宋体" w:hAnsi="宋体" w:eastAsia="宋体" w:cs="宋体"/>
                <w:color w:val="auto"/>
                <w:szCs w:val="21"/>
                <w:highlight w:val="none"/>
                <w:lang w:val="en-US" w:eastAsia="zh-CN"/>
              </w:rPr>
              <w:t>直接融资奖补审核服务：2025年10月15日前完成审核工作并出具审计报告初稿；2025年10月30日前完成出具审计报告终稿。</w:t>
            </w:r>
          </w:p>
          <w:p w14:paraId="2B6AD07A">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default" w:ascii="宋体" w:hAnsi="宋体" w:eastAsia="宋体" w:cs="宋体"/>
                <w:color w:val="auto"/>
                <w:szCs w:val="21"/>
                <w:highlight w:val="none"/>
                <w:lang w:val="en-US" w:eastAsia="zh-CN"/>
              </w:rPr>
              <w:t>交易场所现场检查：2025年10月31日前完成全部审计工作；2025年11月15日前完成审计报告初稿；2025年11月30日前完成审计报告终稿。</w:t>
            </w:r>
          </w:p>
          <w:p w14:paraId="775B435C">
            <w:pPr>
              <w:pStyle w:val="2"/>
              <w:adjustRightInd/>
              <w:spacing w:line="400" w:lineRule="exact"/>
              <w:ind w:firstLine="420" w:firstLineChars="200"/>
              <w:rPr>
                <w:rFonts w:hAnsi="宋体"/>
                <w:color w:val="auto"/>
                <w:szCs w:val="21"/>
                <w:highlight w:val="none"/>
              </w:rPr>
            </w:pPr>
            <w:r>
              <w:rPr>
                <w:rFonts w:hint="eastAsia" w:hAnsi="宋体"/>
                <w:color w:val="auto"/>
                <w:kern w:val="2"/>
                <w:sz w:val="21"/>
                <w:szCs w:val="21"/>
                <w:highlight w:val="none"/>
              </w:rPr>
              <w:t>2.服务地点：广西壮族自治区全区范围内</w:t>
            </w:r>
            <w:r>
              <w:rPr>
                <w:rFonts w:hint="eastAsia" w:hAnsi="宋体"/>
                <w:color w:val="auto"/>
                <w:kern w:val="2"/>
                <w:sz w:val="21"/>
                <w:szCs w:val="21"/>
                <w:highlight w:val="none"/>
                <w:lang w:eastAsia="zh-CN"/>
              </w:rPr>
              <w:t>，受审机构所在地或采购人指定办公点</w:t>
            </w:r>
            <w:r>
              <w:rPr>
                <w:rFonts w:hint="eastAsia" w:hAnsi="宋体"/>
                <w:color w:val="auto"/>
                <w:kern w:val="2"/>
                <w:sz w:val="21"/>
                <w:szCs w:val="21"/>
                <w:highlight w:val="none"/>
              </w:rPr>
              <w:t>。</w:t>
            </w:r>
          </w:p>
        </w:tc>
      </w:tr>
      <w:tr w14:paraId="39E17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80" w:type="pct"/>
            <w:gridSpan w:val="2"/>
            <w:noWrap/>
            <w:vAlign w:val="center"/>
          </w:tcPr>
          <w:p w14:paraId="29726C72">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人员要求</w:t>
            </w:r>
          </w:p>
        </w:tc>
        <w:tc>
          <w:tcPr>
            <w:tcW w:w="4319" w:type="pct"/>
            <w:gridSpan w:val="4"/>
            <w:noWrap/>
            <w:vAlign w:val="center"/>
          </w:tcPr>
          <w:tbl>
            <w:tblPr>
              <w:tblStyle w:val="2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8"/>
              <w:gridCol w:w="1292"/>
              <w:gridCol w:w="5272"/>
            </w:tblGrid>
            <w:tr w14:paraId="54D48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4" w:type="pct"/>
                  <w:noWrap/>
                  <w:vAlign w:val="center"/>
                </w:tcPr>
                <w:p w14:paraId="7C71BEC0">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904" w:type="pct"/>
                  <w:noWrap/>
                  <w:vAlign w:val="center"/>
                </w:tcPr>
                <w:p w14:paraId="7D4ABB39">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名称</w:t>
                  </w:r>
                </w:p>
              </w:tc>
              <w:tc>
                <w:tcPr>
                  <w:tcW w:w="3690" w:type="pct"/>
                  <w:noWrap/>
                  <w:vAlign w:val="center"/>
                </w:tcPr>
                <w:p w14:paraId="75246E87">
                  <w:pPr>
                    <w:tabs>
                      <w:tab w:val="left" w:pos="180"/>
                      <w:tab w:val="left" w:pos="1620"/>
                    </w:tabs>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人员要求</w:t>
                  </w:r>
                </w:p>
              </w:tc>
            </w:tr>
            <w:tr w14:paraId="6E831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4" w:type="pct"/>
                  <w:noWrap/>
                  <w:vAlign w:val="center"/>
                </w:tcPr>
                <w:p w14:paraId="523732E3">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904" w:type="pct"/>
                  <w:noWrap/>
                  <w:vAlign w:val="center"/>
                </w:tcPr>
                <w:p w14:paraId="0352A7AE">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小额贷款公司现场检查</w:t>
                  </w:r>
                  <w:r>
                    <w:rPr>
                      <w:rFonts w:hint="eastAsia" w:ascii="宋体" w:hAnsi="宋体" w:cs="宋体"/>
                      <w:color w:val="auto"/>
                      <w:szCs w:val="21"/>
                      <w:highlight w:val="none"/>
                      <w:lang w:eastAsia="zh-CN"/>
                    </w:rPr>
                    <w:t>与监管评级</w:t>
                  </w:r>
                </w:p>
              </w:tc>
              <w:tc>
                <w:tcPr>
                  <w:tcW w:w="3690" w:type="pct"/>
                  <w:noWrap/>
                  <w:vAlign w:val="top"/>
                </w:tcPr>
                <w:p w14:paraId="569A7718">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cs="Calibri"/>
                      <w:b/>
                      <w:bCs/>
                      <w:color w:val="auto"/>
                      <w:sz w:val="21"/>
                      <w:szCs w:val="21"/>
                      <w:highlight w:val="none"/>
                    </w:rPr>
                  </w:pPr>
                  <w:r>
                    <w:rPr>
                      <w:rFonts w:hint="eastAsia" w:ascii="宋体" w:hAnsi="宋体" w:cs="Calibri"/>
                      <w:b/>
                      <w:bCs/>
                      <w:color w:val="auto"/>
                      <w:sz w:val="21"/>
                      <w:szCs w:val="21"/>
                      <w:highlight w:val="none"/>
                    </w:rPr>
                    <w:t>会计服务供应商至少指派</w:t>
                  </w:r>
                  <w:r>
                    <w:rPr>
                      <w:rFonts w:hint="eastAsia" w:ascii="宋体" w:hAnsi="宋体" w:cs="Calibri"/>
                      <w:b/>
                      <w:bCs/>
                      <w:color w:val="auto"/>
                      <w:sz w:val="21"/>
                      <w:szCs w:val="21"/>
                      <w:highlight w:val="none"/>
                      <w:lang w:val="en-US" w:eastAsia="zh-CN"/>
                    </w:rPr>
                    <w:t>3</w:t>
                  </w:r>
                  <w:r>
                    <w:rPr>
                      <w:rFonts w:hint="eastAsia" w:ascii="宋体" w:hAnsi="宋体" w:cs="Calibri"/>
                      <w:b/>
                      <w:bCs/>
                      <w:color w:val="auto"/>
                      <w:sz w:val="21"/>
                      <w:szCs w:val="21"/>
                      <w:highlight w:val="none"/>
                    </w:rPr>
                    <w:t>组（每组不少于3人）审计人员参与本项目，每组至少1名注册会计师，</w:t>
                  </w:r>
                  <w:r>
                    <w:rPr>
                      <w:rFonts w:hint="eastAsia" w:ascii="宋体" w:hAnsi="宋体" w:cs="Calibri"/>
                      <w:b/>
                      <w:bCs/>
                      <w:color w:val="auto"/>
                      <w:sz w:val="21"/>
                      <w:szCs w:val="21"/>
                      <w:highlight w:val="none"/>
                      <w:lang w:val="en-US" w:eastAsia="zh-CN"/>
                    </w:rPr>
                    <w:t>须具备</w:t>
                  </w:r>
                  <w:r>
                    <w:rPr>
                      <w:rFonts w:hint="eastAsia" w:ascii="宋体" w:hAnsi="宋体" w:cs="Calibri"/>
                      <w:b/>
                      <w:bCs/>
                      <w:color w:val="auto"/>
                      <w:sz w:val="21"/>
                      <w:szCs w:val="21"/>
                      <w:highlight w:val="none"/>
                    </w:rPr>
                    <w:t>有效的《注册会计师执业证书》；其余审计人员持有有效的</w:t>
                  </w:r>
                  <w:r>
                    <w:rPr>
                      <w:rFonts w:hint="eastAsia" w:ascii="宋体" w:hAnsi="宋体" w:cs="Calibri"/>
                      <w:b/>
                      <w:bCs/>
                      <w:color w:val="auto"/>
                      <w:sz w:val="21"/>
                      <w:szCs w:val="21"/>
                      <w:highlight w:val="none"/>
                      <w:lang w:eastAsia="zh-CN"/>
                    </w:rPr>
                    <w:t>初级及以上《</w:t>
                  </w:r>
                  <w:r>
                    <w:rPr>
                      <w:rFonts w:hint="eastAsia" w:ascii="宋体" w:hAnsi="宋体" w:cs="Calibri"/>
                      <w:b/>
                      <w:bCs/>
                      <w:color w:val="auto"/>
                      <w:sz w:val="21"/>
                      <w:szCs w:val="21"/>
                      <w:highlight w:val="none"/>
                    </w:rPr>
                    <w:t>会计专业技术资格证书</w:t>
                  </w:r>
                  <w:r>
                    <w:rPr>
                      <w:rFonts w:hint="eastAsia" w:ascii="宋体" w:hAnsi="宋体" w:cs="Calibri"/>
                      <w:b/>
                      <w:bCs/>
                      <w:color w:val="auto"/>
                      <w:sz w:val="21"/>
                      <w:szCs w:val="21"/>
                      <w:highlight w:val="none"/>
                      <w:lang w:eastAsia="zh-CN"/>
                    </w:rPr>
                    <w:t>》</w:t>
                  </w:r>
                  <w:r>
                    <w:rPr>
                      <w:rFonts w:hint="eastAsia" w:ascii="宋体" w:hAnsi="宋体" w:cs="Calibri"/>
                      <w:b/>
                      <w:bCs/>
                      <w:color w:val="auto"/>
                      <w:sz w:val="21"/>
                      <w:szCs w:val="21"/>
                      <w:highlight w:val="none"/>
                    </w:rPr>
                    <w:t>。响应文件</w:t>
                  </w:r>
                  <w:r>
                    <w:rPr>
                      <w:rFonts w:hint="eastAsia" w:ascii="宋体" w:hAnsi="宋体" w:cs="Calibri"/>
                      <w:b/>
                      <w:bCs/>
                      <w:color w:val="auto"/>
                      <w:sz w:val="21"/>
                      <w:szCs w:val="21"/>
                      <w:highlight w:val="none"/>
                      <w:lang w:val="en-US" w:eastAsia="zh-CN"/>
                    </w:rPr>
                    <w:t>须</w:t>
                  </w:r>
                  <w:r>
                    <w:rPr>
                      <w:rFonts w:hint="eastAsia" w:ascii="宋体" w:hAnsi="宋体" w:cs="Calibri"/>
                      <w:b/>
                      <w:bCs/>
                      <w:color w:val="auto"/>
                      <w:sz w:val="21"/>
                      <w:szCs w:val="21"/>
                      <w:highlight w:val="none"/>
                    </w:rPr>
                    <w:t>提供</w:t>
                  </w:r>
                  <w:r>
                    <w:rPr>
                      <w:rFonts w:hint="eastAsia" w:ascii="宋体" w:hAnsi="宋体" w:cs="Calibri"/>
                      <w:b/>
                      <w:bCs/>
                      <w:color w:val="auto"/>
                      <w:sz w:val="21"/>
                      <w:szCs w:val="21"/>
                      <w:highlight w:val="none"/>
                      <w:lang w:val="en-US" w:eastAsia="zh-CN"/>
                    </w:rPr>
                    <w:t>以上人员</w:t>
                  </w:r>
                  <w:r>
                    <w:rPr>
                      <w:rFonts w:hint="eastAsia" w:ascii="宋体" w:hAnsi="宋体" w:cs="Calibri"/>
                      <w:b/>
                      <w:bCs/>
                      <w:color w:val="auto"/>
                      <w:sz w:val="21"/>
                      <w:szCs w:val="21"/>
                      <w:highlight w:val="none"/>
                    </w:rPr>
                    <w:t>有效的执业资格证书复印件。</w:t>
                  </w:r>
                </w:p>
                <w:p w14:paraId="153C6F66">
                  <w:pPr>
                    <w:pStyle w:val="2"/>
                    <w:keepNext w:val="0"/>
                    <w:keepLines w:val="0"/>
                    <w:pageBreakBefore w:val="0"/>
                    <w:widowControl w:val="0"/>
                    <w:kinsoku/>
                    <w:wordWrap/>
                    <w:overflowPunct/>
                    <w:topLinePunct w:val="0"/>
                    <w:bidi w:val="0"/>
                    <w:snapToGrid/>
                    <w:spacing w:line="400" w:lineRule="exact"/>
                    <w:ind w:firstLine="422" w:firstLineChars="200"/>
                    <w:textAlignment w:val="auto"/>
                    <w:rPr>
                      <w:b/>
                      <w:bCs/>
                      <w:color w:val="auto"/>
                      <w:sz w:val="21"/>
                      <w:szCs w:val="21"/>
                      <w:highlight w:val="none"/>
                    </w:rPr>
                  </w:pPr>
                  <w:r>
                    <w:rPr>
                      <w:rFonts w:hint="eastAsia"/>
                      <w:b/>
                      <w:bCs/>
                      <w:color w:val="auto"/>
                      <w:sz w:val="21"/>
                      <w:szCs w:val="21"/>
                      <w:highlight w:val="none"/>
                    </w:rPr>
                    <w:t>若项目实施期间出现服务人员工作时间冲突，供应商须经采购人员同意后按原项目团队配置的要求增派人员，以保障项目的服务质量及进度要求。</w:t>
                  </w:r>
                </w:p>
              </w:tc>
            </w:tr>
            <w:tr w14:paraId="59558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4" w:type="pct"/>
                  <w:noWrap/>
                  <w:vAlign w:val="center"/>
                </w:tcPr>
                <w:p w14:paraId="3588A0BE">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904" w:type="pct"/>
                  <w:noWrap/>
                  <w:vAlign w:val="center"/>
                </w:tcPr>
                <w:p w14:paraId="491EDBE2">
                  <w:pPr>
                    <w:spacing w:line="400" w:lineRule="exact"/>
                    <w:jc w:val="center"/>
                    <w:rPr>
                      <w:rFonts w:ascii="宋体" w:hAnsi="宋体" w:cs="宋体"/>
                      <w:color w:val="auto"/>
                      <w:szCs w:val="21"/>
                      <w:highlight w:val="none"/>
                    </w:rPr>
                  </w:pPr>
                  <w:r>
                    <w:rPr>
                      <w:rFonts w:hint="eastAsia" w:ascii="宋体" w:hAnsi="宋体" w:cs="Calibri"/>
                      <w:color w:val="auto"/>
                      <w:szCs w:val="21"/>
                      <w:highlight w:val="none"/>
                    </w:rPr>
                    <w:t>典当行现场检查与监管评级</w:t>
                  </w:r>
                </w:p>
              </w:tc>
              <w:tc>
                <w:tcPr>
                  <w:tcW w:w="3690" w:type="pct"/>
                  <w:noWrap/>
                  <w:vAlign w:val="top"/>
                </w:tcPr>
                <w:p w14:paraId="22B82672">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cs="Calibri"/>
                      <w:b/>
                      <w:bCs/>
                      <w:color w:val="auto"/>
                      <w:sz w:val="21"/>
                      <w:szCs w:val="21"/>
                      <w:highlight w:val="none"/>
                    </w:rPr>
                  </w:pPr>
                  <w:r>
                    <w:rPr>
                      <w:rFonts w:hint="eastAsia" w:ascii="宋体" w:hAnsi="宋体" w:cs="Calibri"/>
                      <w:b/>
                      <w:bCs/>
                      <w:color w:val="auto"/>
                      <w:sz w:val="21"/>
                      <w:szCs w:val="21"/>
                      <w:highlight w:val="none"/>
                    </w:rPr>
                    <w:t>会计服务供应商至少指派</w:t>
                  </w:r>
                  <w:r>
                    <w:rPr>
                      <w:rFonts w:hint="eastAsia" w:ascii="宋体" w:hAnsi="宋体" w:cs="Calibri"/>
                      <w:b/>
                      <w:bCs/>
                      <w:color w:val="auto"/>
                      <w:sz w:val="21"/>
                      <w:szCs w:val="21"/>
                      <w:highlight w:val="none"/>
                      <w:lang w:val="en-US" w:eastAsia="zh-CN"/>
                    </w:rPr>
                    <w:t>3</w:t>
                  </w:r>
                  <w:r>
                    <w:rPr>
                      <w:rFonts w:hint="eastAsia" w:ascii="宋体" w:hAnsi="宋体" w:cs="Calibri"/>
                      <w:b/>
                      <w:bCs/>
                      <w:color w:val="auto"/>
                      <w:sz w:val="21"/>
                      <w:szCs w:val="21"/>
                      <w:highlight w:val="none"/>
                    </w:rPr>
                    <w:t>组（每组3人）审计人员参与本项目</w:t>
                  </w:r>
                  <w:r>
                    <w:rPr>
                      <w:rFonts w:hint="eastAsia" w:ascii="宋体" w:hAnsi="宋体" w:cs="Calibri"/>
                      <w:b/>
                      <w:bCs/>
                      <w:color w:val="auto"/>
                      <w:sz w:val="21"/>
                      <w:szCs w:val="21"/>
                      <w:highlight w:val="none"/>
                      <w:lang w:eastAsia="zh-CN"/>
                    </w:rPr>
                    <w:t>（人员可与小额贷款公司现场检查项目人重复）</w:t>
                  </w:r>
                  <w:r>
                    <w:rPr>
                      <w:rFonts w:hint="eastAsia" w:ascii="宋体" w:hAnsi="宋体" w:cs="Calibri"/>
                      <w:b/>
                      <w:bCs/>
                      <w:color w:val="auto"/>
                      <w:sz w:val="21"/>
                      <w:szCs w:val="21"/>
                      <w:highlight w:val="none"/>
                    </w:rPr>
                    <w:t>，每组至少1名注册会计师，</w:t>
                  </w:r>
                  <w:r>
                    <w:rPr>
                      <w:rFonts w:hint="eastAsia" w:ascii="宋体" w:hAnsi="宋体" w:cs="Calibri"/>
                      <w:b/>
                      <w:bCs/>
                      <w:color w:val="auto"/>
                      <w:sz w:val="21"/>
                      <w:szCs w:val="21"/>
                      <w:highlight w:val="none"/>
                      <w:lang w:val="en-US" w:eastAsia="zh-CN"/>
                    </w:rPr>
                    <w:t>须具备</w:t>
                  </w:r>
                  <w:r>
                    <w:rPr>
                      <w:rFonts w:hint="eastAsia" w:ascii="宋体" w:hAnsi="宋体" w:cs="Calibri"/>
                      <w:b/>
                      <w:bCs/>
                      <w:color w:val="auto"/>
                      <w:sz w:val="21"/>
                      <w:szCs w:val="21"/>
                      <w:highlight w:val="none"/>
                    </w:rPr>
                    <w:t>有效的《注册会计师执业证书》。；其余审计人员持有有效的</w:t>
                  </w:r>
                  <w:r>
                    <w:rPr>
                      <w:rFonts w:hint="eastAsia" w:ascii="宋体" w:hAnsi="宋体" w:cs="Calibri"/>
                      <w:b/>
                      <w:bCs/>
                      <w:color w:val="auto"/>
                      <w:sz w:val="21"/>
                      <w:szCs w:val="21"/>
                      <w:highlight w:val="none"/>
                      <w:lang w:eastAsia="zh-CN"/>
                    </w:rPr>
                    <w:t>初级及以上</w:t>
                  </w:r>
                  <w:r>
                    <w:rPr>
                      <w:rFonts w:hint="eastAsia" w:ascii="宋体" w:hAnsi="宋体" w:cs="Calibri"/>
                      <w:b/>
                      <w:bCs/>
                      <w:color w:val="auto"/>
                      <w:sz w:val="21"/>
                      <w:szCs w:val="21"/>
                      <w:highlight w:val="none"/>
                    </w:rPr>
                    <w:t>《会计专业技术资格证书》。响应文件</w:t>
                  </w:r>
                  <w:r>
                    <w:rPr>
                      <w:rFonts w:hint="eastAsia" w:ascii="宋体" w:hAnsi="宋体" w:cs="Calibri"/>
                      <w:b/>
                      <w:bCs/>
                      <w:color w:val="auto"/>
                      <w:sz w:val="21"/>
                      <w:szCs w:val="21"/>
                      <w:highlight w:val="none"/>
                      <w:lang w:val="en-US" w:eastAsia="zh-CN"/>
                    </w:rPr>
                    <w:t>须</w:t>
                  </w:r>
                  <w:r>
                    <w:rPr>
                      <w:rFonts w:hint="eastAsia" w:ascii="宋体" w:hAnsi="宋体" w:cs="Calibri"/>
                      <w:b/>
                      <w:bCs/>
                      <w:color w:val="auto"/>
                      <w:sz w:val="21"/>
                      <w:szCs w:val="21"/>
                      <w:highlight w:val="none"/>
                    </w:rPr>
                    <w:t>提供</w:t>
                  </w:r>
                  <w:r>
                    <w:rPr>
                      <w:rFonts w:hint="eastAsia" w:ascii="宋体" w:hAnsi="宋体" w:cs="Calibri"/>
                      <w:b/>
                      <w:bCs/>
                      <w:color w:val="auto"/>
                      <w:sz w:val="21"/>
                      <w:szCs w:val="21"/>
                      <w:highlight w:val="none"/>
                      <w:lang w:val="en-US" w:eastAsia="zh-CN"/>
                    </w:rPr>
                    <w:t>以上人员</w:t>
                  </w:r>
                  <w:r>
                    <w:rPr>
                      <w:rFonts w:hint="eastAsia" w:ascii="宋体" w:hAnsi="宋体" w:cs="Calibri"/>
                      <w:b/>
                      <w:bCs/>
                      <w:color w:val="auto"/>
                      <w:sz w:val="21"/>
                      <w:szCs w:val="21"/>
                      <w:highlight w:val="none"/>
                    </w:rPr>
                    <w:t>有效的执业资格证书复印件。</w:t>
                  </w:r>
                </w:p>
                <w:p w14:paraId="4641DC37">
                  <w:pPr>
                    <w:pStyle w:val="2"/>
                    <w:keepNext w:val="0"/>
                    <w:keepLines w:val="0"/>
                    <w:pageBreakBefore w:val="0"/>
                    <w:widowControl w:val="0"/>
                    <w:kinsoku/>
                    <w:wordWrap/>
                    <w:overflowPunct/>
                    <w:topLinePunct w:val="0"/>
                    <w:bidi w:val="0"/>
                    <w:snapToGrid/>
                    <w:spacing w:line="400" w:lineRule="exact"/>
                    <w:ind w:firstLine="422" w:firstLineChars="200"/>
                    <w:textAlignment w:val="auto"/>
                    <w:rPr>
                      <w:b/>
                      <w:bCs/>
                      <w:color w:val="auto"/>
                      <w:sz w:val="21"/>
                      <w:szCs w:val="21"/>
                      <w:highlight w:val="none"/>
                    </w:rPr>
                  </w:pPr>
                  <w:r>
                    <w:rPr>
                      <w:rFonts w:hint="eastAsia" w:ascii="宋体" w:hAnsi="宋体" w:cs="Calibri"/>
                      <w:b/>
                      <w:bCs/>
                      <w:color w:val="auto"/>
                      <w:sz w:val="21"/>
                      <w:szCs w:val="21"/>
                      <w:highlight w:val="none"/>
                    </w:rPr>
                    <w:t>若项目实施期间出现服务人员工作时间冲突，供应商须</w:t>
                  </w:r>
                  <w:r>
                    <w:rPr>
                      <w:rFonts w:hint="eastAsia" w:ascii="宋体" w:hAnsi="宋体" w:cs="Calibri"/>
                      <w:b/>
                      <w:bCs/>
                      <w:color w:val="auto"/>
                      <w:sz w:val="21"/>
                      <w:szCs w:val="21"/>
                      <w:highlight w:val="none"/>
                      <w:lang w:eastAsia="zh-CN"/>
                    </w:rPr>
                    <w:t>经采购人员同意后</w:t>
                  </w:r>
                  <w:r>
                    <w:rPr>
                      <w:rFonts w:hint="eastAsia" w:ascii="宋体" w:hAnsi="宋体" w:cs="Calibri"/>
                      <w:b/>
                      <w:bCs/>
                      <w:color w:val="auto"/>
                      <w:sz w:val="21"/>
                      <w:szCs w:val="21"/>
                      <w:highlight w:val="none"/>
                    </w:rPr>
                    <w:t>按原项目团队配置的要求增派人员，以保障项目的服务质量及进度要求。</w:t>
                  </w:r>
                </w:p>
              </w:tc>
            </w:tr>
            <w:tr w14:paraId="494B4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4" w:type="pct"/>
                  <w:noWrap/>
                  <w:vAlign w:val="center"/>
                </w:tcPr>
                <w:p w14:paraId="1F04213F">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904" w:type="pct"/>
                  <w:noWrap/>
                  <w:vAlign w:val="center"/>
                </w:tcPr>
                <w:p w14:paraId="5447ED52">
                  <w:pPr>
                    <w:spacing w:line="400" w:lineRule="exact"/>
                    <w:jc w:val="center"/>
                    <w:rPr>
                      <w:rFonts w:ascii="宋体" w:hAnsi="宋体" w:cs="宋体"/>
                      <w:color w:val="auto"/>
                      <w:szCs w:val="21"/>
                      <w:highlight w:val="none"/>
                    </w:rPr>
                  </w:pPr>
                  <w:r>
                    <w:rPr>
                      <w:rFonts w:hint="eastAsia" w:ascii="宋体" w:hAnsi="宋体" w:cs="仿宋_GB2312"/>
                      <w:color w:val="auto"/>
                      <w:szCs w:val="21"/>
                      <w:highlight w:val="none"/>
                    </w:rPr>
                    <w:t>地方资产管理公司现场检查与监管评级</w:t>
                  </w:r>
                </w:p>
              </w:tc>
              <w:tc>
                <w:tcPr>
                  <w:tcW w:w="3690" w:type="pct"/>
                  <w:noWrap/>
                  <w:vAlign w:val="top"/>
                </w:tcPr>
                <w:p w14:paraId="4DB36F6D">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cs="Calibri"/>
                      <w:b/>
                      <w:bCs/>
                      <w:color w:val="auto"/>
                      <w:sz w:val="21"/>
                      <w:szCs w:val="21"/>
                      <w:highlight w:val="none"/>
                    </w:rPr>
                  </w:pPr>
                  <w:r>
                    <w:rPr>
                      <w:rFonts w:hint="eastAsia" w:ascii="宋体" w:hAnsi="宋体" w:cs="Calibri"/>
                      <w:b/>
                      <w:bCs/>
                      <w:color w:val="auto"/>
                      <w:sz w:val="21"/>
                      <w:szCs w:val="21"/>
                      <w:highlight w:val="none"/>
                    </w:rPr>
                    <w:t>会计服务供应商至少指派3名以上（含）审计人员参与本项目</w:t>
                  </w:r>
                  <w:r>
                    <w:rPr>
                      <w:rFonts w:hint="eastAsia" w:ascii="宋体" w:hAnsi="宋体" w:cs="Calibri"/>
                      <w:b/>
                      <w:bCs/>
                      <w:color w:val="auto"/>
                      <w:sz w:val="21"/>
                      <w:szCs w:val="21"/>
                      <w:highlight w:val="none"/>
                      <w:lang w:eastAsia="zh-CN"/>
                    </w:rPr>
                    <w:t>（人员可与</w:t>
                  </w:r>
                  <w:r>
                    <w:rPr>
                      <w:rFonts w:hint="eastAsia" w:ascii="宋体" w:hAnsi="宋体" w:cs="Calibri"/>
                      <w:b/>
                      <w:bCs/>
                      <w:color w:val="auto"/>
                      <w:sz w:val="21"/>
                      <w:szCs w:val="21"/>
                      <w:highlight w:val="none"/>
                    </w:rPr>
                    <w:t>小额贷款公司</w:t>
                  </w:r>
                  <w:r>
                    <w:rPr>
                      <w:rFonts w:hint="eastAsia" w:ascii="宋体" w:hAnsi="宋体" w:cs="Calibri"/>
                      <w:b/>
                      <w:bCs/>
                      <w:color w:val="auto"/>
                      <w:sz w:val="21"/>
                      <w:szCs w:val="21"/>
                      <w:highlight w:val="none"/>
                      <w:lang w:eastAsia="zh-CN"/>
                    </w:rPr>
                    <w:t>、典当行</w:t>
                  </w:r>
                  <w:r>
                    <w:rPr>
                      <w:rFonts w:hint="eastAsia" w:ascii="宋体" w:hAnsi="宋体" w:cs="Calibri"/>
                      <w:b/>
                      <w:bCs/>
                      <w:color w:val="auto"/>
                      <w:sz w:val="21"/>
                      <w:szCs w:val="21"/>
                      <w:highlight w:val="none"/>
                    </w:rPr>
                    <w:t>现场检查</w:t>
                  </w:r>
                  <w:r>
                    <w:rPr>
                      <w:rFonts w:hint="eastAsia" w:ascii="宋体" w:hAnsi="宋体" w:cs="Calibri"/>
                      <w:b/>
                      <w:bCs/>
                      <w:color w:val="auto"/>
                      <w:sz w:val="21"/>
                      <w:szCs w:val="21"/>
                      <w:highlight w:val="none"/>
                      <w:lang w:eastAsia="zh-CN"/>
                    </w:rPr>
                    <w:t>与监管评级项目人员重复）</w:t>
                  </w:r>
                  <w:r>
                    <w:rPr>
                      <w:rFonts w:hint="eastAsia" w:ascii="宋体" w:hAnsi="宋体" w:cs="Calibri"/>
                      <w:b/>
                      <w:bCs/>
                      <w:color w:val="auto"/>
                      <w:sz w:val="21"/>
                      <w:szCs w:val="21"/>
                      <w:highlight w:val="none"/>
                    </w:rPr>
                    <w:t>，至少1名为注册会计师，</w:t>
                  </w:r>
                  <w:r>
                    <w:rPr>
                      <w:rFonts w:hint="eastAsia" w:ascii="宋体" w:hAnsi="宋体" w:cs="Calibri"/>
                      <w:b/>
                      <w:bCs/>
                      <w:color w:val="auto"/>
                      <w:sz w:val="21"/>
                      <w:szCs w:val="21"/>
                      <w:highlight w:val="none"/>
                      <w:lang w:val="en-US" w:eastAsia="zh-CN"/>
                    </w:rPr>
                    <w:t>须具备</w:t>
                  </w:r>
                  <w:r>
                    <w:rPr>
                      <w:rFonts w:hint="eastAsia" w:ascii="宋体" w:hAnsi="宋体" w:cs="Calibri"/>
                      <w:b/>
                      <w:bCs/>
                      <w:color w:val="auto"/>
                      <w:sz w:val="21"/>
                      <w:szCs w:val="21"/>
                      <w:highlight w:val="none"/>
                    </w:rPr>
                    <w:t>有效的《注册会计师执业证书》。其余审计人员持有初级及以上</w:t>
                  </w:r>
                  <w:r>
                    <w:rPr>
                      <w:rFonts w:hint="eastAsia" w:ascii="宋体" w:hAnsi="宋体" w:cs="Calibri"/>
                      <w:b/>
                      <w:bCs/>
                      <w:color w:val="auto"/>
                      <w:sz w:val="21"/>
                      <w:szCs w:val="21"/>
                      <w:highlight w:val="none"/>
                      <w:lang w:eastAsia="zh-CN"/>
                    </w:rPr>
                    <w:t>《会计专业技术资格证书》</w:t>
                  </w:r>
                  <w:r>
                    <w:rPr>
                      <w:rFonts w:hint="eastAsia" w:ascii="宋体" w:hAnsi="宋体" w:cs="Calibri"/>
                      <w:b/>
                      <w:bCs/>
                      <w:color w:val="auto"/>
                      <w:sz w:val="21"/>
                      <w:szCs w:val="21"/>
                      <w:highlight w:val="none"/>
                    </w:rPr>
                    <w:t>。响应文件</w:t>
                  </w:r>
                  <w:r>
                    <w:rPr>
                      <w:rFonts w:hint="eastAsia" w:ascii="宋体" w:hAnsi="宋体" w:cs="Calibri"/>
                      <w:b/>
                      <w:bCs/>
                      <w:color w:val="auto"/>
                      <w:sz w:val="21"/>
                      <w:szCs w:val="21"/>
                      <w:highlight w:val="none"/>
                      <w:lang w:val="en-US" w:eastAsia="zh-CN"/>
                    </w:rPr>
                    <w:t>须</w:t>
                  </w:r>
                  <w:r>
                    <w:rPr>
                      <w:rFonts w:hint="eastAsia" w:ascii="宋体" w:hAnsi="宋体" w:cs="Calibri"/>
                      <w:b/>
                      <w:bCs/>
                      <w:color w:val="auto"/>
                      <w:sz w:val="21"/>
                      <w:szCs w:val="21"/>
                      <w:highlight w:val="none"/>
                    </w:rPr>
                    <w:t>提供</w:t>
                  </w:r>
                  <w:r>
                    <w:rPr>
                      <w:rFonts w:hint="eastAsia" w:ascii="宋体" w:hAnsi="宋体" w:cs="Calibri"/>
                      <w:b/>
                      <w:bCs/>
                      <w:color w:val="auto"/>
                      <w:sz w:val="21"/>
                      <w:szCs w:val="21"/>
                      <w:highlight w:val="none"/>
                      <w:lang w:val="en-US" w:eastAsia="zh-CN"/>
                    </w:rPr>
                    <w:t>以上人员</w:t>
                  </w:r>
                  <w:r>
                    <w:rPr>
                      <w:rFonts w:hint="eastAsia" w:ascii="宋体" w:hAnsi="宋体" w:cs="Calibri"/>
                      <w:b/>
                      <w:bCs/>
                      <w:color w:val="auto"/>
                      <w:sz w:val="21"/>
                      <w:szCs w:val="21"/>
                      <w:highlight w:val="none"/>
                    </w:rPr>
                    <w:t>有效的执业资格证书复印件。</w:t>
                  </w:r>
                </w:p>
                <w:p w14:paraId="28FF174C">
                  <w:pPr>
                    <w:pStyle w:val="2"/>
                    <w:keepNext w:val="0"/>
                    <w:keepLines w:val="0"/>
                    <w:pageBreakBefore w:val="0"/>
                    <w:widowControl w:val="0"/>
                    <w:kinsoku/>
                    <w:wordWrap/>
                    <w:overflowPunct/>
                    <w:topLinePunct w:val="0"/>
                    <w:bidi w:val="0"/>
                    <w:snapToGrid/>
                    <w:spacing w:line="400" w:lineRule="exact"/>
                    <w:ind w:firstLine="422" w:firstLineChars="200"/>
                    <w:textAlignment w:val="auto"/>
                    <w:rPr>
                      <w:b/>
                      <w:bCs/>
                      <w:color w:val="auto"/>
                      <w:sz w:val="21"/>
                      <w:szCs w:val="21"/>
                      <w:highlight w:val="none"/>
                    </w:rPr>
                  </w:pPr>
                  <w:r>
                    <w:rPr>
                      <w:rFonts w:hint="eastAsia" w:ascii="宋体" w:hAnsi="宋体" w:cs="Calibri"/>
                      <w:b/>
                      <w:bCs/>
                      <w:color w:val="auto"/>
                      <w:sz w:val="21"/>
                      <w:szCs w:val="21"/>
                      <w:highlight w:val="none"/>
                    </w:rPr>
                    <w:t>若项目实施期间出现服务人员工作时间冲突，供应商须</w:t>
                  </w:r>
                  <w:r>
                    <w:rPr>
                      <w:rFonts w:hint="eastAsia" w:ascii="宋体" w:hAnsi="宋体" w:cs="Calibri"/>
                      <w:b/>
                      <w:bCs/>
                      <w:color w:val="auto"/>
                      <w:sz w:val="21"/>
                      <w:szCs w:val="21"/>
                      <w:highlight w:val="none"/>
                      <w:lang w:eastAsia="zh-CN"/>
                    </w:rPr>
                    <w:t>经采购人员同意后</w:t>
                  </w:r>
                  <w:r>
                    <w:rPr>
                      <w:rFonts w:hint="eastAsia" w:ascii="宋体" w:hAnsi="宋体" w:cs="Calibri"/>
                      <w:b/>
                      <w:bCs/>
                      <w:color w:val="auto"/>
                      <w:sz w:val="21"/>
                      <w:szCs w:val="21"/>
                      <w:highlight w:val="none"/>
                    </w:rPr>
                    <w:t>按原项目团队配置的要求增派人员，以保障项目的服务质量及进度要求。</w:t>
                  </w:r>
                </w:p>
              </w:tc>
            </w:tr>
            <w:tr w14:paraId="06BA8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4" w:type="pct"/>
                  <w:noWrap/>
                  <w:vAlign w:val="center"/>
                </w:tcPr>
                <w:p w14:paraId="6FB11D7E">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904" w:type="pct"/>
                  <w:noWrap/>
                  <w:vAlign w:val="center"/>
                </w:tcPr>
                <w:p w14:paraId="1370F7F6">
                  <w:pPr>
                    <w:spacing w:line="400" w:lineRule="exact"/>
                    <w:jc w:val="center"/>
                    <w:rPr>
                      <w:rFonts w:ascii="宋体" w:hAnsi="宋体" w:cs="宋体"/>
                      <w:color w:val="auto"/>
                      <w:szCs w:val="21"/>
                      <w:highlight w:val="none"/>
                    </w:rPr>
                  </w:pPr>
                  <w:r>
                    <w:rPr>
                      <w:rFonts w:hint="eastAsia" w:ascii="宋体" w:hAnsi="宋体" w:cs="仿宋_GB2312"/>
                      <w:color w:val="auto"/>
                      <w:szCs w:val="21"/>
                      <w:highlight w:val="none"/>
                    </w:rPr>
                    <w:t>跨境人民币结算奖补审核服务</w:t>
                  </w:r>
                </w:p>
              </w:tc>
              <w:tc>
                <w:tcPr>
                  <w:tcW w:w="3690" w:type="pct"/>
                  <w:noWrap/>
                  <w:vAlign w:val="top"/>
                </w:tcPr>
                <w:p w14:paraId="74644A2B">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cs="Calibri"/>
                      <w:b/>
                      <w:bCs/>
                      <w:color w:val="auto"/>
                      <w:sz w:val="21"/>
                      <w:szCs w:val="21"/>
                      <w:highlight w:val="none"/>
                    </w:rPr>
                  </w:pPr>
                  <w:r>
                    <w:rPr>
                      <w:rFonts w:hint="eastAsia" w:ascii="宋体" w:hAnsi="宋体" w:cs="Calibri"/>
                      <w:b/>
                      <w:bCs/>
                      <w:color w:val="auto"/>
                      <w:sz w:val="21"/>
                      <w:szCs w:val="21"/>
                      <w:highlight w:val="none"/>
                    </w:rPr>
                    <w:t>供应商至少指派2名以上（含）审计人员参与本项目，至少1名为注册会计师，</w:t>
                  </w:r>
                  <w:r>
                    <w:rPr>
                      <w:rFonts w:hint="eastAsia" w:ascii="宋体" w:hAnsi="宋体" w:cs="Calibri"/>
                      <w:b/>
                      <w:bCs/>
                      <w:color w:val="auto"/>
                      <w:sz w:val="21"/>
                      <w:szCs w:val="21"/>
                      <w:highlight w:val="none"/>
                      <w:lang w:val="en-US" w:eastAsia="zh-CN"/>
                    </w:rPr>
                    <w:t>须具备</w:t>
                  </w:r>
                  <w:r>
                    <w:rPr>
                      <w:rFonts w:hint="eastAsia" w:ascii="宋体" w:hAnsi="宋体" w:cs="Calibri"/>
                      <w:b/>
                      <w:bCs/>
                      <w:color w:val="auto"/>
                      <w:sz w:val="21"/>
                      <w:szCs w:val="21"/>
                      <w:highlight w:val="none"/>
                    </w:rPr>
                    <w:t>有效的《注册会计师执业证书》。其余审计人员持有初级及以上</w:t>
                  </w:r>
                  <w:r>
                    <w:rPr>
                      <w:rFonts w:hint="eastAsia" w:ascii="宋体" w:hAnsi="宋体" w:cs="Calibri"/>
                      <w:b/>
                      <w:bCs/>
                      <w:color w:val="auto"/>
                      <w:sz w:val="21"/>
                      <w:szCs w:val="21"/>
                      <w:highlight w:val="none"/>
                      <w:lang w:eastAsia="zh-CN"/>
                    </w:rPr>
                    <w:t>《会计专业技术资格证书》</w:t>
                  </w:r>
                  <w:r>
                    <w:rPr>
                      <w:rFonts w:hint="eastAsia" w:ascii="宋体" w:hAnsi="宋体" w:cs="Calibri"/>
                      <w:b/>
                      <w:bCs/>
                      <w:color w:val="auto"/>
                      <w:sz w:val="21"/>
                      <w:szCs w:val="21"/>
                      <w:highlight w:val="none"/>
                    </w:rPr>
                    <w:t>。响应文件</w:t>
                  </w:r>
                  <w:r>
                    <w:rPr>
                      <w:rFonts w:hint="eastAsia" w:ascii="宋体" w:hAnsi="宋体" w:cs="Calibri"/>
                      <w:b/>
                      <w:bCs/>
                      <w:color w:val="auto"/>
                      <w:sz w:val="21"/>
                      <w:szCs w:val="21"/>
                      <w:highlight w:val="none"/>
                      <w:lang w:val="en-US" w:eastAsia="zh-CN"/>
                    </w:rPr>
                    <w:t>须</w:t>
                  </w:r>
                  <w:r>
                    <w:rPr>
                      <w:rFonts w:hint="eastAsia" w:ascii="宋体" w:hAnsi="宋体" w:cs="Calibri"/>
                      <w:b/>
                      <w:bCs/>
                      <w:color w:val="auto"/>
                      <w:sz w:val="21"/>
                      <w:szCs w:val="21"/>
                      <w:highlight w:val="none"/>
                    </w:rPr>
                    <w:t>提供</w:t>
                  </w:r>
                  <w:r>
                    <w:rPr>
                      <w:rFonts w:hint="eastAsia" w:ascii="宋体" w:hAnsi="宋体" w:cs="Calibri"/>
                      <w:b/>
                      <w:bCs/>
                      <w:color w:val="auto"/>
                      <w:sz w:val="21"/>
                      <w:szCs w:val="21"/>
                      <w:highlight w:val="none"/>
                      <w:lang w:val="en-US" w:eastAsia="zh-CN"/>
                    </w:rPr>
                    <w:t>以上人员</w:t>
                  </w:r>
                  <w:r>
                    <w:rPr>
                      <w:rFonts w:hint="eastAsia" w:ascii="宋体" w:hAnsi="宋体" w:cs="Calibri"/>
                      <w:b/>
                      <w:bCs/>
                      <w:color w:val="auto"/>
                      <w:sz w:val="21"/>
                      <w:szCs w:val="21"/>
                      <w:highlight w:val="none"/>
                    </w:rPr>
                    <w:t>有效的执业资格证书复印件。</w:t>
                  </w:r>
                </w:p>
                <w:p w14:paraId="55A3CDAA">
                  <w:pPr>
                    <w:pStyle w:val="2"/>
                    <w:keepNext w:val="0"/>
                    <w:keepLines w:val="0"/>
                    <w:pageBreakBefore w:val="0"/>
                    <w:widowControl w:val="0"/>
                    <w:kinsoku/>
                    <w:wordWrap/>
                    <w:overflowPunct/>
                    <w:topLinePunct w:val="0"/>
                    <w:bidi w:val="0"/>
                    <w:snapToGrid/>
                    <w:spacing w:line="400" w:lineRule="exact"/>
                    <w:ind w:firstLine="422" w:firstLineChars="200"/>
                    <w:textAlignment w:val="auto"/>
                    <w:rPr>
                      <w:rFonts w:hint="default"/>
                      <w:b/>
                      <w:bCs/>
                      <w:color w:val="auto"/>
                      <w:sz w:val="21"/>
                      <w:szCs w:val="21"/>
                      <w:highlight w:val="none"/>
                      <w:lang w:val="en-US" w:eastAsia="zh-CN"/>
                    </w:rPr>
                  </w:pPr>
                  <w:r>
                    <w:rPr>
                      <w:rFonts w:hint="eastAsia" w:ascii="宋体" w:hAnsi="宋体" w:cs="Calibri"/>
                      <w:b/>
                      <w:bCs/>
                      <w:color w:val="auto"/>
                      <w:sz w:val="21"/>
                      <w:szCs w:val="21"/>
                      <w:highlight w:val="none"/>
                    </w:rPr>
                    <w:t>若项目实施期间出现服务人员工作时间冲突，供应商须</w:t>
                  </w:r>
                  <w:r>
                    <w:rPr>
                      <w:rFonts w:hint="eastAsia" w:ascii="宋体" w:hAnsi="宋体" w:cs="Calibri"/>
                      <w:b/>
                      <w:bCs/>
                      <w:color w:val="auto"/>
                      <w:sz w:val="21"/>
                      <w:szCs w:val="21"/>
                      <w:highlight w:val="none"/>
                      <w:lang w:eastAsia="zh-CN"/>
                    </w:rPr>
                    <w:t>经采购人员同意后</w:t>
                  </w:r>
                  <w:r>
                    <w:rPr>
                      <w:rFonts w:hint="eastAsia" w:ascii="宋体" w:hAnsi="宋体" w:cs="Calibri"/>
                      <w:b/>
                      <w:bCs/>
                      <w:color w:val="auto"/>
                      <w:sz w:val="21"/>
                      <w:szCs w:val="21"/>
                      <w:highlight w:val="none"/>
                    </w:rPr>
                    <w:t>按原项目团队配置的要求增派人员，以保障项目的服务质量及进度要求。</w:t>
                  </w:r>
                </w:p>
              </w:tc>
            </w:tr>
            <w:tr w14:paraId="69375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4" w:type="pct"/>
                  <w:noWrap/>
                  <w:vAlign w:val="center"/>
                </w:tcPr>
                <w:p w14:paraId="17F11FAB">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904" w:type="pct"/>
                  <w:noWrap/>
                  <w:vAlign w:val="center"/>
                </w:tcPr>
                <w:p w14:paraId="6DEF9CD8">
                  <w:pPr>
                    <w:spacing w:line="400" w:lineRule="exact"/>
                    <w:jc w:val="center"/>
                    <w:rPr>
                      <w:rFonts w:ascii="宋体" w:hAnsi="宋体" w:cs="宋体"/>
                      <w:color w:val="auto"/>
                      <w:szCs w:val="21"/>
                      <w:highlight w:val="none"/>
                    </w:rPr>
                  </w:pPr>
                  <w:r>
                    <w:rPr>
                      <w:rFonts w:hint="eastAsia" w:ascii="宋体" w:hAnsi="宋体" w:cs="仿宋_GB2312"/>
                      <w:color w:val="auto"/>
                      <w:szCs w:val="21"/>
                      <w:highlight w:val="none"/>
                    </w:rPr>
                    <w:t>直接融资奖补审核服务</w:t>
                  </w:r>
                </w:p>
              </w:tc>
              <w:tc>
                <w:tcPr>
                  <w:tcW w:w="3690" w:type="pct"/>
                  <w:noWrap/>
                  <w:vAlign w:val="top"/>
                </w:tcPr>
                <w:p w14:paraId="1D583607">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cs="Calibri"/>
                      <w:b/>
                      <w:bCs/>
                      <w:color w:val="auto"/>
                      <w:sz w:val="21"/>
                      <w:szCs w:val="21"/>
                      <w:highlight w:val="none"/>
                    </w:rPr>
                  </w:pPr>
                  <w:r>
                    <w:rPr>
                      <w:rFonts w:hint="eastAsia" w:ascii="宋体" w:hAnsi="宋体" w:cs="Calibri"/>
                      <w:b/>
                      <w:bCs/>
                      <w:color w:val="auto"/>
                      <w:sz w:val="21"/>
                      <w:szCs w:val="21"/>
                      <w:highlight w:val="none"/>
                    </w:rPr>
                    <w:t>供应商至少指派2名以上（含）审计人员参与本项目，至少1名为注册会计师，</w:t>
                  </w:r>
                  <w:r>
                    <w:rPr>
                      <w:rFonts w:hint="eastAsia" w:ascii="宋体" w:hAnsi="宋体" w:cs="Calibri"/>
                      <w:b/>
                      <w:bCs/>
                      <w:color w:val="auto"/>
                      <w:sz w:val="21"/>
                      <w:szCs w:val="21"/>
                      <w:highlight w:val="none"/>
                      <w:lang w:val="en-US" w:eastAsia="zh-CN"/>
                    </w:rPr>
                    <w:t>须具备</w:t>
                  </w:r>
                  <w:r>
                    <w:rPr>
                      <w:rFonts w:hint="eastAsia" w:ascii="宋体" w:hAnsi="宋体" w:cs="Calibri"/>
                      <w:b/>
                      <w:bCs/>
                      <w:color w:val="auto"/>
                      <w:sz w:val="21"/>
                      <w:szCs w:val="21"/>
                      <w:highlight w:val="none"/>
                    </w:rPr>
                    <w:t>提供有效的《注册会计师执业证书》</w:t>
                  </w:r>
                  <w:r>
                    <w:rPr>
                      <w:rFonts w:hint="eastAsia" w:ascii="宋体" w:hAnsi="宋体" w:cs="Calibri"/>
                      <w:b/>
                      <w:bCs/>
                      <w:color w:val="auto"/>
                      <w:sz w:val="21"/>
                      <w:szCs w:val="21"/>
                      <w:highlight w:val="none"/>
                      <w:lang w:eastAsia="zh-CN"/>
                    </w:rPr>
                    <w:t>。</w:t>
                  </w:r>
                  <w:r>
                    <w:rPr>
                      <w:rFonts w:hint="eastAsia" w:ascii="宋体" w:hAnsi="宋体" w:cs="Calibri"/>
                      <w:b/>
                      <w:bCs/>
                      <w:color w:val="auto"/>
                      <w:sz w:val="21"/>
                      <w:szCs w:val="21"/>
                      <w:highlight w:val="none"/>
                    </w:rPr>
                    <w:t>其余审计人员持有初级及以上</w:t>
                  </w:r>
                  <w:r>
                    <w:rPr>
                      <w:rFonts w:hint="eastAsia" w:ascii="宋体" w:hAnsi="宋体" w:cs="Calibri"/>
                      <w:b/>
                      <w:bCs/>
                      <w:color w:val="auto"/>
                      <w:sz w:val="21"/>
                      <w:szCs w:val="21"/>
                      <w:highlight w:val="none"/>
                      <w:lang w:eastAsia="zh-CN"/>
                    </w:rPr>
                    <w:t>《会计专业技术资格证书》</w:t>
                  </w:r>
                  <w:r>
                    <w:rPr>
                      <w:rFonts w:hint="eastAsia" w:ascii="宋体" w:hAnsi="宋体" w:cs="Calibri"/>
                      <w:b/>
                      <w:bCs/>
                      <w:color w:val="auto"/>
                      <w:sz w:val="21"/>
                      <w:szCs w:val="21"/>
                      <w:highlight w:val="none"/>
                    </w:rPr>
                    <w:t>。响应文件</w:t>
                  </w:r>
                  <w:r>
                    <w:rPr>
                      <w:rFonts w:hint="eastAsia" w:ascii="宋体" w:hAnsi="宋体" w:cs="Calibri"/>
                      <w:b/>
                      <w:bCs/>
                      <w:color w:val="auto"/>
                      <w:sz w:val="21"/>
                      <w:szCs w:val="21"/>
                      <w:highlight w:val="none"/>
                      <w:lang w:val="en-US" w:eastAsia="zh-CN"/>
                    </w:rPr>
                    <w:t>须</w:t>
                  </w:r>
                  <w:r>
                    <w:rPr>
                      <w:rFonts w:hint="eastAsia" w:ascii="宋体" w:hAnsi="宋体" w:cs="Calibri"/>
                      <w:b/>
                      <w:bCs/>
                      <w:color w:val="auto"/>
                      <w:sz w:val="21"/>
                      <w:szCs w:val="21"/>
                      <w:highlight w:val="none"/>
                    </w:rPr>
                    <w:t>提供</w:t>
                  </w:r>
                  <w:r>
                    <w:rPr>
                      <w:rFonts w:hint="eastAsia" w:ascii="宋体" w:hAnsi="宋体" w:cs="Calibri"/>
                      <w:b/>
                      <w:bCs/>
                      <w:color w:val="auto"/>
                      <w:sz w:val="21"/>
                      <w:szCs w:val="21"/>
                      <w:highlight w:val="none"/>
                      <w:lang w:val="en-US" w:eastAsia="zh-CN"/>
                    </w:rPr>
                    <w:t>以上人员</w:t>
                  </w:r>
                  <w:r>
                    <w:rPr>
                      <w:rFonts w:hint="eastAsia" w:ascii="宋体" w:hAnsi="宋体" w:cs="Calibri"/>
                      <w:b/>
                      <w:bCs/>
                      <w:color w:val="auto"/>
                      <w:sz w:val="21"/>
                      <w:szCs w:val="21"/>
                      <w:highlight w:val="none"/>
                    </w:rPr>
                    <w:t>有效的执业资格证书复印件。</w:t>
                  </w:r>
                </w:p>
                <w:p w14:paraId="60C19843">
                  <w:pPr>
                    <w:pStyle w:val="2"/>
                    <w:keepNext w:val="0"/>
                    <w:keepLines w:val="0"/>
                    <w:pageBreakBefore w:val="0"/>
                    <w:widowControl w:val="0"/>
                    <w:kinsoku/>
                    <w:wordWrap/>
                    <w:overflowPunct/>
                    <w:topLinePunct w:val="0"/>
                    <w:bidi w:val="0"/>
                    <w:snapToGrid/>
                    <w:spacing w:line="400" w:lineRule="exact"/>
                    <w:ind w:firstLine="422" w:firstLineChars="200"/>
                    <w:textAlignment w:val="auto"/>
                    <w:rPr>
                      <w:b/>
                      <w:bCs/>
                      <w:color w:val="auto"/>
                      <w:sz w:val="21"/>
                      <w:szCs w:val="21"/>
                      <w:highlight w:val="none"/>
                    </w:rPr>
                  </w:pPr>
                  <w:r>
                    <w:rPr>
                      <w:rFonts w:hint="eastAsia" w:ascii="宋体" w:hAnsi="宋体" w:cs="Calibri"/>
                      <w:b/>
                      <w:bCs/>
                      <w:color w:val="auto"/>
                      <w:sz w:val="21"/>
                      <w:szCs w:val="21"/>
                      <w:highlight w:val="none"/>
                    </w:rPr>
                    <w:t>若项目实施期间出现服务人员工作时间冲突，供应商须按原项目团队配置的要求增派人员，以保障项目的服务质量及进度要求。</w:t>
                  </w:r>
                </w:p>
              </w:tc>
            </w:tr>
            <w:tr w14:paraId="6B796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4" w:type="pct"/>
                  <w:noWrap/>
                  <w:vAlign w:val="center"/>
                </w:tcPr>
                <w:p w14:paraId="07100BB5">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904" w:type="pct"/>
                  <w:noWrap/>
                  <w:vAlign w:val="center"/>
                </w:tcPr>
                <w:p w14:paraId="5D760F50">
                  <w:pPr>
                    <w:spacing w:line="400" w:lineRule="exact"/>
                    <w:jc w:val="center"/>
                    <w:rPr>
                      <w:rFonts w:ascii="宋体" w:hAnsi="宋体" w:cs="宋体"/>
                      <w:color w:val="auto"/>
                      <w:szCs w:val="21"/>
                      <w:highlight w:val="none"/>
                    </w:rPr>
                  </w:pPr>
                  <w:r>
                    <w:rPr>
                      <w:rFonts w:hint="eastAsia" w:ascii="宋体" w:hAnsi="宋体" w:cs="Calibri"/>
                      <w:color w:val="auto"/>
                      <w:szCs w:val="21"/>
                      <w:highlight w:val="none"/>
                    </w:rPr>
                    <w:t>交易场所现场检查</w:t>
                  </w:r>
                </w:p>
              </w:tc>
              <w:tc>
                <w:tcPr>
                  <w:tcW w:w="3690" w:type="pct"/>
                  <w:noWrap/>
                  <w:vAlign w:val="top"/>
                </w:tcPr>
                <w:p w14:paraId="746D0491">
                  <w:pPr>
                    <w:keepNext w:val="0"/>
                    <w:keepLines w:val="0"/>
                    <w:pageBreakBefore w:val="0"/>
                    <w:widowControl w:val="0"/>
                    <w:kinsoku/>
                    <w:wordWrap/>
                    <w:overflowPunct/>
                    <w:topLinePunct w:val="0"/>
                    <w:bidi w:val="0"/>
                    <w:snapToGrid/>
                    <w:spacing w:line="400" w:lineRule="exact"/>
                    <w:ind w:firstLine="422" w:firstLineChars="200"/>
                    <w:textAlignment w:val="auto"/>
                    <w:rPr>
                      <w:rFonts w:hint="eastAsia" w:ascii="宋体" w:hAnsi="宋体" w:cs="Calibri"/>
                      <w:b/>
                      <w:bCs/>
                      <w:color w:val="auto"/>
                      <w:sz w:val="21"/>
                      <w:szCs w:val="21"/>
                      <w:highlight w:val="none"/>
                    </w:rPr>
                  </w:pPr>
                  <w:r>
                    <w:rPr>
                      <w:rFonts w:hint="eastAsia" w:ascii="宋体" w:hAnsi="宋体" w:cs="Calibri"/>
                      <w:b/>
                      <w:bCs/>
                      <w:color w:val="auto"/>
                      <w:sz w:val="21"/>
                      <w:szCs w:val="21"/>
                      <w:highlight w:val="none"/>
                    </w:rPr>
                    <w:t>交易场所现场检查分为至</w:t>
                  </w:r>
                  <w:r>
                    <w:rPr>
                      <w:rFonts w:hint="eastAsia" w:ascii="宋体" w:hAnsi="宋体" w:cs="Calibri"/>
                      <w:b/>
                      <w:bCs/>
                      <w:color w:val="auto"/>
                      <w:sz w:val="21"/>
                      <w:szCs w:val="21"/>
                      <w:highlight w:val="none"/>
                      <w:lang w:eastAsia="zh-CN"/>
                    </w:rPr>
                    <w:t>少</w:t>
                  </w:r>
                  <w:r>
                    <w:rPr>
                      <w:rFonts w:hint="eastAsia" w:ascii="宋体" w:hAnsi="宋体" w:cs="Calibri"/>
                      <w:b/>
                      <w:bCs/>
                      <w:color w:val="auto"/>
                      <w:sz w:val="21"/>
                      <w:szCs w:val="21"/>
                      <w:highlight w:val="none"/>
                    </w:rPr>
                    <w:t>2个检查组，每个检查组安排3名以上审计人员（至少1名为注册会计师，</w:t>
                  </w:r>
                  <w:r>
                    <w:rPr>
                      <w:rFonts w:hint="eastAsia" w:ascii="宋体" w:hAnsi="宋体" w:cs="Calibri"/>
                      <w:b/>
                      <w:bCs/>
                      <w:color w:val="auto"/>
                      <w:sz w:val="21"/>
                      <w:szCs w:val="21"/>
                      <w:highlight w:val="none"/>
                      <w:lang w:val="en-US" w:eastAsia="zh-CN"/>
                    </w:rPr>
                    <w:t>须具备</w:t>
                  </w:r>
                  <w:r>
                    <w:rPr>
                      <w:rFonts w:hint="eastAsia" w:ascii="宋体" w:hAnsi="宋体" w:cs="Calibri"/>
                      <w:b/>
                      <w:bCs/>
                      <w:color w:val="auto"/>
                      <w:sz w:val="21"/>
                      <w:szCs w:val="21"/>
                      <w:highlight w:val="none"/>
                    </w:rPr>
                    <w:t>有效的《注册会计师执业证书》且最近1年内无不良执业记录），其余审计人员持有初级及以上</w:t>
                  </w:r>
                  <w:r>
                    <w:rPr>
                      <w:rFonts w:hint="eastAsia" w:ascii="宋体" w:hAnsi="宋体" w:cs="Calibri"/>
                      <w:b/>
                      <w:bCs/>
                      <w:color w:val="auto"/>
                      <w:sz w:val="21"/>
                      <w:szCs w:val="21"/>
                      <w:highlight w:val="none"/>
                      <w:lang w:eastAsia="zh-CN"/>
                    </w:rPr>
                    <w:t>《会计专业技术资格证书》</w:t>
                  </w:r>
                  <w:r>
                    <w:rPr>
                      <w:rFonts w:hint="eastAsia" w:ascii="宋体" w:hAnsi="宋体" w:cs="Calibri"/>
                      <w:b/>
                      <w:bCs/>
                      <w:color w:val="auto"/>
                      <w:sz w:val="21"/>
                      <w:szCs w:val="21"/>
                      <w:highlight w:val="none"/>
                    </w:rPr>
                    <w:t>。响应文件</w:t>
                  </w:r>
                  <w:r>
                    <w:rPr>
                      <w:rFonts w:hint="eastAsia" w:ascii="宋体" w:hAnsi="宋体" w:cs="Calibri"/>
                      <w:b/>
                      <w:bCs/>
                      <w:color w:val="auto"/>
                      <w:sz w:val="21"/>
                      <w:szCs w:val="21"/>
                      <w:highlight w:val="none"/>
                      <w:lang w:val="en-US" w:eastAsia="zh-CN"/>
                    </w:rPr>
                    <w:t>须</w:t>
                  </w:r>
                  <w:r>
                    <w:rPr>
                      <w:rFonts w:hint="eastAsia" w:ascii="宋体" w:hAnsi="宋体" w:cs="Calibri"/>
                      <w:b/>
                      <w:bCs/>
                      <w:color w:val="auto"/>
                      <w:sz w:val="21"/>
                      <w:szCs w:val="21"/>
                      <w:highlight w:val="none"/>
                    </w:rPr>
                    <w:t>提供</w:t>
                  </w:r>
                  <w:r>
                    <w:rPr>
                      <w:rFonts w:hint="eastAsia" w:ascii="宋体" w:hAnsi="宋体" w:cs="Calibri"/>
                      <w:b/>
                      <w:bCs/>
                      <w:color w:val="auto"/>
                      <w:sz w:val="21"/>
                      <w:szCs w:val="21"/>
                      <w:highlight w:val="none"/>
                      <w:lang w:val="en-US" w:eastAsia="zh-CN"/>
                    </w:rPr>
                    <w:t>以上人员</w:t>
                  </w:r>
                  <w:r>
                    <w:rPr>
                      <w:rFonts w:hint="eastAsia" w:ascii="宋体" w:hAnsi="宋体" w:cs="Calibri"/>
                      <w:b/>
                      <w:bCs/>
                      <w:color w:val="auto"/>
                      <w:sz w:val="21"/>
                      <w:szCs w:val="21"/>
                      <w:highlight w:val="none"/>
                    </w:rPr>
                    <w:t>有效的执业资格证书复印件。</w:t>
                  </w:r>
                </w:p>
                <w:p w14:paraId="23E806B2">
                  <w:pPr>
                    <w:pStyle w:val="2"/>
                    <w:keepNext w:val="0"/>
                    <w:keepLines w:val="0"/>
                    <w:pageBreakBefore w:val="0"/>
                    <w:widowControl w:val="0"/>
                    <w:kinsoku/>
                    <w:wordWrap/>
                    <w:overflowPunct/>
                    <w:topLinePunct w:val="0"/>
                    <w:bidi w:val="0"/>
                    <w:snapToGrid/>
                    <w:spacing w:line="400" w:lineRule="exact"/>
                    <w:ind w:firstLine="422" w:firstLineChars="200"/>
                    <w:textAlignment w:val="auto"/>
                    <w:rPr>
                      <w:b/>
                      <w:bCs/>
                      <w:color w:val="auto"/>
                      <w:sz w:val="21"/>
                      <w:szCs w:val="21"/>
                      <w:highlight w:val="none"/>
                    </w:rPr>
                  </w:pPr>
                  <w:r>
                    <w:rPr>
                      <w:rFonts w:hint="eastAsia" w:ascii="宋体" w:hAnsi="宋体" w:cs="Calibri"/>
                      <w:b/>
                      <w:bCs/>
                      <w:color w:val="auto"/>
                      <w:sz w:val="21"/>
                      <w:szCs w:val="21"/>
                      <w:highlight w:val="none"/>
                    </w:rPr>
                    <w:t>若项目实施期间出现服务人员工作时间冲突，供应商须</w:t>
                  </w:r>
                  <w:r>
                    <w:rPr>
                      <w:rFonts w:hint="eastAsia" w:ascii="宋体" w:hAnsi="宋体" w:cs="Calibri"/>
                      <w:b/>
                      <w:bCs/>
                      <w:color w:val="auto"/>
                      <w:sz w:val="21"/>
                      <w:szCs w:val="21"/>
                      <w:highlight w:val="none"/>
                      <w:lang w:eastAsia="zh-CN"/>
                    </w:rPr>
                    <w:t>经采购人员同意后</w:t>
                  </w:r>
                  <w:r>
                    <w:rPr>
                      <w:rFonts w:hint="eastAsia" w:ascii="宋体" w:hAnsi="宋体" w:cs="Calibri"/>
                      <w:b/>
                      <w:bCs/>
                      <w:color w:val="auto"/>
                      <w:sz w:val="21"/>
                      <w:szCs w:val="21"/>
                      <w:highlight w:val="none"/>
                    </w:rPr>
                    <w:t>按原项目团队配置的要求增派人员，以保障项目的服务质量及进度要求。</w:t>
                  </w:r>
                </w:p>
              </w:tc>
            </w:tr>
            <w:tr w14:paraId="028AB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000" w:type="pct"/>
                  <w:gridSpan w:val="3"/>
                  <w:noWrap/>
                  <w:vAlign w:val="center"/>
                </w:tcPr>
                <w:p w14:paraId="159C654E">
                  <w:pPr>
                    <w:pStyle w:val="2"/>
                    <w:keepNext w:val="0"/>
                    <w:keepLines w:val="0"/>
                    <w:pageBreakBefore w:val="0"/>
                    <w:widowControl w:val="0"/>
                    <w:kinsoku/>
                    <w:wordWrap/>
                    <w:overflowPunct/>
                    <w:topLinePunct w:val="0"/>
                    <w:bidi w:val="0"/>
                    <w:snapToGrid/>
                    <w:spacing w:line="400" w:lineRule="exact"/>
                    <w:ind w:firstLine="422" w:firstLineChars="200"/>
                    <w:textAlignment w:val="auto"/>
                    <w:rPr>
                      <w:rFonts w:hint="eastAsia"/>
                      <w:color w:val="auto"/>
                      <w:highlight w:val="none"/>
                    </w:rPr>
                  </w:pPr>
                  <w:r>
                    <w:rPr>
                      <w:rFonts w:hint="eastAsia" w:hAnsi="宋体" w:cs="宋体"/>
                      <w:b/>
                      <w:bCs/>
                      <w:color w:val="auto"/>
                      <w:sz w:val="21"/>
                      <w:szCs w:val="21"/>
                      <w:highlight w:val="none"/>
                      <w:lang w:val="en-US" w:eastAsia="zh-CN"/>
                    </w:rPr>
                    <w:t>本分标至少投入不少于4组服务团队，其中标的第1、2、3项所投入人员可以为同一服务团队兼任；标的第4、5、6项所投入人员不能为同一服务团队兼任，也不能为标的第1、2、3项所投入服务团队兼任。</w:t>
                  </w:r>
                </w:p>
              </w:tc>
            </w:tr>
          </w:tbl>
          <w:p w14:paraId="1D3A45DF">
            <w:pPr>
              <w:pStyle w:val="2"/>
              <w:adjustRightInd/>
              <w:spacing w:line="400" w:lineRule="exact"/>
              <w:rPr>
                <w:rFonts w:hint="eastAsia" w:hAnsi="宋体"/>
                <w:color w:val="auto"/>
                <w:kern w:val="2"/>
                <w:sz w:val="21"/>
                <w:szCs w:val="21"/>
                <w:highlight w:val="none"/>
              </w:rPr>
            </w:pPr>
          </w:p>
        </w:tc>
      </w:tr>
      <w:tr w14:paraId="30053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80" w:type="pct"/>
            <w:gridSpan w:val="2"/>
            <w:noWrap/>
            <w:vAlign w:val="center"/>
          </w:tcPr>
          <w:p w14:paraId="024ADA0D">
            <w:pPr>
              <w:spacing w:line="400" w:lineRule="exact"/>
              <w:rPr>
                <w:rFonts w:ascii="宋体" w:hAnsi="宋体" w:cs="宋体"/>
                <w:color w:val="auto"/>
                <w:szCs w:val="21"/>
                <w:highlight w:val="none"/>
              </w:rPr>
            </w:pPr>
            <w:r>
              <w:rPr>
                <w:rFonts w:hint="eastAsia" w:ascii="宋体" w:hAnsi="宋体" w:cs="宋体"/>
                <w:color w:val="auto"/>
                <w:szCs w:val="21"/>
                <w:highlight w:val="none"/>
              </w:rPr>
              <w:t>合同签订时间</w:t>
            </w:r>
          </w:p>
        </w:tc>
        <w:tc>
          <w:tcPr>
            <w:tcW w:w="4319" w:type="pct"/>
            <w:gridSpan w:val="4"/>
            <w:noWrap/>
            <w:vAlign w:val="center"/>
          </w:tcPr>
          <w:p w14:paraId="66A8295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自成交通知书发出之日起</w:t>
            </w:r>
            <w:r>
              <w:rPr>
                <w:rFonts w:hint="eastAsia" w:ascii="宋体" w:hAnsi="宋体" w:cs="宋体"/>
                <w:color w:val="auto"/>
                <w:szCs w:val="21"/>
                <w:highlight w:val="none"/>
                <w:u w:val="single"/>
              </w:rPr>
              <w:t>25</w:t>
            </w:r>
            <w:r>
              <w:rPr>
                <w:rFonts w:hint="eastAsia" w:ascii="宋体" w:hAnsi="宋体" w:cs="宋体"/>
                <w:color w:val="auto"/>
                <w:szCs w:val="21"/>
                <w:highlight w:val="none"/>
              </w:rPr>
              <w:t>日内</w:t>
            </w:r>
          </w:p>
        </w:tc>
      </w:tr>
      <w:tr w14:paraId="04061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80" w:type="pct"/>
            <w:gridSpan w:val="2"/>
            <w:noWrap/>
            <w:vAlign w:val="center"/>
          </w:tcPr>
          <w:p w14:paraId="01BE87FF">
            <w:pPr>
              <w:spacing w:line="400" w:lineRule="exact"/>
              <w:rPr>
                <w:rFonts w:ascii="宋体" w:hAnsi="宋体" w:cs="宋体"/>
                <w:color w:val="auto"/>
                <w:szCs w:val="21"/>
                <w:highlight w:val="none"/>
              </w:rPr>
            </w:pPr>
            <w:r>
              <w:rPr>
                <w:rFonts w:hint="eastAsia" w:ascii="宋体" w:hAnsi="宋体" w:cs="宋体"/>
                <w:color w:val="auto"/>
                <w:szCs w:val="21"/>
                <w:highlight w:val="none"/>
              </w:rPr>
              <w:t>付款条件（进度和方式）</w:t>
            </w:r>
          </w:p>
        </w:tc>
        <w:tc>
          <w:tcPr>
            <w:tcW w:w="4319" w:type="pct"/>
            <w:gridSpan w:val="4"/>
            <w:noWrap/>
            <w:vAlign w:val="center"/>
          </w:tcPr>
          <w:p w14:paraId="4A3BD28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采购人于合同签署之日起十日内支付50%的合同款，后期其余款项于检查报告完成终稿并送交采购人审核并验收通过后十日内支付50%的合同款。供应商应在采购人</w:t>
            </w:r>
            <w:r>
              <w:rPr>
                <w:rFonts w:hint="eastAsia" w:ascii="宋体" w:hAnsi="宋体" w:cs="宋体"/>
                <w:color w:val="auto"/>
                <w:szCs w:val="21"/>
                <w:highlight w:val="none"/>
                <w:lang w:eastAsia="zh-CN"/>
              </w:rPr>
              <w:t>每次</w:t>
            </w:r>
            <w:r>
              <w:rPr>
                <w:rFonts w:hint="eastAsia" w:ascii="宋体" w:hAnsi="宋体" w:cs="宋体"/>
                <w:color w:val="auto"/>
                <w:szCs w:val="21"/>
                <w:highlight w:val="none"/>
              </w:rPr>
              <w:t>付款前开具相应金额、合法有效的发票，采购人凭供应商开具的全额发票支付款项。</w:t>
            </w:r>
          </w:p>
        </w:tc>
      </w:tr>
      <w:tr w14:paraId="3D3FC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80" w:type="pct"/>
            <w:gridSpan w:val="2"/>
            <w:tcBorders>
              <w:top w:val="single" w:color="auto" w:sz="4" w:space="0"/>
              <w:left w:val="single" w:color="auto" w:sz="4" w:space="0"/>
              <w:bottom w:val="single" w:color="auto" w:sz="4" w:space="0"/>
              <w:right w:val="single" w:color="auto" w:sz="4" w:space="0"/>
            </w:tcBorders>
            <w:noWrap/>
            <w:vAlign w:val="center"/>
          </w:tcPr>
          <w:p w14:paraId="00865682">
            <w:pPr>
              <w:snapToGrid w:val="0"/>
              <w:spacing w:line="400" w:lineRule="exact"/>
              <w:jc w:val="center"/>
              <w:rPr>
                <w:rFonts w:ascii="宋体" w:hAnsi="宋体" w:cs="Calibri"/>
                <w:color w:val="auto"/>
                <w:szCs w:val="21"/>
                <w:highlight w:val="none"/>
              </w:rPr>
            </w:pPr>
            <w:r>
              <w:rPr>
                <w:rFonts w:hint="eastAsia" w:ascii="宋体" w:hAnsi="宋体" w:cs="Calibri"/>
                <w:color w:val="auto"/>
                <w:szCs w:val="21"/>
                <w:highlight w:val="none"/>
              </w:rPr>
              <w:t>服务要求</w:t>
            </w:r>
          </w:p>
        </w:tc>
        <w:tc>
          <w:tcPr>
            <w:tcW w:w="4319" w:type="pct"/>
            <w:gridSpan w:val="4"/>
            <w:tcBorders>
              <w:top w:val="single" w:color="auto" w:sz="4" w:space="0"/>
              <w:left w:val="single" w:color="auto" w:sz="4" w:space="0"/>
              <w:bottom w:val="single" w:color="auto" w:sz="4" w:space="0"/>
              <w:right w:val="single" w:color="auto" w:sz="4" w:space="0"/>
            </w:tcBorders>
            <w:noWrap/>
            <w:vAlign w:val="center"/>
          </w:tcPr>
          <w:p w14:paraId="56D07F5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1.时效性：检查、审核工作及时到位；</w:t>
            </w:r>
          </w:p>
          <w:p w14:paraId="38C079E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2.可调和性：遇到特殊情况，能积极配合调整，在规定时间前完成；</w:t>
            </w:r>
          </w:p>
          <w:p w14:paraId="28E3FC40">
            <w:pPr>
              <w:spacing w:line="400" w:lineRule="exact"/>
              <w:ind w:firstLine="420" w:firstLineChars="200"/>
              <w:rPr>
                <w:rFonts w:ascii="宋体" w:hAnsi="宋体" w:cs="宋体"/>
                <w:color w:val="auto"/>
                <w:szCs w:val="21"/>
                <w:highlight w:val="none"/>
              </w:rPr>
            </w:pPr>
            <w:r>
              <w:rPr>
                <w:rFonts w:hint="eastAsia" w:ascii="宋体" w:hAnsi="宋体" w:cs="宋体"/>
                <w:color w:val="auto"/>
                <w:highlight w:val="none"/>
              </w:rPr>
              <w:t>3.</w:t>
            </w:r>
            <w:r>
              <w:rPr>
                <w:rFonts w:hint="eastAsia" w:ascii="宋体" w:hAnsi="宋体" w:cs="宋体"/>
                <w:color w:val="auto"/>
                <w:szCs w:val="21"/>
                <w:highlight w:val="none"/>
              </w:rPr>
              <w:t>供应商应为本项目委派一名项目负责人负责项目全权管理工作，包括但不限于人员调配、沟通、协调等工作。供应商须为本项目服务实施投入充足的服务人员，并确保响应文件中的人员信息真实、有效。供应商的审计人员进场前须出具相关资质证书等证明材料。</w:t>
            </w:r>
          </w:p>
          <w:p w14:paraId="67BDD21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提供7×24小时热线电话支持服务，及时快捷地解决采购人在使用产品或服务时所遇到的各种问题。采购人可以根据实际需求，通过热线电话、邮件发送、客服QQ等咨询方式来获取相应的服务。对采购人提出的问题，在4小时内作出实质响应，并提供初步解决方案。若问题电话无法解决的，48小时内派技术人员到达指定现场，针对故障问题4小时内给予问题的解答，并制定解决方案。所有问题在48小时内解决问题。</w:t>
            </w:r>
          </w:p>
        </w:tc>
      </w:tr>
      <w:tr w14:paraId="37CD5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80" w:type="pct"/>
            <w:gridSpan w:val="2"/>
            <w:tcBorders>
              <w:top w:val="single" w:color="auto" w:sz="4" w:space="0"/>
              <w:left w:val="single" w:color="auto" w:sz="4" w:space="0"/>
              <w:bottom w:val="single" w:color="auto" w:sz="4" w:space="0"/>
              <w:right w:val="single" w:color="auto" w:sz="4" w:space="0"/>
            </w:tcBorders>
            <w:noWrap/>
            <w:vAlign w:val="center"/>
          </w:tcPr>
          <w:p w14:paraId="392AD079">
            <w:pPr>
              <w:spacing w:line="400" w:lineRule="exact"/>
              <w:rPr>
                <w:rFonts w:ascii="宋体" w:hAnsi="宋体" w:cs="Calibri"/>
                <w:color w:val="auto"/>
                <w:szCs w:val="21"/>
                <w:highlight w:val="none"/>
              </w:rPr>
            </w:pPr>
            <w:r>
              <w:rPr>
                <w:rFonts w:hint="eastAsia" w:ascii="宋体" w:hAnsi="宋体" w:cs="Calibri"/>
                <w:color w:val="auto"/>
                <w:szCs w:val="21"/>
                <w:highlight w:val="none"/>
              </w:rPr>
              <w:t>报价要求</w:t>
            </w:r>
          </w:p>
        </w:tc>
        <w:tc>
          <w:tcPr>
            <w:tcW w:w="4319" w:type="pct"/>
            <w:gridSpan w:val="4"/>
            <w:tcBorders>
              <w:top w:val="single" w:color="auto" w:sz="4" w:space="0"/>
              <w:left w:val="single" w:color="auto" w:sz="4" w:space="0"/>
              <w:bottom w:val="single" w:color="auto" w:sz="4" w:space="0"/>
              <w:right w:val="single" w:color="auto" w:sz="4" w:space="0"/>
            </w:tcBorders>
            <w:noWrap/>
            <w:vAlign w:val="center"/>
          </w:tcPr>
          <w:p w14:paraId="170E73A2">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1.磋商报价必须含以下部分，包括：</w:t>
            </w:r>
          </w:p>
          <w:p w14:paraId="10DB1B52">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（1）服务的价格；</w:t>
            </w:r>
          </w:p>
          <w:p w14:paraId="0766FD3A">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（2）资料收集费、工作经费等必要的保险费用和各项税金；</w:t>
            </w:r>
          </w:p>
          <w:p w14:paraId="687DA77D">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（3）其他培训、技术支持等费用；</w:t>
            </w:r>
          </w:p>
          <w:p w14:paraId="106AEDBC">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2.成交人在实施项目过程中的交通费、差旅费、住宿费、伙食费及其他完成本次检查工作所产生的费用自理，所有费用均应包含在报价中，不再另做结算。</w:t>
            </w:r>
          </w:p>
          <w:p w14:paraId="5C2234B8">
            <w:pPr>
              <w:spacing w:line="400" w:lineRule="exact"/>
              <w:ind w:firstLine="420" w:firstLineChars="200"/>
              <w:jc w:val="left"/>
              <w:rPr>
                <w:rFonts w:ascii="宋体" w:hAnsi="宋体" w:cs="宋体"/>
                <w:color w:val="auto"/>
                <w:highlight w:val="none"/>
              </w:rPr>
            </w:pPr>
            <w:r>
              <w:rPr>
                <w:rFonts w:hint="eastAsia" w:ascii="宋体" w:hAnsi="宋体" w:cs="宋体"/>
                <w:color w:val="auto"/>
                <w:szCs w:val="21"/>
                <w:highlight w:val="none"/>
              </w:rPr>
              <w:t>3.采购人根据国家政策调整或市场情况，在成交总金额不变的情况下，要求修改方案的，供应商须按采购人的要求进行调整，采购人审核通过方案后，供应商才能实施，否则引起的经济损失等后果由供应商承担；实施过程中属于供应商原因造成的错漏等失误，由供应商负责改正，相关费用包含在合同总价中。供应商在竞标时须充分考虑该成本。</w:t>
            </w:r>
          </w:p>
        </w:tc>
      </w:tr>
      <w:tr w14:paraId="6490F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80" w:type="pct"/>
            <w:gridSpan w:val="2"/>
            <w:tcBorders>
              <w:top w:val="single" w:color="auto" w:sz="4" w:space="0"/>
              <w:left w:val="single" w:color="auto" w:sz="4" w:space="0"/>
              <w:bottom w:val="single" w:color="auto" w:sz="4" w:space="0"/>
              <w:right w:val="single" w:color="auto" w:sz="4" w:space="0"/>
            </w:tcBorders>
            <w:noWrap/>
            <w:vAlign w:val="center"/>
          </w:tcPr>
          <w:p w14:paraId="0B4029B8">
            <w:pPr>
              <w:spacing w:line="400" w:lineRule="exact"/>
              <w:jc w:val="center"/>
              <w:rPr>
                <w:rFonts w:ascii="宋体" w:hAnsi="宋体" w:cs="Arial"/>
                <w:color w:val="auto"/>
                <w:szCs w:val="21"/>
                <w:highlight w:val="none"/>
              </w:rPr>
            </w:pPr>
            <w:r>
              <w:rPr>
                <w:rFonts w:hint="eastAsia" w:ascii="宋体" w:hAnsi="宋体" w:cs="Calibri"/>
                <w:color w:val="auto"/>
                <w:szCs w:val="21"/>
                <w:highlight w:val="none"/>
              </w:rPr>
              <w:t>采购标的验收（考核）标准</w:t>
            </w:r>
          </w:p>
        </w:tc>
        <w:tc>
          <w:tcPr>
            <w:tcW w:w="4319" w:type="pct"/>
            <w:gridSpan w:val="4"/>
            <w:tcBorders>
              <w:top w:val="single" w:color="auto" w:sz="4" w:space="0"/>
              <w:left w:val="single" w:color="auto" w:sz="4" w:space="0"/>
              <w:bottom w:val="single" w:color="auto" w:sz="4" w:space="0"/>
              <w:right w:val="single" w:color="auto" w:sz="4" w:space="0"/>
            </w:tcBorders>
            <w:noWrap/>
            <w:vAlign w:val="top"/>
          </w:tcPr>
          <w:p w14:paraId="0D981A15">
            <w:pPr>
              <w:tabs>
                <w:tab w:val="left" w:pos="42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合同履行过程中，采购人按照本项目合同及磋商文件、成交供应商响应文件承诺进行验收（或委托具有相应资质的第三方机构进行验收，费用由成交供应商承担，竞标报价时应考虑报价风险），如服务验收不合格，由成交供应商按采购人（或第三方验收机构）要求整改，成交供应商不按要求整改或拒不整改的，采购人有权终止合同，给采购单位造成的损失等费用由成交供应商承担。如不符合采购文件项目需要及技术需求以及提供虚假承诺的，按相关规定做违约处理，采购人依据相关法律规定追究成交供应商的责任，由此带来的一切损失由成交供应商自行承担。</w:t>
            </w:r>
          </w:p>
          <w:p w14:paraId="10B8B7B0">
            <w:pPr>
              <w:tabs>
                <w:tab w:val="left" w:pos="42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2.验收所需工具、器材由成交供应商自理；各项性能指标达到技术要求的，由供需双方共同签字认可，现场验收。</w:t>
            </w:r>
          </w:p>
          <w:p w14:paraId="7049CEB9">
            <w:pPr>
              <w:tabs>
                <w:tab w:val="left" w:pos="425"/>
              </w:tabs>
              <w:spacing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3.相关处罚细则</w:t>
            </w:r>
          </w:p>
          <w:tbl>
            <w:tblPr>
              <w:tblStyle w:val="2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8"/>
              <w:gridCol w:w="1292"/>
              <w:gridCol w:w="5272"/>
            </w:tblGrid>
            <w:tr w14:paraId="368D1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4" w:type="pct"/>
                  <w:noWrap/>
                  <w:vAlign w:val="center"/>
                </w:tcPr>
                <w:p w14:paraId="345482C9">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904" w:type="pct"/>
                  <w:noWrap/>
                  <w:vAlign w:val="center"/>
                </w:tcPr>
                <w:p w14:paraId="25704CAF">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3690" w:type="pct"/>
                  <w:noWrap/>
                  <w:vAlign w:val="center"/>
                </w:tcPr>
                <w:p w14:paraId="46A26A2F">
                  <w:pPr>
                    <w:tabs>
                      <w:tab w:val="left" w:pos="180"/>
                      <w:tab w:val="left" w:pos="1620"/>
                    </w:tabs>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未履约处罚措施细则</w:t>
                  </w:r>
                </w:p>
              </w:tc>
            </w:tr>
            <w:tr w14:paraId="4BC8C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4" w:type="pct"/>
                  <w:noWrap/>
                  <w:vAlign w:val="center"/>
                </w:tcPr>
                <w:p w14:paraId="3966BE47">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904" w:type="pct"/>
                  <w:noWrap/>
                  <w:vAlign w:val="center"/>
                </w:tcPr>
                <w:p w14:paraId="203ACC32">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小额贷款公司现场检查</w:t>
                  </w:r>
                  <w:r>
                    <w:rPr>
                      <w:rFonts w:hint="eastAsia" w:ascii="宋体" w:hAnsi="宋体" w:cs="宋体"/>
                      <w:color w:val="auto"/>
                      <w:szCs w:val="21"/>
                      <w:highlight w:val="none"/>
                      <w:lang w:eastAsia="zh-CN"/>
                    </w:rPr>
                    <w:t>与监管评级</w:t>
                  </w:r>
                </w:p>
              </w:tc>
              <w:tc>
                <w:tcPr>
                  <w:tcW w:w="3690" w:type="pct"/>
                  <w:noWrap/>
                  <w:vAlign w:val="top"/>
                </w:tcPr>
                <w:p w14:paraId="5F311A3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供应商未按时提交的，</w:t>
                  </w:r>
                  <w:r>
                    <w:rPr>
                      <w:rFonts w:hint="eastAsia" w:ascii="宋体" w:hAnsi="宋体" w:cs="宋体"/>
                      <w:color w:val="auto"/>
                      <w:szCs w:val="21"/>
                      <w:highlight w:val="none"/>
                      <w:lang w:eastAsia="zh-CN"/>
                    </w:rPr>
                    <w:t>每</w:t>
                  </w:r>
                  <w:r>
                    <w:rPr>
                      <w:rFonts w:hint="eastAsia" w:ascii="宋体" w:hAnsi="宋体" w:cs="宋体"/>
                      <w:color w:val="auto"/>
                      <w:szCs w:val="21"/>
                      <w:highlight w:val="none"/>
                    </w:rPr>
                    <w:t>报告扣款200元；</w:t>
                  </w:r>
                  <w:r>
                    <w:rPr>
                      <w:rFonts w:hint="eastAsia" w:ascii="宋体" w:hAnsi="宋体" w:cs="宋体"/>
                      <w:color w:val="auto"/>
                      <w:szCs w:val="21"/>
                      <w:highlight w:val="none"/>
                      <w:lang w:eastAsia="zh-CN"/>
                    </w:rPr>
                    <w:t>每份</w:t>
                  </w:r>
                  <w:r>
                    <w:rPr>
                      <w:rFonts w:hint="eastAsia" w:ascii="宋体" w:hAnsi="宋体" w:cs="宋体"/>
                      <w:color w:val="auto"/>
                      <w:szCs w:val="21"/>
                      <w:highlight w:val="none"/>
                    </w:rPr>
                    <w:t>报告出现5</w:t>
                  </w:r>
                  <w:r>
                    <w:rPr>
                      <w:rFonts w:hint="eastAsia" w:ascii="宋体" w:hAnsi="宋体" w:cs="宋体"/>
                      <w:color w:val="auto"/>
                      <w:szCs w:val="21"/>
                      <w:highlight w:val="none"/>
                      <w:lang w:eastAsia="zh-CN"/>
                    </w:rPr>
                    <w:t>（含）</w:t>
                  </w:r>
                  <w:r>
                    <w:rPr>
                      <w:rFonts w:hint="eastAsia" w:ascii="宋体" w:hAnsi="宋体" w:cs="宋体"/>
                      <w:color w:val="auto"/>
                      <w:szCs w:val="21"/>
                      <w:highlight w:val="none"/>
                    </w:rPr>
                    <w:t>处及以上数据或文字表述错误，</w:t>
                  </w:r>
                  <w:r>
                    <w:rPr>
                      <w:rFonts w:hint="eastAsia" w:ascii="宋体" w:hAnsi="宋体" w:cs="宋体"/>
                      <w:color w:val="auto"/>
                      <w:szCs w:val="21"/>
                      <w:highlight w:val="none"/>
                      <w:lang w:eastAsia="zh-CN"/>
                    </w:rPr>
                    <w:t>每份</w:t>
                  </w:r>
                  <w:r>
                    <w:rPr>
                      <w:rFonts w:hint="eastAsia" w:ascii="宋体" w:hAnsi="宋体" w:cs="宋体"/>
                      <w:color w:val="auto"/>
                      <w:szCs w:val="21"/>
                      <w:highlight w:val="none"/>
                    </w:rPr>
                    <w:t>报告扣款300元；行业汇总报告出现20</w:t>
                  </w:r>
                  <w:r>
                    <w:rPr>
                      <w:rFonts w:hint="eastAsia" w:ascii="宋体" w:hAnsi="宋体" w:cs="宋体"/>
                      <w:color w:val="auto"/>
                      <w:szCs w:val="21"/>
                      <w:highlight w:val="none"/>
                      <w:lang w:eastAsia="zh-CN"/>
                    </w:rPr>
                    <w:t>（含）</w:t>
                  </w:r>
                  <w:r>
                    <w:rPr>
                      <w:rFonts w:hint="eastAsia" w:ascii="宋体" w:hAnsi="宋体" w:cs="宋体"/>
                      <w:color w:val="auto"/>
                      <w:szCs w:val="21"/>
                      <w:highlight w:val="none"/>
                    </w:rPr>
                    <w:t>处及以上数据或文字表述错误，</w:t>
                  </w:r>
                  <w:r>
                    <w:rPr>
                      <w:rFonts w:hint="eastAsia" w:ascii="宋体" w:hAnsi="宋体" w:cs="宋体"/>
                      <w:color w:val="auto"/>
                      <w:szCs w:val="21"/>
                      <w:highlight w:val="none"/>
                      <w:lang w:eastAsia="zh-CN"/>
                    </w:rPr>
                    <w:t>每份</w:t>
                  </w:r>
                  <w:r>
                    <w:rPr>
                      <w:rFonts w:hint="eastAsia" w:ascii="宋体" w:hAnsi="宋体" w:cs="宋体"/>
                      <w:color w:val="auto"/>
                      <w:szCs w:val="21"/>
                      <w:highlight w:val="none"/>
                    </w:rPr>
                    <w:t>汇总报告扣款1000元；</w:t>
                  </w:r>
                  <w:r>
                    <w:rPr>
                      <w:rFonts w:hint="eastAsia" w:ascii="宋体" w:hAnsi="宋体" w:cs="宋体"/>
                      <w:color w:val="auto"/>
                      <w:szCs w:val="21"/>
                      <w:highlight w:val="none"/>
                      <w:lang w:eastAsia="zh-CN"/>
                    </w:rPr>
                    <w:t>每份报告</w:t>
                  </w:r>
                  <w:r>
                    <w:rPr>
                      <w:rFonts w:hint="eastAsia" w:ascii="宋体" w:hAnsi="宋体" w:cs="宋体"/>
                      <w:color w:val="auto"/>
                      <w:szCs w:val="21"/>
                      <w:highlight w:val="none"/>
                    </w:rPr>
                    <w:t>修改3次仍</w:t>
                  </w:r>
                  <w:r>
                    <w:rPr>
                      <w:rFonts w:hint="eastAsia" w:ascii="宋体" w:hAnsi="宋体" w:cs="宋体"/>
                      <w:color w:val="auto"/>
                      <w:szCs w:val="21"/>
                      <w:highlight w:val="none"/>
                      <w:lang w:eastAsia="zh-CN"/>
                    </w:rPr>
                    <w:t>有错误</w:t>
                  </w:r>
                  <w:r>
                    <w:rPr>
                      <w:rFonts w:hint="eastAsia" w:ascii="宋体" w:hAnsi="宋体" w:cs="宋体"/>
                      <w:color w:val="auto"/>
                      <w:szCs w:val="21"/>
                      <w:highlight w:val="none"/>
                    </w:rPr>
                    <w:t>的，</w:t>
                  </w:r>
                  <w:r>
                    <w:rPr>
                      <w:rFonts w:hint="eastAsia" w:ascii="宋体" w:hAnsi="宋体" w:cs="宋体"/>
                      <w:color w:val="auto"/>
                      <w:szCs w:val="21"/>
                      <w:highlight w:val="none"/>
                      <w:lang w:eastAsia="zh-CN"/>
                    </w:rPr>
                    <w:t>每份</w:t>
                  </w:r>
                  <w:r>
                    <w:rPr>
                      <w:rFonts w:hint="eastAsia" w:ascii="宋体" w:hAnsi="宋体" w:cs="宋体"/>
                      <w:color w:val="auto"/>
                      <w:szCs w:val="21"/>
                      <w:highlight w:val="none"/>
                    </w:rPr>
                    <w:t>报告扣款2000元</w:t>
                  </w:r>
                  <w:r>
                    <w:rPr>
                      <w:rFonts w:hint="eastAsia" w:ascii="宋体" w:hAnsi="宋体" w:cs="宋体"/>
                      <w:color w:val="auto"/>
                      <w:szCs w:val="21"/>
                      <w:highlight w:val="none"/>
                      <w:lang w:eastAsia="zh-CN"/>
                    </w:rPr>
                    <w:t>、</w:t>
                  </w:r>
                  <w:r>
                    <w:rPr>
                      <w:rFonts w:hint="eastAsia" w:ascii="宋体" w:hAnsi="宋体" w:cs="宋体"/>
                      <w:color w:val="auto"/>
                      <w:szCs w:val="21"/>
                      <w:highlight w:val="none"/>
                    </w:rPr>
                    <w:t>行业汇总报告扣款3000元。</w:t>
                  </w:r>
                </w:p>
              </w:tc>
            </w:tr>
            <w:tr w14:paraId="54AEE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4" w:type="pct"/>
                  <w:noWrap/>
                  <w:vAlign w:val="center"/>
                </w:tcPr>
                <w:p w14:paraId="2DE30BA6">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904" w:type="pct"/>
                  <w:noWrap/>
                  <w:vAlign w:val="center"/>
                </w:tcPr>
                <w:p w14:paraId="05C76B1C">
                  <w:pPr>
                    <w:spacing w:line="400" w:lineRule="exact"/>
                    <w:jc w:val="center"/>
                    <w:rPr>
                      <w:rFonts w:ascii="宋体" w:hAnsi="宋体" w:cs="宋体"/>
                      <w:color w:val="auto"/>
                      <w:szCs w:val="21"/>
                      <w:highlight w:val="none"/>
                    </w:rPr>
                  </w:pPr>
                  <w:r>
                    <w:rPr>
                      <w:rFonts w:hint="eastAsia" w:ascii="宋体" w:hAnsi="宋体" w:cs="Calibri"/>
                      <w:color w:val="auto"/>
                      <w:szCs w:val="21"/>
                      <w:highlight w:val="none"/>
                    </w:rPr>
                    <w:t>典当行现场检查与监管评级</w:t>
                  </w:r>
                </w:p>
              </w:tc>
              <w:tc>
                <w:tcPr>
                  <w:tcW w:w="3690" w:type="pct"/>
                  <w:noWrap/>
                  <w:vAlign w:val="top"/>
                </w:tcPr>
                <w:p w14:paraId="2EE730E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供应商未按时提交的，</w:t>
                  </w:r>
                  <w:r>
                    <w:rPr>
                      <w:rFonts w:hint="eastAsia" w:ascii="宋体" w:hAnsi="宋体" w:cs="宋体"/>
                      <w:color w:val="auto"/>
                      <w:szCs w:val="21"/>
                      <w:highlight w:val="none"/>
                      <w:lang w:eastAsia="zh-CN"/>
                    </w:rPr>
                    <w:t>每</w:t>
                  </w:r>
                  <w:r>
                    <w:rPr>
                      <w:rFonts w:hint="eastAsia" w:ascii="宋体" w:hAnsi="宋体" w:cs="宋体"/>
                      <w:color w:val="auto"/>
                      <w:szCs w:val="21"/>
                      <w:highlight w:val="none"/>
                    </w:rPr>
                    <w:t>报告扣款200元；</w:t>
                  </w:r>
                  <w:r>
                    <w:rPr>
                      <w:rFonts w:hint="eastAsia" w:ascii="宋体" w:hAnsi="宋体" w:cs="宋体"/>
                      <w:color w:val="auto"/>
                      <w:szCs w:val="21"/>
                      <w:highlight w:val="none"/>
                      <w:lang w:eastAsia="zh-CN"/>
                    </w:rPr>
                    <w:t>每份</w:t>
                  </w:r>
                  <w:r>
                    <w:rPr>
                      <w:rFonts w:hint="eastAsia" w:ascii="宋体" w:hAnsi="宋体" w:cs="宋体"/>
                      <w:color w:val="auto"/>
                      <w:szCs w:val="21"/>
                      <w:highlight w:val="none"/>
                    </w:rPr>
                    <w:t>报告出现5</w:t>
                  </w:r>
                  <w:r>
                    <w:rPr>
                      <w:rFonts w:hint="eastAsia" w:ascii="宋体" w:hAnsi="宋体" w:cs="宋体"/>
                      <w:color w:val="auto"/>
                      <w:szCs w:val="21"/>
                      <w:highlight w:val="none"/>
                      <w:lang w:eastAsia="zh-CN"/>
                    </w:rPr>
                    <w:t>（含）</w:t>
                  </w:r>
                  <w:r>
                    <w:rPr>
                      <w:rFonts w:hint="eastAsia" w:ascii="宋体" w:hAnsi="宋体" w:cs="宋体"/>
                      <w:color w:val="auto"/>
                      <w:szCs w:val="21"/>
                      <w:highlight w:val="none"/>
                    </w:rPr>
                    <w:t>处及以上数据或文字表述错误，</w:t>
                  </w:r>
                  <w:r>
                    <w:rPr>
                      <w:rFonts w:hint="eastAsia" w:ascii="宋体" w:hAnsi="宋体" w:cs="宋体"/>
                      <w:color w:val="auto"/>
                      <w:szCs w:val="21"/>
                      <w:highlight w:val="none"/>
                      <w:lang w:eastAsia="zh-CN"/>
                    </w:rPr>
                    <w:t>每份</w:t>
                  </w:r>
                  <w:r>
                    <w:rPr>
                      <w:rFonts w:hint="eastAsia" w:ascii="宋体" w:hAnsi="宋体" w:cs="宋体"/>
                      <w:color w:val="auto"/>
                      <w:szCs w:val="21"/>
                      <w:highlight w:val="none"/>
                    </w:rPr>
                    <w:t>报告扣款300元；行业汇总报告出现20</w:t>
                  </w:r>
                  <w:r>
                    <w:rPr>
                      <w:rFonts w:hint="eastAsia" w:ascii="宋体" w:hAnsi="宋体" w:cs="宋体"/>
                      <w:color w:val="auto"/>
                      <w:szCs w:val="21"/>
                      <w:highlight w:val="none"/>
                      <w:lang w:eastAsia="zh-CN"/>
                    </w:rPr>
                    <w:t>（含）</w:t>
                  </w:r>
                  <w:r>
                    <w:rPr>
                      <w:rFonts w:hint="eastAsia" w:ascii="宋体" w:hAnsi="宋体" w:cs="宋体"/>
                      <w:color w:val="auto"/>
                      <w:szCs w:val="21"/>
                      <w:highlight w:val="none"/>
                    </w:rPr>
                    <w:t>处及以上数据或文字表述错误，</w:t>
                  </w:r>
                  <w:r>
                    <w:rPr>
                      <w:rFonts w:hint="eastAsia" w:ascii="宋体" w:hAnsi="宋体" w:cs="宋体"/>
                      <w:color w:val="auto"/>
                      <w:szCs w:val="21"/>
                      <w:highlight w:val="none"/>
                      <w:lang w:eastAsia="zh-CN"/>
                    </w:rPr>
                    <w:t>每份</w:t>
                  </w:r>
                  <w:r>
                    <w:rPr>
                      <w:rFonts w:hint="eastAsia" w:ascii="宋体" w:hAnsi="宋体" w:cs="宋体"/>
                      <w:color w:val="auto"/>
                      <w:szCs w:val="21"/>
                      <w:highlight w:val="none"/>
                    </w:rPr>
                    <w:t>汇总报告扣款1000元；</w:t>
                  </w:r>
                  <w:r>
                    <w:rPr>
                      <w:rFonts w:hint="eastAsia" w:ascii="宋体" w:hAnsi="宋体" w:cs="宋体"/>
                      <w:color w:val="auto"/>
                      <w:szCs w:val="21"/>
                      <w:highlight w:val="none"/>
                      <w:lang w:eastAsia="zh-CN"/>
                    </w:rPr>
                    <w:t>每份报告修改3次仍有错误的</w:t>
                  </w:r>
                  <w:r>
                    <w:rPr>
                      <w:rFonts w:hint="eastAsia" w:ascii="宋体" w:hAnsi="宋体" w:cs="宋体"/>
                      <w:color w:val="auto"/>
                      <w:szCs w:val="21"/>
                      <w:highlight w:val="none"/>
                    </w:rPr>
                    <w:t>，</w:t>
                  </w:r>
                  <w:r>
                    <w:rPr>
                      <w:rFonts w:hint="eastAsia" w:ascii="宋体" w:hAnsi="宋体" w:cs="宋体"/>
                      <w:color w:val="auto"/>
                      <w:szCs w:val="21"/>
                      <w:highlight w:val="none"/>
                      <w:lang w:eastAsia="zh-CN"/>
                    </w:rPr>
                    <w:t>每份</w:t>
                  </w:r>
                  <w:r>
                    <w:rPr>
                      <w:rFonts w:hint="eastAsia" w:ascii="宋体" w:hAnsi="宋体" w:cs="宋体"/>
                      <w:color w:val="auto"/>
                      <w:szCs w:val="21"/>
                      <w:highlight w:val="none"/>
                    </w:rPr>
                    <w:t>报告扣款2000元</w:t>
                  </w:r>
                  <w:r>
                    <w:rPr>
                      <w:rFonts w:hint="eastAsia" w:ascii="宋体" w:hAnsi="宋体" w:cs="宋体"/>
                      <w:color w:val="auto"/>
                      <w:szCs w:val="21"/>
                      <w:highlight w:val="none"/>
                      <w:lang w:eastAsia="zh-CN"/>
                    </w:rPr>
                    <w:t>、</w:t>
                  </w:r>
                  <w:r>
                    <w:rPr>
                      <w:rFonts w:hint="eastAsia" w:ascii="宋体" w:hAnsi="宋体" w:cs="宋体"/>
                      <w:color w:val="auto"/>
                      <w:szCs w:val="21"/>
                      <w:highlight w:val="none"/>
                    </w:rPr>
                    <w:t>行业汇总报告扣款3000元。</w:t>
                  </w:r>
                </w:p>
              </w:tc>
            </w:tr>
            <w:tr w14:paraId="56848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4" w:type="pct"/>
                  <w:noWrap/>
                  <w:vAlign w:val="center"/>
                </w:tcPr>
                <w:p w14:paraId="5B44CAB2">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904" w:type="pct"/>
                  <w:noWrap/>
                  <w:vAlign w:val="center"/>
                </w:tcPr>
                <w:p w14:paraId="05AF00A5">
                  <w:pPr>
                    <w:spacing w:line="400" w:lineRule="exact"/>
                    <w:jc w:val="center"/>
                    <w:rPr>
                      <w:rFonts w:ascii="宋体" w:hAnsi="宋体" w:cs="宋体"/>
                      <w:color w:val="auto"/>
                      <w:szCs w:val="21"/>
                      <w:highlight w:val="none"/>
                    </w:rPr>
                  </w:pPr>
                  <w:r>
                    <w:rPr>
                      <w:rFonts w:hint="eastAsia" w:ascii="宋体" w:hAnsi="宋体" w:cs="仿宋_GB2312"/>
                      <w:color w:val="auto"/>
                      <w:szCs w:val="21"/>
                      <w:highlight w:val="none"/>
                    </w:rPr>
                    <w:t>地方资产管理公司现场检查与监管评级</w:t>
                  </w:r>
                </w:p>
              </w:tc>
              <w:tc>
                <w:tcPr>
                  <w:tcW w:w="3690" w:type="pct"/>
                  <w:noWrap/>
                  <w:vAlign w:val="top"/>
                </w:tcPr>
                <w:p w14:paraId="5E5F8D2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供应商未按时提交的，</w:t>
                  </w:r>
                  <w:r>
                    <w:rPr>
                      <w:rFonts w:hint="eastAsia" w:ascii="宋体" w:hAnsi="宋体" w:cs="宋体"/>
                      <w:color w:val="auto"/>
                      <w:szCs w:val="21"/>
                      <w:highlight w:val="none"/>
                      <w:lang w:eastAsia="zh-CN"/>
                    </w:rPr>
                    <w:t>每</w:t>
                  </w:r>
                  <w:r>
                    <w:rPr>
                      <w:rFonts w:hint="eastAsia" w:ascii="宋体" w:hAnsi="宋体" w:cs="宋体"/>
                      <w:color w:val="auto"/>
                      <w:szCs w:val="21"/>
                      <w:highlight w:val="none"/>
                    </w:rPr>
                    <w:t>报告扣款200元；</w:t>
                  </w:r>
                  <w:r>
                    <w:rPr>
                      <w:rFonts w:hint="eastAsia" w:ascii="宋体" w:hAnsi="宋体" w:cs="宋体"/>
                      <w:color w:val="auto"/>
                      <w:szCs w:val="21"/>
                      <w:highlight w:val="none"/>
                      <w:lang w:eastAsia="zh-CN"/>
                    </w:rPr>
                    <w:t>每份</w:t>
                  </w:r>
                  <w:r>
                    <w:rPr>
                      <w:rFonts w:hint="eastAsia" w:ascii="宋体" w:hAnsi="宋体" w:cs="宋体"/>
                      <w:color w:val="auto"/>
                      <w:szCs w:val="21"/>
                      <w:highlight w:val="none"/>
                    </w:rPr>
                    <w:t>报告出现5</w:t>
                  </w:r>
                  <w:r>
                    <w:rPr>
                      <w:rFonts w:hint="eastAsia" w:ascii="宋体" w:hAnsi="宋体" w:cs="宋体"/>
                      <w:color w:val="auto"/>
                      <w:szCs w:val="21"/>
                      <w:highlight w:val="none"/>
                      <w:lang w:eastAsia="zh-CN"/>
                    </w:rPr>
                    <w:t>（含）</w:t>
                  </w:r>
                  <w:r>
                    <w:rPr>
                      <w:rFonts w:hint="eastAsia" w:ascii="宋体" w:hAnsi="宋体" w:cs="宋体"/>
                      <w:color w:val="auto"/>
                      <w:szCs w:val="21"/>
                      <w:highlight w:val="none"/>
                    </w:rPr>
                    <w:t>处及以上数据或文字表述错误，</w:t>
                  </w:r>
                  <w:r>
                    <w:rPr>
                      <w:rFonts w:hint="eastAsia" w:ascii="宋体" w:hAnsi="宋体" w:cs="宋体"/>
                      <w:color w:val="auto"/>
                      <w:szCs w:val="21"/>
                      <w:highlight w:val="none"/>
                      <w:lang w:eastAsia="zh-CN"/>
                    </w:rPr>
                    <w:t>每份</w:t>
                  </w:r>
                  <w:r>
                    <w:rPr>
                      <w:rFonts w:hint="eastAsia" w:ascii="宋体" w:hAnsi="宋体" w:cs="宋体"/>
                      <w:color w:val="auto"/>
                      <w:szCs w:val="21"/>
                      <w:highlight w:val="none"/>
                    </w:rPr>
                    <w:t>报告扣款300元；行业汇总报告出现20</w:t>
                  </w:r>
                  <w:r>
                    <w:rPr>
                      <w:rFonts w:hint="eastAsia" w:ascii="宋体" w:hAnsi="宋体" w:cs="宋体"/>
                      <w:color w:val="auto"/>
                      <w:szCs w:val="21"/>
                      <w:highlight w:val="none"/>
                      <w:lang w:eastAsia="zh-CN"/>
                    </w:rPr>
                    <w:t>（含）</w:t>
                  </w:r>
                  <w:r>
                    <w:rPr>
                      <w:rFonts w:hint="eastAsia" w:ascii="宋体" w:hAnsi="宋体" w:cs="宋体"/>
                      <w:color w:val="auto"/>
                      <w:szCs w:val="21"/>
                      <w:highlight w:val="none"/>
                    </w:rPr>
                    <w:t>处及以上数据或文字表述错误，</w:t>
                  </w:r>
                  <w:r>
                    <w:rPr>
                      <w:rFonts w:hint="eastAsia" w:ascii="宋体" w:hAnsi="宋体" w:cs="宋体"/>
                      <w:color w:val="auto"/>
                      <w:szCs w:val="21"/>
                      <w:highlight w:val="none"/>
                      <w:lang w:eastAsia="zh-CN"/>
                    </w:rPr>
                    <w:t>每份</w:t>
                  </w:r>
                  <w:r>
                    <w:rPr>
                      <w:rFonts w:hint="eastAsia" w:ascii="宋体" w:hAnsi="宋体" w:cs="宋体"/>
                      <w:color w:val="auto"/>
                      <w:szCs w:val="21"/>
                      <w:highlight w:val="none"/>
                    </w:rPr>
                    <w:t>汇总报告扣款1000元；</w:t>
                  </w:r>
                  <w:r>
                    <w:rPr>
                      <w:rFonts w:hint="eastAsia" w:ascii="宋体" w:hAnsi="宋体" w:cs="宋体"/>
                      <w:color w:val="auto"/>
                      <w:szCs w:val="21"/>
                      <w:highlight w:val="none"/>
                      <w:lang w:eastAsia="zh-CN"/>
                    </w:rPr>
                    <w:t>每份报告修改3次仍有错误的</w:t>
                  </w:r>
                  <w:r>
                    <w:rPr>
                      <w:rFonts w:hint="eastAsia" w:ascii="宋体" w:hAnsi="宋体" w:cs="宋体"/>
                      <w:color w:val="auto"/>
                      <w:szCs w:val="21"/>
                      <w:highlight w:val="none"/>
                    </w:rPr>
                    <w:t>，</w:t>
                  </w:r>
                  <w:r>
                    <w:rPr>
                      <w:rFonts w:hint="eastAsia" w:ascii="宋体" w:hAnsi="宋体" w:cs="宋体"/>
                      <w:color w:val="auto"/>
                      <w:szCs w:val="21"/>
                      <w:highlight w:val="none"/>
                      <w:lang w:eastAsia="zh-CN"/>
                    </w:rPr>
                    <w:t>每份</w:t>
                  </w:r>
                  <w:r>
                    <w:rPr>
                      <w:rFonts w:hint="eastAsia" w:ascii="宋体" w:hAnsi="宋体" w:cs="宋体"/>
                      <w:color w:val="auto"/>
                      <w:szCs w:val="21"/>
                      <w:highlight w:val="none"/>
                    </w:rPr>
                    <w:t>报告扣款2000元</w:t>
                  </w:r>
                  <w:r>
                    <w:rPr>
                      <w:rFonts w:hint="eastAsia" w:ascii="宋体" w:hAnsi="宋体" w:cs="宋体"/>
                      <w:color w:val="auto"/>
                      <w:szCs w:val="21"/>
                      <w:highlight w:val="none"/>
                      <w:lang w:eastAsia="zh-CN"/>
                    </w:rPr>
                    <w:t>、</w:t>
                  </w:r>
                  <w:r>
                    <w:rPr>
                      <w:rFonts w:hint="eastAsia" w:ascii="宋体" w:hAnsi="宋体" w:cs="宋体"/>
                      <w:color w:val="auto"/>
                      <w:szCs w:val="21"/>
                      <w:highlight w:val="none"/>
                    </w:rPr>
                    <w:t>行业汇总报告扣款3000元。</w:t>
                  </w:r>
                </w:p>
              </w:tc>
            </w:tr>
            <w:tr w14:paraId="6CB1E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4" w:type="pct"/>
                  <w:noWrap/>
                  <w:vAlign w:val="center"/>
                </w:tcPr>
                <w:p w14:paraId="11525DC4">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904" w:type="pct"/>
                  <w:noWrap/>
                  <w:vAlign w:val="center"/>
                </w:tcPr>
                <w:p w14:paraId="3A9271B9">
                  <w:pPr>
                    <w:spacing w:line="400" w:lineRule="exact"/>
                    <w:jc w:val="center"/>
                    <w:rPr>
                      <w:rFonts w:ascii="宋体" w:hAnsi="宋体" w:cs="宋体"/>
                      <w:color w:val="auto"/>
                      <w:szCs w:val="21"/>
                      <w:highlight w:val="none"/>
                    </w:rPr>
                  </w:pPr>
                  <w:r>
                    <w:rPr>
                      <w:rFonts w:hint="eastAsia" w:ascii="宋体" w:hAnsi="宋体" w:cs="仿宋_GB2312"/>
                      <w:color w:val="auto"/>
                      <w:szCs w:val="21"/>
                      <w:highlight w:val="none"/>
                    </w:rPr>
                    <w:t>跨境人民币结算奖补审核服务</w:t>
                  </w:r>
                </w:p>
              </w:tc>
              <w:tc>
                <w:tcPr>
                  <w:tcW w:w="3690" w:type="pct"/>
                  <w:noWrap/>
                  <w:vAlign w:val="center"/>
                </w:tcPr>
                <w:p w14:paraId="774F71F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按采购合同要求执行。</w:t>
                  </w:r>
                </w:p>
              </w:tc>
            </w:tr>
            <w:tr w14:paraId="38DBF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4" w:type="pct"/>
                  <w:noWrap/>
                  <w:vAlign w:val="center"/>
                </w:tcPr>
                <w:p w14:paraId="310461F6">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904" w:type="pct"/>
                  <w:noWrap/>
                  <w:vAlign w:val="center"/>
                </w:tcPr>
                <w:p w14:paraId="42E7E868">
                  <w:pPr>
                    <w:spacing w:line="400" w:lineRule="exact"/>
                    <w:jc w:val="center"/>
                    <w:rPr>
                      <w:rFonts w:ascii="宋体" w:hAnsi="宋体" w:cs="宋体"/>
                      <w:color w:val="auto"/>
                      <w:szCs w:val="21"/>
                      <w:highlight w:val="none"/>
                    </w:rPr>
                  </w:pPr>
                  <w:r>
                    <w:rPr>
                      <w:rFonts w:hint="eastAsia" w:ascii="宋体" w:hAnsi="宋体" w:cs="仿宋_GB2312"/>
                      <w:color w:val="auto"/>
                      <w:szCs w:val="21"/>
                      <w:highlight w:val="none"/>
                    </w:rPr>
                    <w:t>直接融资奖补审核服务</w:t>
                  </w:r>
                </w:p>
              </w:tc>
              <w:tc>
                <w:tcPr>
                  <w:tcW w:w="3690" w:type="pct"/>
                  <w:noWrap/>
                  <w:vAlign w:val="center"/>
                </w:tcPr>
                <w:p w14:paraId="40E076C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按采购合同要求执行。</w:t>
                  </w:r>
                </w:p>
              </w:tc>
            </w:tr>
            <w:tr w14:paraId="286C2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4" w:type="pct"/>
                  <w:noWrap/>
                  <w:vAlign w:val="center"/>
                </w:tcPr>
                <w:p w14:paraId="2E198A25">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904" w:type="pct"/>
                  <w:noWrap/>
                  <w:vAlign w:val="center"/>
                </w:tcPr>
                <w:p w14:paraId="65185F56">
                  <w:pPr>
                    <w:spacing w:line="400" w:lineRule="exact"/>
                    <w:jc w:val="center"/>
                    <w:rPr>
                      <w:rFonts w:ascii="宋体" w:hAnsi="宋体" w:cs="宋体"/>
                      <w:color w:val="auto"/>
                      <w:szCs w:val="21"/>
                      <w:highlight w:val="none"/>
                    </w:rPr>
                  </w:pPr>
                  <w:r>
                    <w:rPr>
                      <w:rFonts w:hint="eastAsia" w:ascii="宋体" w:hAnsi="宋体" w:cs="Calibri"/>
                      <w:color w:val="auto"/>
                      <w:szCs w:val="21"/>
                      <w:highlight w:val="none"/>
                    </w:rPr>
                    <w:t>交易场所现场检查</w:t>
                  </w:r>
                </w:p>
              </w:tc>
              <w:tc>
                <w:tcPr>
                  <w:tcW w:w="3690" w:type="pct"/>
                  <w:noWrap/>
                  <w:vAlign w:val="top"/>
                </w:tcPr>
                <w:p w14:paraId="78C3841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lang w:eastAsia="zh-CN"/>
                    </w:rPr>
                    <w:t>未按时提交报告的，每份扣款</w:t>
                  </w:r>
                  <w:r>
                    <w:rPr>
                      <w:rFonts w:hint="eastAsia" w:ascii="宋体" w:hAnsi="宋体" w:cs="宋体"/>
                      <w:color w:val="auto"/>
                      <w:szCs w:val="21"/>
                      <w:highlight w:val="none"/>
                      <w:lang w:val="en-US" w:eastAsia="zh-CN"/>
                    </w:rPr>
                    <w:t>500元；每份报告出现5处（含）以上数据或文字表述错误的，扣款800元；总报告出现15处（含）以上数据或文字表述错误的，每份扣除1000元；每份报告修改3次后仍有错误的，扣款1000元，每份总报告扣款2000元。</w:t>
                  </w:r>
                </w:p>
              </w:tc>
            </w:tr>
          </w:tbl>
          <w:p w14:paraId="29E3213E">
            <w:pPr>
              <w:pStyle w:val="2"/>
              <w:rPr>
                <w:rFonts w:hint="default"/>
                <w:color w:val="auto"/>
                <w:highlight w:val="none"/>
                <w:lang w:val="en-US" w:eastAsia="zh-CN"/>
              </w:rPr>
            </w:pPr>
          </w:p>
        </w:tc>
      </w:tr>
      <w:tr w14:paraId="44376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ign w:val="center"/>
          </w:tcPr>
          <w:p w14:paraId="0963BAD5">
            <w:pPr>
              <w:spacing w:line="400" w:lineRule="exact"/>
              <w:rPr>
                <w:rFonts w:ascii="宋体" w:hAnsi="宋体" w:cs="Calibri"/>
                <w:b/>
                <w:bCs/>
                <w:color w:val="auto"/>
                <w:szCs w:val="21"/>
                <w:highlight w:val="none"/>
              </w:rPr>
            </w:pPr>
            <w:r>
              <w:rPr>
                <w:rFonts w:hint="eastAsia" w:ascii="宋体" w:hAnsi="宋体" w:cs="Calibri"/>
                <w:b/>
                <w:bCs/>
                <w:color w:val="auto"/>
                <w:szCs w:val="21"/>
                <w:highlight w:val="none"/>
              </w:rPr>
              <w:t>二、与实现项目目标相关的其他要求</w:t>
            </w:r>
          </w:p>
        </w:tc>
      </w:tr>
      <w:tr w14:paraId="45DC4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ign w:val="center"/>
          </w:tcPr>
          <w:p w14:paraId="573F7E09">
            <w:pPr>
              <w:spacing w:line="400" w:lineRule="exact"/>
              <w:rPr>
                <w:rFonts w:ascii="宋体" w:hAnsi="宋体" w:cs="Calibri"/>
                <w:b/>
                <w:color w:val="auto"/>
                <w:szCs w:val="21"/>
                <w:highlight w:val="none"/>
              </w:rPr>
            </w:pPr>
            <w:r>
              <w:rPr>
                <w:rFonts w:hint="eastAsia" w:ascii="宋体" w:hAnsi="宋体" w:cs="Calibri"/>
                <w:b/>
                <w:color w:val="auto"/>
                <w:szCs w:val="21"/>
                <w:highlight w:val="none"/>
              </w:rPr>
              <w:t>（一）供应商的履约能力要求</w:t>
            </w:r>
          </w:p>
        </w:tc>
      </w:tr>
      <w:tr w14:paraId="61D78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80" w:type="pct"/>
            <w:gridSpan w:val="2"/>
            <w:tcBorders>
              <w:top w:val="single" w:color="auto" w:sz="4" w:space="0"/>
              <w:left w:val="single" w:color="auto" w:sz="4" w:space="0"/>
              <w:bottom w:val="single" w:color="auto" w:sz="4" w:space="0"/>
              <w:right w:val="single" w:color="auto" w:sz="4" w:space="0"/>
            </w:tcBorders>
            <w:noWrap/>
            <w:vAlign w:val="center"/>
          </w:tcPr>
          <w:p w14:paraId="4994EEC5">
            <w:pPr>
              <w:spacing w:line="400" w:lineRule="exact"/>
              <w:rPr>
                <w:rFonts w:ascii="宋体" w:hAnsi="宋体" w:cs="Calibri"/>
                <w:b/>
                <w:color w:val="auto"/>
                <w:szCs w:val="21"/>
                <w:highlight w:val="none"/>
              </w:rPr>
            </w:pPr>
            <w:r>
              <w:rPr>
                <w:rFonts w:hint="eastAsia" w:ascii="宋体" w:hAnsi="宋体" w:cs="Calibri"/>
                <w:color w:val="auto"/>
                <w:szCs w:val="21"/>
                <w:highlight w:val="none"/>
              </w:rPr>
              <w:t>管理体系要求</w:t>
            </w:r>
          </w:p>
        </w:tc>
        <w:tc>
          <w:tcPr>
            <w:tcW w:w="4319" w:type="pct"/>
            <w:gridSpan w:val="4"/>
            <w:tcBorders>
              <w:top w:val="single" w:color="auto" w:sz="4" w:space="0"/>
              <w:left w:val="single" w:color="auto" w:sz="4" w:space="0"/>
              <w:bottom w:val="single" w:color="auto" w:sz="4" w:space="0"/>
              <w:right w:val="single" w:color="auto" w:sz="4" w:space="0"/>
            </w:tcBorders>
            <w:noWrap/>
            <w:vAlign w:val="center"/>
          </w:tcPr>
          <w:p w14:paraId="479BE1CD">
            <w:pPr>
              <w:spacing w:line="400" w:lineRule="exact"/>
              <w:rPr>
                <w:rFonts w:ascii="宋体" w:hAnsi="宋体" w:cs="Calibri"/>
                <w:b/>
                <w:color w:val="auto"/>
                <w:szCs w:val="21"/>
                <w:highlight w:val="none"/>
              </w:rPr>
            </w:pPr>
            <w:r>
              <w:rPr>
                <w:rFonts w:hint="eastAsia" w:ascii="宋体" w:hAnsi="宋体" w:cs="宋体"/>
                <w:color w:val="auto"/>
                <w:szCs w:val="21"/>
                <w:highlight w:val="none"/>
              </w:rPr>
              <w:t>详见“第四章  评审程序、评审方法和评审标准”</w:t>
            </w:r>
          </w:p>
        </w:tc>
      </w:tr>
      <w:tr w14:paraId="32DDB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80" w:type="pct"/>
            <w:gridSpan w:val="2"/>
            <w:tcBorders>
              <w:top w:val="single" w:color="auto" w:sz="4" w:space="0"/>
              <w:left w:val="single" w:color="auto" w:sz="4" w:space="0"/>
              <w:bottom w:val="single" w:color="auto" w:sz="4" w:space="0"/>
              <w:right w:val="single" w:color="auto" w:sz="4" w:space="0"/>
            </w:tcBorders>
            <w:noWrap/>
            <w:vAlign w:val="center"/>
          </w:tcPr>
          <w:p w14:paraId="63342716">
            <w:pPr>
              <w:spacing w:line="400" w:lineRule="exact"/>
              <w:rPr>
                <w:rFonts w:ascii="宋体" w:hAnsi="宋体" w:cs="Calibri"/>
                <w:b/>
                <w:color w:val="auto"/>
                <w:szCs w:val="21"/>
                <w:highlight w:val="none"/>
              </w:rPr>
            </w:pPr>
            <w:r>
              <w:rPr>
                <w:rFonts w:hint="eastAsia" w:ascii="宋体" w:hAnsi="宋体" w:cs="Calibri"/>
                <w:color w:val="auto"/>
                <w:szCs w:val="21"/>
                <w:highlight w:val="none"/>
              </w:rPr>
              <w:t>业绩要求</w:t>
            </w:r>
          </w:p>
        </w:tc>
        <w:tc>
          <w:tcPr>
            <w:tcW w:w="4319" w:type="pct"/>
            <w:gridSpan w:val="4"/>
            <w:tcBorders>
              <w:top w:val="single" w:color="auto" w:sz="4" w:space="0"/>
              <w:left w:val="single" w:color="auto" w:sz="4" w:space="0"/>
              <w:bottom w:val="single" w:color="auto" w:sz="4" w:space="0"/>
              <w:right w:val="single" w:color="auto" w:sz="4" w:space="0"/>
            </w:tcBorders>
            <w:noWrap/>
            <w:vAlign w:val="center"/>
          </w:tcPr>
          <w:p w14:paraId="148D2FDE">
            <w:pPr>
              <w:spacing w:line="400" w:lineRule="exact"/>
              <w:rPr>
                <w:rFonts w:ascii="宋体" w:hAnsi="宋体" w:cs="Calibri"/>
                <w:b/>
                <w:color w:val="auto"/>
                <w:szCs w:val="21"/>
                <w:highlight w:val="none"/>
              </w:rPr>
            </w:pPr>
            <w:r>
              <w:rPr>
                <w:rFonts w:hint="eastAsia" w:ascii="宋体" w:hAnsi="宋体" w:cs="宋体"/>
                <w:color w:val="auto"/>
                <w:szCs w:val="21"/>
                <w:highlight w:val="none"/>
              </w:rPr>
              <w:t>详见“第四章  评审程序、评审方法和评审标准”</w:t>
            </w:r>
          </w:p>
        </w:tc>
      </w:tr>
      <w:tr w14:paraId="2017A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ign w:val="center"/>
          </w:tcPr>
          <w:p w14:paraId="10AC2296">
            <w:pPr>
              <w:spacing w:line="400" w:lineRule="exact"/>
              <w:rPr>
                <w:rFonts w:ascii="宋体" w:hAnsi="宋体" w:cs="Calibri"/>
                <w:b/>
                <w:color w:val="auto"/>
                <w:szCs w:val="21"/>
                <w:highlight w:val="none"/>
              </w:rPr>
            </w:pPr>
            <w:r>
              <w:rPr>
                <w:rFonts w:hint="eastAsia" w:ascii="宋体" w:hAnsi="宋体" w:cs="宋体"/>
                <w:color w:val="auto"/>
                <w:szCs w:val="21"/>
                <w:highlight w:val="none"/>
              </w:rPr>
              <w:t>（二）</w:t>
            </w:r>
            <w:r>
              <w:rPr>
                <w:rFonts w:hint="eastAsia" w:ascii="宋体" w:hAnsi="宋体" w:cs="宋体"/>
                <w:b/>
                <w:color w:val="auto"/>
                <w:szCs w:val="21"/>
                <w:highlight w:val="none"/>
              </w:rPr>
              <w:t>进口产品及核心产品说明</w:t>
            </w:r>
          </w:p>
        </w:tc>
      </w:tr>
      <w:tr w14:paraId="4762D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ign w:val="center"/>
          </w:tcPr>
          <w:p w14:paraId="15BC395A">
            <w:pPr>
              <w:spacing w:line="400" w:lineRule="exact"/>
              <w:rPr>
                <w:rFonts w:ascii="宋体" w:hAnsi="宋体" w:cs="宋体"/>
                <w:color w:val="auto"/>
                <w:szCs w:val="21"/>
                <w:highlight w:val="none"/>
              </w:rPr>
            </w:pPr>
            <w:r>
              <w:rPr>
                <w:rFonts w:hint="eastAsia" w:ascii="宋体" w:hAnsi="宋体" w:cs="宋体"/>
                <w:color w:val="auto"/>
                <w:szCs w:val="21"/>
                <w:highlight w:val="none"/>
              </w:rPr>
              <w:t>本分标为服务类</w:t>
            </w:r>
            <w:r>
              <w:rPr>
                <w:rFonts w:hint="eastAsia" w:ascii="宋体" w:hAnsi="宋体" w:cs="宋体"/>
                <w:color w:val="auto"/>
                <w:szCs w:val="21"/>
                <w:highlight w:val="none"/>
                <w:lang w:val="en-US" w:eastAsia="zh-CN"/>
              </w:rPr>
              <w:t>无核心产品要求</w:t>
            </w:r>
            <w:r>
              <w:rPr>
                <w:rFonts w:hint="eastAsia" w:ascii="宋体" w:hAnsi="宋体" w:cs="宋体"/>
                <w:color w:val="auto"/>
                <w:szCs w:val="21"/>
                <w:highlight w:val="none"/>
              </w:rPr>
              <w:t>，所涉及的</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不接受进口产品（即通过中国海关报关验放进入中国境内且产自关境外的产品）参与</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w:t>
            </w:r>
            <w:r>
              <w:rPr>
                <w:rFonts w:hint="eastAsia" w:ascii="宋体" w:hAnsi="宋体" w:cs="宋体"/>
                <w:b/>
                <w:bCs/>
                <w:color w:val="auto"/>
                <w:szCs w:val="21"/>
                <w:highlight w:val="none"/>
              </w:rPr>
              <w:t>如有进口产品参与</w:t>
            </w:r>
            <w:r>
              <w:rPr>
                <w:rFonts w:hint="eastAsia" w:ascii="宋体" w:hAnsi="宋体" w:cs="宋体"/>
                <w:b/>
                <w:bCs/>
                <w:color w:val="auto"/>
                <w:szCs w:val="21"/>
                <w:highlight w:val="none"/>
                <w:lang w:eastAsia="zh-CN"/>
              </w:rPr>
              <w:t>竞标</w:t>
            </w:r>
            <w:r>
              <w:rPr>
                <w:rFonts w:hint="eastAsia" w:ascii="宋体" w:hAnsi="宋体" w:cs="宋体"/>
                <w:b/>
                <w:bCs/>
                <w:color w:val="auto"/>
                <w:szCs w:val="21"/>
                <w:highlight w:val="none"/>
              </w:rPr>
              <w:t>的作无效标。</w:t>
            </w:r>
          </w:p>
        </w:tc>
      </w:tr>
      <w:tr w14:paraId="76FE3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ign w:val="center"/>
          </w:tcPr>
          <w:p w14:paraId="1E2FF3F9">
            <w:pPr>
              <w:tabs>
                <w:tab w:val="left" w:pos="180"/>
                <w:tab w:val="left" w:pos="1620"/>
              </w:tabs>
              <w:spacing w:line="400" w:lineRule="exact"/>
              <w:rPr>
                <w:rFonts w:ascii="宋体" w:hAnsi="宋体" w:cs="Calibri"/>
                <w:b/>
                <w:color w:val="auto"/>
                <w:szCs w:val="21"/>
                <w:highlight w:val="none"/>
              </w:rPr>
            </w:pPr>
            <w:r>
              <w:rPr>
                <w:rFonts w:hint="eastAsia" w:ascii="宋体" w:hAnsi="宋体" w:cs="Calibri"/>
                <w:b/>
                <w:color w:val="auto"/>
                <w:szCs w:val="21"/>
                <w:highlight w:val="none"/>
              </w:rPr>
              <w:t>（二）验收标准</w:t>
            </w:r>
          </w:p>
        </w:tc>
      </w:tr>
      <w:tr w14:paraId="2A646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ign w:val="center"/>
          </w:tcPr>
          <w:p w14:paraId="379A9B4A">
            <w:pPr>
              <w:tabs>
                <w:tab w:val="left" w:pos="180"/>
                <w:tab w:val="left" w:pos="1620"/>
              </w:tabs>
              <w:spacing w:line="400" w:lineRule="exact"/>
              <w:ind w:firstLine="420" w:firstLineChars="200"/>
              <w:rPr>
                <w:rFonts w:ascii="宋体" w:hAnsi="宋体" w:cs="宋体"/>
                <w:bCs/>
                <w:color w:val="auto"/>
                <w:szCs w:val="21"/>
                <w:highlight w:val="none"/>
              </w:rPr>
            </w:pPr>
            <w:r>
              <w:rPr>
                <w:rFonts w:hint="eastAsia" w:ascii="宋体" w:hAnsi="宋体" w:cs="Calibri"/>
                <w:color w:val="auto"/>
                <w:szCs w:val="21"/>
                <w:highlight w:val="none"/>
              </w:rPr>
              <w:t>1.</w:t>
            </w:r>
            <w:r>
              <w:rPr>
                <w:rFonts w:hint="eastAsia" w:ascii="宋体" w:hAnsi="宋体" w:cs="宋体"/>
                <w:bCs/>
                <w:color w:val="auto"/>
                <w:szCs w:val="21"/>
                <w:highlight w:val="none"/>
              </w:rPr>
              <w:t>符合现行国家相关标准、行业标准、地方标准或者其他标准、规范。</w:t>
            </w:r>
          </w:p>
          <w:p w14:paraId="6073F97E">
            <w:pPr>
              <w:tabs>
                <w:tab w:val="left" w:pos="180"/>
                <w:tab w:val="left" w:pos="1620"/>
              </w:tabs>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2.验收过程中所产生的一切费用均由成交人承担。报价时应考虑相关费用。</w:t>
            </w:r>
          </w:p>
          <w:p w14:paraId="41F69C25">
            <w:pPr>
              <w:tabs>
                <w:tab w:val="left" w:pos="180"/>
                <w:tab w:val="left" w:pos="1620"/>
              </w:tabs>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3.成交人在项目验收时由采购人对照采购文件的功能目标及技术指标全面核对检验，对所有要求出具的证明文件的原件进行核查，如不符合采购文件的技术需求及要求以及提供虚假承诺的，按相关规定做退货处理及违约处理，成交人承担所有责任和费用，采购人保留进一步追究责任的权利。</w:t>
            </w:r>
          </w:p>
        </w:tc>
      </w:tr>
      <w:tr w14:paraId="219D9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ign w:val="center"/>
          </w:tcPr>
          <w:p w14:paraId="5BA72133">
            <w:pPr>
              <w:spacing w:line="400" w:lineRule="exact"/>
              <w:rPr>
                <w:rFonts w:ascii="宋体" w:hAnsi="宋体" w:cs="Calibri"/>
                <w:b/>
                <w:color w:val="auto"/>
                <w:szCs w:val="21"/>
                <w:highlight w:val="none"/>
              </w:rPr>
            </w:pPr>
            <w:r>
              <w:rPr>
                <w:rFonts w:hint="eastAsia" w:ascii="宋体" w:hAnsi="宋体" w:cs="Calibri"/>
                <w:b/>
                <w:color w:val="auto"/>
                <w:szCs w:val="21"/>
                <w:highlight w:val="none"/>
              </w:rPr>
              <w:t>（三）其他要求</w:t>
            </w:r>
          </w:p>
        </w:tc>
      </w:tr>
      <w:tr w14:paraId="31627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ign w:val="center"/>
          </w:tcPr>
          <w:p w14:paraId="53B8CB1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须为本项目服务实施投入充足的服务人员，并确保响应文件中的人员信息真实、有效。成交供应商不得将项目非法分包或转包给任何单位和个人，否则采购人有权即刻终止合同，并要求成交供应商赔偿相应损失。</w:t>
            </w:r>
          </w:p>
          <w:p w14:paraId="621FB32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2.供应商应与采购人签订保密协议，未经采购人允许，不得使用或者以其它方式给任何第三方提供本项目的相关信息或数据。</w:t>
            </w:r>
          </w:p>
          <w:p w14:paraId="69DA057C">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3.供应商可在响应文件中提供项目实施方案、确保</w:t>
            </w:r>
            <w:r>
              <w:rPr>
                <w:rFonts w:hint="eastAsia" w:ascii="宋体" w:hAnsi="宋体" w:cs="宋体"/>
                <w:color w:val="auto"/>
                <w:szCs w:val="21"/>
                <w:highlight w:val="none"/>
              </w:rPr>
              <w:t>项目</w:t>
            </w:r>
            <w:r>
              <w:rPr>
                <w:rFonts w:hint="eastAsia" w:ascii="宋体" w:hAnsi="宋体" w:cs="宋体"/>
                <w:bCs/>
                <w:color w:val="auto"/>
                <w:szCs w:val="21"/>
                <w:highlight w:val="none"/>
              </w:rPr>
              <w:t>服务质量和服务进度的措施、服务承诺方案、保密、廉洁从业措施等</w:t>
            </w:r>
            <w:r>
              <w:rPr>
                <w:rFonts w:hint="eastAsia" w:ascii="宋体" w:hAnsi="宋体" w:cs="宋体"/>
                <w:color w:val="auto"/>
                <w:szCs w:val="21"/>
                <w:highlight w:val="none"/>
              </w:rPr>
              <w:t>相关</w:t>
            </w:r>
            <w:r>
              <w:rPr>
                <w:rFonts w:hint="eastAsia" w:ascii="宋体" w:hAnsi="宋体" w:cs="宋体"/>
                <w:bCs/>
                <w:color w:val="auto"/>
                <w:szCs w:val="21"/>
                <w:highlight w:val="none"/>
              </w:rPr>
              <w:t>方案及团队人员、业绩等相关证明材料复印件。</w:t>
            </w:r>
          </w:p>
        </w:tc>
      </w:tr>
    </w:tbl>
    <w:p w14:paraId="0F7CC774">
      <w:pPr>
        <w:spacing w:line="360" w:lineRule="auto"/>
        <w:ind w:firstLine="310" w:firstLineChars="147"/>
        <w:jc w:val="left"/>
        <w:rPr>
          <w:rFonts w:ascii="宋体" w:hAnsi="宋体" w:cs="Arial"/>
          <w:b/>
          <w:color w:val="auto"/>
          <w:szCs w:val="21"/>
          <w:highlight w:val="none"/>
          <w:u w:val="single"/>
        </w:rPr>
      </w:pPr>
    </w:p>
    <w:p w14:paraId="062C5937">
      <w:pPr>
        <w:spacing w:line="360" w:lineRule="auto"/>
        <w:ind w:firstLine="308" w:firstLineChars="147"/>
        <w:jc w:val="left"/>
        <w:rPr>
          <w:rFonts w:ascii="宋体" w:hAnsi="宋体" w:cs="Arial"/>
          <w:b/>
          <w:color w:val="auto"/>
          <w:szCs w:val="21"/>
          <w:highlight w:val="none"/>
          <w:u w:val="single"/>
        </w:rPr>
      </w:pPr>
      <w:r>
        <w:rPr>
          <w:rFonts w:hint="eastAsia" w:ascii="宋体" w:hAnsi="宋体" w:cs="Arial"/>
          <w:bCs/>
          <w:color w:val="auto"/>
          <w:szCs w:val="21"/>
          <w:highlight w:val="none"/>
          <w:u w:val="single"/>
        </w:rPr>
        <w:t>B</w:t>
      </w:r>
      <w:r>
        <w:rPr>
          <w:rFonts w:hint="eastAsia" w:ascii="宋体" w:hAnsi="宋体"/>
          <w:b/>
          <w:color w:val="auto"/>
          <w:szCs w:val="21"/>
          <w:highlight w:val="none"/>
        </w:rPr>
        <w:t>分标      采购预算：</w:t>
      </w:r>
      <w:r>
        <w:rPr>
          <w:rFonts w:hint="eastAsia" w:ascii="宋体" w:hAnsi="宋体" w:cs="Arial"/>
          <w:b/>
          <w:color w:val="auto"/>
          <w:szCs w:val="21"/>
          <w:highlight w:val="none"/>
          <w:u w:val="single"/>
        </w:rPr>
        <w:t>72万元</w:t>
      </w:r>
    </w:p>
    <w:tbl>
      <w:tblPr>
        <w:tblStyle w:val="24"/>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0"/>
        <w:gridCol w:w="638"/>
        <w:gridCol w:w="676"/>
        <w:gridCol w:w="747"/>
        <w:gridCol w:w="4671"/>
        <w:gridCol w:w="1263"/>
      </w:tblGrid>
      <w:tr w14:paraId="4D612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10" w:type="pct"/>
            <w:noWrap/>
            <w:vAlign w:val="center"/>
          </w:tcPr>
          <w:p w14:paraId="75445FDF">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74" w:type="pct"/>
            <w:noWrap/>
            <w:vAlign w:val="center"/>
          </w:tcPr>
          <w:p w14:paraId="4192351F">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396" w:type="pct"/>
            <w:noWrap/>
            <w:vAlign w:val="center"/>
          </w:tcPr>
          <w:p w14:paraId="08590A83">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438" w:type="pct"/>
            <w:noWrap/>
            <w:vAlign w:val="center"/>
          </w:tcPr>
          <w:p w14:paraId="21D6A864">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所属</w:t>
            </w:r>
          </w:p>
          <w:p w14:paraId="12A8854A">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2739" w:type="pct"/>
            <w:noWrap/>
            <w:vAlign w:val="center"/>
          </w:tcPr>
          <w:p w14:paraId="3F7F0104">
            <w:pPr>
              <w:tabs>
                <w:tab w:val="left" w:pos="180"/>
                <w:tab w:val="left" w:pos="1620"/>
              </w:tabs>
              <w:spacing w:line="400" w:lineRule="exact"/>
              <w:jc w:val="center"/>
              <w:rPr>
                <w:rFonts w:ascii="宋体" w:hAnsi="宋体" w:cs="宋体"/>
                <w:color w:val="auto"/>
                <w:szCs w:val="21"/>
                <w:highlight w:val="none"/>
              </w:rPr>
            </w:pPr>
            <w:r>
              <w:rPr>
                <w:rFonts w:hint="eastAsia" w:ascii="宋体" w:hAnsi="宋体"/>
                <w:color w:val="auto"/>
                <w:szCs w:val="21"/>
                <w:highlight w:val="none"/>
              </w:rPr>
              <w:t>技术要求</w:t>
            </w:r>
          </w:p>
        </w:tc>
        <w:tc>
          <w:tcPr>
            <w:tcW w:w="740" w:type="pct"/>
            <w:noWrap/>
            <w:vAlign w:val="center"/>
          </w:tcPr>
          <w:p w14:paraId="73F2F07B">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分项预算金额</w:t>
            </w:r>
          </w:p>
          <w:p w14:paraId="29FB548D">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（万元）</w:t>
            </w:r>
          </w:p>
        </w:tc>
      </w:tr>
      <w:tr w14:paraId="4F9B2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10" w:type="pct"/>
            <w:noWrap/>
            <w:vAlign w:val="center"/>
          </w:tcPr>
          <w:p w14:paraId="4E8C1ECA">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374" w:type="pct"/>
            <w:noWrap/>
            <w:vAlign w:val="center"/>
          </w:tcPr>
          <w:p w14:paraId="44DF2BEE">
            <w:pPr>
              <w:spacing w:line="400" w:lineRule="exact"/>
              <w:jc w:val="center"/>
              <w:rPr>
                <w:rFonts w:ascii="宋体" w:hAnsi="宋体" w:cs="Calibri"/>
                <w:color w:val="auto"/>
                <w:szCs w:val="21"/>
                <w:highlight w:val="none"/>
              </w:rPr>
            </w:pPr>
            <w:r>
              <w:rPr>
                <w:rFonts w:hint="eastAsia" w:ascii="宋体" w:hAnsi="宋体" w:cs="Calibri"/>
                <w:color w:val="auto"/>
                <w:szCs w:val="21"/>
                <w:highlight w:val="none"/>
              </w:rPr>
              <w:t>融资担保公司现场检查与监管评级</w:t>
            </w:r>
          </w:p>
        </w:tc>
        <w:tc>
          <w:tcPr>
            <w:tcW w:w="396" w:type="pct"/>
            <w:noWrap/>
            <w:vAlign w:val="center"/>
          </w:tcPr>
          <w:p w14:paraId="06AB5B5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438" w:type="pct"/>
            <w:noWrap/>
            <w:vAlign w:val="center"/>
          </w:tcPr>
          <w:p w14:paraId="2F44B1C6">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租赁和商务服务业</w:t>
            </w:r>
          </w:p>
        </w:tc>
        <w:tc>
          <w:tcPr>
            <w:tcW w:w="2739" w:type="pct"/>
            <w:noWrap/>
            <w:vAlign w:val="center"/>
          </w:tcPr>
          <w:p w14:paraId="1B4032B3">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一、服务要求内容</w:t>
            </w:r>
          </w:p>
          <w:p w14:paraId="0F832C4D">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根据《融资担保公司监督管理条例》（国务院令第683号）及其四项配套制度、《广西壮族自治区人民政府办公厅关于进一步推进融资担保行业高质量发展的通知》（桂政办发〔2025〕4号）要求，对全区70家融资担保公司</w:t>
            </w:r>
            <w:r>
              <w:rPr>
                <w:rFonts w:hint="eastAsia" w:ascii="宋体" w:hAnsi="宋体" w:cs="Calibri"/>
                <w:color w:val="auto"/>
                <w:szCs w:val="21"/>
                <w:highlight w:val="none"/>
                <w:lang w:eastAsia="zh-CN"/>
              </w:rPr>
              <w:t>（签订合同后提供名单）</w:t>
            </w:r>
            <w:r>
              <w:rPr>
                <w:rFonts w:hint="eastAsia" w:ascii="宋体" w:hAnsi="宋体" w:cs="Calibri"/>
                <w:color w:val="auto"/>
                <w:szCs w:val="21"/>
                <w:highlight w:val="none"/>
              </w:rPr>
              <w:t>进行现场检查和考评（附件</w:t>
            </w:r>
            <w:r>
              <w:rPr>
                <w:rFonts w:hint="eastAsia" w:ascii="宋体" w:hAnsi="宋体" w:cs="Calibri"/>
                <w:color w:val="auto"/>
                <w:szCs w:val="21"/>
                <w:highlight w:val="none"/>
                <w:lang w:val="en-US" w:eastAsia="zh-CN"/>
              </w:rPr>
              <w:t>4</w:t>
            </w:r>
            <w:r>
              <w:rPr>
                <w:rFonts w:hint="eastAsia" w:ascii="宋体" w:hAnsi="宋体" w:cs="Calibri"/>
                <w:color w:val="auto"/>
                <w:szCs w:val="21"/>
                <w:highlight w:val="none"/>
              </w:rPr>
              <w:t>：广西壮族自治区融资担保公司2024年度监管评级评分表），对每家公司出具1份监管评级报告（附监管评级评分表）、1份现场检查报告，出具1份行业考评和现场检查总报告（附考核评价评分、评级汇总表、以前年度现场检查发现问题整改情况表、现场检查发现问题汇总表、现场检查发现问题明细表、各公司资本金管理情况汇总表）。</w:t>
            </w:r>
          </w:p>
          <w:p w14:paraId="72B70F8D">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二、工作要求</w:t>
            </w:r>
          </w:p>
          <w:p w14:paraId="437A2E43">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1.加强组织领导。会计服务供应商要统筹安排检查力量，组建精干检查组，为圆满完成检查任务提供有力的组织保障。</w:t>
            </w:r>
          </w:p>
          <w:p w14:paraId="3D3D23F0">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2.保证工作质量。审计过程中要认真做好审计取证、审计工作底稿等基础性工作，做到事实清楚，证据充分，依据有力，定性准确。</w:t>
            </w:r>
          </w:p>
          <w:p w14:paraId="3650303C">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3.加强沟通和协调。审计中，要及时向采购人反映审计过程的重要信息和成果，及时报告审计进展情况，如实反映审计中发现的问题。</w:t>
            </w:r>
          </w:p>
          <w:p w14:paraId="429032FD">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4.审计期间应当严格执行审计保密和廉洁工作纪律，对在审计中获得的资料和信息要严格保密，不能对外泄露，要按照审计署《关于加强审计纪律的规定》的“八不准”的规定，严肃纪律，树立良好审计形象。</w:t>
            </w:r>
          </w:p>
          <w:p w14:paraId="391DAE57">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5.对每家公司出具考评和现场检查报告，并出具汇总报告。会计服务供应商应保守因现场检查所获悉的受评公司的商业秘密。会计服务供应商出具的考评和现场检查的结果和工作报告未经采购人许可，不得将评估资料清单、调查手册、结果及报告公开公布或泄露给第三方。</w:t>
            </w:r>
          </w:p>
        </w:tc>
        <w:tc>
          <w:tcPr>
            <w:tcW w:w="740" w:type="pct"/>
            <w:noWrap/>
            <w:vAlign w:val="center"/>
          </w:tcPr>
          <w:p w14:paraId="642D411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cs="Calibri"/>
                <w:color w:val="auto"/>
                <w:szCs w:val="21"/>
                <w:highlight w:val="none"/>
              </w:rPr>
            </w:pPr>
            <w:r>
              <w:rPr>
                <w:rFonts w:hint="eastAsia" w:ascii="宋体" w:hAnsi="宋体" w:cs="Calibri"/>
                <w:color w:val="auto"/>
                <w:szCs w:val="21"/>
                <w:highlight w:val="none"/>
              </w:rPr>
              <w:t>35.50</w:t>
            </w:r>
          </w:p>
        </w:tc>
      </w:tr>
      <w:tr w14:paraId="0F950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10" w:type="pct"/>
            <w:noWrap/>
            <w:vAlign w:val="center"/>
          </w:tcPr>
          <w:p w14:paraId="305230E2">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374" w:type="pct"/>
            <w:noWrap/>
            <w:vAlign w:val="center"/>
          </w:tcPr>
          <w:p w14:paraId="2AFC04EC">
            <w:pPr>
              <w:spacing w:line="400" w:lineRule="exact"/>
              <w:jc w:val="center"/>
              <w:rPr>
                <w:rFonts w:ascii="宋体" w:hAnsi="宋体" w:cs="Calibri"/>
                <w:color w:val="auto"/>
                <w:szCs w:val="21"/>
                <w:highlight w:val="none"/>
              </w:rPr>
            </w:pPr>
            <w:r>
              <w:rPr>
                <w:rFonts w:hint="eastAsia" w:ascii="宋体" w:hAnsi="宋体" w:cs="Calibri"/>
                <w:color w:val="auto"/>
                <w:szCs w:val="21"/>
                <w:highlight w:val="none"/>
              </w:rPr>
              <w:t>融资租赁公司现场检查与监管评级</w:t>
            </w:r>
          </w:p>
        </w:tc>
        <w:tc>
          <w:tcPr>
            <w:tcW w:w="396" w:type="pct"/>
            <w:noWrap/>
            <w:vAlign w:val="center"/>
          </w:tcPr>
          <w:p w14:paraId="567061F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438" w:type="pct"/>
            <w:noWrap/>
            <w:vAlign w:val="center"/>
          </w:tcPr>
          <w:p w14:paraId="74A9C929">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租赁和商务服务业</w:t>
            </w:r>
          </w:p>
        </w:tc>
        <w:tc>
          <w:tcPr>
            <w:tcW w:w="2739" w:type="pct"/>
            <w:noWrap/>
            <w:vAlign w:val="center"/>
          </w:tcPr>
          <w:p w14:paraId="278E80DA">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一、服务内容要求</w:t>
            </w:r>
          </w:p>
          <w:p w14:paraId="79DECC03">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根据《融资租赁公司监督管理暂行办法》（银保监发〔2020〕22号）、《广西壮族自治区融资租赁公司监督管理实施细则（暂行）》《广西壮族自治区融资租赁公司监管评级与分类监管办法（试行）》（桂金监壹〔2023〕6号）等有关文件，对采购人指定的广西壮族自治区内10家融资租赁公司（南宁市9家、玉林市1家</w:t>
            </w:r>
            <w:r>
              <w:rPr>
                <w:rFonts w:hint="eastAsia" w:ascii="宋体" w:hAnsi="宋体" w:cs="Calibri"/>
                <w:color w:val="auto"/>
                <w:szCs w:val="21"/>
                <w:highlight w:val="none"/>
                <w:lang w:eastAsia="zh-CN"/>
              </w:rPr>
              <w:t>，签订合同后提供名单</w:t>
            </w:r>
            <w:r>
              <w:rPr>
                <w:rFonts w:hint="eastAsia" w:ascii="宋体" w:hAnsi="宋体" w:cs="Calibri"/>
                <w:color w:val="auto"/>
                <w:szCs w:val="21"/>
                <w:highlight w:val="none"/>
              </w:rPr>
              <w:t>）进行现场检查和监管评级（附件</w:t>
            </w:r>
            <w:r>
              <w:rPr>
                <w:rFonts w:hint="eastAsia" w:ascii="宋体" w:hAnsi="宋体" w:cs="Calibri"/>
                <w:color w:val="auto"/>
                <w:szCs w:val="21"/>
                <w:highlight w:val="none"/>
                <w:lang w:val="en-US" w:eastAsia="zh-CN"/>
              </w:rPr>
              <w:t>5</w:t>
            </w:r>
            <w:r>
              <w:rPr>
                <w:rFonts w:hint="eastAsia" w:ascii="宋体" w:hAnsi="宋体" w:cs="Calibri"/>
                <w:color w:val="auto"/>
                <w:szCs w:val="21"/>
                <w:highlight w:val="none"/>
              </w:rPr>
              <w:t>：广西壮族自治区融资租赁公司2024年度监管评级评分表），对每家公司出具1份现场检查和监管评级报告（附监管评级评分表），以及出具1份行业现场检查和监管评级总报告（附监管评级评分汇总表、以前年度现场检查发现问题整改情况表、现场检查发现问题汇总表、现场检查发现问题明细表）。</w:t>
            </w:r>
          </w:p>
          <w:p w14:paraId="79C1050E">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二、工作要求</w:t>
            </w:r>
          </w:p>
          <w:p w14:paraId="5E0271B5">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1.加强组织领导。供应商要统筹安排检查力量，组建精干检查组，为圆满完成检查任务提供有力的组织保障。</w:t>
            </w:r>
          </w:p>
          <w:p w14:paraId="2B2A67EE">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2.保证工作质量。审计过程中要认真做好审计取证、审计工作底稿等基础性工作，做到事实清楚，证据充分，依据有力，定性准确。</w:t>
            </w:r>
          </w:p>
          <w:p w14:paraId="79C9C51F">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3.加强沟通和协调。审计中，要及时向采购人反映审计过程的重要信息和成果，及时报告审计进展情况，如实反映审计中发现的问题。</w:t>
            </w:r>
          </w:p>
          <w:p w14:paraId="1FB8900B">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4.审计期间应当严格执行审计保密和廉洁工作纪律，对在审计中获得的资料和信息要严格保密，不能对外泄露，要按照审计署《关于加强审计纪律的规定》的“八不准”的规定，严肃纪律，树立良好审计形象。</w:t>
            </w:r>
          </w:p>
          <w:p w14:paraId="181E1A71">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5.对每家公司出具考评及现场检查报告，并出具汇总报告。供应商应保守因现场检查所获悉的受评公司的商业秘密。供应商出具的考评和现场检查的结果和工作报告未经采购人许可，不得将评估资料清单、调查手册、结果及报告公开公布或泄露给第三方。</w:t>
            </w:r>
          </w:p>
        </w:tc>
        <w:tc>
          <w:tcPr>
            <w:tcW w:w="740" w:type="pct"/>
            <w:noWrap/>
            <w:vAlign w:val="center"/>
          </w:tcPr>
          <w:p w14:paraId="2787410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cs="Calibri"/>
                <w:color w:val="auto"/>
                <w:szCs w:val="21"/>
                <w:highlight w:val="none"/>
              </w:rPr>
            </w:pPr>
            <w:r>
              <w:rPr>
                <w:rFonts w:hint="eastAsia" w:ascii="宋体" w:hAnsi="宋体" w:cs="Calibri"/>
                <w:color w:val="auto"/>
                <w:szCs w:val="21"/>
                <w:highlight w:val="none"/>
              </w:rPr>
              <w:t>5.50</w:t>
            </w:r>
          </w:p>
        </w:tc>
      </w:tr>
      <w:tr w14:paraId="7040F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10" w:type="pct"/>
            <w:noWrap/>
            <w:vAlign w:val="center"/>
          </w:tcPr>
          <w:p w14:paraId="3E3DF1C4">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374" w:type="pct"/>
            <w:noWrap/>
            <w:vAlign w:val="center"/>
          </w:tcPr>
          <w:p w14:paraId="2EE75368">
            <w:pPr>
              <w:spacing w:line="400" w:lineRule="exact"/>
              <w:jc w:val="center"/>
              <w:rPr>
                <w:rFonts w:ascii="宋体" w:hAnsi="宋体" w:cs="Calibri"/>
                <w:color w:val="auto"/>
                <w:szCs w:val="21"/>
                <w:highlight w:val="none"/>
              </w:rPr>
            </w:pPr>
            <w:r>
              <w:rPr>
                <w:rFonts w:hint="eastAsia" w:ascii="宋体" w:hAnsi="宋体" w:cs="Calibri"/>
                <w:color w:val="auto"/>
                <w:szCs w:val="21"/>
                <w:highlight w:val="none"/>
              </w:rPr>
              <w:t>商业保理公司现场检查与监管评级</w:t>
            </w:r>
          </w:p>
        </w:tc>
        <w:tc>
          <w:tcPr>
            <w:tcW w:w="396" w:type="pct"/>
            <w:noWrap/>
            <w:vAlign w:val="center"/>
          </w:tcPr>
          <w:p w14:paraId="0D092E4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438" w:type="pct"/>
            <w:noWrap/>
            <w:vAlign w:val="center"/>
          </w:tcPr>
          <w:p w14:paraId="42455AD6">
            <w:pPr>
              <w:tabs>
                <w:tab w:val="left" w:pos="180"/>
                <w:tab w:val="left" w:pos="1620"/>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租赁和商务服务业</w:t>
            </w:r>
          </w:p>
        </w:tc>
        <w:tc>
          <w:tcPr>
            <w:tcW w:w="2739" w:type="pct"/>
            <w:noWrap/>
            <w:vAlign w:val="center"/>
          </w:tcPr>
          <w:p w14:paraId="1FA296BA">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一、服务内容要求</w:t>
            </w:r>
          </w:p>
          <w:p w14:paraId="6B893DD9">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根据《中国银保监会办公厅关于加强商业保理企业监督管理的通知》（银保监办发〔2019〕205号）《广西壮族自治区商业保理公司监督管理指引（试行）》(桂金监壹〔2023〕2号)等有关文件，对采购人指定的广西壮族自治区内8家商业保理公司（南宁市7家、北海市1家</w:t>
            </w:r>
            <w:r>
              <w:rPr>
                <w:rStyle w:val="31"/>
                <w:rFonts w:hint="eastAsia"/>
                <w:color w:val="auto"/>
                <w:highlight w:val="none"/>
                <w:lang w:eastAsia="zh-CN"/>
              </w:rPr>
              <w:t>，签订合同后提供名单</w:t>
            </w:r>
            <w:r>
              <w:rPr>
                <w:rFonts w:hint="eastAsia" w:ascii="宋体" w:hAnsi="宋体" w:cs="Calibri"/>
                <w:color w:val="auto"/>
                <w:szCs w:val="21"/>
                <w:highlight w:val="none"/>
              </w:rPr>
              <w:t>）进行现场检查和监管评级（附件</w:t>
            </w:r>
            <w:r>
              <w:rPr>
                <w:rFonts w:hint="eastAsia" w:ascii="宋体" w:hAnsi="宋体" w:cs="Calibri"/>
                <w:color w:val="auto"/>
                <w:szCs w:val="21"/>
                <w:highlight w:val="none"/>
                <w:lang w:val="en-US" w:eastAsia="zh-CN"/>
              </w:rPr>
              <w:t>6</w:t>
            </w:r>
            <w:r>
              <w:rPr>
                <w:rFonts w:hint="eastAsia" w:ascii="宋体" w:hAnsi="宋体" w:cs="Calibri"/>
                <w:color w:val="auto"/>
                <w:szCs w:val="21"/>
                <w:highlight w:val="none"/>
              </w:rPr>
              <w:t>：广西壮族自治区商业保理公司2024年度监管评级评分表），对每家公司出具1份现场检查和监管评级报告（附监管评级评分表），以及出具1份行业现场检查和监管评级总报告（附监管评级评分汇总表、以前年度现场检查发现问题整改情况表、现场检查发现问题汇总表、现场检查发现问题明细表）。</w:t>
            </w:r>
          </w:p>
          <w:p w14:paraId="72861512">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二、工作要求</w:t>
            </w:r>
          </w:p>
          <w:p w14:paraId="5449C1BE">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1.加强组织领导。供应商要统筹安排检查力量，组建精干检查组，为圆满完成检查任务提供有力的组织保障。</w:t>
            </w:r>
          </w:p>
          <w:p w14:paraId="604E478D">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2.保证工作质量。审计过程中要认真做好审计取证、审计工作底稿等基础性工作，做到事实清楚，证据充分，依据有力，定性准确。</w:t>
            </w:r>
          </w:p>
          <w:p w14:paraId="50E3B405">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3.加强沟通和协调。审计中，要及时向采购人反映审计过程的重要信息和成果，及时报告审计进展情况，如实反映审计中发现的问题。</w:t>
            </w:r>
          </w:p>
          <w:p w14:paraId="00AD7EF9">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4.审计期间应当严格执行审计保密和廉洁工作纪律，对在审计中获得的资料和信息要严格保密，不能对外泄露，要按照审计署《关于加强审计纪律的规定》的“八不准”的规定，严肃纪律，树立良好审计形象。</w:t>
            </w:r>
          </w:p>
          <w:p w14:paraId="3C5D98A1">
            <w:pPr>
              <w:spacing w:line="400" w:lineRule="exact"/>
              <w:ind w:firstLine="420" w:firstLineChars="200"/>
              <w:rPr>
                <w:rFonts w:ascii="宋体" w:hAnsi="宋体" w:cs="Calibri"/>
                <w:b/>
                <w:color w:val="auto"/>
                <w:szCs w:val="21"/>
                <w:highlight w:val="none"/>
              </w:rPr>
            </w:pPr>
            <w:r>
              <w:rPr>
                <w:rFonts w:hint="eastAsia" w:ascii="宋体" w:hAnsi="宋体" w:cs="Calibri"/>
                <w:color w:val="auto"/>
                <w:szCs w:val="21"/>
                <w:highlight w:val="none"/>
              </w:rPr>
              <w:t>5.对每家公司出具考评和现场检查报告，并出具汇总报告。供应商应保守因现场检查所获悉的受评公司的商业秘密。供应商出具的考评和现场检查的结果和工作报告未经采购人许可，不得将评估资料清单、调查手册、结果及报告公开公布或泄露给第三方。</w:t>
            </w:r>
          </w:p>
        </w:tc>
        <w:tc>
          <w:tcPr>
            <w:tcW w:w="740" w:type="pct"/>
            <w:noWrap/>
            <w:vAlign w:val="center"/>
          </w:tcPr>
          <w:p w14:paraId="1D6C0D1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cs="Calibri"/>
                <w:color w:val="auto"/>
                <w:szCs w:val="21"/>
                <w:highlight w:val="none"/>
              </w:rPr>
            </w:pPr>
            <w:r>
              <w:rPr>
                <w:rFonts w:hint="eastAsia" w:ascii="宋体" w:hAnsi="宋体" w:cs="Calibri"/>
                <w:color w:val="auto"/>
                <w:szCs w:val="21"/>
                <w:highlight w:val="none"/>
              </w:rPr>
              <w:t>4.00</w:t>
            </w:r>
          </w:p>
        </w:tc>
      </w:tr>
      <w:tr w14:paraId="0A9B5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10" w:type="pct"/>
            <w:noWrap/>
            <w:vAlign w:val="center"/>
          </w:tcPr>
          <w:p w14:paraId="55A9EE01">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374" w:type="pct"/>
            <w:noWrap/>
            <w:vAlign w:val="center"/>
          </w:tcPr>
          <w:p w14:paraId="2AC30D5D">
            <w:pPr>
              <w:spacing w:line="400" w:lineRule="exact"/>
              <w:jc w:val="center"/>
              <w:rPr>
                <w:rFonts w:ascii="宋体" w:hAnsi="宋体" w:cs="仿宋_GB2312"/>
                <w:color w:val="auto"/>
                <w:szCs w:val="21"/>
                <w:highlight w:val="none"/>
              </w:rPr>
            </w:pPr>
            <w:r>
              <w:rPr>
                <w:rFonts w:hint="eastAsia" w:ascii="宋体" w:hAnsi="宋体" w:cs="仿宋_GB2312"/>
                <w:color w:val="auto"/>
                <w:szCs w:val="21"/>
                <w:highlight w:val="none"/>
              </w:rPr>
              <w:t>财政贴息资金申请项目审核服务</w:t>
            </w:r>
          </w:p>
        </w:tc>
        <w:tc>
          <w:tcPr>
            <w:tcW w:w="396" w:type="pct"/>
            <w:noWrap/>
            <w:vAlign w:val="center"/>
          </w:tcPr>
          <w:p w14:paraId="29744409">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1项</w:t>
            </w:r>
          </w:p>
        </w:tc>
        <w:tc>
          <w:tcPr>
            <w:tcW w:w="438" w:type="pct"/>
            <w:noWrap/>
            <w:vAlign w:val="center"/>
          </w:tcPr>
          <w:p w14:paraId="508C2007">
            <w:pPr>
              <w:tabs>
                <w:tab w:val="left" w:pos="180"/>
                <w:tab w:val="left" w:pos="1620"/>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租赁和商务服务业</w:t>
            </w:r>
          </w:p>
        </w:tc>
        <w:tc>
          <w:tcPr>
            <w:tcW w:w="2739" w:type="pct"/>
            <w:noWrap/>
            <w:vAlign w:val="center"/>
          </w:tcPr>
          <w:p w14:paraId="29EAB5D9">
            <w:pPr>
              <w:spacing w:line="400" w:lineRule="exact"/>
              <w:ind w:firstLine="420" w:firstLineChars="200"/>
              <w:rPr>
                <w:color w:val="auto"/>
                <w:highlight w:val="none"/>
              </w:rPr>
            </w:pPr>
            <w:r>
              <w:rPr>
                <w:rFonts w:hint="eastAsia"/>
                <w:color w:val="auto"/>
                <w:highlight w:val="none"/>
              </w:rPr>
              <w:t>一、2025年“财政贴息资金申请项目审核服务”采购，按照自治区党委金融办要求组织开展财政贴息资金审核工作，采购数量1份。服务内容主要包括：对各金融机构提交的财政贴息申报材料</w:t>
            </w:r>
            <w:r>
              <w:rPr>
                <w:rFonts w:hint="eastAsia" w:ascii="宋体" w:hAnsi="宋体" w:cs="Calibri"/>
                <w:color w:val="auto"/>
                <w:szCs w:val="21"/>
                <w:highlight w:val="none"/>
              </w:rPr>
              <w:t>（包括担保补贴）</w:t>
            </w:r>
            <w:r>
              <w:rPr>
                <w:rFonts w:hint="eastAsia"/>
                <w:color w:val="auto"/>
                <w:highlight w:val="none"/>
              </w:rPr>
              <w:t>进行审核，包括但不限于项目系统填写信息和上传材料是否符合文件要求、项目系统填写信息是否与上传材料一致、项目系统上传材料是否齐全等，按质按量完成审核工作并出具审核报告。</w:t>
            </w:r>
          </w:p>
          <w:p w14:paraId="6A434B8F">
            <w:pPr>
              <w:spacing w:line="400" w:lineRule="exact"/>
              <w:ind w:firstLine="420" w:firstLineChars="200"/>
              <w:rPr>
                <w:color w:val="auto"/>
                <w:highlight w:val="none"/>
              </w:rPr>
            </w:pPr>
            <w:r>
              <w:rPr>
                <w:rFonts w:hint="eastAsia"/>
                <w:color w:val="auto"/>
                <w:highlight w:val="none"/>
              </w:rPr>
              <w:t>二、审核要求：</w:t>
            </w:r>
          </w:p>
          <w:p w14:paraId="5FC54E20">
            <w:pPr>
              <w:spacing w:line="400" w:lineRule="exact"/>
              <w:ind w:firstLine="420" w:firstLineChars="200"/>
              <w:rPr>
                <w:color w:val="auto"/>
                <w:highlight w:val="none"/>
              </w:rPr>
            </w:pPr>
            <w:r>
              <w:rPr>
                <w:rFonts w:hint="eastAsia"/>
                <w:color w:val="auto"/>
                <w:highlight w:val="none"/>
              </w:rPr>
              <w:t>1、对各金融机构提交的财政贴息申报材料进行审核，包括但不限于项目系统填写信息和上传材料是否符合文件要求、项目系统填写信息是否与上传材料一致、项目系统上传材料是否齐全等,按质按量完成审核工作并出具审核报告。</w:t>
            </w:r>
          </w:p>
        </w:tc>
        <w:tc>
          <w:tcPr>
            <w:tcW w:w="740" w:type="pct"/>
            <w:noWrap/>
            <w:vAlign w:val="center"/>
          </w:tcPr>
          <w:p w14:paraId="7FE2B26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cs="Calibri"/>
                <w:color w:val="auto"/>
                <w:szCs w:val="21"/>
                <w:highlight w:val="none"/>
              </w:rPr>
            </w:pPr>
            <w:r>
              <w:rPr>
                <w:rFonts w:hint="eastAsia" w:ascii="宋体" w:hAnsi="宋体" w:cs="Calibri"/>
                <w:color w:val="auto"/>
                <w:szCs w:val="21"/>
                <w:highlight w:val="none"/>
              </w:rPr>
              <w:t>25.00</w:t>
            </w:r>
          </w:p>
        </w:tc>
      </w:tr>
      <w:tr w14:paraId="6F4DF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10" w:type="pct"/>
            <w:noWrap/>
            <w:vAlign w:val="center"/>
          </w:tcPr>
          <w:p w14:paraId="3ADC035B">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374" w:type="pct"/>
            <w:noWrap/>
            <w:vAlign w:val="center"/>
          </w:tcPr>
          <w:p w14:paraId="42A01D11">
            <w:pPr>
              <w:spacing w:line="400" w:lineRule="exact"/>
              <w:jc w:val="center"/>
              <w:rPr>
                <w:rFonts w:ascii="宋体" w:hAnsi="宋体" w:cs="仿宋_GB2312"/>
                <w:color w:val="auto"/>
                <w:szCs w:val="21"/>
                <w:highlight w:val="none"/>
              </w:rPr>
            </w:pPr>
            <w:r>
              <w:rPr>
                <w:rFonts w:hint="eastAsia" w:ascii="宋体" w:hAnsi="宋体" w:cs="Calibri"/>
                <w:color w:val="auto"/>
                <w:szCs w:val="21"/>
                <w:highlight w:val="none"/>
              </w:rPr>
              <w:t>保险资金奖补审核服务</w:t>
            </w:r>
          </w:p>
        </w:tc>
        <w:tc>
          <w:tcPr>
            <w:tcW w:w="396" w:type="pct"/>
            <w:noWrap/>
            <w:vAlign w:val="center"/>
          </w:tcPr>
          <w:p w14:paraId="3A04488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438" w:type="pct"/>
            <w:noWrap/>
            <w:vAlign w:val="center"/>
          </w:tcPr>
          <w:p w14:paraId="25B44602">
            <w:pPr>
              <w:tabs>
                <w:tab w:val="left" w:pos="180"/>
                <w:tab w:val="left" w:pos="1620"/>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租赁和商务服务业</w:t>
            </w:r>
          </w:p>
        </w:tc>
        <w:tc>
          <w:tcPr>
            <w:tcW w:w="2739" w:type="pct"/>
            <w:noWrap/>
            <w:vAlign w:val="center"/>
          </w:tcPr>
          <w:p w14:paraId="11A31A4D">
            <w:pPr>
              <w:keepNext w:val="0"/>
              <w:keepLines w:val="0"/>
              <w:suppressLineNumbers w:val="0"/>
              <w:shd w:val="clear" w:color="auto" w:fill="auto"/>
              <w:spacing w:before="0" w:beforeAutospacing="0" w:after="0" w:afterAutospacing="0" w:line="400" w:lineRule="exact"/>
              <w:ind w:left="0" w:right="0" w:firstLine="420" w:firstLineChars="200"/>
              <w:rPr>
                <w:rFonts w:hint="default" w:ascii="宋体" w:hAnsi="宋体" w:cs="Calibri"/>
                <w:color w:val="auto"/>
                <w:szCs w:val="21"/>
                <w:highlight w:val="none"/>
              </w:rPr>
            </w:pPr>
            <w:r>
              <w:rPr>
                <w:rFonts w:hint="default" w:ascii="宋体" w:hAnsi="宋体" w:cs="Calibri"/>
                <w:color w:val="auto"/>
                <w:szCs w:val="21"/>
                <w:highlight w:val="none"/>
              </w:rPr>
              <w:t>对保险资金奖补材料进行集中审核，包括但不限于业务是否符合奖补条件、奖补申请材料是否真实、齐全等，按质按量完成审核工作并出具审核报告。审核意见要求对审核项目有清晰审核意见及依据、审核项目齐全、表述文字格式统一。</w:t>
            </w:r>
          </w:p>
          <w:p w14:paraId="2AEC70E8">
            <w:pPr>
              <w:keepNext w:val="0"/>
              <w:keepLines w:val="0"/>
              <w:suppressLineNumbers w:val="0"/>
              <w:shd w:val="clear" w:color="auto" w:fill="auto"/>
              <w:spacing w:before="0" w:beforeAutospacing="0" w:after="0" w:afterAutospacing="0" w:line="400" w:lineRule="exact"/>
              <w:ind w:left="0" w:right="0" w:firstLine="420" w:firstLineChars="200"/>
              <w:rPr>
                <w:rFonts w:hint="default" w:ascii="宋体" w:hAnsi="宋体" w:cs="Calibri"/>
                <w:color w:val="auto"/>
                <w:szCs w:val="21"/>
                <w:highlight w:val="none"/>
              </w:rPr>
            </w:pPr>
            <w:r>
              <w:rPr>
                <w:rFonts w:hint="default" w:ascii="宋体" w:hAnsi="宋体" w:cs="Calibri"/>
                <w:color w:val="auto"/>
                <w:szCs w:val="21"/>
                <w:highlight w:val="none"/>
              </w:rPr>
              <w:t>审核要求：</w:t>
            </w:r>
          </w:p>
          <w:p w14:paraId="0BB81F45">
            <w:pPr>
              <w:keepNext w:val="0"/>
              <w:keepLines w:val="0"/>
              <w:suppressLineNumbers w:val="0"/>
              <w:shd w:val="clear" w:color="auto" w:fill="auto"/>
              <w:spacing w:before="0" w:beforeAutospacing="0" w:after="0" w:afterAutospacing="0" w:line="400" w:lineRule="exact"/>
              <w:ind w:left="0" w:right="0" w:firstLine="420" w:firstLineChars="200"/>
              <w:rPr>
                <w:rFonts w:ascii="宋体" w:hAnsi="宋体" w:cs="Calibri"/>
                <w:color w:val="auto"/>
                <w:szCs w:val="21"/>
                <w:highlight w:val="none"/>
              </w:rPr>
            </w:pPr>
            <w:r>
              <w:rPr>
                <w:rFonts w:hint="default" w:ascii="宋体" w:hAnsi="宋体" w:cs="Calibri"/>
                <w:color w:val="auto"/>
                <w:szCs w:val="21"/>
                <w:highlight w:val="none"/>
              </w:rPr>
              <w:t>对申报单位提交的保险资金奖补申报材料逐项进行审核，包括但不限于业务是否符合奖补条件、奖补申请材料是否真实、齐全等，按质按量完成审核工作并出具审核报告。审核意见要求对审核项目有清晰审核意见及依据、审核项目齐全、表述文字格式统一。</w:t>
            </w:r>
          </w:p>
        </w:tc>
        <w:tc>
          <w:tcPr>
            <w:tcW w:w="740" w:type="pct"/>
            <w:noWrap/>
            <w:vAlign w:val="center"/>
          </w:tcPr>
          <w:p w14:paraId="55CB4B4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cs="Calibri"/>
                <w:color w:val="auto"/>
                <w:szCs w:val="21"/>
                <w:highlight w:val="none"/>
              </w:rPr>
            </w:pPr>
            <w:r>
              <w:rPr>
                <w:rFonts w:hint="eastAsia" w:ascii="宋体" w:hAnsi="宋体" w:cs="Calibri"/>
                <w:color w:val="auto"/>
                <w:szCs w:val="21"/>
                <w:highlight w:val="none"/>
              </w:rPr>
              <w:t>2.00</w:t>
            </w:r>
          </w:p>
        </w:tc>
      </w:tr>
      <w:tr w14:paraId="5194A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5000" w:type="pct"/>
            <w:gridSpan w:val="6"/>
            <w:noWrap/>
            <w:vAlign w:val="center"/>
          </w:tcPr>
          <w:p w14:paraId="1BE5A11F">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▲一、商务要求</w:t>
            </w:r>
          </w:p>
        </w:tc>
      </w:tr>
      <w:tr w14:paraId="74D6B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85" w:type="pct"/>
            <w:gridSpan w:val="2"/>
            <w:noWrap/>
            <w:vAlign w:val="center"/>
          </w:tcPr>
          <w:p w14:paraId="1543F518">
            <w:pPr>
              <w:spacing w:line="400" w:lineRule="exact"/>
              <w:jc w:val="center"/>
              <w:rPr>
                <w:rFonts w:ascii="宋体" w:hAnsi="宋体" w:cs="仿宋_GB2312"/>
                <w:color w:val="auto"/>
                <w:szCs w:val="21"/>
                <w:highlight w:val="none"/>
              </w:rPr>
            </w:pPr>
            <w:r>
              <w:rPr>
                <w:rFonts w:hint="eastAsia" w:ascii="宋体" w:hAnsi="宋体" w:cs="宋体"/>
                <w:color w:val="auto"/>
                <w:szCs w:val="21"/>
                <w:highlight w:val="none"/>
              </w:rPr>
              <w:t>服务期和地点</w:t>
            </w:r>
          </w:p>
        </w:tc>
        <w:tc>
          <w:tcPr>
            <w:tcW w:w="4314" w:type="pct"/>
            <w:gridSpan w:val="4"/>
            <w:noWrap/>
            <w:vAlign w:val="center"/>
          </w:tcPr>
          <w:p w14:paraId="3261C882">
            <w:pPr>
              <w:spacing w:line="400" w:lineRule="exact"/>
              <w:rPr>
                <w:rFonts w:ascii="宋体" w:hAnsi="宋体" w:cs="Calibri"/>
                <w:color w:val="auto"/>
                <w:szCs w:val="21"/>
                <w:highlight w:val="none"/>
              </w:rPr>
            </w:pPr>
            <w:r>
              <w:rPr>
                <w:rFonts w:hint="eastAsia" w:ascii="宋体" w:hAnsi="宋体" w:cs="Calibri"/>
                <w:color w:val="auto"/>
                <w:szCs w:val="21"/>
                <w:highlight w:val="none"/>
              </w:rPr>
              <w:t>1、完成时间：</w:t>
            </w:r>
          </w:p>
          <w:p w14:paraId="58600EA7">
            <w:pPr>
              <w:spacing w:line="44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融资担保公司现场检查与监管评级：2025年8月1日—2025年9月30日在广西壮族自治区全区范围内进场考评和现场检查，2025年9月15日前提交全区政府性融资担保公司监管评级考核结果，2025年10月31日前完成各类监管评级与现场检查报告终稿。</w:t>
            </w:r>
          </w:p>
          <w:p w14:paraId="5425B320">
            <w:pPr>
              <w:spacing w:line="44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融资租赁公司现场检查与监管评级：2025年8月1日—9月30日进场考评和现场检查；2025年10月31日前完成各类监管评级与现场检查报告终稿。</w:t>
            </w:r>
          </w:p>
          <w:p w14:paraId="0A95F9AB">
            <w:pPr>
              <w:spacing w:line="44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商业保理公司现场检查与监管评级：2025年8月1日—9月30日进场考评和现场检查；2025年10月31日前完成各类监管评级与现场检查</w:t>
            </w:r>
            <w:r>
              <w:rPr>
                <w:rFonts w:hint="eastAsia" w:ascii="宋体" w:hAnsi="宋体" w:cs="宋体"/>
                <w:color w:val="auto"/>
                <w:szCs w:val="21"/>
                <w:highlight w:val="none"/>
                <w:lang w:eastAsia="zh-CN"/>
              </w:rPr>
              <w:t>报告</w:t>
            </w:r>
            <w:r>
              <w:rPr>
                <w:rFonts w:hint="eastAsia" w:ascii="宋体" w:hAnsi="宋体" w:cs="宋体"/>
                <w:color w:val="auto"/>
                <w:szCs w:val="21"/>
                <w:highlight w:val="none"/>
              </w:rPr>
              <w:t>终稿。</w:t>
            </w:r>
          </w:p>
          <w:p w14:paraId="35B11528">
            <w:pPr>
              <w:spacing w:line="44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财政贴息资金申请项目审核服务：</w:t>
            </w:r>
            <w:r>
              <w:rPr>
                <w:rFonts w:hint="eastAsia" w:ascii="宋体" w:hAnsi="宋体" w:cs="Calibri"/>
                <w:color w:val="auto"/>
                <w:szCs w:val="21"/>
                <w:highlight w:val="none"/>
              </w:rPr>
              <w:t>动态审核贴息贷款申请（包括担保补贴），原则上当日审核完毕当日新提交的贴息申请，每季度首月20 日前需出具上一季度贴息审核通过报表、退息报表以及以往季度已审核通过的贴息申请在上一季度产生的利息补贴报表，并出具相应的审核报告。</w:t>
            </w:r>
            <w:r>
              <w:rPr>
                <w:rFonts w:hint="eastAsia" w:ascii="宋体" w:hAnsi="宋体" w:cs="宋体"/>
                <w:color w:val="auto"/>
                <w:szCs w:val="21"/>
                <w:highlight w:val="none"/>
              </w:rPr>
              <w:t>（该项线上审核即可）</w:t>
            </w:r>
          </w:p>
          <w:p w14:paraId="51E9F099">
            <w:pPr>
              <w:shd w:val="clear" w:color="auto" w:fill="auto"/>
              <w:spacing w:line="400" w:lineRule="exact"/>
              <w:ind w:firstLine="0" w:firstLineChars="0"/>
              <w:rPr>
                <w:rFonts w:hAnsi="宋体" w:cs="Calibri"/>
                <w:color w:val="auto"/>
                <w:kern w:val="2"/>
                <w:sz w:val="21"/>
                <w:szCs w:val="21"/>
                <w:highlight w:val="none"/>
              </w:rPr>
            </w:pPr>
            <w:r>
              <w:rPr>
                <w:rFonts w:hint="eastAsia" w:hAnsi="宋体" w:cs="Calibri"/>
                <w:color w:val="auto"/>
                <w:kern w:val="2"/>
                <w:sz w:val="21"/>
                <w:szCs w:val="21"/>
                <w:highlight w:val="none"/>
                <w:lang w:eastAsia="zh-CN"/>
              </w:rPr>
              <w:t>（</w:t>
            </w:r>
            <w:r>
              <w:rPr>
                <w:rFonts w:hint="eastAsia" w:hAnsi="宋体" w:cs="Calibri"/>
                <w:color w:val="auto"/>
                <w:kern w:val="2"/>
                <w:sz w:val="21"/>
                <w:szCs w:val="21"/>
                <w:highlight w:val="none"/>
                <w:lang w:val="en-US" w:eastAsia="zh-CN"/>
              </w:rPr>
              <w:t>5</w:t>
            </w:r>
            <w:r>
              <w:rPr>
                <w:rFonts w:hint="eastAsia" w:hAnsi="宋体" w:cs="Calibri"/>
                <w:color w:val="auto"/>
                <w:kern w:val="2"/>
                <w:sz w:val="21"/>
                <w:szCs w:val="21"/>
                <w:highlight w:val="none"/>
                <w:lang w:eastAsia="zh-CN"/>
              </w:rPr>
              <w:t>）</w:t>
            </w:r>
            <w:r>
              <w:rPr>
                <w:rFonts w:hint="eastAsia" w:hAnsi="宋体" w:cs="Calibri"/>
                <w:color w:val="auto"/>
                <w:kern w:val="2"/>
                <w:sz w:val="21"/>
                <w:szCs w:val="21"/>
                <w:highlight w:val="none"/>
              </w:rPr>
              <w:t>保险资金奖补审核服务：2025年10月15日前完成审核工作并审计报告初稿；</w:t>
            </w:r>
            <w:r>
              <w:rPr>
                <w:rFonts w:hint="eastAsia" w:hAnsi="宋体"/>
                <w:color w:val="auto"/>
                <w:sz w:val="21"/>
                <w:szCs w:val="21"/>
                <w:highlight w:val="none"/>
              </w:rPr>
              <w:t>2025年10月30日前完成出具审计报告终稿。</w:t>
            </w:r>
          </w:p>
          <w:p w14:paraId="5515D2BF">
            <w:pPr>
              <w:spacing w:line="400" w:lineRule="exact"/>
              <w:rPr>
                <w:rFonts w:ascii="宋体" w:hAnsi="宋体" w:cs="Calibri"/>
                <w:color w:val="auto"/>
                <w:szCs w:val="21"/>
                <w:highlight w:val="none"/>
              </w:rPr>
            </w:pPr>
            <w:r>
              <w:rPr>
                <w:rFonts w:hint="eastAsia" w:ascii="宋体" w:hAnsi="宋体" w:cs="Calibri"/>
                <w:color w:val="auto"/>
                <w:szCs w:val="21"/>
                <w:highlight w:val="none"/>
              </w:rPr>
              <w:t>2、服务地点：广西壮族自治区全区范围内</w:t>
            </w:r>
            <w:r>
              <w:rPr>
                <w:rFonts w:hint="eastAsia" w:ascii="宋体" w:hAnsi="宋体" w:cs="Calibri"/>
                <w:color w:val="auto"/>
                <w:szCs w:val="21"/>
                <w:highlight w:val="none"/>
                <w:lang w:eastAsia="zh-CN"/>
              </w:rPr>
              <w:t>，受审机构所在地或采购人指定办公点。</w:t>
            </w:r>
          </w:p>
        </w:tc>
      </w:tr>
      <w:tr w14:paraId="7F072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85" w:type="pct"/>
            <w:gridSpan w:val="2"/>
            <w:noWrap/>
            <w:vAlign w:val="center"/>
          </w:tcPr>
          <w:p w14:paraId="340C650E">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人员要求</w:t>
            </w:r>
          </w:p>
        </w:tc>
        <w:tc>
          <w:tcPr>
            <w:tcW w:w="4314" w:type="pct"/>
            <w:gridSpan w:val="4"/>
            <w:noWrap/>
            <w:vAlign w:val="center"/>
          </w:tcPr>
          <w:tbl>
            <w:tblPr>
              <w:tblStyle w:val="24"/>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7"/>
              <w:gridCol w:w="810"/>
              <w:gridCol w:w="5743"/>
            </w:tblGrid>
            <w:tr w14:paraId="79891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4" w:type="pct"/>
                  <w:noWrap/>
                  <w:vAlign w:val="center"/>
                </w:tcPr>
                <w:p w14:paraId="343F51D0">
                  <w:pPr>
                    <w:tabs>
                      <w:tab w:val="left" w:pos="180"/>
                      <w:tab w:val="left" w:pos="1620"/>
                    </w:tabs>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567" w:type="pct"/>
                  <w:noWrap/>
                  <w:vAlign w:val="center"/>
                </w:tcPr>
                <w:p w14:paraId="03A7679A">
                  <w:pPr>
                    <w:tabs>
                      <w:tab w:val="left" w:pos="180"/>
                      <w:tab w:val="left" w:pos="1620"/>
                    </w:tabs>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rPr>
                    <w:t>名称</w:t>
                  </w:r>
                </w:p>
              </w:tc>
              <w:tc>
                <w:tcPr>
                  <w:tcW w:w="4027" w:type="pct"/>
                  <w:noWrap/>
                  <w:vAlign w:val="center"/>
                </w:tcPr>
                <w:p w14:paraId="016BFF54">
                  <w:pPr>
                    <w:tabs>
                      <w:tab w:val="left" w:pos="180"/>
                      <w:tab w:val="left" w:pos="1620"/>
                    </w:tabs>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人员要求</w:t>
                  </w:r>
                </w:p>
              </w:tc>
            </w:tr>
            <w:tr w14:paraId="57B2E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4" w:type="pct"/>
                  <w:noWrap/>
                  <w:vAlign w:val="center"/>
                </w:tcPr>
                <w:p w14:paraId="31745B6A">
                  <w:pPr>
                    <w:tabs>
                      <w:tab w:val="left" w:pos="180"/>
                      <w:tab w:val="left" w:pos="1620"/>
                    </w:tabs>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567" w:type="pct"/>
                  <w:noWrap/>
                  <w:vAlign w:val="center"/>
                </w:tcPr>
                <w:p w14:paraId="6AC968FC">
                  <w:pPr>
                    <w:spacing w:line="440" w:lineRule="exact"/>
                    <w:jc w:val="center"/>
                    <w:rPr>
                      <w:rFonts w:hint="eastAsia" w:ascii="宋体" w:hAnsi="宋体" w:eastAsia="宋体" w:cs="宋体"/>
                      <w:color w:val="auto"/>
                      <w:sz w:val="21"/>
                      <w:szCs w:val="21"/>
                      <w:highlight w:val="none"/>
                      <w:lang w:eastAsia="zh-CN"/>
                    </w:rPr>
                  </w:pPr>
                  <w:r>
                    <w:rPr>
                      <w:rFonts w:hint="eastAsia" w:ascii="宋体" w:hAnsi="宋体" w:cs="Calibri"/>
                      <w:color w:val="auto"/>
                      <w:sz w:val="21"/>
                      <w:szCs w:val="21"/>
                      <w:highlight w:val="none"/>
                    </w:rPr>
                    <w:t>融资担保公司现场检查与监管评级</w:t>
                  </w:r>
                </w:p>
              </w:tc>
              <w:tc>
                <w:tcPr>
                  <w:tcW w:w="4027" w:type="pct"/>
                  <w:noWrap/>
                  <w:vAlign w:val="top"/>
                </w:tcPr>
                <w:p w14:paraId="39371008">
                  <w:pPr>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会计服务供应商至少指派2组（每组至少3人）审计人员参与本项目，每组至少1名注册会计师，</w:t>
                  </w:r>
                  <w:r>
                    <w:rPr>
                      <w:rFonts w:hint="eastAsia" w:ascii="宋体" w:hAnsi="宋体" w:cs="宋体"/>
                      <w:b/>
                      <w:bCs/>
                      <w:color w:val="auto"/>
                      <w:sz w:val="21"/>
                      <w:szCs w:val="21"/>
                      <w:highlight w:val="none"/>
                      <w:lang w:val="en-US" w:eastAsia="zh-CN"/>
                    </w:rPr>
                    <w:t>须具备</w:t>
                  </w:r>
                  <w:r>
                    <w:rPr>
                      <w:rFonts w:hint="eastAsia" w:ascii="宋体" w:hAnsi="宋体" w:eastAsia="宋体" w:cs="宋体"/>
                      <w:b/>
                      <w:bCs/>
                      <w:color w:val="auto"/>
                      <w:sz w:val="21"/>
                      <w:szCs w:val="21"/>
                      <w:highlight w:val="none"/>
                    </w:rPr>
                    <w:t>有效的《注册会计师执业证书》。其余审计人员持有</w:t>
                  </w:r>
                  <w:r>
                    <w:rPr>
                      <w:rFonts w:hint="eastAsia" w:ascii="宋体" w:hAnsi="宋体" w:cs="宋体"/>
                      <w:b/>
                      <w:bCs/>
                      <w:color w:val="auto"/>
                      <w:sz w:val="21"/>
                      <w:szCs w:val="21"/>
                      <w:highlight w:val="none"/>
                      <w:lang w:eastAsia="zh-CN"/>
                    </w:rPr>
                    <w:t>初级及以上</w:t>
                  </w:r>
                  <w:r>
                    <w:rPr>
                      <w:rFonts w:hint="eastAsia" w:ascii="宋体" w:hAnsi="宋体" w:eastAsia="宋体" w:cs="宋体"/>
                      <w:b/>
                      <w:bCs/>
                      <w:color w:val="auto"/>
                      <w:sz w:val="21"/>
                      <w:szCs w:val="21"/>
                      <w:highlight w:val="none"/>
                      <w:lang w:eastAsia="zh-CN"/>
                    </w:rPr>
                    <w:t>《会计专业技术资格证书》</w:t>
                  </w:r>
                  <w:r>
                    <w:rPr>
                      <w:rFonts w:hint="eastAsia" w:ascii="宋体" w:hAnsi="宋体" w:eastAsia="宋体" w:cs="宋体"/>
                      <w:b/>
                      <w:bCs/>
                      <w:color w:val="auto"/>
                      <w:sz w:val="21"/>
                      <w:szCs w:val="21"/>
                      <w:highlight w:val="none"/>
                    </w:rPr>
                    <w:t>。响应文件</w:t>
                  </w:r>
                  <w:r>
                    <w:rPr>
                      <w:rFonts w:hint="eastAsia" w:ascii="宋体" w:hAnsi="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cs="Calibri"/>
                      <w:b/>
                      <w:bCs/>
                      <w:color w:val="auto"/>
                      <w:sz w:val="21"/>
                      <w:szCs w:val="21"/>
                      <w:highlight w:val="none"/>
                      <w:lang w:val="en-US" w:eastAsia="zh-CN"/>
                    </w:rPr>
                    <w:t>以上人员</w:t>
                  </w:r>
                  <w:r>
                    <w:rPr>
                      <w:rFonts w:hint="eastAsia" w:ascii="宋体" w:hAnsi="宋体" w:eastAsia="宋体" w:cs="宋体"/>
                      <w:b/>
                      <w:bCs/>
                      <w:color w:val="auto"/>
                      <w:sz w:val="21"/>
                      <w:szCs w:val="21"/>
                      <w:highlight w:val="none"/>
                    </w:rPr>
                    <w:t>有效的执业资格证书复印件。</w:t>
                  </w:r>
                </w:p>
                <w:p w14:paraId="5F0193C7">
                  <w:pPr>
                    <w:pStyle w:val="2"/>
                    <w:keepNext w:val="0"/>
                    <w:keepLines w:val="0"/>
                    <w:pageBreakBefore w:val="0"/>
                    <w:widowControl w:val="0"/>
                    <w:kinsoku/>
                    <w:wordWrap/>
                    <w:overflowPunct/>
                    <w:topLinePunct w:val="0"/>
                    <w:bidi w:val="0"/>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若项目实施期间出现服务人员工作时间冲突，供应商须</w:t>
                  </w:r>
                  <w:r>
                    <w:rPr>
                      <w:rFonts w:hint="eastAsia" w:ascii="宋体" w:hAnsi="宋体" w:eastAsia="宋体" w:cs="宋体"/>
                      <w:b/>
                      <w:bCs/>
                      <w:color w:val="auto"/>
                      <w:sz w:val="21"/>
                      <w:szCs w:val="21"/>
                      <w:highlight w:val="none"/>
                      <w:lang w:eastAsia="zh-CN"/>
                    </w:rPr>
                    <w:t>经采购人员同意后</w:t>
                  </w:r>
                  <w:r>
                    <w:rPr>
                      <w:rFonts w:hint="eastAsia" w:ascii="宋体" w:hAnsi="宋体" w:eastAsia="宋体" w:cs="宋体"/>
                      <w:b/>
                      <w:bCs/>
                      <w:color w:val="auto"/>
                      <w:sz w:val="21"/>
                      <w:szCs w:val="21"/>
                      <w:highlight w:val="none"/>
                    </w:rPr>
                    <w:t>按原项目团队配置的要求增派人员，以保障项目的服务质量及进度要求。</w:t>
                  </w:r>
                </w:p>
              </w:tc>
            </w:tr>
            <w:tr w14:paraId="6CD86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4" w:type="pct"/>
                  <w:noWrap/>
                  <w:vAlign w:val="center"/>
                </w:tcPr>
                <w:p w14:paraId="455E115C">
                  <w:pPr>
                    <w:tabs>
                      <w:tab w:val="left" w:pos="180"/>
                      <w:tab w:val="left" w:pos="1620"/>
                    </w:tabs>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567" w:type="pct"/>
                  <w:noWrap/>
                  <w:vAlign w:val="center"/>
                </w:tcPr>
                <w:p w14:paraId="4AB5B852">
                  <w:pPr>
                    <w:spacing w:line="440" w:lineRule="exact"/>
                    <w:jc w:val="center"/>
                    <w:rPr>
                      <w:rFonts w:ascii="宋体" w:hAnsi="宋体" w:cs="宋体"/>
                      <w:color w:val="auto"/>
                      <w:sz w:val="21"/>
                      <w:szCs w:val="21"/>
                      <w:highlight w:val="none"/>
                    </w:rPr>
                  </w:pPr>
                  <w:r>
                    <w:rPr>
                      <w:rFonts w:hint="eastAsia" w:ascii="宋体" w:hAnsi="宋体" w:cs="Calibri"/>
                      <w:color w:val="auto"/>
                      <w:sz w:val="21"/>
                      <w:szCs w:val="21"/>
                      <w:highlight w:val="none"/>
                    </w:rPr>
                    <w:t>融资租赁公司现场检查与监管评级</w:t>
                  </w:r>
                </w:p>
              </w:tc>
              <w:tc>
                <w:tcPr>
                  <w:tcW w:w="4027" w:type="pct"/>
                  <w:noWrap/>
                  <w:vAlign w:val="top"/>
                </w:tcPr>
                <w:p w14:paraId="509413E5">
                  <w:pPr>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会计服务供应商至少指派3名以上（含）审计人员参与本项目</w:t>
                  </w:r>
                  <w:r>
                    <w:rPr>
                      <w:rFonts w:hint="eastAsia" w:ascii="宋体" w:hAnsi="宋体" w:eastAsia="宋体" w:cs="宋体"/>
                      <w:b/>
                      <w:bCs/>
                      <w:color w:val="auto"/>
                      <w:sz w:val="21"/>
                      <w:szCs w:val="21"/>
                      <w:highlight w:val="none"/>
                      <w:lang w:eastAsia="zh-CN"/>
                    </w:rPr>
                    <w:t>（与</w:t>
                  </w:r>
                  <w:r>
                    <w:rPr>
                      <w:rFonts w:hint="eastAsia" w:ascii="宋体" w:hAnsi="宋体" w:eastAsia="宋体" w:cs="宋体"/>
                      <w:b/>
                      <w:bCs/>
                      <w:color w:val="auto"/>
                      <w:sz w:val="21"/>
                      <w:szCs w:val="21"/>
                      <w:highlight w:val="none"/>
                    </w:rPr>
                    <w:t>融资担保公司现场检查与监管评级</w:t>
                  </w:r>
                  <w:r>
                    <w:rPr>
                      <w:rFonts w:hint="eastAsia" w:ascii="宋体" w:hAnsi="宋体" w:eastAsia="宋体" w:cs="宋体"/>
                      <w:b/>
                      <w:bCs/>
                      <w:color w:val="auto"/>
                      <w:sz w:val="21"/>
                      <w:szCs w:val="21"/>
                      <w:highlight w:val="none"/>
                      <w:lang w:eastAsia="zh-CN"/>
                    </w:rPr>
                    <w:t>人员不重复）</w:t>
                  </w:r>
                  <w:r>
                    <w:rPr>
                      <w:rFonts w:hint="eastAsia" w:ascii="宋体" w:hAnsi="宋体" w:eastAsia="宋体" w:cs="宋体"/>
                      <w:b/>
                      <w:bCs/>
                      <w:color w:val="auto"/>
                      <w:sz w:val="21"/>
                      <w:szCs w:val="21"/>
                      <w:highlight w:val="none"/>
                    </w:rPr>
                    <w:t>，至少1名注册会计师，</w:t>
                  </w:r>
                  <w:r>
                    <w:rPr>
                      <w:rFonts w:hint="eastAsia" w:ascii="宋体" w:hAnsi="宋体" w:cs="宋体"/>
                      <w:b/>
                      <w:bCs/>
                      <w:color w:val="auto"/>
                      <w:sz w:val="21"/>
                      <w:szCs w:val="21"/>
                      <w:highlight w:val="none"/>
                      <w:lang w:val="en-US" w:eastAsia="zh-CN"/>
                    </w:rPr>
                    <w:t>须具备</w:t>
                  </w:r>
                  <w:r>
                    <w:rPr>
                      <w:rFonts w:hint="eastAsia" w:ascii="宋体" w:hAnsi="宋体" w:eastAsia="宋体" w:cs="宋体"/>
                      <w:b/>
                      <w:bCs/>
                      <w:color w:val="auto"/>
                      <w:sz w:val="21"/>
                      <w:szCs w:val="21"/>
                      <w:highlight w:val="none"/>
                    </w:rPr>
                    <w:t>有效的《注册会计师执业证书》；其余审计人员持有</w:t>
                  </w:r>
                  <w:r>
                    <w:rPr>
                      <w:rFonts w:hint="eastAsia" w:ascii="宋体" w:hAnsi="宋体" w:cs="宋体"/>
                      <w:b/>
                      <w:bCs/>
                      <w:color w:val="auto"/>
                      <w:sz w:val="21"/>
                      <w:szCs w:val="21"/>
                      <w:highlight w:val="none"/>
                      <w:lang w:eastAsia="zh-CN"/>
                    </w:rPr>
                    <w:t>初级及以上</w:t>
                  </w:r>
                  <w:r>
                    <w:rPr>
                      <w:rFonts w:hint="eastAsia" w:ascii="宋体" w:hAnsi="宋体" w:eastAsia="宋体" w:cs="宋体"/>
                      <w:b/>
                      <w:bCs/>
                      <w:color w:val="auto"/>
                      <w:sz w:val="21"/>
                      <w:szCs w:val="21"/>
                      <w:highlight w:val="none"/>
                      <w:lang w:eastAsia="zh-CN"/>
                    </w:rPr>
                    <w:t>《会计专业技术资格证书》</w:t>
                  </w:r>
                  <w:r>
                    <w:rPr>
                      <w:rFonts w:hint="eastAsia" w:ascii="宋体" w:hAnsi="宋体" w:eastAsia="宋体" w:cs="宋体"/>
                      <w:b/>
                      <w:bCs/>
                      <w:color w:val="auto"/>
                      <w:sz w:val="21"/>
                      <w:szCs w:val="21"/>
                      <w:highlight w:val="none"/>
                    </w:rPr>
                    <w:t>。响应文件</w:t>
                  </w:r>
                  <w:r>
                    <w:rPr>
                      <w:rFonts w:hint="eastAsia" w:ascii="宋体" w:hAnsi="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cs="Calibri"/>
                      <w:b/>
                      <w:bCs/>
                      <w:color w:val="auto"/>
                      <w:sz w:val="21"/>
                      <w:szCs w:val="21"/>
                      <w:highlight w:val="none"/>
                      <w:lang w:val="en-US" w:eastAsia="zh-CN"/>
                    </w:rPr>
                    <w:t>以上人员</w:t>
                  </w:r>
                  <w:r>
                    <w:rPr>
                      <w:rFonts w:hint="eastAsia" w:ascii="宋体" w:hAnsi="宋体" w:eastAsia="宋体" w:cs="宋体"/>
                      <w:b/>
                      <w:bCs/>
                      <w:color w:val="auto"/>
                      <w:sz w:val="21"/>
                      <w:szCs w:val="21"/>
                      <w:highlight w:val="none"/>
                    </w:rPr>
                    <w:t>有效的执业资格证书复印件。</w:t>
                  </w:r>
                </w:p>
                <w:p w14:paraId="610591FC">
                  <w:pPr>
                    <w:pStyle w:val="2"/>
                    <w:keepNext w:val="0"/>
                    <w:keepLines w:val="0"/>
                    <w:pageBreakBefore w:val="0"/>
                    <w:widowControl w:val="0"/>
                    <w:kinsoku/>
                    <w:wordWrap/>
                    <w:overflowPunct/>
                    <w:topLinePunct w:val="0"/>
                    <w:bidi w:val="0"/>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若项目实施期间出现服务人员工作时间冲突，供应商须</w:t>
                  </w:r>
                  <w:r>
                    <w:rPr>
                      <w:rFonts w:hint="eastAsia" w:ascii="宋体" w:hAnsi="宋体" w:eastAsia="宋体" w:cs="宋体"/>
                      <w:b/>
                      <w:bCs/>
                      <w:color w:val="auto"/>
                      <w:sz w:val="21"/>
                      <w:szCs w:val="21"/>
                      <w:highlight w:val="none"/>
                      <w:lang w:eastAsia="zh-CN"/>
                    </w:rPr>
                    <w:t>经采购人员同意后</w:t>
                  </w:r>
                  <w:r>
                    <w:rPr>
                      <w:rFonts w:hint="eastAsia" w:ascii="宋体" w:hAnsi="宋体" w:eastAsia="宋体" w:cs="宋体"/>
                      <w:b/>
                      <w:bCs/>
                      <w:color w:val="auto"/>
                      <w:sz w:val="21"/>
                      <w:szCs w:val="21"/>
                      <w:highlight w:val="none"/>
                    </w:rPr>
                    <w:t>按原项目团队配置的要求增派人员，以保障项目的服务质量及进度要求。</w:t>
                  </w:r>
                </w:p>
              </w:tc>
            </w:tr>
            <w:tr w14:paraId="09393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4" w:type="pct"/>
                  <w:noWrap/>
                  <w:vAlign w:val="center"/>
                </w:tcPr>
                <w:p w14:paraId="3E8E39EF">
                  <w:pPr>
                    <w:tabs>
                      <w:tab w:val="left" w:pos="180"/>
                      <w:tab w:val="left" w:pos="1620"/>
                    </w:tabs>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567" w:type="pct"/>
                  <w:noWrap/>
                  <w:vAlign w:val="center"/>
                </w:tcPr>
                <w:p w14:paraId="68C8114A">
                  <w:pPr>
                    <w:spacing w:line="440" w:lineRule="exact"/>
                    <w:jc w:val="center"/>
                    <w:rPr>
                      <w:rFonts w:ascii="宋体" w:hAnsi="宋体" w:cs="宋体"/>
                      <w:color w:val="auto"/>
                      <w:sz w:val="21"/>
                      <w:szCs w:val="21"/>
                      <w:highlight w:val="none"/>
                    </w:rPr>
                  </w:pPr>
                  <w:r>
                    <w:rPr>
                      <w:rFonts w:hint="eastAsia" w:ascii="宋体" w:hAnsi="宋体" w:cs="Calibri"/>
                      <w:color w:val="auto"/>
                      <w:sz w:val="21"/>
                      <w:szCs w:val="21"/>
                      <w:highlight w:val="none"/>
                    </w:rPr>
                    <w:t>商业保理公司现场检查与监管评级</w:t>
                  </w:r>
                </w:p>
              </w:tc>
              <w:tc>
                <w:tcPr>
                  <w:tcW w:w="4027" w:type="pct"/>
                  <w:noWrap/>
                  <w:vAlign w:val="top"/>
                </w:tcPr>
                <w:p w14:paraId="135DC5BB">
                  <w:pPr>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会计服务供应商至少指派3名以上（含）审计人员参与本项目</w:t>
                  </w:r>
                  <w:r>
                    <w:rPr>
                      <w:rFonts w:hint="eastAsia" w:ascii="宋体" w:hAnsi="宋体" w:eastAsia="宋体" w:cs="宋体"/>
                      <w:b/>
                      <w:bCs/>
                      <w:color w:val="auto"/>
                      <w:sz w:val="21"/>
                      <w:szCs w:val="21"/>
                      <w:highlight w:val="none"/>
                      <w:lang w:eastAsia="zh-CN"/>
                    </w:rPr>
                    <w:t>（与</w:t>
                  </w:r>
                  <w:r>
                    <w:rPr>
                      <w:rFonts w:hint="eastAsia" w:ascii="宋体" w:hAnsi="宋体" w:eastAsia="宋体" w:cs="宋体"/>
                      <w:b/>
                      <w:bCs/>
                      <w:color w:val="auto"/>
                      <w:sz w:val="21"/>
                      <w:szCs w:val="21"/>
                      <w:highlight w:val="none"/>
                    </w:rPr>
                    <w:t>融资担保公司现场检查与监管评级</w:t>
                  </w:r>
                  <w:r>
                    <w:rPr>
                      <w:rFonts w:hint="eastAsia" w:ascii="宋体" w:hAnsi="宋体" w:eastAsia="宋体" w:cs="宋体"/>
                      <w:b/>
                      <w:bCs/>
                      <w:color w:val="auto"/>
                      <w:sz w:val="21"/>
                      <w:szCs w:val="21"/>
                      <w:highlight w:val="none"/>
                      <w:lang w:eastAsia="zh-CN"/>
                    </w:rPr>
                    <w:t>人员不重复）</w:t>
                  </w:r>
                  <w:r>
                    <w:rPr>
                      <w:rFonts w:hint="eastAsia" w:ascii="宋体" w:hAnsi="宋体" w:eastAsia="宋体" w:cs="宋体"/>
                      <w:b/>
                      <w:bCs/>
                      <w:color w:val="auto"/>
                      <w:sz w:val="21"/>
                      <w:szCs w:val="21"/>
                      <w:highlight w:val="none"/>
                    </w:rPr>
                    <w:t>，至少1名注册会计师，</w:t>
                  </w:r>
                  <w:r>
                    <w:rPr>
                      <w:rFonts w:hint="eastAsia" w:ascii="宋体" w:hAnsi="宋体" w:cs="宋体"/>
                      <w:b/>
                      <w:bCs/>
                      <w:color w:val="auto"/>
                      <w:sz w:val="21"/>
                      <w:szCs w:val="21"/>
                      <w:highlight w:val="none"/>
                      <w:lang w:val="en-US" w:eastAsia="zh-CN"/>
                    </w:rPr>
                    <w:t>须具备</w:t>
                  </w:r>
                  <w:r>
                    <w:rPr>
                      <w:rFonts w:hint="eastAsia" w:ascii="宋体" w:hAnsi="宋体" w:eastAsia="宋体" w:cs="宋体"/>
                      <w:b/>
                      <w:bCs/>
                      <w:color w:val="auto"/>
                      <w:sz w:val="21"/>
                      <w:szCs w:val="21"/>
                      <w:highlight w:val="none"/>
                    </w:rPr>
                    <w:t>有效的《注册会计师执业证书》复印件；其余审计人员持有</w:t>
                  </w:r>
                  <w:r>
                    <w:rPr>
                      <w:rFonts w:hint="eastAsia" w:ascii="宋体" w:hAnsi="宋体" w:cs="宋体"/>
                      <w:b/>
                      <w:bCs/>
                      <w:color w:val="auto"/>
                      <w:sz w:val="21"/>
                      <w:szCs w:val="21"/>
                      <w:highlight w:val="none"/>
                      <w:lang w:eastAsia="zh-CN"/>
                    </w:rPr>
                    <w:t>初级及以上</w:t>
                  </w:r>
                  <w:r>
                    <w:rPr>
                      <w:rFonts w:hint="eastAsia" w:ascii="宋体" w:hAnsi="宋体" w:eastAsia="宋体" w:cs="宋体"/>
                      <w:b/>
                      <w:bCs/>
                      <w:color w:val="auto"/>
                      <w:sz w:val="21"/>
                      <w:szCs w:val="21"/>
                      <w:highlight w:val="none"/>
                      <w:lang w:eastAsia="zh-CN"/>
                    </w:rPr>
                    <w:t>《会计专业技术资格证书》</w:t>
                  </w:r>
                  <w:r>
                    <w:rPr>
                      <w:rFonts w:hint="eastAsia" w:ascii="宋体" w:hAnsi="宋体" w:eastAsia="宋体" w:cs="宋体"/>
                      <w:b/>
                      <w:bCs/>
                      <w:color w:val="auto"/>
                      <w:sz w:val="21"/>
                      <w:szCs w:val="21"/>
                      <w:highlight w:val="none"/>
                    </w:rPr>
                    <w:t>。响应文件</w:t>
                  </w:r>
                  <w:r>
                    <w:rPr>
                      <w:rFonts w:hint="eastAsia" w:ascii="宋体" w:hAnsi="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cs="Calibri"/>
                      <w:b/>
                      <w:bCs/>
                      <w:color w:val="auto"/>
                      <w:sz w:val="21"/>
                      <w:szCs w:val="21"/>
                      <w:highlight w:val="none"/>
                      <w:lang w:val="en-US" w:eastAsia="zh-CN"/>
                    </w:rPr>
                    <w:t>以上人员</w:t>
                  </w:r>
                  <w:r>
                    <w:rPr>
                      <w:rFonts w:hint="eastAsia" w:ascii="宋体" w:hAnsi="宋体" w:eastAsia="宋体" w:cs="宋体"/>
                      <w:b/>
                      <w:bCs/>
                      <w:color w:val="auto"/>
                      <w:sz w:val="21"/>
                      <w:szCs w:val="21"/>
                      <w:highlight w:val="none"/>
                    </w:rPr>
                    <w:t>资质（执业资格）证书复印件。</w:t>
                  </w:r>
                </w:p>
                <w:p w14:paraId="3A6D73E1">
                  <w:pPr>
                    <w:pStyle w:val="2"/>
                    <w:keepNext w:val="0"/>
                    <w:keepLines w:val="0"/>
                    <w:pageBreakBefore w:val="0"/>
                    <w:widowControl w:val="0"/>
                    <w:kinsoku/>
                    <w:wordWrap/>
                    <w:overflowPunct/>
                    <w:topLinePunct w:val="0"/>
                    <w:bidi w:val="0"/>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若项目实施期间出现服务人员工作时间冲突，供应商须</w:t>
                  </w:r>
                  <w:r>
                    <w:rPr>
                      <w:rFonts w:hint="eastAsia" w:ascii="宋体" w:hAnsi="宋体" w:eastAsia="宋体" w:cs="宋体"/>
                      <w:b/>
                      <w:bCs/>
                      <w:color w:val="auto"/>
                      <w:sz w:val="21"/>
                      <w:szCs w:val="21"/>
                      <w:highlight w:val="none"/>
                      <w:lang w:eastAsia="zh-CN"/>
                    </w:rPr>
                    <w:t>经采购人同意后</w:t>
                  </w:r>
                  <w:r>
                    <w:rPr>
                      <w:rFonts w:hint="eastAsia" w:ascii="宋体" w:hAnsi="宋体" w:eastAsia="宋体" w:cs="宋体"/>
                      <w:b/>
                      <w:bCs/>
                      <w:color w:val="auto"/>
                      <w:sz w:val="21"/>
                      <w:szCs w:val="21"/>
                      <w:highlight w:val="none"/>
                    </w:rPr>
                    <w:t>按原项目团队配置的要求增派人员，以保障项目的服务质量及进度要求。</w:t>
                  </w:r>
                </w:p>
              </w:tc>
            </w:tr>
            <w:tr w14:paraId="5BF9B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4" w:type="pct"/>
                  <w:noWrap/>
                  <w:vAlign w:val="center"/>
                </w:tcPr>
                <w:p w14:paraId="716F57C3">
                  <w:pPr>
                    <w:tabs>
                      <w:tab w:val="left" w:pos="180"/>
                      <w:tab w:val="left" w:pos="1620"/>
                    </w:tabs>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567" w:type="pct"/>
                  <w:noWrap/>
                  <w:vAlign w:val="center"/>
                </w:tcPr>
                <w:p w14:paraId="674A5131">
                  <w:pPr>
                    <w:spacing w:line="440" w:lineRule="exact"/>
                    <w:jc w:val="center"/>
                    <w:rPr>
                      <w:rFonts w:ascii="宋体" w:hAnsi="宋体" w:cs="宋体"/>
                      <w:color w:val="auto"/>
                      <w:sz w:val="21"/>
                      <w:szCs w:val="21"/>
                      <w:highlight w:val="none"/>
                    </w:rPr>
                  </w:pPr>
                  <w:r>
                    <w:rPr>
                      <w:rFonts w:hint="eastAsia" w:ascii="宋体" w:hAnsi="宋体" w:cs="仿宋_GB2312"/>
                      <w:color w:val="auto"/>
                      <w:sz w:val="21"/>
                      <w:szCs w:val="21"/>
                      <w:highlight w:val="none"/>
                    </w:rPr>
                    <w:t>财政贴息资金申请项目审核服务</w:t>
                  </w:r>
                </w:p>
              </w:tc>
              <w:tc>
                <w:tcPr>
                  <w:tcW w:w="4027" w:type="pct"/>
                  <w:noWrap/>
                  <w:vAlign w:val="top"/>
                </w:tcPr>
                <w:p w14:paraId="72C6851B">
                  <w:pPr>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1、供应商至少指派5名以上（含）审计人员参与本项目，至少1名为注册会计师，</w:t>
                  </w:r>
                  <w:r>
                    <w:rPr>
                      <w:rFonts w:hint="eastAsia" w:ascii="宋体" w:hAnsi="宋体" w:cs="宋体"/>
                      <w:b/>
                      <w:bCs/>
                      <w:color w:val="auto"/>
                      <w:sz w:val="21"/>
                      <w:szCs w:val="21"/>
                      <w:highlight w:val="none"/>
                      <w:lang w:val="en-US" w:eastAsia="zh-CN"/>
                    </w:rPr>
                    <w:t>须具备</w:t>
                  </w:r>
                  <w:r>
                    <w:rPr>
                      <w:rFonts w:hint="eastAsia" w:ascii="宋体" w:hAnsi="宋体" w:eastAsia="宋体" w:cs="宋体"/>
                      <w:b/>
                      <w:bCs/>
                      <w:color w:val="auto"/>
                      <w:sz w:val="21"/>
                      <w:szCs w:val="21"/>
                      <w:highlight w:val="none"/>
                    </w:rPr>
                    <w:t>有效的《注册会计师执业证书》。其余审计人员持有初级及以上</w:t>
                  </w:r>
                  <w:r>
                    <w:rPr>
                      <w:rFonts w:hint="eastAsia" w:ascii="宋体" w:hAnsi="宋体" w:eastAsia="宋体" w:cs="宋体"/>
                      <w:b/>
                      <w:bCs/>
                      <w:color w:val="auto"/>
                      <w:sz w:val="21"/>
                      <w:szCs w:val="21"/>
                      <w:highlight w:val="none"/>
                      <w:lang w:eastAsia="zh-CN"/>
                    </w:rPr>
                    <w:t>《会计专业技术资格证书》</w:t>
                  </w:r>
                  <w:r>
                    <w:rPr>
                      <w:rFonts w:hint="eastAsia" w:ascii="宋体" w:hAnsi="宋体" w:eastAsia="宋体" w:cs="宋体"/>
                      <w:b/>
                      <w:bCs/>
                      <w:color w:val="auto"/>
                      <w:sz w:val="21"/>
                      <w:szCs w:val="21"/>
                      <w:highlight w:val="none"/>
                    </w:rPr>
                    <w:t>。响应文件</w:t>
                  </w:r>
                  <w:r>
                    <w:rPr>
                      <w:rFonts w:hint="eastAsia" w:ascii="宋体" w:hAnsi="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cs="Calibri"/>
                      <w:b/>
                      <w:bCs/>
                      <w:color w:val="auto"/>
                      <w:sz w:val="21"/>
                      <w:szCs w:val="21"/>
                      <w:highlight w:val="none"/>
                      <w:lang w:val="en-US" w:eastAsia="zh-CN"/>
                    </w:rPr>
                    <w:t>以上人员</w:t>
                  </w:r>
                  <w:r>
                    <w:rPr>
                      <w:rFonts w:hint="eastAsia" w:ascii="宋体" w:hAnsi="宋体" w:eastAsia="宋体" w:cs="宋体"/>
                      <w:b/>
                      <w:bCs/>
                      <w:color w:val="auto"/>
                      <w:sz w:val="21"/>
                      <w:szCs w:val="21"/>
                      <w:highlight w:val="none"/>
                    </w:rPr>
                    <w:t>有效的执业资格证书复印件。</w:t>
                  </w:r>
                </w:p>
                <w:p w14:paraId="397C2B26">
                  <w:pPr>
                    <w:spacing w:line="40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若项目实施期间出现服务人员工作时间冲突，供应商须</w:t>
                  </w:r>
                  <w:r>
                    <w:rPr>
                      <w:rFonts w:hint="eastAsia" w:ascii="宋体" w:hAnsi="宋体" w:eastAsia="宋体" w:cs="宋体"/>
                      <w:b/>
                      <w:bCs/>
                      <w:color w:val="auto"/>
                      <w:sz w:val="21"/>
                      <w:szCs w:val="21"/>
                      <w:highlight w:val="none"/>
                      <w:lang w:eastAsia="zh-CN"/>
                    </w:rPr>
                    <w:t>经采购人同意后</w:t>
                  </w:r>
                  <w:r>
                    <w:rPr>
                      <w:rFonts w:hint="eastAsia" w:ascii="宋体" w:hAnsi="宋体" w:eastAsia="宋体" w:cs="宋体"/>
                      <w:b/>
                      <w:bCs/>
                      <w:color w:val="auto"/>
                      <w:sz w:val="21"/>
                      <w:szCs w:val="21"/>
                      <w:highlight w:val="none"/>
                    </w:rPr>
                    <w:t>按原项目团队配置的要求增派人员，以保障项目的服务质量及进度要求。</w:t>
                  </w:r>
                </w:p>
              </w:tc>
            </w:tr>
            <w:tr w14:paraId="25289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4" w:type="pct"/>
                  <w:noWrap/>
                  <w:vAlign w:val="center"/>
                </w:tcPr>
                <w:p w14:paraId="6EE0031B">
                  <w:pPr>
                    <w:tabs>
                      <w:tab w:val="left" w:pos="180"/>
                      <w:tab w:val="left" w:pos="1620"/>
                    </w:tabs>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567" w:type="pct"/>
                  <w:noWrap/>
                  <w:vAlign w:val="center"/>
                </w:tcPr>
                <w:p w14:paraId="1F09968F">
                  <w:pPr>
                    <w:spacing w:line="440" w:lineRule="exact"/>
                    <w:jc w:val="center"/>
                    <w:rPr>
                      <w:rFonts w:ascii="宋体" w:hAnsi="宋体" w:cs="宋体"/>
                      <w:color w:val="auto"/>
                      <w:sz w:val="21"/>
                      <w:szCs w:val="21"/>
                      <w:highlight w:val="none"/>
                    </w:rPr>
                  </w:pPr>
                  <w:r>
                    <w:rPr>
                      <w:rFonts w:hint="eastAsia" w:ascii="宋体" w:hAnsi="宋体" w:cs="Calibri"/>
                      <w:color w:val="auto"/>
                      <w:sz w:val="21"/>
                      <w:szCs w:val="21"/>
                      <w:highlight w:val="none"/>
                    </w:rPr>
                    <w:t>保险资金奖补审核服务</w:t>
                  </w:r>
                </w:p>
              </w:tc>
              <w:tc>
                <w:tcPr>
                  <w:tcW w:w="4027" w:type="pct"/>
                  <w:noWrap/>
                  <w:vAlign w:val="top"/>
                </w:tcPr>
                <w:p w14:paraId="05339818">
                  <w:pPr>
                    <w:keepNext w:val="0"/>
                    <w:keepLines w:val="0"/>
                    <w:suppressLineNumbers w:val="0"/>
                    <w:shd w:val="clear" w:color="auto" w:fill="auto"/>
                    <w:spacing w:before="0" w:beforeAutospacing="0" w:after="0" w:afterAutospacing="0" w:line="400" w:lineRule="exact"/>
                    <w:ind w:left="0" w:righ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供应商至少指派2名以上（含）审计人员参与本项目，至少1名为注册会计师，</w:t>
                  </w:r>
                  <w:r>
                    <w:rPr>
                      <w:rFonts w:hint="eastAsia" w:ascii="宋体" w:hAnsi="宋体" w:cs="宋体"/>
                      <w:b/>
                      <w:bCs/>
                      <w:color w:val="auto"/>
                      <w:sz w:val="21"/>
                      <w:szCs w:val="21"/>
                      <w:highlight w:val="none"/>
                      <w:lang w:val="en-US" w:eastAsia="zh-CN"/>
                    </w:rPr>
                    <w:t>须具备</w:t>
                  </w:r>
                  <w:r>
                    <w:rPr>
                      <w:rFonts w:hint="eastAsia" w:ascii="宋体" w:hAnsi="宋体" w:eastAsia="宋体" w:cs="宋体"/>
                      <w:b/>
                      <w:bCs/>
                      <w:color w:val="auto"/>
                      <w:sz w:val="21"/>
                      <w:szCs w:val="21"/>
                      <w:highlight w:val="none"/>
                    </w:rPr>
                    <w:t>有效的《注册会计师执业证书》。其余审计人员持有初级及以上</w:t>
                  </w:r>
                  <w:r>
                    <w:rPr>
                      <w:rFonts w:hint="eastAsia" w:ascii="宋体" w:hAnsi="宋体" w:eastAsia="宋体" w:cs="宋体"/>
                      <w:b/>
                      <w:bCs/>
                      <w:color w:val="auto"/>
                      <w:sz w:val="21"/>
                      <w:szCs w:val="21"/>
                      <w:highlight w:val="none"/>
                      <w:lang w:eastAsia="zh-CN"/>
                    </w:rPr>
                    <w:t>《会计专业技术资格证书》</w:t>
                  </w:r>
                  <w:r>
                    <w:rPr>
                      <w:rFonts w:hint="eastAsia" w:ascii="宋体" w:hAnsi="宋体" w:eastAsia="宋体" w:cs="宋体"/>
                      <w:b/>
                      <w:bCs/>
                      <w:color w:val="auto"/>
                      <w:sz w:val="21"/>
                      <w:szCs w:val="21"/>
                      <w:highlight w:val="none"/>
                    </w:rPr>
                    <w:t>。响应文件</w:t>
                  </w:r>
                  <w:r>
                    <w:rPr>
                      <w:rFonts w:hint="eastAsia" w:ascii="宋体" w:hAnsi="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cs="Calibri"/>
                      <w:b/>
                      <w:bCs/>
                      <w:color w:val="auto"/>
                      <w:sz w:val="21"/>
                      <w:szCs w:val="21"/>
                      <w:highlight w:val="none"/>
                      <w:lang w:val="en-US" w:eastAsia="zh-CN"/>
                    </w:rPr>
                    <w:t>以上人员</w:t>
                  </w:r>
                  <w:r>
                    <w:rPr>
                      <w:rFonts w:hint="eastAsia" w:ascii="宋体" w:hAnsi="宋体" w:eastAsia="宋体" w:cs="宋体"/>
                      <w:b/>
                      <w:bCs/>
                      <w:color w:val="auto"/>
                      <w:sz w:val="21"/>
                      <w:szCs w:val="21"/>
                      <w:highlight w:val="none"/>
                      <w:lang w:val="en-US" w:eastAsia="zh-CN"/>
                    </w:rPr>
                    <w:t>有效的</w:t>
                  </w:r>
                  <w:r>
                    <w:rPr>
                      <w:rFonts w:hint="eastAsia" w:ascii="宋体" w:hAnsi="宋体" w:eastAsia="宋体" w:cs="宋体"/>
                      <w:b/>
                      <w:bCs/>
                      <w:color w:val="auto"/>
                      <w:sz w:val="21"/>
                      <w:szCs w:val="21"/>
                      <w:highlight w:val="none"/>
                    </w:rPr>
                    <w:t>执业资格证书复印件</w:t>
                  </w:r>
                  <w:r>
                    <w:rPr>
                      <w:rFonts w:hint="eastAsia" w:ascii="宋体" w:hAnsi="宋体" w:eastAsia="宋体" w:cs="宋体"/>
                      <w:b/>
                      <w:bCs/>
                      <w:color w:val="auto"/>
                      <w:sz w:val="21"/>
                      <w:szCs w:val="21"/>
                      <w:highlight w:val="none"/>
                      <w:lang w:eastAsia="zh-CN"/>
                    </w:rPr>
                    <w:t>。</w:t>
                  </w:r>
                </w:p>
                <w:p w14:paraId="0A936289">
                  <w:pPr>
                    <w:pStyle w:val="2"/>
                    <w:keepNext w:val="0"/>
                    <w:keepLines w:val="0"/>
                    <w:pageBreakBefore w:val="0"/>
                    <w:widowControl w:val="0"/>
                    <w:kinsoku/>
                    <w:wordWrap/>
                    <w:overflowPunct/>
                    <w:topLinePunct w:val="0"/>
                    <w:bidi w:val="0"/>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若项目实施期间出现服务人员工作时间冲突，供应商须</w:t>
                  </w:r>
                  <w:r>
                    <w:rPr>
                      <w:rFonts w:hint="eastAsia" w:ascii="宋体" w:hAnsi="宋体" w:eastAsia="宋体" w:cs="宋体"/>
                      <w:b/>
                      <w:bCs/>
                      <w:color w:val="auto"/>
                      <w:sz w:val="21"/>
                      <w:szCs w:val="21"/>
                      <w:highlight w:val="none"/>
                      <w:lang w:eastAsia="zh-CN"/>
                    </w:rPr>
                    <w:t>经采购人同意后</w:t>
                  </w:r>
                  <w:r>
                    <w:rPr>
                      <w:rFonts w:hint="eastAsia" w:ascii="宋体" w:hAnsi="宋体" w:eastAsia="宋体" w:cs="宋体"/>
                      <w:b/>
                      <w:bCs/>
                      <w:color w:val="auto"/>
                      <w:sz w:val="21"/>
                      <w:szCs w:val="21"/>
                      <w:highlight w:val="none"/>
                    </w:rPr>
                    <w:t>按原项目团队配置的要求增派人员，以保障项目的服务质量及进度要求。</w:t>
                  </w:r>
                </w:p>
              </w:tc>
            </w:tr>
            <w:tr w14:paraId="16187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000" w:type="pct"/>
                  <w:gridSpan w:val="3"/>
                  <w:noWrap/>
                  <w:vAlign w:val="center"/>
                </w:tcPr>
                <w:p w14:paraId="16E51100">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default"/>
                      <w:color w:val="auto"/>
                      <w:sz w:val="21"/>
                      <w:szCs w:val="21"/>
                      <w:highlight w:val="none"/>
                      <w:lang w:val="en-US" w:eastAsia="zh-CN"/>
                    </w:rPr>
                  </w:pPr>
                  <w:r>
                    <w:rPr>
                      <w:rFonts w:hint="eastAsia" w:hAnsi="宋体" w:cs="宋体"/>
                      <w:b/>
                      <w:bCs/>
                      <w:color w:val="auto"/>
                      <w:sz w:val="21"/>
                      <w:szCs w:val="21"/>
                      <w:highlight w:val="none"/>
                      <w:lang w:val="en-US" w:eastAsia="zh-CN"/>
                    </w:rPr>
                    <w:t>本分标至少投入不少于4组服务团队，其中标的第4、5项所投入人员可以为同一服务团队兼任；标的第1、2、3项所投入人员不能为同一服务团队兼任，也不能为标的第4、5项所投入服务团队兼任。</w:t>
                  </w:r>
                </w:p>
              </w:tc>
            </w:tr>
          </w:tbl>
          <w:p w14:paraId="13532968">
            <w:pPr>
              <w:spacing w:line="400" w:lineRule="exact"/>
              <w:rPr>
                <w:rFonts w:hint="eastAsia" w:ascii="宋体" w:hAnsi="宋体" w:cs="Calibri"/>
                <w:color w:val="auto"/>
                <w:szCs w:val="21"/>
                <w:highlight w:val="none"/>
              </w:rPr>
            </w:pPr>
          </w:p>
        </w:tc>
      </w:tr>
      <w:tr w14:paraId="10F18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85" w:type="pct"/>
            <w:gridSpan w:val="2"/>
            <w:noWrap/>
            <w:vAlign w:val="center"/>
          </w:tcPr>
          <w:p w14:paraId="11340B77">
            <w:pPr>
              <w:spacing w:line="400" w:lineRule="exact"/>
              <w:rPr>
                <w:rFonts w:ascii="宋体" w:hAnsi="宋体" w:cs="宋体"/>
                <w:color w:val="auto"/>
                <w:szCs w:val="21"/>
                <w:highlight w:val="none"/>
              </w:rPr>
            </w:pPr>
            <w:r>
              <w:rPr>
                <w:rFonts w:hint="eastAsia" w:ascii="宋体" w:hAnsi="宋体" w:cs="宋体"/>
                <w:color w:val="auto"/>
                <w:szCs w:val="21"/>
                <w:highlight w:val="none"/>
              </w:rPr>
              <w:t>合同签订时间</w:t>
            </w:r>
          </w:p>
        </w:tc>
        <w:tc>
          <w:tcPr>
            <w:tcW w:w="4314" w:type="pct"/>
            <w:gridSpan w:val="4"/>
            <w:noWrap/>
            <w:vAlign w:val="center"/>
          </w:tcPr>
          <w:p w14:paraId="3A835658">
            <w:pPr>
              <w:spacing w:line="400" w:lineRule="exact"/>
              <w:rPr>
                <w:rFonts w:ascii="宋体" w:hAnsi="宋体" w:cs="Calibri"/>
                <w:color w:val="auto"/>
                <w:szCs w:val="21"/>
                <w:highlight w:val="none"/>
              </w:rPr>
            </w:pPr>
            <w:r>
              <w:rPr>
                <w:rFonts w:hint="eastAsia" w:ascii="宋体" w:hAnsi="宋体" w:cs="宋体"/>
                <w:color w:val="auto"/>
                <w:szCs w:val="21"/>
                <w:highlight w:val="none"/>
              </w:rPr>
              <w:t xml:space="preserve">自成交通知书发出之日起 </w:t>
            </w:r>
            <w:r>
              <w:rPr>
                <w:rFonts w:hint="eastAsia" w:ascii="宋体" w:hAnsi="宋体" w:cs="宋体"/>
                <w:color w:val="auto"/>
                <w:szCs w:val="21"/>
                <w:highlight w:val="none"/>
                <w:u w:val="single"/>
              </w:rPr>
              <w:t>25</w:t>
            </w:r>
            <w:r>
              <w:rPr>
                <w:rFonts w:hint="eastAsia" w:ascii="宋体" w:hAnsi="宋体" w:cs="宋体"/>
                <w:color w:val="auto"/>
                <w:szCs w:val="21"/>
                <w:highlight w:val="none"/>
              </w:rPr>
              <w:t>日内</w:t>
            </w:r>
          </w:p>
        </w:tc>
      </w:tr>
      <w:tr w14:paraId="57FE0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85" w:type="pct"/>
            <w:gridSpan w:val="2"/>
            <w:noWrap/>
            <w:vAlign w:val="center"/>
          </w:tcPr>
          <w:p w14:paraId="1F177400">
            <w:pPr>
              <w:spacing w:line="400" w:lineRule="exact"/>
              <w:rPr>
                <w:rFonts w:ascii="宋体" w:hAnsi="宋体" w:cs="宋体"/>
                <w:color w:val="auto"/>
                <w:szCs w:val="21"/>
                <w:highlight w:val="none"/>
              </w:rPr>
            </w:pPr>
            <w:r>
              <w:rPr>
                <w:rFonts w:hint="eastAsia" w:ascii="宋体" w:hAnsi="宋体" w:cs="宋体"/>
                <w:color w:val="auto"/>
                <w:szCs w:val="21"/>
                <w:highlight w:val="none"/>
              </w:rPr>
              <w:t>付款条件（进度和方式）</w:t>
            </w:r>
          </w:p>
        </w:tc>
        <w:tc>
          <w:tcPr>
            <w:tcW w:w="4314" w:type="pct"/>
            <w:gridSpan w:val="4"/>
            <w:noWrap/>
            <w:vAlign w:val="center"/>
          </w:tcPr>
          <w:p w14:paraId="4E830A1A">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采购人于合同签署之日起十日内支付50%的合同款，后期其余款项于检查报告完成终稿并送交采购人审核并验收通过后十日内支付50%的合同款。供应商应在采购人</w:t>
            </w:r>
            <w:r>
              <w:rPr>
                <w:rFonts w:hint="eastAsia" w:ascii="宋体" w:hAnsi="宋体" w:cs="宋体"/>
                <w:color w:val="auto"/>
                <w:szCs w:val="21"/>
                <w:highlight w:val="none"/>
                <w:lang w:eastAsia="zh-CN"/>
              </w:rPr>
              <w:t>每次</w:t>
            </w:r>
            <w:r>
              <w:rPr>
                <w:rFonts w:hint="eastAsia" w:ascii="宋体" w:hAnsi="宋体" w:cs="宋体"/>
                <w:color w:val="auto"/>
                <w:szCs w:val="21"/>
                <w:highlight w:val="none"/>
              </w:rPr>
              <w:t>付款前开具相应金额、合法有效的发票，采购人凭供应商开具的全额发票支付款项。</w:t>
            </w:r>
          </w:p>
        </w:tc>
      </w:tr>
      <w:tr w14:paraId="4E73C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85" w:type="pct"/>
            <w:gridSpan w:val="2"/>
            <w:tcBorders>
              <w:top w:val="single" w:color="auto" w:sz="4" w:space="0"/>
              <w:left w:val="single" w:color="auto" w:sz="4" w:space="0"/>
              <w:bottom w:val="single" w:color="auto" w:sz="4" w:space="0"/>
              <w:right w:val="single" w:color="auto" w:sz="4" w:space="0"/>
            </w:tcBorders>
            <w:noWrap/>
            <w:vAlign w:val="center"/>
          </w:tcPr>
          <w:p w14:paraId="4A53D2C4">
            <w:pPr>
              <w:snapToGrid w:val="0"/>
              <w:spacing w:line="400" w:lineRule="exact"/>
              <w:jc w:val="center"/>
              <w:rPr>
                <w:rFonts w:ascii="宋体" w:hAnsi="宋体" w:cs="Calibri"/>
                <w:color w:val="auto"/>
                <w:szCs w:val="21"/>
                <w:highlight w:val="none"/>
              </w:rPr>
            </w:pPr>
            <w:r>
              <w:rPr>
                <w:rFonts w:hint="eastAsia" w:ascii="宋体" w:hAnsi="宋体" w:cs="Calibri"/>
                <w:color w:val="auto"/>
                <w:szCs w:val="21"/>
                <w:highlight w:val="none"/>
              </w:rPr>
              <w:t>服务要求</w:t>
            </w:r>
          </w:p>
        </w:tc>
        <w:tc>
          <w:tcPr>
            <w:tcW w:w="4314" w:type="pct"/>
            <w:gridSpan w:val="4"/>
            <w:tcBorders>
              <w:top w:val="single" w:color="auto" w:sz="4" w:space="0"/>
              <w:left w:val="single" w:color="auto" w:sz="4" w:space="0"/>
              <w:bottom w:val="single" w:color="auto" w:sz="4" w:space="0"/>
              <w:right w:val="single" w:color="auto" w:sz="4" w:space="0"/>
            </w:tcBorders>
            <w:noWrap/>
            <w:vAlign w:val="center"/>
          </w:tcPr>
          <w:p w14:paraId="604903EB">
            <w:pPr>
              <w:spacing w:line="400" w:lineRule="exact"/>
              <w:rPr>
                <w:rFonts w:ascii="宋体" w:hAnsi="宋体" w:cs="宋体"/>
                <w:color w:val="auto"/>
                <w:szCs w:val="21"/>
                <w:highlight w:val="none"/>
              </w:rPr>
            </w:pPr>
            <w:r>
              <w:rPr>
                <w:rFonts w:hint="eastAsia" w:ascii="宋体" w:hAnsi="宋体" w:cs="宋体"/>
                <w:color w:val="auto"/>
                <w:szCs w:val="21"/>
                <w:highlight w:val="none"/>
              </w:rPr>
              <w:t>1.时效性：检查、审核工作及时到位；</w:t>
            </w:r>
          </w:p>
          <w:p w14:paraId="2E198A78">
            <w:pPr>
              <w:spacing w:line="400" w:lineRule="exact"/>
              <w:rPr>
                <w:rFonts w:ascii="宋体" w:hAnsi="宋体" w:cs="宋体"/>
                <w:color w:val="auto"/>
                <w:szCs w:val="21"/>
                <w:highlight w:val="none"/>
              </w:rPr>
            </w:pPr>
            <w:r>
              <w:rPr>
                <w:rFonts w:hint="eastAsia" w:ascii="宋体" w:hAnsi="宋体" w:cs="宋体"/>
                <w:color w:val="auto"/>
                <w:szCs w:val="21"/>
                <w:highlight w:val="none"/>
              </w:rPr>
              <w:t>2.可调和性：遇到特殊情况，能积极配合调整，在规定时间前完成；</w:t>
            </w:r>
          </w:p>
          <w:p w14:paraId="50DFEC10">
            <w:pPr>
              <w:spacing w:line="400" w:lineRule="exact"/>
              <w:rPr>
                <w:rFonts w:ascii="宋体" w:hAnsi="宋体" w:cs="Calibri"/>
                <w:color w:val="auto"/>
                <w:szCs w:val="21"/>
                <w:highlight w:val="none"/>
              </w:rPr>
            </w:pPr>
            <w:r>
              <w:rPr>
                <w:rFonts w:hint="eastAsia" w:ascii="宋体" w:hAnsi="宋体" w:cs="Calibri"/>
                <w:color w:val="auto"/>
                <w:szCs w:val="21"/>
                <w:highlight w:val="none"/>
              </w:rPr>
              <w:t>3.供应商应为本项目委派一名项目负责人负责项目全权管理工作，包括但不限于人员调配、沟通、协调等工作。供应商须为本项目服务实施投入充足的服务人员，并确保响应文件中的人员信息真实、有效。供应商的审计人员进场前须出具相关资质证书等证明材料。</w:t>
            </w:r>
          </w:p>
          <w:p w14:paraId="5E0A9FEF">
            <w:pPr>
              <w:spacing w:line="400" w:lineRule="exact"/>
              <w:rPr>
                <w:rFonts w:ascii="宋体" w:hAnsi="宋体" w:cs="Calibri"/>
                <w:color w:val="auto"/>
                <w:szCs w:val="21"/>
                <w:highlight w:val="none"/>
              </w:rPr>
            </w:pPr>
            <w:r>
              <w:rPr>
                <w:rFonts w:hint="eastAsia" w:ascii="宋体" w:hAnsi="宋体" w:cs="Calibri"/>
                <w:color w:val="auto"/>
                <w:szCs w:val="21"/>
                <w:highlight w:val="none"/>
              </w:rPr>
              <w:t>4、提供7×24小时热线电话支持服务，及时快捷地解决采购人在使用产品或服务时所遇到的各种问题。采购人可以根据实际需求，通过热线电话、邮件发送、客服QQ等咨询方式来获取相应的服务。对采购人提出的问题，在4小时内作出实质响应，并提供初步解决方案。若问题电话无法解决的，48小时内派技术人员到达指定现场，针对故障问题4小时内给予问题的解答，并制定解决方案。所有问题在48小时内解决问题</w:t>
            </w:r>
          </w:p>
        </w:tc>
      </w:tr>
      <w:tr w14:paraId="6DE13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85" w:type="pct"/>
            <w:gridSpan w:val="2"/>
            <w:tcBorders>
              <w:top w:val="single" w:color="auto" w:sz="4" w:space="0"/>
              <w:left w:val="single" w:color="auto" w:sz="4" w:space="0"/>
              <w:bottom w:val="single" w:color="auto" w:sz="4" w:space="0"/>
              <w:right w:val="single" w:color="auto" w:sz="4" w:space="0"/>
            </w:tcBorders>
            <w:noWrap/>
            <w:vAlign w:val="center"/>
          </w:tcPr>
          <w:p w14:paraId="4EE854B1">
            <w:pPr>
              <w:spacing w:line="400" w:lineRule="exact"/>
              <w:rPr>
                <w:rFonts w:ascii="宋体" w:hAnsi="宋体" w:cs="Calibri"/>
                <w:color w:val="auto"/>
                <w:szCs w:val="21"/>
                <w:highlight w:val="none"/>
              </w:rPr>
            </w:pPr>
            <w:r>
              <w:rPr>
                <w:rFonts w:hint="eastAsia" w:ascii="宋体" w:hAnsi="宋体" w:cs="Calibri"/>
                <w:color w:val="auto"/>
                <w:szCs w:val="21"/>
                <w:highlight w:val="none"/>
              </w:rPr>
              <w:t>报价要求</w:t>
            </w:r>
          </w:p>
        </w:tc>
        <w:tc>
          <w:tcPr>
            <w:tcW w:w="4314" w:type="pct"/>
            <w:gridSpan w:val="4"/>
            <w:tcBorders>
              <w:top w:val="single" w:color="auto" w:sz="4" w:space="0"/>
              <w:left w:val="single" w:color="auto" w:sz="4" w:space="0"/>
              <w:bottom w:val="single" w:color="auto" w:sz="4" w:space="0"/>
              <w:right w:val="single" w:color="auto" w:sz="4" w:space="0"/>
            </w:tcBorders>
            <w:noWrap/>
            <w:vAlign w:val="center"/>
          </w:tcPr>
          <w:p w14:paraId="4C23CB1E">
            <w:pPr>
              <w:spacing w:line="400" w:lineRule="exact"/>
              <w:ind w:firstLine="33" w:firstLineChars="16"/>
              <w:jc w:val="left"/>
              <w:rPr>
                <w:rFonts w:ascii="宋体" w:hAnsi="宋体" w:cs="Calibri"/>
                <w:color w:val="auto"/>
                <w:szCs w:val="21"/>
                <w:highlight w:val="none"/>
              </w:rPr>
            </w:pPr>
            <w:r>
              <w:rPr>
                <w:rFonts w:hint="eastAsia" w:ascii="宋体" w:hAnsi="宋体" w:cs="Calibri"/>
                <w:color w:val="auto"/>
                <w:szCs w:val="21"/>
                <w:highlight w:val="none"/>
              </w:rPr>
              <w:t>1、磋商报价必须含以下部分，包括：</w:t>
            </w:r>
          </w:p>
          <w:p w14:paraId="669380BE">
            <w:pPr>
              <w:spacing w:line="400" w:lineRule="exact"/>
              <w:ind w:firstLine="33" w:firstLineChars="16"/>
              <w:jc w:val="left"/>
              <w:rPr>
                <w:rFonts w:ascii="宋体" w:hAnsi="宋体" w:cs="Calibri"/>
                <w:color w:val="auto"/>
                <w:szCs w:val="21"/>
                <w:highlight w:val="none"/>
              </w:rPr>
            </w:pPr>
            <w:r>
              <w:rPr>
                <w:rFonts w:hint="eastAsia" w:ascii="宋体" w:hAnsi="宋体" w:cs="Calibri"/>
                <w:color w:val="auto"/>
                <w:szCs w:val="21"/>
                <w:highlight w:val="none"/>
              </w:rPr>
              <w:t>（1）服务的价格；</w:t>
            </w:r>
          </w:p>
          <w:p w14:paraId="525F955D">
            <w:pPr>
              <w:spacing w:line="400" w:lineRule="exact"/>
              <w:ind w:firstLine="33" w:firstLineChars="16"/>
              <w:jc w:val="left"/>
              <w:rPr>
                <w:rFonts w:ascii="宋体" w:hAnsi="宋体" w:cs="Calibri"/>
                <w:color w:val="auto"/>
                <w:szCs w:val="21"/>
                <w:highlight w:val="none"/>
              </w:rPr>
            </w:pPr>
            <w:r>
              <w:rPr>
                <w:rFonts w:hint="eastAsia" w:ascii="宋体" w:hAnsi="宋体" w:cs="Calibri"/>
                <w:color w:val="auto"/>
                <w:szCs w:val="21"/>
                <w:highlight w:val="none"/>
              </w:rPr>
              <w:t>（2）资料收集费、调研考察费、工作经费等必要的保险费用和各项税金；</w:t>
            </w:r>
          </w:p>
          <w:p w14:paraId="2E515571">
            <w:pPr>
              <w:spacing w:line="400" w:lineRule="exact"/>
              <w:ind w:firstLine="33" w:firstLineChars="16"/>
              <w:jc w:val="left"/>
              <w:rPr>
                <w:rFonts w:ascii="宋体" w:hAnsi="宋体" w:cs="Calibri"/>
                <w:color w:val="auto"/>
                <w:szCs w:val="21"/>
                <w:highlight w:val="none"/>
              </w:rPr>
            </w:pPr>
            <w:r>
              <w:rPr>
                <w:rFonts w:hint="eastAsia" w:ascii="宋体" w:hAnsi="宋体" w:cs="Calibri"/>
                <w:color w:val="auto"/>
                <w:szCs w:val="21"/>
                <w:highlight w:val="none"/>
              </w:rPr>
              <w:t>（3）其他培训、技术支持等费用；</w:t>
            </w:r>
          </w:p>
          <w:p w14:paraId="33F9D5D6">
            <w:pPr>
              <w:spacing w:line="400" w:lineRule="exact"/>
              <w:ind w:firstLine="33" w:firstLineChars="16"/>
              <w:jc w:val="left"/>
              <w:rPr>
                <w:rFonts w:ascii="宋体" w:hAnsi="宋体" w:cs="Calibri"/>
                <w:color w:val="auto"/>
                <w:szCs w:val="21"/>
                <w:highlight w:val="none"/>
              </w:rPr>
            </w:pPr>
            <w:r>
              <w:rPr>
                <w:rFonts w:hint="eastAsia" w:ascii="宋体" w:hAnsi="宋体" w:cs="Calibri"/>
                <w:color w:val="auto"/>
                <w:szCs w:val="21"/>
                <w:highlight w:val="none"/>
              </w:rPr>
              <w:t>2、供应商在实施项目过程中的交通费、差旅费、住宿费、伙食费及其他完成本次检查工作所产生的费用自理，所有费用均应包含在报价中，不再另做结算。</w:t>
            </w:r>
          </w:p>
          <w:p w14:paraId="6BDF18E5">
            <w:pPr>
              <w:spacing w:line="400" w:lineRule="exact"/>
              <w:ind w:firstLine="33" w:firstLineChars="16"/>
              <w:jc w:val="left"/>
              <w:rPr>
                <w:color w:val="auto"/>
                <w:highlight w:val="none"/>
              </w:rPr>
            </w:pPr>
            <w:r>
              <w:rPr>
                <w:rFonts w:hint="eastAsia" w:ascii="宋体" w:hAnsi="宋体" w:cs="Calibri"/>
                <w:color w:val="auto"/>
                <w:szCs w:val="21"/>
                <w:highlight w:val="none"/>
              </w:rPr>
              <w:t>3、采购人根据国家政策调整或市场情况，在成交总金额不变的情况下，要求修改方案的，供应商须按采购人的要求进行调整，采购人审核通过方案后，供应商才能实施，否则引起的经济损失等后果由供应商承担；实施过程中属于供应商原因造成的错漏等失误，由供应商负责改正，相关费用包含在合同总价中。供应商在竞标时须充分考虑该成本。</w:t>
            </w:r>
          </w:p>
        </w:tc>
      </w:tr>
      <w:tr w14:paraId="1FDE8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85" w:type="pct"/>
            <w:gridSpan w:val="2"/>
            <w:tcBorders>
              <w:top w:val="single" w:color="auto" w:sz="4" w:space="0"/>
              <w:left w:val="single" w:color="auto" w:sz="4" w:space="0"/>
              <w:bottom w:val="single" w:color="auto" w:sz="4" w:space="0"/>
              <w:right w:val="single" w:color="auto" w:sz="4" w:space="0"/>
            </w:tcBorders>
            <w:noWrap/>
            <w:vAlign w:val="center"/>
          </w:tcPr>
          <w:p w14:paraId="694A3FAA">
            <w:pPr>
              <w:spacing w:line="400" w:lineRule="exact"/>
              <w:jc w:val="center"/>
              <w:rPr>
                <w:rFonts w:ascii="宋体" w:hAnsi="宋体" w:cs="Arial"/>
                <w:color w:val="auto"/>
                <w:szCs w:val="21"/>
                <w:highlight w:val="none"/>
              </w:rPr>
            </w:pPr>
            <w:r>
              <w:rPr>
                <w:rFonts w:hint="eastAsia" w:ascii="宋体" w:hAnsi="宋体" w:cs="Calibri"/>
                <w:color w:val="auto"/>
                <w:szCs w:val="21"/>
                <w:highlight w:val="none"/>
              </w:rPr>
              <w:t>采购标的验收（考核）标准</w:t>
            </w:r>
          </w:p>
        </w:tc>
        <w:tc>
          <w:tcPr>
            <w:tcW w:w="4314" w:type="pct"/>
            <w:gridSpan w:val="4"/>
            <w:tcBorders>
              <w:top w:val="single" w:color="auto" w:sz="4" w:space="0"/>
              <w:left w:val="single" w:color="auto" w:sz="4" w:space="0"/>
              <w:bottom w:val="single" w:color="auto" w:sz="4" w:space="0"/>
              <w:right w:val="single" w:color="auto" w:sz="4" w:space="0"/>
            </w:tcBorders>
            <w:noWrap/>
            <w:vAlign w:val="top"/>
          </w:tcPr>
          <w:p w14:paraId="26D92E87">
            <w:pPr>
              <w:tabs>
                <w:tab w:val="left" w:pos="425"/>
              </w:tabs>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1、合同履行过程中，采购人按照本项目合同及磋商文件、成交供应商响应文件承诺进行验收（或委托具有相应资质的第三方机构进行验收，费用由成交供应商承担，竞标报价时应考虑报价风险），如服务验收不合格，由成交供应商按采购人（或第三方验收机构）要求整改，成交供应商不按要求整改或拒不整改的，采购人有权终止合同，给采购单位造成的损失等费用由成交供应商承担。如不符合采购文件项目需要及技术需求以及提供虚假承诺的，按相关规定做违约处理，采购人依据相关法律规定追究成交供应商的责任，由此带来的一切损失由成交供应商自行承担。</w:t>
            </w:r>
          </w:p>
          <w:p w14:paraId="58448E34">
            <w:pPr>
              <w:tabs>
                <w:tab w:val="left" w:pos="425"/>
              </w:tabs>
              <w:spacing w:line="400" w:lineRule="exact"/>
              <w:ind w:firstLine="420" w:firstLineChars="200"/>
              <w:rPr>
                <w:rFonts w:hint="eastAsia" w:ascii="宋体" w:hAnsi="宋体" w:cs="宋体"/>
                <w:color w:val="auto"/>
                <w:szCs w:val="21"/>
                <w:highlight w:val="none"/>
              </w:rPr>
            </w:pPr>
            <w:r>
              <w:rPr>
                <w:rFonts w:hint="eastAsia" w:ascii="宋体" w:hAnsi="宋体" w:cs="Calibri"/>
                <w:color w:val="auto"/>
                <w:szCs w:val="21"/>
                <w:highlight w:val="none"/>
              </w:rPr>
              <w:t>2、验收所需工具、器材由成交供应商自理；各项性能指标达到技术要求的，由供需双方共同签字认可，现场验收。</w:t>
            </w:r>
          </w:p>
          <w:p w14:paraId="12D0E5ED">
            <w:pPr>
              <w:tabs>
                <w:tab w:val="left" w:pos="425"/>
              </w:tabs>
              <w:spacing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3.相关处罚细则</w:t>
            </w:r>
          </w:p>
          <w:tbl>
            <w:tblPr>
              <w:tblStyle w:val="2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9"/>
              <w:gridCol w:w="1017"/>
              <w:gridCol w:w="5625"/>
            </w:tblGrid>
            <w:tr w14:paraId="58782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42" w:type="pct"/>
                  <w:noWrap/>
                  <w:vAlign w:val="center"/>
                </w:tcPr>
                <w:p w14:paraId="65E3F723">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713" w:type="pct"/>
                  <w:noWrap/>
                  <w:vAlign w:val="center"/>
                </w:tcPr>
                <w:p w14:paraId="79472528">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3944" w:type="pct"/>
                  <w:noWrap/>
                  <w:vAlign w:val="center"/>
                </w:tcPr>
                <w:p w14:paraId="4432010C">
                  <w:pPr>
                    <w:tabs>
                      <w:tab w:val="left" w:pos="180"/>
                      <w:tab w:val="left" w:pos="1620"/>
                    </w:tabs>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未履约处罚措施细则</w:t>
                  </w:r>
                </w:p>
              </w:tc>
            </w:tr>
            <w:tr w14:paraId="5F250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42" w:type="pct"/>
                  <w:noWrap/>
                  <w:vAlign w:val="center"/>
                </w:tcPr>
                <w:p w14:paraId="4A1F8385">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713" w:type="pct"/>
                  <w:noWrap/>
                  <w:vAlign w:val="center"/>
                </w:tcPr>
                <w:p w14:paraId="6B8BEA9B">
                  <w:pPr>
                    <w:spacing w:line="440" w:lineRule="exact"/>
                    <w:jc w:val="center"/>
                    <w:rPr>
                      <w:rFonts w:hint="eastAsia" w:ascii="宋体" w:hAnsi="宋体" w:eastAsia="宋体" w:cs="宋体"/>
                      <w:color w:val="auto"/>
                      <w:szCs w:val="21"/>
                      <w:highlight w:val="none"/>
                      <w:lang w:eastAsia="zh-CN"/>
                    </w:rPr>
                  </w:pPr>
                  <w:r>
                    <w:rPr>
                      <w:rFonts w:hint="eastAsia" w:ascii="宋体" w:hAnsi="宋体" w:cs="Calibri"/>
                      <w:color w:val="auto"/>
                      <w:szCs w:val="21"/>
                      <w:highlight w:val="none"/>
                    </w:rPr>
                    <w:t>融资担保公司现场检查与监管评级</w:t>
                  </w:r>
                </w:p>
              </w:tc>
              <w:tc>
                <w:tcPr>
                  <w:tcW w:w="3944" w:type="pct"/>
                  <w:noWrap/>
                  <w:vAlign w:val="center"/>
                </w:tcPr>
                <w:p w14:paraId="48C0345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供应商未按时提交的，</w:t>
                  </w:r>
                  <w:r>
                    <w:rPr>
                      <w:rFonts w:hint="eastAsia" w:ascii="宋体" w:hAnsi="宋体" w:cs="宋体"/>
                      <w:color w:val="auto"/>
                      <w:szCs w:val="21"/>
                      <w:highlight w:val="none"/>
                      <w:lang w:eastAsia="zh-CN"/>
                    </w:rPr>
                    <w:t>每</w:t>
                  </w:r>
                  <w:r>
                    <w:rPr>
                      <w:rFonts w:hint="eastAsia" w:ascii="宋体" w:hAnsi="宋体" w:cs="宋体"/>
                      <w:color w:val="auto"/>
                      <w:szCs w:val="21"/>
                      <w:highlight w:val="none"/>
                    </w:rPr>
                    <w:t>报告扣款200元；</w:t>
                  </w:r>
                  <w:r>
                    <w:rPr>
                      <w:rFonts w:hint="eastAsia" w:ascii="宋体" w:hAnsi="宋体" w:cs="宋体"/>
                      <w:color w:val="auto"/>
                      <w:szCs w:val="21"/>
                      <w:highlight w:val="none"/>
                      <w:lang w:eastAsia="zh-CN"/>
                    </w:rPr>
                    <w:t>每份</w:t>
                  </w:r>
                  <w:r>
                    <w:rPr>
                      <w:rFonts w:hint="eastAsia" w:ascii="宋体" w:hAnsi="宋体" w:cs="宋体"/>
                      <w:color w:val="auto"/>
                      <w:szCs w:val="21"/>
                      <w:highlight w:val="none"/>
                    </w:rPr>
                    <w:t>报告出现5</w:t>
                  </w:r>
                  <w:r>
                    <w:rPr>
                      <w:rFonts w:hint="eastAsia" w:ascii="宋体" w:hAnsi="宋体" w:cs="宋体"/>
                      <w:color w:val="auto"/>
                      <w:szCs w:val="21"/>
                      <w:highlight w:val="none"/>
                      <w:lang w:eastAsia="zh-CN"/>
                    </w:rPr>
                    <w:t>（含）</w:t>
                  </w:r>
                  <w:r>
                    <w:rPr>
                      <w:rFonts w:hint="eastAsia" w:ascii="宋体" w:hAnsi="宋体" w:cs="宋体"/>
                      <w:color w:val="auto"/>
                      <w:szCs w:val="21"/>
                      <w:highlight w:val="none"/>
                    </w:rPr>
                    <w:t>处及以上数据或文字表述错误，</w:t>
                  </w:r>
                  <w:r>
                    <w:rPr>
                      <w:rFonts w:hint="eastAsia" w:ascii="宋体" w:hAnsi="宋体" w:cs="宋体"/>
                      <w:color w:val="auto"/>
                      <w:szCs w:val="21"/>
                      <w:highlight w:val="none"/>
                      <w:lang w:eastAsia="zh-CN"/>
                    </w:rPr>
                    <w:t>每份</w:t>
                  </w:r>
                  <w:r>
                    <w:rPr>
                      <w:rFonts w:hint="eastAsia" w:ascii="宋体" w:hAnsi="宋体" w:cs="宋体"/>
                      <w:color w:val="auto"/>
                      <w:szCs w:val="21"/>
                      <w:highlight w:val="none"/>
                    </w:rPr>
                    <w:t>报告扣款300元；行业汇总报告出现20</w:t>
                  </w:r>
                  <w:r>
                    <w:rPr>
                      <w:rFonts w:hint="eastAsia" w:ascii="宋体" w:hAnsi="宋体" w:cs="宋体"/>
                      <w:color w:val="auto"/>
                      <w:szCs w:val="21"/>
                      <w:highlight w:val="none"/>
                      <w:lang w:eastAsia="zh-CN"/>
                    </w:rPr>
                    <w:t>（含）</w:t>
                  </w:r>
                  <w:r>
                    <w:rPr>
                      <w:rFonts w:hint="eastAsia" w:ascii="宋体" w:hAnsi="宋体" w:cs="宋体"/>
                      <w:color w:val="auto"/>
                      <w:szCs w:val="21"/>
                      <w:highlight w:val="none"/>
                    </w:rPr>
                    <w:t>处及以上数据或文字表述错误，</w:t>
                  </w:r>
                  <w:r>
                    <w:rPr>
                      <w:rFonts w:hint="eastAsia" w:ascii="宋体" w:hAnsi="宋体" w:cs="宋体"/>
                      <w:color w:val="auto"/>
                      <w:szCs w:val="21"/>
                      <w:highlight w:val="none"/>
                      <w:lang w:eastAsia="zh-CN"/>
                    </w:rPr>
                    <w:t>每份</w:t>
                  </w:r>
                  <w:r>
                    <w:rPr>
                      <w:rFonts w:hint="eastAsia" w:ascii="宋体" w:hAnsi="宋体" w:cs="宋体"/>
                      <w:color w:val="auto"/>
                      <w:szCs w:val="21"/>
                      <w:highlight w:val="none"/>
                    </w:rPr>
                    <w:t>汇总报告扣款1000元；</w:t>
                  </w:r>
                  <w:r>
                    <w:rPr>
                      <w:rFonts w:hint="eastAsia" w:ascii="宋体" w:hAnsi="宋体" w:cs="宋体"/>
                      <w:color w:val="auto"/>
                      <w:szCs w:val="21"/>
                      <w:highlight w:val="none"/>
                      <w:lang w:eastAsia="zh-CN"/>
                    </w:rPr>
                    <w:t>每份报告修改3次仍有错误的</w:t>
                  </w:r>
                  <w:r>
                    <w:rPr>
                      <w:rFonts w:hint="eastAsia" w:ascii="宋体" w:hAnsi="宋体" w:cs="宋体"/>
                      <w:color w:val="auto"/>
                      <w:szCs w:val="21"/>
                      <w:highlight w:val="none"/>
                    </w:rPr>
                    <w:t>，</w:t>
                  </w:r>
                  <w:r>
                    <w:rPr>
                      <w:rFonts w:hint="eastAsia" w:ascii="宋体" w:hAnsi="宋体" w:cs="宋体"/>
                      <w:color w:val="auto"/>
                      <w:szCs w:val="21"/>
                      <w:highlight w:val="none"/>
                      <w:lang w:eastAsia="zh-CN"/>
                    </w:rPr>
                    <w:t>每份</w:t>
                  </w:r>
                  <w:r>
                    <w:rPr>
                      <w:rFonts w:hint="eastAsia" w:ascii="宋体" w:hAnsi="宋体" w:cs="宋体"/>
                      <w:color w:val="auto"/>
                      <w:szCs w:val="21"/>
                      <w:highlight w:val="none"/>
                    </w:rPr>
                    <w:t>报告扣款2000元</w:t>
                  </w:r>
                  <w:r>
                    <w:rPr>
                      <w:rFonts w:hint="eastAsia" w:ascii="宋体" w:hAnsi="宋体" w:cs="宋体"/>
                      <w:color w:val="auto"/>
                      <w:szCs w:val="21"/>
                      <w:highlight w:val="none"/>
                      <w:lang w:eastAsia="zh-CN"/>
                    </w:rPr>
                    <w:t>、</w:t>
                  </w:r>
                  <w:r>
                    <w:rPr>
                      <w:rFonts w:hint="eastAsia" w:ascii="宋体" w:hAnsi="宋体" w:cs="宋体"/>
                      <w:color w:val="auto"/>
                      <w:szCs w:val="21"/>
                      <w:highlight w:val="none"/>
                    </w:rPr>
                    <w:t>行业汇总报告扣款3000元。</w:t>
                  </w:r>
                </w:p>
              </w:tc>
            </w:tr>
            <w:tr w14:paraId="6FA3F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42" w:type="pct"/>
                  <w:noWrap/>
                  <w:vAlign w:val="center"/>
                </w:tcPr>
                <w:p w14:paraId="311AED58">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713" w:type="pct"/>
                  <w:noWrap/>
                  <w:vAlign w:val="center"/>
                </w:tcPr>
                <w:p w14:paraId="480E9D6D">
                  <w:pPr>
                    <w:spacing w:line="440" w:lineRule="exact"/>
                    <w:jc w:val="center"/>
                    <w:rPr>
                      <w:rFonts w:ascii="宋体" w:hAnsi="宋体" w:cs="宋体"/>
                      <w:color w:val="auto"/>
                      <w:szCs w:val="21"/>
                      <w:highlight w:val="none"/>
                    </w:rPr>
                  </w:pPr>
                  <w:r>
                    <w:rPr>
                      <w:rFonts w:hint="eastAsia" w:ascii="宋体" w:hAnsi="宋体" w:cs="Calibri"/>
                      <w:color w:val="auto"/>
                      <w:szCs w:val="21"/>
                      <w:highlight w:val="none"/>
                    </w:rPr>
                    <w:t>融资租赁公司现场检查与监管评级</w:t>
                  </w:r>
                </w:p>
              </w:tc>
              <w:tc>
                <w:tcPr>
                  <w:tcW w:w="3944" w:type="pct"/>
                  <w:noWrap/>
                  <w:vAlign w:val="center"/>
                </w:tcPr>
                <w:p w14:paraId="0598F83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供应商未按时提交的，</w:t>
                  </w:r>
                  <w:r>
                    <w:rPr>
                      <w:rFonts w:hint="eastAsia" w:ascii="宋体" w:hAnsi="宋体" w:cs="宋体"/>
                      <w:color w:val="auto"/>
                      <w:szCs w:val="21"/>
                      <w:highlight w:val="none"/>
                      <w:lang w:eastAsia="zh-CN"/>
                    </w:rPr>
                    <w:t>每</w:t>
                  </w:r>
                  <w:r>
                    <w:rPr>
                      <w:rFonts w:hint="eastAsia" w:ascii="宋体" w:hAnsi="宋体" w:cs="宋体"/>
                      <w:color w:val="auto"/>
                      <w:szCs w:val="21"/>
                      <w:highlight w:val="none"/>
                    </w:rPr>
                    <w:t>报告扣款200元；</w:t>
                  </w:r>
                  <w:r>
                    <w:rPr>
                      <w:rFonts w:hint="eastAsia" w:ascii="宋体" w:hAnsi="宋体" w:cs="宋体"/>
                      <w:color w:val="auto"/>
                      <w:szCs w:val="21"/>
                      <w:highlight w:val="none"/>
                      <w:lang w:eastAsia="zh-CN"/>
                    </w:rPr>
                    <w:t>每份</w:t>
                  </w:r>
                  <w:r>
                    <w:rPr>
                      <w:rFonts w:hint="eastAsia" w:ascii="宋体" w:hAnsi="宋体" w:cs="宋体"/>
                      <w:color w:val="auto"/>
                      <w:szCs w:val="21"/>
                      <w:highlight w:val="none"/>
                    </w:rPr>
                    <w:t>报告出现5</w:t>
                  </w:r>
                  <w:r>
                    <w:rPr>
                      <w:rFonts w:hint="eastAsia" w:ascii="宋体" w:hAnsi="宋体" w:cs="宋体"/>
                      <w:color w:val="auto"/>
                      <w:szCs w:val="21"/>
                      <w:highlight w:val="none"/>
                      <w:lang w:eastAsia="zh-CN"/>
                    </w:rPr>
                    <w:t>（含）</w:t>
                  </w:r>
                  <w:r>
                    <w:rPr>
                      <w:rFonts w:hint="eastAsia" w:ascii="宋体" w:hAnsi="宋体" w:cs="宋体"/>
                      <w:color w:val="auto"/>
                      <w:szCs w:val="21"/>
                      <w:highlight w:val="none"/>
                    </w:rPr>
                    <w:t>处及以上数据或文字表述错误，</w:t>
                  </w:r>
                  <w:r>
                    <w:rPr>
                      <w:rFonts w:hint="eastAsia" w:ascii="宋体" w:hAnsi="宋体" w:cs="宋体"/>
                      <w:color w:val="auto"/>
                      <w:szCs w:val="21"/>
                      <w:highlight w:val="none"/>
                      <w:lang w:eastAsia="zh-CN"/>
                    </w:rPr>
                    <w:t>每份</w:t>
                  </w:r>
                  <w:r>
                    <w:rPr>
                      <w:rFonts w:hint="eastAsia" w:ascii="宋体" w:hAnsi="宋体" w:cs="宋体"/>
                      <w:color w:val="auto"/>
                      <w:szCs w:val="21"/>
                      <w:highlight w:val="none"/>
                    </w:rPr>
                    <w:t>报告扣款300元；行业汇总报告出现20</w:t>
                  </w:r>
                  <w:r>
                    <w:rPr>
                      <w:rFonts w:hint="eastAsia" w:ascii="宋体" w:hAnsi="宋体" w:cs="宋体"/>
                      <w:color w:val="auto"/>
                      <w:szCs w:val="21"/>
                      <w:highlight w:val="none"/>
                      <w:lang w:eastAsia="zh-CN"/>
                    </w:rPr>
                    <w:t>（含）</w:t>
                  </w:r>
                  <w:r>
                    <w:rPr>
                      <w:rFonts w:hint="eastAsia" w:ascii="宋体" w:hAnsi="宋体" w:cs="宋体"/>
                      <w:color w:val="auto"/>
                      <w:szCs w:val="21"/>
                      <w:highlight w:val="none"/>
                    </w:rPr>
                    <w:t>处及以上数据或文字表述错误，</w:t>
                  </w:r>
                  <w:r>
                    <w:rPr>
                      <w:rFonts w:hint="eastAsia" w:ascii="宋体" w:hAnsi="宋体" w:cs="宋体"/>
                      <w:color w:val="auto"/>
                      <w:szCs w:val="21"/>
                      <w:highlight w:val="none"/>
                      <w:lang w:eastAsia="zh-CN"/>
                    </w:rPr>
                    <w:t>每份</w:t>
                  </w:r>
                  <w:r>
                    <w:rPr>
                      <w:rFonts w:hint="eastAsia" w:ascii="宋体" w:hAnsi="宋体" w:cs="宋体"/>
                      <w:color w:val="auto"/>
                      <w:szCs w:val="21"/>
                      <w:highlight w:val="none"/>
                    </w:rPr>
                    <w:t>汇总报告扣款1000元；</w:t>
                  </w:r>
                  <w:r>
                    <w:rPr>
                      <w:rFonts w:hint="eastAsia" w:ascii="宋体" w:hAnsi="宋体" w:cs="宋体"/>
                      <w:color w:val="auto"/>
                      <w:szCs w:val="21"/>
                      <w:highlight w:val="none"/>
                      <w:lang w:eastAsia="zh-CN"/>
                    </w:rPr>
                    <w:t>每份报告修改3次仍有错误的</w:t>
                  </w:r>
                  <w:r>
                    <w:rPr>
                      <w:rFonts w:hint="eastAsia" w:ascii="宋体" w:hAnsi="宋体" w:cs="宋体"/>
                      <w:color w:val="auto"/>
                      <w:szCs w:val="21"/>
                      <w:highlight w:val="none"/>
                    </w:rPr>
                    <w:t>，</w:t>
                  </w:r>
                  <w:r>
                    <w:rPr>
                      <w:rFonts w:hint="eastAsia" w:ascii="宋体" w:hAnsi="宋体" w:cs="宋体"/>
                      <w:color w:val="auto"/>
                      <w:szCs w:val="21"/>
                      <w:highlight w:val="none"/>
                      <w:lang w:eastAsia="zh-CN"/>
                    </w:rPr>
                    <w:t>每份</w:t>
                  </w:r>
                  <w:r>
                    <w:rPr>
                      <w:rFonts w:hint="eastAsia" w:ascii="宋体" w:hAnsi="宋体" w:cs="宋体"/>
                      <w:color w:val="auto"/>
                      <w:szCs w:val="21"/>
                      <w:highlight w:val="none"/>
                    </w:rPr>
                    <w:t>报告扣款2000元</w:t>
                  </w:r>
                  <w:r>
                    <w:rPr>
                      <w:rFonts w:hint="eastAsia" w:ascii="宋体" w:hAnsi="宋体" w:cs="宋体"/>
                      <w:color w:val="auto"/>
                      <w:szCs w:val="21"/>
                      <w:highlight w:val="none"/>
                      <w:lang w:eastAsia="zh-CN"/>
                    </w:rPr>
                    <w:t>、</w:t>
                  </w:r>
                  <w:r>
                    <w:rPr>
                      <w:rFonts w:hint="eastAsia" w:ascii="宋体" w:hAnsi="宋体" w:cs="宋体"/>
                      <w:color w:val="auto"/>
                      <w:szCs w:val="21"/>
                      <w:highlight w:val="none"/>
                    </w:rPr>
                    <w:t>行业汇总报告扣款3000元。</w:t>
                  </w:r>
                </w:p>
              </w:tc>
            </w:tr>
            <w:tr w14:paraId="3D35F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42" w:type="pct"/>
                  <w:noWrap/>
                  <w:vAlign w:val="center"/>
                </w:tcPr>
                <w:p w14:paraId="18E31961">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713" w:type="pct"/>
                  <w:noWrap/>
                  <w:vAlign w:val="center"/>
                </w:tcPr>
                <w:p w14:paraId="4DA5E53B">
                  <w:pPr>
                    <w:spacing w:line="440" w:lineRule="exact"/>
                    <w:jc w:val="center"/>
                    <w:rPr>
                      <w:rFonts w:ascii="宋体" w:hAnsi="宋体" w:cs="宋体"/>
                      <w:color w:val="auto"/>
                      <w:szCs w:val="21"/>
                      <w:highlight w:val="none"/>
                    </w:rPr>
                  </w:pPr>
                  <w:r>
                    <w:rPr>
                      <w:rFonts w:hint="eastAsia" w:ascii="宋体" w:hAnsi="宋体" w:cs="Calibri"/>
                      <w:color w:val="auto"/>
                      <w:szCs w:val="21"/>
                      <w:highlight w:val="none"/>
                    </w:rPr>
                    <w:t>商业保理公司现场检查与监管评级</w:t>
                  </w:r>
                </w:p>
              </w:tc>
              <w:tc>
                <w:tcPr>
                  <w:tcW w:w="3944" w:type="pct"/>
                  <w:noWrap/>
                  <w:vAlign w:val="center"/>
                </w:tcPr>
                <w:p w14:paraId="0754EB3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供应商未按时提交的，</w:t>
                  </w:r>
                  <w:r>
                    <w:rPr>
                      <w:rFonts w:hint="eastAsia" w:ascii="宋体" w:hAnsi="宋体" w:cs="宋体"/>
                      <w:color w:val="auto"/>
                      <w:szCs w:val="21"/>
                      <w:highlight w:val="none"/>
                      <w:lang w:eastAsia="zh-CN"/>
                    </w:rPr>
                    <w:t>每</w:t>
                  </w:r>
                  <w:r>
                    <w:rPr>
                      <w:rFonts w:hint="eastAsia" w:ascii="宋体" w:hAnsi="宋体" w:cs="宋体"/>
                      <w:color w:val="auto"/>
                      <w:szCs w:val="21"/>
                      <w:highlight w:val="none"/>
                    </w:rPr>
                    <w:t>报告扣款200元；</w:t>
                  </w:r>
                  <w:r>
                    <w:rPr>
                      <w:rFonts w:hint="eastAsia" w:ascii="宋体" w:hAnsi="宋体" w:cs="宋体"/>
                      <w:color w:val="auto"/>
                      <w:szCs w:val="21"/>
                      <w:highlight w:val="none"/>
                      <w:lang w:eastAsia="zh-CN"/>
                    </w:rPr>
                    <w:t>每份</w:t>
                  </w:r>
                  <w:r>
                    <w:rPr>
                      <w:rFonts w:hint="eastAsia" w:ascii="宋体" w:hAnsi="宋体" w:cs="宋体"/>
                      <w:color w:val="auto"/>
                      <w:szCs w:val="21"/>
                      <w:highlight w:val="none"/>
                    </w:rPr>
                    <w:t>报告出现5</w:t>
                  </w:r>
                  <w:r>
                    <w:rPr>
                      <w:rFonts w:hint="eastAsia" w:ascii="宋体" w:hAnsi="宋体" w:cs="宋体"/>
                      <w:color w:val="auto"/>
                      <w:szCs w:val="21"/>
                      <w:highlight w:val="none"/>
                      <w:lang w:eastAsia="zh-CN"/>
                    </w:rPr>
                    <w:t>（含）</w:t>
                  </w:r>
                  <w:r>
                    <w:rPr>
                      <w:rFonts w:hint="eastAsia" w:ascii="宋体" w:hAnsi="宋体" w:cs="宋体"/>
                      <w:color w:val="auto"/>
                      <w:szCs w:val="21"/>
                      <w:highlight w:val="none"/>
                    </w:rPr>
                    <w:t>处及以上数据或文字表述错误，</w:t>
                  </w:r>
                  <w:r>
                    <w:rPr>
                      <w:rFonts w:hint="eastAsia" w:ascii="宋体" w:hAnsi="宋体" w:cs="宋体"/>
                      <w:color w:val="auto"/>
                      <w:szCs w:val="21"/>
                      <w:highlight w:val="none"/>
                      <w:lang w:eastAsia="zh-CN"/>
                    </w:rPr>
                    <w:t>每份</w:t>
                  </w:r>
                  <w:r>
                    <w:rPr>
                      <w:rFonts w:hint="eastAsia" w:ascii="宋体" w:hAnsi="宋体" w:cs="宋体"/>
                      <w:color w:val="auto"/>
                      <w:szCs w:val="21"/>
                      <w:highlight w:val="none"/>
                    </w:rPr>
                    <w:t>报告扣款300元；行业汇总报告出现20</w:t>
                  </w:r>
                  <w:r>
                    <w:rPr>
                      <w:rFonts w:hint="eastAsia" w:ascii="宋体" w:hAnsi="宋体" w:cs="宋体"/>
                      <w:color w:val="auto"/>
                      <w:szCs w:val="21"/>
                      <w:highlight w:val="none"/>
                      <w:lang w:eastAsia="zh-CN"/>
                    </w:rPr>
                    <w:t>（含）</w:t>
                  </w:r>
                  <w:r>
                    <w:rPr>
                      <w:rFonts w:hint="eastAsia" w:ascii="宋体" w:hAnsi="宋体" w:cs="宋体"/>
                      <w:color w:val="auto"/>
                      <w:szCs w:val="21"/>
                      <w:highlight w:val="none"/>
                    </w:rPr>
                    <w:t>处及以上数据或文字表述错误，</w:t>
                  </w:r>
                  <w:r>
                    <w:rPr>
                      <w:rFonts w:hint="eastAsia" w:ascii="宋体" w:hAnsi="宋体" w:cs="宋体"/>
                      <w:color w:val="auto"/>
                      <w:szCs w:val="21"/>
                      <w:highlight w:val="none"/>
                      <w:lang w:eastAsia="zh-CN"/>
                    </w:rPr>
                    <w:t>每份</w:t>
                  </w:r>
                  <w:r>
                    <w:rPr>
                      <w:rFonts w:hint="eastAsia" w:ascii="宋体" w:hAnsi="宋体" w:cs="宋体"/>
                      <w:color w:val="auto"/>
                      <w:szCs w:val="21"/>
                      <w:highlight w:val="none"/>
                    </w:rPr>
                    <w:t>汇总报告扣款1000元；</w:t>
                  </w:r>
                  <w:r>
                    <w:rPr>
                      <w:rFonts w:hint="eastAsia" w:ascii="宋体" w:hAnsi="宋体" w:cs="宋体"/>
                      <w:color w:val="auto"/>
                      <w:szCs w:val="21"/>
                      <w:highlight w:val="none"/>
                      <w:lang w:eastAsia="zh-CN"/>
                    </w:rPr>
                    <w:t>每份报告修改3次仍有错误的</w:t>
                  </w:r>
                  <w:r>
                    <w:rPr>
                      <w:rFonts w:hint="eastAsia" w:ascii="宋体" w:hAnsi="宋体" w:cs="宋体"/>
                      <w:color w:val="auto"/>
                      <w:szCs w:val="21"/>
                      <w:highlight w:val="none"/>
                    </w:rPr>
                    <w:t>，</w:t>
                  </w:r>
                  <w:r>
                    <w:rPr>
                      <w:rFonts w:hint="eastAsia" w:ascii="宋体" w:hAnsi="宋体" w:cs="宋体"/>
                      <w:color w:val="auto"/>
                      <w:szCs w:val="21"/>
                      <w:highlight w:val="none"/>
                      <w:lang w:eastAsia="zh-CN"/>
                    </w:rPr>
                    <w:t>每份</w:t>
                  </w:r>
                  <w:r>
                    <w:rPr>
                      <w:rFonts w:hint="eastAsia" w:ascii="宋体" w:hAnsi="宋体" w:cs="宋体"/>
                      <w:color w:val="auto"/>
                      <w:szCs w:val="21"/>
                      <w:highlight w:val="none"/>
                    </w:rPr>
                    <w:t>报告扣款2000元</w:t>
                  </w:r>
                  <w:r>
                    <w:rPr>
                      <w:rFonts w:hint="eastAsia" w:ascii="宋体" w:hAnsi="宋体" w:cs="宋体"/>
                      <w:color w:val="auto"/>
                      <w:szCs w:val="21"/>
                      <w:highlight w:val="none"/>
                      <w:lang w:eastAsia="zh-CN"/>
                    </w:rPr>
                    <w:t>、</w:t>
                  </w:r>
                  <w:r>
                    <w:rPr>
                      <w:rFonts w:hint="eastAsia" w:ascii="宋体" w:hAnsi="宋体" w:cs="宋体"/>
                      <w:color w:val="auto"/>
                      <w:szCs w:val="21"/>
                      <w:highlight w:val="none"/>
                    </w:rPr>
                    <w:t>行业汇总报告扣款3000元。</w:t>
                  </w:r>
                </w:p>
              </w:tc>
            </w:tr>
            <w:tr w14:paraId="17B64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42" w:type="pct"/>
                  <w:noWrap/>
                  <w:vAlign w:val="center"/>
                </w:tcPr>
                <w:p w14:paraId="41398C86">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713" w:type="pct"/>
                  <w:noWrap/>
                  <w:vAlign w:val="center"/>
                </w:tcPr>
                <w:p w14:paraId="7F7B6A57">
                  <w:pPr>
                    <w:spacing w:line="440" w:lineRule="exact"/>
                    <w:jc w:val="center"/>
                    <w:rPr>
                      <w:rFonts w:ascii="宋体" w:hAnsi="宋体" w:cs="宋体"/>
                      <w:color w:val="auto"/>
                      <w:szCs w:val="21"/>
                      <w:highlight w:val="none"/>
                    </w:rPr>
                  </w:pPr>
                  <w:r>
                    <w:rPr>
                      <w:rFonts w:hint="eastAsia" w:ascii="宋体" w:hAnsi="宋体" w:cs="仿宋_GB2312"/>
                      <w:color w:val="auto"/>
                      <w:szCs w:val="21"/>
                      <w:highlight w:val="none"/>
                    </w:rPr>
                    <w:t>财政贴息资金申请项目审核服务</w:t>
                  </w:r>
                </w:p>
              </w:tc>
              <w:tc>
                <w:tcPr>
                  <w:tcW w:w="3944" w:type="pct"/>
                  <w:noWrap/>
                  <w:vAlign w:val="center"/>
                </w:tcPr>
                <w:p w14:paraId="4DE67DD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color w:val="auto"/>
                      <w:szCs w:val="21"/>
                      <w:highlight w:val="none"/>
                      <w:lang w:val="en-US" w:eastAsia="zh-CN"/>
                    </w:rPr>
                  </w:pPr>
                  <w:r>
                    <w:rPr>
                      <w:rFonts w:hint="eastAsia" w:ascii="Times New Roman" w:cs="Times New Roman"/>
                      <w:color w:val="auto"/>
                      <w:kern w:val="2"/>
                      <w:sz w:val="21"/>
                      <w:highlight w:val="none"/>
                    </w:rPr>
                    <w:t>每季度提交的审核报表，</w:t>
                  </w:r>
                  <w:r>
                    <w:rPr>
                      <w:rFonts w:hint="eastAsia" w:cs="Times New Roman"/>
                      <w:color w:val="auto"/>
                      <w:kern w:val="2"/>
                      <w:sz w:val="21"/>
                      <w:highlight w:val="none"/>
                      <w:lang w:eastAsia="zh-CN"/>
                    </w:rPr>
                    <w:t>因供应商</w:t>
                  </w:r>
                  <w:r>
                    <w:rPr>
                      <w:rFonts w:hint="eastAsia" w:ascii="Times New Roman" w:cs="Times New Roman"/>
                      <w:color w:val="auto"/>
                      <w:kern w:val="2"/>
                      <w:sz w:val="21"/>
                      <w:highlight w:val="none"/>
                    </w:rPr>
                    <w:t>原因导致的差错笔数</w:t>
                  </w:r>
                  <w:r>
                    <w:rPr>
                      <w:rFonts w:hint="eastAsia" w:cs="Times New Roman"/>
                      <w:color w:val="auto"/>
                      <w:kern w:val="2"/>
                      <w:sz w:val="21"/>
                      <w:highlight w:val="none"/>
                      <w:lang w:eastAsia="zh-CN"/>
                    </w:rPr>
                    <w:t>达</w:t>
                  </w:r>
                  <w:r>
                    <w:rPr>
                      <w:rFonts w:hint="eastAsia" w:ascii="Times New Roman" w:cs="Times New Roman"/>
                      <w:color w:val="auto"/>
                      <w:kern w:val="2"/>
                      <w:sz w:val="21"/>
                      <w:highlight w:val="none"/>
                    </w:rPr>
                    <w:t>50</w:t>
                  </w:r>
                  <w:r>
                    <w:rPr>
                      <w:rFonts w:hint="eastAsia" w:cs="Times New Roman"/>
                      <w:color w:val="auto"/>
                      <w:kern w:val="2"/>
                      <w:sz w:val="21"/>
                      <w:highlight w:val="none"/>
                      <w:lang w:eastAsia="zh-CN"/>
                    </w:rPr>
                    <w:t>（含）</w:t>
                  </w:r>
                  <w:r>
                    <w:rPr>
                      <w:rFonts w:hint="eastAsia" w:ascii="Times New Roman" w:cs="Times New Roman"/>
                      <w:color w:val="auto"/>
                      <w:kern w:val="2"/>
                      <w:sz w:val="21"/>
                      <w:highlight w:val="none"/>
                    </w:rPr>
                    <w:t>笔</w:t>
                  </w:r>
                  <w:r>
                    <w:rPr>
                      <w:rFonts w:hint="eastAsia" w:cs="Times New Roman"/>
                      <w:color w:val="auto"/>
                      <w:kern w:val="2"/>
                      <w:sz w:val="21"/>
                      <w:highlight w:val="none"/>
                      <w:lang w:eastAsia="zh-CN"/>
                    </w:rPr>
                    <w:t>以上</w:t>
                  </w:r>
                  <w:r>
                    <w:rPr>
                      <w:rFonts w:hint="eastAsia" w:ascii="Times New Roman" w:cs="Times New Roman"/>
                      <w:color w:val="auto"/>
                      <w:kern w:val="2"/>
                      <w:sz w:val="21"/>
                      <w:highlight w:val="none"/>
                    </w:rPr>
                    <w:t>，一次性扣减5000元</w:t>
                  </w:r>
                  <w:r>
                    <w:rPr>
                      <w:rFonts w:hint="eastAsia" w:ascii="宋体" w:hAnsi="宋体" w:cs="Calibri"/>
                      <w:color w:val="auto"/>
                      <w:szCs w:val="21"/>
                      <w:highlight w:val="none"/>
                    </w:rPr>
                    <w:t>。</w:t>
                  </w:r>
                </w:p>
              </w:tc>
            </w:tr>
            <w:tr w14:paraId="18018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42" w:type="pct"/>
                  <w:noWrap/>
                  <w:vAlign w:val="center"/>
                </w:tcPr>
                <w:p w14:paraId="449BB371">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713" w:type="pct"/>
                  <w:noWrap/>
                  <w:vAlign w:val="center"/>
                </w:tcPr>
                <w:p w14:paraId="3D07B72F">
                  <w:pPr>
                    <w:spacing w:line="440" w:lineRule="exact"/>
                    <w:jc w:val="center"/>
                    <w:rPr>
                      <w:rFonts w:ascii="宋体" w:hAnsi="宋体" w:cs="宋体"/>
                      <w:color w:val="auto"/>
                      <w:szCs w:val="21"/>
                      <w:highlight w:val="none"/>
                    </w:rPr>
                  </w:pPr>
                  <w:r>
                    <w:rPr>
                      <w:rFonts w:hint="eastAsia" w:ascii="宋体" w:hAnsi="宋体" w:cs="Calibri"/>
                      <w:color w:val="auto"/>
                      <w:szCs w:val="21"/>
                      <w:highlight w:val="none"/>
                    </w:rPr>
                    <w:t>保险资金奖补审核服务</w:t>
                  </w:r>
                </w:p>
              </w:tc>
              <w:tc>
                <w:tcPr>
                  <w:tcW w:w="3944" w:type="pct"/>
                  <w:noWrap/>
                  <w:vAlign w:val="center"/>
                </w:tcPr>
                <w:p w14:paraId="6802378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按采购合同要求执行。</w:t>
                  </w:r>
                </w:p>
              </w:tc>
            </w:tr>
          </w:tbl>
          <w:p w14:paraId="72A4947F">
            <w:pPr>
              <w:tabs>
                <w:tab w:val="left" w:pos="425"/>
              </w:tabs>
              <w:spacing w:line="400" w:lineRule="exact"/>
              <w:ind w:firstLine="420" w:firstLineChars="200"/>
              <w:rPr>
                <w:rFonts w:ascii="宋体" w:hAnsi="宋体" w:cs="Calibri"/>
                <w:color w:val="auto"/>
                <w:szCs w:val="21"/>
                <w:highlight w:val="none"/>
              </w:rPr>
            </w:pPr>
          </w:p>
        </w:tc>
      </w:tr>
      <w:tr w14:paraId="76BE3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ign w:val="center"/>
          </w:tcPr>
          <w:p w14:paraId="2E461B4D">
            <w:pPr>
              <w:spacing w:line="400" w:lineRule="exact"/>
              <w:rPr>
                <w:rFonts w:ascii="宋体" w:hAnsi="宋体" w:cs="Calibri"/>
                <w:b/>
                <w:bCs/>
                <w:color w:val="auto"/>
                <w:szCs w:val="21"/>
                <w:highlight w:val="none"/>
              </w:rPr>
            </w:pPr>
            <w:r>
              <w:rPr>
                <w:rFonts w:hint="eastAsia" w:ascii="宋体" w:hAnsi="宋体" w:cs="Calibri"/>
                <w:b/>
                <w:bCs/>
                <w:color w:val="auto"/>
                <w:szCs w:val="21"/>
                <w:highlight w:val="none"/>
              </w:rPr>
              <w:t>二、与实现项目目标相关的其他要求</w:t>
            </w:r>
          </w:p>
        </w:tc>
      </w:tr>
      <w:tr w14:paraId="0C369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ign w:val="center"/>
          </w:tcPr>
          <w:p w14:paraId="436BA929">
            <w:pPr>
              <w:spacing w:line="400" w:lineRule="exact"/>
              <w:rPr>
                <w:rFonts w:ascii="宋体" w:hAnsi="宋体" w:cs="Calibri"/>
                <w:b/>
                <w:color w:val="auto"/>
                <w:szCs w:val="21"/>
                <w:highlight w:val="none"/>
              </w:rPr>
            </w:pPr>
            <w:r>
              <w:rPr>
                <w:rFonts w:hint="eastAsia" w:ascii="宋体" w:hAnsi="宋体" w:cs="Calibri"/>
                <w:b/>
                <w:color w:val="auto"/>
                <w:szCs w:val="21"/>
                <w:highlight w:val="none"/>
              </w:rPr>
              <w:t>（一）供应商的履约能力要求</w:t>
            </w:r>
          </w:p>
        </w:tc>
      </w:tr>
      <w:tr w14:paraId="4BA83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85" w:type="pct"/>
            <w:gridSpan w:val="2"/>
            <w:tcBorders>
              <w:top w:val="single" w:color="auto" w:sz="4" w:space="0"/>
              <w:left w:val="single" w:color="auto" w:sz="4" w:space="0"/>
              <w:bottom w:val="single" w:color="auto" w:sz="4" w:space="0"/>
              <w:right w:val="single" w:color="auto" w:sz="4" w:space="0"/>
            </w:tcBorders>
            <w:noWrap/>
            <w:vAlign w:val="center"/>
          </w:tcPr>
          <w:p w14:paraId="794AD236">
            <w:pPr>
              <w:spacing w:line="400" w:lineRule="exact"/>
              <w:rPr>
                <w:rFonts w:ascii="宋体" w:hAnsi="宋体" w:cs="Calibri"/>
                <w:b/>
                <w:color w:val="auto"/>
                <w:szCs w:val="21"/>
                <w:highlight w:val="none"/>
              </w:rPr>
            </w:pPr>
            <w:r>
              <w:rPr>
                <w:rFonts w:hint="eastAsia" w:ascii="宋体" w:hAnsi="宋体" w:cs="Calibri"/>
                <w:color w:val="auto"/>
                <w:szCs w:val="21"/>
                <w:highlight w:val="none"/>
              </w:rPr>
              <w:t>管理体系要求</w:t>
            </w:r>
          </w:p>
        </w:tc>
        <w:tc>
          <w:tcPr>
            <w:tcW w:w="4314" w:type="pct"/>
            <w:gridSpan w:val="4"/>
            <w:tcBorders>
              <w:top w:val="single" w:color="auto" w:sz="4" w:space="0"/>
              <w:left w:val="single" w:color="auto" w:sz="4" w:space="0"/>
              <w:bottom w:val="single" w:color="auto" w:sz="4" w:space="0"/>
              <w:right w:val="single" w:color="auto" w:sz="4" w:space="0"/>
            </w:tcBorders>
            <w:noWrap/>
            <w:vAlign w:val="center"/>
          </w:tcPr>
          <w:p w14:paraId="62F1112D">
            <w:pPr>
              <w:spacing w:line="400" w:lineRule="exact"/>
              <w:rPr>
                <w:rFonts w:ascii="宋体" w:hAnsi="宋体" w:cs="Calibri"/>
                <w:b/>
                <w:color w:val="auto"/>
                <w:szCs w:val="21"/>
                <w:highlight w:val="none"/>
              </w:rPr>
            </w:pPr>
            <w:r>
              <w:rPr>
                <w:rFonts w:hint="eastAsia" w:ascii="宋体" w:hAnsi="宋体" w:cs="宋体"/>
                <w:color w:val="auto"/>
                <w:szCs w:val="21"/>
                <w:highlight w:val="none"/>
              </w:rPr>
              <w:t>详见“第四章  评审程序、评审方法和评审标准”</w:t>
            </w:r>
          </w:p>
        </w:tc>
      </w:tr>
      <w:tr w14:paraId="2AD9B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85" w:type="pct"/>
            <w:gridSpan w:val="2"/>
            <w:tcBorders>
              <w:top w:val="single" w:color="auto" w:sz="4" w:space="0"/>
              <w:left w:val="single" w:color="auto" w:sz="4" w:space="0"/>
              <w:bottom w:val="single" w:color="auto" w:sz="4" w:space="0"/>
              <w:right w:val="single" w:color="auto" w:sz="4" w:space="0"/>
            </w:tcBorders>
            <w:noWrap/>
            <w:vAlign w:val="center"/>
          </w:tcPr>
          <w:p w14:paraId="25FEE4EB">
            <w:pPr>
              <w:spacing w:line="400" w:lineRule="exact"/>
              <w:rPr>
                <w:rFonts w:ascii="宋体" w:hAnsi="宋体" w:cs="Calibri"/>
                <w:b/>
                <w:color w:val="auto"/>
                <w:szCs w:val="21"/>
                <w:highlight w:val="none"/>
              </w:rPr>
            </w:pPr>
            <w:r>
              <w:rPr>
                <w:rFonts w:hint="eastAsia" w:ascii="宋体" w:hAnsi="宋体" w:cs="Calibri"/>
                <w:color w:val="auto"/>
                <w:szCs w:val="21"/>
                <w:highlight w:val="none"/>
              </w:rPr>
              <w:t>业绩要求</w:t>
            </w:r>
          </w:p>
        </w:tc>
        <w:tc>
          <w:tcPr>
            <w:tcW w:w="4314" w:type="pct"/>
            <w:gridSpan w:val="4"/>
            <w:tcBorders>
              <w:top w:val="single" w:color="auto" w:sz="4" w:space="0"/>
              <w:left w:val="single" w:color="auto" w:sz="4" w:space="0"/>
              <w:bottom w:val="single" w:color="auto" w:sz="4" w:space="0"/>
              <w:right w:val="single" w:color="auto" w:sz="4" w:space="0"/>
            </w:tcBorders>
            <w:noWrap/>
            <w:vAlign w:val="center"/>
          </w:tcPr>
          <w:p w14:paraId="22944863">
            <w:pPr>
              <w:spacing w:line="400" w:lineRule="exact"/>
              <w:rPr>
                <w:rFonts w:ascii="宋体" w:hAnsi="宋体" w:cs="Calibri"/>
                <w:b/>
                <w:color w:val="auto"/>
                <w:szCs w:val="21"/>
                <w:highlight w:val="none"/>
              </w:rPr>
            </w:pPr>
            <w:r>
              <w:rPr>
                <w:rFonts w:hint="eastAsia" w:ascii="宋体" w:hAnsi="宋体" w:cs="宋体"/>
                <w:color w:val="auto"/>
                <w:szCs w:val="21"/>
                <w:highlight w:val="none"/>
              </w:rPr>
              <w:t>详见“第四章  评审程序、评审方法和评审标准”</w:t>
            </w:r>
          </w:p>
        </w:tc>
      </w:tr>
      <w:tr w14:paraId="57604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ign w:val="center"/>
          </w:tcPr>
          <w:p w14:paraId="39146AC8">
            <w:pPr>
              <w:spacing w:line="400" w:lineRule="exact"/>
              <w:rPr>
                <w:rFonts w:ascii="宋体" w:hAnsi="宋体" w:cs="Calibri"/>
                <w:b/>
                <w:color w:val="auto"/>
                <w:szCs w:val="21"/>
                <w:highlight w:val="none"/>
              </w:rPr>
            </w:pPr>
            <w:r>
              <w:rPr>
                <w:rFonts w:hint="eastAsia" w:ascii="宋体" w:hAnsi="宋体" w:cs="宋体"/>
                <w:color w:val="auto"/>
                <w:szCs w:val="21"/>
                <w:highlight w:val="none"/>
              </w:rPr>
              <w:t>（二）</w:t>
            </w:r>
            <w:r>
              <w:rPr>
                <w:rFonts w:hint="eastAsia" w:ascii="宋体" w:hAnsi="宋体" w:cs="宋体"/>
                <w:b/>
                <w:color w:val="auto"/>
                <w:szCs w:val="21"/>
                <w:highlight w:val="none"/>
              </w:rPr>
              <w:t>进口产品及核心产品说明</w:t>
            </w:r>
          </w:p>
        </w:tc>
      </w:tr>
      <w:tr w14:paraId="43CD8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ign w:val="center"/>
          </w:tcPr>
          <w:p w14:paraId="5A298C2E">
            <w:pPr>
              <w:spacing w:line="400" w:lineRule="exact"/>
              <w:rPr>
                <w:rFonts w:ascii="宋体" w:hAnsi="宋体" w:cs="宋体"/>
                <w:color w:val="auto"/>
                <w:szCs w:val="21"/>
                <w:highlight w:val="none"/>
              </w:rPr>
            </w:pPr>
            <w:r>
              <w:rPr>
                <w:rFonts w:hint="eastAsia" w:ascii="宋体" w:hAnsi="宋体" w:cs="宋体"/>
                <w:color w:val="auto"/>
                <w:szCs w:val="21"/>
                <w:highlight w:val="none"/>
              </w:rPr>
              <w:t>本分标为服务类</w:t>
            </w:r>
            <w:r>
              <w:rPr>
                <w:rFonts w:hint="eastAsia" w:ascii="宋体" w:hAnsi="宋体" w:cs="宋体"/>
                <w:color w:val="auto"/>
                <w:szCs w:val="21"/>
                <w:highlight w:val="none"/>
                <w:lang w:val="en-US" w:eastAsia="zh-CN"/>
              </w:rPr>
              <w:t>无核心产品要求</w:t>
            </w:r>
            <w:r>
              <w:rPr>
                <w:rFonts w:hint="eastAsia" w:ascii="宋体" w:hAnsi="宋体" w:cs="宋体"/>
                <w:color w:val="auto"/>
                <w:szCs w:val="21"/>
                <w:highlight w:val="none"/>
              </w:rPr>
              <w:t>，所涉及的</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不接受进口产品（即通过中国海关报关验放进入中国境内且产自关境外的产品）参与</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w:t>
            </w:r>
            <w:r>
              <w:rPr>
                <w:rFonts w:hint="eastAsia" w:ascii="宋体" w:hAnsi="宋体" w:cs="宋体"/>
                <w:b/>
                <w:bCs/>
                <w:color w:val="auto"/>
                <w:szCs w:val="21"/>
                <w:highlight w:val="none"/>
              </w:rPr>
              <w:t>如有进口产品参与</w:t>
            </w:r>
            <w:r>
              <w:rPr>
                <w:rFonts w:hint="eastAsia" w:ascii="宋体" w:hAnsi="宋体" w:cs="宋体"/>
                <w:b/>
                <w:bCs/>
                <w:color w:val="auto"/>
                <w:szCs w:val="21"/>
                <w:highlight w:val="none"/>
                <w:lang w:eastAsia="zh-CN"/>
              </w:rPr>
              <w:t>竞标</w:t>
            </w:r>
            <w:r>
              <w:rPr>
                <w:rFonts w:hint="eastAsia" w:ascii="宋体" w:hAnsi="宋体" w:cs="宋体"/>
                <w:b/>
                <w:bCs/>
                <w:color w:val="auto"/>
                <w:szCs w:val="21"/>
                <w:highlight w:val="none"/>
              </w:rPr>
              <w:t>的作无效标。</w:t>
            </w:r>
          </w:p>
        </w:tc>
      </w:tr>
      <w:tr w14:paraId="166BE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ign w:val="center"/>
          </w:tcPr>
          <w:p w14:paraId="70A0A4E5">
            <w:pPr>
              <w:tabs>
                <w:tab w:val="left" w:pos="180"/>
                <w:tab w:val="left" w:pos="1620"/>
              </w:tabs>
              <w:spacing w:line="400" w:lineRule="exact"/>
              <w:rPr>
                <w:rFonts w:ascii="宋体" w:hAnsi="宋体" w:cs="Calibri"/>
                <w:b/>
                <w:color w:val="auto"/>
                <w:szCs w:val="21"/>
                <w:highlight w:val="none"/>
              </w:rPr>
            </w:pPr>
            <w:r>
              <w:rPr>
                <w:rFonts w:hint="eastAsia" w:ascii="宋体" w:hAnsi="宋体" w:cs="Calibri"/>
                <w:b/>
                <w:color w:val="auto"/>
                <w:szCs w:val="21"/>
                <w:highlight w:val="none"/>
              </w:rPr>
              <w:t>（二）验收标准</w:t>
            </w:r>
          </w:p>
        </w:tc>
      </w:tr>
      <w:tr w14:paraId="31001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ign w:val="center"/>
          </w:tcPr>
          <w:p w14:paraId="401BA89D">
            <w:pPr>
              <w:tabs>
                <w:tab w:val="left" w:pos="180"/>
                <w:tab w:val="left" w:pos="1620"/>
              </w:tabs>
              <w:spacing w:line="400" w:lineRule="exact"/>
              <w:rPr>
                <w:rFonts w:ascii="宋体" w:hAnsi="宋体" w:cs="宋体"/>
                <w:bCs/>
                <w:color w:val="auto"/>
                <w:szCs w:val="21"/>
                <w:highlight w:val="none"/>
              </w:rPr>
            </w:pPr>
            <w:r>
              <w:rPr>
                <w:rFonts w:hint="eastAsia" w:ascii="宋体" w:hAnsi="宋体" w:cs="Calibri"/>
                <w:color w:val="auto"/>
                <w:szCs w:val="21"/>
                <w:highlight w:val="none"/>
              </w:rPr>
              <w:t>1、</w:t>
            </w:r>
            <w:r>
              <w:rPr>
                <w:rFonts w:hint="eastAsia" w:ascii="宋体" w:hAnsi="宋体" w:cs="宋体"/>
                <w:bCs/>
                <w:color w:val="auto"/>
                <w:szCs w:val="21"/>
                <w:highlight w:val="none"/>
              </w:rPr>
              <w:t>符合现行国家相关标准、行业标准、地方标准或者其他标准、规范。</w:t>
            </w:r>
          </w:p>
          <w:p w14:paraId="570E145E">
            <w:pPr>
              <w:tabs>
                <w:tab w:val="left" w:pos="180"/>
                <w:tab w:val="left" w:pos="1620"/>
              </w:tabs>
              <w:spacing w:line="400" w:lineRule="exact"/>
              <w:rPr>
                <w:rFonts w:ascii="宋体" w:hAnsi="宋体" w:cs="Calibri"/>
                <w:color w:val="auto"/>
                <w:szCs w:val="21"/>
                <w:highlight w:val="none"/>
              </w:rPr>
            </w:pPr>
            <w:r>
              <w:rPr>
                <w:rFonts w:hint="eastAsia" w:ascii="宋体" w:hAnsi="宋体" w:cs="Calibri"/>
                <w:color w:val="auto"/>
                <w:szCs w:val="21"/>
                <w:highlight w:val="none"/>
              </w:rPr>
              <w:t>2、验收过程中所产生的一切费用均由成交人承担。报价时应考虑相关费用。</w:t>
            </w:r>
          </w:p>
          <w:p w14:paraId="498B7C46">
            <w:pPr>
              <w:tabs>
                <w:tab w:val="left" w:pos="180"/>
                <w:tab w:val="left" w:pos="1620"/>
              </w:tabs>
              <w:spacing w:line="400" w:lineRule="exact"/>
              <w:rPr>
                <w:rFonts w:ascii="宋体" w:hAnsi="宋体" w:cs="Calibri"/>
                <w:color w:val="auto"/>
                <w:szCs w:val="21"/>
                <w:highlight w:val="none"/>
              </w:rPr>
            </w:pPr>
            <w:r>
              <w:rPr>
                <w:rFonts w:hint="eastAsia" w:ascii="宋体" w:hAnsi="宋体" w:cs="Calibri"/>
                <w:color w:val="auto"/>
                <w:szCs w:val="21"/>
                <w:highlight w:val="none"/>
              </w:rPr>
              <w:t>3、成交人在项目验收时由采购人对照采购文件的功能目标及技术指标全面核对检验，对所有要求出具的证明文件的原件进行核查，如不符合采购文件的技术需求及要求以及提供虚假承诺的，按相关规定做退货处理及违约处理，成交人承担所有责任和费用，采购人保留进一步追究责任的权利。</w:t>
            </w:r>
          </w:p>
        </w:tc>
      </w:tr>
      <w:tr w14:paraId="56D8E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ign w:val="center"/>
          </w:tcPr>
          <w:p w14:paraId="56A91792">
            <w:pPr>
              <w:spacing w:line="400" w:lineRule="exact"/>
              <w:rPr>
                <w:rFonts w:ascii="宋体" w:hAnsi="宋体" w:cs="Calibri"/>
                <w:b/>
                <w:color w:val="auto"/>
                <w:szCs w:val="21"/>
                <w:highlight w:val="none"/>
              </w:rPr>
            </w:pPr>
            <w:r>
              <w:rPr>
                <w:rFonts w:hint="eastAsia" w:ascii="宋体" w:hAnsi="宋体" w:cs="Calibri"/>
                <w:b/>
                <w:color w:val="auto"/>
                <w:szCs w:val="21"/>
                <w:highlight w:val="none"/>
              </w:rPr>
              <w:t>（三）其他要求</w:t>
            </w:r>
          </w:p>
        </w:tc>
      </w:tr>
      <w:tr w14:paraId="28CF4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ign w:val="center"/>
          </w:tcPr>
          <w:p w14:paraId="6CAB5F5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须为本项目服务实施投入充足的服务人员，并确保响应文件中的人员信息真实、有效。成交供应商不得将项目非法分包或转包给任何单位和个人，否则采购人有权即刻终止合同，并要求成交供应商赔偿相应损失。</w:t>
            </w:r>
          </w:p>
          <w:p w14:paraId="0701499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2.供应商应与采购人签订保密协议，未经采购人允许，不得使用或者以其它方式给任何第三方提供本项目的相关信息或数据。</w:t>
            </w:r>
          </w:p>
          <w:p w14:paraId="5E7FE460">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3.供应商可在响应文件中提供项目实施方案、确保</w:t>
            </w:r>
            <w:r>
              <w:rPr>
                <w:rFonts w:hint="eastAsia" w:ascii="宋体" w:hAnsi="宋体" w:cs="宋体"/>
                <w:color w:val="auto"/>
                <w:szCs w:val="21"/>
                <w:highlight w:val="none"/>
              </w:rPr>
              <w:t>项目</w:t>
            </w:r>
            <w:r>
              <w:rPr>
                <w:rFonts w:hint="eastAsia" w:ascii="宋体" w:hAnsi="宋体" w:cs="宋体"/>
                <w:bCs/>
                <w:color w:val="auto"/>
                <w:szCs w:val="21"/>
                <w:highlight w:val="none"/>
              </w:rPr>
              <w:t>服务质量和服务进度的措施、服务承诺方案、保密、廉洁从业措施等相关方案及团队人员、业绩等相关证明材料复印件。</w:t>
            </w:r>
          </w:p>
        </w:tc>
      </w:tr>
    </w:tbl>
    <w:p w14:paraId="6E32A6B4">
      <w:pPr>
        <w:rPr>
          <w:rFonts w:hint="eastAsia" w:ascii="黑体" w:hAnsi="黑体" w:eastAsia="黑体" w:cs="黑体"/>
          <w:color w:val="auto"/>
          <w:sz w:val="32"/>
          <w:szCs w:val="32"/>
          <w:highlight w:val="none"/>
        </w:rPr>
        <w:sectPr>
          <w:headerReference r:id="rId7" w:type="default"/>
          <w:footerReference r:id="rId8" w:type="default"/>
          <w:pgSz w:w="11906" w:h="16838"/>
          <w:pgMar w:top="1440" w:right="1797" w:bottom="1440" w:left="1797" w:header="851" w:footer="992" w:gutter="0"/>
          <w:pgNumType w:start="1"/>
          <w:cols w:space="720" w:num="1"/>
        </w:sectPr>
      </w:pPr>
    </w:p>
    <w:p w14:paraId="2549E3AC">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1</w:t>
      </w:r>
    </w:p>
    <w:p w14:paraId="413DCD52">
      <w:pPr>
        <w:spacing w:line="540" w:lineRule="exact"/>
        <w:jc w:val="center"/>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rPr>
        <w:t>广西壮族自治区小额贷款公司</w:t>
      </w:r>
      <w:r>
        <w:rPr>
          <w:rFonts w:hint="eastAsia" w:eastAsia="方正小标宋简体" w:cs="Times New Roman"/>
          <w:color w:val="auto"/>
          <w:sz w:val="44"/>
          <w:szCs w:val="44"/>
          <w:highlight w:val="none"/>
          <w:lang w:val="en-US" w:eastAsia="zh-CN"/>
        </w:rPr>
        <w:t>2024</w:t>
      </w:r>
      <w:r>
        <w:rPr>
          <w:rFonts w:hint="default" w:ascii="Times New Roman" w:hAnsi="Times New Roman" w:eastAsia="方正小标宋简体" w:cs="Times New Roman"/>
          <w:color w:val="auto"/>
          <w:sz w:val="44"/>
          <w:szCs w:val="44"/>
          <w:highlight w:val="none"/>
        </w:rPr>
        <w:t>年度监管评级</w:t>
      </w:r>
      <w:r>
        <w:rPr>
          <w:rFonts w:hint="default" w:ascii="Times New Roman" w:hAnsi="Times New Roman" w:eastAsia="方正小标宋简体" w:cs="Times New Roman"/>
          <w:color w:val="auto"/>
          <w:sz w:val="44"/>
          <w:szCs w:val="44"/>
          <w:highlight w:val="none"/>
          <w:lang w:eastAsia="zh-CN"/>
        </w:rPr>
        <w:t>评分</w:t>
      </w:r>
      <w:r>
        <w:rPr>
          <w:rFonts w:hint="eastAsia" w:eastAsia="方正小标宋简体" w:cs="Times New Roman"/>
          <w:color w:val="auto"/>
          <w:sz w:val="44"/>
          <w:szCs w:val="44"/>
          <w:highlight w:val="none"/>
          <w:lang w:eastAsia="zh-CN"/>
        </w:rPr>
        <w:t>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398"/>
        <w:gridCol w:w="506"/>
        <w:gridCol w:w="9741"/>
        <w:gridCol w:w="798"/>
        <w:gridCol w:w="715"/>
      </w:tblGrid>
      <w:tr w14:paraId="12A8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6" w:hRule="atLeast"/>
          <w:tblHeader/>
          <w:jc w:val="center"/>
        </w:trPr>
        <w:tc>
          <w:tcPr>
            <w:tcW w:w="2536" w:type="dxa"/>
            <w:gridSpan w:val="2"/>
            <w:noWrap w:val="0"/>
            <w:vAlign w:val="center"/>
          </w:tcPr>
          <w:p w14:paraId="1FBD5F88">
            <w:pPr>
              <w:spacing w:line="400" w:lineRule="exact"/>
              <w:jc w:val="center"/>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内容</w:t>
            </w:r>
          </w:p>
        </w:tc>
        <w:tc>
          <w:tcPr>
            <w:tcW w:w="506" w:type="dxa"/>
            <w:noWrap w:val="0"/>
            <w:vAlign w:val="center"/>
          </w:tcPr>
          <w:p w14:paraId="1E0FADC0">
            <w:pPr>
              <w:spacing w:line="400" w:lineRule="exact"/>
              <w:jc w:val="center"/>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分值</w:t>
            </w:r>
          </w:p>
        </w:tc>
        <w:tc>
          <w:tcPr>
            <w:tcW w:w="9741" w:type="dxa"/>
            <w:noWrap w:val="0"/>
            <w:vAlign w:val="center"/>
          </w:tcPr>
          <w:p w14:paraId="0DCE970C">
            <w:pPr>
              <w:spacing w:line="400" w:lineRule="exact"/>
              <w:jc w:val="center"/>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评分标准</w:t>
            </w:r>
          </w:p>
        </w:tc>
        <w:tc>
          <w:tcPr>
            <w:tcW w:w="798" w:type="dxa"/>
            <w:noWrap w:val="0"/>
            <w:vAlign w:val="center"/>
          </w:tcPr>
          <w:p w14:paraId="51C96B41">
            <w:pPr>
              <w:spacing w:line="360" w:lineRule="exact"/>
              <w:jc w:val="center"/>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得分</w:t>
            </w:r>
          </w:p>
        </w:tc>
        <w:tc>
          <w:tcPr>
            <w:tcW w:w="715" w:type="dxa"/>
            <w:noWrap w:val="0"/>
            <w:vAlign w:val="center"/>
          </w:tcPr>
          <w:p w14:paraId="41E695C8">
            <w:pPr>
              <w:spacing w:line="360" w:lineRule="exact"/>
              <w:jc w:val="center"/>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备注</w:t>
            </w:r>
          </w:p>
        </w:tc>
      </w:tr>
      <w:tr w14:paraId="701B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jc w:val="center"/>
        </w:trPr>
        <w:tc>
          <w:tcPr>
            <w:tcW w:w="1138" w:type="dxa"/>
            <w:vMerge w:val="restart"/>
            <w:noWrap w:val="0"/>
            <w:vAlign w:val="center"/>
          </w:tcPr>
          <w:p w14:paraId="19C2DBB2">
            <w:pPr>
              <w:spacing w:line="400" w:lineRule="exact"/>
              <w:jc w:val="center"/>
              <w:rPr>
                <w:rFonts w:hint="default" w:ascii="Times New Roman" w:hAnsi="Times New Roman" w:eastAsia="黑体" w:cs="Times New Roman"/>
                <w:color w:val="auto"/>
                <w:sz w:val="28"/>
                <w:szCs w:val="28"/>
                <w:highlight w:val="none"/>
              </w:rPr>
            </w:pPr>
          </w:p>
          <w:p w14:paraId="50961F9B">
            <w:pPr>
              <w:spacing w:line="40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lang w:eastAsia="zh-CN"/>
              </w:rPr>
              <w:t>一、</w:t>
            </w:r>
          </w:p>
          <w:p w14:paraId="21775DEC">
            <w:pPr>
              <w:numPr>
                <w:ilvl w:val="0"/>
                <w:numId w:val="0"/>
              </w:numPr>
              <w:spacing w:line="40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公司</w:t>
            </w:r>
          </w:p>
          <w:p w14:paraId="27F62C4C">
            <w:pPr>
              <w:numPr>
                <w:ilvl w:val="0"/>
                <w:numId w:val="0"/>
              </w:numPr>
              <w:spacing w:line="40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治理</w:t>
            </w:r>
          </w:p>
          <w:p w14:paraId="43F1B488">
            <w:pPr>
              <w:numPr>
                <w:ilvl w:val="0"/>
                <w:numId w:val="0"/>
              </w:numPr>
              <w:spacing w:line="40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45</w:t>
            </w:r>
            <w:r>
              <w:rPr>
                <w:rFonts w:hint="default" w:ascii="Times New Roman" w:hAnsi="Times New Roman" w:eastAsia="黑体" w:cs="Times New Roman"/>
                <w:color w:val="auto"/>
                <w:sz w:val="28"/>
                <w:szCs w:val="28"/>
                <w:highlight w:val="none"/>
              </w:rPr>
              <w:t>分）</w:t>
            </w:r>
          </w:p>
        </w:tc>
        <w:tc>
          <w:tcPr>
            <w:tcW w:w="1398" w:type="dxa"/>
            <w:noWrap w:val="0"/>
            <w:vAlign w:val="center"/>
          </w:tcPr>
          <w:p w14:paraId="3B0214AA">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outlineLvl w:val="9"/>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（1）股权结构</w:t>
            </w:r>
          </w:p>
        </w:tc>
        <w:tc>
          <w:tcPr>
            <w:tcW w:w="506" w:type="dxa"/>
            <w:noWrap w:val="0"/>
            <w:vAlign w:val="center"/>
          </w:tcPr>
          <w:p w14:paraId="03ACF78B">
            <w:pPr>
              <w:jc w:val="center"/>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10</w:t>
            </w:r>
          </w:p>
        </w:tc>
        <w:tc>
          <w:tcPr>
            <w:tcW w:w="9741" w:type="dxa"/>
            <w:noWrap w:val="0"/>
            <w:vAlign w:val="center"/>
          </w:tcPr>
          <w:p w14:paraId="5D62FAD8">
            <w:pPr>
              <w:keepNext w:val="0"/>
              <w:keepLines w:val="0"/>
              <w:pageBreakBefore w:val="0"/>
              <w:widowControl w:val="0"/>
              <w:kinsoku/>
              <w:wordWrap/>
              <w:overflowPunct/>
              <w:topLinePunct w:val="0"/>
              <w:autoSpaceDE/>
              <w:autoSpaceDN/>
              <w:bidi w:val="0"/>
              <w:adjustRightInd/>
              <w:snapToGrid w:val="0"/>
              <w:spacing w:line="240" w:lineRule="auto"/>
              <w:ind w:right="0" w:rightChars="0" w:firstLine="435"/>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w:t>
            </w:r>
            <w:r>
              <w:rPr>
                <w:rFonts w:hint="default" w:ascii="Times New Roman" w:hAnsi="Times New Roman" w:cs="Times New Roman"/>
                <w:color w:val="auto"/>
                <w:sz w:val="21"/>
                <w:szCs w:val="21"/>
                <w:highlight w:val="none"/>
                <w:lang w:eastAsia="zh-CN"/>
              </w:rPr>
              <w:t>股权结构合规性（</w:t>
            </w:r>
            <w:r>
              <w:rPr>
                <w:rFonts w:hint="default" w:ascii="Times New Roman" w:hAnsi="Times New Roman" w:cs="Times New Roman"/>
                <w:color w:val="auto"/>
                <w:sz w:val="21"/>
                <w:szCs w:val="21"/>
                <w:highlight w:val="none"/>
                <w:lang w:val="en-US" w:eastAsia="zh-CN"/>
              </w:rPr>
              <w:t>6分</w:t>
            </w:r>
            <w:r>
              <w:rPr>
                <w:rFonts w:hint="default" w:ascii="Times New Roman" w:hAnsi="Times New Roman" w:cs="Times New Roman"/>
                <w:color w:val="auto"/>
                <w:sz w:val="21"/>
                <w:szCs w:val="21"/>
                <w:highlight w:val="none"/>
                <w:lang w:eastAsia="zh-CN"/>
              </w:rPr>
              <w:t>）</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lang w:eastAsia="zh-CN"/>
              </w:rPr>
              <w:t>小额贷款公司第一大股东是企业法人，</w:t>
            </w:r>
            <w:r>
              <w:rPr>
                <w:rFonts w:hint="eastAsia" w:cs="Times New Roman"/>
                <w:color w:val="auto"/>
                <w:sz w:val="21"/>
                <w:szCs w:val="21"/>
                <w:highlight w:val="none"/>
                <w:lang w:val="en-US" w:eastAsia="zh-CN"/>
              </w:rPr>
              <w:t>且</w:t>
            </w:r>
            <w:r>
              <w:rPr>
                <w:rFonts w:hint="default" w:ascii="Times New Roman" w:hAnsi="Times New Roman" w:cs="Times New Roman"/>
                <w:color w:val="auto"/>
                <w:sz w:val="21"/>
                <w:szCs w:val="21"/>
                <w:highlight w:val="none"/>
                <w:lang w:eastAsia="zh-CN"/>
              </w:rPr>
              <w:t>持股比例不低于</w:t>
            </w:r>
            <w:r>
              <w:rPr>
                <w:rFonts w:hint="default" w:ascii="Times New Roman" w:hAnsi="Times New Roman" w:cs="Times New Roman"/>
                <w:color w:val="auto"/>
                <w:sz w:val="21"/>
                <w:szCs w:val="21"/>
                <w:highlight w:val="none"/>
                <w:lang w:val="en-US" w:eastAsia="zh-CN"/>
              </w:rPr>
              <w:t>小额贷款公司注册资本总额30%</w:t>
            </w:r>
            <w:r>
              <w:rPr>
                <w:rFonts w:hint="eastAsia" w:cs="Times New Roman"/>
                <w:color w:val="auto"/>
                <w:sz w:val="21"/>
                <w:szCs w:val="21"/>
                <w:highlight w:val="none"/>
                <w:lang w:val="en-US" w:eastAsia="zh-CN"/>
              </w:rPr>
              <w:t>的</w:t>
            </w: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得2分</w:t>
            </w:r>
            <w:r>
              <w:rPr>
                <w:rFonts w:hint="eastAsia"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有其他法人股东的，其持股比例</w:t>
            </w:r>
            <w:r>
              <w:rPr>
                <w:rFonts w:hint="eastAsia" w:ascii="Times New Roman" w:hAnsi="Times New Roman" w:cs="Times New Roman"/>
                <w:color w:val="auto"/>
                <w:sz w:val="21"/>
                <w:szCs w:val="21"/>
                <w:highlight w:val="none"/>
                <w:lang w:val="en-US" w:eastAsia="zh-CN"/>
              </w:rPr>
              <w:t>不</w:t>
            </w:r>
            <w:r>
              <w:rPr>
                <w:rFonts w:hint="default" w:ascii="Times New Roman" w:hAnsi="Times New Roman" w:cs="Times New Roman"/>
                <w:color w:val="auto"/>
                <w:sz w:val="21"/>
                <w:szCs w:val="21"/>
                <w:highlight w:val="none"/>
                <w:lang w:val="en-US" w:eastAsia="zh-CN"/>
              </w:rPr>
              <w:t>低于小额贷款公司注册资本总额的15%，且与第一大股东（主发起人）持股合计</w:t>
            </w:r>
            <w:r>
              <w:rPr>
                <w:rFonts w:hint="eastAsia" w:ascii="Times New Roman" w:hAnsi="Times New Roman" w:cs="Times New Roman"/>
                <w:color w:val="auto"/>
                <w:sz w:val="21"/>
                <w:szCs w:val="21"/>
                <w:highlight w:val="none"/>
                <w:lang w:val="en-US" w:eastAsia="zh-CN"/>
              </w:rPr>
              <w:t>不</w:t>
            </w:r>
            <w:r>
              <w:rPr>
                <w:rFonts w:hint="default" w:ascii="Times New Roman" w:hAnsi="Times New Roman" w:cs="Times New Roman"/>
                <w:color w:val="auto"/>
                <w:sz w:val="21"/>
                <w:szCs w:val="21"/>
                <w:highlight w:val="none"/>
                <w:lang w:val="en-US" w:eastAsia="zh-CN"/>
              </w:rPr>
              <w:t>低于小额贷款公司注册资本总额的51%，</w:t>
            </w:r>
            <w:r>
              <w:rPr>
                <w:rFonts w:hint="eastAsia" w:ascii="Times New Roman" w:hAnsi="Times New Roman" w:cs="Times New Roman"/>
                <w:color w:val="auto"/>
                <w:sz w:val="21"/>
                <w:szCs w:val="21"/>
                <w:highlight w:val="none"/>
                <w:lang w:val="en-US" w:eastAsia="zh-CN"/>
              </w:rPr>
              <w:t>得2分</w:t>
            </w:r>
            <w:r>
              <w:rPr>
                <w:rFonts w:hint="default" w:ascii="Times New Roman" w:hAnsi="Times New Roman" w:cs="Times New Roman"/>
                <w:color w:val="auto"/>
                <w:sz w:val="21"/>
                <w:szCs w:val="21"/>
                <w:highlight w:val="none"/>
                <w:lang w:val="en-US" w:eastAsia="zh-CN"/>
              </w:rPr>
              <w:t>；有</w:t>
            </w:r>
            <w:r>
              <w:rPr>
                <w:rFonts w:hint="default" w:ascii="Times New Roman" w:hAnsi="Times New Roman" w:eastAsia="仿宋_GB2312" w:cs="Times New Roman"/>
                <w:color w:val="auto"/>
                <w:kern w:val="2"/>
                <w:sz w:val="21"/>
                <w:szCs w:val="21"/>
                <w:highlight w:val="none"/>
              </w:rPr>
              <w:t>其他单个自然人股东</w:t>
            </w:r>
            <w:r>
              <w:rPr>
                <w:rFonts w:hint="default" w:ascii="Times New Roman" w:hAnsi="Times New Roman" w:cs="Times New Roman"/>
                <w:color w:val="auto"/>
                <w:kern w:val="2"/>
                <w:sz w:val="21"/>
                <w:szCs w:val="21"/>
                <w:highlight w:val="none"/>
                <w:lang w:eastAsia="zh-CN"/>
              </w:rPr>
              <w:t>的，单个自然人股东</w:t>
            </w:r>
            <w:r>
              <w:rPr>
                <w:rFonts w:hint="default" w:ascii="Times New Roman" w:hAnsi="Times New Roman" w:eastAsia="仿宋_GB2312" w:cs="Times New Roman"/>
                <w:color w:val="auto"/>
                <w:kern w:val="2"/>
                <w:sz w:val="21"/>
                <w:szCs w:val="21"/>
                <w:highlight w:val="none"/>
              </w:rPr>
              <w:t>及其关联方持股比例</w:t>
            </w:r>
            <w:r>
              <w:rPr>
                <w:rFonts w:hint="eastAsia" w:cs="Times New Roman"/>
                <w:color w:val="auto"/>
                <w:kern w:val="2"/>
                <w:sz w:val="21"/>
                <w:szCs w:val="21"/>
                <w:highlight w:val="none"/>
                <w:lang w:eastAsia="zh-CN"/>
              </w:rPr>
              <w:t>不</w:t>
            </w:r>
            <w:r>
              <w:rPr>
                <w:rFonts w:hint="default" w:ascii="Times New Roman" w:hAnsi="Times New Roman" w:eastAsia="仿宋_GB2312" w:cs="Times New Roman"/>
                <w:color w:val="auto"/>
                <w:kern w:val="2"/>
                <w:sz w:val="21"/>
                <w:szCs w:val="21"/>
                <w:highlight w:val="none"/>
              </w:rPr>
              <w:t>超过小额贷款公司注册资本总额的10%</w:t>
            </w:r>
            <w:r>
              <w:rPr>
                <w:rFonts w:hint="eastAsia" w:cs="Times New Roman"/>
                <w:color w:val="auto"/>
                <w:kern w:val="2"/>
                <w:sz w:val="21"/>
                <w:szCs w:val="21"/>
                <w:highlight w:val="none"/>
                <w:lang w:eastAsia="zh-CN"/>
              </w:rPr>
              <w:t>，</w:t>
            </w:r>
            <w:r>
              <w:rPr>
                <w:rFonts w:hint="eastAsia" w:cs="Times New Roman"/>
                <w:color w:val="auto"/>
                <w:kern w:val="2"/>
                <w:sz w:val="21"/>
                <w:szCs w:val="21"/>
                <w:highlight w:val="none"/>
                <w:lang w:val="en-US" w:eastAsia="zh-CN"/>
              </w:rPr>
              <w:t>得2分。违反上述规定的，酌情扣</w:t>
            </w:r>
            <w:r>
              <w:rPr>
                <w:rFonts w:hint="eastAsia" w:cs="Times New Roman"/>
                <w:bCs/>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w:t>
            </w:r>
            <w:r>
              <w:rPr>
                <w:rFonts w:hint="eastAsia" w:cs="Times New Roman"/>
                <w:bCs/>
                <w:color w:val="auto"/>
                <w:sz w:val="21"/>
                <w:szCs w:val="21"/>
                <w:highlight w:val="none"/>
                <w:lang w:val="en-US" w:eastAsia="zh-CN"/>
              </w:rPr>
              <w:t>6</w:t>
            </w:r>
            <w:r>
              <w:rPr>
                <w:rFonts w:hint="default" w:ascii="Times New Roman" w:hAnsi="Times New Roman" w:eastAsia="仿宋_GB2312" w:cs="Times New Roman"/>
                <w:bCs/>
                <w:color w:val="auto"/>
                <w:sz w:val="21"/>
                <w:szCs w:val="21"/>
                <w:highlight w:val="none"/>
              </w:rPr>
              <w:t>分</w:t>
            </w:r>
            <w:r>
              <w:rPr>
                <w:rFonts w:hint="default" w:ascii="Times New Roman" w:hAnsi="Times New Roman" w:cs="Times New Roman"/>
                <w:color w:val="auto"/>
                <w:kern w:val="2"/>
                <w:sz w:val="21"/>
                <w:szCs w:val="21"/>
                <w:highlight w:val="none"/>
                <w:lang w:val="en-US" w:eastAsia="zh-CN"/>
              </w:rPr>
              <w:t>。</w:t>
            </w:r>
          </w:p>
          <w:p w14:paraId="342CEE0B">
            <w:pPr>
              <w:pStyle w:val="2"/>
              <w:keepNext w:val="0"/>
              <w:keepLines w:val="0"/>
              <w:pageBreakBefore w:val="0"/>
              <w:widowControl w:val="0"/>
              <w:kinsoku/>
              <w:wordWrap/>
              <w:overflowPunct/>
              <w:topLinePunct w:val="0"/>
              <w:bidi w:val="0"/>
              <w:snapToGrid w:val="0"/>
              <w:spacing w:beforeLines="0" w:afterLines="0"/>
              <w:ind w:firstLine="420" w:firstLineChars="200"/>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.股权结构稳定性（</w:t>
            </w:r>
            <w:r>
              <w:rPr>
                <w:rFonts w:hint="default" w:ascii="Times New Roman" w:hAnsi="Times New Roman" w:cs="Times New Roman"/>
                <w:color w:val="auto"/>
                <w:sz w:val="21"/>
                <w:szCs w:val="21"/>
                <w:highlight w:val="none"/>
                <w:lang w:val="en-US" w:eastAsia="zh-CN"/>
              </w:rPr>
              <w:t>4</w:t>
            </w:r>
            <w:r>
              <w:rPr>
                <w:rFonts w:hint="default" w:ascii="Times New Roman" w:hAnsi="Times New Roman" w:eastAsia="仿宋_GB2312" w:cs="Times New Roman"/>
                <w:color w:val="auto"/>
                <w:sz w:val="21"/>
                <w:szCs w:val="21"/>
                <w:highlight w:val="none"/>
              </w:rPr>
              <w:t>分）。</w:t>
            </w:r>
            <w:r>
              <w:rPr>
                <w:rFonts w:hint="default" w:ascii="Times New Roman" w:hAnsi="Times New Roman" w:eastAsia="仿宋_GB2312" w:cs="Times New Roman"/>
                <w:color w:val="auto"/>
                <w:sz w:val="21"/>
                <w:szCs w:val="21"/>
                <w:highlight w:val="none"/>
                <w:lang w:eastAsia="zh-CN"/>
              </w:rPr>
              <w:t>当年</w:t>
            </w:r>
            <w:r>
              <w:rPr>
                <w:rFonts w:hint="default" w:ascii="Times New Roman" w:hAnsi="Times New Roman" w:eastAsia="仿宋_GB2312" w:cs="Times New Roman"/>
                <w:color w:val="auto"/>
                <w:sz w:val="21"/>
                <w:szCs w:val="21"/>
                <w:highlight w:val="none"/>
              </w:rPr>
              <w:t>股东及持股比例不变</w:t>
            </w:r>
            <w:r>
              <w:rPr>
                <w:rFonts w:hint="eastAsia" w:ascii="Times New Roman" w:hAnsi="Times New Roman" w:cs="Times New Roman"/>
                <w:color w:val="auto"/>
                <w:sz w:val="21"/>
                <w:szCs w:val="21"/>
                <w:highlight w:val="none"/>
                <w:lang w:val="en-US" w:eastAsia="zh-CN"/>
              </w:rPr>
              <w:t>的</w:t>
            </w:r>
            <w:r>
              <w:rPr>
                <w:rFonts w:hint="eastAsia" w:ascii="Times New Roman" w:hAnsi="Times New Roman"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得</w:t>
            </w:r>
            <w:r>
              <w:rPr>
                <w:rFonts w:hint="eastAsia" w:ascii="Times New Roman" w:hAnsi="Times New Roman" w:cs="Times New Roman"/>
                <w:color w:val="auto"/>
                <w:sz w:val="21"/>
                <w:szCs w:val="21"/>
                <w:highlight w:val="none"/>
                <w:lang w:val="en-US" w:eastAsia="zh-CN"/>
              </w:rPr>
              <w:t>4</w:t>
            </w:r>
            <w:r>
              <w:rPr>
                <w:rFonts w:hint="default" w:ascii="Times New Roman" w:hAnsi="Times New Roman" w:eastAsia="仿宋_GB2312" w:cs="Times New Roman"/>
                <w:color w:val="auto"/>
                <w:sz w:val="21"/>
                <w:szCs w:val="21"/>
                <w:highlight w:val="none"/>
              </w:rPr>
              <w:t>分</w:t>
            </w:r>
            <w:r>
              <w:rPr>
                <w:rFonts w:hint="eastAsia" w:ascii="Times New Roman" w:hAnsi="Times New Roman"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当年公司股权转让比例累计小于10%（含）</w:t>
            </w:r>
            <w:r>
              <w:rPr>
                <w:rFonts w:hint="default" w:ascii="Times New Roman" w:hAnsi="Times New Roman" w:eastAsia="仿宋_GB2312" w:cs="Times New Roman"/>
                <w:color w:val="auto"/>
                <w:sz w:val="21"/>
                <w:szCs w:val="21"/>
                <w:highlight w:val="none"/>
                <w:lang w:eastAsia="zh-CN"/>
              </w:rPr>
              <w:t>的</w:t>
            </w:r>
            <w:r>
              <w:rPr>
                <w:rFonts w:hint="eastAsia" w:ascii="Times New Roman" w:hAnsi="Times New Roman" w:cs="Times New Roman"/>
                <w:color w:val="auto"/>
                <w:sz w:val="21"/>
                <w:szCs w:val="21"/>
                <w:highlight w:val="none"/>
                <w:lang w:eastAsia="zh-CN"/>
              </w:rPr>
              <w:t>，得</w:t>
            </w:r>
            <w:r>
              <w:rPr>
                <w:rFonts w:hint="eastAsia" w:ascii="Times New Roman" w:hAnsi="Times New Roman" w:cs="Times New Roman"/>
                <w:color w:val="auto"/>
                <w:sz w:val="21"/>
                <w:szCs w:val="21"/>
                <w:highlight w:val="none"/>
                <w:lang w:val="en-US" w:eastAsia="zh-CN"/>
              </w:rPr>
              <w:t>3分</w:t>
            </w:r>
            <w:r>
              <w:rPr>
                <w:rFonts w:hint="default" w:ascii="Times New Roman" w:hAnsi="Times New Roman" w:eastAsia="仿宋_GB2312" w:cs="Times New Roman"/>
                <w:color w:val="auto"/>
                <w:sz w:val="21"/>
                <w:szCs w:val="21"/>
                <w:highlight w:val="none"/>
              </w:rPr>
              <w:t>；当年公司股权转让比例累计</w:t>
            </w:r>
            <w:r>
              <w:rPr>
                <w:rFonts w:hint="eastAsia" w:ascii="Times New Roman" w:hAnsi="Times New Roman" w:cs="Times New Roman"/>
                <w:color w:val="auto"/>
                <w:sz w:val="21"/>
                <w:szCs w:val="21"/>
                <w:highlight w:val="none"/>
                <w:lang w:eastAsia="zh-CN"/>
              </w:rPr>
              <w:t>在</w:t>
            </w:r>
            <w:r>
              <w:rPr>
                <w:rFonts w:hint="default" w:ascii="Times New Roman" w:hAnsi="Times New Roman" w:eastAsia="仿宋_GB2312" w:cs="Times New Roman"/>
                <w:color w:val="auto"/>
                <w:sz w:val="21"/>
                <w:szCs w:val="21"/>
                <w:highlight w:val="none"/>
              </w:rPr>
              <w:t>10%</w:t>
            </w:r>
            <w:r>
              <w:rPr>
                <w:rFonts w:hint="default" w:ascii="Times New Roman" w:hAnsi="Times New Roman"/>
                <w:color w:val="auto"/>
                <w:szCs w:val="32"/>
                <w:highlight w:val="none"/>
              </w:rPr>
              <w:t>～</w:t>
            </w:r>
            <w:r>
              <w:rPr>
                <w:rFonts w:hint="default" w:ascii="Times New Roman" w:hAnsi="Times New Roman" w:eastAsia="仿宋_GB2312" w:cs="Times New Roman"/>
                <w:color w:val="auto"/>
                <w:sz w:val="21"/>
                <w:szCs w:val="21"/>
                <w:highlight w:val="none"/>
              </w:rPr>
              <w:t>30%（含）的</w:t>
            </w:r>
            <w:r>
              <w:rPr>
                <w:rFonts w:hint="eastAsia" w:ascii="Times New Roman" w:hAnsi="Times New Roman" w:cs="Times New Roman"/>
                <w:color w:val="auto"/>
                <w:sz w:val="21"/>
                <w:szCs w:val="21"/>
                <w:highlight w:val="none"/>
                <w:lang w:eastAsia="zh-CN"/>
              </w:rPr>
              <w:t>，得</w:t>
            </w:r>
            <w:r>
              <w:rPr>
                <w:rFonts w:hint="default"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分</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当年公司股权转让比例累计超过30%的</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该子项</w:t>
            </w:r>
            <w:r>
              <w:rPr>
                <w:rFonts w:hint="eastAsia" w:ascii="Times New Roman" w:hAnsi="Times New Roman" w:cs="Times New Roman"/>
                <w:color w:val="auto"/>
                <w:sz w:val="21"/>
                <w:szCs w:val="21"/>
                <w:highlight w:val="none"/>
                <w:lang w:eastAsia="zh-CN"/>
              </w:rPr>
              <w:t>不得</w:t>
            </w:r>
            <w:r>
              <w:rPr>
                <w:rFonts w:hint="default" w:ascii="Times New Roman" w:hAnsi="Times New Roman" w:eastAsia="仿宋_GB2312" w:cs="Times New Roman"/>
                <w:color w:val="auto"/>
                <w:sz w:val="21"/>
                <w:szCs w:val="21"/>
                <w:highlight w:val="none"/>
              </w:rPr>
              <w:t>分。</w:t>
            </w:r>
            <w:r>
              <w:rPr>
                <w:rFonts w:hint="eastAsia" w:ascii="Times New Roman" w:hAnsi="Times New Roman" w:cs="Times New Roman"/>
                <w:color w:val="auto"/>
                <w:sz w:val="21"/>
                <w:szCs w:val="21"/>
                <w:highlight w:val="none"/>
                <w:lang w:val="en-US" w:eastAsia="zh-CN"/>
              </w:rPr>
              <w:t>增资扩股情况除外。</w:t>
            </w:r>
          </w:p>
        </w:tc>
        <w:tc>
          <w:tcPr>
            <w:tcW w:w="798" w:type="dxa"/>
            <w:noWrap w:val="0"/>
            <w:vAlign w:val="top"/>
          </w:tcPr>
          <w:p w14:paraId="503EAAF6">
            <w:pPr>
              <w:spacing w:line="540" w:lineRule="exact"/>
              <w:rPr>
                <w:rFonts w:hint="default" w:ascii="Times New Roman" w:hAnsi="Times New Roman" w:eastAsia="方正仿宋_GBK" w:cs="Times New Roman"/>
                <w:color w:val="auto"/>
                <w:sz w:val="32"/>
                <w:szCs w:val="32"/>
                <w:highlight w:val="none"/>
              </w:rPr>
            </w:pPr>
          </w:p>
        </w:tc>
        <w:tc>
          <w:tcPr>
            <w:tcW w:w="715" w:type="dxa"/>
            <w:noWrap w:val="0"/>
            <w:vAlign w:val="top"/>
          </w:tcPr>
          <w:p w14:paraId="747EB0A3">
            <w:pPr>
              <w:spacing w:line="540" w:lineRule="exact"/>
              <w:rPr>
                <w:rFonts w:hint="default" w:ascii="Times New Roman" w:hAnsi="Times New Roman" w:eastAsia="方正仿宋_GBK" w:cs="Times New Roman"/>
                <w:color w:val="auto"/>
                <w:sz w:val="32"/>
                <w:szCs w:val="32"/>
                <w:highlight w:val="none"/>
              </w:rPr>
            </w:pPr>
          </w:p>
        </w:tc>
      </w:tr>
      <w:tr w14:paraId="220B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138" w:type="dxa"/>
            <w:vMerge w:val="continue"/>
            <w:noWrap w:val="0"/>
            <w:vAlign w:val="center"/>
          </w:tcPr>
          <w:p w14:paraId="307706A3">
            <w:pPr>
              <w:spacing w:line="400" w:lineRule="exact"/>
              <w:jc w:val="left"/>
              <w:rPr>
                <w:rFonts w:hint="default" w:ascii="Times New Roman" w:hAnsi="Times New Roman" w:eastAsia="黑体" w:cs="Times New Roman"/>
                <w:color w:val="auto"/>
                <w:sz w:val="28"/>
                <w:szCs w:val="28"/>
                <w:highlight w:val="none"/>
              </w:rPr>
            </w:pPr>
          </w:p>
        </w:tc>
        <w:tc>
          <w:tcPr>
            <w:tcW w:w="1398" w:type="dxa"/>
            <w:noWrap w:val="0"/>
            <w:vAlign w:val="center"/>
          </w:tcPr>
          <w:p w14:paraId="31253BF7">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outlineLvl w:val="9"/>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w:t>
            </w:r>
            <w:r>
              <w:rPr>
                <w:rFonts w:hint="default" w:ascii="Times New Roman" w:hAnsi="Times New Roman" w:eastAsia="楷体_GB2312" w:cs="Times New Roman"/>
                <w:b/>
                <w:bCs/>
                <w:color w:val="auto"/>
                <w:sz w:val="24"/>
                <w:szCs w:val="24"/>
                <w:highlight w:val="none"/>
                <w:lang w:val="en-US" w:eastAsia="zh-CN"/>
              </w:rPr>
              <w:t>2</w:t>
            </w:r>
            <w:r>
              <w:rPr>
                <w:rFonts w:hint="default" w:ascii="Times New Roman" w:hAnsi="Times New Roman" w:eastAsia="楷体_GB2312" w:cs="Times New Roman"/>
                <w:b/>
                <w:bCs/>
                <w:color w:val="auto"/>
                <w:sz w:val="24"/>
                <w:szCs w:val="24"/>
                <w:highlight w:val="none"/>
              </w:rPr>
              <w:t>）治理结构</w:t>
            </w:r>
          </w:p>
        </w:tc>
        <w:tc>
          <w:tcPr>
            <w:tcW w:w="506" w:type="dxa"/>
            <w:noWrap w:val="0"/>
            <w:vAlign w:val="center"/>
          </w:tcPr>
          <w:p w14:paraId="7A6E7735">
            <w:pPr>
              <w:jc w:val="center"/>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10</w:t>
            </w:r>
          </w:p>
        </w:tc>
        <w:tc>
          <w:tcPr>
            <w:tcW w:w="9741" w:type="dxa"/>
            <w:noWrap w:val="0"/>
            <w:vAlign w:val="center"/>
          </w:tcPr>
          <w:p w14:paraId="5681E37E">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textAlignment w:val="auto"/>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rPr>
              <w:t>1.</w:t>
            </w:r>
            <w:r>
              <w:rPr>
                <w:rFonts w:hint="eastAsia" w:cs="Times New Roman"/>
                <w:bCs/>
                <w:color w:val="auto"/>
                <w:sz w:val="21"/>
                <w:szCs w:val="21"/>
                <w:highlight w:val="none"/>
                <w:lang w:val="en-US" w:eastAsia="zh-CN"/>
              </w:rPr>
              <w:t>组织架构</w:t>
            </w:r>
            <w:r>
              <w:rPr>
                <w:rFonts w:hint="default" w:ascii="Times New Roman" w:hAnsi="Times New Roman" w:eastAsia="仿宋_GB2312" w:cs="Times New Roman"/>
                <w:bCs/>
                <w:color w:val="auto"/>
                <w:sz w:val="21"/>
                <w:szCs w:val="21"/>
                <w:highlight w:val="none"/>
              </w:rPr>
              <w:t>（</w:t>
            </w:r>
            <w:r>
              <w:rPr>
                <w:rFonts w:hint="eastAsia" w:ascii="Times New Roman" w:hAnsi="Times New Roman" w:cs="Times New Roman"/>
                <w:bCs/>
                <w:color w:val="auto"/>
                <w:sz w:val="21"/>
                <w:szCs w:val="21"/>
                <w:highlight w:val="none"/>
                <w:lang w:eastAsia="zh-CN"/>
              </w:rPr>
              <w:t>5</w:t>
            </w:r>
            <w:r>
              <w:rPr>
                <w:rFonts w:hint="default" w:ascii="Times New Roman" w:hAnsi="Times New Roman" w:eastAsia="仿宋_GB2312" w:cs="Times New Roman"/>
                <w:bCs/>
                <w:color w:val="auto"/>
                <w:sz w:val="21"/>
                <w:szCs w:val="21"/>
                <w:highlight w:val="none"/>
              </w:rPr>
              <w:t>分）。股东</w:t>
            </w:r>
            <w:r>
              <w:rPr>
                <w:rFonts w:hint="eastAsia" w:cs="Times New Roman"/>
                <w:bCs/>
                <w:color w:val="auto"/>
                <w:sz w:val="21"/>
                <w:szCs w:val="21"/>
                <w:highlight w:val="none"/>
                <w:lang w:eastAsia="zh-CN"/>
              </w:rPr>
              <w:t>（</w:t>
            </w:r>
            <w:r>
              <w:rPr>
                <w:rFonts w:hint="eastAsia" w:cs="Times New Roman"/>
                <w:bCs/>
                <w:color w:val="auto"/>
                <w:sz w:val="21"/>
                <w:szCs w:val="21"/>
                <w:highlight w:val="none"/>
                <w:lang w:val="en-US" w:eastAsia="zh-CN"/>
              </w:rPr>
              <w:t>会</w:t>
            </w:r>
            <w:r>
              <w:rPr>
                <w:rFonts w:hint="eastAsia" w:cs="Times New Roman"/>
                <w:bCs/>
                <w:color w:val="auto"/>
                <w:sz w:val="21"/>
                <w:szCs w:val="21"/>
                <w:highlight w:val="none"/>
                <w:lang w:eastAsia="zh-CN"/>
              </w:rPr>
              <w:t>）</w:t>
            </w:r>
            <w:r>
              <w:rPr>
                <w:rFonts w:hint="default" w:ascii="Times New Roman" w:hAnsi="Times New Roman" w:eastAsia="仿宋_GB2312" w:cs="Times New Roman"/>
                <w:bCs/>
                <w:color w:val="auto"/>
                <w:sz w:val="21"/>
                <w:szCs w:val="21"/>
                <w:highlight w:val="none"/>
              </w:rPr>
              <w:t>、董事（董事</w:t>
            </w:r>
            <w:r>
              <w:rPr>
                <w:rFonts w:hint="eastAsia" w:cs="Times New Roman"/>
                <w:bCs/>
                <w:color w:val="auto"/>
                <w:sz w:val="21"/>
                <w:szCs w:val="21"/>
                <w:highlight w:val="none"/>
                <w:lang w:val="en-US" w:eastAsia="zh-CN"/>
              </w:rPr>
              <w:t>会</w:t>
            </w:r>
            <w:r>
              <w:rPr>
                <w:rFonts w:hint="default" w:ascii="Times New Roman" w:hAnsi="Times New Roman" w:eastAsia="仿宋_GB2312" w:cs="Times New Roman"/>
                <w:bCs/>
                <w:color w:val="auto"/>
                <w:sz w:val="21"/>
                <w:szCs w:val="21"/>
                <w:highlight w:val="none"/>
              </w:rPr>
              <w:t>）、监事（会）和高级管理层权责明确，有议事规则、决策程序和约束机制，会议记录完整</w:t>
            </w:r>
            <w:r>
              <w:rPr>
                <w:rFonts w:hint="default" w:ascii="Times New Roman" w:hAnsi="Times New Roman" w:cs="Times New Roman"/>
                <w:bCs/>
                <w:color w:val="auto"/>
                <w:sz w:val="21"/>
                <w:szCs w:val="21"/>
                <w:highlight w:val="none"/>
                <w:lang w:eastAsia="zh-CN"/>
              </w:rPr>
              <w:t>的</w:t>
            </w:r>
            <w:r>
              <w:rPr>
                <w:rFonts w:hint="eastAsia" w:cs="Times New Roman"/>
                <w:bCs/>
                <w:color w:val="auto"/>
                <w:sz w:val="21"/>
                <w:szCs w:val="21"/>
                <w:highlight w:val="none"/>
                <w:lang w:eastAsia="zh-CN"/>
              </w:rPr>
              <w:t>，</w:t>
            </w:r>
            <w:r>
              <w:rPr>
                <w:rFonts w:hint="default" w:ascii="Times New Roman" w:hAnsi="Times New Roman" w:eastAsia="仿宋_GB2312" w:cs="Times New Roman"/>
                <w:bCs/>
                <w:color w:val="auto"/>
                <w:sz w:val="21"/>
                <w:szCs w:val="21"/>
                <w:highlight w:val="none"/>
              </w:rPr>
              <w:t>得</w:t>
            </w:r>
            <w:r>
              <w:rPr>
                <w:rFonts w:hint="eastAsia" w:ascii="Times New Roman" w:hAnsi="Times New Roman" w:cs="Times New Roman"/>
                <w:bCs/>
                <w:color w:val="auto"/>
                <w:sz w:val="21"/>
                <w:szCs w:val="21"/>
                <w:highlight w:val="none"/>
                <w:lang w:eastAsia="zh-CN"/>
              </w:rPr>
              <w:t>5</w:t>
            </w:r>
            <w:r>
              <w:rPr>
                <w:rFonts w:hint="default" w:ascii="Times New Roman" w:hAnsi="Times New Roman" w:eastAsia="仿宋_GB2312" w:cs="Times New Roman"/>
                <w:bCs/>
                <w:color w:val="auto"/>
                <w:sz w:val="21"/>
                <w:szCs w:val="21"/>
                <w:highlight w:val="none"/>
              </w:rPr>
              <w:t>分</w:t>
            </w:r>
            <w:r>
              <w:rPr>
                <w:rFonts w:hint="eastAsia" w:cs="Times New Roman"/>
                <w:bCs/>
                <w:color w:val="auto"/>
                <w:sz w:val="21"/>
                <w:szCs w:val="21"/>
                <w:highlight w:val="none"/>
                <w:lang w:eastAsia="zh-CN"/>
              </w:rPr>
              <w:t>。</w:t>
            </w:r>
            <w:r>
              <w:rPr>
                <w:rFonts w:hint="eastAsia" w:cs="Times New Roman"/>
                <w:bCs/>
                <w:color w:val="auto"/>
                <w:sz w:val="21"/>
                <w:szCs w:val="21"/>
                <w:highlight w:val="none"/>
                <w:lang w:val="en-US" w:eastAsia="zh-CN"/>
              </w:rPr>
              <w:t>否则</w:t>
            </w:r>
            <w:r>
              <w:rPr>
                <w:rFonts w:hint="default" w:ascii="Times New Roman" w:hAnsi="Times New Roman" w:eastAsia="仿宋_GB2312" w:cs="Times New Roman"/>
                <w:bCs/>
                <w:color w:val="auto"/>
                <w:sz w:val="21"/>
                <w:szCs w:val="21"/>
                <w:highlight w:val="none"/>
              </w:rPr>
              <w:t>酌情扣</w:t>
            </w:r>
            <w:r>
              <w:rPr>
                <w:rFonts w:hint="eastAsia" w:cs="Times New Roman"/>
                <w:bCs/>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w:t>
            </w:r>
            <w:r>
              <w:rPr>
                <w:rFonts w:hint="eastAsia" w:cs="Times New Roman"/>
                <w:bCs/>
                <w:color w:val="auto"/>
                <w:sz w:val="21"/>
                <w:szCs w:val="21"/>
                <w:highlight w:val="none"/>
                <w:lang w:val="en-US" w:eastAsia="zh-CN"/>
              </w:rPr>
              <w:t>5</w:t>
            </w:r>
            <w:r>
              <w:rPr>
                <w:rFonts w:hint="default" w:ascii="Times New Roman" w:hAnsi="Times New Roman" w:eastAsia="仿宋_GB2312" w:cs="Times New Roman"/>
                <w:bCs/>
                <w:color w:val="auto"/>
                <w:sz w:val="21"/>
                <w:szCs w:val="21"/>
                <w:highlight w:val="none"/>
              </w:rPr>
              <w:t>分。</w:t>
            </w:r>
          </w:p>
          <w:p w14:paraId="62B94F02">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textAlignment w:val="auto"/>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rPr>
              <w:t>2.</w:t>
            </w:r>
            <w:r>
              <w:rPr>
                <w:rFonts w:hint="eastAsia" w:cs="Times New Roman"/>
                <w:bCs/>
                <w:color w:val="auto"/>
                <w:sz w:val="21"/>
                <w:szCs w:val="21"/>
                <w:highlight w:val="none"/>
                <w:lang w:val="en-US" w:eastAsia="zh-CN"/>
              </w:rPr>
              <w:t>内设机构</w:t>
            </w:r>
            <w:r>
              <w:rPr>
                <w:rFonts w:hint="default" w:ascii="Times New Roman" w:hAnsi="Times New Roman" w:eastAsia="仿宋_GB2312" w:cs="Times New Roman"/>
                <w:bCs/>
                <w:color w:val="auto"/>
                <w:sz w:val="21"/>
                <w:szCs w:val="21"/>
                <w:highlight w:val="none"/>
              </w:rPr>
              <w:t>（</w:t>
            </w:r>
            <w:r>
              <w:rPr>
                <w:rFonts w:hint="eastAsia" w:ascii="Times New Roman" w:hAnsi="Times New Roman" w:cs="Times New Roman"/>
                <w:bCs/>
                <w:color w:val="auto"/>
                <w:sz w:val="21"/>
                <w:szCs w:val="21"/>
                <w:highlight w:val="none"/>
                <w:lang w:eastAsia="zh-CN"/>
              </w:rPr>
              <w:t>5</w:t>
            </w:r>
            <w:r>
              <w:rPr>
                <w:rFonts w:hint="default" w:ascii="Times New Roman" w:hAnsi="Times New Roman" w:eastAsia="仿宋_GB2312" w:cs="Times New Roman"/>
                <w:bCs/>
                <w:color w:val="auto"/>
                <w:sz w:val="21"/>
                <w:szCs w:val="21"/>
                <w:highlight w:val="none"/>
              </w:rPr>
              <w:t>分）。公司设有</w:t>
            </w:r>
            <w:r>
              <w:rPr>
                <w:rFonts w:hint="eastAsia" w:cs="Times New Roman"/>
                <w:bCs/>
                <w:color w:val="auto"/>
                <w:sz w:val="21"/>
                <w:szCs w:val="21"/>
                <w:highlight w:val="none"/>
                <w:lang w:val="en-US" w:eastAsia="zh-CN"/>
              </w:rPr>
              <w:t>综合、</w:t>
            </w:r>
            <w:r>
              <w:rPr>
                <w:rFonts w:hint="default" w:ascii="Times New Roman" w:hAnsi="Times New Roman" w:eastAsia="仿宋_GB2312" w:cs="Times New Roman"/>
                <w:bCs/>
                <w:color w:val="auto"/>
                <w:sz w:val="21"/>
                <w:szCs w:val="21"/>
                <w:highlight w:val="none"/>
              </w:rPr>
              <w:t>业务、风险管理等必要部门</w:t>
            </w:r>
            <w:r>
              <w:rPr>
                <w:rFonts w:hint="eastAsia" w:cs="Times New Roman"/>
                <w:bCs/>
                <w:color w:val="auto"/>
                <w:sz w:val="21"/>
                <w:szCs w:val="21"/>
                <w:highlight w:val="none"/>
                <w:lang w:val="en-US" w:eastAsia="zh-CN"/>
              </w:rPr>
              <w:t>或人员</w:t>
            </w:r>
            <w:r>
              <w:rPr>
                <w:rFonts w:hint="default" w:ascii="Times New Roman" w:hAnsi="Times New Roman" w:eastAsia="仿宋_GB2312" w:cs="Times New Roman"/>
                <w:bCs/>
                <w:color w:val="auto"/>
                <w:sz w:val="21"/>
                <w:szCs w:val="21"/>
                <w:highlight w:val="none"/>
              </w:rPr>
              <w:t>，部门</w:t>
            </w:r>
            <w:r>
              <w:rPr>
                <w:rFonts w:hint="eastAsia" w:cs="Times New Roman"/>
                <w:bCs/>
                <w:color w:val="auto"/>
                <w:sz w:val="21"/>
                <w:szCs w:val="21"/>
                <w:highlight w:val="none"/>
                <w:lang w:val="en-US" w:eastAsia="zh-CN"/>
              </w:rPr>
              <w:t>或岗位</w:t>
            </w:r>
            <w:r>
              <w:rPr>
                <w:rFonts w:hint="default" w:ascii="Times New Roman" w:hAnsi="Times New Roman" w:eastAsia="仿宋_GB2312" w:cs="Times New Roman"/>
                <w:bCs/>
                <w:color w:val="auto"/>
                <w:sz w:val="21"/>
                <w:szCs w:val="21"/>
                <w:highlight w:val="none"/>
              </w:rPr>
              <w:t>职责界定清晰</w:t>
            </w:r>
            <w:r>
              <w:rPr>
                <w:rFonts w:hint="eastAsia" w:cs="Times New Roman"/>
                <w:bCs/>
                <w:color w:val="auto"/>
                <w:sz w:val="21"/>
                <w:szCs w:val="21"/>
                <w:highlight w:val="none"/>
                <w:lang w:eastAsia="zh-CN"/>
              </w:rPr>
              <w:t>，</w:t>
            </w:r>
            <w:r>
              <w:rPr>
                <w:rFonts w:hint="default" w:ascii="Times New Roman" w:hAnsi="Times New Roman" w:eastAsia="仿宋_GB2312" w:cs="Times New Roman"/>
                <w:bCs/>
                <w:color w:val="auto"/>
                <w:sz w:val="21"/>
                <w:szCs w:val="21"/>
                <w:highlight w:val="none"/>
              </w:rPr>
              <w:t>得</w:t>
            </w:r>
            <w:r>
              <w:rPr>
                <w:rFonts w:hint="eastAsia" w:ascii="Times New Roman" w:hAnsi="Times New Roman" w:cs="Times New Roman"/>
                <w:bCs/>
                <w:color w:val="auto"/>
                <w:sz w:val="21"/>
                <w:szCs w:val="21"/>
                <w:highlight w:val="none"/>
                <w:lang w:eastAsia="zh-CN"/>
              </w:rPr>
              <w:t>5</w:t>
            </w:r>
            <w:r>
              <w:rPr>
                <w:rFonts w:hint="default" w:ascii="Times New Roman" w:hAnsi="Times New Roman" w:eastAsia="仿宋_GB2312" w:cs="Times New Roman"/>
                <w:bCs/>
                <w:color w:val="auto"/>
                <w:sz w:val="21"/>
                <w:szCs w:val="21"/>
                <w:highlight w:val="none"/>
              </w:rPr>
              <w:t>分</w:t>
            </w:r>
            <w:r>
              <w:rPr>
                <w:rFonts w:hint="eastAsia" w:cs="Times New Roman"/>
                <w:bCs/>
                <w:color w:val="auto"/>
                <w:sz w:val="21"/>
                <w:szCs w:val="21"/>
                <w:highlight w:val="none"/>
                <w:lang w:eastAsia="zh-CN"/>
              </w:rPr>
              <w:t>。</w:t>
            </w:r>
            <w:r>
              <w:rPr>
                <w:rFonts w:hint="eastAsia" w:cs="Times New Roman"/>
                <w:bCs/>
                <w:color w:val="auto"/>
                <w:sz w:val="21"/>
                <w:szCs w:val="21"/>
                <w:highlight w:val="none"/>
                <w:lang w:val="en-US" w:eastAsia="zh-CN"/>
              </w:rPr>
              <w:t>否则</w:t>
            </w:r>
            <w:r>
              <w:rPr>
                <w:rFonts w:hint="default" w:ascii="Times New Roman" w:hAnsi="Times New Roman" w:eastAsia="仿宋_GB2312" w:cs="Times New Roman"/>
                <w:bCs/>
                <w:color w:val="auto"/>
                <w:sz w:val="21"/>
                <w:szCs w:val="21"/>
                <w:highlight w:val="none"/>
              </w:rPr>
              <w:t>酌情扣</w:t>
            </w:r>
            <w:r>
              <w:rPr>
                <w:rFonts w:hint="eastAsia" w:cs="Times New Roman"/>
                <w:bCs/>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w:t>
            </w:r>
            <w:r>
              <w:rPr>
                <w:rFonts w:hint="eastAsia" w:cs="Times New Roman"/>
                <w:bCs/>
                <w:color w:val="auto"/>
                <w:sz w:val="21"/>
                <w:szCs w:val="21"/>
                <w:highlight w:val="none"/>
                <w:lang w:val="en-US" w:eastAsia="zh-CN"/>
              </w:rPr>
              <w:t>5</w:t>
            </w:r>
            <w:r>
              <w:rPr>
                <w:rFonts w:hint="default" w:ascii="Times New Roman" w:hAnsi="Times New Roman" w:eastAsia="仿宋_GB2312" w:cs="Times New Roman"/>
                <w:bCs/>
                <w:color w:val="auto"/>
                <w:sz w:val="21"/>
                <w:szCs w:val="21"/>
                <w:highlight w:val="none"/>
              </w:rPr>
              <w:t>分。</w:t>
            </w:r>
          </w:p>
        </w:tc>
        <w:tc>
          <w:tcPr>
            <w:tcW w:w="798" w:type="dxa"/>
            <w:noWrap w:val="0"/>
            <w:vAlign w:val="top"/>
          </w:tcPr>
          <w:p w14:paraId="32A0EB47">
            <w:pPr>
              <w:ind w:firstLine="420" w:firstLineChars="200"/>
              <w:rPr>
                <w:rFonts w:hint="default" w:ascii="Times New Roman" w:hAnsi="Times New Roman" w:eastAsia="仿宋" w:cs="Times New Roman"/>
                <w:bCs/>
                <w:color w:val="auto"/>
                <w:sz w:val="21"/>
                <w:highlight w:val="none"/>
              </w:rPr>
            </w:pPr>
          </w:p>
        </w:tc>
        <w:tc>
          <w:tcPr>
            <w:tcW w:w="715" w:type="dxa"/>
            <w:noWrap w:val="0"/>
            <w:vAlign w:val="top"/>
          </w:tcPr>
          <w:p w14:paraId="087E27BC">
            <w:pPr>
              <w:spacing w:line="540" w:lineRule="exact"/>
              <w:rPr>
                <w:rFonts w:hint="default" w:ascii="Times New Roman" w:hAnsi="Times New Roman" w:eastAsia="方正仿宋_GBK" w:cs="Times New Roman"/>
                <w:color w:val="auto"/>
                <w:sz w:val="32"/>
                <w:szCs w:val="32"/>
                <w:highlight w:val="none"/>
              </w:rPr>
            </w:pPr>
          </w:p>
        </w:tc>
      </w:tr>
      <w:tr w14:paraId="7830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1138" w:type="dxa"/>
            <w:vMerge w:val="continue"/>
            <w:noWrap w:val="0"/>
            <w:vAlign w:val="center"/>
          </w:tcPr>
          <w:p w14:paraId="3EB70DC1">
            <w:pPr>
              <w:spacing w:line="400" w:lineRule="exact"/>
              <w:jc w:val="center"/>
              <w:rPr>
                <w:rFonts w:hint="default" w:ascii="Times New Roman" w:hAnsi="Times New Roman" w:eastAsia="黑体" w:cs="Times New Roman"/>
                <w:color w:val="auto"/>
                <w:sz w:val="28"/>
                <w:szCs w:val="28"/>
                <w:highlight w:val="none"/>
              </w:rPr>
            </w:pPr>
          </w:p>
        </w:tc>
        <w:tc>
          <w:tcPr>
            <w:tcW w:w="1398" w:type="dxa"/>
            <w:noWrap w:val="0"/>
            <w:vAlign w:val="center"/>
          </w:tcPr>
          <w:p w14:paraId="4B9F8AFC">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outlineLvl w:val="9"/>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w:t>
            </w:r>
            <w:r>
              <w:rPr>
                <w:rFonts w:hint="default" w:ascii="Times New Roman" w:hAnsi="Times New Roman" w:eastAsia="楷体_GB2312" w:cs="Times New Roman"/>
                <w:b/>
                <w:bCs/>
                <w:color w:val="auto"/>
                <w:sz w:val="24"/>
                <w:szCs w:val="24"/>
                <w:highlight w:val="none"/>
                <w:lang w:val="en-US" w:eastAsia="zh-CN"/>
              </w:rPr>
              <w:t>3</w:t>
            </w:r>
            <w:r>
              <w:rPr>
                <w:rFonts w:hint="default" w:ascii="Times New Roman" w:hAnsi="Times New Roman" w:eastAsia="楷体_GB2312" w:cs="Times New Roman"/>
                <w:b/>
                <w:bCs/>
                <w:color w:val="auto"/>
                <w:sz w:val="24"/>
                <w:szCs w:val="24"/>
                <w:highlight w:val="none"/>
              </w:rPr>
              <w:t>）人力资源</w:t>
            </w:r>
          </w:p>
        </w:tc>
        <w:tc>
          <w:tcPr>
            <w:tcW w:w="506" w:type="dxa"/>
            <w:noWrap w:val="0"/>
            <w:vAlign w:val="center"/>
          </w:tcPr>
          <w:p w14:paraId="0CB06A8C">
            <w:pPr>
              <w:jc w:val="center"/>
              <w:rPr>
                <w:rFonts w:hint="default" w:ascii="Times New Roman" w:hAnsi="Times New Roman" w:eastAsia="宋体" w:cs="Times New Roman"/>
                <w:b/>
                <w:bCs/>
                <w:color w:val="auto"/>
                <w:sz w:val="24"/>
                <w:szCs w:val="24"/>
                <w:highlight w:val="none"/>
                <w:lang w:val="en-US"/>
              </w:rPr>
            </w:pPr>
            <w:r>
              <w:rPr>
                <w:rFonts w:hint="eastAsia" w:eastAsia="宋体" w:cs="Times New Roman"/>
                <w:b/>
                <w:bCs/>
                <w:color w:val="auto"/>
                <w:sz w:val="24"/>
                <w:szCs w:val="24"/>
                <w:highlight w:val="none"/>
                <w:lang w:val="en-US" w:eastAsia="zh-CN"/>
              </w:rPr>
              <w:t>10</w:t>
            </w:r>
          </w:p>
        </w:tc>
        <w:tc>
          <w:tcPr>
            <w:tcW w:w="9741" w:type="dxa"/>
            <w:noWrap w:val="0"/>
            <w:vAlign w:val="center"/>
          </w:tcPr>
          <w:p w14:paraId="78AAA570">
            <w:pPr>
              <w:pStyle w:val="2"/>
              <w:spacing w:line="280" w:lineRule="exact"/>
              <w:ind w:firstLine="420" w:firstLineChars="200"/>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rPr>
              <w:t>1</w:t>
            </w:r>
            <w:r>
              <w:rPr>
                <w:rFonts w:hint="eastAsia" w:ascii="Times New Roman" w:hAnsi="Times New Roman" w:cs="Times New Roman"/>
                <w:bCs/>
                <w:color w:val="auto"/>
                <w:sz w:val="21"/>
                <w:szCs w:val="21"/>
                <w:highlight w:val="none"/>
                <w:lang w:val="en-US" w:eastAsia="zh-CN"/>
              </w:rPr>
              <w:t>.</w:t>
            </w:r>
            <w:r>
              <w:rPr>
                <w:rFonts w:hint="default" w:ascii="Times New Roman" w:hAnsi="Times New Roman" w:eastAsia="仿宋_GB2312" w:cs="Times New Roman"/>
                <w:bCs/>
                <w:color w:val="auto"/>
                <w:sz w:val="21"/>
                <w:szCs w:val="21"/>
                <w:highlight w:val="none"/>
              </w:rPr>
              <w:t>从业人</w:t>
            </w:r>
            <w:r>
              <w:rPr>
                <w:rFonts w:hint="default" w:ascii="Times New Roman" w:hAnsi="Times New Roman" w:cs="Times New Roman"/>
                <w:bCs/>
                <w:color w:val="auto"/>
                <w:sz w:val="21"/>
                <w:szCs w:val="21"/>
                <w:highlight w:val="none"/>
                <w:lang w:eastAsia="zh-CN"/>
              </w:rPr>
              <w:t>员</w:t>
            </w:r>
            <w:r>
              <w:rPr>
                <w:rFonts w:hint="eastAsia" w:ascii="Times New Roman" w:hAnsi="Times New Roman" w:cs="Times New Roman"/>
                <w:bCs/>
                <w:color w:val="auto"/>
                <w:sz w:val="21"/>
                <w:szCs w:val="21"/>
                <w:highlight w:val="none"/>
                <w:lang w:eastAsia="zh-CN"/>
              </w:rPr>
              <w:t>（</w:t>
            </w:r>
            <w:r>
              <w:rPr>
                <w:rFonts w:hint="eastAsia" w:ascii="Times New Roman" w:hAnsi="Times New Roman" w:cs="Times New Roman"/>
                <w:bCs/>
                <w:color w:val="auto"/>
                <w:sz w:val="21"/>
                <w:szCs w:val="21"/>
                <w:highlight w:val="none"/>
                <w:lang w:val="en-US" w:eastAsia="zh-CN"/>
              </w:rPr>
              <w:t>含高级管理</w:t>
            </w:r>
            <w:r>
              <w:rPr>
                <w:rFonts w:hint="default" w:ascii="Times New Roman" w:hAnsi="Times New Roman" w:eastAsia="仿宋_GB2312" w:cs="Times New Roman"/>
                <w:bCs/>
                <w:color w:val="auto"/>
                <w:sz w:val="21"/>
                <w:szCs w:val="21"/>
                <w:highlight w:val="none"/>
              </w:rPr>
              <w:t>人员</w:t>
            </w:r>
            <w:r>
              <w:rPr>
                <w:rFonts w:hint="eastAsia" w:ascii="Times New Roman" w:hAnsi="Times New Roman" w:cs="Times New Roman"/>
                <w:bCs/>
                <w:color w:val="auto"/>
                <w:sz w:val="21"/>
                <w:szCs w:val="21"/>
                <w:highlight w:val="none"/>
                <w:lang w:eastAsia="zh-CN"/>
              </w:rPr>
              <w:t>）</w:t>
            </w:r>
            <w:r>
              <w:rPr>
                <w:rFonts w:hint="eastAsia" w:ascii="Times New Roman" w:hAnsi="Times New Roman" w:cs="Times New Roman"/>
                <w:bCs/>
                <w:color w:val="auto"/>
                <w:sz w:val="21"/>
                <w:szCs w:val="21"/>
                <w:highlight w:val="none"/>
                <w:lang w:val="en-US" w:eastAsia="zh-CN"/>
              </w:rPr>
              <w:t>素质（4分）。从业人员</w:t>
            </w:r>
            <w:r>
              <w:rPr>
                <w:rFonts w:hint="default" w:ascii="Times New Roman" w:hAnsi="Times New Roman" w:eastAsia="仿宋_GB2312" w:cs="Times New Roman"/>
                <w:bCs/>
                <w:color w:val="auto"/>
                <w:sz w:val="21"/>
                <w:szCs w:val="21"/>
                <w:highlight w:val="none"/>
              </w:rPr>
              <w:t>本科及以上学历占比超过50%（含）</w:t>
            </w:r>
            <w:r>
              <w:rPr>
                <w:rFonts w:hint="eastAsia" w:ascii="Times New Roman" w:hAnsi="Times New Roman" w:cs="Times New Roman"/>
                <w:bCs/>
                <w:color w:val="auto"/>
                <w:sz w:val="21"/>
                <w:szCs w:val="21"/>
                <w:highlight w:val="none"/>
                <w:lang w:val="en-US" w:eastAsia="zh-CN"/>
              </w:rPr>
              <w:t>的</w:t>
            </w:r>
            <w:r>
              <w:rPr>
                <w:rFonts w:hint="default" w:ascii="Times New Roman" w:hAnsi="Times New Roman" w:cs="Times New Roman"/>
                <w:bCs/>
                <w:color w:val="auto"/>
                <w:sz w:val="21"/>
                <w:szCs w:val="21"/>
                <w:highlight w:val="none"/>
                <w:lang w:eastAsia="zh-CN"/>
              </w:rPr>
              <w:t>，</w:t>
            </w:r>
            <w:r>
              <w:rPr>
                <w:rFonts w:hint="default" w:ascii="Times New Roman" w:hAnsi="Times New Roman" w:eastAsia="仿宋_GB2312" w:cs="Times New Roman"/>
                <w:bCs/>
                <w:color w:val="auto"/>
                <w:sz w:val="21"/>
                <w:szCs w:val="21"/>
                <w:highlight w:val="none"/>
              </w:rPr>
              <w:t>得</w:t>
            </w:r>
            <w:r>
              <w:rPr>
                <w:rFonts w:hint="eastAsia" w:ascii="Times New Roman" w:hAnsi="Times New Roman" w:cs="Times New Roman"/>
                <w:bCs/>
                <w:color w:val="auto"/>
                <w:sz w:val="21"/>
                <w:szCs w:val="21"/>
                <w:highlight w:val="none"/>
                <w:lang w:val="en-US" w:eastAsia="zh-CN"/>
              </w:rPr>
              <w:t>4</w:t>
            </w:r>
            <w:r>
              <w:rPr>
                <w:rFonts w:hint="default" w:ascii="Times New Roman" w:hAnsi="Times New Roman" w:eastAsia="仿宋_GB2312" w:cs="Times New Roman"/>
                <w:bCs/>
                <w:color w:val="auto"/>
                <w:sz w:val="21"/>
                <w:szCs w:val="21"/>
                <w:highlight w:val="none"/>
              </w:rPr>
              <w:t>分</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lang w:val="en-US" w:eastAsia="zh-CN"/>
              </w:rPr>
              <w:t>每低</w:t>
            </w:r>
            <w:r>
              <w:rPr>
                <w:rFonts w:hint="eastAsia" w:ascii="Times New Roman" w:hAnsi="Times New Roman" w:cs="Times New Roman"/>
                <w:bCs/>
                <w:color w:val="auto"/>
                <w:sz w:val="21"/>
                <w:szCs w:val="21"/>
                <w:highlight w:val="none"/>
                <w:lang w:val="en-US" w:eastAsia="zh-CN"/>
              </w:rPr>
              <w:t>10</w:t>
            </w:r>
            <w:r>
              <w:rPr>
                <w:rFonts w:hint="default" w:ascii="Times New Roman" w:hAnsi="Times New Roman" w:cs="Times New Roman"/>
                <w:bCs/>
                <w:color w:val="auto"/>
                <w:sz w:val="21"/>
                <w:szCs w:val="21"/>
                <w:highlight w:val="none"/>
                <w:lang w:val="en-US" w:eastAsia="zh-CN"/>
              </w:rPr>
              <w:t>个百分点扣</w:t>
            </w:r>
            <w:r>
              <w:rPr>
                <w:rFonts w:hint="eastAsia" w:ascii="Times New Roman" w:hAnsi="Times New Roman" w:cs="Times New Roman"/>
                <w:bCs/>
                <w:color w:val="auto"/>
                <w:sz w:val="21"/>
                <w:szCs w:val="21"/>
                <w:highlight w:val="none"/>
                <w:lang w:val="en-US" w:eastAsia="zh-CN"/>
              </w:rPr>
              <w:t>1</w:t>
            </w:r>
            <w:r>
              <w:rPr>
                <w:rFonts w:hint="default" w:ascii="Times New Roman" w:hAnsi="Times New Roman" w:cs="Times New Roman"/>
                <w:bCs/>
                <w:color w:val="auto"/>
                <w:sz w:val="21"/>
                <w:szCs w:val="21"/>
                <w:highlight w:val="none"/>
                <w:lang w:val="en-US" w:eastAsia="zh-CN"/>
              </w:rPr>
              <w:t>分</w:t>
            </w:r>
            <w:r>
              <w:rPr>
                <w:rFonts w:hint="eastAsia" w:ascii="Times New Roman" w:hAnsi="Times New Roman" w:cs="Times New Roman"/>
                <w:bCs/>
                <w:color w:val="auto"/>
                <w:sz w:val="21"/>
                <w:szCs w:val="21"/>
                <w:highlight w:val="none"/>
                <w:lang w:val="en-US" w:eastAsia="zh-CN"/>
              </w:rPr>
              <w:t>（</w:t>
            </w:r>
            <w:r>
              <w:rPr>
                <w:rFonts w:hint="default" w:ascii="Times New Roman" w:hAnsi="Times New Roman" w:cs="Times New Roman"/>
                <w:bCs/>
                <w:color w:val="auto"/>
                <w:sz w:val="21"/>
                <w:szCs w:val="21"/>
                <w:highlight w:val="none"/>
                <w:lang w:val="en-US" w:eastAsia="zh-CN"/>
              </w:rPr>
              <w:t>不足</w:t>
            </w:r>
            <w:r>
              <w:rPr>
                <w:rFonts w:hint="eastAsia" w:ascii="Times New Roman" w:hAnsi="Times New Roman" w:cs="Times New Roman"/>
                <w:bCs/>
                <w:color w:val="auto"/>
                <w:sz w:val="21"/>
                <w:szCs w:val="21"/>
                <w:highlight w:val="none"/>
                <w:lang w:val="en-US" w:eastAsia="zh-CN"/>
              </w:rPr>
              <w:t>10</w:t>
            </w:r>
            <w:r>
              <w:rPr>
                <w:rFonts w:hint="default" w:ascii="Times New Roman" w:hAnsi="Times New Roman" w:cs="Times New Roman"/>
                <w:bCs/>
                <w:color w:val="auto"/>
                <w:sz w:val="21"/>
                <w:szCs w:val="21"/>
                <w:highlight w:val="none"/>
                <w:lang w:val="en-US" w:eastAsia="zh-CN"/>
              </w:rPr>
              <w:t>个百分点的按</w:t>
            </w:r>
            <w:r>
              <w:rPr>
                <w:rFonts w:hint="eastAsia" w:ascii="Times New Roman" w:hAnsi="Times New Roman" w:cs="Times New Roman"/>
                <w:bCs/>
                <w:color w:val="auto"/>
                <w:sz w:val="21"/>
                <w:szCs w:val="21"/>
                <w:highlight w:val="none"/>
                <w:lang w:val="en-US" w:eastAsia="zh-CN"/>
              </w:rPr>
              <w:t>10</w:t>
            </w:r>
            <w:r>
              <w:rPr>
                <w:rFonts w:hint="default" w:ascii="Times New Roman" w:hAnsi="Times New Roman" w:cs="Times New Roman"/>
                <w:bCs/>
                <w:color w:val="auto"/>
                <w:sz w:val="21"/>
                <w:szCs w:val="21"/>
                <w:highlight w:val="none"/>
                <w:lang w:val="en-US" w:eastAsia="zh-CN"/>
              </w:rPr>
              <w:t>个百分点计算</w:t>
            </w:r>
            <w:r>
              <w:rPr>
                <w:rFonts w:hint="eastAsia" w:ascii="Times New Roman" w:hAnsi="Times New Roman" w:cs="Times New Roman"/>
                <w:bCs/>
                <w:color w:val="auto"/>
                <w:sz w:val="21"/>
                <w:szCs w:val="21"/>
                <w:highlight w:val="none"/>
                <w:lang w:val="en-US" w:eastAsia="zh-CN"/>
              </w:rPr>
              <w:t>）</w:t>
            </w:r>
            <w:r>
              <w:rPr>
                <w:rFonts w:hint="default" w:ascii="Times New Roman" w:hAnsi="Times New Roman" w:cs="Times New Roman"/>
                <w:bCs/>
                <w:color w:val="auto"/>
                <w:sz w:val="21"/>
                <w:szCs w:val="21"/>
                <w:highlight w:val="none"/>
                <w:lang w:val="en-US" w:eastAsia="zh-CN"/>
              </w:rPr>
              <w:t>，扣完</w:t>
            </w:r>
            <w:r>
              <w:rPr>
                <w:rFonts w:hint="eastAsia" w:ascii="Times New Roman" w:hAnsi="Times New Roman" w:cs="Times New Roman"/>
                <w:bCs/>
                <w:color w:val="auto"/>
                <w:sz w:val="21"/>
                <w:szCs w:val="21"/>
                <w:highlight w:val="none"/>
                <w:lang w:val="en-US" w:eastAsia="zh-CN"/>
              </w:rPr>
              <w:t>4分</w:t>
            </w:r>
            <w:r>
              <w:rPr>
                <w:rFonts w:hint="default" w:ascii="Times New Roman" w:hAnsi="Times New Roman" w:cs="Times New Roman"/>
                <w:bCs/>
                <w:color w:val="auto"/>
                <w:sz w:val="21"/>
                <w:szCs w:val="21"/>
                <w:highlight w:val="none"/>
                <w:lang w:val="en-US" w:eastAsia="zh-CN"/>
              </w:rPr>
              <w:t>为止</w:t>
            </w:r>
            <w:r>
              <w:rPr>
                <w:rFonts w:hint="default" w:ascii="Times New Roman" w:hAnsi="Times New Roman" w:eastAsia="仿宋_GB2312" w:cs="Times New Roman"/>
                <w:bCs/>
                <w:color w:val="auto"/>
                <w:sz w:val="21"/>
                <w:szCs w:val="21"/>
                <w:highlight w:val="none"/>
              </w:rPr>
              <w:t>。</w:t>
            </w:r>
          </w:p>
          <w:p w14:paraId="707857E9">
            <w:pPr>
              <w:pStyle w:val="2"/>
              <w:spacing w:line="280" w:lineRule="exact"/>
              <w:ind w:firstLine="420" w:firstLineChars="200"/>
              <w:rPr>
                <w:rFonts w:hint="default" w:ascii="Times New Roman" w:hAnsi="Times New Roman" w:eastAsia="仿宋_GB2312" w:cs="Times New Roman"/>
                <w:color w:val="auto"/>
                <w:sz w:val="21"/>
                <w:szCs w:val="21"/>
                <w:highlight w:val="none"/>
              </w:rPr>
            </w:pPr>
            <w:r>
              <w:rPr>
                <w:rFonts w:hint="eastAsia" w:ascii="Times New Roman" w:hAnsi="Times New Roman" w:cs="Times New Roman"/>
                <w:bCs/>
                <w:color w:val="auto"/>
                <w:sz w:val="21"/>
                <w:szCs w:val="21"/>
                <w:highlight w:val="none"/>
                <w:lang w:val="en-US" w:eastAsia="zh-CN"/>
              </w:rPr>
              <w:t>2.人才培养（6分）。公司建立完善的培训体系，</w:t>
            </w:r>
            <w:r>
              <w:rPr>
                <w:rFonts w:hint="eastAsia" w:ascii="Times New Roman" w:hAnsi="Times New Roman" w:cs="Times New Roman"/>
                <w:bCs/>
                <w:color w:val="auto"/>
                <w:kern w:val="2"/>
                <w:sz w:val="21"/>
                <w:szCs w:val="21"/>
                <w:highlight w:val="none"/>
                <w:lang w:val="en-US" w:eastAsia="zh-CN" w:bidi="ar-SA"/>
              </w:rPr>
              <w:t>自主开展员工培训的</w:t>
            </w:r>
            <w:r>
              <w:rPr>
                <w:rFonts w:hint="eastAsia" w:ascii="Times New Roman" w:hAnsi="Times New Roman" w:cs="Times New Roman"/>
                <w:bCs/>
                <w:color w:val="auto"/>
                <w:sz w:val="21"/>
                <w:szCs w:val="21"/>
                <w:highlight w:val="none"/>
                <w:lang w:val="en-US" w:eastAsia="zh-CN"/>
              </w:rPr>
              <w:t>，得1分；参加设区市</w:t>
            </w:r>
            <w:r>
              <w:rPr>
                <w:rFonts w:hint="eastAsia" w:ascii="Times New Roman" w:hAnsi="Times New Roman" w:cs="Times New Roman"/>
                <w:bCs/>
                <w:color w:val="auto"/>
                <w:kern w:val="2"/>
                <w:sz w:val="21"/>
                <w:szCs w:val="21"/>
                <w:highlight w:val="none"/>
                <w:lang w:val="en-US" w:eastAsia="zh-CN" w:bidi="ar-SA"/>
              </w:rPr>
              <w:t>地方金融管理部门</w:t>
            </w:r>
            <w:r>
              <w:rPr>
                <w:rFonts w:hint="default" w:ascii="Times New Roman" w:hAnsi="Times New Roman" w:eastAsia="仿宋_GB2312" w:cs="Times New Roman"/>
                <w:bCs/>
                <w:color w:val="auto"/>
                <w:kern w:val="2"/>
                <w:sz w:val="21"/>
                <w:szCs w:val="21"/>
                <w:highlight w:val="none"/>
                <w:lang w:val="en-US" w:eastAsia="zh-CN" w:bidi="ar-SA"/>
              </w:rPr>
              <w:t>或</w:t>
            </w:r>
            <w:r>
              <w:rPr>
                <w:rFonts w:hint="eastAsia" w:ascii="Times New Roman" w:hAnsi="Times New Roman" w:cs="Times New Roman"/>
                <w:bCs/>
                <w:color w:val="auto"/>
                <w:sz w:val="21"/>
                <w:szCs w:val="21"/>
                <w:highlight w:val="none"/>
                <w:lang w:val="en-US" w:eastAsia="zh-CN"/>
              </w:rPr>
              <w:t>广西小贷协会组织的相关培训的，得2分；参加自治区党委金融办或自治区地方金融管理局组织的培训（会议）的，得3分</w:t>
            </w:r>
            <w:r>
              <w:rPr>
                <w:rFonts w:hint="eastAsia" w:ascii="Times New Roman" w:hAnsi="Times New Roman" w:cs="Times New Roman"/>
                <w:bCs/>
                <w:color w:val="auto"/>
                <w:kern w:val="2"/>
                <w:sz w:val="21"/>
                <w:szCs w:val="21"/>
                <w:highlight w:val="none"/>
                <w:lang w:val="en-US" w:eastAsia="zh-CN" w:bidi="ar-SA"/>
              </w:rPr>
              <w:t>。</w:t>
            </w:r>
          </w:p>
        </w:tc>
        <w:tc>
          <w:tcPr>
            <w:tcW w:w="798" w:type="dxa"/>
            <w:noWrap w:val="0"/>
            <w:vAlign w:val="top"/>
          </w:tcPr>
          <w:p w14:paraId="43E49FF1">
            <w:pPr>
              <w:spacing w:line="540" w:lineRule="exact"/>
              <w:rPr>
                <w:rFonts w:hint="default" w:ascii="Times New Roman" w:hAnsi="Times New Roman" w:eastAsia="方正仿宋_GBK" w:cs="Times New Roman"/>
                <w:color w:val="auto"/>
                <w:sz w:val="32"/>
                <w:szCs w:val="32"/>
                <w:highlight w:val="none"/>
              </w:rPr>
            </w:pPr>
          </w:p>
        </w:tc>
        <w:tc>
          <w:tcPr>
            <w:tcW w:w="715" w:type="dxa"/>
            <w:noWrap w:val="0"/>
            <w:vAlign w:val="top"/>
          </w:tcPr>
          <w:p w14:paraId="4685BA2B">
            <w:pPr>
              <w:spacing w:line="540" w:lineRule="exact"/>
              <w:rPr>
                <w:rFonts w:hint="default" w:ascii="Times New Roman" w:hAnsi="Times New Roman" w:eastAsia="方正仿宋_GBK" w:cs="Times New Roman"/>
                <w:color w:val="auto"/>
                <w:sz w:val="32"/>
                <w:szCs w:val="32"/>
                <w:highlight w:val="none"/>
              </w:rPr>
            </w:pPr>
          </w:p>
        </w:tc>
      </w:tr>
      <w:tr w14:paraId="1EB7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8" w:hRule="atLeast"/>
          <w:jc w:val="center"/>
        </w:trPr>
        <w:tc>
          <w:tcPr>
            <w:tcW w:w="1138" w:type="dxa"/>
            <w:vMerge w:val="continue"/>
            <w:noWrap w:val="0"/>
            <w:vAlign w:val="center"/>
          </w:tcPr>
          <w:p w14:paraId="5855C199">
            <w:pPr>
              <w:spacing w:line="400" w:lineRule="exact"/>
              <w:jc w:val="left"/>
              <w:rPr>
                <w:rFonts w:hint="default" w:ascii="Times New Roman" w:hAnsi="Times New Roman" w:eastAsia="黑体" w:cs="Times New Roman"/>
                <w:color w:val="auto"/>
                <w:sz w:val="28"/>
                <w:szCs w:val="28"/>
                <w:highlight w:val="none"/>
              </w:rPr>
            </w:pPr>
          </w:p>
        </w:tc>
        <w:tc>
          <w:tcPr>
            <w:tcW w:w="1398" w:type="dxa"/>
            <w:noWrap w:val="0"/>
            <w:vAlign w:val="center"/>
          </w:tcPr>
          <w:p w14:paraId="08083CF9">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outlineLvl w:val="9"/>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w:t>
            </w:r>
            <w:r>
              <w:rPr>
                <w:rFonts w:hint="default" w:ascii="Times New Roman" w:hAnsi="Times New Roman" w:eastAsia="楷体_GB2312" w:cs="Times New Roman"/>
                <w:b/>
                <w:bCs/>
                <w:color w:val="auto"/>
                <w:sz w:val="24"/>
                <w:szCs w:val="24"/>
                <w:highlight w:val="none"/>
                <w:lang w:val="en-US" w:eastAsia="zh-CN"/>
              </w:rPr>
              <w:t>4</w:t>
            </w:r>
            <w:r>
              <w:rPr>
                <w:rFonts w:hint="default" w:ascii="Times New Roman" w:hAnsi="Times New Roman" w:eastAsia="楷体_GB2312" w:cs="Times New Roman"/>
                <w:b/>
                <w:bCs/>
                <w:color w:val="auto"/>
                <w:sz w:val="24"/>
                <w:szCs w:val="24"/>
                <w:highlight w:val="none"/>
              </w:rPr>
              <w:t>）档案管理</w:t>
            </w:r>
          </w:p>
        </w:tc>
        <w:tc>
          <w:tcPr>
            <w:tcW w:w="506" w:type="dxa"/>
            <w:noWrap w:val="0"/>
            <w:vAlign w:val="center"/>
          </w:tcPr>
          <w:p w14:paraId="4FA208FA">
            <w:pPr>
              <w:jc w:val="center"/>
              <w:rPr>
                <w:rFonts w:hint="default" w:ascii="Times New Roman" w:hAnsi="Times New Roman" w:eastAsia="宋体" w:cs="Times New Roman"/>
                <w:b/>
                <w:bCs/>
                <w:color w:val="auto"/>
                <w:sz w:val="24"/>
                <w:szCs w:val="24"/>
                <w:highlight w:val="none"/>
                <w:lang w:val="en-US" w:eastAsia="zh-CN"/>
              </w:rPr>
            </w:pPr>
            <w:r>
              <w:rPr>
                <w:rFonts w:hint="eastAsia" w:eastAsia="宋体" w:cs="Times New Roman"/>
                <w:b/>
                <w:bCs/>
                <w:color w:val="auto"/>
                <w:sz w:val="24"/>
                <w:szCs w:val="24"/>
                <w:highlight w:val="none"/>
                <w:lang w:val="en-US" w:eastAsia="zh-CN"/>
              </w:rPr>
              <w:t>5</w:t>
            </w:r>
          </w:p>
        </w:tc>
        <w:tc>
          <w:tcPr>
            <w:tcW w:w="9741" w:type="dxa"/>
            <w:noWrap w:val="0"/>
            <w:vAlign w:val="center"/>
          </w:tcPr>
          <w:p w14:paraId="655256DC">
            <w:pPr>
              <w:keepNext w:val="0"/>
              <w:keepLines w:val="0"/>
              <w:pageBreakBefore w:val="0"/>
              <w:widowControl w:val="0"/>
              <w:kinsoku/>
              <w:wordWrap/>
              <w:overflowPunct/>
              <w:topLinePunct w:val="0"/>
              <w:autoSpaceDE/>
              <w:autoSpaceDN/>
              <w:bidi w:val="0"/>
              <w:adjustRightInd/>
              <w:snapToGrid w:val="0"/>
              <w:spacing w:line="240" w:lineRule="auto"/>
              <w:ind w:right="0" w:rightChars="0" w:firstLine="435"/>
              <w:textAlignment w:val="auto"/>
              <w:rPr>
                <w:rFonts w:hint="default" w:ascii="Times New Roman" w:hAnsi="Times New Roman" w:eastAsia="仿宋_GB2312" w:cs="Times New Roman"/>
                <w:color w:val="auto"/>
                <w:sz w:val="21"/>
                <w:szCs w:val="21"/>
                <w:highlight w:val="none"/>
              </w:rPr>
            </w:pPr>
            <w:r>
              <w:rPr>
                <w:rFonts w:hint="eastAsia" w:ascii="Times New Roman" w:hAnsi="Times New Roman" w:cs="Times New Roman"/>
                <w:color w:val="auto"/>
                <w:sz w:val="21"/>
                <w:szCs w:val="21"/>
                <w:highlight w:val="none"/>
                <w:lang w:val="en-US" w:eastAsia="zh-CN"/>
              </w:rPr>
              <w:t>落实档案管理</w:t>
            </w:r>
            <w:r>
              <w:rPr>
                <w:rFonts w:hint="default" w:ascii="Times New Roman" w:hAnsi="Times New Roman" w:eastAsia="仿宋_GB2312" w:cs="Times New Roman"/>
                <w:color w:val="auto"/>
                <w:sz w:val="21"/>
                <w:szCs w:val="21"/>
                <w:highlight w:val="none"/>
              </w:rPr>
              <w:t>人员</w:t>
            </w:r>
            <w:r>
              <w:rPr>
                <w:rFonts w:hint="eastAsia" w:ascii="Times New Roman" w:hAnsi="Times New Roman"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妥善保管</w:t>
            </w:r>
            <w:r>
              <w:rPr>
                <w:rFonts w:hint="eastAsia" w:ascii="Times New Roman" w:hAnsi="Times New Roman" w:cs="Times New Roman"/>
                <w:color w:val="auto"/>
                <w:sz w:val="21"/>
                <w:szCs w:val="21"/>
                <w:highlight w:val="none"/>
                <w:lang w:val="en-US" w:eastAsia="zh-CN"/>
              </w:rPr>
              <w:t>业务档案、贷款合同、</w:t>
            </w:r>
            <w:r>
              <w:rPr>
                <w:rFonts w:hint="default" w:ascii="Times New Roman" w:hAnsi="Times New Roman" w:eastAsia="仿宋_GB2312" w:cs="Times New Roman"/>
                <w:color w:val="auto"/>
                <w:sz w:val="21"/>
                <w:szCs w:val="21"/>
                <w:highlight w:val="none"/>
              </w:rPr>
              <w:t>业务</w:t>
            </w:r>
            <w:r>
              <w:rPr>
                <w:rFonts w:hint="default" w:ascii="Times New Roman" w:hAnsi="Times New Roman" w:eastAsia="仿宋_GB2312" w:cs="Times New Roman"/>
                <w:color w:val="auto"/>
                <w:sz w:val="21"/>
                <w:szCs w:val="21"/>
                <w:highlight w:val="none"/>
                <w:lang w:eastAsia="zh-CN"/>
              </w:rPr>
              <w:t>台账</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原始凭证以及会计账簿</w:t>
            </w:r>
            <w:r>
              <w:rPr>
                <w:rFonts w:hint="default" w:ascii="Times New Roman" w:hAnsi="Times New Roman" w:eastAsia="仿宋_GB2312" w:cs="Times New Roman"/>
                <w:color w:val="auto"/>
                <w:sz w:val="21"/>
                <w:szCs w:val="21"/>
                <w:highlight w:val="none"/>
              </w:rPr>
              <w:t>等有关资料</w:t>
            </w:r>
            <w:r>
              <w:rPr>
                <w:rFonts w:hint="default" w:ascii="Times New Roman" w:hAnsi="Times New Roman" w:cs="Times New Roman"/>
                <w:color w:val="auto"/>
                <w:sz w:val="21"/>
                <w:szCs w:val="21"/>
                <w:highlight w:val="none"/>
                <w:lang w:eastAsia="zh-CN"/>
              </w:rPr>
              <w:t>的</w:t>
            </w:r>
            <w:r>
              <w:rPr>
                <w:rFonts w:hint="default" w:ascii="Times New Roman" w:hAnsi="Times New Roman" w:eastAsia="仿宋_GB2312" w:cs="Times New Roman"/>
                <w:color w:val="auto"/>
                <w:sz w:val="21"/>
                <w:szCs w:val="21"/>
                <w:highlight w:val="none"/>
              </w:rPr>
              <w:t>，得</w:t>
            </w:r>
            <w:r>
              <w:rPr>
                <w:rFonts w:hint="eastAsia"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分。</w:t>
            </w:r>
            <w:r>
              <w:rPr>
                <w:rFonts w:hint="eastAsia" w:cs="Times New Roman"/>
                <w:color w:val="auto"/>
                <w:sz w:val="21"/>
                <w:szCs w:val="21"/>
                <w:highlight w:val="none"/>
                <w:lang w:eastAsia="zh-CN"/>
              </w:rPr>
              <w:t>否则</w:t>
            </w:r>
            <w:r>
              <w:rPr>
                <w:rFonts w:hint="default" w:ascii="Times New Roman" w:hAnsi="Times New Roman" w:eastAsia="仿宋_GB2312" w:cs="Times New Roman"/>
                <w:color w:val="auto"/>
                <w:sz w:val="21"/>
                <w:szCs w:val="21"/>
                <w:highlight w:val="none"/>
              </w:rPr>
              <w:t>酌情扣</w:t>
            </w:r>
            <w:r>
              <w:rPr>
                <w:rFonts w:hint="eastAsia"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w:t>
            </w:r>
            <w:r>
              <w:rPr>
                <w:rFonts w:hint="eastAsia"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分。</w:t>
            </w:r>
          </w:p>
        </w:tc>
        <w:tc>
          <w:tcPr>
            <w:tcW w:w="798" w:type="dxa"/>
            <w:noWrap w:val="0"/>
            <w:vAlign w:val="top"/>
          </w:tcPr>
          <w:p w14:paraId="535889D3">
            <w:pPr>
              <w:spacing w:line="540" w:lineRule="exact"/>
              <w:rPr>
                <w:rFonts w:hint="default" w:ascii="Times New Roman" w:hAnsi="Times New Roman" w:eastAsia="方正仿宋_GBK" w:cs="Times New Roman"/>
                <w:color w:val="auto"/>
                <w:sz w:val="32"/>
                <w:szCs w:val="32"/>
                <w:highlight w:val="none"/>
              </w:rPr>
            </w:pPr>
          </w:p>
        </w:tc>
        <w:tc>
          <w:tcPr>
            <w:tcW w:w="715" w:type="dxa"/>
            <w:noWrap w:val="0"/>
            <w:vAlign w:val="top"/>
          </w:tcPr>
          <w:p w14:paraId="0CB5C254">
            <w:pPr>
              <w:spacing w:line="540" w:lineRule="exact"/>
              <w:rPr>
                <w:rFonts w:hint="default" w:ascii="Times New Roman" w:hAnsi="Times New Roman" w:eastAsia="方正仿宋_GBK" w:cs="Times New Roman"/>
                <w:color w:val="auto"/>
                <w:sz w:val="32"/>
                <w:szCs w:val="32"/>
                <w:highlight w:val="none"/>
              </w:rPr>
            </w:pPr>
          </w:p>
        </w:tc>
      </w:tr>
      <w:tr w14:paraId="02665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1138" w:type="dxa"/>
            <w:vMerge w:val="continue"/>
            <w:noWrap w:val="0"/>
            <w:vAlign w:val="center"/>
          </w:tcPr>
          <w:p w14:paraId="1B6ABCD8">
            <w:pPr>
              <w:numPr>
                <w:ilvl w:val="0"/>
                <w:numId w:val="0"/>
              </w:numPr>
              <w:spacing w:line="400" w:lineRule="exact"/>
              <w:jc w:val="center"/>
              <w:rPr>
                <w:rFonts w:hint="default" w:ascii="Times New Roman" w:hAnsi="Times New Roman" w:eastAsia="黑体" w:cs="Times New Roman"/>
                <w:color w:val="auto"/>
                <w:sz w:val="28"/>
                <w:szCs w:val="28"/>
                <w:highlight w:val="none"/>
              </w:rPr>
            </w:pPr>
          </w:p>
        </w:tc>
        <w:tc>
          <w:tcPr>
            <w:tcW w:w="1398" w:type="dxa"/>
            <w:noWrap w:val="0"/>
            <w:vAlign w:val="center"/>
          </w:tcPr>
          <w:p w14:paraId="4A48E226">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outlineLvl w:val="9"/>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w:t>
            </w:r>
            <w:r>
              <w:rPr>
                <w:rFonts w:hint="default" w:ascii="Times New Roman" w:hAnsi="Times New Roman" w:eastAsia="楷体_GB2312" w:cs="Times New Roman"/>
                <w:b/>
                <w:bCs/>
                <w:color w:val="auto"/>
                <w:sz w:val="24"/>
                <w:szCs w:val="24"/>
                <w:highlight w:val="none"/>
                <w:lang w:val="en-US" w:eastAsia="zh-CN"/>
              </w:rPr>
              <w:t>5</w:t>
            </w:r>
            <w:r>
              <w:rPr>
                <w:rFonts w:hint="default" w:ascii="Times New Roman" w:hAnsi="Times New Roman" w:eastAsia="楷体_GB2312" w:cs="Times New Roman"/>
                <w:b/>
                <w:bCs/>
                <w:color w:val="auto"/>
                <w:sz w:val="24"/>
                <w:szCs w:val="24"/>
                <w:highlight w:val="none"/>
              </w:rPr>
              <w:t>）社会评价</w:t>
            </w:r>
            <w:r>
              <w:rPr>
                <w:rFonts w:hint="default" w:ascii="Times New Roman" w:hAnsi="Times New Roman" w:eastAsia="楷体_GB2312" w:cs="Times New Roman"/>
                <w:b/>
                <w:bCs/>
                <w:color w:val="auto"/>
                <w:sz w:val="24"/>
                <w:szCs w:val="24"/>
                <w:highlight w:val="none"/>
                <w:lang w:eastAsia="zh-CN"/>
              </w:rPr>
              <w:t>与监督</w:t>
            </w:r>
          </w:p>
        </w:tc>
        <w:tc>
          <w:tcPr>
            <w:tcW w:w="506" w:type="dxa"/>
            <w:noWrap w:val="0"/>
            <w:vAlign w:val="center"/>
          </w:tcPr>
          <w:p w14:paraId="746C1E04">
            <w:pPr>
              <w:jc w:val="center"/>
              <w:rPr>
                <w:rFonts w:hint="default" w:ascii="Times New Roman" w:hAnsi="Times New Roman" w:eastAsia="宋体" w:cs="Times New Roman"/>
                <w:b/>
                <w:bCs/>
                <w:color w:val="auto"/>
                <w:sz w:val="24"/>
                <w:szCs w:val="24"/>
                <w:highlight w:val="none"/>
                <w:lang w:val="en-US" w:eastAsia="zh-CN"/>
              </w:rPr>
            </w:pPr>
            <w:r>
              <w:rPr>
                <w:rFonts w:hint="eastAsia" w:eastAsia="宋体" w:cs="Times New Roman"/>
                <w:b/>
                <w:bCs/>
                <w:color w:val="auto"/>
                <w:sz w:val="24"/>
                <w:szCs w:val="24"/>
                <w:highlight w:val="none"/>
                <w:lang w:val="en-US" w:eastAsia="zh-CN"/>
              </w:rPr>
              <w:t>10</w:t>
            </w:r>
          </w:p>
        </w:tc>
        <w:tc>
          <w:tcPr>
            <w:tcW w:w="9741" w:type="dxa"/>
            <w:noWrap w:val="0"/>
            <w:vAlign w:val="center"/>
          </w:tcPr>
          <w:p w14:paraId="0F2E35FF">
            <w:pPr>
              <w:pStyle w:val="2"/>
              <w:numPr>
                <w:ilvl w:val="0"/>
                <w:numId w:val="0"/>
              </w:numPr>
              <w:ind w:firstLine="420" w:firstLineChars="200"/>
              <w:rPr>
                <w:rFonts w:hint="eastAsia"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小额贷款公司</w:t>
            </w:r>
            <w:r>
              <w:rPr>
                <w:rFonts w:hint="eastAsia" w:ascii="Times New Roman" w:hAnsi="Times New Roman" w:cs="Times New Roman"/>
                <w:color w:val="auto"/>
                <w:sz w:val="21"/>
                <w:szCs w:val="21"/>
                <w:highlight w:val="none"/>
                <w:lang w:val="en-US" w:eastAsia="zh-CN"/>
              </w:rPr>
              <w:t>及其股东、法定代表人、董事、监事、高级管理人员诚实守信，无违法和不良行为记录的，得5分；</w:t>
            </w:r>
            <w:r>
              <w:rPr>
                <w:rFonts w:hint="default" w:ascii="Times New Roman" w:hAnsi="Times New Roman" w:cs="Times New Roman"/>
                <w:color w:val="auto"/>
                <w:sz w:val="21"/>
                <w:szCs w:val="21"/>
                <w:highlight w:val="none"/>
              </w:rPr>
              <w:t>主动承担社会责任</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积极参与社会公益活动</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宣传行业正面</w:t>
            </w:r>
            <w:r>
              <w:rPr>
                <w:rFonts w:hint="eastAsia" w:ascii="Times New Roman" w:hAnsi="Times New Roman" w:cs="Times New Roman"/>
                <w:color w:val="auto"/>
                <w:sz w:val="21"/>
                <w:szCs w:val="21"/>
                <w:highlight w:val="none"/>
                <w:lang w:val="en-US" w:eastAsia="zh-CN"/>
              </w:rPr>
              <w:t>形象的，得5分。</w:t>
            </w:r>
          </w:p>
          <w:p w14:paraId="0FD7A3E9">
            <w:pPr>
              <w:pStyle w:val="2"/>
              <w:numPr>
                <w:ilvl w:val="0"/>
                <w:numId w:val="0"/>
              </w:numPr>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1.出现不良信用记录或影响行业形象的，</w:t>
            </w:r>
            <w:r>
              <w:rPr>
                <w:rFonts w:hint="default" w:ascii="Times New Roman" w:hAnsi="Times New Roman" w:eastAsia="仿宋_GB2312" w:cs="Times New Roman"/>
                <w:color w:val="auto"/>
                <w:sz w:val="21"/>
                <w:szCs w:val="21"/>
                <w:highlight w:val="none"/>
              </w:rPr>
              <w:t>酌情扣</w:t>
            </w:r>
            <w:r>
              <w:rPr>
                <w:rFonts w:hint="eastAsia"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w:t>
            </w:r>
            <w:r>
              <w:rPr>
                <w:rFonts w:hint="eastAsia" w:cs="Times New Roman"/>
                <w:color w:val="auto"/>
                <w:sz w:val="21"/>
                <w:szCs w:val="21"/>
                <w:highlight w:val="none"/>
                <w:lang w:val="en-US" w:eastAsia="zh-CN"/>
              </w:rPr>
              <w:t>10</w:t>
            </w:r>
            <w:r>
              <w:rPr>
                <w:rFonts w:hint="default" w:ascii="Times New Roman" w:hAnsi="Times New Roman" w:eastAsia="仿宋_GB2312" w:cs="Times New Roman"/>
                <w:color w:val="auto"/>
                <w:sz w:val="21"/>
                <w:szCs w:val="21"/>
                <w:highlight w:val="none"/>
              </w:rPr>
              <w:t>分</w:t>
            </w:r>
            <w:r>
              <w:rPr>
                <w:rFonts w:hint="eastAsia" w:ascii="Times New Roman" w:hAnsi="Times New Roman" w:cs="Times New Roman"/>
                <w:color w:val="auto"/>
                <w:sz w:val="21"/>
                <w:szCs w:val="21"/>
                <w:highlight w:val="none"/>
                <w:lang w:eastAsia="zh-CN"/>
              </w:rPr>
              <w:t>。</w:t>
            </w:r>
          </w:p>
          <w:p w14:paraId="0D235D25">
            <w:pPr>
              <w:pStyle w:val="2"/>
              <w:numPr>
                <w:ilvl w:val="0"/>
                <w:numId w:val="0"/>
              </w:numPr>
              <w:ind w:firstLine="420" w:firstLineChars="200"/>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2.存在违规行为并经查实的，</w:t>
            </w:r>
            <w:r>
              <w:rPr>
                <w:rFonts w:hint="default" w:ascii="Times New Roman" w:hAnsi="Times New Roman" w:eastAsia="仿宋_GB2312" w:cs="Times New Roman"/>
                <w:color w:val="auto"/>
                <w:sz w:val="21"/>
                <w:szCs w:val="21"/>
                <w:highlight w:val="none"/>
              </w:rPr>
              <w:t>酌情扣</w:t>
            </w:r>
            <w:r>
              <w:rPr>
                <w:rFonts w:hint="eastAsia"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w:t>
            </w:r>
            <w:r>
              <w:rPr>
                <w:rFonts w:hint="eastAsia" w:cs="Times New Roman"/>
                <w:color w:val="auto"/>
                <w:sz w:val="21"/>
                <w:szCs w:val="21"/>
                <w:highlight w:val="none"/>
                <w:lang w:val="en-US" w:eastAsia="zh-CN"/>
              </w:rPr>
              <w:t>10</w:t>
            </w:r>
            <w:r>
              <w:rPr>
                <w:rFonts w:hint="default" w:ascii="Times New Roman" w:hAnsi="Times New Roman" w:eastAsia="仿宋_GB2312" w:cs="Times New Roman"/>
                <w:color w:val="auto"/>
                <w:sz w:val="21"/>
                <w:szCs w:val="21"/>
                <w:highlight w:val="none"/>
              </w:rPr>
              <w:t>分</w:t>
            </w:r>
            <w:r>
              <w:rPr>
                <w:rFonts w:hint="eastAsia" w:ascii="Times New Roman" w:hAnsi="Times New Roman" w:cs="Times New Roman"/>
                <w:color w:val="auto"/>
                <w:sz w:val="21"/>
                <w:szCs w:val="21"/>
                <w:highlight w:val="none"/>
                <w:lang w:val="en-US" w:eastAsia="zh-CN"/>
              </w:rPr>
              <w:t>。</w:t>
            </w:r>
          </w:p>
          <w:p w14:paraId="54B90A05">
            <w:pPr>
              <w:pStyle w:val="2"/>
              <w:numPr>
                <w:ilvl w:val="0"/>
                <w:numId w:val="0"/>
              </w:numPr>
              <w:ind w:firstLine="420" w:firstLineChars="200"/>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3.未按要求落实</w:t>
            </w:r>
            <w:r>
              <w:rPr>
                <w:rFonts w:hint="default" w:ascii="Times New Roman" w:hAnsi="Times New Roman" w:cs="Times New Roman"/>
                <w:color w:val="auto"/>
                <w:sz w:val="21"/>
                <w:szCs w:val="21"/>
                <w:highlight w:val="none"/>
                <w:lang w:val="en-US" w:eastAsia="zh-CN"/>
              </w:rPr>
              <w:t>监管部门整改意见</w:t>
            </w:r>
            <w:r>
              <w:rPr>
                <w:rFonts w:hint="eastAsia" w:ascii="Times New Roman" w:hAnsi="Times New Roman" w:cs="Times New Roman"/>
                <w:color w:val="auto"/>
                <w:sz w:val="21"/>
                <w:szCs w:val="21"/>
                <w:highlight w:val="none"/>
                <w:lang w:val="en-US" w:eastAsia="zh-CN"/>
              </w:rPr>
              <w:t>的，该项不得分。</w:t>
            </w:r>
          </w:p>
        </w:tc>
        <w:tc>
          <w:tcPr>
            <w:tcW w:w="798" w:type="dxa"/>
            <w:noWrap w:val="0"/>
            <w:vAlign w:val="top"/>
          </w:tcPr>
          <w:p w14:paraId="00E3B255">
            <w:pPr>
              <w:spacing w:line="540" w:lineRule="exact"/>
              <w:rPr>
                <w:rFonts w:hint="default" w:ascii="Times New Roman" w:hAnsi="Times New Roman" w:eastAsia="方正仿宋_GBK" w:cs="Times New Roman"/>
                <w:color w:val="auto"/>
                <w:sz w:val="32"/>
                <w:szCs w:val="32"/>
                <w:highlight w:val="none"/>
              </w:rPr>
            </w:pPr>
          </w:p>
        </w:tc>
        <w:tc>
          <w:tcPr>
            <w:tcW w:w="715" w:type="dxa"/>
            <w:noWrap w:val="0"/>
            <w:vAlign w:val="top"/>
          </w:tcPr>
          <w:p w14:paraId="7651A7B3">
            <w:pPr>
              <w:spacing w:line="540" w:lineRule="exact"/>
              <w:rPr>
                <w:rFonts w:hint="default" w:ascii="Times New Roman" w:hAnsi="Times New Roman" w:eastAsia="方正仿宋_GBK" w:cs="Times New Roman"/>
                <w:color w:val="auto"/>
                <w:sz w:val="32"/>
                <w:szCs w:val="32"/>
                <w:highlight w:val="none"/>
              </w:rPr>
            </w:pPr>
          </w:p>
        </w:tc>
      </w:tr>
      <w:tr w14:paraId="5EC7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1138" w:type="dxa"/>
            <w:vMerge w:val="restart"/>
            <w:noWrap w:val="0"/>
            <w:vAlign w:val="center"/>
          </w:tcPr>
          <w:p w14:paraId="6A8BBA14">
            <w:pPr>
              <w:spacing w:line="400" w:lineRule="exact"/>
              <w:jc w:val="center"/>
              <w:rPr>
                <w:rFonts w:hint="default" w:ascii="Times New Roman" w:hAnsi="Times New Roman" w:eastAsia="黑体" w:cs="Times New Roman"/>
                <w:color w:val="auto"/>
                <w:sz w:val="28"/>
                <w:szCs w:val="28"/>
                <w:highlight w:val="none"/>
              </w:rPr>
            </w:pPr>
          </w:p>
          <w:p w14:paraId="2C019153">
            <w:pPr>
              <w:spacing w:line="400" w:lineRule="exact"/>
              <w:jc w:val="center"/>
              <w:rPr>
                <w:rFonts w:hint="default" w:ascii="Times New Roman" w:hAnsi="Times New Roman" w:eastAsia="黑体" w:cs="Times New Roman"/>
                <w:color w:val="auto"/>
                <w:sz w:val="28"/>
                <w:szCs w:val="28"/>
                <w:highlight w:val="none"/>
              </w:rPr>
            </w:pPr>
          </w:p>
          <w:p w14:paraId="1FF72051">
            <w:pPr>
              <w:spacing w:line="400" w:lineRule="exact"/>
              <w:jc w:val="center"/>
              <w:rPr>
                <w:rFonts w:hint="default" w:ascii="Times New Roman" w:hAnsi="Times New Roman" w:eastAsia="黑体" w:cs="Times New Roman"/>
                <w:color w:val="auto"/>
                <w:sz w:val="28"/>
                <w:szCs w:val="28"/>
                <w:highlight w:val="none"/>
              </w:rPr>
            </w:pPr>
          </w:p>
          <w:p w14:paraId="3C746AA6">
            <w:pPr>
              <w:spacing w:line="400" w:lineRule="exact"/>
              <w:jc w:val="both"/>
              <w:rPr>
                <w:rFonts w:hint="default" w:ascii="Times New Roman" w:hAnsi="Times New Roman" w:eastAsia="黑体" w:cs="Times New Roman"/>
                <w:color w:val="auto"/>
                <w:sz w:val="28"/>
                <w:szCs w:val="28"/>
                <w:highlight w:val="none"/>
              </w:rPr>
            </w:pPr>
          </w:p>
          <w:p w14:paraId="52CA7215">
            <w:pPr>
              <w:spacing w:line="40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二、</w:t>
            </w:r>
          </w:p>
          <w:p w14:paraId="38CB2AC6">
            <w:pPr>
              <w:spacing w:line="40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合规</w:t>
            </w:r>
          </w:p>
          <w:p w14:paraId="52880D22">
            <w:pPr>
              <w:spacing w:line="40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经营</w:t>
            </w:r>
          </w:p>
          <w:p w14:paraId="0840703D">
            <w:pPr>
              <w:spacing w:line="400" w:lineRule="exact"/>
              <w:jc w:val="center"/>
              <w:rPr>
                <w:rFonts w:hint="default" w:ascii="Times New Roman" w:hAnsi="Times New Roman" w:eastAsia="黑体" w:cs="Times New Roman"/>
                <w:color w:val="auto"/>
                <w:sz w:val="28"/>
                <w:szCs w:val="28"/>
                <w:highlight w:val="none"/>
              </w:rPr>
            </w:pPr>
            <w:r>
              <w:rPr>
                <w:rFonts w:hint="eastAsia" w:eastAsia="黑体" w:cs="Times New Roman"/>
                <w:color w:val="auto"/>
                <w:sz w:val="28"/>
                <w:szCs w:val="28"/>
                <w:highlight w:val="none"/>
                <w:lang w:eastAsia="zh-CN"/>
              </w:rPr>
              <w:t>（</w:t>
            </w:r>
            <w:r>
              <w:rPr>
                <w:rFonts w:hint="default" w:ascii="Times New Roman" w:hAnsi="Times New Roman" w:eastAsia="黑体" w:cs="Times New Roman"/>
                <w:color w:val="auto"/>
                <w:sz w:val="28"/>
                <w:szCs w:val="28"/>
                <w:highlight w:val="none"/>
              </w:rPr>
              <w:t>1</w:t>
            </w:r>
            <w:r>
              <w:rPr>
                <w:rFonts w:hint="eastAsia" w:ascii="Times New Roman" w:hAnsi="Times New Roman" w:eastAsia="黑体" w:cs="Times New Roman"/>
                <w:color w:val="auto"/>
                <w:sz w:val="28"/>
                <w:szCs w:val="28"/>
                <w:highlight w:val="none"/>
                <w:lang w:val="en-US" w:eastAsia="zh-CN"/>
              </w:rPr>
              <w:t>6</w:t>
            </w:r>
            <w:r>
              <w:rPr>
                <w:rFonts w:hint="default" w:ascii="Times New Roman" w:hAnsi="Times New Roman" w:eastAsia="黑体" w:cs="Times New Roman"/>
                <w:color w:val="auto"/>
                <w:sz w:val="28"/>
                <w:szCs w:val="28"/>
                <w:highlight w:val="none"/>
                <w:lang w:val="en-US" w:eastAsia="zh-CN"/>
              </w:rPr>
              <w:t>0</w:t>
            </w:r>
            <w:r>
              <w:rPr>
                <w:rFonts w:hint="default" w:ascii="Times New Roman" w:hAnsi="Times New Roman" w:eastAsia="黑体" w:cs="Times New Roman"/>
                <w:color w:val="auto"/>
                <w:sz w:val="28"/>
                <w:szCs w:val="28"/>
                <w:highlight w:val="none"/>
              </w:rPr>
              <w:t>分</w:t>
            </w:r>
            <w:r>
              <w:rPr>
                <w:rFonts w:hint="default" w:ascii="Times New Roman" w:hAnsi="Times New Roman" w:eastAsia="黑体" w:cs="Times New Roman"/>
                <w:color w:val="auto"/>
                <w:sz w:val="28"/>
                <w:szCs w:val="28"/>
                <w:highlight w:val="none"/>
                <w:lang w:eastAsia="zh-CN"/>
              </w:rPr>
              <w:t>）</w:t>
            </w:r>
          </w:p>
          <w:p w14:paraId="46F1B01D">
            <w:pPr>
              <w:spacing w:line="400" w:lineRule="exact"/>
              <w:jc w:val="both"/>
              <w:rPr>
                <w:rFonts w:hint="default" w:ascii="Times New Roman" w:hAnsi="Times New Roman" w:eastAsia="黑体" w:cs="Times New Roman"/>
                <w:color w:val="auto"/>
                <w:sz w:val="28"/>
                <w:szCs w:val="28"/>
                <w:highlight w:val="none"/>
              </w:rPr>
            </w:pPr>
          </w:p>
          <w:p w14:paraId="42AFB192">
            <w:pPr>
              <w:spacing w:line="400" w:lineRule="exact"/>
              <w:jc w:val="left"/>
              <w:rPr>
                <w:rFonts w:hint="default" w:ascii="Times New Roman" w:hAnsi="Times New Roman" w:eastAsia="黑体" w:cs="Times New Roman"/>
                <w:color w:val="auto"/>
                <w:sz w:val="28"/>
                <w:szCs w:val="28"/>
                <w:highlight w:val="none"/>
              </w:rPr>
            </w:pPr>
          </w:p>
          <w:p w14:paraId="7FB949B0">
            <w:pPr>
              <w:spacing w:line="400" w:lineRule="exact"/>
              <w:jc w:val="left"/>
              <w:rPr>
                <w:rFonts w:hint="default" w:ascii="Times New Roman" w:hAnsi="Times New Roman" w:eastAsia="黑体" w:cs="Times New Roman"/>
                <w:color w:val="auto"/>
                <w:sz w:val="28"/>
                <w:szCs w:val="28"/>
                <w:highlight w:val="none"/>
              </w:rPr>
            </w:pPr>
          </w:p>
          <w:p w14:paraId="1A7A75F7">
            <w:pPr>
              <w:pStyle w:val="2"/>
              <w:rPr>
                <w:rFonts w:hint="default" w:ascii="Times New Roman" w:hAnsi="Times New Roman" w:eastAsia="黑体" w:cs="Times New Roman"/>
                <w:color w:val="auto"/>
                <w:sz w:val="28"/>
                <w:szCs w:val="28"/>
                <w:highlight w:val="none"/>
              </w:rPr>
            </w:pPr>
          </w:p>
          <w:p w14:paraId="424FCC87">
            <w:pPr>
              <w:pStyle w:val="2"/>
              <w:rPr>
                <w:rFonts w:hint="default" w:ascii="Times New Roman" w:hAnsi="Times New Roman" w:eastAsia="黑体" w:cs="Times New Roman"/>
                <w:color w:val="auto"/>
                <w:sz w:val="28"/>
                <w:szCs w:val="28"/>
                <w:highlight w:val="none"/>
              </w:rPr>
            </w:pPr>
          </w:p>
          <w:p w14:paraId="0937F378">
            <w:pPr>
              <w:pStyle w:val="2"/>
              <w:rPr>
                <w:rFonts w:hint="default" w:ascii="Times New Roman" w:hAnsi="Times New Roman" w:eastAsia="黑体" w:cs="Times New Roman"/>
                <w:color w:val="auto"/>
                <w:sz w:val="28"/>
                <w:szCs w:val="28"/>
                <w:highlight w:val="none"/>
              </w:rPr>
            </w:pPr>
          </w:p>
        </w:tc>
        <w:tc>
          <w:tcPr>
            <w:tcW w:w="1398" w:type="dxa"/>
            <w:noWrap w:val="0"/>
            <w:vAlign w:val="center"/>
          </w:tcPr>
          <w:p w14:paraId="5A088A50">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outlineLvl w:val="9"/>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w:t>
            </w:r>
            <w:r>
              <w:rPr>
                <w:rFonts w:hint="default" w:ascii="Times New Roman" w:hAnsi="Times New Roman" w:eastAsia="楷体_GB2312" w:cs="Times New Roman"/>
                <w:b/>
                <w:bCs/>
                <w:color w:val="auto"/>
                <w:sz w:val="24"/>
                <w:szCs w:val="24"/>
                <w:highlight w:val="none"/>
                <w:lang w:val="en-US" w:eastAsia="zh-CN"/>
              </w:rPr>
              <w:t>6</w:t>
            </w:r>
            <w:r>
              <w:rPr>
                <w:rFonts w:hint="default" w:ascii="Times New Roman" w:hAnsi="Times New Roman" w:eastAsia="楷体_GB2312" w:cs="Times New Roman"/>
                <w:b/>
                <w:bCs/>
                <w:color w:val="auto"/>
                <w:sz w:val="24"/>
                <w:szCs w:val="24"/>
                <w:highlight w:val="none"/>
              </w:rPr>
              <w:t>）</w:t>
            </w:r>
            <w:r>
              <w:rPr>
                <w:rFonts w:hint="eastAsia" w:eastAsia="楷体_GB2312" w:cs="Times New Roman"/>
                <w:b/>
                <w:bCs/>
                <w:color w:val="auto"/>
                <w:sz w:val="24"/>
                <w:szCs w:val="24"/>
                <w:highlight w:val="none"/>
                <w:lang w:val="en-US" w:eastAsia="zh-CN"/>
              </w:rPr>
              <w:t>放贷</w:t>
            </w:r>
            <w:r>
              <w:rPr>
                <w:rFonts w:hint="default" w:ascii="Times New Roman" w:hAnsi="Times New Roman" w:eastAsia="楷体_GB2312" w:cs="Times New Roman"/>
                <w:b/>
                <w:bCs/>
                <w:color w:val="auto"/>
                <w:sz w:val="24"/>
                <w:szCs w:val="24"/>
                <w:highlight w:val="none"/>
              </w:rPr>
              <w:t>资金来源</w:t>
            </w:r>
          </w:p>
        </w:tc>
        <w:tc>
          <w:tcPr>
            <w:tcW w:w="506" w:type="dxa"/>
            <w:noWrap w:val="0"/>
            <w:vAlign w:val="center"/>
          </w:tcPr>
          <w:p w14:paraId="7B5DB075">
            <w:pPr>
              <w:jc w:val="center"/>
              <w:rPr>
                <w:rFonts w:hint="default" w:ascii="Times New Roman" w:hAnsi="Times New Roman" w:eastAsia="仿宋" w:cs="Times New Roman"/>
                <w:color w:val="auto"/>
                <w:sz w:val="24"/>
                <w:highlight w:val="none"/>
              </w:rPr>
            </w:pPr>
            <w:r>
              <w:rPr>
                <w:rFonts w:hint="default" w:ascii="Times New Roman" w:hAnsi="Times New Roman" w:eastAsia="宋体" w:cs="Times New Roman"/>
                <w:b/>
                <w:bCs/>
                <w:color w:val="auto"/>
                <w:sz w:val="24"/>
                <w:szCs w:val="24"/>
                <w:highlight w:val="none"/>
                <w:lang w:val="en-US" w:eastAsia="zh-CN"/>
              </w:rPr>
              <w:t>2</w:t>
            </w:r>
            <w:r>
              <w:rPr>
                <w:rFonts w:hint="eastAsia" w:eastAsia="宋体" w:cs="Times New Roman"/>
                <w:b/>
                <w:bCs/>
                <w:color w:val="auto"/>
                <w:sz w:val="24"/>
                <w:szCs w:val="24"/>
                <w:highlight w:val="none"/>
                <w:lang w:val="en-US" w:eastAsia="zh-CN"/>
              </w:rPr>
              <w:t>0</w:t>
            </w:r>
          </w:p>
        </w:tc>
        <w:tc>
          <w:tcPr>
            <w:tcW w:w="9741" w:type="dxa"/>
            <w:noWrap w:val="0"/>
            <w:vAlign w:val="center"/>
          </w:tcPr>
          <w:p w14:paraId="37738DFF">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textAlignment w:val="auto"/>
              <w:rPr>
                <w:rFonts w:hint="eastAsia"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小额贷款公司</w:t>
            </w:r>
            <w:r>
              <w:rPr>
                <w:rFonts w:hint="eastAsia" w:cs="Times New Roman"/>
                <w:color w:val="auto"/>
                <w:sz w:val="21"/>
                <w:szCs w:val="21"/>
                <w:highlight w:val="none"/>
                <w:lang w:val="en-US" w:eastAsia="zh-CN"/>
              </w:rPr>
              <w:t>放贷资金为</w:t>
            </w:r>
            <w:r>
              <w:rPr>
                <w:rFonts w:hint="default" w:ascii="Times New Roman" w:hAnsi="Times New Roman" w:eastAsia="仿宋_GB2312" w:cs="Times New Roman"/>
                <w:color w:val="auto"/>
                <w:sz w:val="21"/>
                <w:szCs w:val="21"/>
                <w:highlight w:val="none"/>
              </w:rPr>
              <w:t>股东的资本金、</w:t>
            </w:r>
            <w:r>
              <w:rPr>
                <w:rFonts w:hint="eastAsia" w:cs="Times New Roman"/>
                <w:color w:val="auto"/>
                <w:sz w:val="21"/>
                <w:szCs w:val="21"/>
                <w:highlight w:val="none"/>
                <w:lang w:val="en-US" w:eastAsia="zh-CN"/>
              </w:rPr>
              <w:t>捐赠资金、依法经批准外部融资的，得20分。存在以下情况的，该项不得分，且最高只可评为B级：</w:t>
            </w:r>
          </w:p>
          <w:p w14:paraId="07176942">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1.未经自治区金融管理局批准融入外部资金或融资杠杆超过相关规定（</w:t>
            </w:r>
            <w:r>
              <w:rPr>
                <w:rFonts w:hint="eastAsia" w:cs="Times New Roman"/>
                <w:color w:val="auto"/>
                <w:sz w:val="21"/>
                <w:szCs w:val="21"/>
                <w:highlight w:val="none"/>
                <w:lang w:eastAsia="zh-CN"/>
              </w:rPr>
              <w:t>小额贷款公司通过银行借款、股东借款等非标准化形式融入资金的余额不得超过其上年末净资产的</w:t>
            </w:r>
            <w:r>
              <w:rPr>
                <w:rFonts w:hint="eastAsia" w:cs="Times New Roman"/>
                <w:color w:val="auto"/>
                <w:sz w:val="21"/>
                <w:szCs w:val="21"/>
                <w:highlight w:val="none"/>
                <w:lang w:val="en-US" w:eastAsia="zh-CN"/>
              </w:rPr>
              <w:t>1倍；通过发行债券、资产证券化产品等标准化形式融入资金的余额不得超过其上年末净资产的4倍）的；</w:t>
            </w:r>
          </w:p>
          <w:p w14:paraId="0862E922">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2.通过地方各类交易场所、私募投资基金融资；</w:t>
            </w:r>
          </w:p>
          <w:p w14:paraId="12597985">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textAlignment w:val="auto"/>
              <w:rPr>
                <w:rFonts w:hint="default" w:ascii="Times New Roman" w:hAnsi="Times New Roman" w:eastAsia="仿宋_GB2312" w:cs="Times New Roman"/>
                <w:color w:val="auto"/>
                <w:sz w:val="21"/>
                <w:szCs w:val="21"/>
                <w:highlight w:val="none"/>
              </w:rPr>
            </w:pPr>
            <w:r>
              <w:rPr>
                <w:rFonts w:hint="eastAsia" w:cs="Times New Roman"/>
                <w:color w:val="auto"/>
                <w:sz w:val="21"/>
                <w:szCs w:val="21"/>
                <w:highlight w:val="none"/>
                <w:lang w:val="en-US" w:eastAsia="zh-CN"/>
              </w:rPr>
              <w:t>3.使用合作机构的预存保证金等资金发放贷款。</w:t>
            </w:r>
          </w:p>
        </w:tc>
        <w:tc>
          <w:tcPr>
            <w:tcW w:w="798" w:type="dxa"/>
            <w:noWrap w:val="0"/>
            <w:vAlign w:val="top"/>
          </w:tcPr>
          <w:p w14:paraId="598491FF">
            <w:pPr>
              <w:spacing w:line="540" w:lineRule="exact"/>
              <w:rPr>
                <w:rFonts w:hint="default" w:ascii="Times New Roman" w:hAnsi="Times New Roman" w:eastAsia="方正仿宋_GBK" w:cs="Times New Roman"/>
                <w:color w:val="auto"/>
                <w:sz w:val="32"/>
                <w:szCs w:val="32"/>
                <w:highlight w:val="none"/>
              </w:rPr>
            </w:pPr>
          </w:p>
        </w:tc>
        <w:tc>
          <w:tcPr>
            <w:tcW w:w="715" w:type="dxa"/>
            <w:noWrap w:val="0"/>
            <w:vAlign w:val="top"/>
          </w:tcPr>
          <w:p w14:paraId="6559C135">
            <w:pPr>
              <w:spacing w:line="540" w:lineRule="exact"/>
              <w:rPr>
                <w:rFonts w:hint="default" w:ascii="Times New Roman" w:hAnsi="Times New Roman" w:eastAsia="方正仿宋_GBK" w:cs="Times New Roman"/>
                <w:color w:val="auto"/>
                <w:sz w:val="32"/>
                <w:szCs w:val="32"/>
                <w:highlight w:val="none"/>
              </w:rPr>
            </w:pPr>
          </w:p>
          <w:p w14:paraId="6A74B655">
            <w:pPr>
              <w:spacing w:line="540" w:lineRule="exact"/>
              <w:rPr>
                <w:rFonts w:hint="default" w:ascii="Times New Roman" w:hAnsi="Times New Roman" w:eastAsia="方正仿宋_GBK" w:cs="Times New Roman"/>
                <w:color w:val="auto"/>
                <w:sz w:val="32"/>
                <w:szCs w:val="32"/>
                <w:highlight w:val="none"/>
              </w:rPr>
            </w:pPr>
          </w:p>
        </w:tc>
      </w:tr>
      <w:tr w14:paraId="740C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7" w:hRule="atLeast"/>
          <w:jc w:val="center"/>
        </w:trPr>
        <w:tc>
          <w:tcPr>
            <w:tcW w:w="1138" w:type="dxa"/>
            <w:vMerge w:val="continue"/>
            <w:noWrap w:val="0"/>
            <w:vAlign w:val="center"/>
          </w:tcPr>
          <w:p w14:paraId="7B3647D7">
            <w:pPr>
              <w:spacing w:line="400" w:lineRule="exact"/>
              <w:jc w:val="center"/>
              <w:rPr>
                <w:rFonts w:hint="default" w:ascii="Times New Roman" w:hAnsi="Times New Roman" w:eastAsia="黑体" w:cs="Times New Roman"/>
                <w:color w:val="auto"/>
                <w:sz w:val="28"/>
                <w:szCs w:val="28"/>
                <w:highlight w:val="none"/>
              </w:rPr>
            </w:pPr>
          </w:p>
        </w:tc>
        <w:tc>
          <w:tcPr>
            <w:tcW w:w="1398" w:type="dxa"/>
            <w:noWrap w:val="0"/>
            <w:vAlign w:val="center"/>
          </w:tcPr>
          <w:p w14:paraId="1D5574B6">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outlineLvl w:val="9"/>
              <w:rPr>
                <w:rFonts w:hint="default" w:ascii="Times New Roman" w:hAnsi="Times New Roman" w:eastAsia="楷体_GB2312" w:cs="Times New Roman"/>
                <w:b/>
                <w:bCs/>
                <w:color w:val="auto"/>
                <w:sz w:val="24"/>
                <w:szCs w:val="24"/>
                <w:highlight w:val="none"/>
                <w:lang w:val="en-US"/>
              </w:rPr>
            </w:pPr>
            <w:r>
              <w:rPr>
                <w:rFonts w:hint="default" w:ascii="Times New Roman" w:hAnsi="Times New Roman" w:eastAsia="楷体_GB2312" w:cs="Times New Roman"/>
                <w:b/>
                <w:bCs/>
                <w:color w:val="auto"/>
                <w:sz w:val="24"/>
                <w:szCs w:val="24"/>
                <w:highlight w:val="none"/>
              </w:rPr>
              <w:t>（</w:t>
            </w:r>
            <w:r>
              <w:rPr>
                <w:rFonts w:hint="default" w:ascii="Times New Roman" w:hAnsi="Times New Roman" w:eastAsia="楷体_GB2312" w:cs="Times New Roman"/>
                <w:b/>
                <w:bCs/>
                <w:color w:val="auto"/>
                <w:sz w:val="24"/>
                <w:szCs w:val="24"/>
                <w:highlight w:val="none"/>
                <w:lang w:eastAsia="zh-CN"/>
              </w:rPr>
              <w:t>7</w:t>
            </w:r>
            <w:r>
              <w:rPr>
                <w:rFonts w:hint="default" w:ascii="Times New Roman" w:hAnsi="Times New Roman" w:eastAsia="楷体_GB2312" w:cs="Times New Roman"/>
                <w:b/>
                <w:bCs/>
                <w:color w:val="auto"/>
                <w:sz w:val="24"/>
                <w:szCs w:val="24"/>
                <w:highlight w:val="none"/>
              </w:rPr>
              <w:t>）</w:t>
            </w:r>
            <w:r>
              <w:rPr>
                <w:rFonts w:hint="default" w:ascii="Times New Roman" w:hAnsi="Times New Roman" w:eastAsia="楷体_GB2312" w:cs="Times New Roman"/>
                <w:b/>
                <w:bCs/>
                <w:color w:val="auto"/>
                <w:sz w:val="24"/>
                <w:szCs w:val="24"/>
                <w:highlight w:val="none"/>
                <w:lang w:val="en-US" w:eastAsia="zh-CN"/>
              </w:rPr>
              <w:t>资金</w:t>
            </w:r>
            <w:r>
              <w:rPr>
                <w:rFonts w:hint="eastAsia" w:eastAsia="楷体_GB2312" w:cs="Times New Roman"/>
                <w:b/>
                <w:bCs/>
                <w:color w:val="auto"/>
                <w:sz w:val="24"/>
                <w:szCs w:val="24"/>
                <w:highlight w:val="none"/>
                <w:lang w:val="en-US" w:eastAsia="zh-CN"/>
              </w:rPr>
              <w:t>管理及</w:t>
            </w:r>
            <w:r>
              <w:rPr>
                <w:rFonts w:hint="default" w:ascii="Times New Roman" w:hAnsi="Times New Roman" w:eastAsia="楷体_GB2312" w:cs="Times New Roman"/>
                <w:b/>
                <w:bCs/>
                <w:color w:val="auto"/>
                <w:sz w:val="24"/>
                <w:szCs w:val="24"/>
                <w:highlight w:val="none"/>
                <w:lang w:eastAsia="zh-CN"/>
              </w:rPr>
              <w:t>使用</w:t>
            </w:r>
          </w:p>
        </w:tc>
        <w:tc>
          <w:tcPr>
            <w:tcW w:w="506" w:type="dxa"/>
            <w:noWrap w:val="0"/>
            <w:vAlign w:val="center"/>
          </w:tcPr>
          <w:p w14:paraId="276EC55C">
            <w:pPr>
              <w:jc w:val="center"/>
              <w:rPr>
                <w:rFonts w:hint="default" w:ascii="Times New Roman" w:hAnsi="Times New Roman" w:eastAsia="宋体" w:cs="Times New Roman"/>
                <w:b/>
                <w:bCs/>
                <w:color w:val="auto"/>
                <w:sz w:val="24"/>
                <w:szCs w:val="24"/>
                <w:highlight w:val="none"/>
                <w:lang w:val="en-US" w:eastAsia="zh-CN"/>
              </w:rPr>
            </w:pPr>
            <w:r>
              <w:rPr>
                <w:rFonts w:hint="eastAsia" w:eastAsia="宋体" w:cs="Times New Roman"/>
                <w:b/>
                <w:bCs/>
                <w:color w:val="auto"/>
                <w:sz w:val="24"/>
                <w:szCs w:val="24"/>
                <w:highlight w:val="none"/>
                <w:lang w:val="en-US" w:eastAsia="zh-CN"/>
              </w:rPr>
              <w:t>20</w:t>
            </w:r>
          </w:p>
        </w:tc>
        <w:tc>
          <w:tcPr>
            <w:tcW w:w="9741" w:type="dxa"/>
            <w:noWrap w:val="0"/>
            <w:vAlign w:val="center"/>
          </w:tcPr>
          <w:p w14:paraId="36C94E28">
            <w:pPr>
              <w:widowControl w:val="0"/>
              <w:numPr>
                <w:ilvl w:val="0"/>
                <w:numId w:val="0"/>
              </w:numPr>
              <w:spacing w:line="240" w:lineRule="auto"/>
              <w:ind w:firstLine="420" w:firstLineChars="200"/>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1.</w:t>
            </w:r>
            <w:r>
              <w:rPr>
                <w:rFonts w:hint="eastAsia" w:cs="Times New Roman"/>
                <w:color w:val="auto"/>
                <w:sz w:val="21"/>
                <w:szCs w:val="21"/>
                <w:highlight w:val="none"/>
                <w:lang w:val="en-US" w:eastAsia="zh-CN"/>
              </w:rPr>
              <w:t>小额贷款公司应当</w:t>
            </w:r>
            <w:r>
              <w:rPr>
                <w:rFonts w:hint="default" w:ascii="Times New Roman" w:hAnsi="Times New Roman" w:cs="Times New Roman"/>
                <w:color w:val="auto"/>
                <w:sz w:val="21"/>
                <w:szCs w:val="21"/>
                <w:highlight w:val="none"/>
              </w:rPr>
              <w:t>严格执行《金融企业财务规则》及相关金融财务管理制度</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强化资金管理，对放贷资金实施专户管理，</w:t>
            </w:r>
            <w:r>
              <w:rPr>
                <w:rFonts w:hint="eastAsia" w:ascii="Times New Roman" w:hAnsi="Times New Roman" w:cs="Times New Roman"/>
                <w:color w:val="auto"/>
                <w:sz w:val="21"/>
                <w:szCs w:val="21"/>
                <w:highlight w:val="none"/>
                <w:lang w:val="en-US" w:eastAsia="zh-CN"/>
              </w:rPr>
              <w:t>按规定开设放贷专户且通过放贷专户发放贷款及本息回收</w:t>
            </w:r>
            <w:r>
              <w:rPr>
                <w:rFonts w:hint="eastAsia" w:cs="Times New Roman"/>
                <w:color w:val="auto"/>
                <w:sz w:val="21"/>
                <w:szCs w:val="21"/>
                <w:highlight w:val="none"/>
                <w:lang w:val="en-US" w:eastAsia="zh-CN"/>
              </w:rPr>
              <w:t>，并按要求提供放贷专户运营报告和资金流水明细</w:t>
            </w:r>
            <w:r>
              <w:rPr>
                <w:rFonts w:hint="eastAsia" w:ascii="Times New Roman" w:hAnsi="Times New Roman" w:cs="Times New Roman"/>
                <w:color w:val="auto"/>
                <w:sz w:val="21"/>
                <w:szCs w:val="21"/>
                <w:highlight w:val="none"/>
                <w:lang w:val="en-US" w:eastAsia="zh-CN"/>
              </w:rPr>
              <w:t>的</w:t>
            </w:r>
            <w:r>
              <w:rPr>
                <w:rFonts w:hint="eastAsia"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得</w:t>
            </w:r>
            <w:r>
              <w:rPr>
                <w:rFonts w:hint="eastAsia" w:cs="Times New Roman"/>
                <w:color w:val="auto"/>
                <w:sz w:val="21"/>
                <w:szCs w:val="21"/>
                <w:highlight w:val="none"/>
                <w:lang w:val="en-US" w:eastAsia="zh-CN"/>
              </w:rPr>
              <w:t>10</w:t>
            </w:r>
            <w:r>
              <w:rPr>
                <w:rFonts w:hint="eastAsia" w:ascii="Times New Roman" w:hAnsi="Times New Roman" w:cs="Times New Roman"/>
                <w:color w:val="auto"/>
                <w:sz w:val="21"/>
                <w:szCs w:val="21"/>
                <w:highlight w:val="none"/>
                <w:lang w:val="en-US" w:eastAsia="zh-CN"/>
              </w:rPr>
              <w:t>分</w:t>
            </w:r>
            <w:r>
              <w:rPr>
                <w:rFonts w:hint="eastAsia" w:cs="Times New Roman"/>
                <w:color w:val="auto"/>
                <w:sz w:val="21"/>
                <w:szCs w:val="21"/>
                <w:highlight w:val="none"/>
                <w:lang w:val="en-US" w:eastAsia="zh-CN"/>
              </w:rPr>
              <w:t>，否则</w:t>
            </w:r>
            <w:r>
              <w:rPr>
                <w:rFonts w:hint="eastAsia" w:ascii="Times New Roman" w:hAnsi="Times New Roman" w:cs="Times New Roman"/>
                <w:color w:val="auto"/>
                <w:sz w:val="21"/>
                <w:szCs w:val="21"/>
                <w:highlight w:val="none"/>
                <w:lang w:val="en-US" w:eastAsia="zh-CN"/>
              </w:rPr>
              <w:t>该子项不得分</w:t>
            </w:r>
            <w:r>
              <w:rPr>
                <w:rFonts w:hint="eastAsia"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利用股东、董事、监事、高级管理人员、内部职工或关联人员个人账户发放和回收贷款的，发现一笔扣</w:t>
            </w:r>
            <w:r>
              <w:rPr>
                <w:rFonts w:hint="eastAsia" w:cs="Times New Roman"/>
                <w:color w:val="auto"/>
                <w:sz w:val="21"/>
                <w:szCs w:val="21"/>
                <w:highlight w:val="none"/>
                <w:lang w:val="en-US" w:eastAsia="zh-CN"/>
              </w:rPr>
              <w:t>5</w:t>
            </w:r>
            <w:r>
              <w:rPr>
                <w:rFonts w:hint="eastAsia" w:ascii="Times New Roman" w:hAnsi="Times New Roman" w:cs="Times New Roman"/>
                <w:color w:val="auto"/>
                <w:sz w:val="21"/>
                <w:szCs w:val="21"/>
                <w:highlight w:val="none"/>
                <w:lang w:val="en-US" w:eastAsia="zh-CN"/>
              </w:rPr>
              <w:t>分，扣完20分为止。</w:t>
            </w:r>
          </w:p>
          <w:p w14:paraId="0BC5EBFB">
            <w:pPr>
              <w:widowControl w:val="0"/>
              <w:spacing w:line="24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rPr>
              <w:t>小额贷款公司</w:t>
            </w:r>
            <w:r>
              <w:rPr>
                <w:rFonts w:hint="default" w:ascii="Times New Roman" w:hAnsi="Times New Roman" w:eastAsia="仿宋_GB2312" w:cs="Times New Roman"/>
                <w:color w:val="auto"/>
                <w:sz w:val="21"/>
                <w:szCs w:val="21"/>
                <w:highlight w:val="none"/>
              </w:rPr>
              <w:t>购买国债或者其他信用等级较高的固定收益类等金融产品</w:t>
            </w:r>
            <w:r>
              <w:rPr>
                <w:rFonts w:hint="eastAsia" w:ascii="Times New Roman" w:hAnsi="Times New Roman" w:cs="Times New Roman"/>
                <w:color w:val="auto"/>
                <w:sz w:val="21"/>
                <w:szCs w:val="21"/>
                <w:highlight w:val="none"/>
                <w:lang w:val="en-US" w:eastAsia="zh-CN"/>
              </w:rPr>
              <w:t>的</w:t>
            </w:r>
            <w:r>
              <w:rPr>
                <w:rFonts w:hint="default" w:ascii="Times New Roman" w:hAnsi="Times New Roman" w:eastAsia="仿宋_GB2312" w:cs="Times New Roman"/>
                <w:color w:val="auto"/>
                <w:sz w:val="21"/>
                <w:szCs w:val="21"/>
                <w:highlight w:val="none"/>
              </w:rPr>
              <w:t>比例</w:t>
            </w:r>
            <w:r>
              <w:rPr>
                <w:rFonts w:hint="eastAsia" w:ascii="Times New Roman" w:hAnsi="Times New Roman" w:cs="Times New Roman"/>
                <w:color w:val="auto"/>
                <w:sz w:val="21"/>
                <w:szCs w:val="21"/>
                <w:highlight w:val="none"/>
                <w:lang w:val="en-US" w:eastAsia="zh-CN"/>
              </w:rPr>
              <w:t>未</w:t>
            </w:r>
            <w:r>
              <w:rPr>
                <w:rFonts w:hint="default" w:ascii="Times New Roman" w:hAnsi="Times New Roman" w:eastAsia="仿宋_GB2312" w:cs="Times New Roman"/>
                <w:color w:val="auto"/>
                <w:sz w:val="21"/>
                <w:szCs w:val="21"/>
                <w:highlight w:val="none"/>
              </w:rPr>
              <w:t>超过上一会计年度公司净资产的20%；开展与贷款业务有关的优质企业股权投资（不含金融中介机构）额度</w:t>
            </w:r>
            <w:r>
              <w:rPr>
                <w:rFonts w:hint="eastAsia" w:ascii="Times New Roman" w:hAnsi="Times New Roman" w:cs="Times New Roman"/>
                <w:color w:val="auto"/>
                <w:sz w:val="21"/>
                <w:szCs w:val="21"/>
                <w:highlight w:val="none"/>
                <w:lang w:val="en-US" w:eastAsia="zh-CN"/>
              </w:rPr>
              <w:t>未</w:t>
            </w:r>
            <w:r>
              <w:rPr>
                <w:rFonts w:hint="default" w:ascii="Times New Roman" w:hAnsi="Times New Roman" w:eastAsia="仿宋_GB2312" w:cs="Times New Roman"/>
                <w:color w:val="auto"/>
                <w:sz w:val="21"/>
                <w:szCs w:val="21"/>
                <w:highlight w:val="none"/>
              </w:rPr>
              <w:t>超过上一会计年度公司净资产的20%</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且按要求逐笔向地方金融管理部门备案</w:t>
            </w:r>
            <w:r>
              <w:rPr>
                <w:rFonts w:hint="eastAsia" w:ascii="Times New Roman" w:hAnsi="Times New Roman" w:cs="Times New Roman"/>
                <w:color w:val="auto"/>
                <w:sz w:val="21"/>
                <w:szCs w:val="21"/>
                <w:highlight w:val="none"/>
                <w:lang w:val="en-US" w:eastAsia="zh-CN"/>
              </w:rPr>
              <w:t>的，得10分</w:t>
            </w:r>
            <w:r>
              <w:rPr>
                <w:rFonts w:hint="eastAsia"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否则该子项不得分</w:t>
            </w:r>
            <w:r>
              <w:rPr>
                <w:rFonts w:hint="eastAsia" w:ascii="Times New Roman" w:hAnsi="Times New Roman" w:cs="Times New Roman"/>
                <w:color w:val="auto"/>
                <w:sz w:val="21"/>
                <w:szCs w:val="21"/>
                <w:highlight w:val="none"/>
                <w:lang w:eastAsia="zh-CN"/>
              </w:rPr>
              <w:t>。</w:t>
            </w:r>
          </w:p>
          <w:p w14:paraId="5BCFE2F2">
            <w:pPr>
              <w:ind w:firstLine="420" w:firstLineChars="200"/>
              <w:rPr>
                <w:rFonts w:hint="default" w:eastAsia="仿宋_GB2312"/>
                <w:color w:val="auto"/>
                <w:highlight w:val="none"/>
                <w:lang w:val="en-US" w:eastAsia="zh-CN"/>
              </w:rPr>
            </w:pPr>
            <w:r>
              <w:rPr>
                <w:rFonts w:hint="eastAsia" w:ascii="Times New Roman" w:hAnsi="Times New Roman" w:cs="Times New Roman"/>
                <w:color w:val="auto"/>
                <w:sz w:val="21"/>
                <w:szCs w:val="21"/>
                <w:highlight w:val="none"/>
                <w:lang w:val="en-US" w:eastAsia="zh-CN"/>
              </w:rPr>
              <w:t>3.未经自治区地方金融管理局批准向股东、实际控制人、法定代表人、董事、监事、高级管理人员及关联方归集资金或大额资金往来的，</w:t>
            </w:r>
            <w:r>
              <w:rPr>
                <w:rFonts w:hint="default" w:ascii="Times New Roman" w:hAnsi="Times New Roman" w:eastAsia="仿宋_GB2312" w:cs="Times New Roman"/>
                <w:bCs/>
                <w:color w:val="auto"/>
                <w:sz w:val="21"/>
                <w:szCs w:val="21"/>
                <w:highlight w:val="none"/>
              </w:rPr>
              <w:t>酌情扣</w:t>
            </w:r>
            <w:r>
              <w:rPr>
                <w:rFonts w:hint="eastAsia" w:cs="Times New Roman"/>
                <w:bCs/>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w:t>
            </w:r>
            <w:r>
              <w:rPr>
                <w:rFonts w:hint="eastAsia" w:cs="Times New Roman"/>
                <w:bCs/>
                <w:color w:val="auto"/>
                <w:sz w:val="21"/>
                <w:szCs w:val="21"/>
                <w:highlight w:val="none"/>
                <w:lang w:val="en-US" w:eastAsia="zh-CN"/>
              </w:rPr>
              <w:t>20</w:t>
            </w:r>
            <w:r>
              <w:rPr>
                <w:rFonts w:hint="default" w:ascii="Times New Roman" w:hAnsi="Times New Roman" w:eastAsia="仿宋_GB2312" w:cs="Times New Roman"/>
                <w:bCs/>
                <w:color w:val="auto"/>
                <w:sz w:val="21"/>
                <w:szCs w:val="21"/>
                <w:highlight w:val="none"/>
              </w:rPr>
              <w:t>分</w:t>
            </w:r>
            <w:r>
              <w:rPr>
                <w:rFonts w:hint="eastAsia" w:ascii="Times New Roman" w:hAnsi="Times New Roman" w:cs="Times New Roman"/>
                <w:color w:val="auto"/>
                <w:sz w:val="21"/>
                <w:szCs w:val="21"/>
                <w:highlight w:val="none"/>
                <w:lang w:val="en-US" w:eastAsia="zh-CN"/>
              </w:rPr>
              <w:t>。</w:t>
            </w:r>
          </w:p>
        </w:tc>
        <w:tc>
          <w:tcPr>
            <w:tcW w:w="798" w:type="dxa"/>
            <w:noWrap w:val="0"/>
            <w:vAlign w:val="top"/>
          </w:tcPr>
          <w:p w14:paraId="2DE90AEB">
            <w:pPr>
              <w:spacing w:line="540" w:lineRule="exact"/>
              <w:rPr>
                <w:rFonts w:hint="default" w:ascii="Times New Roman" w:hAnsi="Times New Roman" w:eastAsia="方正仿宋_GBK" w:cs="Times New Roman"/>
                <w:color w:val="auto"/>
                <w:sz w:val="32"/>
                <w:szCs w:val="32"/>
                <w:highlight w:val="none"/>
              </w:rPr>
            </w:pPr>
          </w:p>
        </w:tc>
        <w:tc>
          <w:tcPr>
            <w:tcW w:w="715" w:type="dxa"/>
            <w:noWrap w:val="0"/>
            <w:vAlign w:val="top"/>
          </w:tcPr>
          <w:p w14:paraId="655642BC">
            <w:pPr>
              <w:spacing w:line="540" w:lineRule="exact"/>
              <w:rPr>
                <w:rFonts w:hint="default" w:ascii="Times New Roman" w:hAnsi="Times New Roman" w:eastAsia="方正仿宋_GBK" w:cs="Times New Roman"/>
                <w:color w:val="auto"/>
                <w:sz w:val="32"/>
                <w:szCs w:val="32"/>
                <w:highlight w:val="none"/>
              </w:rPr>
            </w:pPr>
          </w:p>
        </w:tc>
      </w:tr>
      <w:tr w14:paraId="17EA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8" w:type="dxa"/>
            <w:vMerge w:val="continue"/>
            <w:noWrap w:val="0"/>
            <w:vAlign w:val="top"/>
          </w:tcPr>
          <w:p w14:paraId="3C3B965C">
            <w:pPr>
              <w:pStyle w:val="2"/>
              <w:rPr>
                <w:rFonts w:hint="default" w:ascii="Times New Roman" w:hAnsi="Times New Roman" w:eastAsia="黑体" w:cs="Times New Roman"/>
                <w:color w:val="auto"/>
                <w:sz w:val="28"/>
                <w:szCs w:val="28"/>
                <w:highlight w:val="none"/>
              </w:rPr>
            </w:pPr>
          </w:p>
        </w:tc>
        <w:tc>
          <w:tcPr>
            <w:tcW w:w="1398" w:type="dxa"/>
            <w:noWrap w:val="0"/>
            <w:vAlign w:val="center"/>
          </w:tcPr>
          <w:p w14:paraId="3750B5A9">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outlineLvl w:val="9"/>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w:t>
            </w:r>
            <w:r>
              <w:rPr>
                <w:rFonts w:hint="default" w:ascii="Times New Roman" w:hAnsi="Times New Roman" w:eastAsia="楷体_GB2312" w:cs="Times New Roman"/>
                <w:b/>
                <w:bCs/>
                <w:color w:val="auto"/>
                <w:sz w:val="24"/>
                <w:szCs w:val="24"/>
                <w:highlight w:val="none"/>
                <w:lang w:eastAsia="zh-CN"/>
              </w:rPr>
              <w:t>8</w:t>
            </w:r>
            <w:r>
              <w:rPr>
                <w:rFonts w:hint="default" w:ascii="Times New Roman" w:hAnsi="Times New Roman" w:eastAsia="楷体_GB2312" w:cs="Times New Roman"/>
                <w:b/>
                <w:bCs/>
                <w:color w:val="auto"/>
                <w:sz w:val="24"/>
                <w:szCs w:val="24"/>
                <w:highlight w:val="none"/>
              </w:rPr>
              <w:t>）利率执行</w:t>
            </w:r>
          </w:p>
        </w:tc>
        <w:tc>
          <w:tcPr>
            <w:tcW w:w="506" w:type="dxa"/>
            <w:noWrap w:val="0"/>
            <w:vAlign w:val="center"/>
          </w:tcPr>
          <w:p w14:paraId="2D5A6367">
            <w:pPr>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10</w:t>
            </w:r>
          </w:p>
        </w:tc>
        <w:tc>
          <w:tcPr>
            <w:tcW w:w="9741" w:type="dxa"/>
            <w:noWrap w:val="0"/>
            <w:vAlign w:val="center"/>
          </w:tcPr>
          <w:p w14:paraId="022FDC27">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0"/>
              <w:textAlignment w:val="auto"/>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小额贷款公司</w:t>
            </w:r>
            <w:r>
              <w:rPr>
                <w:rFonts w:hint="eastAsia" w:cs="Times New Roman"/>
                <w:color w:val="auto"/>
                <w:sz w:val="21"/>
                <w:szCs w:val="21"/>
                <w:highlight w:val="none"/>
                <w:lang w:val="en-US" w:eastAsia="zh-CN"/>
              </w:rPr>
              <w:t>将其对借款人收取的所有利息、费用与贷款本金的比例计算为贷款年化利率，</w:t>
            </w:r>
            <w:r>
              <w:rPr>
                <w:rFonts w:hint="eastAsia" w:ascii="Times New Roman" w:hAnsi="Times New Roman" w:cs="Times New Roman"/>
                <w:color w:val="auto"/>
                <w:sz w:val="21"/>
                <w:szCs w:val="21"/>
                <w:highlight w:val="none"/>
                <w:lang w:eastAsia="zh-CN"/>
              </w:rPr>
              <w:t>在借款合同中</w:t>
            </w:r>
            <w:r>
              <w:rPr>
                <w:rFonts w:hint="eastAsia" w:cs="Times New Roman"/>
                <w:color w:val="auto"/>
                <w:sz w:val="21"/>
                <w:szCs w:val="21"/>
                <w:highlight w:val="none"/>
                <w:lang w:val="en-US" w:eastAsia="zh-CN"/>
              </w:rPr>
              <w:t>载明并按照约定足额向借款人支付贷款本金的，得10分。未标明年化利率的，发现一笔扣5分，扣完10分为止</w:t>
            </w:r>
            <w:r>
              <w:rPr>
                <w:rFonts w:hint="eastAsia" w:cs="Times New Roman"/>
                <w:color w:val="auto"/>
                <w:sz w:val="21"/>
                <w:szCs w:val="21"/>
                <w:highlight w:val="none"/>
                <w:lang w:eastAsia="zh-CN"/>
              </w:rPr>
              <w:t>。</w:t>
            </w:r>
          </w:p>
          <w:p w14:paraId="1A54F425">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0"/>
              <w:textAlignment w:val="auto"/>
              <w:rPr>
                <w:rFonts w:hint="default" w:ascii="Times New Roman" w:hAnsi="Times New Roman" w:eastAsia="仿宋_GB2312" w:cs="Times New Roman"/>
                <w:color w:val="auto"/>
                <w:sz w:val="21"/>
                <w:szCs w:val="21"/>
                <w:highlight w:val="none"/>
              </w:rPr>
            </w:pPr>
            <w:r>
              <w:rPr>
                <w:rFonts w:hint="eastAsia"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小额贷款公司</w:t>
            </w:r>
            <w:r>
              <w:rPr>
                <w:rFonts w:hint="eastAsia" w:cs="Times New Roman"/>
                <w:color w:val="auto"/>
                <w:sz w:val="21"/>
                <w:szCs w:val="21"/>
                <w:highlight w:val="none"/>
                <w:lang w:val="en-US" w:eastAsia="zh-CN"/>
              </w:rPr>
              <w:t>存在</w:t>
            </w:r>
            <w:r>
              <w:rPr>
                <w:rFonts w:hint="default" w:ascii="Times New Roman" w:hAnsi="Times New Roman" w:eastAsia="仿宋_GB2312" w:cs="Times New Roman"/>
                <w:color w:val="auto"/>
                <w:sz w:val="21"/>
                <w:szCs w:val="21"/>
                <w:highlight w:val="none"/>
              </w:rPr>
              <w:t>从贷款本金中先行扣除利息、手续费、管理费、保证金</w:t>
            </w:r>
            <w:r>
              <w:rPr>
                <w:rFonts w:hint="eastAsia" w:ascii="Times New Roman" w:hAnsi="Times New Roman" w:cs="Times New Roman"/>
                <w:color w:val="auto"/>
                <w:sz w:val="21"/>
                <w:szCs w:val="21"/>
                <w:highlight w:val="none"/>
                <w:lang w:eastAsia="zh-CN"/>
              </w:rPr>
              <w:t>、咨询费等</w:t>
            </w:r>
            <w:r>
              <w:rPr>
                <w:rFonts w:hint="eastAsia" w:cs="Times New Roman"/>
                <w:color w:val="auto"/>
                <w:sz w:val="21"/>
                <w:szCs w:val="21"/>
                <w:highlight w:val="none"/>
                <w:lang w:val="en-US" w:eastAsia="zh-CN"/>
              </w:rPr>
              <w:t>行为的</w:t>
            </w:r>
            <w:r>
              <w:rPr>
                <w:rFonts w:hint="eastAsia" w:ascii="Times New Roman" w:hAnsi="Times New Roman" w:cs="Times New Roman"/>
                <w:color w:val="auto"/>
                <w:sz w:val="21"/>
                <w:szCs w:val="21"/>
                <w:highlight w:val="none"/>
                <w:lang w:eastAsia="zh-CN"/>
              </w:rPr>
              <w:t>，</w:t>
            </w:r>
            <w:r>
              <w:rPr>
                <w:rFonts w:hint="eastAsia" w:cs="Times New Roman"/>
                <w:color w:val="auto"/>
                <w:sz w:val="21"/>
                <w:szCs w:val="21"/>
                <w:highlight w:val="none"/>
                <w:lang w:val="en-US" w:eastAsia="zh-CN"/>
              </w:rPr>
              <w:t>该项不得分</w:t>
            </w:r>
            <w:r>
              <w:rPr>
                <w:rFonts w:hint="default" w:ascii="Times New Roman" w:hAnsi="Times New Roman" w:eastAsia="仿宋_GB2312" w:cs="Times New Roman"/>
                <w:color w:val="auto"/>
                <w:sz w:val="21"/>
                <w:szCs w:val="21"/>
                <w:highlight w:val="none"/>
              </w:rPr>
              <w:t>。</w:t>
            </w:r>
          </w:p>
          <w:p w14:paraId="6AA58F52">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0"/>
              <w:textAlignment w:val="auto"/>
              <w:rPr>
                <w:rFonts w:hint="default" w:ascii="Times New Roman" w:hAnsi="Times New Roman" w:eastAsia="仿宋_GB2312" w:cs="Times New Roman"/>
                <w:color w:val="auto"/>
                <w:sz w:val="21"/>
                <w:szCs w:val="21"/>
                <w:highlight w:val="none"/>
              </w:rPr>
            </w:pPr>
            <w:r>
              <w:rPr>
                <w:rFonts w:hint="eastAsia"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rPr>
              <w:t>.综合年化利率超过36%的，</w:t>
            </w:r>
            <w:r>
              <w:rPr>
                <w:rFonts w:hint="eastAsia" w:cs="Times New Roman"/>
                <w:color w:val="auto"/>
                <w:sz w:val="21"/>
                <w:szCs w:val="21"/>
                <w:highlight w:val="none"/>
                <w:lang w:eastAsia="zh-CN"/>
              </w:rPr>
              <w:t>该项</w:t>
            </w:r>
            <w:r>
              <w:rPr>
                <w:rFonts w:hint="default" w:ascii="Times New Roman" w:hAnsi="Times New Roman" w:eastAsia="仿宋_GB2312" w:cs="Times New Roman"/>
                <w:color w:val="auto"/>
                <w:sz w:val="21"/>
                <w:szCs w:val="21"/>
                <w:highlight w:val="none"/>
              </w:rPr>
              <w:t>不得分</w:t>
            </w:r>
            <w:r>
              <w:rPr>
                <w:rFonts w:hint="eastAsia" w:cs="Times New Roman"/>
                <w:color w:val="auto"/>
                <w:sz w:val="21"/>
                <w:szCs w:val="21"/>
                <w:highlight w:val="none"/>
                <w:lang w:eastAsia="zh-CN"/>
              </w:rPr>
              <w:t>，最高只可评为</w:t>
            </w:r>
            <w:r>
              <w:rPr>
                <w:rFonts w:hint="eastAsia" w:cs="Times New Roman"/>
                <w:color w:val="auto"/>
                <w:sz w:val="21"/>
                <w:szCs w:val="21"/>
                <w:highlight w:val="none"/>
                <w:lang w:val="en-US" w:eastAsia="zh-CN"/>
              </w:rPr>
              <w:t>C级</w:t>
            </w:r>
            <w:r>
              <w:rPr>
                <w:rFonts w:hint="default" w:ascii="Times New Roman" w:hAnsi="Times New Roman" w:eastAsia="仿宋_GB2312" w:cs="Times New Roman"/>
                <w:color w:val="auto"/>
                <w:sz w:val="21"/>
                <w:szCs w:val="21"/>
                <w:highlight w:val="none"/>
              </w:rPr>
              <w:t>。</w:t>
            </w:r>
          </w:p>
        </w:tc>
        <w:tc>
          <w:tcPr>
            <w:tcW w:w="798" w:type="dxa"/>
            <w:noWrap w:val="0"/>
            <w:vAlign w:val="top"/>
          </w:tcPr>
          <w:p w14:paraId="716E3478">
            <w:pPr>
              <w:spacing w:line="540" w:lineRule="exact"/>
              <w:rPr>
                <w:rFonts w:hint="default" w:ascii="Times New Roman" w:hAnsi="Times New Roman" w:eastAsia="方正仿宋_GBK" w:cs="Times New Roman"/>
                <w:color w:val="auto"/>
                <w:sz w:val="24"/>
                <w:highlight w:val="none"/>
              </w:rPr>
            </w:pPr>
          </w:p>
        </w:tc>
        <w:tc>
          <w:tcPr>
            <w:tcW w:w="715" w:type="dxa"/>
            <w:noWrap w:val="0"/>
            <w:vAlign w:val="top"/>
          </w:tcPr>
          <w:p w14:paraId="56DE61BE">
            <w:pPr>
              <w:spacing w:line="540" w:lineRule="exact"/>
              <w:rPr>
                <w:rFonts w:hint="default" w:ascii="Times New Roman" w:hAnsi="Times New Roman" w:eastAsia="方正仿宋_GBK" w:cs="Times New Roman"/>
                <w:color w:val="auto"/>
                <w:sz w:val="32"/>
                <w:szCs w:val="32"/>
                <w:highlight w:val="none"/>
              </w:rPr>
            </w:pPr>
          </w:p>
        </w:tc>
      </w:tr>
      <w:tr w14:paraId="029A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1138" w:type="dxa"/>
            <w:vMerge w:val="restart"/>
            <w:noWrap w:val="0"/>
            <w:vAlign w:val="center"/>
          </w:tcPr>
          <w:p w14:paraId="23F35C1A">
            <w:pPr>
              <w:spacing w:line="400" w:lineRule="exact"/>
              <w:jc w:val="both"/>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二、</w:t>
            </w:r>
          </w:p>
          <w:p w14:paraId="739DCA31">
            <w:pPr>
              <w:spacing w:line="40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合规</w:t>
            </w:r>
          </w:p>
          <w:p w14:paraId="211B59E1">
            <w:pPr>
              <w:spacing w:line="40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经营</w:t>
            </w:r>
          </w:p>
          <w:p w14:paraId="312E9ABE">
            <w:pPr>
              <w:spacing w:line="400" w:lineRule="exact"/>
              <w:jc w:val="left"/>
              <w:rPr>
                <w:rFonts w:hint="default" w:ascii="Times New Roman" w:hAnsi="Times New Roman" w:eastAsia="黑体" w:cs="Times New Roman"/>
                <w:color w:val="auto"/>
                <w:sz w:val="28"/>
                <w:szCs w:val="28"/>
                <w:highlight w:val="none"/>
              </w:rPr>
            </w:pPr>
            <w:r>
              <w:rPr>
                <w:rFonts w:hint="eastAsia" w:eastAsia="黑体" w:cs="Times New Roman"/>
                <w:color w:val="auto"/>
                <w:sz w:val="28"/>
                <w:szCs w:val="28"/>
                <w:highlight w:val="none"/>
                <w:lang w:eastAsia="zh-CN"/>
              </w:rPr>
              <w:t>（</w:t>
            </w:r>
            <w:r>
              <w:rPr>
                <w:rFonts w:hint="default" w:ascii="Times New Roman" w:hAnsi="Times New Roman" w:eastAsia="黑体" w:cs="Times New Roman"/>
                <w:color w:val="auto"/>
                <w:sz w:val="28"/>
                <w:szCs w:val="28"/>
                <w:highlight w:val="none"/>
              </w:rPr>
              <w:t>1</w:t>
            </w:r>
            <w:r>
              <w:rPr>
                <w:rFonts w:hint="eastAsia" w:ascii="Times New Roman" w:hAnsi="Times New Roman" w:eastAsia="黑体" w:cs="Times New Roman"/>
                <w:color w:val="auto"/>
                <w:sz w:val="28"/>
                <w:szCs w:val="28"/>
                <w:highlight w:val="none"/>
                <w:lang w:val="en-US" w:eastAsia="zh-CN"/>
              </w:rPr>
              <w:t>6</w:t>
            </w:r>
            <w:r>
              <w:rPr>
                <w:rFonts w:hint="default" w:ascii="Times New Roman" w:hAnsi="Times New Roman" w:eastAsia="黑体" w:cs="Times New Roman"/>
                <w:color w:val="auto"/>
                <w:sz w:val="28"/>
                <w:szCs w:val="28"/>
                <w:highlight w:val="none"/>
                <w:lang w:val="en-US" w:eastAsia="zh-CN"/>
              </w:rPr>
              <w:t>0</w:t>
            </w:r>
            <w:r>
              <w:rPr>
                <w:rFonts w:hint="default" w:ascii="Times New Roman" w:hAnsi="Times New Roman" w:eastAsia="黑体" w:cs="Times New Roman"/>
                <w:color w:val="auto"/>
                <w:sz w:val="28"/>
                <w:szCs w:val="28"/>
                <w:highlight w:val="none"/>
              </w:rPr>
              <w:t>分</w:t>
            </w:r>
            <w:r>
              <w:rPr>
                <w:rFonts w:hint="default" w:ascii="Times New Roman" w:hAnsi="Times New Roman" w:eastAsia="黑体" w:cs="Times New Roman"/>
                <w:color w:val="auto"/>
                <w:sz w:val="28"/>
                <w:szCs w:val="28"/>
                <w:highlight w:val="none"/>
                <w:lang w:eastAsia="zh-CN"/>
              </w:rPr>
              <w:t>）</w:t>
            </w:r>
          </w:p>
          <w:p w14:paraId="25766CD1">
            <w:pPr>
              <w:spacing w:line="400" w:lineRule="exact"/>
              <w:jc w:val="center"/>
              <w:rPr>
                <w:rFonts w:hint="default" w:ascii="Times New Roman" w:hAnsi="Times New Roman" w:eastAsia="黑体" w:cs="Times New Roman"/>
                <w:color w:val="auto"/>
                <w:sz w:val="28"/>
                <w:szCs w:val="28"/>
                <w:highlight w:val="none"/>
              </w:rPr>
            </w:pPr>
          </w:p>
        </w:tc>
        <w:tc>
          <w:tcPr>
            <w:tcW w:w="1398" w:type="dxa"/>
            <w:noWrap w:val="0"/>
            <w:vAlign w:val="center"/>
          </w:tcPr>
          <w:p w14:paraId="744CA632">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outlineLvl w:val="9"/>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w:t>
            </w:r>
            <w:r>
              <w:rPr>
                <w:rFonts w:hint="default" w:ascii="Times New Roman" w:hAnsi="Times New Roman" w:eastAsia="楷体_GB2312" w:cs="Times New Roman"/>
                <w:b/>
                <w:bCs/>
                <w:color w:val="auto"/>
                <w:sz w:val="24"/>
                <w:szCs w:val="24"/>
                <w:highlight w:val="none"/>
                <w:lang w:val="en-US" w:eastAsia="zh-CN"/>
              </w:rPr>
              <w:t>9</w:t>
            </w:r>
            <w:r>
              <w:rPr>
                <w:rFonts w:hint="default" w:ascii="Times New Roman" w:hAnsi="Times New Roman" w:eastAsia="楷体_GB2312" w:cs="Times New Roman"/>
                <w:b/>
                <w:bCs/>
                <w:color w:val="auto"/>
                <w:sz w:val="24"/>
                <w:szCs w:val="24"/>
                <w:highlight w:val="none"/>
              </w:rPr>
              <w:t>）贷款投向</w:t>
            </w:r>
            <w:r>
              <w:rPr>
                <w:rFonts w:hint="default" w:ascii="Times New Roman" w:hAnsi="Times New Roman" w:eastAsia="楷体_GB2312" w:cs="Times New Roman"/>
                <w:b/>
                <w:bCs/>
                <w:color w:val="auto"/>
                <w:sz w:val="24"/>
                <w:szCs w:val="24"/>
                <w:highlight w:val="none"/>
                <w:lang w:eastAsia="zh-CN"/>
              </w:rPr>
              <w:t>及用途</w:t>
            </w:r>
          </w:p>
        </w:tc>
        <w:tc>
          <w:tcPr>
            <w:tcW w:w="506" w:type="dxa"/>
            <w:noWrap w:val="0"/>
            <w:vAlign w:val="center"/>
          </w:tcPr>
          <w:p w14:paraId="71B90426">
            <w:pPr>
              <w:jc w:val="center"/>
              <w:rPr>
                <w:rFonts w:hint="default" w:ascii="Times New Roman" w:hAnsi="Times New Roman" w:eastAsia="宋体" w:cs="Times New Roman"/>
                <w:b/>
                <w:bCs/>
                <w:color w:val="auto"/>
                <w:sz w:val="24"/>
                <w:szCs w:val="24"/>
                <w:highlight w:val="none"/>
              </w:rPr>
            </w:pPr>
            <w:r>
              <w:rPr>
                <w:rFonts w:hint="eastAsia"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0</w:t>
            </w:r>
          </w:p>
        </w:tc>
        <w:tc>
          <w:tcPr>
            <w:tcW w:w="9741" w:type="dxa"/>
            <w:noWrap w:val="0"/>
            <w:vAlign w:val="center"/>
          </w:tcPr>
          <w:p w14:paraId="72E50EBE">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firstLine="420" w:firstLineChars="200"/>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1.小额贷款公司“三农”、小微企业、个体工商户贷款余额不低于全部贷款余额（贷款余额取2024年12月末数据）的70%，得10分；60%（含）</w:t>
            </w:r>
            <w:r>
              <w:rPr>
                <w:rFonts w:hint="default" w:ascii="Times New Roman" w:hAnsi="Times New Roman" w:eastAsia="仿宋_GB2312" w:cs="Times New Roman"/>
                <w:color w:val="auto"/>
                <w:sz w:val="21"/>
                <w:szCs w:val="21"/>
                <w:highlight w:val="none"/>
              </w:rPr>
              <w:t>～</w:t>
            </w:r>
            <w:r>
              <w:rPr>
                <w:rFonts w:hint="eastAsia" w:cs="Times New Roman"/>
                <w:color w:val="auto"/>
                <w:sz w:val="21"/>
                <w:szCs w:val="21"/>
                <w:highlight w:val="none"/>
                <w:lang w:val="en-US" w:eastAsia="zh-CN"/>
              </w:rPr>
              <w:t>70%，得8分；50%（含）</w:t>
            </w:r>
            <w:r>
              <w:rPr>
                <w:rFonts w:hint="default" w:ascii="Times New Roman" w:hAnsi="Times New Roman" w:eastAsia="仿宋_GB2312" w:cs="Times New Roman"/>
                <w:color w:val="auto"/>
                <w:sz w:val="21"/>
                <w:szCs w:val="21"/>
                <w:highlight w:val="none"/>
              </w:rPr>
              <w:t>～</w:t>
            </w:r>
            <w:r>
              <w:rPr>
                <w:rFonts w:hint="eastAsia" w:cs="Times New Roman"/>
                <w:color w:val="auto"/>
                <w:sz w:val="21"/>
                <w:szCs w:val="21"/>
                <w:highlight w:val="none"/>
                <w:lang w:val="en-US" w:eastAsia="zh-CN"/>
              </w:rPr>
              <w:t>60%，得6分；低于50%，得0分。</w:t>
            </w:r>
          </w:p>
          <w:p w14:paraId="4282DA15">
            <w:pPr>
              <w:widowControl/>
              <w:numPr>
                <w:ilvl w:val="0"/>
                <w:numId w:val="0"/>
              </w:numPr>
              <w:autoSpaceDE/>
              <w:autoSpaceDN/>
              <w:adjustRightInd/>
              <w:snapToGrid w:val="0"/>
              <w:ind w:firstLine="420" w:firstLineChars="200"/>
              <w:rPr>
                <w:rFonts w:hint="default" w:ascii="Times New Roman" w:hAnsi="Times New Roman" w:eastAsia="仿宋_GB2312" w:cs="Times New Roman"/>
                <w:color w:val="auto"/>
                <w:sz w:val="32"/>
                <w:szCs w:val="24"/>
                <w:highlight w:val="none"/>
                <w:lang w:val="en-US" w:eastAsia="zh-CN"/>
              </w:rPr>
            </w:pPr>
            <w:r>
              <w:rPr>
                <w:rFonts w:hint="eastAsia" w:cs="Times New Roman"/>
                <w:color w:val="auto"/>
                <w:sz w:val="21"/>
                <w:szCs w:val="21"/>
                <w:highlight w:val="none"/>
                <w:lang w:val="en-US" w:eastAsia="zh-CN"/>
              </w:rPr>
              <w:t>2.借款人贷款用途应当符合法律法规、国家宏观调控和产业政策，贷款用于金融资产投资、股本权益性投资、向股东分红的，发现一笔扣5分，扣完10分为止。</w:t>
            </w:r>
          </w:p>
        </w:tc>
        <w:tc>
          <w:tcPr>
            <w:tcW w:w="798" w:type="dxa"/>
            <w:noWrap w:val="0"/>
            <w:vAlign w:val="top"/>
          </w:tcPr>
          <w:p w14:paraId="4A5FF4F2">
            <w:pPr>
              <w:spacing w:line="540" w:lineRule="exact"/>
              <w:rPr>
                <w:rFonts w:hint="default" w:ascii="Times New Roman" w:hAnsi="Times New Roman" w:eastAsia="方正仿宋_GBK" w:cs="Times New Roman"/>
                <w:color w:val="auto"/>
                <w:sz w:val="24"/>
                <w:highlight w:val="none"/>
              </w:rPr>
            </w:pPr>
          </w:p>
        </w:tc>
        <w:tc>
          <w:tcPr>
            <w:tcW w:w="715" w:type="dxa"/>
            <w:noWrap w:val="0"/>
            <w:vAlign w:val="top"/>
          </w:tcPr>
          <w:p w14:paraId="31CA9A05">
            <w:pPr>
              <w:spacing w:line="540" w:lineRule="exact"/>
              <w:rPr>
                <w:rFonts w:hint="default" w:ascii="Times New Roman" w:hAnsi="Times New Roman" w:eastAsia="方正仿宋_GBK" w:cs="Times New Roman"/>
                <w:color w:val="auto"/>
                <w:sz w:val="32"/>
                <w:szCs w:val="32"/>
                <w:highlight w:val="none"/>
              </w:rPr>
            </w:pPr>
          </w:p>
        </w:tc>
      </w:tr>
      <w:tr w14:paraId="1A1E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1138" w:type="dxa"/>
            <w:vMerge w:val="continue"/>
            <w:noWrap w:val="0"/>
            <w:vAlign w:val="center"/>
          </w:tcPr>
          <w:p w14:paraId="64B5491B">
            <w:pPr>
              <w:spacing w:line="400" w:lineRule="exact"/>
              <w:jc w:val="center"/>
              <w:rPr>
                <w:rFonts w:hint="default" w:ascii="Times New Roman" w:hAnsi="Times New Roman" w:eastAsia="黑体" w:cs="Times New Roman"/>
                <w:color w:val="auto"/>
                <w:sz w:val="28"/>
                <w:szCs w:val="28"/>
                <w:highlight w:val="none"/>
              </w:rPr>
            </w:pPr>
          </w:p>
        </w:tc>
        <w:tc>
          <w:tcPr>
            <w:tcW w:w="1398" w:type="dxa"/>
            <w:noWrap w:val="0"/>
            <w:vAlign w:val="center"/>
          </w:tcPr>
          <w:p w14:paraId="73452972">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outlineLvl w:val="9"/>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w:t>
            </w:r>
            <w:r>
              <w:rPr>
                <w:rFonts w:hint="default" w:ascii="Times New Roman" w:hAnsi="Times New Roman" w:eastAsia="楷体_GB2312" w:cs="Times New Roman"/>
                <w:b/>
                <w:bCs/>
                <w:color w:val="auto"/>
                <w:sz w:val="24"/>
                <w:szCs w:val="24"/>
                <w:highlight w:val="none"/>
                <w:lang w:val="en-US" w:eastAsia="zh-CN"/>
              </w:rPr>
              <w:t>10</w:t>
            </w:r>
            <w:r>
              <w:rPr>
                <w:rFonts w:hint="default" w:ascii="Times New Roman" w:hAnsi="Times New Roman" w:eastAsia="楷体_GB2312" w:cs="Times New Roman"/>
                <w:b/>
                <w:bCs/>
                <w:color w:val="auto"/>
                <w:sz w:val="24"/>
                <w:szCs w:val="24"/>
                <w:highlight w:val="none"/>
              </w:rPr>
              <w:t>）“小额、分散”</w:t>
            </w:r>
          </w:p>
        </w:tc>
        <w:tc>
          <w:tcPr>
            <w:tcW w:w="506" w:type="dxa"/>
            <w:noWrap w:val="0"/>
            <w:vAlign w:val="center"/>
          </w:tcPr>
          <w:p w14:paraId="7D00B3D1">
            <w:pPr>
              <w:jc w:val="center"/>
              <w:rPr>
                <w:rFonts w:hint="default" w:ascii="Times New Roman" w:hAnsi="Times New Roman" w:eastAsia="宋体" w:cs="Times New Roman"/>
                <w:b/>
                <w:bCs/>
                <w:color w:val="auto"/>
                <w:sz w:val="24"/>
                <w:szCs w:val="24"/>
                <w:highlight w:val="none"/>
                <w:u w:val="single"/>
                <w:lang w:val="en-US" w:eastAsia="zh-CN"/>
              </w:rPr>
            </w:pPr>
            <w:r>
              <w:rPr>
                <w:rFonts w:hint="eastAsia" w:eastAsia="宋体" w:cs="Times New Roman"/>
                <w:b/>
                <w:bCs/>
                <w:color w:val="auto"/>
                <w:sz w:val="24"/>
                <w:szCs w:val="24"/>
                <w:highlight w:val="none"/>
                <w:lang w:val="en-US" w:eastAsia="zh-CN"/>
              </w:rPr>
              <w:t>20</w:t>
            </w:r>
          </w:p>
        </w:tc>
        <w:tc>
          <w:tcPr>
            <w:tcW w:w="9741" w:type="dxa"/>
            <w:noWrap w:val="0"/>
            <w:vAlign w:val="center"/>
          </w:tcPr>
          <w:p w14:paraId="5B683E3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firstLine="420" w:firstLineChars="200"/>
              <w:textAlignment w:val="auto"/>
              <w:outlineLvl w:val="9"/>
              <w:rPr>
                <w:rFonts w:hint="default" w:ascii="Times New Roman" w:hAnsi="Times New Roman" w:eastAsia="仿宋_GB2312" w:cs="Times New Roman"/>
                <w:color w:val="auto"/>
                <w:sz w:val="21"/>
                <w:szCs w:val="21"/>
                <w:highlight w:val="none"/>
              </w:rPr>
            </w:pPr>
            <w:r>
              <w:rPr>
                <w:rFonts w:hint="eastAsia" w:cs="Times New Roman"/>
                <w:color w:val="auto"/>
                <w:sz w:val="21"/>
                <w:szCs w:val="21"/>
                <w:highlight w:val="none"/>
                <w:lang w:val="en-US" w:eastAsia="zh-CN"/>
              </w:rPr>
              <w:t>小额贷款公司开展业务应当坚持“小额、分散”原则，</w:t>
            </w:r>
            <w:r>
              <w:rPr>
                <w:rFonts w:hint="default" w:ascii="Times New Roman" w:hAnsi="Times New Roman" w:eastAsia="仿宋_GB2312" w:cs="Times New Roman"/>
                <w:color w:val="auto"/>
                <w:sz w:val="21"/>
                <w:szCs w:val="21"/>
                <w:highlight w:val="none"/>
                <w:lang w:eastAsia="zh-CN"/>
              </w:rPr>
              <w:t>对</w:t>
            </w:r>
            <w:r>
              <w:rPr>
                <w:rFonts w:hint="default" w:ascii="Times New Roman" w:hAnsi="Times New Roman" w:eastAsia="仿宋_GB2312" w:cs="Times New Roman"/>
                <w:color w:val="auto"/>
                <w:sz w:val="21"/>
                <w:szCs w:val="21"/>
                <w:highlight w:val="none"/>
              </w:rPr>
              <w:t>同一借款人的</w:t>
            </w:r>
            <w:r>
              <w:rPr>
                <w:rFonts w:hint="eastAsia" w:cs="Times New Roman"/>
                <w:color w:val="auto"/>
                <w:sz w:val="21"/>
                <w:szCs w:val="21"/>
                <w:highlight w:val="none"/>
                <w:lang w:eastAsia="zh-CN"/>
              </w:rPr>
              <w:t>各项</w:t>
            </w:r>
            <w:r>
              <w:rPr>
                <w:rFonts w:hint="default" w:ascii="Times New Roman" w:hAnsi="Times New Roman" w:eastAsia="仿宋_GB2312" w:cs="Times New Roman"/>
                <w:color w:val="auto"/>
                <w:sz w:val="21"/>
                <w:szCs w:val="21"/>
                <w:highlight w:val="none"/>
              </w:rPr>
              <w:t>贷款余额不得超过</w:t>
            </w:r>
            <w:r>
              <w:rPr>
                <w:rFonts w:hint="eastAsia" w:cs="Times New Roman"/>
                <w:color w:val="auto"/>
                <w:sz w:val="21"/>
                <w:szCs w:val="21"/>
                <w:highlight w:val="none"/>
                <w:lang w:eastAsia="zh-CN"/>
              </w:rPr>
              <w:t>其上年末</w:t>
            </w:r>
            <w:r>
              <w:rPr>
                <w:rFonts w:hint="default" w:ascii="Times New Roman" w:hAnsi="Times New Roman" w:eastAsia="仿宋_GB2312" w:cs="Times New Roman"/>
                <w:color w:val="auto"/>
                <w:sz w:val="21"/>
                <w:szCs w:val="21"/>
                <w:highlight w:val="none"/>
              </w:rPr>
              <w:t>净资产的10%；对同一借款人及其关联方的</w:t>
            </w:r>
            <w:r>
              <w:rPr>
                <w:rFonts w:hint="eastAsia" w:cs="Times New Roman"/>
                <w:color w:val="auto"/>
                <w:sz w:val="21"/>
                <w:szCs w:val="21"/>
                <w:highlight w:val="none"/>
                <w:lang w:eastAsia="zh-CN"/>
              </w:rPr>
              <w:t>各项</w:t>
            </w:r>
            <w:r>
              <w:rPr>
                <w:rFonts w:hint="default" w:ascii="Times New Roman" w:hAnsi="Times New Roman" w:eastAsia="仿宋_GB2312" w:cs="Times New Roman"/>
                <w:color w:val="auto"/>
                <w:sz w:val="21"/>
                <w:szCs w:val="21"/>
                <w:highlight w:val="none"/>
              </w:rPr>
              <w:t>贷款余额不得超过</w:t>
            </w:r>
            <w:r>
              <w:rPr>
                <w:rFonts w:hint="eastAsia" w:cs="Times New Roman"/>
                <w:color w:val="auto"/>
                <w:sz w:val="21"/>
                <w:szCs w:val="21"/>
                <w:highlight w:val="none"/>
                <w:lang w:eastAsia="zh-CN"/>
              </w:rPr>
              <w:t>其上年末</w:t>
            </w:r>
            <w:r>
              <w:rPr>
                <w:rFonts w:hint="default" w:ascii="Times New Roman" w:hAnsi="Times New Roman" w:eastAsia="仿宋_GB2312" w:cs="Times New Roman"/>
                <w:color w:val="auto"/>
                <w:sz w:val="21"/>
                <w:szCs w:val="21"/>
                <w:highlight w:val="none"/>
              </w:rPr>
              <w:t>净资产的15%。</w:t>
            </w:r>
          </w:p>
          <w:p w14:paraId="06D2A882">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textAlignment w:val="auto"/>
              <w:outlineLvl w:val="9"/>
              <w:rPr>
                <w:rFonts w:hint="eastAsia" w:ascii="Times New Roman" w:hAnsi="Times New Roman" w:cs="Times New Roman"/>
                <w:color w:val="auto"/>
                <w:sz w:val="21"/>
                <w:szCs w:val="21"/>
                <w:highlight w:val="none"/>
                <w:lang w:eastAsia="zh-CN"/>
              </w:rPr>
            </w:pPr>
            <w:r>
              <w:rPr>
                <w:rFonts w:hint="eastAsia" w:cs="Times New Roman"/>
                <w:color w:val="auto"/>
                <w:sz w:val="21"/>
                <w:szCs w:val="21"/>
                <w:highlight w:val="none"/>
                <w:lang w:val="en-US" w:eastAsia="zh-CN"/>
              </w:rPr>
              <w:t>1.符合上述规定，</w:t>
            </w:r>
            <w:r>
              <w:rPr>
                <w:rFonts w:hint="eastAsia" w:cs="Times New Roman"/>
                <w:color w:val="auto"/>
                <w:sz w:val="21"/>
                <w:szCs w:val="21"/>
                <w:highlight w:val="none"/>
                <w:lang w:eastAsia="zh-CN"/>
              </w:rPr>
              <w:t>当年新增发放贷款</w:t>
            </w:r>
            <w:r>
              <w:rPr>
                <w:rFonts w:hint="eastAsia" w:cs="Times New Roman"/>
                <w:color w:val="auto"/>
                <w:sz w:val="21"/>
                <w:szCs w:val="21"/>
                <w:highlight w:val="none"/>
                <w:lang w:val="en-US" w:eastAsia="zh-CN"/>
              </w:rPr>
              <w:t>且</w:t>
            </w:r>
            <w:r>
              <w:rPr>
                <w:rFonts w:hint="default" w:ascii="Times New Roman" w:hAnsi="Times New Roman" w:eastAsia="仿宋_GB2312" w:cs="Times New Roman"/>
                <w:color w:val="auto"/>
                <w:sz w:val="21"/>
                <w:szCs w:val="21"/>
                <w:highlight w:val="none"/>
              </w:rPr>
              <w:t>平均单户贷款余额低于50万（含）</w:t>
            </w:r>
            <w:r>
              <w:rPr>
                <w:rFonts w:hint="eastAsia" w:ascii="Times New Roman" w:hAnsi="Times New Roman" w:cs="Times New Roman"/>
                <w:color w:val="auto"/>
                <w:sz w:val="21"/>
                <w:szCs w:val="21"/>
                <w:highlight w:val="none"/>
                <w:lang w:val="en-US" w:eastAsia="zh-CN"/>
              </w:rPr>
              <w:t>元</w:t>
            </w:r>
            <w:r>
              <w:rPr>
                <w:rFonts w:hint="eastAsia"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得</w:t>
            </w:r>
            <w:r>
              <w:rPr>
                <w:rFonts w:hint="eastAsia"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0分</w:t>
            </w:r>
            <w:r>
              <w:rPr>
                <w:rFonts w:hint="eastAsia" w:ascii="Times New Roman" w:hAnsi="Times New Roman"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50万～150万（含）</w:t>
            </w:r>
            <w:r>
              <w:rPr>
                <w:rFonts w:hint="eastAsia" w:ascii="Times New Roman" w:hAnsi="Times New Roman" w:cs="Times New Roman"/>
                <w:color w:val="auto"/>
                <w:sz w:val="21"/>
                <w:szCs w:val="21"/>
                <w:highlight w:val="none"/>
                <w:lang w:val="en-US" w:eastAsia="zh-CN"/>
              </w:rPr>
              <w:t>元</w:t>
            </w:r>
            <w:r>
              <w:rPr>
                <w:rFonts w:hint="eastAsia"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rPr>
              <w:t>得</w:t>
            </w:r>
            <w:r>
              <w:rPr>
                <w:rFonts w:hint="eastAsia" w:cs="Times New Roman"/>
                <w:color w:val="auto"/>
                <w:sz w:val="21"/>
                <w:szCs w:val="21"/>
                <w:highlight w:val="none"/>
                <w:lang w:val="en-US" w:eastAsia="zh-CN"/>
              </w:rPr>
              <w:t>15</w:t>
            </w:r>
            <w:r>
              <w:rPr>
                <w:rFonts w:hint="default" w:ascii="Times New Roman" w:hAnsi="Times New Roman" w:eastAsia="仿宋_GB2312" w:cs="Times New Roman"/>
                <w:color w:val="auto"/>
                <w:sz w:val="21"/>
                <w:szCs w:val="21"/>
                <w:highlight w:val="none"/>
              </w:rPr>
              <w:t>分</w:t>
            </w:r>
            <w:r>
              <w:rPr>
                <w:rFonts w:hint="eastAsia" w:ascii="Times New Roman" w:hAnsi="Times New Roman"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150万～300万（含）</w:t>
            </w:r>
            <w:r>
              <w:rPr>
                <w:rFonts w:hint="eastAsia" w:ascii="Times New Roman" w:hAnsi="Times New Roman" w:cs="Times New Roman"/>
                <w:color w:val="auto"/>
                <w:sz w:val="21"/>
                <w:szCs w:val="21"/>
                <w:highlight w:val="none"/>
                <w:lang w:val="en-US" w:eastAsia="zh-CN"/>
              </w:rPr>
              <w:t>元</w:t>
            </w:r>
            <w:r>
              <w:rPr>
                <w:rFonts w:hint="eastAsia"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得</w:t>
            </w:r>
            <w:r>
              <w:rPr>
                <w:rFonts w:hint="eastAsia" w:cs="Times New Roman"/>
                <w:color w:val="auto"/>
                <w:sz w:val="21"/>
                <w:szCs w:val="21"/>
                <w:highlight w:val="none"/>
                <w:lang w:val="en-US" w:eastAsia="zh-CN"/>
              </w:rPr>
              <w:t>10</w:t>
            </w:r>
            <w:r>
              <w:rPr>
                <w:rFonts w:hint="default" w:ascii="Times New Roman" w:hAnsi="Times New Roman" w:eastAsia="仿宋_GB2312" w:cs="Times New Roman"/>
                <w:color w:val="auto"/>
                <w:sz w:val="21"/>
                <w:szCs w:val="21"/>
                <w:highlight w:val="none"/>
              </w:rPr>
              <w:t>分</w:t>
            </w:r>
            <w:r>
              <w:rPr>
                <w:rFonts w:hint="eastAsia" w:ascii="Times New Roman" w:hAnsi="Times New Roman"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300万～500万（含）</w:t>
            </w:r>
            <w:r>
              <w:rPr>
                <w:rFonts w:hint="eastAsia" w:ascii="Times New Roman" w:hAnsi="Times New Roman" w:cs="Times New Roman"/>
                <w:color w:val="auto"/>
                <w:sz w:val="21"/>
                <w:szCs w:val="21"/>
                <w:highlight w:val="none"/>
                <w:lang w:val="en-US" w:eastAsia="zh-CN"/>
              </w:rPr>
              <w:t>元</w:t>
            </w:r>
            <w:r>
              <w:rPr>
                <w:rFonts w:hint="eastAsia"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rPr>
              <w:t>得</w:t>
            </w:r>
            <w:r>
              <w:rPr>
                <w:rFonts w:hint="eastAsia"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分</w:t>
            </w:r>
            <w:r>
              <w:rPr>
                <w:rFonts w:hint="eastAsia" w:ascii="Times New Roman" w:hAnsi="Times New Roman"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平均单户贷款余额高于500万</w:t>
            </w:r>
            <w:r>
              <w:rPr>
                <w:rFonts w:hint="eastAsia" w:ascii="Times New Roman" w:hAnsi="Times New Roman" w:cs="Times New Roman"/>
                <w:color w:val="auto"/>
                <w:sz w:val="21"/>
                <w:szCs w:val="21"/>
                <w:highlight w:val="none"/>
                <w:lang w:val="en-US" w:eastAsia="zh-CN"/>
              </w:rPr>
              <w:t>元，得0分。</w:t>
            </w:r>
          </w:p>
          <w:p w14:paraId="7C8D4983">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textAlignment w:val="auto"/>
              <w:outlineLvl w:val="9"/>
              <w:rPr>
                <w:rFonts w:hint="default" w:ascii="Times New Roman" w:hAnsi="Times New Roman" w:eastAsia="仿宋_GB2312" w:cs="Times New Roman"/>
                <w:bCs/>
                <w:color w:val="auto"/>
                <w:sz w:val="21"/>
                <w:szCs w:val="21"/>
                <w:highlight w:val="none"/>
              </w:rPr>
            </w:pPr>
            <w:r>
              <w:rPr>
                <w:rFonts w:hint="eastAsia" w:cs="Times New Roman"/>
                <w:color w:val="auto"/>
                <w:sz w:val="21"/>
                <w:szCs w:val="21"/>
                <w:highlight w:val="none"/>
                <w:lang w:val="en-US" w:eastAsia="zh-CN"/>
              </w:rPr>
              <w:t>2.违反上述规定或</w:t>
            </w:r>
            <w:r>
              <w:rPr>
                <w:rFonts w:hint="eastAsia" w:cs="Times New Roman"/>
                <w:color w:val="auto"/>
                <w:sz w:val="21"/>
                <w:szCs w:val="21"/>
                <w:highlight w:val="none"/>
                <w:lang w:eastAsia="zh-CN"/>
              </w:rPr>
              <w:t>当年</w:t>
            </w:r>
            <w:r>
              <w:rPr>
                <w:rFonts w:hint="eastAsia" w:cs="Times New Roman"/>
                <w:color w:val="auto"/>
                <w:sz w:val="21"/>
                <w:szCs w:val="21"/>
                <w:highlight w:val="none"/>
                <w:lang w:val="en-US" w:eastAsia="zh-CN"/>
              </w:rPr>
              <w:t>无</w:t>
            </w:r>
            <w:r>
              <w:rPr>
                <w:rFonts w:hint="eastAsia" w:cs="Times New Roman"/>
                <w:color w:val="auto"/>
                <w:sz w:val="21"/>
                <w:szCs w:val="21"/>
                <w:highlight w:val="none"/>
                <w:lang w:eastAsia="zh-CN"/>
              </w:rPr>
              <w:t>新增发放贷款</w:t>
            </w:r>
            <w:r>
              <w:rPr>
                <w:rFonts w:hint="default" w:ascii="Times New Roman" w:hAnsi="Times New Roman" w:eastAsia="仿宋_GB2312" w:cs="Times New Roman"/>
                <w:color w:val="auto"/>
                <w:sz w:val="21"/>
                <w:szCs w:val="21"/>
                <w:highlight w:val="none"/>
              </w:rPr>
              <w:t>的</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该项不</w:t>
            </w:r>
            <w:r>
              <w:rPr>
                <w:rFonts w:hint="default" w:ascii="Times New Roman" w:hAnsi="Times New Roman" w:eastAsia="仿宋_GB2312" w:cs="Times New Roman"/>
                <w:color w:val="auto"/>
                <w:sz w:val="21"/>
                <w:szCs w:val="21"/>
                <w:highlight w:val="none"/>
              </w:rPr>
              <w:t>得分。</w:t>
            </w:r>
          </w:p>
        </w:tc>
        <w:tc>
          <w:tcPr>
            <w:tcW w:w="798" w:type="dxa"/>
            <w:noWrap w:val="0"/>
            <w:vAlign w:val="top"/>
          </w:tcPr>
          <w:p w14:paraId="419C7750">
            <w:pPr>
              <w:spacing w:line="540" w:lineRule="exact"/>
              <w:rPr>
                <w:rFonts w:hint="default" w:ascii="Times New Roman" w:hAnsi="Times New Roman" w:eastAsia="方正仿宋_GBK" w:cs="Times New Roman"/>
                <w:color w:val="auto"/>
                <w:sz w:val="32"/>
                <w:szCs w:val="32"/>
                <w:highlight w:val="none"/>
              </w:rPr>
            </w:pPr>
          </w:p>
        </w:tc>
        <w:tc>
          <w:tcPr>
            <w:tcW w:w="715" w:type="dxa"/>
            <w:noWrap w:val="0"/>
            <w:vAlign w:val="top"/>
          </w:tcPr>
          <w:p w14:paraId="6BD60245">
            <w:pPr>
              <w:spacing w:line="540" w:lineRule="exact"/>
              <w:rPr>
                <w:rFonts w:hint="default" w:ascii="Times New Roman" w:hAnsi="Times New Roman" w:eastAsia="方正仿宋_GBK" w:cs="Times New Roman"/>
                <w:color w:val="auto"/>
                <w:sz w:val="32"/>
                <w:szCs w:val="32"/>
                <w:highlight w:val="none"/>
              </w:rPr>
            </w:pPr>
          </w:p>
        </w:tc>
      </w:tr>
      <w:tr w14:paraId="6116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1138" w:type="dxa"/>
            <w:vMerge w:val="continue"/>
            <w:noWrap w:val="0"/>
            <w:vAlign w:val="center"/>
          </w:tcPr>
          <w:p w14:paraId="46457B76">
            <w:pPr>
              <w:spacing w:line="400" w:lineRule="exact"/>
              <w:jc w:val="left"/>
              <w:rPr>
                <w:rFonts w:hint="default" w:ascii="Times New Roman" w:hAnsi="Times New Roman" w:eastAsia="黑体" w:cs="Times New Roman"/>
                <w:color w:val="auto"/>
                <w:sz w:val="28"/>
                <w:szCs w:val="28"/>
                <w:highlight w:val="none"/>
              </w:rPr>
            </w:pPr>
          </w:p>
        </w:tc>
        <w:tc>
          <w:tcPr>
            <w:tcW w:w="1398" w:type="dxa"/>
            <w:noWrap w:val="0"/>
            <w:vAlign w:val="center"/>
          </w:tcPr>
          <w:p w14:paraId="1A7B8AD9">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outlineLvl w:val="9"/>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（1</w:t>
            </w:r>
            <w:r>
              <w:rPr>
                <w:rFonts w:hint="default" w:ascii="Times New Roman" w:hAnsi="Times New Roman" w:eastAsia="楷体_GB2312" w:cs="Times New Roman"/>
                <w:b/>
                <w:bCs/>
                <w:color w:val="auto"/>
                <w:sz w:val="24"/>
                <w:szCs w:val="24"/>
                <w:highlight w:val="none"/>
                <w:lang w:val="en-US" w:eastAsia="zh-CN"/>
              </w:rPr>
              <w:t>1</w:t>
            </w:r>
            <w:r>
              <w:rPr>
                <w:rFonts w:hint="default" w:ascii="Times New Roman" w:hAnsi="Times New Roman" w:eastAsia="楷体_GB2312" w:cs="Times New Roman"/>
                <w:b/>
                <w:bCs/>
                <w:color w:val="auto"/>
                <w:sz w:val="24"/>
                <w:szCs w:val="24"/>
                <w:highlight w:val="none"/>
              </w:rPr>
              <w:t>）重大事项报批</w:t>
            </w:r>
          </w:p>
        </w:tc>
        <w:tc>
          <w:tcPr>
            <w:tcW w:w="506" w:type="dxa"/>
            <w:noWrap w:val="0"/>
            <w:vAlign w:val="center"/>
          </w:tcPr>
          <w:p w14:paraId="2D8F3A3D">
            <w:pPr>
              <w:jc w:val="center"/>
              <w:rPr>
                <w:rFonts w:hint="default" w:ascii="Times New Roman" w:hAnsi="Times New Roman" w:eastAsia="宋体" w:cs="Times New Roman"/>
                <w:b/>
                <w:bCs/>
                <w:color w:val="auto"/>
                <w:sz w:val="24"/>
                <w:szCs w:val="24"/>
                <w:highlight w:val="none"/>
              </w:rPr>
            </w:pPr>
            <w:r>
              <w:rPr>
                <w:rFonts w:hint="eastAsia"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0</w:t>
            </w:r>
          </w:p>
        </w:tc>
        <w:tc>
          <w:tcPr>
            <w:tcW w:w="9741" w:type="dxa"/>
            <w:noWrap w:val="0"/>
            <w:vAlign w:val="center"/>
          </w:tcPr>
          <w:p w14:paraId="2A9BCD78">
            <w:pPr>
              <w:keepNext w:val="0"/>
              <w:keepLines w:val="0"/>
              <w:pageBreakBefore w:val="0"/>
              <w:widowControl/>
              <w:kinsoku/>
              <w:wordWrap/>
              <w:overflowPunct/>
              <w:topLinePunct w:val="0"/>
              <w:autoSpaceDE/>
              <w:autoSpaceDN/>
              <w:bidi w:val="0"/>
              <w:adjustRightInd/>
              <w:snapToGrid w:val="0"/>
              <w:spacing w:line="240" w:lineRule="auto"/>
              <w:ind w:right="0" w:rightChars="0" w:firstLine="420" w:firstLineChars="200"/>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小额贷款公司</w:t>
            </w:r>
            <w:r>
              <w:rPr>
                <w:rFonts w:hint="default" w:ascii="Times New Roman" w:hAnsi="Times New Roman" w:cs="Times New Roman"/>
                <w:color w:val="auto"/>
                <w:sz w:val="21"/>
                <w:szCs w:val="21"/>
                <w:highlight w:val="none"/>
                <w:lang w:eastAsia="zh-CN"/>
              </w:rPr>
              <w:t>按规定</w:t>
            </w:r>
            <w:r>
              <w:rPr>
                <w:rFonts w:hint="default" w:ascii="Times New Roman" w:hAnsi="Times New Roman" w:cs="Times New Roman"/>
                <w:color w:val="auto"/>
                <w:sz w:val="21"/>
                <w:szCs w:val="21"/>
                <w:highlight w:val="none"/>
                <w:lang w:val="en-US" w:eastAsia="zh-CN"/>
              </w:rPr>
              <w:t>办理</w:t>
            </w:r>
            <w:r>
              <w:rPr>
                <w:rFonts w:hint="default" w:ascii="Times New Roman" w:hAnsi="Times New Roman" w:cs="Times New Roman"/>
                <w:color w:val="auto"/>
                <w:sz w:val="21"/>
                <w:szCs w:val="21"/>
                <w:highlight w:val="none"/>
                <w:lang w:eastAsia="zh-CN"/>
              </w:rPr>
              <w:t>审批</w:t>
            </w:r>
            <w:r>
              <w:rPr>
                <w:rFonts w:hint="eastAsia" w:ascii="Times New Roman" w:hAnsi="Times New Roman" w:cs="Times New Roman"/>
                <w:color w:val="auto"/>
                <w:sz w:val="21"/>
                <w:szCs w:val="21"/>
                <w:highlight w:val="none"/>
                <w:lang w:val="en-US" w:eastAsia="zh-CN"/>
              </w:rPr>
              <w:t>和</w:t>
            </w:r>
            <w:r>
              <w:rPr>
                <w:rFonts w:hint="default" w:ascii="Times New Roman" w:hAnsi="Times New Roman" w:cs="Times New Roman"/>
                <w:color w:val="auto"/>
                <w:sz w:val="21"/>
                <w:szCs w:val="21"/>
                <w:highlight w:val="none"/>
                <w:lang w:eastAsia="zh-CN"/>
              </w:rPr>
              <w:t>备案事项</w:t>
            </w:r>
            <w:r>
              <w:rPr>
                <w:rFonts w:hint="eastAsia" w:ascii="Times New Roman" w:hAnsi="Times New Roman" w:cs="Times New Roman"/>
                <w:color w:val="auto"/>
                <w:sz w:val="21"/>
                <w:szCs w:val="21"/>
                <w:highlight w:val="none"/>
                <w:lang w:val="en-US" w:eastAsia="zh-CN"/>
              </w:rPr>
              <w:t>，并按要求</w:t>
            </w:r>
            <w:r>
              <w:rPr>
                <w:rFonts w:hint="default" w:ascii="Times New Roman" w:hAnsi="Times New Roman" w:cs="Times New Roman"/>
                <w:color w:val="auto"/>
                <w:sz w:val="21"/>
                <w:szCs w:val="21"/>
                <w:highlight w:val="none"/>
                <w:lang w:val="en-US" w:eastAsia="zh-CN"/>
              </w:rPr>
              <w:t>报告</w:t>
            </w:r>
            <w:r>
              <w:rPr>
                <w:rFonts w:hint="eastAsia" w:ascii="Times New Roman" w:hAnsi="Times New Roman" w:cs="Times New Roman"/>
                <w:color w:val="auto"/>
                <w:sz w:val="21"/>
                <w:szCs w:val="21"/>
                <w:highlight w:val="none"/>
                <w:lang w:val="en-US" w:eastAsia="zh-CN"/>
              </w:rPr>
              <w:t>、报备</w:t>
            </w:r>
            <w:r>
              <w:rPr>
                <w:rFonts w:hint="default" w:ascii="Times New Roman" w:hAnsi="Times New Roman" w:cs="Times New Roman"/>
                <w:color w:val="auto"/>
                <w:sz w:val="21"/>
                <w:szCs w:val="21"/>
                <w:highlight w:val="none"/>
                <w:lang w:val="en-US" w:eastAsia="zh-CN"/>
              </w:rPr>
              <w:t>重大事项的</w:t>
            </w:r>
            <w:r>
              <w:rPr>
                <w:rFonts w:hint="default" w:ascii="Times New Roman" w:hAnsi="Times New Roman" w:cs="Times New Roman"/>
                <w:color w:val="auto"/>
                <w:sz w:val="21"/>
                <w:szCs w:val="21"/>
                <w:highlight w:val="none"/>
                <w:lang w:eastAsia="zh-CN"/>
              </w:rPr>
              <w:t>，得</w:t>
            </w:r>
            <w:r>
              <w:rPr>
                <w:rFonts w:hint="default" w:ascii="Times New Roman" w:hAnsi="Times New Roman" w:cs="Times New Roman"/>
                <w:color w:val="auto"/>
                <w:sz w:val="21"/>
                <w:szCs w:val="21"/>
                <w:highlight w:val="none"/>
                <w:lang w:val="en-US" w:eastAsia="zh-CN"/>
              </w:rPr>
              <w:t>20分</w:t>
            </w:r>
            <w:r>
              <w:rPr>
                <w:rFonts w:hint="default" w:ascii="Times New Roman" w:hAnsi="Times New Roman" w:eastAsia="仿宋_GB2312" w:cs="Times New Roman"/>
                <w:color w:val="auto"/>
                <w:sz w:val="21"/>
                <w:szCs w:val="21"/>
                <w:highlight w:val="none"/>
              </w:rPr>
              <w:t>。</w:t>
            </w:r>
          </w:p>
          <w:p w14:paraId="1CC663FD">
            <w:pPr>
              <w:keepNext w:val="0"/>
              <w:keepLines w:val="0"/>
              <w:pageBreakBefore w:val="0"/>
              <w:widowControl/>
              <w:kinsoku/>
              <w:wordWrap/>
              <w:overflowPunct/>
              <w:topLinePunct w:val="0"/>
              <w:autoSpaceDE/>
              <w:autoSpaceDN/>
              <w:bidi w:val="0"/>
              <w:adjustRightInd/>
              <w:snapToGrid w:val="0"/>
              <w:spacing w:line="240" w:lineRule="auto"/>
              <w:ind w:right="0" w:rightChars="0" w:firstLine="420" w:firstLineChars="200"/>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变更持有5%以下股权的股东、名称、住所、组织形式、董事、监事及高级管理人员未按要求进行备案</w:t>
            </w:r>
            <w:r>
              <w:rPr>
                <w:rFonts w:hint="eastAsia" w:cs="Times New Roman"/>
                <w:color w:val="auto"/>
                <w:sz w:val="21"/>
                <w:szCs w:val="21"/>
                <w:highlight w:val="none"/>
                <w:lang w:val="en-US" w:eastAsia="zh-CN"/>
              </w:rPr>
              <w:t>的</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发现一次扣5分，扣完20分为止</w:t>
            </w:r>
            <w:r>
              <w:rPr>
                <w:rFonts w:hint="default" w:ascii="Times New Roman" w:hAnsi="Times New Roman" w:eastAsia="仿宋_GB2312" w:cs="Times New Roman"/>
                <w:color w:val="auto"/>
                <w:sz w:val="21"/>
                <w:szCs w:val="21"/>
                <w:highlight w:val="none"/>
              </w:rPr>
              <w:t>。</w:t>
            </w:r>
          </w:p>
          <w:p w14:paraId="0EB33459">
            <w:pPr>
              <w:keepNext w:val="0"/>
              <w:keepLines w:val="0"/>
              <w:pageBreakBefore w:val="0"/>
              <w:widowControl/>
              <w:kinsoku/>
              <w:wordWrap/>
              <w:overflowPunct/>
              <w:topLinePunct w:val="0"/>
              <w:autoSpaceDE/>
              <w:autoSpaceDN/>
              <w:bidi w:val="0"/>
              <w:adjustRightInd/>
              <w:snapToGrid w:val="0"/>
              <w:spacing w:line="240" w:lineRule="auto"/>
              <w:ind w:right="0" w:rightChars="0" w:firstLine="420" w:firstLineChars="200"/>
              <w:textAlignment w:val="auto"/>
              <w:outlineLvl w:val="9"/>
              <w:rPr>
                <w:rFonts w:hint="eastAsia" w:eastAsia="仿宋_GB2312" w:cs="Times New Roman"/>
                <w:color w:val="auto"/>
                <w:sz w:val="21"/>
                <w:szCs w:val="21"/>
                <w:highlight w:val="none"/>
                <w:lang w:val="en-US" w:eastAsia="zh-CN"/>
              </w:rPr>
            </w:pPr>
            <w:r>
              <w:rPr>
                <w:rFonts w:hint="default" w:ascii="Times New Roman" w:hAnsi="Times New Roman" w:cs="Times New Roman"/>
                <w:color w:val="auto"/>
                <w:sz w:val="21"/>
                <w:szCs w:val="21"/>
                <w:highlight w:val="none"/>
                <w:lang w:eastAsia="zh-CN"/>
              </w:rPr>
              <w:t>2</w:t>
            </w:r>
            <w:r>
              <w:rPr>
                <w:rFonts w:hint="default" w:ascii="Times New Roman" w:hAnsi="Times New Roman" w:eastAsia="仿宋_GB2312" w:cs="Times New Roman"/>
                <w:color w:val="auto"/>
                <w:sz w:val="21"/>
                <w:szCs w:val="21"/>
                <w:highlight w:val="none"/>
              </w:rPr>
              <w:t>.</w:t>
            </w:r>
            <w:r>
              <w:rPr>
                <w:rFonts w:hint="eastAsia" w:cs="Times New Roman"/>
                <w:color w:val="auto"/>
                <w:sz w:val="21"/>
                <w:szCs w:val="21"/>
                <w:highlight w:val="none"/>
                <w:lang w:val="en-US" w:eastAsia="zh-CN"/>
              </w:rPr>
              <w:t>未经地方金融管理部门批准，</w:t>
            </w:r>
            <w:r>
              <w:rPr>
                <w:rFonts w:hint="default" w:ascii="Times New Roman" w:hAnsi="Times New Roman" w:eastAsia="仿宋_GB2312" w:cs="Times New Roman"/>
                <w:color w:val="auto"/>
                <w:sz w:val="21"/>
                <w:szCs w:val="21"/>
                <w:highlight w:val="none"/>
              </w:rPr>
              <w:t>变更持有5%以上股权的股东</w:t>
            </w:r>
            <w:r>
              <w:rPr>
                <w:rFonts w:hint="eastAsia"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分立、合并、注册地</w:t>
            </w:r>
            <w:r>
              <w:rPr>
                <w:rFonts w:hint="eastAsia"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rPr>
              <w:t>注册资本、公司章程、</w:t>
            </w:r>
            <w:r>
              <w:rPr>
                <w:rFonts w:hint="default" w:ascii="Times New Roman" w:hAnsi="Times New Roman" w:cs="Times New Roman"/>
                <w:color w:val="auto"/>
                <w:sz w:val="21"/>
                <w:szCs w:val="21"/>
                <w:highlight w:val="none"/>
                <w:lang w:eastAsia="zh-CN"/>
              </w:rPr>
              <w:t>经营范围、</w:t>
            </w:r>
            <w:r>
              <w:rPr>
                <w:rFonts w:hint="default" w:ascii="Times New Roman" w:hAnsi="Times New Roman" w:eastAsia="仿宋_GB2312" w:cs="Times New Roman"/>
                <w:color w:val="auto"/>
                <w:sz w:val="21"/>
                <w:szCs w:val="21"/>
                <w:highlight w:val="none"/>
              </w:rPr>
              <w:t>法定代表人</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分支机构负责人</w:t>
            </w:r>
            <w:r>
              <w:rPr>
                <w:rFonts w:hint="eastAsia" w:cs="Times New Roman"/>
                <w:color w:val="auto"/>
                <w:sz w:val="21"/>
                <w:szCs w:val="21"/>
                <w:highlight w:val="none"/>
                <w:lang w:val="en-US" w:eastAsia="zh-CN"/>
              </w:rPr>
              <w:t>或</w:t>
            </w:r>
            <w:r>
              <w:rPr>
                <w:rFonts w:hint="eastAsia" w:ascii="Times New Roman" w:hAnsi="Times New Roman" w:cs="Times New Roman"/>
                <w:color w:val="auto"/>
                <w:sz w:val="21"/>
                <w:szCs w:val="21"/>
                <w:highlight w:val="none"/>
                <w:lang w:val="en-US" w:eastAsia="zh-CN"/>
              </w:rPr>
              <w:t>董事长的</w:t>
            </w:r>
            <w:r>
              <w:rPr>
                <w:rFonts w:hint="default" w:ascii="Times New Roman" w:hAnsi="Times New Roman" w:eastAsia="仿宋_GB2312"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发现一次扣10分，扣完</w:t>
            </w:r>
            <w:r>
              <w:rPr>
                <w:rFonts w:hint="eastAsia" w:cs="Times New Roman"/>
                <w:color w:val="auto"/>
                <w:sz w:val="21"/>
                <w:szCs w:val="21"/>
                <w:highlight w:val="none"/>
                <w:lang w:val="en-US" w:eastAsia="zh-CN"/>
              </w:rPr>
              <w:t>20分</w:t>
            </w:r>
            <w:r>
              <w:rPr>
                <w:rFonts w:hint="eastAsia" w:ascii="Times New Roman" w:hAnsi="Times New Roman" w:cs="Times New Roman"/>
                <w:color w:val="auto"/>
                <w:sz w:val="21"/>
                <w:szCs w:val="21"/>
                <w:highlight w:val="none"/>
                <w:lang w:val="en-US" w:eastAsia="zh-CN"/>
              </w:rPr>
              <w:t>为止</w:t>
            </w:r>
            <w:r>
              <w:rPr>
                <w:rFonts w:hint="default" w:ascii="Times New Roman" w:hAnsi="Times New Roman" w:eastAsia="仿宋_GB2312" w:cs="Times New Roman"/>
                <w:color w:val="auto"/>
                <w:sz w:val="21"/>
                <w:szCs w:val="21"/>
                <w:highlight w:val="none"/>
              </w:rPr>
              <w:t>分</w:t>
            </w:r>
            <w:r>
              <w:rPr>
                <w:rFonts w:hint="eastAsia" w:cs="Times New Roman"/>
                <w:color w:val="auto"/>
                <w:sz w:val="21"/>
                <w:szCs w:val="21"/>
                <w:highlight w:val="none"/>
                <w:lang w:eastAsia="zh-CN"/>
              </w:rPr>
              <w:t>。</w:t>
            </w:r>
          </w:p>
          <w:p w14:paraId="12BD756F">
            <w:pPr>
              <w:widowControl/>
              <w:autoSpaceDE/>
              <w:autoSpaceDN/>
              <w:adjustRightInd/>
              <w:snapToGrid w:val="0"/>
              <w:ind w:firstLine="420" w:firstLineChars="200"/>
              <w:outlineLvl w:val="9"/>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eastAsia="zh-CN"/>
              </w:rPr>
              <w:t>未</w:t>
            </w:r>
            <w:r>
              <w:rPr>
                <w:rFonts w:hint="eastAsia" w:ascii="Times New Roman" w:hAnsi="Times New Roman" w:cs="Times New Roman"/>
                <w:color w:val="auto"/>
                <w:sz w:val="21"/>
                <w:szCs w:val="21"/>
                <w:highlight w:val="none"/>
                <w:lang w:val="en-US" w:eastAsia="zh-CN"/>
              </w:rPr>
              <w:t>经自治区地方金融管理局批准，</w:t>
            </w:r>
            <w:r>
              <w:rPr>
                <w:rFonts w:hint="eastAsia" w:cs="Times New Roman"/>
                <w:color w:val="auto"/>
                <w:sz w:val="21"/>
                <w:szCs w:val="21"/>
                <w:highlight w:val="none"/>
                <w:lang w:val="en-US" w:eastAsia="zh-CN"/>
              </w:rPr>
              <w:t>开展网络贷款业务、商业汇票承兑与贴现业务、对外重大投资（投资额超过资本净额的20%）等业务的，</w:t>
            </w:r>
            <w:r>
              <w:rPr>
                <w:rFonts w:hint="eastAsia" w:cs="Times New Roman"/>
                <w:color w:val="auto"/>
                <w:sz w:val="21"/>
                <w:szCs w:val="21"/>
                <w:highlight w:val="none"/>
                <w:lang w:eastAsia="zh-CN"/>
              </w:rPr>
              <w:t>该项</w:t>
            </w:r>
            <w:r>
              <w:rPr>
                <w:rFonts w:hint="default" w:ascii="Times New Roman" w:hAnsi="Times New Roman" w:eastAsia="仿宋_GB2312" w:cs="Times New Roman"/>
                <w:color w:val="auto"/>
                <w:sz w:val="21"/>
                <w:szCs w:val="21"/>
                <w:highlight w:val="none"/>
              </w:rPr>
              <w:t>不得</w:t>
            </w:r>
            <w:r>
              <w:rPr>
                <w:rFonts w:hint="eastAsia" w:cs="Times New Roman"/>
                <w:color w:val="auto"/>
                <w:sz w:val="21"/>
                <w:szCs w:val="21"/>
                <w:highlight w:val="none"/>
                <w:lang w:val="en-US" w:eastAsia="zh-CN"/>
              </w:rPr>
              <w:t>分</w:t>
            </w:r>
            <w:r>
              <w:rPr>
                <w:rFonts w:hint="default" w:ascii="Times New Roman" w:hAnsi="Times New Roman" w:eastAsia="仿宋_GB2312" w:cs="Times New Roman"/>
                <w:color w:val="auto"/>
                <w:sz w:val="21"/>
                <w:szCs w:val="21"/>
                <w:highlight w:val="none"/>
              </w:rPr>
              <w:t>。</w:t>
            </w:r>
          </w:p>
        </w:tc>
        <w:tc>
          <w:tcPr>
            <w:tcW w:w="798" w:type="dxa"/>
            <w:noWrap w:val="0"/>
            <w:vAlign w:val="top"/>
          </w:tcPr>
          <w:p w14:paraId="52077745">
            <w:pPr>
              <w:spacing w:line="540" w:lineRule="exact"/>
              <w:rPr>
                <w:rFonts w:hint="default" w:ascii="Times New Roman" w:hAnsi="Times New Roman" w:eastAsia="方正仿宋_GBK" w:cs="Times New Roman"/>
                <w:color w:val="auto"/>
                <w:sz w:val="32"/>
                <w:szCs w:val="32"/>
                <w:highlight w:val="none"/>
                <w:lang w:eastAsia="zh-CN"/>
              </w:rPr>
            </w:pPr>
          </w:p>
        </w:tc>
        <w:tc>
          <w:tcPr>
            <w:tcW w:w="715" w:type="dxa"/>
            <w:noWrap w:val="0"/>
            <w:vAlign w:val="top"/>
          </w:tcPr>
          <w:p w14:paraId="0F371402">
            <w:pPr>
              <w:spacing w:line="540" w:lineRule="exact"/>
              <w:rPr>
                <w:rFonts w:hint="default" w:ascii="Times New Roman" w:hAnsi="Times New Roman" w:eastAsia="方正仿宋_GBK" w:cs="Times New Roman"/>
                <w:color w:val="auto"/>
                <w:sz w:val="32"/>
                <w:szCs w:val="32"/>
                <w:highlight w:val="none"/>
              </w:rPr>
            </w:pPr>
          </w:p>
        </w:tc>
      </w:tr>
      <w:tr w14:paraId="01AB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jc w:val="center"/>
        </w:trPr>
        <w:tc>
          <w:tcPr>
            <w:tcW w:w="1138" w:type="dxa"/>
            <w:vMerge w:val="restart"/>
            <w:noWrap w:val="0"/>
            <w:vAlign w:val="center"/>
          </w:tcPr>
          <w:p w14:paraId="6AFCAAA6">
            <w:pPr>
              <w:spacing w:line="400" w:lineRule="exact"/>
              <w:jc w:val="center"/>
              <w:rPr>
                <w:rFonts w:hint="default" w:ascii="Times New Roman" w:hAnsi="Times New Roman" w:eastAsia="黑体" w:cs="Times New Roman"/>
                <w:color w:val="auto"/>
                <w:sz w:val="28"/>
                <w:szCs w:val="28"/>
                <w:highlight w:val="none"/>
              </w:rPr>
            </w:pPr>
          </w:p>
          <w:p w14:paraId="3066B587">
            <w:pPr>
              <w:spacing w:line="400" w:lineRule="exact"/>
              <w:jc w:val="both"/>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二、</w:t>
            </w:r>
          </w:p>
          <w:p w14:paraId="02425B79">
            <w:pPr>
              <w:spacing w:line="40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合规</w:t>
            </w:r>
          </w:p>
          <w:p w14:paraId="161963CE">
            <w:pPr>
              <w:spacing w:line="40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经营</w:t>
            </w:r>
          </w:p>
          <w:p w14:paraId="032C928F">
            <w:pPr>
              <w:spacing w:line="400" w:lineRule="exact"/>
              <w:jc w:val="both"/>
              <w:rPr>
                <w:rFonts w:hint="default" w:ascii="Times New Roman" w:hAnsi="Times New Roman" w:eastAsia="黑体" w:cs="Times New Roman"/>
                <w:color w:val="auto"/>
                <w:sz w:val="28"/>
                <w:szCs w:val="28"/>
                <w:highlight w:val="none"/>
              </w:rPr>
            </w:pPr>
            <w:r>
              <w:rPr>
                <w:rFonts w:hint="eastAsia" w:eastAsia="黑体" w:cs="Times New Roman"/>
                <w:color w:val="auto"/>
                <w:sz w:val="28"/>
                <w:szCs w:val="28"/>
                <w:highlight w:val="none"/>
                <w:lang w:eastAsia="zh-CN"/>
              </w:rPr>
              <w:t>（</w:t>
            </w:r>
            <w:r>
              <w:rPr>
                <w:rFonts w:hint="default" w:ascii="Times New Roman" w:hAnsi="Times New Roman" w:eastAsia="黑体" w:cs="Times New Roman"/>
                <w:color w:val="auto"/>
                <w:sz w:val="28"/>
                <w:szCs w:val="28"/>
                <w:highlight w:val="none"/>
              </w:rPr>
              <w:t>1</w:t>
            </w:r>
            <w:r>
              <w:rPr>
                <w:rFonts w:hint="eastAsia" w:ascii="Times New Roman" w:hAnsi="Times New Roman" w:eastAsia="黑体" w:cs="Times New Roman"/>
                <w:color w:val="auto"/>
                <w:sz w:val="28"/>
                <w:szCs w:val="28"/>
                <w:highlight w:val="none"/>
                <w:lang w:val="en-US" w:eastAsia="zh-CN"/>
              </w:rPr>
              <w:t>6</w:t>
            </w:r>
            <w:r>
              <w:rPr>
                <w:rFonts w:hint="default" w:ascii="Times New Roman" w:hAnsi="Times New Roman" w:eastAsia="黑体" w:cs="Times New Roman"/>
                <w:color w:val="auto"/>
                <w:sz w:val="28"/>
                <w:szCs w:val="28"/>
                <w:highlight w:val="none"/>
                <w:lang w:val="en-US" w:eastAsia="zh-CN"/>
              </w:rPr>
              <w:t>0</w:t>
            </w:r>
            <w:r>
              <w:rPr>
                <w:rFonts w:hint="default" w:ascii="Times New Roman" w:hAnsi="Times New Roman" w:eastAsia="黑体" w:cs="Times New Roman"/>
                <w:color w:val="auto"/>
                <w:sz w:val="28"/>
                <w:szCs w:val="28"/>
                <w:highlight w:val="none"/>
              </w:rPr>
              <w:t>分</w:t>
            </w:r>
            <w:r>
              <w:rPr>
                <w:rFonts w:hint="default" w:ascii="Times New Roman" w:hAnsi="Times New Roman" w:eastAsia="黑体" w:cs="Times New Roman"/>
                <w:color w:val="auto"/>
                <w:sz w:val="28"/>
                <w:szCs w:val="28"/>
                <w:highlight w:val="none"/>
                <w:lang w:eastAsia="zh-CN"/>
              </w:rPr>
              <w:t>）</w:t>
            </w:r>
          </w:p>
          <w:p w14:paraId="18D57C7F">
            <w:pPr>
              <w:spacing w:line="400" w:lineRule="exact"/>
              <w:jc w:val="left"/>
              <w:rPr>
                <w:rFonts w:hint="default" w:ascii="Times New Roman" w:hAnsi="Times New Roman" w:eastAsia="黑体" w:cs="Times New Roman"/>
                <w:color w:val="auto"/>
                <w:sz w:val="28"/>
                <w:szCs w:val="28"/>
                <w:highlight w:val="none"/>
              </w:rPr>
            </w:pPr>
          </w:p>
        </w:tc>
        <w:tc>
          <w:tcPr>
            <w:tcW w:w="1398" w:type="dxa"/>
            <w:noWrap w:val="0"/>
            <w:vAlign w:val="center"/>
          </w:tcPr>
          <w:p w14:paraId="035258DC">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outlineLvl w:val="9"/>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（1</w:t>
            </w:r>
            <w:r>
              <w:rPr>
                <w:rFonts w:hint="default" w:ascii="Times New Roman" w:hAnsi="Times New Roman" w:eastAsia="楷体_GB2312" w:cs="Times New Roman"/>
                <w:b/>
                <w:bCs/>
                <w:color w:val="auto"/>
                <w:sz w:val="24"/>
                <w:szCs w:val="24"/>
                <w:highlight w:val="none"/>
                <w:lang w:val="en-US" w:eastAsia="zh-CN"/>
              </w:rPr>
              <w:t>2</w:t>
            </w:r>
            <w:r>
              <w:rPr>
                <w:rFonts w:hint="default" w:ascii="Times New Roman" w:hAnsi="Times New Roman" w:eastAsia="楷体_GB2312" w:cs="Times New Roman"/>
                <w:b/>
                <w:bCs/>
                <w:color w:val="auto"/>
                <w:sz w:val="24"/>
                <w:szCs w:val="24"/>
                <w:highlight w:val="none"/>
              </w:rPr>
              <w:t>）属地经营</w:t>
            </w:r>
          </w:p>
        </w:tc>
        <w:tc>
          <w:tcPr>
            <w:tcW w:w="506" w:type="dxa"/>
            <w:noWrap w:val="0"/>
            <w:vAlign w:val="center"/>
          </w:tcPr>
          <w:p w14:paraId="62B077A1">
            <w:pPr>
              <w:jc w:val="center"/>
              <w:rPr>
                <w:rFonts w:hint="default" w:ascii="Times New Roman" w:hAnsi="Times New Roman" w:eastAsia="宋体" w:cs="Times New Roman"/>
                <w:b/>
                <w:bCs/>
                <w:color w:val="auto"/>
                <w:sz w:val="24"/>
                <w:szCs w:val="24"/>
                <w:highlight w:val="none"/>
                <w:lang w:val="en-US" w:eastAsia="zh-CN"/>
              </w:rPr>
            </w:pPr>
            <w:r>
              <w:rPr>
                <w:rFonts w:hint="eastAsia" w:eastAsia="宋体" w:cs="Times New Roman"/>
                <w:b/>
                <w:bCs/>
                <w:color w:val="auto"/>
                <w:sz w:val="24"/>
                <w:szCs w:val="24"/>
                <w:highlight w:val="none"/>
                <w:lang w:val="en-US" w:eastAsia="zh-CN"/>
              </w:rPr>
              <w:t>20</w:t>
            </w:r>
          </w:p>
        </w:tc>
        <w:tc>
          <w:tcPr>
            <w:tcW w:w="9741" w:type="dxa"/>
            <w:noWrap w:val="0"/>
            <w:vAlign w:val="center"/>
          </w:tcPr>
          <w:p w14:paraId="5B9D7CB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小额贷款公司</w:t>
            </w:r>
            <w:r>
              <w:rPr>
                <w:rFonts w:hint="eastAsia" w:cs="Times New Roman"/>
                <w:color w:val="auto"/>
                <w:sz w:val="21"/>
                <w:szCs w:val="21"/>
                <w:highlight w:val="none"/>
                <w:lang w:val="en-US" w:eastAsia="zh-CN"/>
              </w:rPr>
              <w:t>应</w:t>
            </w:r>
            <w:r>
              <w:rPr>
                <w:rFonts w:hint="eastAsia" w:cs="Times New Roman"/>
                <w:color w:val="auto"/>
                <w:sz w:val="21"/>
                <w:szCs w:val="21"/>
                <w:highlight w:val="none"/>
                <w:lang w:eastAsia="zh-CN"/>
              </w:rPr>
              <w:t>立足当地，在经</w:t>
            </w:r>
            <w:r>
              <w:rPr>
                <w:rFonts w:hint="default" w:ascii="Times New Roman" w:hAnsi="Times New Roman" w:cs="Times New Roman"/>
                <w:color w:val="auto"/>
                <w:sz w:val="21"/>
                <w:szCs w:val="21"/>
                <w:highlight w:val="none"/>
                <w:lang w:eastAsia="zh-CN"/>
              </w:rPr>
              <w:t>依法</w:t>
            </w:r>
            <w:r>
              <w:rPr>
                <w:rFonts w:hint="eastAsia" w:cs="Times New Roman"/>
                <w:color w:val="auto"/>
                <w:sz w:val="21"/>
                <w:szCs w:val="21"/>
                <w:highlight w:val="none"/>
                <w:lang w:eastAsia="zh-CN"/>
              </w:rPr>
              <w:t>批准的</w:t>
            </w:r>
            <w:r>
              <w:rPr>
                <w:rFonts w:hint="default" w:ascii="Times New Roman" w:hAnsi="Times New Roman" w:cs="Times New Roman"/>
                <w:color w:val="auto"/>
                <w:sz w:val="21"/>
                <w:szCs w:val="21"/>
                <w:highlight w:val="none"/>
                <w:lang w:eastAsia="zh-CN"/>
              </w:rPr>
              <w:t>区域</w:t>
            </w:r>
            <w:r>
              <w:rPr>
                <w:rFonts w:hint="eastAsia" w:cs="Times New Roman"/>
                <w:color w:val="auto"/>
                <w:sz w:val="21"/>
                <w:szCs w:val="21"/>
                <w:highlight w:val="none"/>
                <w:lang w:eastAsia="zh-CN"/>
              </w:rPr>
              <w:t>范围</w:t>
            </w:r>
            <w:r>
              <w:rPr>
                <w:rFonts w:hint="default" w:ascii="Times New Roman" w:hAnsi="Times New Roman" w:cs="Times New Roman"/>
                <w:color w:val="auto"/>
                <w:sz w:val="21"/>
                <w:szCs w:val="21"/>
                <w:highlight w:val="none"/>
                <w:lang w:eastAsia="zh-CN"/>
              </w:rPr>
              <w:t>内开展业务的（监管评级达到A级及以上的，可在</w:t>
            </w:r>
            <w:r>
              <w:rPr>
                <w:rFonts w:hint="eastAsia" w:cs="Times New Roman"/>
                <w:color w:val="auto"/>
                <w:sz w:val="21"/>
                <w:szCs w:val="21"/>
                <w:highlight w:val="none"/>
                <w:lang w:eastAsia="zh-CN"/>
              </w:rPr>
              <w:t>广西</w:t>
            </w:r>
            <w:r>
              <w:rPr>
                <w:rFonts w:hint="default" w:ascii="Times New Roman" w:hAnsi="Times New Roman" w:cs="Times New Roman"/>
                <w:color w:val="auto"/>
                <w:sz w:val="21"/>
                <w:szCs w:val="21"/>
                <w:highlight w:val="none"/>
                <w:lang w:eastAsia="zh-CN"/>
              </w:rPr>
              <w:t>全区范围内开展业务；监管评级为B级的，可在</w:t>
            </w:r>
            <w:r>
              <w:rPr>
                <w:rFonts w:hint="eastAsia" w:cs="Times New Roman"/>
                <w:color w:val="auto"/>
                <w:sz w:val="21"/>
                <w:szCs w:val="21"/>
                <w:highlight w:val="none"/>
                <w:lang w:eastAsia="zh-CN"/>
              </w:rPr>
              <w:t>公司</w:t>
            </w:r>
            <w:r>
              <w:rPr>
                <w:rFonts w:hint="default" w:ascii="Times New Roman" w:hAnsi="Times New Roman" w:cs="Times New Roman"/>
                <w:color w:val="auto"/>
                <w:sz w:val="21"/>
                <w:szCs w:val="21"/>
                <w:highlight w:val="none"/>
                <w:lang w:eastAsia="zh-CN"/>
              </w:rPr>
              <w:t>注册地设区市级行政区域内开展业务；监管评级为C级的，可在</w:t>
            </w:r>
            <w:r>
              <w:rPr>
                <w:rFonts w:hint="eastAsia" w:cs="Times New Roman"/>
                <w:color w:val="auto"/>
                <w:sz w:val="21"/>
                <w:szCs w:val="21"/>
                <w:highlight w:val="none"/>
                <w:lang w:eastAsia="zh-CN"/>
              </w:rPr>
              <w:t>公司</w:t>
            </w:r>
            <w:r>
              <w:rPr>
                <w:rFonts w:hint="default" w:ascii="Times New Roman" w:hAnsi="Times New Roman" w:cs="Times New Roman"/>
                <w:color w:val="auto"/>
                <w:sz w:val="21"/>
                <w:szCs w:val="21"/>
                <w:highlight w:val="none"/>
                <w:lang w:eastAsia="zh-CN"/>
              </w:rPr>
              <w:t>注册地县级行政区域内开展业务；监管评级为D级的，整改完成后，可在公司注册地县级行政区域内开展业务），得</w:t>
            </w:r>
            <w:r>
              <w:rPr>
                <w:rFonts w:hint="eastAsia" w:cs="Times New Roman"/>
                <w:color w:val="auto"/>
                <w:sz w:val="21"/>
                <w:szCs w:val="21"/>
                <w:highlight w:val="none"/>
                <w:lang w:val="en-US" w:eastAsia="zh-CN"/>
              </w:rPr>
              <w:t>20</w:t>
            </w:r>
            <w:r>
              <w:rPr>
                <w:rFonts w:hint="default" w:ascii="Times New Roman" w:hAnsi="Times New Roman" w:cs="Times New Roman"/>
                <w:color w:val="auto"/>
                <w:sz w:val="21"/>
                <w:szCs w:val="21"/>
                <w:highlight w:val="none"/>
                <w:lang w:val="en-US" w:eastAsia="zh-CN"/>
              </w:rPr>
              <w:t>分</w:t>
            </w:r>
            <w:r>
              <w:rPr>
                <w:rFonts w:hint="default" w:ascii="Times New Roman" w:hAnsi="Times New Roman" w:cs="Times New Roman"/>
                <w:color w:val="auto"/>
                <w:sz w:val="21"/>
                <w:szCs w:val="21"/>
                <w:highlight w:val="none"/>
                <w:lang w:eastAsia="zh-CN"/>
              </w:rPr>
              <w:t>。</w:t>
            </w:r>
          </w:p>
          <w:p w14:paraId="77E9BFC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firstLine="420" w:firstLineChars="200"/>
              <w:textAlignment w:val="auto"/>
              <w:rPr>
                <w:rFonts w:hint="eastAsia"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1.</w:t>
            </w:r>
            <w:r>
              <w:rPr>
                <w:rFonts w:hint="eastAsia" w:cs="Times New Roman"/>
                <w:color w:val="auto"/>
                <w:sz w:val="21"/>
                <w:szCs w:val="21"/>
                <w:highlight w:val="none"/>
                <w:lang w:val="en-US" w:eastAsia="zh-CN"/>
              </w:rPr>
              <w:t>在广西</w:t>
            </w:r>
            <w:r>
              <w:rPr>
                <w:rFonts w:hint="default" w:ascii="Times New Roman" w:hAnsi="Times New Roman" w:cs="Times New Roman"/>
                <w:color w:val="auto"/>
                <w:sz w:val="21"/>
                <w:szCs w:val="21"/>
                <w:highlight w:val="none"/>
                <w:lang w:val="en-US" w:eastAsia="zh-CN"/>
              </w:rPr>
              <w:t>区内</w:t>
            </w:r>
            <w:r>
              <w:rPr>
                <w:rFonts w:hint="default" w:ascii="Times New Roman" w:hAnsi="Times New Roman" w:cs="Times New Roman"/>
                <w:color w:val="auto"/>
                <w:sz w:val="21"/>
                <w:szCs w:val="21"/>
                <w:highlight w:val="none"/>
                <w:lang w:eastAsia="zh-CN"/>
              </w:rPr>
              <w:t>违规跨市县开展业务的，发现一</w:t>
            </w:r>
            <w:r>
              <w:rPr>
                <w:rFonts w:hint="eastAsia" w:ascii="Times New Roman" w:hAnsi="Times New Roman" w:cs="Times New Roman"/>
                <w:color w:val="auto"/>
                <w:sz w:val="21"/>
                <w:szCs w:val="21"/>
                <w:highlight w:val="none"/>
                <w:lang w:eastAsia="zh-CN"/>
              </w:rPr>
              <w:t>笔扣</w:t>
            </w:r>
            <w:r>
              <w:rPr>
                <w:rFonts w:hint="eastAsia"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eastAsia="zh-CN"/>
              </w:rPr>
              <w:t>分，</w:t>
            </w:r>
            <w:r>
              <w:rPr>
                <w:rFonts w:hint="default" w:ascii="Times New Roman" w:hAnsi="Times New Roman" w:eastAsia="仿宋_GB2312" w:cs="Times New Roman"/>
                <w:i w:val="0"/>
                <w:caps w:val="0"/>
                <w:color w:val="auto"/>
                <w:spacing w:val="0"/>
                <w:sz w:val="21"/>
                <w:szCs w:val="21"/>
                <w:highlight w:val="none"/>
                <w:shd w:val="clear" w:color="auto" w:fill="auto"/>
                <w:lang w:val="en-US" w:eastAsia="zh-CN"/>
              </w:rPr>
              <w:t>扣完</w:t>
            </w:r>
            <w:r>
              <w:rPr>
                <w:rFonts w:hint="eastAsia" w:cs="Times New Roman"/>
                <w:i w:val="0"/>
                <w:caps w:val="0"/>
                <w:color w:val="auto"/>
                <w:spacing w:val="0"/>
                <w:sz w:val="21"/>
                <w:szCs w:val="21"/>
                <w:highlight w:val="none"/>
                <w:shd w:val="clear" w:color="auto" w:fill="auto"/>
                <w:lang w:val="en-US" w:eastAsia="zh-CN"/>
              </w:rPr>
              <w:t>20分</w:t>
            </w:r>
            <w:r>
              <w:rPr>
                <w:rFonts w:hint="default" w:ascii="Times New Roman" w:hAnsi="Times New Roman" w:eastAsia="仿宋_GB2312" w:cs="Times New Roman"/>
                <w:i w:val="0"/>
                <w:caps w:val="0"/>
                <w:color w:val="auto"/>
                <w:spacing w:val="0"/>
                <w:sz w:val="21"/>
                <w:szCs w:val="21"/>
                <w:highlight w:val="none"/>
                <w:shd w:val="clear" w:color="auto" w:fill="auto"/>
                <w:lang w:val="en-US" w:eastAsia="zh-CN"/>
              </w:rPr>
              <w:t>为止</w:t>
            </w:r>
            <w:r>
              <w:rPr>
                <w:rFonts w:hint="eastAsia" w:ascii="Times New Roman" w:hAnsi="Times New Roman" w:cs="Times New Roman"/>
                <w:color w:val="auto"/>
                <w:sz w:val="21"/>
                <w:szCs w:val="21"/>
                <w:highlight w:val="none"/>
                <w:lang w:eastAsia="zh-CN"/>
              </w:rPr>
              <w:t>；</w:t>
            </w:r>
          </w:p>
          <w:p w14:paraId="417DDDF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firstLine="420" w:firstLineChars="200"/>
              <w:textAlignment w:val="auto"/>
              <w:rPr>
                <w:rFonts w:hint="default"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2.在广西区外开展业务</w:t>
            </w:r>
            <w:r>
              <w:rPr>
                <w:rFonts w:hint="eastAsia" w:ascii="Times New Roman" w:hAnsi="Times New Roman" w:eastAsia="仿宋_GB2312" w:cs="Times New Roman"/>
                <w:color w:val="auto"/>
                <w:sz w:val="21"/>
                <w:szCs w:val="21"/>
                <w:highlight w:val="none"/>
              </w:rPr>
              <w:t>的，发现一笔</w:t>
            </w:r>
            <w:r>
              <w:rPr>
                <w:rFonts w:hint="eastAsia" w:cs="Times New Roman"/>
                <w:color w:val="auto"/>
                <w:sz w:val="21"/>
                <w:szCs w:val="21"/>
                <w:highlight w:val="none"/>
                <w:lang w:eastAsia="zh-CN"/>
              </w:rPr>
              <w:t>该项</w:t>
            </w:r>
            <w:r>
              <w:rPr>
                <w:rFonts w:hint="eastAsia" w:ascii="Times New Roman" w:hAnsi="Times New Roman" w:cs="Times New Roman"/>
                <w:color w:val="auto"/>
                <w:sz w:val="21"/>
                <w:szCs w:val="21"/>
                <w:highlight w:val="none"/>
                <w:lang w:eastAsia="zh-CN"/>
              </w:rPr>
              <w:t>不得分</w:t>
            </w:r>
            <w:r>
              <w:rPr>
                <w:rFonts w:hint="eastAsia" w:ascii="Times New Roman" w:hAnsi="Times New Roman" w:cs="Times New Roman"/>
                <w:color w:val="auto"/>
                <w:sz w:val="21"/>
                <w:szCs w:val="21"/>
                <w:highlight w:val="none"/>
                <w:lang w:val="en-US" w:eastAsia="zh-CN"/>
              </w:rPr>
              <w:t>，最高只</w:t>
            </w:r>
            <w:r>
              <w:rPr>
                <w:rFonts w:hint="default" w:ascii="Times New Roman" w:hAnsi="Times New Roman" w:cs="Times New Roman"/>
                <w:color w:val="auto"/>
                <w:sz w:val="21"/>
                <w:szCs w:val="21"/>
                <w:highlight w:val="none"/>
                <w:lang w:val="en-US" w:eastAsia="zh-CN"/>
              </w:rPr>
              <w:t>可评为</w:t>
            </w:r>
            <w:r>
              <w:rPr>
                <w:rFonts w:hint="eastAsia" w:cs="Times New Roman"/>
                <w:color w:val="auto"/>
                <w:sz w:val="21"/>
                <w:szCs w:val="21"/>
                <w:highlight w:val="none"/>
                <w:lang w:val="en-US" w:eastAsia="zh-CN"/>
              </w:rPr>
              <w:t>B</w:t>
            </w:r>
            <w:r>
              <w:rPr>
                <w:rFonts w:hint="default" w:ascii="Times New Roman" w:hAnsi="Times New Roman" w:cs="Times New Roman"/>
                <w:color w:val="auto"/>
                <w:sz w:val="21"/>
                <w:szCs w:val="21"/>
                <w:highlight w:val="none"/>
                <w:lang w:val="en-US" w:eastAsia="zh-CN"/>
              </w:rPr>
              <w:t>级</w:t>
            </w:r>
            <w:r>
              <w:rPr>
                <w:rFonts w:hint="default" w:ascii="Times New Roman" w:hAnsi="Times New Roman" w:cs="Times New Roman"/>
                <w:color w:val="auto"/>
                <w:sz w:val="21"/>
                <w:szCs w:val="21"/>
                <w:highlight w:val="none"/>
                <w:lang w:eastAsia="zh-CN"/>
              </w:rPr>
              <w:t>。</w:t>
            </w:r>
          </w:p>
          <w:p w14:paraId="0B78CCC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firstLine="420" w:firstLineChars="200"/>
              <w:textAlignment w:val="auto"/>
              <w:rPr>
                <w:rFonts w:hint="default" w:ascii="Times New Roman" w:hAnsi="Times New Roman" w:eastAsia="仿宋_GB2312" w:cs="Times New Roman"/>
                <w:color w:val="auto"/>
                <w:sz w:val="21"/>
                <w:szCs w:val="21"/>
                <w:highlight w:val="none"/>
              </w:rPr>
            </w:pPr>
            <w:r>
              <w:rPr>
                <w:rFonts w:hint="eastAsia" w:ascii="Times New Roman" w:hAnsi="Times New Roman" w:cs="Times New Roman"/>
                <w:color w:val="auto"/>
                <w:sz w:val="21"/>
                <w:szCs w:val="21"/>
                <w:highlight w:val="none"/>
                <w:lang w:eastAsia="zh-CN"/>
              </w:rPr>
              <w:t>注：上一年监管评级为A级或者B级，次年等级下降的，新增业务按新的评级执行，原等级期间发生的业务可按原贷款合同执行至期限结束，到期后不可展期，续贷按新评级执行。</w:t>
            </w:r>
          </w:p>
        </w:tc>
        <w:tc>
          <w:tcPr>
            <w:tcW w:w="798" w:type="dxa"/>
            <w:noWrap w:val="0"/>
            <w:vAlign w:val="top"/>
          </w:tcPr>
          <w:p w14:paraId="53E1700E">
            <w:pPr>
              <w:spacing w:line="540" w:lineRule="exact"/>
              <w:rPr>
                <w:rFonts w:hint="default" w:ascii="Times New Roman" w:hAnsi="Times New Roman" w:eastAsia="方正仿宋_GBK" w:cs="Times New Roman"/>
                <w:color w:val="auto"/>
                <w:sz w:val="32"/>
                <w:szCs w:val="32"/>
                <w:highlight w:val="none"/>
              </w:rPr>
            </w:pPr>
          </w:p>
        </w:tc>
        <w:tc>
          <w:tcPr>
            <w:tcW w:w="715" w:type="dxa"/>
            <w:noWrap w:val="0"/>
            <w:vAlign w:val="top"/>
          </w:tcPr>
          <w:p w14:paraId="29A66DE6">
            <w:pPr>
              <w:spacing w:line="540" w:lineRule="exact"/>
              <w:rPr>
                <w:rFonts w:hint="default" w:ascii="Times New Roman" w:hAnsi="Times New Roman" w:eastAsia="方正仿宋_GBK" w:cs="Times New Roman"/>
                <w:color w:val="auto"/>
                <w:sz w:val="32"/>
                <w:szCs w:val="32"/>
                <w:highlight w:val="none"/>
              </w:rPr>
            </w:pPr>
          </w:p>
        </w:tc>
      </w:tr>
      <w:tr w14:paraId="0C11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jc w:val="center"/>
        </w:trPr>
        <w:tc>
          <w:tcPr>
            <w:tcW w:w="1138" w:type="dxa"/>
            <w:vMerge w:val="continue"/>
            <w:noWrap w:val="0"/>
            <w:vAlign w:val="top"/>
          </w:tcPr>
          <w:p w14:paraId="1CF0AB04">
            <w:pPr>
              <w:spacing w:line="400" w:lineRule="exact"/>
              <w:jc w:val="both"/>
              <w:rPr>
                <w:rFonts w:hint="default" w:ascii="Times New Roman" w:hAnsi="Times New Roman" w:eastAsia="黑体" w:cs="Times New Roman"/>
                <w:color w:val="auto"/>
                <w:sz w:val="28"/>
                <w:szCs w:val="28"/>
                <w:highlight w:val="none"/>
              </w:rPr>
            </w:pPr>
          </w:p>
        </w:tc>
        <w:tc>
          <w:tcPr>
            <w:tcW w:w="1398" w:type="dxa"/>
            <w:noWrap w:val="0"/>
            <w:vAlign w:val="center"/>
          </w:tcPr>
          <w:p w14:paraId="4247EAAB">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outlineLvl w:val="9"/>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（1</w:t>
            </w:r>
            <w:r>
              <w:rPr>
                <w:rFonts w:hint="eastAsia" w:eastAsia="楷体_GB2312" w:cs="Times New Roman"/>
                <w:b/>
                <w:bCs/>
                <w:color w:val="auto"/>
                <w:sz w:val="24"/>
                <w:szCs w:val="24"/>
                <w:highlight w:val="none"/>
                <w:lang w:val="en-US" w:eastAsia="zh-CN"/>
              </w:rPr>
              <w:t>3</w:t>
            </w:r>
            <w:r>
              <w:rPr>
                <w:rFonts w:hint="default" w:ascii="Times New Roman" w:hAnsi="Times New Roman" w:eastAsia="楷体_GB2312" w:cs="Times New Roman"/>
                <w:b/>
                <w:bCs/>
                <w:color w:val="auto"/>
                <w:sz w:val="24"/>
                <w:szCs w:val="24"/>
                <w:highlight w:val="none"/>
              </w:rPr>
              <w:t>）信息</w:t>
            </w:r>
            <w:r>
              <w:rPr>
                <w:rFonts w:hint="default" w:ascii="Times New Roman" w:hAnsi="Times New Roman" w:eastAsia="楷体_GB2312" w:cs="Times New Roman"/>
                <w:b/>
                <w:bCs/>
                <w:color w:val="auto"/>
                <w:sz w:val="24"/>
                <w:szCs w:val="24"/>
                <w:highlight w:val="none"/>
                <w:lang w:val="en-US" w:eastAsia="zh-CN"/>
              </w:rPr>
              <w:t>报送与</w:t>
            </w:r>
            <w:r>
              <w:rPr>
                <w:rFonts w:hint="default" w:ascii="Times New Roman" w:hAnsi="Times New Roman" w:eastAsia="楷体_GB2312" w:cs="Times New Roman"/>
                <w:b/>
                <w:bCs/>
                <w:color w:val="auto"/>
                <w:sz w:val="24"/>
                <w:szCs w:val="24"/>
                <w:highlight w:val="none"/>
              </w:rPr>
              <w:t>披露</w:t>
            </w:r>
          </w:p>
        </w:tc>
        <w:tc>
          <w:tcPr>
            <w:tcW w:w="506" w:type="dxa"/>
            <w:noWrap w:val="0"/>
            <w:vAlign w:val="center"/>
          </w:tcPr>
          <w:p w14:paraId="5FEE3C2B">
            <w:pPr>
              <w:jc w:val="center"/>
              <w:rPr>
                <w:rFonts w:hint="default" w:ascii="Times New Roman" w:hAnsi="Times New Roman" w:eastAsia="宋体" w:cs="Times New Roman"/>
                <w:b/>
                <w:bCs/>
                <w:color w:val="auto"/>
                <w:sz w:val="24"/>
                <w:szCs w:val="24"/>
                <w:highlight w:val="none"/>
                <w:lang w:val="en-US" w:eastAsia="zh-CN"/>
              </w:rPr>
            </w:pPr>
            <w:r>
              <w:rPr>
                <w:rFonts w:hint="eastAsia" w:eastAsia="宋体" w:cs="Times New Roman"/>
                <w:b/>
                <w:bCs/>
                <w:color w:val="auto"/>
                <w:sz w:val="24"/>
                <w:szCs w:val="24"/>
                <w:highlight w:val="none"/>
                <w:lang w:val="en-US" w:eastAsia="zh-CN"/>
              </w:rPr>
              <w:t>30</w:t>
            </w:r>
          </w:p>
        </w:tc>
        <w:tc>
          <w:tcPr>
            <w:tcW w:w="9741" w:type="dxa"/>
            <w:noWrap w:val="0"/>
            <w:vAlign w:val="center"/>
          </w:tcPr>
          <w:p w14:paraId="64104C96">
            <w:pPr>
              <w:pStyle w:val="2"/>
              <w:keepNext w:val="0"/>
              <w:keepLines w:val="0"/>
              <w:pageBreakBefore w:val="0"/>
              <w:widowControl/>
              <w:kinsoku/>
              <w:wordWrap/>
              <w:overflowPunct/>
              <w:topLinePunct w:val="0"/>
              <w:autoSpaceDE/>
              <w:autoSpaceDN/>
              <w:bidi w:val="0"/>
              <w:adjustRightInd/>
              <w:snapToGrid/>
              <w:spacing w:line="240" w:lineRule="auto"/>
              <w:ind w:right="0" w:rightChars="0" w:firstLine="420" w:firstLineChars="200"/>
              <w:textAlignment w:val="auto"/>
              <w:rPr>
                <w:rFonts w:hint="eastAsia"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1.监管信息报送（</w:t>
            </w:r>
            <w:r>
              <w:rPr>
                <w:rFonts w:hint="eastAsia" w:ascii="Times New Roman" w:hAnsi="Times New Roman" w:cs="Times New Roman"/>
                <w:color w:val="auto"/>
                <w:kern w:val="2"/>
                <w:sz w:val="21"/>
                <w:szCs w:val="21"/>
                <w:highlight w:val="none"/>
                <w:lang w:val="en-US" w:eastAsia="zh-CN" w:bidi="ar-SA"/>
              </w:rPr>
              <w:t>20</w:t>
            </w:r>
            <w:r>
              <w:rPr>
                <w:rFonts w:hint="default" w:ascii="Times New Roman" w:hAnsi="Times New Roman" w:eastAsia="仿宋_GB2312" w:cs="Times New Roman"/>
                <w:color w:val="auto"/>
                <w:sz w:val="21"/>
                <w:szCs w:val="21"/>
                <w:highlight w:val="none"/>
              </w:rPr>
              <w:t>分）。小额贷款公司应</w:t>
            </w:r>
            <w:r>
              <w:rPr>
                <w:rFonts w:hint="eastAsia" w:cs="Times New Roman"/>
                <w:color w:val="auto"/>
                <w:sz w:val="21"/>
                <w:szCs w:val="21"/>
                <w:highlight w:val="none"/>
                <w:lang w:eastAsia="zh-CN"/>
              </w:rPr>
              <w:t>当</w:t>
            </w:r>
            <w:r>
              <w:rPr>
                <w:rFonts w:hint="default" w:ascii="Times New Roman" w:hAnsi="Times New Roman" w:eastAsia="仿宋_GB2312" w:cs="Times New Roman"/>
                <w:color w:val="auto"/>
                <w:sz w:val="21"/>
                <w:szCs w:val="21"/>
                <w:highlight w:val="none"/>
              </w:rPr>
              <w:t>接入</w:t>
            </w:r>
            <w:r>
              <w:rPr>
                <w:rFonts w:hint="default" w:ascii="Times New Roman" w:hAnsi="Times New Roman" w:eastAsia="仿宋_GB2312" w:cs="Times New Roman"/>
                <w:color w:val="auto"/>
                <w:sz w:val="21"/>
                <w:szCs w:val="21"/>
                <w:highlight w:val="none"/>
                <w:lang w:eastAsia="zh-CN"/>
              </w:rPr>
              <w:t>广西小额贷款公司行业监管</w:t>
            </w:r>
            <w:r>
              <w:rPr>
                <w:rFonts w:hint="eastAsia" w:cs="Times New Roman"/>
                <w:color w:val="auto"/>
                <w:sz w:val="21"/>
                <w:szCs w:val="21"/>
                <w:highlight w:val="none"/>
                <w:lang w:eastAsia="zh-CN"/>
              </w:rPr>
              <w:t>信息</w:t>
            </w:r>
            <w:r>
              <w:rPr>
                <w:rFonts w:hint="default" w:ascii="Times New Roman" w:hAnsi="Times New Roman" w:eastAsia="仿宋_GB2312" w:cs="Times New Roman"/>
                <w:color w:val="auto"/>
                <w:sz w:val="21"/>
                <w:szCs w:val="21"/>
                <w:highlight w:val="none"/>
                <w:lang w:eastAsia="zh-CN"/>
              </w:rPr>
              <w:t>系统和业务</w:t>
            </w:r>
            <w:r>
              <w:rPr>
                <w:rFonts w:hint="eastAsia" w:cs="Times New Roman"/>
                <w:color w:val="auto"/>
                <w:sz w:val="21"/>
                <w:szCs w:val="21"/>
                <w:highlight w:val="none"/>
                <w:lang w:eastAsia="zh-CN"/>
              </w:rPr>
              <w:t>信息</w:t>
            </w:r>
            <w:r>
              <w:rPr>
                <w:rFonts w:hint="default" w:ascii="Times New Roman" w:hAnsi="Times New Roman" w:eastAsia="仿宋_GB2312" w:cs="Times New Roman"/>
                <w:color w:val="auto"/>
                <w:sz w:val="21"/>
                <w:szCs w:val="21"/>
                <w:highlight w:val="none"/>
                <w:lang w:eastAsia="zh-CN"/>
              </w:rPr>
              <w:t>系统</w:t>
            </w:r>
            <w:r>
              <w:rPr>
                <w:rFonts w:hint="default" w:ascii="Times New Roman" w:hAnsi="Times New Roman" w:eastAsia="仿宋_GB2312" w:cs="Times New Roman"/>
                <w:color w:val="auto"/>
                <w:sz w:val="21"/>
                <w:szCs w:val="21"/>
                <w:highlight w:val="none"/>
              </w:rPr>
              <w:t>，及时</w:t>
            </w:r>
            <w:r>
              <w:rPr>
                <w:rFonts w:hint="eastAsia" w:cs="Times New Roman"/>
                <w:color w:val="auto"/>
                <w:sz w:val="21"/>
                <w:szCs w:val="21"/>
                <w:highlight w:val="none"/>
                <w:lang w:eastAsia="zh-CN"/>
              </w:rPr>
              <w:t>、准确、</w:t>
            </w:r>
            <w:r>
              <w:rPr>
                <w:rFonts w:hint="default" w:ascii="Times New Roman" w:hAnsi="Times New Roman" w:eastAsia="仿宋_GB2312" w:cs="Times New Roman"/>
                <w:color w:val="auto"/>
                <w:sz w:val="21"/>
                <w:szCs w:val="21"/>
                <w:highlight w:val="none"/>
              </w:rPr>
              <w:t>完整</w:t>
            </w:r>
            <w:r>
              <w:rPr>
                <w:rFonts w:hint="eastAsia" w:cs="Times New Roman"/>
                <w:color w:val="auto"/>
                <w:sz w:val="21"/>
                <w:szCs w:val="21"/>
                <w:highlight w:val="none"/>
                <w:lang w:eastAsia="zh-CN"/>
              </w:rPr>
              <w:t>填</w:t>
            </w:r>
            <w:r>
              <w:rPr>
                <w:rFonts w:hint="default" w:ascii="Times New Roman" w:hAnsi="Times New Roman" w:eastAsia="仿宋_GB2312" w:cs="Times New Roman"/>
                <w:color w:val="auto"/>
                <w:sz w:val="21"/>
                <w:szCs w:val="21"/>
                <w:highlight w:val="none"/>
              </w:rPr>
              <w:t>报</w:t>
            </w:r>
            <w:r>
              <w:rPr>
                <w:rFonts w:hint="eastAsia" w:cs="Times New Roman"/>
                <w:color w:val="auto"/>
                <w:sz w:val="21"/>
                <w:szCs w:val="21"/>
                <w:highlight w:val="none"/>
                <w:lang w:eastAsia="zh-CN"/>
              </w:rPr>
              <w:t>公司信息、</w:t>
            </w:r>
            <w:r>
              <w:rPr>
                <w:rFonts w:hint="default" w:ascii="Times New Roman" w:hAnsi="Times New Roman" w:eastAsia="仿宋_GB2312" w:cs="Times New Roman"/>
                <w:color w:val="auto"/>
                <w:sz w:val="21"/>
                <w:szCs w:val="21"/>
                <w:highlight w:val="none"/>
                <w:lang w:eastAsia="zh-CN"/>
              </w:rPr>
              <w:t>财务报表、</w:t>
            </w:r>
            <w:r>
              <w:rPr>
                <w:rFonts w:hint="default" w:ascii="Times New Roman" w:hAnsi="Times New Roman" w:eastAsia="仿宋_GB2312" w:cs="Times New Roman"/>
                <w:color w:val="auto"/>
                <w:sz w:val="21"/>
                <w:szCs w:val="21"/>
                <w:highlight w:val="none"/>
              </w:rPr>
              <w:t>经营情况、融资情况、变更事项</w:t>
            </w:r>
            <w:r>
              <w:rPr>
                <w:rFonts w:hint="eastAsia" w:ascii="Times New Roman" w:hAnsi="Times New Roman" w:cs="Times New Roman"/>
                <w:color w:val="auto"/>
                <w:sz w:val="21"/>
                <w:szCs w:val="21"/>
                <w:highlight w:val="none"/>
                <w:lang w:eastAsia="zh-CN"/>
              </w:rPr>
              <w:t>、</w:t>
            </w:r>
            <w:r>
              <w:rPr>
                <w:rFonts w:hint="default" w:ascii="Times New Roman" w:hAnsi="Times New Roman" w:eastAsia="仿宋_GB2312" w:cs="Times New Roman"/>
                <w:i w:val="0"/>
                <w:caps w:val="0"/>
                <w:color w:val="auto"/>
                <w:spacing w:val="0"/>
                <w:sz w:val="21"/>
                <w:szCs w:val="21"/>
                <w:highlight w:val="none"/>
                <w:shd w:val="clear" w:color="auto" w:fill="auto"/>
              </w:rPr>
              <w:t>放贷专户</w:t>
            </w:r>
            <w:r>
              <w:rPr>
                <w:rFonts w:hint="default" w:ascii="Times New Roman" w:hAnsi="Times New Roman" w:eastAsia="仿宋_GB2312" w:cs="Times New Roman"/>
                <w:color w:val="auto"/>
                <w:sz w:val="21"/>
                <w:szCs w:val="21"/>
                <w:highlight w:val="none"/>
              </w:rPr>
              <w:t>等数据</w:t>
            </w:r>
            <w:r>
              <w:rPr>
                <w:rFonts w:hint="eastAsia" w:cs="Times New Roman"/>
                <w:color w:val="auto"/>
                <w:sz w:val="21"/>
                <w:szCs w:val="21"/>
                <w:highlight w:val="none"/>
                <w:lang w:val="en-US" w:eastAsia="zh-CN"/>
              </w:rPr>
              <w:t>和</w:t>
            </w:r>
            <w:r>
              <w:rPr>
                <w:rFonts w:hint="default" w:ascii="Times New Roman" w:hAnsi="Times New Roman" w:eastAsia="仿宋_GB2312" w:cs="Times New Roman"/>
                <w:color w:val="auto"/>
                <w:sz w:val="21"/>
                <w:szCs w:val="21"/>
                <w:highlight w:val="none"/>
              </w:rPr>
              <w:t>信息，无错报、漏报、瞒报</w:t>
            </w:r>
            <w:r>
              <w:rPr>
                <w:rFonts w:hint="default" w:ascii="Times New Roman" w:hAnsi="Times New Roman" w:cs="Times New Roman"/>
                <w:color w:val="auto"/>
                <w:sz w:val="21"/>
                <w:szCs w:val="21"/>
                <w:highlight w:val="none"/>
                <w:lang w:eastAsia="zh-CN"/>
              </w:rPr>
              <w:t>的</w:t>
            </w:r>
            <w:r>
              <w:rPr>
                <w:rFonts w:hint="eastAsia"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得</w:t>
            </w:r>
            <w:r>
              <w:rPr>
                <w:rFonts w:hint="eastAsia" w:ascii="Times New Roman" w:hAnsi="Times New Roman" w:cs="Times New Roman"/>
                <w:color w:val="auto"/>
                <w:kern w:val="2"/>
                <w:sz w:val="21"/>
                <w:szCs w:val="21"/>
                <w:highlight w:val="none"/>
                <w:lang w:val="en-US" w:eastAsia="zh-CN" w:bidi="ar-SA"/>
              </w:rPr>
              <w:t>20</w:t>
            </w:r>
            <w:r>
              <w:rPr>
                <w:rFonts w:hint="default" w:ascii="Times New Roman" w:hAnsi="Times New Roman" w:eastAsia="仿宋_GB2312" w:cs="Times New Roman"/>
                <w:color w:val="auto"/>
                <w:sz w:val="21"/>
                <w:szCs w:val="21"/>
                <w:highlight w:val="none"/>
              </w:rPr>
              <w:t>分</w:t>
            </w:r>
            <w:r>
              <w:rPr>
                <w:rFonts w:hint="eastAsia" w:cs="Times New Roman"/>
                <w:color w:val="auto"/>
                <w:sz w:val="21"/>
                <w:szCs w:val="21"/>
                <w:highlight w:val="none"/>
                <w:lang w:eastAsia="zh-CN"/>
              </w:rPr>
              <w:t>。</w:t>
            </w:r>
            <w:r>
              <w:rPr>
                <w:rFonts w:hint="eastAsia" w:ascii="Times New Roman" w:hAnsi="Times New Roman" w:cs="Times New Roman"/>
                <w:color w:val="auto"/>
                <w:sz w:val="21"/>
                <w:szCs w:val="21"/>
                <w:highlight w:val="none"/>
                <w:lang w:eastAsia="zh-CN"/>
              </w:rPr>
              <w:t>不报、</w:t>
            </w:r>
            <w:r>
              <w:rPr>
                <w:rFonts w:hint="default" w:ascii="Times New Roman" w:hAnsi="Times New Roman" w:eastAsia="仿宋_GB2312" w:cs="Times New Roman"/>
                <w:color w:val="auto"/>
                <w:sz w:val="21"/>
                <w:szCs w:val="21"/>
                <w:highlight w:val="none"/>
              </w:rPr>
              <w:t>错报、漏报、瞒报</w:t>
            </w:r>
            <w:r>
              <w:rPr>
                <w:rFonts w:hint="eastAsia" w:cs="Times New Roman"/>
                <w:color w:val="auto"/>
                <w:sz w:val="21"/>
                <w:szCs w:val="21"/>
                <w:highlight w:val="none"/>
                <w:lang w:eastAsia="zh-CN"/>
              </w:rPr>
              <w:t>的</w:t>
            </w:r>
            <w:r>
              <w:rPr>
                <w:rFonts w:hint="default" w:ascii="Times New Roman" w:hAnsi="Times New Roman" w:eastAsia="仿宋_GB2312" w:cs="Times New Roman"/>
                <w:color w:val="auto"/>
                <w:sz w:val="21"/>
                <w:szCs w:val="21"/>
                <w:highlight w:val="none"/>
              </w:rPr>
              <w:t>，酌情扣</w:t>
            </w:r>
            <w:r>
              <w:rPr>
                <w:rFonts w:hint="eastAsia" w:ascii="Times New Roman" w:hAnsi="Times New Roman" w:cs="Times New Roman"/>
                <w:color w:val="auto"/>
                <w:kern w:val="2"/>
                <w:sz w:val="21"/>
                <w:szCs w:val="21"/>
                <w:highlight w:val="none"/>
                <w:lang w:val="en-US" w:eastAsia="zh-CN" w:bidi="ar-SA"/>
              </w:rPr>
              <w:t>1</w:t>
            </w:r>
            <w:r>
              <w:rPr>
                <w:rFonts w:hint="eastAsia" w:ascii="Times New Roman" w:hAnsi="Times New Roman" w:eastAsia="仿宋_GB2312" w:cs="Times New Roman"/>
                <w:color w:val="auto"/>
                <w:kern w:val="2"/>
                <w:sz w:val="21"/>
                <w:szCs w:val="21"/>
                <w:highlight w:val="none"/>
                <w:lang w:val="en-US" w:eastAsia="zh-CN" w:bidi="ar-SA"/>
              </w:rPr>
              <w:t>～</w:t>
            </w:r>
            <w:r>
              <w:rPr>
                <w:rFonts w:hint="eastAsia" w:ascii="Times New Roman" w:hAnsi="Times New Roman" w:cs="Times New Roman"/>
                <w:color w:val="auto"/>
                <w:kern w:val="2"/>
                <w:sz w:val="21"/>
                <w:szCs w:val="21"/>
                <w:highlight w:val="none"/>
                <w:lang w:val="en-US" w:eastAsia="zh-CN" w:bidi="ar-SA"/>
              </w:rPr>
              <w:t>20</w:t>
            </w:r>
            <w:r>
              <w:rPr>
                <w:rFonts w:hint="default" w:ascii="Times New Roman" w:hAnsi="Times New Roman" w:eastAsia="仿宋_GB2312" w:cs="Times New Roman"/>
                <w:color w:val="auto"/>
                <w:sz w:val="21"/>
                <w:szCs w:val="21"/>
                <w:highlight w:val="none"/>
              </w:rPr>
              <w:t>分</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未</w:t>
            </w:r>
            <w:r>
              <w:rPr>
                <w:rFonts w:hint="default" w:ascii="Times New Roman" w:hAnsi="Times New Roman" w:eastAsia="仿宋_GB2312" w:cs="Times New Roman"/>
                <w:color w:val="auto"/>
                <w:sz w:val="21"/>
                <w:szCs w:val="21"/>
                <w:highlight w:val="none"/>
              </w:rPr>
              <w:t>按时</w:t>
            </w:r>
            <w:r>
              <w:rPr>
                <w:rFonts w:hint="eastAsia" w:ascii="Times New Roman" w:hAnsi="Times New Roman" w:cs="Times New Roman"/>
                <w:color w:val="auto"/>
                <w:sz w:val="21"/>
                <w:szCs w:val="21"/>
                <w:highlight w:val="none"/>
                <w:lang w:val="en-US" w:eastAsia="zh-CN"/>
              </w:rPr>
              <w:t>扫描上传</w:t>
            </w:r>
            <w:r>
              <w:rPr>
                <w:rFonts w:hint="default" w:ascii="Times New Roman" w:hAnsi="Times New Roman" w:eastAsia="仿宋_GB2312" w:cs="Times New Roman"/>
                <w:color w:val="auto"/>
                <w:sz w:val="21"/>
                <w:szCs w:val="21"/>
                <w:highlight w:val="none"/>
              </w:rPr>
              <w:t>具有法定资格的会计师事务所出具的年度</w:t>
            </w:r>
            <w:r>
              <w:rPr>
                <w:rFonts w:hint="eastAsia" w:cs="Times New Roman"/>
                <w:color w:val="auto"/>
                <w:sz w:val="21"/>
                <w:szCs w:val="21"/>
                <w:highlight w:val="none"/>
                <w:lang w:eastAsia="zh-CN"/>
              </w:rPr>
              <w:t>财务</w:t>
            </w:r>
            <w:r>
              <w:rPr>
                <w:rFonts w:hint="default" w:ascii="Times New Roman" w:hAnsi="Times New Roman" w:eastAsia="仿宋_GB2312" w:cs="Times New Roman"/>
                <w:color w:val="auto"/>
                <w:sz w:val="21"/>
                <w:szCs w:val="21"/>
                <w:highlight w:val="none"/>
              </w:rPr>
              <w:t>审计报告</w:t>
            </w:r>
            <w:r>
              <w:rPr>
                <w:rFonts w:hint="eastAsia" w:ascii="Times New Roman" w:hAnsi="Times New Roman" w:cs="Times New Roman"/>
                <w:color w:val="auto"/>
                <w:sz w:val="21"/>
                <w:szCs w:val="21"/>
                <w:highlight w:val="none"/>
                <w:lang w:eastAsia="zh-CN"/>
              </w:rPr>
              <w:t>的，</w:t>
            </w:r>
            <w:r>
              <w:rPr>
                <w:rFonts w:hint="eastAsia" w:ascii="Times New Roman" w:hAnsi="Times New Roman" w:cs="Times New Roman"/>
                <w:color w:val="auto"/>
                <w:sz w:val="21"/>
                <w:szCs w:val="21"/>
                <w:highlight w:val="none"/>
                <w:lang w:val="en-US" w:eastAsia="zh-CN"/>
              </w:rPr>
              <w:t>扣5</w:t>
            </w:r>
            <w:r>
              <w:rPr>
                <w:rFonts w:hint="default" w:ascii="Times New Roman" w:hAnsi="Times New Roman" w:eastAsia="仿宋_GB2312" w:cs="Times New Roman"/>
                <w:color w:val="auto"/>
                <w:sz w:val="21"/>
                <w:szCs w:val="21"/>
                <w:highlight w:val="none"/>
              </w:rPr>
              <w:t>分</w:t>
            </w:r>
            <w:r>
              <w:rPr>
                <w:rFonts w:hint="eastAsia" w:ascii="Times New Roman" w:hAnsi="Times New Roman"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eastAsia="zh-CN"/>
              </w:rPr>
              <w:t>连续</w:t>
            </w:r>
            <w:r>
              <w:rPr>
                <w:rFonts w:hint="default" w:ascii="Times New Roman" w:hAnsi="Times New Roman" w:eastAsia="仿宋_GB2312" w:cs="Times New Roman"/>
                <w:color w:val="auto"/>
                <w:sz w:val="21"/>
                <w:szCs w:val="21"/>
                <w:highlight w:val="none"/>
                <w:lang w:val="en-US" w:eastAsia="zh-CN"/>
              </w:rPr>
              <w:t>3个月</w:t>
            </w:r>
            <w:r>
              <w:rPr>
                <w:rFonts w:hint="eastAsia" w:cs="Times New Roman"/>
                <w:color w:val="auto"/>
                <w:sz w:val="21"/>
                <w:szCs w:val="21"/>
                <w:highlight w:val="none"/>
                <w:lang w:val="en-US" w:eastAsia="zh-CN"/>
              </w:rPr>
              <w:t>（含）以上</w:t>
            </w:r>
            <w:r>
              <w:rPr>
                <w:rFonts w:hint="default" w:ascii="Times New Roman" w:hAnsi="Times New Roman" w:eastAsia="仿宋_GB2312" w:cs="Times New Roman"/>
                <w:color w:val="auto"/>
                <w:sz w:val="21"/>
                <w:szCs w:val="21"/>
                <w:highlight w:val="none"/>
                <w:lang w:eastAsia="zh-CN"/>
              </w:rPr>
              <w:t>未按监管要求报送</w:t>
            </w:r>
            <w:r>
              <w:rPr>
                <w:rFonts w:hint="default" w:ascii="Times New Roman" w:hAnsi="Times New Roman" w:eastAsia="仿宋_GB2312" w:cs="Times New Roman"/>
                <w:color w:val="auto"/>
                <w:sz w:val="21"/>
                <w:szCs w:val="21"/>
                <w:highlight w:val="none"/>
              </w:rPr>
              <w:t>数据</w:t>
            </w:r>
            <w:r>
              <w:rPr>
                <w:rFonts w:hint="eastAsia" w:cs="Times New Roman"/>
                <w:color w:val="auto"/>
                <w:sz w:val="21"/>
                <w:szCs w:val="21"/>
                <w:highlight w:val="none"/>
                <w:lang w:val="en-US" w:eastAsia="zh-CN"/>
              </w:rPr>
              <w:t>和</w:t>
            </w:r>
            <w:r>
              <w:rPr>
                <w:rFonts w:hint="default" w:ascii="Times New Roman" w:hAnsi="Times New Roman" w:eastAsia="仿宋_GB2312" w:cs="Times New Roman"/>
                <w:color w:val="auto"/>
                <w:sz w:val="21"/>
                <w:szCs w:val="21"/>
                <w:highlight w:val="none"/>
              </w:rPr>
              <w:t>信息</w:t>
            </w:r>
            <w:r>
              <w:rPr>
                <w:rFonts w:hint="eastAsia" w:cs="Times New Roman"/>
                <w:color w:val="auto"/>
                <w:sz w:val="21"/>
                <w:szCs w:val="21"/>
                <w:highlight w:val="none"/>
                <w:lang w:eastAsia="zh-CN"/>
              </w:rPr>
              <w:t>的，</w:t>
            </w:r>
            <w:r>
              <w:rPr>
                <w:rFonts w:hint="eastAsia" w:ascii="Times New Roman" w:hAnsi="Times New Roman" w:cs="Times New Roman"/>
                <w:i w:val="0"/>
                <w:caps w:val="0"/>
                <w:color w:val="auto"/>
                <w:spacing w:val="0"/>
                <w:kern w:val="2"/>
                <w:sz w:val="21"/>
                <w:szCs w:val="21"/>
                <w:highlight w:val="none"/>
                <w:shd w:val="clear" w:color="auto" w:fill="auto"/>
                <w:lang w:val="en-US" w:eastAsia="zh-CN" w:bidi="ar-SA"/>
              </w:rPr>
              <w:t>该子项</w:t>
            </w:r>
            <w:r>
              <w:rPr>
                <w:rFonts w:hint="eastAsia" w:cs="Times New Roman"/>
                <w:color w:val="auto"/>
                <w:sz w:val="21"/>
                <w:szCs w:val="21"/>
                <w:highlight w:val="none"/>
                <w:lang w:val="en-US" w:eastAsia="zh-CN"/>
              </w:rPr>
              <w:t>不得分，直接评为D级。</w:t>
            </w:r>
          </w:p>
          <w:p w14:paraId="34930878">
            <w:pPr>
              <w:pStyle w:val="2"/>
              <w:ind w:firstLine="420" w:firstLineChars="20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小额贷款公司</w:t>
            </w:r>
            <w:r>
              <w:rPr>
                <w:rFonts w:hint="default" w:ascii="Times New Roman" w:hAnsi="Times New Roman" w:eastAsia="仿宋_GB2312" w:cs="Times New Roman"/>
                <w:color w:val="auto"/>
                <w:kern w:val="2"/>
                <w:sz w:val="21"/>
                <w:szCs w:val="21"/>
                <w:highlight w:val="none"/>
                <w:lang w:val="en-US" w:eastAsia="zh-CN" w:bidi="ar-SA"/>
              </w:rPr>
              <w:t>在经营场所内醒目位置悬挂小额贷款公司经营许可证、营业执照、属地地方金融</w:t>
            </w:r>
            <w:r>
              <w:rPr>
                <w:rFonts w:hint="eastAsia" w:ascii="Times New Roman" w:hAnsi="Times New Roman" w:cs="Times New Roman"/>
                <w:color w:val="auto"/>
                <w:kern w:val="2"/>
                <w:sz w:val="21"/>
                <w:szCs w:val="21"/>
                <w:highlight w:val="none"/>
                <w:lang w:val="en-US" w:eastAsia="zh-CN" w:bidi="ar-SA"/>
              </w:rPr>
              <w:t>管理</w:t>
            </w:r>
            <w:r>
              <w:rPr>
                <w:rFonts w:hint="default" w:ascii="Times New Roman" w:hAnsi="Times New Roman" w:eastAsia="仿宋_GB2312" w:cs="Times New Roman"/>
                <w:color w:val="auto"/>
                <w:kern w:val="2"/>
                <w:sz w:val="21"/>
                <w:szCs w:val="21"/>
                <w:highlight w:val="none"/>
                <w:lang w:val="en-US" w:eastAsia="zh-CN" w:bidi="ar-SA"/>
              </w:rPr>
              <w:t>部门监督电话以及严格遵守《</w:t>
            </w:r>
            <w:r>
              <w:rPr>
                <w:rFonts w:hint="eastAsia" w:ascii="Times New Roman" w:hAnsi="Times New Roman" w:cs="Times New Roman"/>
                <w:color w:val="auto"/>
                <w:kern w:val="2"/>
                <w:sz w:val="21"/>
                <w:szCs w:val="21"/>
                <w:highlight w:val="none"/>
                <w:lang w:val="en-US" w:eastAsia="zh-CN" w:bidi="ar-SA"/>
              </w:rPr>
              <w:t>中华人民共和国公司法</w:t>
            </w:r>
            <w:r>
              <w:rPr>
                <w:rFonts w:hint="default" w:ascii="Times New Roman" w:hAnsi="Times New Roman" w:eastAsia="仿宋_GB2312" w:cs="Times New Roman"/>
                <w:color w:val="auto"/>
                <w:kern w:val="2"/>
                <w:sz w:val="21"/>
                <w:szCs w:val="21"/>
                <w:highlight w:val="none"/>
                <w:lang w:val="en-US" w:eastAsia="zh-CN" w:bidi="ar-SA"/>
              </w:rPr>
              <w:t>》、诚实守信、不参与非法集资、不吸收公众存款、不违规经营等公开承诺标示牌</w:t>
            </w:r>
            <w:r>
              <w:rPr>
                <w:rFonts w:hint="eastAsia" w:ascii="Times New Roman" w:hAnsi="Times New Roman" w:cs="Times New Roman"/>
                <w:color w:val="auto"/>
                <w:kern w:val="2"/>
                <w:sz w:val="21"/>
                <w:szCs w:val="21"/>
                <w:highlight w:val="none"/>
                <w:lang w:val="en-US" w:eastAsia="zh-CN" w:bidi="ar-SA"/>
              </w:rPr>
              <w:t>的，得10分。否则缺一项扣5分，扣完10分为止。</w:t>
            </w:r>
          </w:p>
        </w:tc>
        <w:tc>
          <w:tcPr>
            <w:tcW w:w="798" w:type="dxa"/>
            <w:noWrap w:val="0"/>
            <w:vAlign w:val="top"/>
          </w:tcPr>
          <w:p w14:paraId="1CF34095">
            <w:pPr>
              <w:spacing w:line="540" w:lineRule="exact"/>
              <w:rPr>
                <w:rFonts w:hint="default" w:ascii="Times New Roman" w:hAnsi="Times New Roman" w:eastAsia="方正仿宋_GBK" w:cs="Times New Roman"/>
                <w:color w:val="auto"/>
                <w:sz w:val="32"/>
                <w:szCs w:val="32"/>
                <w:highlight w:val="none"/>
              </w:rPr>
            </w:pPr>
          </w:p>
        </w:tc>
        <w:tc>
          <w:tcPr>
            <w:tcW w:w="715" w:type="dxa"/>
            <w:noWrap w:val="0"/>
            <w:vAlign w:val="top"/>
          </w:tcPr>
          <w:p w14:paraId="0EE7E164">
            <w:pPr>
              <w:spacing w:line="540" w:lineRule="exact"/>
              <w:rPr>
                <w:rFonts w:hint="default" w:ascii="Times New Roman" w:hAnsi="Times New Roman" w:eastAsia="方正仿宋_GBK" w:cs="Times New Roman"/>
                <w:color w:val="auto"/>
                <w:sz w:val="32"/>
                <w:szCs w:val="32"/>
                <w:highlight w:val="none"/>
              </w:rPr>
            </w:pPr>
          </w:p>
        </w:tc>
      </w:tr>
      <w:tr w14:paraId="636A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1138" w:type="dxa"/>
            <w:vMerge w:val="continue"/>
            <w:noWrap w:val="0"/>
            <w:vAlign w:val="center"/>
          </w:tcPr>
          <w:p w14:paraId="20EFB555">
            <w:pPr>
              <w:spacing w:line="400" w:lineRule="exact"/>
              <w:jc w:val="left"/>
              <w:rPr>
                <w:rFonts w:hint="default" w:ascii="Times New Roman" w:hAnsi="Times New Roman" w:eastAsia="黑体" w:cs="Times New Roman"/>
                <w:color w:val="auto"/>
                <w:sz w:val="28"/>
                <w:szCs w:val="28"/>
                <w:highlight w:val="none"/>
              </w:rPr>
            </w:pPr>
          </w:p>
        </w:tc>
        <w:tc>
          <w:tcPr>
            <w:tcW w:w="1398" w:type="dxa"/>
            <w:noWrap w:val="0"/>
            <w:vAlign w:val="center"/>
          </w:tcPr>
          <w:p w14:paraId="5C4E65EA">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outlineLvl w:val="9"/>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（1</w:t>
            </w:r>
            <w:r>
              <w:rPr>
                <w:rFonts w:hint="eastAsia" w:eastAsia="楷体_GB2312" w:cs="Times New Roman"/>
                <w:b/>
                <w:bCs/>
                <w:color w:val="auto"/>
                <w:sz w:val="24"/>
                <w:szCs w:val="24"/>
                <w:highlight w:val="none"/>
                <w:lang w:val="en-US" w:eastAsia="zh-CN"/>
              </w:rPr>
              <w:t>4</w:t>
            </w:r>
            <w:r>
              <w:rPr>
                <w:rFonts w:hint="default" w:ascii="Times New Roman" w:hAnsi="Times New Roman" w:eastAsia="楷体_GB2312" w:cs="Times New Roman"/>
                <w:b/>
                <w:bCs/>
                <w:color w:val="auto"/>
                <w:sz w:val="24"/>
                <w:szCs w:val="24"/>
                <w:highlight w:val="none"/>
              </w:rPr>
              <w:t>）关联贷款</w:t>
            </w:r>
          </w:p>
        </w:tc>
        <w:tc>
          <w:tcPr>
            <w:tcW w:w="506" w:type="dxa"/>
            <w:noWrap w:val="0"/>
            <w:vAlign w:val="center"/>
          </w:tcPr>
          <w:p w14:paraId="075AEEEC">
            <w:pPr>
              <w:jc w:val="center"/>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10</w:t>
            </w:r>
          </w:p>
        </w:tc>
        <w:tc>
          <w:tcPr>
            <w:tcW w:w="9741" w:type="dxa"/>
            <w:noWrap w:val="0"/>
            <w:vAlign w:val="center"/>
          </w:tcPr>
          <w:p w14:paraId="08263B12">
            <w:pPr>
              <w:keepNext w:val="0"/>
              <w:keepLines w:val="0"/>
              <w:widowControl/>
              <w:suppressLineNumbers w:val="0"/>
              <w:ind w:firstLine="420" w:firstLineChars="200"/>
              <w:jc w:val="left"/>
              <w:rPr>
                <w:rFonts w:hint="default" w:ascii="Times New Roman" w:hAnsi="Times New Roman" w:eastAsia="仿宋_GB2312" w:cs="Times New Roman"/>
                <w:i w:val="0"/>
                <w:caps w:val="0"/>
                <w:color w:val="auto"/>
                <w:spacing w:val="0"/>
                <w:kern w:val="0"/>
                <w:sz w:val="21"/>
                <w:szCs w:val="21"/>
                <w:highlight w:val="none"/>
                <w:shd w:val="clear" w:color="auto" w:fill="auto"/>
              </w:rPr>
            </w:pPr>
            <w:r>
              <w:rPr>
                <w:rFonts w:ascii="Times New Roman" w:hAnsi="Times New Roman" w:eastAsia="仿宋_GB2312" w:cs="Times New Roman"/>
                <w:i w:val="0"/>
                <w:caps w:val="0"/>
                <w:color w:val="auto"/>
                <w:spacing w:val="0"/>
                <w:kern w:val="0"/>
                <w:sz w:val="21"/>
                <w:szCs w:val="21"/>
                <w:highlight w:val="none"/>
                <w:shd w:val="clear" w:color="auto" w:fill="auto"/>
              </w:rPr>
              <w:t>小额贷款公司</w:t>
            </w:r>
            <w:r>
              <w:rPr>
                <w:rFonts w:hint="default" w:ascii="Times New Roman" w:hAnsi="Times New Roman" w:eastAsia="仿宋_GB2312" w:cs="Times New Roman"/>
                <w:i w:val="0"/>
                <w:caps w:val="0"/>
                <w:color w:val="auto"/>
                <w:spacing w:val="0"/>
                <w:kern w:val="0"/>
                <w:sz w:val="21"/>
                <w:szCs w:val="21"/>
                <w:highlight w:val="none"/>
                <w:shd w:val="clear" w:color="auto" w:fill="auto"/>
              </w:rPr>
              <w:t>开展关联交易</w:t>
            </w:r>
            <w:r>
              <w:rPr>
                <w:rFonts w:hint="eastAsia" w:cs="Times New Roman"/>
                <w:i w:val="0"/>
                <w:caps w:val="0"/>
                <w:color w:val="auto"/>
                <w:spacing w:val="0"/>
                <w:kern w:val="0"/>
                <w:sz w:val="21"/>
                <w:szCs w:val="21"/>
                <w:highlight w:val="none"/>
                <w:shd w:val="clear" w:color="auto" w:fill="auto"/>
                <w:lang w:val="en-US" w:eastAsia="zh-CN"/>
              </w:rPr>
              <w:t>应</w:t>
            </w:r>
            <w:r>
              <w:rPr>
                <w:rFonts w:hint="default" w:ascii="Times New Roman" w:hAnsi="Times New Roman" w:eastAsia="仿宋_GB2312" w:cs="Times New Roman"/>
                <w:i w:val="0"/>
                <w:caps w:val="0"/>
                <w:color w:val="auto"/>
                <w:spacing w:val="0"/>
                <w:kern w:val="0"/>
                <w:sz w:val="21"/>
                <w:szCs w:val="21"/>
                <w:highlight w:val="none"/>
                <w:shd w:val="clear" w:color="auto" w:fill="auto"/>
              </w:rPr>
              <w:t>遵守法律法规和有关监管规定，严格按照诚实信用、公开公允、穿透识别、结构清晰及商业原则，不优于对非关联方同类交易条件</w:t>
            </w:r>
            <w:r>
              <w:rPr>
                <w:rFonts w:hint="default" w:ascii="Times New Roman" w:hAnsi="Times New Roman" w:cs="Times New Roman"/>
                <w:i w:val="0"/>
                <w:caps w:val="0"/>
                <w:color w:val="auto"/>
                <w:spacing w:val="0"/>
                <w:kern w:val="0"/>
                <w:sz w:val="21"/>
                <w:szCs w:val="21"/>
                <w:highlight w:val="none"/>
                <w:shd w:val="clear" w:color="auto" w:fill="auto"/>
              </w:rPr>
              <w:t>；重大关联交易经股东会或董事会批准，并按要求在会计报表附注中披露关联方及关联交易等信息的，得10分。</w:t>
            </w:r>
          </w:p>
          <w:p w14:paraId="00DFA526">
            <w:pPr>
              <w:keepNext w:val="0"/>
              <w:keepLines w:val="0"/>
              <w:widowControl w:val="0"/>
              <w:numPr>
                <w:ilvl w:val="0"/>
                <w:numId w:val="0"/>
              </w:numPr>
              <w:suppressLineNumbers w:val="0"/>
              <w:snapToGrid w:val="0"/>
              <w:ind w:firstLine="420" w:firstLineChars="200"/>
              <w:jc w:val="left"/>
              <w:rPr>
                <w:rFonts w:hint="default" w:ascii="Times New Roman" w:hAnsi="Times New Roman" w:cs="Times New Roman"/>
                <w:i w:val="0"/>
                <w:caps w:val="0"/>
                <w:color w:val="auto"/>
                <w:spacing w:val="0"/>
                <w:kern w:val="2"/>
                <w:sz w:val="21"/>
                <w:szCs w:val="21"/>
                <w:highlight w:val="none"/>
                <w:shd w:val="clear" w:color="auto" w:fill="auto"/>
                <w:lang w:val="en-US" w:eastAsia="zh-CN" w:bidi="ar"/>
              </w:rPr>
            </w:pPr>
            <w:r>
              <w:rPr>
                <w:rFonts w:hint="default" w:ascii="Times New Roman" w:hAnsi="Times New Roman" w:cs="Times New Roman"/>
                <w:i w:val="0"/>
                <w:caps w:val="0"/>
                <w:color w:val="auto"/>
                <w:spacing w:val="0"/>
                <w:kern w:val="2"/>
                <w:sz w:val="21"/>
                <w:szCs w:val="21"/>
                <w:highlight w:val="none"/>
                <w:shd w:val="clear" w:color="auto" w:fill="auto"/>
                <w:lang w:val="en-US" w:eastAsia="zh-CN" w:bidi="ar"/>
              </w:rPr>
              <w:t>1.关联贷款利率低于</w:t>
            </w:r>
            <w:r>
              <w:rPr>
                <w:rFonts w:hint="default" w:ascii="Times New Roman" w:hAnsi="Times New Roman" w:eastAsia="仿宋_GB2312" w:cs="Times New Roman"/>
                <w:color w:val="auto"/>
                <w:sz w:val="21"/>
                <w:szCs w:val="21"/>
                <w:highlight w:val="none"/>
              </w:rPr>
              <w:t>全区行业平均利率</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发现一笔扣2分，扣完10分为止</w:t>
            </w:r>
            <w:r>
              <w:rPr>
                <w:rFonts w:hint="eastAsia" w:cs="Times New Roman"/>
                <w:i w:val="0"/>
                <w:caps w:val="0"/>
                <w:color w:val="auto"/>
                <w:spacing w:val="0"/>
                <w:kern w:val="2"/>
                <w:sz w:val="21"/>
                <w:szCs w:val="21"/>
                <w:highlight w:val="none"/>
                <w:shd w:val="clear" w:color="auto" w:fill="auto"/>
                <w:lang w:val="en-US" w:eastAsia="zh-CN" w:bidi="ar"/>
              </w:rPr>
              <w:t>。</w:t>
            </w:r>
          </w:p>
          <w:p w14:paraId="2AC11D18">
            <w:pPr>
              <w:keepNext w:val="0"/>
              <w:keepLines w:val="0"/>
              <w:widowControl w:val="0"/>
              <w:numPr>
                <w:ilvl w:val="0"/>
                <w:numId w:val="0"/>
              </w:numPr>
              <w:suppressLineNumbers w:val="0"/>
              <w:snapToGrid w:val="0"/>
              <w:ind w:firstLine="420" w:firstLineChars="200"/>
              <w:jc w:val="left"/>
              <w:rPr>
                <w:rFonts w:hint="default" w:ascii="Times New Roman" w:hAnsi="Times New Roman" w:cs="Times New Roman"/>
                <w:i w:val="0"/>
                <w:caps w:val="0"/>
                <w:color w:val="auto"/>
                <w:spacing w:val="0"/>
                <w:kern w:val="2"/>
                <w:sz w:val="21"/>
                <w:szCs w:val="21"/>
                <w:highlight w:val="none"/>
                <w:shd w:val="clear" w:color="auto" w:fill="auto"/>
                <w:lang w:val="en-US" w:eastAsia="zh-CN" w:bidi="ar"/>
              </w:rPr>
            </w:pPr>
            <w:r>
              <w:rPr>
                <w:rFonts w:hint="default" w:ascii="Times New Roman" w:hAnsi="Times New Roman" w:cs="Times New Roman"/>
                <w:i w:val="0"/>
                <w:caps w:val="0"/>
                <w:color w:val="auto"/>
                <w:spacing w:val="0"/>
                <w:kern w:val="2"/>
                <w:sz w:val="21"/>
                <w:szCs w:val="21"/>
                <w:highlight w:val="none"/>
                <w:shd w:val="clear" w:color="auto" w:fill="auto"/>
                <w:lang w:val="en-US" w:eastAsia="zh-CN" w:bidi="ar"/>
              </w:rPr>
              <w:t>2.</w:t>
            </w:r>
            <w:r>
              <w:rPr>
                <w:rFonts w:hint="default" w:ascii="Times New Roman" w:hAnsi="Times New Roman" w:eastAsia="仿宋_GB2312" w:cs="Times New Roman"/>
                <w:i w:val="0"/>
                <w:caps w:val="0"/>
                <w:color w:val="auto"/>
                <w:spacing w:val="0"/>
                <w:kern w:val="2"/>
                <w:sz w:val="21"/>
                <w:szCs w:val="21"/>
                <w:highlight w:val="none"/>
                <w:shd w:val="clear" w:color="auto" w:fill="auto"/>
                <w:lang w:val="en-US" w:eastAsia="zh-CN" w:bidi="ar"/>
              </w:rPr>
              <w:t>小额贷款公司对其股东及股东关联方的贷款余额超过该股东入股金额</w:t>
            </w:r>
            <w:r>
              <w:rPr>
                <w:rFonts w:hint="default" w:ascii="Times New Roman" w:hAnsi="Times New Roman" w:cs="Times New Roman"/>
                <w:i w:val="0"/>
                <w:caps w:val="0"/>
                <w:color w:val="auto"/>
                <w:spacing w:val="0"/>
                <w:kern w:val="2"/>
                <w:sz w:val="21"/>
                <w:szCs w:val="21"/>
                <w:highlight w:val="none"/>
                <w:shd w:val="clear" w:color="auto" w:fill="auto"/>
                <w:lang w:val="en-US" w:eastAsia="zh-CN" w:bidi="ar"/>
              </w:rPr>
              <w:t>的，</w:t>
            </w:r>
            <w:r>
              <w:rPr>
                <w:rFonts w:hint="eastAsia" w:cs="Times New Roman"/>
                <w:i w:val="0"/>
                <w:caps w:val="0"/>
                <w:color w:val="auto"/>
                <w:spacing w:val="0"/>
                <w:kern w:val="2"/>
                <w:sz w:val="21"/>
                <w:szCs w:val="21"/>
                <w:highlight w:val="none"/>
                <w:shd w:val="clear" w:color="auto" w:fill="auto"/>
                <w:lang w:val="en-US" w:eastAsia="zh-CN" w:bidi="ar"/>
              </w:rPr>
              <w:t>该项</w:t>
            </w:r>
            <w:r>
              <w:rPr>
                <w:rFonts w:hint="default" w:ascii="Times New Roman" w:hAnsi="Times New Roman" w:cs="Times New Roman"/>
                <w:i w:val="0"/>
                <w:caps w:val="0"/>
                <w:color w:val="auto"/>
                <w:spacing w:val="0"/>
                <w:kern w:val="2"/>
                <w:sz w:val="21"/>
                <w:szCs w:val="21"/>
                <w:highlight w:val="none"/>
                <w:shd w:val="clear" w:color="auto" w:fill="auto"/>
                <w:lang w:val="en-US" w:eastAsia="zh-CN" w:bidi="ar"/>
              </w:rPr>
              <w:t>不得分</w:t>
            </w:r>
            <w:r>
              <w:rPr>
                <w:rFonts w:hint="eastAsia" w:cs="Times New Roman"/>
                <w:i w:val="0"/>
                <w:caps w:val="0"/>
                <w:color w:val="auto"/>
                <w:spacing w:val="0"/>
                <w:kern w:val="2"/>
                <w:sz w:val="21"/>
                <w:szCs w:val="21"/>
                <w:highlight w:val="none"/>
                <w:shd w:val="clear" w:color="auto" w:fill="auto"/>
                <w:lang w:val="en-US" w:eastAsia="zh-CN" w:bidi="ar"/>
              </w:rPr>
              <w:t>。</w:t>
            </w:r>
          </w:p>
          <w:p w14:paraId="0BD60633">
            <w:pPr>
              <w:keepNext w:val="0"/>
              <w:keepLines w:val="0"/>
              <w:widowControl w:val="0"/>
              <w:numPr>
                <w:ilvl w:val="0"/>
                <w:numId w:val="0"/>
              </w:numPr>
              <w:suppressLineNumbers w:val="0"/>
              <w:snapToGrid w:val="0"/>
              <w:ind w:firstLine="420" w:firstLineChars="200"/>
              <w:jc w:val="left"/>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kern w:val="2"/>
                <w:sz w:val="21"/>
                <w:szCs w:val="21"/>
                <w:highlight w:val="none"/>
                <w:shd w:val="clear" w:color="auto" w:fill="auto"/>
                <w:lang w:val="en-US" w:eastAsia="zh-CN" w:bidi="ar"/>
              </w:rPr>
              <w:t>3.重大关联交易未经股东会或董事会批准的，发现一笔扣2分，扣完10分</w:t>
            </w:r>
            <w:r>
              <w:rPr>
                <w:rFonts w:hint="eastAsia" w:ascii="Times New Roman" w:hAnsi="Times New Roman" w:cs="Times New Roman"/>
                <w:color w:val="auto"/>
                <w:kern w:val="2"/>
                <w:sz w:val="21"/>
                <w:szCs w:val="21"/>
                <w:highlight w:val="none"/>
                <w:shd w:val="clear" w:color="auto" w:fill="auto"/>
                <w:lang w:val="en-US" w:eastAsia="zh-CN" w:bidi="ar"/>
              </w:rPr>
              <w:t>为</w:t>
            </w:r>
            <w:r>
              <w:rPr>
                <w:rFonts w:hint="default" w:ascii="Times New Roman" w:hAnsi="Times New Roman" w:cs="Times New Roman"/>
                <w:color w:val="auto"/>
                <w:kern w:val="2"/>
                <w:sz w:val="21"/>
                <w:szCs w:val="21"/>
                <w:highlight w:val="none"/>
                <w:shd w:val="clear" w:color="auto" w:fill="auto"/>
                <w:lang w:val="en-US" w:eastAsia="zh-CN" w:bidi="ar"/>
              </w:rPr>
              <w:t>止</w:t>
            </w:r>
            <w:r>
              <w:rPr>
                <w:rFonts w:hint="eastAsia" w:cs="Times New Roman"/>
                <w:color w:val="auto"/>
                <w:kern w:val="2"/>
                <w:sz w:val="21"/>
                <w:szCs w:val="21"/>
                <w:highlight w:val="none"/>
                <w:shd w:val="clear" w:color="auto" w:fill="auto"/>
                <w:lang w:val="en-US" w:eastAsia="zh-CN" w:bidi="ar"/>
              </w:rPr>
              <w:t>。</w:t>
            </w:r>
          </w:p>
          <w:p w14:paraId="16AB32F2">
            <w:pPr>
              <w:pStyle w:val="2"/>
              <w:ind w:firstLine="420" w:firstLineChars="200"/>
              <w:rPr>
                <w:rFonts w:hint="default" w:ascii="Times New Roman" w:hAnsi="Times New Roman" w:eastAsia="仿宋_GB2312" w:cs="Times New Roman"/>
                <w:b/>
                <w:bCs/>
                <w:color w:val="auto"/>
                <w:sz w:val="21"/>
                <w:szCs w:val="21"/>
                <w:highlight w:val="none"/>
              </w:rPr>
            </w:pPr>
            <w:r>
              <w:rPr>
                <w:rFonts w:hint="default" w:ascii="Times New Roman" w:hAnsi="Times New Roman" w:cs="Times New Roman"/>
                <w:color w:val="auto"/>
                <w:sz w:val="21"/>
                <w:szCs w:val="21"/>
                <w:highlight w:val="none"/>
                <w:lang w:val="en-US" w:eastAsia="zh-CN"/>
              </w:rPr>
              <w:t>4.</w:t>
            </w:r>
            <w:r>
              <w:rPr>
                <w:rFonts w:hint="eastAsia" w:cs="Times New Roman"/>
                <w:color w:val="auto"/>
                <w:sz w:val="21"/>
                <w:szCs w:val="21"/>
                <w:highlight w:val="none"/>
                <w:lang w:val="en-US" w:eastAsia="zh-CN"/>
              </w:rPr>
              <w:t>未在会计报表附注中披露关联方及关联交易等信息的，</w:t>
            </w:r>
            <w:r>
              <w:rPr>
                <w:rFonts w:hint="default" w:ascii="Times New Roman" w:hAnsi="Times New Roman" w:cs="Times New Roman"/>
                <w:color w:val="auto"/>
                <w:kern w:val="2"/>
                <w:sz w:val="21"/>
                <w:szCs w:val="21"/>
                <w:highlight w:val="none"/>
                <w:lang w:val="en-US" w:eastAsia="zh-CN" w:bidi="ar"/>
              </w:rPr>
              <w:t>扣5分</w:t>
            </w:r>
            <w:r>
              <w:rPr>
                <w:rFonts w:hint="eastAsia" w:cs="Times New Roman"/>
                <w:color w:val="auto"/>
                <w:sz w:val="21"/>
                <w:szCs w:val="21"/>
                <w:highlight w:val="none"/>
                <w:lang w:val="en-US" w:eastAsia="zh-CN"/>
              </w:rPr>
              <w:t>。</w:t>
            </w:r>
          </w:p>
        </w:tc>
        <w:tc>
          <w:tcPr>
            <w:tcW w:w="798" w:type="dxa"/>
            <w:noWrap w:val="0"/>
            <w:vAlign w:val="top"/>
          </w:tcPr>
          <w:p w14:paraId="5E0F7469">
            <w:pPr>
              <w:spacing w:line="540" w:lineRule="exact"/>
              <w:rPr>
                <w:rFonts w:hint="default" w:ascii="Times New Roman" w:hAnsi="Times New Roman" w:eastAsia="方正仿宋_GBK" w:cs="Times New Roman"/>
                <w:color w:val="auto"/>
                <w:sz w:val="32"/>
                <w:szCs w:val="32"/>
                <w:highlight w:val="none"/>
              </w:rPr>
            </w:pPr>
          </w:p>
        </w:tc>
        <w:tc>
          <w:tcPr>
            <w:tcW w:w="715" w:type="dxa"/>
            <w:noWrap w:val="0"/>
            <w:vAlign w:val="top"/>
          </w:tcPr>
          <w:p w14:paraId="1551C385">
            <w:pPr>
              <w:spacing w:line="540" w:lineRule="exact"/>
              <w:rPr>
                <w:rFonts w:hint="default" w:ascii="Times New Roman" w:hAnsi="Times New Roman" w:eastAsia="方正仿宋_GBK" w:cs="Times New Roman"/>
                <w:color w:val="auto"/>
                <w:sz w:val="32"/>
                <w:szCs w:val="32"/>
                <w:highlight w:val="none"/>
              </w:rPr>
            </w:pPr>
          </w:p>
        </w:tc>
      </w:tr>
      <w:tr w14:paraId="1375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9" w:hRule="atLeast"/>
          <w:jc w:val="center"/>
        </w:trPr>
        <w:tc>
          <w:tcPr>
            <w:tcW w:w="1138" w:type="dxa"/>
            <w:vMerge w:val="restart"/>
            <w:noWrap w:val="0"/>
            <w:vAlign w:val="center"/>
          </w:tcPr>
          <w:p w14:paraId="36A714F4">
            <w:pPr>
              <w:spacing w:line="400" w:lineRule="exact"/>
              <w:jc w:val="center"/>
              <w:rPr>
                <w:rFonts w:hint="default" w:ascii="Times New Roman" w:hAnsi="Times New Roman" w:eastAsia="黑体" w:cs="Times New Roman"/>
                <w:color w:val="auto"/>
                <w:sz w:val="28"/>
                <w:szCs w:val="28"/>
                <w:highlight w:val="none"/>
              </w:rPr>
            </w:pPr>
          </w:p>
          <w:p w14:paraId="42DBE01C">
            <w:pPr>
              <w:spacing w:line="400" w:lineRule="exact"/>
              <w:jc w:val="center"/>
              <w:rPr>
                <w:rFonts w:hint="default" w:ascii="Times New Roman" w:hAnsi="Times New Roman" w:eastAsia="黑体" w:cs="Times New Roman"/>
                <w:color w:val="auto"/>
                <w:sz w:val="28"/>
                <w:szCs w:val="28"/>
                <w:highlight w:val="none"/>
              </w:rPr>
            </w:pPr>
          </w:p>
          <w:p w14:paraId="26038DB3">
            <w:pPr>
              <w:spacing w:line="400" w:lineRule="exact"/>
              <w:jc w:val="center"/>
              <w:rPr>
                <w:rFonts w:hint="default" w:ascii="Times New Roman" w:hAnsi="Times New Roman" w:eastAsia="黑体" w:cs="Times New Roman"/>
                <w:color w:val="auto"/>
                <w:sz w:val="28"/>
                <w:szCs w:val="28"/>
                <w:highlight w:val="none"/>
              </w:rPr>
            </w:pPr>
          </w:p>
          <w:p w14:paraId="6C2FA39E">
            <w:pPr>
              <w:spacing w:line="40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三、</w:t>
            </w:r>
          </w:p>
          <w:p w14:paraId="348F4931">
            <w:pPr>
              <w:spacing w:line="40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经营</w:t>
            </w:r>
          </w:p>
          <w:p w14:paraId="049A8517">
            <w:pPr>
              <w:spacing w:line="40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能力</w:t>
            </w:r>
          </w:p>
          <w:p w14:paraId="196F559F">
            <w:pPr>
              <w:spacing w:line="40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lang w:eastAsia="zh-CN"/>
              </w:rPr>
              <w:t>（</w:t>
            </w:r>
            <w:r>
              <w:rPr>
                <w:rFonts w:hint="default" w:ascii="Times New Roman" w:hAnsi="Times New Roman" w:eastAsia="黑体" w:cs="Times New Roman"/>
                <w:color w:val="auto"/>
                <w:sz w:val="28"/>
                <w:szCs w:val="28"/>
                <w:highlight w:val="none"/>
                <w:lang w:val="en-US" w:eastAsia="zh-CN"/>
              </w:rPr>
              <w:t>4</w:t>
            </w:r>
            <w:r>
              <w:rPr>
                <w:rFonts w:hint="eastAsia" w:eastAsia="黑体" w:cs="Times New Roman"/>
                <w:color w:val="auto"/>
                <w:sz w:val="28"/>
                <w:szCs w:val="28"/>
                <w:highlight w:val="none"/>
                <w:lang w:val="en-US" w:eastAsia="zh-CN"/>
              </w:rPr>
              <w:t>5</w:t>
            </w:r>
            <w:r>
              <w:rPr>
                <w:rFonts w:hint="default" w:ascii="Times New Roman" w:hAnsi="Times New Roman" w:eastAsia="黑体" w:cs="Times New Roman"/>
                <w:color w:val="auto"/>
                <w:sz w:val="28"/>
                <w:szCs w:val="28"/>
                <w:highlight w:val="none"/>
              </w:rPr>
              <w:t>分）</w:t>
            </w:r>
          </w:p>
          <w:p w14:paraId="2E894610">
            <w:pPr>
              <w:spacing w:line="400" w:lineRule="exact"/>
              <w:jc w:val="both"/>
              <w:rPr>
                <w:rFonts w:hint="default" w:ascii="Times New Roman" w:hAnsi="Times New Roman" w:eastAsia="黑体" w:cs="Times New Roman"/>
                <w:color w:val="auto"/>
                <w:sz w:val="24"/>
                <w:szCs w:val="24"/>
                <w:highlight w:val="none"/>
              </w:rPr>
            </w:pPr>
          </w:p>
          <w:p w14:paraId="06FDF0C6">
            <w:pPr>
              <w:spacing w:line="400" w:lineRule="exact"/>
              <w:jc w:val="center"/>
              <w:rPr>
                <w:rFonts w:hint="default" w:ascii="Times New Roman" w:hAnsi="Times New Roman" w:eastAsia="黑体" w:cs="Times New Roman"/>
                <w:color w:val="auto"/>
                <w:sz w:val="28"/>
                <w:szCs w:val="28"/>
                <w:highlight w:val="none"/>
              </w:rPr>
            </w:pPr>
          </w:p>
        </w:tc>
        <w:tc>
          <w:tcPr>
            <w:tcW w:w="1398" w:type="dxa"/>
            <w:noWrap w:val="0"/>
            <w:vAlign w:val="center"/>
          </w:tcPr>
          <w:p w14:paraId="7F7AB99F">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outlineLvl w:val="9"/>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（1</w:t>
            </w:r>
            <w:r>
              <w:rPr>
                <w:rFonts w:hint="eastAsia" w:eastAsia="楷体_GB2312" w:cs="Times New Roman"/>
                <w:b/>
                <w:bCs/>
                <w:color w:val="auto"/>
                <w:sz w:val="24"/>
                <w:szCs w:val="24"/>
                <w:highlight w:val="none"/>
                <w:lang w:val="en-US" w:eastAsia="zh-CN"/>
              </w:rPr>
              <w:t>5</w:t>
            </w:r>
            <w:r>
              <w:rPr>
                <w:rFonts w:hint="default" w:ascii="Times New Roman" w:hAnsi="Times New Roman" w:eastAsia="楷体_GB2312" w:cs="Times New Roman"/>
                <w:b/>
                <w:bCs/>
                <w:color w:val="auto"/>
                <w:sz w:val="24"/>
                <w:szCs w:val="24"/>
                <w:highlight w:val="none"/>
              </w:rPr>
              <w:t>）资本实力</w:t>
            </w:r>
          </w:p>
        </w:tc>
        <w:tc>
          <w:tcPr>
            <w:tcW w:w="506" w:type="dxa"/>
            <w:noWrap w:val="0"/>
            <w:vAlign w:val="center"/>
          </w:tcPr>
          <w:p w14:paraId="22DBD866">
            <w:pPr>
              <w:jc w:val="center"/>
              <w:rPr>
                <w:rFonts w:hint="default" w:ascii="Times New Roman" w:hAnsi="Times New Roman" w:eastAsia="宋体" w:cs="Times New Roman"/>
                <w:b/>
                <w:bCs/>
                <w:color w:val="auto"/>
                <w:sz w:val="24"/>
                <w:szCs w:val="24"/>
                <w:highlight w:val="none"/>
                <w:lang w:val="en-US" w:eastAsia="zh-CN"/>
              </w:rPr>
            </w:pPr>
            <w:r>
              <w:rPr>
                <w:rFonts w:hint="eastAsia" w:eastAsia="宋体" w:cs="Times New Roman"/>
                <w:b/>
                <w:bCs/>
                <w:color w:val="auto"/>
                <w:sz w:val="24"/>
                <w:szCs w:val="24"/>
                <w:highlight w:val="none"/>
                <w:lang w:val="en-US" w:eastAsia="zh-CN"/>
              </w:rPr>
              <w:t>15</w:t>
            </w:r>
          </w:p>
        </w:tc>
        <w:tc>
          <w:tcPr>
            <w:tcW w:w="9741" w:type="dxa"/>
            <w:noWrap w:val="0"/>
            <w:vAlign w:val="center"/>
          </w:tcPr>
          <w:p w14:paraId="1D1A3F1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firstLine="420" w:firstLineChars="20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小额贷款公司应满足最低注册资本规定：</w:t>
            </w:r>
            <w:r>
              <w:rPr>
                <w:rFonts w:hint="default" w:ascii="Times New Roman" w:hAnsi="Times New Roman" w:cs="Times New Roman"/>
                <w:color w:val="auto"/>
                <w:sz w:val="21"/>
                <w:szCs w:val="21"/>
                <w:highlight w:val="none"/>
                <w:lang w:val="en-US" w:eastAsia="zh-CN"/>
              </w:rPr>
              <w:t>在设区市城区的有限责任公司注册资本不低于4000万元人民币，股份有限公司注册资本不低于6000万元人民币；在县（市）的有限责任公司注册资本不低于2000万元人民币，股份有限公司注册资本不低于4000万元人民币。</w:t>
            </w:r>
          </w:p>
          <w:p w14:paraId="4ABC466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firstLine="420" w:firstLineChars="200"/>
              <w:textAlignment w:val="auto"/>
              <w:rPr>
                <w:rFonts w:hint="default" w:ascii="Times New Roman" w:hAnsi="Times New Roman" w:eastAsia="仿宋_GB2312" w:cs="Times New Roman"/>
                <w:color w:val="auto"/>
                <w:sz w:val="21"/>
                <w:szCs w:val="21"/>
                <w:highlight w:val="none"/>
              </w:rPr>
            </w:pPr>
            <w:r>
              <w:rPr>
                <w:rFonts w:hint="eastAsia" w:cs="Times New Roman"/>
                <w:color w:val="auto"/>
                <w:sz w:val="21"/>
                <w:szCs w:val="21"/>
                <w:highlight w:val="none"/>
                <w:lang w:val="en-US" w:eastAsia="zh-CN"/>
              </w:rPr>
              <w:t>达到</w:t>
            </w:r>
            <w:r>
              <w:rPr>
                <w:rFonts w:hint="default" w:ascii="Times New Roman" w:hAnsi="Times New Roman" w:cs="Times New Roman"/>
                <w:color w:val="auto"/>
                <w:sz w:val="21"/>
                <w:szCs w:val="21"/>
                <w:highlight w:val="none"/>
                <w:lang w:val="en-US" w:eastAsia="zh-CN"/>
              </w:rPr>
              <w:t>最低注册资本要求</w:t>
            </w:r>
            <w:r>
              <w:rPr>
                <w:rFonts w:hint="eastAsia" w:cs="Times New Roman"/>
                <w:color w:val="auto"/>
                <w:sz w:val="21"/>
                <w:szCs w:val="21"/>
                <w:highlight w:val="none"/>
                <w:lang w:val="en-US" w:eastAsia="zh-CN"/>
              </w:rPr>
              <w:t>的，</w:t>
            </w:r>
            <w:r>
              <w:rPr>
                <w:rFonts w:hint="default" w:ascii="Times New Roman" w:hAnsi="Times New Roman" w:cs="Times New Roman"/>
                <w:color w:val="auto"/>
                <w:sz w:val="21"/>
                <w:szCs w:val="21"/>
                <w:highlight w:val="none"/>
                <w:lang w:val="en-US" w:eastAsia="zh-CN"/>
              </w:rPr>
              <w:t>得</w:t>
            </w:r>
            <w:r>
              <w:rPr>
                <w:rFonts w:hint="eastAsia" w:cs="Times New Roman"/>
                <w:color w:val="auto"/>
                <w:sz w:val="21"/>
                <w:szCs w:val="21"/>
                <w:highlight w:val="none"/>
                <w:lang w:val="en-US" w:eastAsia="zh-CN"/>
              </w:rPr>
              <w:t>15</w:t>
            </w:r>
            <w:r>
              <w:rPr>
                <w:rFonts w:hint="default" w:ascii="Times New Roman" w:hAnsi="Times New Roman" w:cs="Times New Roman"/>
                <w:color w:val="auto"/>
                <w:sz w:val="21"/>
                <w:szCs w:val="21"/>
                <w:highlight w:val="none"/>
                <w:lang w:val="en-US" w:eastAsia="zh-CN"/>
              </w:rPr>
              <w:t>分</w:t>
            </w:r>
            <w:r>
              <w:rPr>
                <w:rFonts w:hint="eastAsia" w:cs="Times New Roman"/>
                <w:color w:val="auto"/>
                <w:sz w:val="21"/>
                <w:szCs w:val="21"/>
                <w:highlight w:val="none"/>
                <w:lang w:val="en-US" w:eastAsia="zh-CN"/>
              </w:rPr>
              <w:t>；每低于最低</w:t>
            </w:r>
            <w:r>
              <w:rPr>
                <w:rFonts w:hint="default" w:ascii="Times New Roman" w:hAnsi="Times New Roman" w:cs="Times New Roman"/>
                <w:color w:val="auto"/>
                <w:sz w:val="21"/>
                <w:szCs w:val="21"/>
                <w:highlight w:val="none"/>
                <w:lang w:val="en-US" w:eastAsia="zh-CN"/>
              </w:rPr>
              <w:t>注册资本</w:t>
            </w:r>
            <w:r>
              <w:rPr>
                <w:rFonts w:hint="eastAsia" w:cs="Times New Roman"/>
                <w:color w:val="auto"/>
                <w:sz w:val="21"/>
                <w:szCs w:val="21"/>
                <w:highlight w:val="none"/>
                <w:lang w:val="en-US" w:eastAsia="zh-CN"/>
              </w:rPr>
              <w:t>要求10</w:t>
            </w:r>
            <w:r>
              <w:rPr>
                <w:rFonts w:hint="eastAsia"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的扣3分（不足10%的按10%计算），扣完15分为止。</w:t>
            </w:r>
          </w:p>
        </w:tc>
        <w:tc>
          <w:tcPr>
            <w:tcW w:w="798" w:type="dxa"/>
            <w:noWrap w:val="0"/>
            <w:vAlign w:val="top"/>
          </w:tcPr>
          <w:p w14:paraId="6963DFA3">
            <w:pPr>
              <w:spacing w:line="540" w:lineRule="exact"/>
              <w:rPr>
                <w:rFonts w:hint="default" w:ascii="Times New Roman" w:hAnsi="Times New Roman" w:eastAsia="方正仿宋_GBK" w:cs="Times New Roman"/>
                <w:color w:val="auto"/>
                <w:sz w:val="32"/>
                <w:szCs w:val="32"/>
                <w:highlight w:val="none"/>
              </w:rPr>
            </w:pPr>
          </w:p>
        </w:tc>
        <w:tc>
          <w:tcPr>
            <w:tcW w:w="715" w:type="dxa"/>
            <w:noWrap w:val="0"/>
            <w:vAlign w:val="top"/>
          </w:tcPr>
          <w:p w14:paraId="0F4C99D6">
            <w:pPr>
              <w:spacing w:line="540" w:lineRule="exact"/>
              <w:rPr>
                <w:rFonts w:hint="default" w:ascii="Times New Roman" w:hAnsi="Times New Roman" w:eastAsia="方正仿宋_GBK" w:cs="Times New Roman"/>
                <w:b/>
                <w:bCs/>
                <w:color w:val="auto"/>
                <w:sz w:val="18"/>
                <w:szCs w:val="18"/>
                <w:highlight w:val="none"/>
              </w:rPr>
            </w:pPr>
          </w:p>
        </w:tc>
      </w:tr>
      <w:tr w14:paraId="2398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1138" w:type="dxa"/>
            <w:vMerge w:val="continue"/>
            <w:noWrap w:val="0"/>
            <w:vAlign w:val="top"/>
          </w:tcPr>
          <w:p w14:paraId="257B9DC8">
            <w:pPr>
              <w:spacing w:line="400" w:lineRule="exact"/>
              <w:jc w:val="left"/>
              <w:rPr>
                <w:rFonts w:hint="default" w:ascii="Times New Roman" w:hAnsi="Times New Roman" w:eastAsia="黑体" w:cs="Times New Roman"/>
                <w:color w:val="auto"/>
                <w:sz w:val="28"/>
                <w:szCs w:val="28"/>
                <w:highlight w:val="none"/>
              </w:rPr>
            </w:pPr>
          </w:p>
        </w:tc>
        <w:tc>
          <w:tcPr>
            <w:tcW w:w="1398" w:type="dxa"/>
            <w:noWrap w:val="0"/>
            <w:vAlign w:val="center"/>
          </w:tcPr>
          <w:p w14:paraId="54187D4C">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outlineLvl w:val="9"/>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（1</w:t>
            </w:r>
            <w:r>
              <w:rPr>
                <w:rFonts w:hint="eastAsia" w:eastAsia="楷体_GB2312" w:cs="Times New Roman"/>
                <w:b/>
                <w:bCs/>
                <w:color w:val="auto"/>
                <w:sz w:val="24"/>
                <w:szCs w:val="24"/>
                <w:highlight w:val="none"/>
                <w:lang w:val="en-US" w:eastAsia="zh-CN"/>
              </w:rPr>
              <w:t>6</w:t>
            </w:r>
            <w:r>
              <w:rPr>
                <w:rFonts w:hint="default" w:ascii="Times New Roman" w:hAnsi="Times New Roman" w:eastAsia="楷体_GB2312" w:cs="Times New Roman"/>
                <w:b/>
                <w:bCs/>
                <w:color w:val="auto"/>
                <w:sz w:val="24"/>
                <w:szCs w:val="24"/>
                <w:highlight w:val="none"/>
              </w:rPr>
              <w:t>）信贷资产周转率</w:t>
            </w:r>
          </w:p>
        </w:tc>
        <w:tc>
          <w:tcPr>
            <w:tcW w:w="506" w:type="dxa"/>
            <w:noWrap w:val="0"/>
            <w:vAlign w:val="center"/>
          </w:tcPr>
          <w:p w14:paraId="30E4CB21">
            <w:pPr>
              <w:jc w:val="center"/>
              <w:rPr>
                <w:rFonts w:hint="eastAsia" w:ascii="Times New Roman" w:hAnsi="Times New Roman" w:eastAsia="宋体" w:cs="Times New Roman"/>
                <w:b/>
                <w:bCs/>
                <w:color w:val="auto"/>
                <w:sz w:val="24"/>
                <w:szCs w:val="24"/>
                <w:highlight w:val="none"/>
                <w:lang w:val="en-US" w:eastAsia="zh-CN"/>
              </w:rPr>
            </w:pPr>
            <w:r>
              <w:rPr>
                <w:rFonts w:hint="eastAsia" w:eastAsia="宋体" w:cs="Times New Roman"/>
                <w:b/>
                <w:bCs/>
                <w:color w:val="auto"/>
                <w:sz w:val="24"/>
                <w:szCs w:val="24"/>
                <w:highlight w:val="none"/>
                <w:lang w:val="en-US" w:eastAsia="zh-CN"/>
              </w:rPr>
              <w:t>10</w:t>
            </w:r>
          </w:p>
        </w:tc>
        <w:tc>
          <w:tcPr>
            <w:tcW w:w="9741" w:type="dxa"/>
            <w:noWrap w:val="0"/>
            <w:vAlign w:val="center"/>
          </w:tcPr>
          <w:p w14:paraId="18675DB5">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textAlignment w:val="auto"/>
              <w:rPr>
                <w:rFonts w:hint="eastAsia"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信贷资产周转率达到</w:t>
            </w:r>
            <w:r>
              <w:rPr>
                <w:rFonts w:hint="eastAsia" w:cs="Times New Roman"/>
                <w:color w:val="auto"/>
                <w:sz w:val="21"/>
                <w:szCs w:val="21"/>
                <w:highlight w:val="none"/>
                <w:lang w:val="en-US" w:eastAsia="zh-CN"/>
              </w:rPr>
              <w:t>70</w:t>
            </w:r>
            <w:r>
              <w:rPr>
                <w:rFonts w:hint="default" w:ascii="Times New Roman" w:hAnsi="Times New Roman" w:eastAsia="仿宋_GB2312" w:cs="Times New Roman"/>
                <w:color w:val="auto"/>
                <w:sz w:val="21"/>
                <w:szCs w:val="21"/>
                <w:highlight w:val="none"/>
              </w:rPr>
              <w:t>%（含）以上的得</w:t>
            </w:r>
            <w:r>
              <w:rPr>
                <w:rFonts w:hint="eastAsia" w:cs="Times New Roman"/>
                <w:color w:val="auto"/>
                <w:sz w:val="21"/>
                <w:szCs w:val="21"/>
                <w:highlight w:val="none"/>
                <w:lang w:val="en-US" w:eastAsia="zh-CN"/>
              </w:rPr>
              <w:t>10</w:t>
            </w:r>
            <w:r>
              <w:rPr>
                <w:rFonts w:hint="default" w:ascii="Times New Roman" w:hAnsi="Times New Roman" w:eastAsia="仿宋_GB2312" w:cs="Times New Roman"/>
                <w:color w:val="auto"/>
                <w:sz w:val="21"/>
                <w:szCs w:val="21"/>
                <w:highlight w:val="none"/>
              </w:rPr>
              <w:t>分；</w:t>
            </w:r>
            <w:r>
              <w:rPr>
                <w:rFonts w:hint="eastAsia" w:cs="Times New Roman"/>
                <w:color w:val="auto"/>
                <w:sz w:val="21"/>
                <w:szCs w:val="21"/>
                <w:highlight w:val="none"/>
                <w:lang w:val="en-US" w:eastAsia="zh-CN"/>
              </w:rPr>
              <w:t>每下降10个百分点扣2分（不足10个百分点的按10个百分点计算），扣完10分为止。</w:t>
            </w:r>
          </w:p>
          <w:p w14:paraId="3D9B547A">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val="en-US" w:eastAsia="zh-CN"/>
              </w:rPr>
              <w:t>当年没有新增发放贷款的得0分。</w:t>
            </w:r>
          </w:p>
          <w:p w14:paraId="66327633">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注：1.信贷资产周转率=当年累计发放贷款/平均净资产×100%；2.当年累计发放贷款不包括借新还旧贷款</w:t>
            </w:r>
            <w:r>
              <w:rPr>
                <w:rFonts w:hint="eastAsia" w:cs="Times New Roman"/>
                <w:color w:val="auto"/>
                <w:sz w:val="21"/>
                <w:szCs w:val="21"/>
                <w:highlight w:val="none"/>
                <w:lang w:val="en-US" w:eastAsia="zh-CN"/>
              </w:rPr>
              <w:t>。</w:t>
            </w:r>
          </w:p>
        </w:tc>
        <w:tc>
          <w:tcPr>
            <w:tcW w:w="798" w:type="dxa"/>
            <w:noWrap w:val="0"/>
            <w:vAlign w:val="top"/>
          </w:tcPr>
          <w:p w14:paraId="15AB1239">
            <w:pPr>
              <w:spacing w:line="540" w:lineRule="exact"/>
              <w:rPr>
                <w:rFonts w:hint="default" w:ascii="Times New Roman" w:hAnsi="Times New Roman" w:eastAsia="方正仿宋_GBK" w:cs="Times New Roman"/>
                <w:color w:val="auto"/>
                <w:sz w:val="32"/>
                <w:szCs w:val="32"/>
                <w:highlight w:val="none"/>
              </w:rPr>
            </w:pPr>
          </w:p>
        </w:tc>
        <w:tc>
          <w:tcPr>
            <w:tcW w:w="715" w:type="dxa"/>
            <w:noWrap w:val="0"/>
            <w:vAlign w:val="top"/>
          </w:tcPr>
          <w:p w14:paraId="397AE561">
            <w:pPr>
              <w:spacing w:line="540" w:lineRule="exact"/>
              <w:rPr>
                <w:rFonts w:hint="default"/>
                <w:color w:val="auto"/>
                <w:highlight w:val="none"/>
              </w:rPr>
            </w:pPr>
          </w:p>
          <w:p w14:paraId="61E42432">
            <w:pPr>
              <w:pStyle w:val="2"/>
              <w:rPr>
                <w:rFonts w:hint="default" w:ascii="Times New Roman" w:hAnsi="Times New Roman" w:eastAsia="仿宋_GB2312" w:cs="Times New Roman"/>
                <w:color w:val="auto"/>
                <w:sz w:val="32"/>
                <w:szCs w:val="24"/>
                <w:highlight w:val="none"/>
              </w:rPr>
            </w:pPr>
          </w:p>
        </w:tc>
      </w:tr>
      <w:tr w14:paraId="3E51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1138" w:type="dxa"/>
            <w:vMerge w:val="continue"/>
            <w:noWrap w:val="0"/>
            <w:vAlign w:val="center"/>
          </w:tcPr>
          <w:p w14:paraId="692A2954">
            <w:pPr>
              <w:spacing w:line="400" w:lineRule="exact"/>
              <w:jc w:val="left"/>
              <w:rPr>
                <w:rFonts w:hint="default" w:ascii="Times New Roman" w:hAnsi="Times New Roman" w:eastAsia="黑体" w:cs="Times New Roman"/>
                <w:color w:val="auto"/>
                <w:sz w:val="28"/>
                <w:szCs w:val="28"/>
                <w:highlight w:val="none"/>
              </w:rPr>
            </w:pPr>
          </w:p>
        </w:tc>
        <w:tc>
          <w:tcPr>
            <w:tcW w:w="1398" w:type="dxa"/>
            <w:noWrap w:val="0"/>
            <w:vAlign w:val="center"/>
          </w:tcPr>
          <w:p w14:paraId="76DD6507">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outlineLvl w:val="9"/>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（1</w:t>
            </w:r>
            <w:r>
              <w:rPr>
                <w:rFonts w:hint="eastAsia" w:eastAsia="楷体_GB2312" w:cs="Times New Roman"/>
                <w:b/>
                <w:bCs/>
                <w:color w:val="auto"/>
                <w:sz w:val="24"/>
                <w:szCs w:val="24"/>
                <w:highlight w:val="none"/>
                <w:lang w:val="en-US" w:eastAsia="zh-CN"/>
              </w:rPr>
              <w:t>7</w:t>
            </w:r>
            <w:r>
              <w:rPr>
                <w:rFonts w:hint="default" w:ascii="Times New Roman" w:hAnsi="Times New Roman" w:eastAsia="楷体_GB2312" w:cs="Times New Roman"/>
                <w:b/>
                <w:bCs/>
                <w:color w:val="auto"/>
                <w:sz w:val="24"/>
                <w:szCs w:val="24"/>
                <w:highlight w:val="none"/>
              </w:rPr>
              <w:t>）贷款期限结构</w:t>
            </w:r>
          </w:p>
        </w:tc>
        <w:tc>
          <w:tcPr>
            <w:tcW w:w="506" w:type="dxa"/>
            <w:noWrap w:val="0"/>
            <w:vAlign w:val="center"/>
          </w:tcPr>
          <w:p w14:paraId="08809A5A">
            <w:pPr>
              <w:jc w:val="center"/>
              <w:rPr>
                <w:rFonts w:hint="default" w:ascii="Times New Roman" w:hAnsi="Times New Roman" w:eastAsia="宋体" w:cs="Times New Roman"/>
                <w:b/>
                <w:bCs/>
                <w:color w:val="auto"/>
                <w:sz w:val="24"/>
                <w:szCs w:val="24"/>
                <w:highlight w:val="none"/>
                <w:lang w:val="en-US" w:eastAsia="zh-CN"/>
              </w:rPr>
            </w:pPr>
            <w:r>
              <w:rPr>
                <w:rFonts w:hint="eastAsia" w:eastAsia="宋体" w:cs="Times New Roman"/>
                <w:b/>
                <w:bCs/>
                <w:color w:val="auto"/>
                <w:sz w:val="24"/>
                <w:szCs w:val="24"/>
                <w:highlight w:val="none"/>
                <w:lang w:val="en-US" w:eastAsia="zh-CN"/>
              </w:rPr>
              <w:t>10</w:t>
            </w:r>
          </w:p>
        </w:tc>
        <w:tc>
          <w:tcPr>
            <w:tcW w:w="9741" w:type="dxa"/>
            <w:noWrap w:val="0"/>
            <w:vAlign w:val="center"/>
          </w:tcPr>
          <w:p w14:paraId="786F6097">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textAlignment w:val="auto"/>
              <w:rPr>
                <w:rFonts w:hint="eastAsia"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当年累计发放期限为</w:t>
            </w:r>
            <w:r>
              <w:rPr>
                <w:rFonts w:hint="eastAsia" w:cs="Times New Roman"/>
                <w:color w:val="auto"/>
                <w:sz w:val="21"/>
                <w:szCs w:val="21"/>
                <w:highlight w:val="none"/>
                <w:lang w:val="en-US" w:eastAsia="zh-CN"/>
              </w:rPr>
              <w:t>1年</w:t>
            </w:r>
            <w:r>
              <w:rPr>
                <w:rFonts w:hint="default" w:ascii="Times New Roman" w:hAnsi="Times New Roman" w:eastAsia="仿宋_GB2312" w:cs="Times New Roman"/>
                <w:color w:val="auto"/>
                <w:sz w:val="21"/>
                <w:szCs w:val="21"/>
                <w:highlight w:val="none"/>
              </w:rPr>
              <w:t>（含）以内的贷款金额占当年累计发放贷款</w:t>
            </w:r>
            <w:r>
              <w:rPr>
                <w:rFonts w:hint="eastAsia" w:cs="Times New Roman"/>
                <w:color w:val="auto"/>
                <w:sz w:val="21"/>
                <w:szCs w:val="21"/>
                <w:highlight w:val="none"/>
                <w:lang w:val="en-US" w:eastAsia="zh-CN"/>
              </w:rPr>
              <w:t>总额</w:t>
            </w:r>
            <w:r>
              <w:rPr>
                <w:rFonts w:hint="default" w:ascii="Times New Roman" w:hAnsi="Times New Roman" w:eastAsia="仿宋_GB2312" w:cs="Times New Roman"/>
                <w:color w:val="auto"/>
                <w:sz w:val="21"/>
                <w:szCs w:val="21"/>
                <w:highlight w:val="none"/>
              </w:rPr>
              <w:t>的比重，达到60%（含）以上的得</w:t>
            </w:r>
            <w:r>
              <w:rPr>
                <w:rFonts w:hint="eastAsia" w:cs="Times New Roman"/>
                <w:color w:val="auto"/>
                <w:sz w:val="21"/>
                <w:szCs w:val="21"/>
                <w:highlight w:val="none"/>
                <w:lang w:val="en-US" w:eastAsia="zh-CN"/>
              </w:rPr>
              <w:t>10</w:t>
            </w:r>
            <w:r>
              <w:rPr>
                <w:rFonts w:hint="default" w:ascii="Times New Roman" w:hAnsi="Times New Roman" w:eastAsia="仿宋_GB2312" w:cs="Times New Roman"/>
                <w:color w:val="auto"/>
                <w:sz w:val="21"/>
                <w:szCs w:val="21"/>
                <w:highlight w:val="none"/>
              </w:rPr>
              <w:t>分</w:t>
            </w:r>
            <w:r>
              <w:rPr>
                <w:rFonts w:hint="eastAsia"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50%（含）～60%的得</w:t>
            </w:r>
            <w:r>
              <w:rPr>
                <w:rFonts w:hint="eastAsia" w:cs="Times New Roman"/>
                <w:color w:val="auto"/>
                <w:sz w:val="21"/>
                <w:szCs w:val="21"/>
                <w:highlight w:val="none"/>
                <w:lang w:val="en-US" w:eastAsia="zh-CN"/>
              </w:rPr>
              <w:t>8</w:t>
            </w:r>
            <w:r>
              <w:rPr>
                <w:rFonts w:hint="default" w:ascii="Times New Roman" w:hAnsi="Times New Roman" w:eastAsia="仿宋_GB2312" w:cs="Times New Roman"/>
                <w:color w:val="auto"/>
                <w:sz w:val="21"/>
                <w:szCs w:val="21"/>
                <w:highlight w:val="none"/>
              </w:rPr>
              <w:t>分</w:t>
            </w:r>
            <w:r>
              <w:rPr>
                <w:rFonts w:hint="eastAsia"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40%</w:t>
            </w:r>
            <w:r>
              <w:rPr>
                <w:rFonts w:hint="eastAsia"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含</w:t>
            </w:r>
            <w:r>
              <w:rPr>
                <w:rFonts w:hint="eastAsia"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～50%的得</w:t>
            </w:r>
            <w:r>
              <w:rPr>
                <w:rFonts w:hint="eastAsia" w:cs="Times New Roman"/>
                <w:color w:val="auto"/>
                <w:sz w:val="21"/>
                <w:szCs w:val="21"/>
                <w:highlight w:val="none"/>
                <w:lang w:val="en-US" w:eastAsia="zh-CN"/>
              </w:rPr>
              <w:t>6</w:t>
            </w:r>
            <w:r>
              <w:rPr>
                <w:rFonts w:hint="default" w:ascii="Times New Roman" w:hAnsi="Times New Roman" w:eastAsia="仿宋_GB2312" w:cs="Times New Roman"/>
                <w:color w:val="auto"/>
                <w:sz w:val="21"/>
                <w:szCs w:val="21"/>
                <w:highlight w:val="none"/>
              </w:rPr>
              <w:t>分</w:t>
            </w:r>
            <w:r>
              <w:rPr>
                <w:rFonts w:hint="eastAsia"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30%（含）～40%的得</w:t>
            </w:r>
            <w:r>
              <w:rPr>
                <w:rFonts w:hint="eastAsia" w:cs="Times New Roman"/>
                <w:color w:val="auto"/>
                <w:sz w:val="21"/>
                <w:szCs w:val="21"/>
                <w:highlight w:val="none"/>
                <w:lang w:val="en-US" w:eastAsia="zh-CN"/>
              </w:rPr>
              <w:t>4</w:t>
            </w:r>
            <w:r>
              <w:rPr>
                <w:rFonts w:hint="default" w:ascii="Times New Roman" w:hAnsi="Times New Roman" w:eastAsia="仿宋_GB2312" w:cs="Times New Roman"/>
                <w:color w:val="auto"/>
                <w:sz w:val="21"/>
                <w:szCs w:val="21"/>
                <w:highlight w:val="none"/>
              </w:rPr>
              <w:t>分</w:t>
            </w:r>
            <w:r>
              <w:rPr>
                <w:rFonts w:hint="eastAsia"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低于30%</w:t>
            </w:r>
            <w:r>
              <w:rPr>
                <w:rFonts w:hint="eastAsia" w:cs="Times New Roman"/>
                <w:color w:val="auto"/>
                <w:sz w:val="21"/>
                <w:szCs w:val="21"/>
                <w:highlight w:val="none"/>
                <w:lang w:val="en-US" w:eastAsia="zh-CN"/>
              </w:rPr>
              <w:t>的</w:t>
            </w:r>
            <w:r>
              <w:rPr>
                <w:rFonts w:hint="default" w:ascii="Times New Roman" w:hAnsi="Times New Roman" w:eastAsia="仿宋_GB2312" w:cs="Times New Roman"/>
                <w:color w:val="auto"/>
                <w:sz w:val="21"/>
                <w:szCs w:val="21"/>
                <w:highlight w:val="none"/>
              </w:rPr>
              <w:t>得0分</w:t>
            </w:r>
            <w:r>
              <w:rPr>
                <w:rFonts w:hint="eastAsia" w:cs="Times New Roman"/>
                <w:color w:val="auto"/>
                <w:sz w:val="21"/>
                <w:szCs w:val="21"/>
                <w:highlight w:val="none"/>
                <w:lang w:eastAsia="zh-CN"/>
              </w:rPr>
              <w:t>。</w:t>
            </w:r>
          </w:p>
          <w:p w14:paraId="4BE351E6">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当年没有新增发放贷款</w:t>
            </w:r>
            <w:r>
              <w:rPr>
                <w:rFonts w:hint="eastAsia" w:cs="Times New Roman"/>
                <w:color w:val="auto"/>
                <w:sz w:val="21"/>
                <w:szCs w:val="21"/>
                <w:highlight w:val="none"/>
                <w:lang w:val="en-US" w:eastAsia="zh-CN"/>
              </w:rPr>
              <w:t>的</w:t>
            </w:r>
            <w:r>
              <w:rPr>
                <w:rFonts w:hint="default" w:ascii="Times New Roman" w:hAnsi="Times New Roman" w:eastAsia="仿宋_GB2312" w:cs="Times New Roman"/>
                <w:color w:val="auto"/>
                <w:sz w:val="21"/>
                <w:szCs w:val="21"/>
                <w:highlight w:val="none"/>
                <w:lang w:val="en-US" w:eastAsia="zh-CN"/>
              </w:rPr>
              <w:t>得0分。</w:t>
            </w:r>
          </w:p>
          <w:p w14:paraId="3896B608">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注：当年累计发放贷款不包括借新还旧贷款</w:t>
            </w:r>
            <w:r>
              <w:rPr>
                <w:rFonts w:hint="eastAsia" w:cs="Times New Roman"/>
                <w:color w:val="auto"/>
                <w:sz w:val="21"/>
                <w:szCs w:val="21"/>
                <w:highlight w:val="none"/>
                <w:lang w:eastAsia="zh-CN"/>
              </w:rPr>
              <w:t>。</w:t>
            </w:r>
          </w:p>
        </w:tc>
        <w:tc>
          <w:tcPr>
            <w:tcW w:w="798" w:type="dxa"/>
            <w:noWrap w:val="0"/>
            <w:vAlign w:val="top"/>
          </w:tcPr>
          <w:p w14:paraId="2F8EAAC8">
            <w:pPr>
              <w:spacing w:line="540" w:lineRule="exact"/>
              <w:rPr>
                <w:rFonts w:hint="default" w:ascii="Times New Roman" w:hAnsi="Times New Roman" w:eastAsia="方正仿宋_GBK" w:cs="Times New Roman"/>
                <w:color w:val="auto"/>
                <w:sz w:val="32"/>
                <w:szCs w:val="32"/>
                <w:highlight w:val="none"/>
              </w:rPr>
            </w:pPr>
          </w:p>
        </w:tc>
        <w:tc>
          <w:tcPr>
            <w:tcW w:w="715" w:type="dxa"/>
            <w:noWrap w:val="0"/>
            <w:vAlign w:val="top"/>
          </w:tcPr>
          <w:p w14:paraId="6F87020B">
            <w:pPr>
              <w:spacing w:line="540" w:lineRule="exact"/>
              <w:rPr>
                <w:rFonts w:hint="default" w:ascii="Times New Roman" w:hAnsi="Times New Roman" w:eastAsia="方正仿宋_GBK" w:cs="Times New Roman"/>
                <w:color w:val="auto"/>
                <w:sz w:val="32"/>
                <w:szCs w:val="32"/>
                <w:highlight w:val="none"/>
              </w:rPr>
            </w:pPr>
          </w:p>
        </w:tc>
      </w:tr>
      <w:tr w14:paraId="1A90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138" w:type="dxa"/>
            <w:vMerge w:val="continue"/>
            <w:noWrap w:val="0"/>
            <w:vAlign w:val="top"/>
          </w:tcPr>
          <w:p w14:paraId="7DE99091">
            <w:pPr>
              <w:spacing w:line="400" w:lineRule="exact"/>
              <w:jc w:val="left"/>
              <w:rPr>
                <w:rFonts w:hint="default" w:ascii="Times New Roman" w:hAnsi="Times New Roman" w:eastAsia="黑体" w:cs="Times New Roman"/>
                <w:color w:val="auto"/>
                <w:sz w:val="28"/>
                <w:szCs w:val="28"/>
                <w:highlight w:val="none"/>
              </w:rPr>
            </w:pPr>
          </w:p>
        </w:tc>
        <w:tc>
          <w:tcPr>
            <w:tcW w:w="1398" w:type="dxa"/>
            <w:noWrap w:val="0"/>
            <w:vAlign w:val="center"/>
          </w:tcPr>
          <w:p w14:paraId="3099D3C5">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outlineLvl w:val="9"/>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w:t>
            </w:r>
            <w:r>
              <w:rPr>
                <w:rFonts w:hint="default" w:ascii="Times New Roman" w:hAnsi="Times New Roman" w:eastAsia="楷体_GB2312" w:cs="Times New Roman"/>
                <w:b/>
                <w:bCs/>
                <w:color w:val="auto"/>
                <w:sz w:val="24"/>
                <w:szCs w:val="24"/>
                <w:highlight w:val="none"/>
                <w:lang w:eastAsia="zh-CN"/>
              </w:rPr>
              <w:t>1</w:t>
            </w:r>
            <w:r>
              <w:rPr>
                <w:rFonts w:hint="eastAsia" w:eastAsia="楷体_GB2312" w:cs="Times New Roman"/>
                <w:b/>
                <w:bCs/>
                <w:color w:val="auto"/>
                <w:sz w:val="24"/>
                <w:szCs w:val="24"/>
                <w:highlight w:val="none"/>
                <w:lang w:val="en-US" w:eastAsia="zh-CN"/>
              </w:rPr>
              <w:t>8</w:t>
            </w:r>
            <w:r>
              <w:rPr>
                <w:rFonts w:hint="default" w:ascii="Times New Roman" w:hAnsi="Times New Roman" w:eastAsia="楷体_GB2312" w:cs="Times New Roman"/>
                <w:b/>
                <w:bCs/>
                <w:color w:val="auto"/>
                <w:sz w:val="24"/>
                <w:szCs w:val="24"/>
                <w:highlight w:val="none"/>
              </w:rPr>
              <w:t>）资本收益率</w:t>
            </w:r>
          </w:p>
        </w:tc>
        <w:tc>
          <w:tcPr>
            <w:tcW w:w="506" w:type="dxa"/>
            <w:noWrap w:val="0"/>
            <w:vAlign w:val="center"/>
          </w:tcPr>
          <w:p w14:paraId="12B7A683">
            <w:pPr>
              <w:jc w:val="center"/>
              <w:rPr>
                <w:rFonts w:hint="default" w:ascii="Times New Roman" w:hAnsi="Times New Roman" w:eastAsia="宋体" w:cs="Times New Roman"/>
                <w:b/>
                <w:bCs/>
                <w:color w:val="auto"/>
                <w:sz w:val="24"/>
                <w:szCs w:val="24"/>
                <w:highlight w:val="none"/>
                <w:lang w:val="en-US" w:eastAsia="zh-CN"/>
              </w:rPr>
            </w:pPr>
            <w:r>
              <w:rPr>
                <w:rFonts w:hint="eastAsia" w:eastAsia="宋体" w:cs="Times New Roman"/>
                <w:b/>
                <w:bCs/>
                <w:color w:val="auto"/>
                <w:sz w:val="24"/>
                <w:szCs w:val="24"/>
                <w:highlight w:val="none"/>
                <w:lang w:val="en-US" w:eastAsia="zh-CN"/>
              </w:rPr>
              <w:t>5</w:t>
            </w:r>
          </w:p>
        </w:tc>
        <w:tc>
          <w:tcPr>
            <w:tcW w:w="9741" w:type="dxa"/>
            <w:noWrap w:val="0"/>
            <w:vAlign w:val="center"/>
          </w:tcPr>
          <w:p w14:paraId="6F403FC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200"/>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当年实现盈利</w:t>
            </w:r>
            <w:r>
              <w:rPr>
                <w:rFonts w:hint="eastAsia" w:cs="Times New Roman"/>
                <w:color w:val="auto"/>
                <w:sz w:val="21"/>
                <w:szCs w:val="21"/>
                <w:highlight w:val="none"/>
                <w:lang w:eastAsia="zh-CN"/>
              </w:rPr>
              <w:t>（资本收益率</w:t>
            </w:r>
            <w:r>
              <w:rPr>
                <w:rFonts w:hint="eastAsia" w:ascii="仿宋_GB2312" w:hAnsi="仿宋_GB2312" w:eastAsia="仿宋_GB2312" w:cs="仿宋_GB2312"/>
                <w:color w:val="auto"/>
                <w:sz w:val="21"/>
                <w:szCs w:val="21"/>
                <w:highlight w:val="none"/>
                <w:lang w:eastAsia="zh-CN"/>
              </w:rPr>
              <w:t>&gt;</w:t>
            </w:r>
            <w:r>
              <w:rPr>
                <w:rFonts w:hint="eastAsia" w:ascii="仿宋_GB2312" w:hAnsi="仿宋_GB2312" w:cs="仿宋_GB2312"/>
                <w:color w:val="auto"/>
                <w:sz w:val="21"/>
                <w:szCs w:val="21"/>
                <w:highlight w:val="none"/>
                <w:lang w:val="en-US" w:eastAsia="zh-CN"/>
              </w:rPr>
              <w:t>0</w:t>
            </w:r>
            <w:r>
              <w:rPr>
                <w:rFonts w:hint="eastAsia"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eastAsia="zh-CN"/>
              </w:rPr>
              <w:t>的得</w:t>
            </w:r>
            <w:r>
              <w:rPr>
                <w:rFonts w:hint="eastAsia"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lang w:val="en-US" w:eastAsia="zh-CN"/>
              </w:rPr>
              <w:t>分</w:t>
            </w:r>
            <w:r>
              <w:rPr>
                <w:rFonts w:hint="default" w:ascii="Times New Roman" w:hAnsi="Times New Roman" w:eastAsia="仿宋_GB2312" w:cs="Times New Roman"/>
                <w:color w:val="auto"/>
                <w:sz w:val="21"/>
                <w:szCs w:val="21"/>
                <w:highlight w:val="none"/>
                <w:lang w:eastAsia="zh-CN"/>
              </w:rPr>
              <w:t>。</w:t>
            </w:r>
          </w:p>
          <w:p w14:paraId="101C8EDA">
            <w:pPr>
              <w:keepNext w:val="0"/>
              <w:keepLines w:val="0"/>
              <w:pageBreakBefore w:val="0"/>
              <w:widowControl w:val="0"/>
              <w:kinsoku/>
              <w:wordWrap/>
              <w:overflowPunct/>
              <w:topLinePunct w:val="0"/>
              <w:autoSpaceDE/>
              <w:autoSpaceDN/>
              <w:bidi w:val="0"/>
              <w:adjustRightInd/>
              <w:snapToGrid w:val="0"/>
              <w:spacing w:line="240" w:lineRule="auto"/>
              <w:ind w:left="273" w:leftChars="130" w:right="0" w:rightChars="0"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注：资本收益率=净利润/平均净资产×100%</w:t>
            </w:r>
            <w:r>
              <w:rPr>
                <w:rFonts w:hint="eastAsia" w:cs="Times New Roman"/>
                <w:color w:val="auto"/>
                <w:sz w:val="21"/>
                <w:szCs w:val="21"/>
                <w:highlight w:val="none"/>
                <w:lang w:eastAsia="zh-CN"/>
              </w:rPr>
              <w:t>。</w:t>
            </w:r>
          </w:p>
        </w:tc>
        <w:tc>
          <w:tcPr>
            <w:tcW w:w="798" w:type="dxa"/>
            <w:noWrap w:val="0"/>
            <w:vAlign w:val="top"/>
          </w:tcPr>
          <w:p w14:paraId="53775BA1">
            <w:pPr>
              <w:spacing w:line="540" w:lineRule="exact"/>
              <w:rPr>
                <w:rFonts w:hint="default" w:ascii="Times New Roman" w:hAnsi="Times New Roman" w:eastAsia="方正仿宋_GBK" w:cs="Times New Roman"/>
                <w:color w:val="auto"/>
                <w:sz w:val="32"/>
                <w:szCs w:val="32"/>
                <w:highlight w:val="none"/>
              </w:rPr>
            </w:pPr>
          </w:p>
        </w:tc>
        <w:tc>
          <w:tcPr>
            <w:tcW w:w="715" w:type="dxa"/>
            <w:noWrap w:val="0"/>
            <w:vAlign w:val="top"/>
          </w:tcPr>
          <w:p w14:paraId="73C445B2">
            <w:pPr>
              <w:spacing w:line="540" w:lineRule="exact"/>
              <w:rPr>
                <w:rFonts w:hint="default" w:ascii="Times New Roman" w:hAnsi="Times New Roman" w:eastAsia="方正仿宋_GBK" w:cs="Times New Roman"/>
                <w:color w:val="auto"/>
                <w:sz w:val="32"/>
                <w:szCs w:val="32"/>
                <w:highlight w:val="none"/>
              </w:rPr>
            </w:pPr>
          </w:p>
        </w:tc>
      </w:tr>
      <w:tr w14:paraId="20F1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138" w:type="dxa"/>
            <w:vMerge w:val="continue"/>
            <w:tcBorders>
              <w:bottom w:val="single" w:color="auto" w:sz="4" w:space="0"/>
            </w:tcBorders>
            <w:noWrap w:val="0"/>
            <w:vAlign w:val="top"/>
          </w:tcPr>
          <w:p w14:paraId="1D5A8CF3">
            <w:pPr>
              <w:spacing w:line="400" w:lineRule="exact"/>
              <w:jc w:val="left"/>
              <w:rPr>
                <w:rFonts w:hint="default" w:ascii="Times New Roman" w:hAnsi="Times New Roman" w:eastAsia="黑体" w:cs="Times New Roman"/>
                <w:color w:val="auto"/>
                <w:sz w:val="28"/>
                <w:szCs w:val="28"/>
                <w:highlight w:val="none"/>
              </w:rPr>
            </w:pPr>
          </w:p>
        </w:tc>
        <w:tc>
          <w:tcPr>
            <w:tcW w:w="1398" w:type="dxa"/>
            <w:tcBorders>
              <w:bottom w:val="single" w:color="auto" w:sz="4" w:space="0"/>
            </w:tcBorders>
            <w:noWrap w:val="0"/>
            <w:vAlign w:val="center"/>
          </w:tcPr>
          <w:p w14:paraId="4A584B7D">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outlineLvl w:val="9"/>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w:t>
            </w:r>
            <w:r>
              <w:rPr>
                <w:rFonts w:hint="eastAsia" w:eastAsia="楷体_GB2312" w:cs="Times New Roman"/>
                <w:b/>
                <w:bCs/>
                <w:color w:val="auto"/>
                <w:sz w:val="24"/>
                <w:szCs w:val="24"/>
                <w:highlight w:val="none"/>
                <w:lang w:val="en-US" w:eastAsia="zh-CN"/>
              </w:rPr>
              <w:t>19</w:t>
            </w:r>
            <w:r>
              <w:rPr>
                <w:rFonts w:hint="default" w:ascii="Times New Roman" w:hAnsi="Times New Roman" w:eastAsia="楷体_GB2312" w:cs="Times New Roman"/>
                <w:b/>
                <w:bCs/>
                <w:color w:val="auto"/>
                <w:sz w:val="24"/>
                <w:szCs w:val="24"/>
                <w:highlight w:val="none"/>
              </w:rPr>
              <w:t>）税收贡献</w:t>
            </w:r>
          </w:p>
        </w:tc>
        <w:tc>
          <w:tcPr>
            <w:tcW w:w="506" w:type="dxa"/>
            <w:tcBorders>
              <w:bottom w:val="single" w:color="auto" w:sz="4" w:space="0"/>
            </w:tcBorders>
            <w:noWrap w:val="0"/>
            <w:vAlign w:val="center"/>
          </w:tcPr>
          <w:p w14:paraId="0C5528B2">
            <w:pPr>
              <w:jc w:val="center"/>
              <w:rPr>
                <w:rFonts w:hint="default" w:ascii="Times New Roman" w:hAnsi="Times New Roman" w:eastAsia="宋体" w:cs="Times New Roman"/>
                <w:b/>
                <w:bCs/>
                <w:color w:val="auto"/>
                <w:sz w:val="24"/>
                <w:szCs w:val="24"/>
                <w:highlight w:val="none"/>
                <w:lang w:val="en-US" w:eastAsia="zh-CN"/>
              </w:rPr>
            </w:pPr>
            <w:r>
              <w:rPr>
                <w:rFonts w:hint="eastAsia" w:eastAsia="宋体" w:cs="Times New Roman"/>
                <w:b/>
                <w:bCs/>
                <w:color w:val="auto"/>
                <w:sz w:val="24"/>
                <w:szCs w:val="24"/>
                <w:highlight w:val="none"/>
                <w:lang w:val="en-US" w:eastAsia="zh-CN"/>
              </w:rPr>
              <w:t>5</w:t>
            </w:r>
          </w:p>
        </w:tc>
        <w:tc>
          <w:tcPr>
            <w:tcW w:w="9741" w:type="dxa"/>
            <w:tcBorders>
              <w:bottom w:val="single" w:color="auto" w:sz="4" w:space="0"/>
            </w:tcBorders>
            <w:noWrap w:val="0"/>
            <w:vAlign w:val="center"/>
          </w:tcPr>
          <w:p w14:paraId="2A9284A2">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textAlignment w:val="auto"/>
              <w:rPr>
                <w:rFonts w:hint="default" w:ascii="Times New Roman" w:hAnsi="Times New Roman" w:eastAsia="仿宋_GB2312" w:cs="Times New Roman"/>
                <w:color w:val="auto"/>
                <w:sz w:val="21"/>
                <w:szCs w:val="21"/>
                <w:highlight w:val="none"/>
                <w:lang w:val="en-US"/>
              </w:rPr>
            </w:pPr>
            <w:r>
              <w:rPr>
                <w:rFonts w:hint="default" w:ascii="Times New Roman" w:hAnsi="Times New Roman" w:eastAsia="仿宋_GB2312" w:cs="Times New Roman"/>
                <w:b w:val="0"/>
                <w:bCs w:val="0"/>
                <w:color w:val="auto"/>
                <w:sz w:val="21"/>
                <w:szCs w:val="21"/>
                <w:highlight w:val="none"/>
              </w:rPr>
              <w:t>按规定纳税</w:t>
            </w:r>
            <w:r>
              <w:rPr>
                <w:rFonts w:hint="eastAsia" w:cs="Times New Roman"/>
                <w:b w:val="0"/>
                <w:bCs w:val="0"/>
                <w:color w:val="auto"/>
                <w:sz w:val="21"/>
                <w:szCs w:val="21"/>
                <w:highlight w:val="none"/>
                <w:lang w:eastAsia="zh-CN"/>
              </w:rPr>
              <w:t>的</w:t>
            </w:r>
            <w:r>
              <w:rPr>
                <w:rFonts w:hint="default" w:ascii="Times New Roman" w:hAnsi="Times New Roman" w:cs="Times New Roman"/>
                <w:b w:val="0"/>
                <w:bCs w:val="0"/>
                <w:color w:val="auto"/>
                <w:sz w:val="21"/>
                <w:szCs w:val="21"/>
                <w:highlight w:val="none"/>
                <w:lang w:eastAsia="zh-CN"/>
              </w:rPr>
              <w:t>得</w:t>
            </w:r>
            <w:r>
              <w:rPr>
                <w:rFonts w:hint="eastAsia" w:cs="Times New Roman"/>
                <w:b w:val="0"/>
                <w:bCs w:val="0"/>
                <w:color w:val="auto"/>
                <w:sz w:val="21"/>
                <w:szCs w:val="21"/>
                <w:highlight w:val="none"/>
                <w:lang w:val="en-US" w:eastAsia="zh-CN"/>
              </w:rPr>
              <w:t>5</w:t>
            </w:r>
            <w:r>
              <w:rPr>
                <w:rFonts w:hint="default" w:ascii="Times New Roman" w:hAnsi="Times New Roman" w:eastAsia="仿宋_GB2312" w:cs="Times New Roman"/>
                <w:b w:val="0"/>
                <w:bCs w:val="0"/>
                <w:color w:val="auto"/>
                <w:sz w:val="21"/>
                <w:szCs w:val="21"/>
                <w:highlight w:val="none"/>
              </w:rPr>
              <w:t>分</w:t>
            </w:r>
            <w:r>
              <w:rPr>
                <w:rFonts w:hint="eastAsia" w:cs="Times New Roman"/>
                <w:b w:val="0"/>
                <w:bCs w:val="0"/>
                <w:color w:val="auto"/>
                <w:sz w:val="21"/>
                <w:szCs w:val="21"/>
                <w:highlight w:val="none"/>
                <w:lang w:eastAsia="zh-CN"/>
              </w:rPr>
              <w:t>，</w:t>
            </w:r>
            <w:r>
              <w:rPr>
                <w:rFonts w:hint="default" w:ascii="Times New Roman" w:hAnsi="Times New Roman" w:eastAsia="仿宋_GB2312" w:cs="Times New Roman"/>
                <w:bCs/>
                <w:color w:val="auto"/>
                <w:sz w:val="21"/>
                <w:szCs w:val="21"/>
                <w:highlight w:val="none"/>
                <w:lang w:eastAsia="zh-CN"/>
              </w:rPr>
              <w:t>违反规定的酌情扣</w:t>
            </w:r>
            <w:r>
              <w:rPr>
                <w:rFonts w:hint="default" w:ascii="Times New Roman" w:hAnsi="Times New Roman" w:eastAsia="仿宋_GB2312" w:cs="Times New Roman"/>
                <w:bCs/>
                <w:color w:val="auto"/>
                <w:sz w:val="21"/>
                <w:szCs w:val="21"/>
                <w:highlight w:val="none"/>
                <w:lang w:val="en-US" w:eastAsia="zh-CN"/>
              </w:rPr>
              <w:t>1</w:t>
            </w:r>
            <w:r>
              <w:rPr>
                <w:rFonts w:hint="eastAsia" w:cs="Times New Roman"/>
                <w:color w:val="auto"/>
                <w:kern w:val="2"/>
                <w:sz w:val="21"/>
                <w:szCs w:val="21"/>
                <w:highlight w:val="none"/>
                <w:lang w:val="en-US" w:eastAsia="zh-CN" w:bidi="ar-SA"/>
              </w:rPr>
              <w:t>～</w:t>
            </w:r>
            <w:r>
              <w:rPr>
                <w:rFonts w:hint="eastAsia" w:cs="Times New Roman"/>
                <w:bCs/>
                <w:color w:val="auto"/>
                <w:sz w:val="21"/>
                <w:szCs w:val="21"/>
                <w:highlight w:val="none"/>
                <w:lang w:val="en-US" w:eastAsia="zh-CN"/>
              </w:rPr>
              <w:t>5</w:t>
            </w:r>
            <w:r>
              <w:rPr>
                <w:rFonts w:hint="default" w:ascii="Times New Roman" w:hAnsi="Times New Roman" w:eastAsia="仿宋_GB2312" w:cs="Times New Roman"/>
                <w:bCs/>
                <w:color w:val="auto"/>
                <w:sz w:val="21"/>
                <w:szCs w:val="21"/>
                <w:highlight w:val="none"/>
                <w:lang w:eastAsia="zh-CN"/>
              </w:rPr>
              <w:t>分</w:t>
            </w:r>
            <w:r>
              <w:rPr>
                <w:rFonts w:hint="default" w:ascii="Times New Roman" w:hAnsi="Times New Roman" w:eastAsia="仿宋_GB2312" w:cs="Times New Roman"/>
                <w:bCs/>
                <w:color w:val="auto"/>
                <w:sz w:val="21"/>
                <w:szCs w:val="21"/>
                <w:highlight w:val="none"/>
                <w:lang w:val="en-US" w:eastAsia="zh-CN"/>
              </w:rPr>
              <w:t>。</w:t>
            </w:r>
            <w:r>
              <w:rPr>
                <w:rFonts w:hint="default" w:ascii="Times New Roman" w:hAnsi="Times New Roman" w:eastAsia="仿宋_GB2312" w:cs="Times New Roman"/>
                <w:color w:val="auto"/>
                <w:kern w:val="2"/>
                <w:sz w:val="21"/>
                <w:szCs w:val="21"/>
                <w:highlight w:val="none"/>
                <w:lang w:val="en-US" w:eastAsia="zh-CN" w:bidi="ar-SA"/>
              </w:rPr>
              <w:t>近6个月无纳税记录或“零申报”（享受国家税收优惠政策免税的除外）的</w:t>
            </w:r>
            <w:r>
              <w:rPr>
                <w:rFonts w:hint="eastAsia" w:cs="Times New Roman"/>
                <w:color w:val="auto"/>
                <w:kern w:val="2"/>
                <w:sz w:val="21"/>
                <w:szCs w:val="21"/>
                <w:highlight w:val="none"/>
                <w:lang w:val="en-US" w:eastAsia="zh-CN" w:bidi="ar-SA"/>
              </w:rPr>
              <w:t>，</w:t>
            </w:r>
            <w:r>
              <w:rPr>
                <w:rFonts w:hint="default" w:ascii="Times New Roman" w:hAnsi="Times New Roman" w:eastAsia="仿宋_GB2312" w:cs="Times New Roman"/>
                <w:color w:val="auto"/>
                <w:kern w:val="2"/>
                <w:sz w:val="21"/>
                <w:szCs w:val="21"/>
                <w:highlight w:val="none"/>
                <w:lang w:val="en-US" w:eastAsia="zh-CN" w:bidi="ar-SA"/>
              </w:rPr>
              <w:t>得0分。</w:t>
            </w:r>
          </w:p>
        </w:tc>
        <w:tc>
          <w:tcPr>
            <w:tcW w:w="798" w:type="dxa"/>
            <w:tcBorders>
              <w:bottom w:val="single" w:color="auto" w:sz="4" w:space="0"/>
            </w:tcBorders>
            <w:noWrap w:val="0"/>
            <w:vAlign w:val="top"/>
          </w:tcPr>
          <w:p w14:paraId="3ABBAFF0">
            <w:pPr>
              <w:spacing w:line="540" w:lineRule="exact"/>
              <w:rPr>
                <w:rFonts w:hint="default" w:ascii="Times New Roman" w:hAnsi="Times New Roman" w:eastAsia="方正仿宋_GBK" w:cs="Times New Roman"/>
                <w:color w:val="auto"/>
                <w:sz w:val="32"/>
                <w:szCs w:val="32"/>
                <w:highlight w:val="none"/>
              </w:rPr>
            </w:pPr>
          </w:p>
        </w:tc>
        <w:tc>
          <w:tcPr>
            <w:tcW w:w="715" w:type="dxa"/>
            <w:tcBorders>
              <w:bottom w:val="single" w:color="auto" w:sz="4" w:space="0"/>
            </w:tcBorders>
            <w:noWrap w:val="0"/>
            <w:vAlign w:val="top"/>
          </w:tcPr>
          <w:p w14:paraId="4BC50913">
            <w:pPr>
              <w:spacing w:line="540" w:lineRule="exact"/>
              <w:rPr>
                <w:rFonts w:hint="default" w:ascii="Times New Roman" w:hAnsi="Times New Roman" w:eastAsia="方正仿宋_GBK" w:cs="Times New Roman"/>
                <w:color w:val="auto"/>
                <w:sz w:val="32"/>
                <w:szCs w:val="32"/>
                <w:highlight w:val="none"/>
              </w:rPr>
            </w:pPr>
          </w:p>
        </w:tc>
      </w:tr>
      <w:tr w14:paraId="3D18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138" w:type="dxa"/>
            <w:vMerge w:val="restart"/>
            <w:tcBorders>
              <w:top w:val="single" w:color="auto" w:sz="4" w:space="0"/>
              <w:left w:val="single" w:color="auto" w:sz="4" w:space="0"/>
              <w:right w:val="single" w:color="auto" w:sz="4" w:space="0"/>
            </w:tcBorders>
            <w:noWrap w:val="0"/>
            <w:vAlign w:val="center"/>
          </w:tcPr>
          <w:p w14:paraId="28834611">
            <w:pPr>
              <w:spacing w:line="400" w:lineRule="exact"/>
              <w:jc w:val="left"/>
              <w:rPr>
                <w:rFonts w:hint="default" w:ascii="Times New Roman" w:hAnsi="Times New Roman" w:eastAsia="黑体" w:cs="Times New Roman"/>
                <w:color w:val="auto"/>
                <w:sz w:val="28"/>
                <w:szCs w:val="28"/>
                <w:highlight w:val="none"/>
              </w:rPr>
            </w:pPr>
          </w:p>
          <w:p w14:paraId="64CC5F92">
            <w:pPr>
              <w:pStyle w:val="2"/>
              <w:rPr>
                <w:rFonts w:hint="default"/>
                <w:color w:val="auto"/>
                <w:highlight w:val="none"/>
              </w:rPr>
            </w:pPr>
          </w:p>
          <w:p w14:paraId="45578FF2">
            <w:pPr>
              <w:spacing w:line="40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四、</w:t>
            </w:r>
          </w:p>
          <w:p w14:paraId="293E62E7">
            <w:pPr>
              <w:spacing w:line="40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风险</w:t>
            </w:r>
          </w:p>
          <w:p w14:paraId="3F5E0146">
            <w:pPr>
              <w:spacing w:line="400" w:lineRule="exact"/>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黑体" w:cs="Times New Roman"/>
                <w:color w:val="auto"/>
                <w:sz w:val="28"/>
                <w:szCs w:val="28"/>
                <w:highlight w:val="none"/>
              </w:rPr>
              <w:t>防控</w:t>
            </w:r>
            <w:r>
              <w:rPr>
                <w:rFonts w:hint="eastAsia" w:eastAsia="黑体" w:cs="Times New Roman"/>
                <w:color w:val="auto"/>
                <w:sz w:val="28"/>
                <w:szCs w:val="28"/>
                <w:highlight w:val="none"/>
                <w:lang w:eastAsia="zh-CN"/>
              </w:rPr>
              <w:t>（</w:t>
            </w:r>
            <w:r>
              <w:rPr>
                <w:rFonts w:hint="default" w:ascii="Times New Roman" w:hAnsi="Times New Roman" w:eastAsia="黑体" w:cs="Times New Roman"/>
                <w:color w:val="auto"/>
                <w:sz w:val="28"/>
                <w:szCs w:val="28"/>
                <w:highlight w:val="none"/>
              </w:rPr>
              <w:t>2</w:t>
            </w:r>
            <w:r>
              <w:rPr>
                <w:rFonts w:hint="eastAsia" w:eastAsia="黑体" w:cs="Times New Roman"/>
                <w:color w:val="auto"/>
                <w:sz w:val="28"/>
                <w:szCs w:val="28"/>
                <w:highlight w:val="none"/>
                <w:lang w:val="en-US" w:eastAsia="zh-CN"/>
              </w:rPr>
              <w:t>5</w:t>
            </w:r>
            <w:r>
              <w:rPr>
                <w:rFonts w:hint="default" w:ascii="Times New Roman" w:hAnsi="Times New Roman" w:eastAsia="黑体" w:cs="Times New Roman"/>
                <w:color w:val="auto"/>
                <w:sz w:val="28"/>
                <w:szCs w:val="28"/>
                <w:highlight w:val="none"/>
              </w:rPr>
              <w:t>分）</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7C08E0FA">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outlineLvl w:val="9"/>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（2</w:t>
            </w:r>
            <w:r>
              <w:rPr>
                <w:rFonts w:hint="eastAsia" w:eastAsia="楷体_GB2312" w:cs="Times New Roman"/>
                <w:b/>
                <w:bCs/>
                <w:color w:val="auto"/>
                <w:sz w:val="24"/>
                <w:szCs w:val="24"/>
                <w:highlight w:val="none"/>
                <w:lang w:val="en-US" w:eastAsia="zh-CN"/>
              </w:rPr>
              <w:t>0</w:t>
            </w:r>
            <w:r>
              <w:rPr>
                <w:rFonts w:hint="default" w:ascii="Times New Roman" w:hAnsi="Times New Roman" w:eastAsia="楷体_GB2312" w:cs="Times New Roman"/>
                <w:b/>
                <w:bCs/>
                <w:color w:val="auto"/>
                <w:sz w:val="24"/>
                <w:szCs w:val="24"/>
                <w:highlight w:val="none"/>
              </w:rPr>
              <w:t>）内控制度</w:t>
            </w:r>
          </w:p>
        </w:tc>
        <w:tc>
          <w:tcPr>
            <w:tcW w:w="506" w:type="dxa"/>
            <w:tcBorders>
              <w:top w:val="single" w:color="auto" w:sz="4" w:space="0"/>
              <w:left w:val="single" w:color="auto" w:sz="4" w:space="0"/>
              <w:bottom w:val="single" w:color="auto" w:sz="4" w:space="0"/>
              <w:right w:val="single" w:color="auto" w:sz="4" w:space="0"/>
            </w:tcBorders>
            <w:noWrap w:val="0"/>
            <w:vAlign w:val="center"/>
          </w:tcPr>
          <w:p w14:paraId="764D97E5">
            <w:pPr>
              <w:jc w:val="center"/>
              <w:rPr>
                <w:rFonts w:hint="default" w:ascii="Times New Roman" w:hAnsi="Times New Roman" w:eastAsia="宋体" w:cs="Times New Roman"/>
                <w:b/>
                <w:bCs/>
                <w:color w:val="auto"/>
                <w:sz w:val="24"/>
                <w:szCs w:val="24"/>
                <w:highlight w:val="none"/>
                <w:lang w:val="en-US" w:eastAsia="zh-CN"/>
              </w:rPr>
            </w:pPr>
            <w:r>
              <w:rPr>
                <w:rFonts w:hint="eastAsia" w:eastAsia="宋体" w:cs="Times New Roman"/>
                <w:b/>
                <w:bCs/>
                <w:color w:val="auto"/>
                <w:sz w:val="24"/>
                <w:szCs w:val="24"/>
                <w:highlight w:val="none"/>
                <w:lang w:val="en-US" w:eastAsia="zh-CN"/>
              </w:rPr>
              <w:t>1</w:t>
            </w:r>
            <w:r>
              <w:rPr>
                <w:rFonts w:hint="eastAsia" w:ascii="Times New Roman" w:hAnsi="Times New Roman" w:eastAsia="宋体" w:cs="Times New Roman"/>
                <w:b/>
                <w:bCs/>
                <w:color w:val="auto"/>
                <w:sz w:val="24"/>
                <w:szCs w:val="24"/>
                <w:highlight w:val="none"/>
                <w:lang w:val="en-US" w:eastAsia="zh-CN"/>
              </w:rPr>
              <w:t>0</w:t>
            </w:r>
          </w:p>
        </w:tc>
        <w:tc>
          <w:tcPr>
            <w:tcW w:w="9741" w:type="dxa"/>
            <w:tcBorders>
              <w:top w:val="single" w:color="auto" w:sz="4" w:space="0"/>
              <w:left w:val="single" w:color="auto" w:sz="4" w:space="0"/>
              <w:bottom w:val="single" w:color="auto" w:sz="4" w:space="0"/>
              <w:right w:val="single" w:color="auto" w:sz="4" w:space="0"/>
            </w:tcBorders>
            <w:noWrap w:val="0"/>
            <w:vAlign w:val="center"/>
          </w:tcPr>
          <w:p w14:paraId="22AB37F6">
            <w:pPr>
              <w:keepNext w:val="0"/>
              <w:keepLines w:val="0"/>
              <w:pageBreakBefore w:val="0"/>
              <w:widowControl w:val="0"/>
              <w:kinsoku/>
              <w:wordWrap/>
              <w:overflowPunct/>
              <w:topLinePunct w:val="0"/>
              <w:autoSpaceDE/>
              <w:autoSpaceDN/>
              <w:bidi w:val="0"/>
              <w:adjustRightInd/>
              <w:snapToGrid w:val="0"/>
              <w:spacing w:line="240" w:lineRule="auto"/>
              <w:ind w:right="0" w:rightChars="0" w:firstLine="435" w:firstLineChars="0"/>
              <w:textAlignment w:val="auto"/>
              <w:rPr>
                <w:rFonts w:hint="default" w:ascii="Times New Roman" w:hAnsi="Times New Roman" w:eastAsia="仿宋_GB2312" w:cs="Times New Roman"/>
                <w:color w:val="auto"/>
                <w:sz w:val="21"/>
                <w:szCs w:val="21"/>
                <w:highlight w:val="none"/>
              </w:rPr>
            </w:pPr>
            <w:r>
              <w:rPr>
                <w:rFonts w:hint="eastAsia" w:cs="Times New Roman"/>
                <w:color w:val="auto"/>
                <w:sz w:val="21"/>
                <w:szCs w:val="21"/>
                <w:highlight w:val="none"/>
                <w:lang w:eastAsia="zh-CN"/>
              </w:rPr>
              <w:t>建立健全公司治理机制，制定业务管理制度、</w:t>
            </w:r>
            <w:r>
              <w:rPr>
                <w:rFonts w:hint="eastAsia" w:cs="Times New Roman"/>
                <w:color w:val="auto"/>
                <w:sz w:val="21"/>
                <w:szCs w:val="21"/>
                <w:highlight w:val="none"/>
                <w:lang w:val="en-US" w:eastAsia="zh-CN"/>
              </w:rPr>
              <w:t>财务管理</w:t>
            </w:r>
            <w:r>
              <w:rPr>
                <w:rFonts w:hint="default" w:ascii="Times New Roman" w:hAnsi="Times New Roman" w:cs="Times New Roman"/>
                <w:color w:val="auto"/>
                <w:sz w:val="21"/>
                <w:szCs w:val="21"/>
                <w:highlight w:val="none"/>
                <w:lang w:val="en-US" w:eastAsia="zh-CN"/>
              </w:rPr>
              <w:t>制度、风险控制制度</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关联交易管理制度、贷款风险分类制度、债务催收制度、信息披露制度</w:t>
            </w:r>
            <w:r>
              <w:rPr>
                <w:rFonts w:hint="eastAsia"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档案管理制度等</w:t>
            </w:r>
            <w:r>
              <w:rPr>
                <w:rFonts w:hint="eastAsia"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rPr>
              <w:t>且执行到位</w:t>
            </w:r>
            <w:r>
              <w:rPr>
                <w:rFonts w:hint="eastAsia" w:cs="Times New Roman"/>
                <w:color w:val="auto"/>
                <w:sz w:val="21"/>
                <w:szCs w:val="21"/>
                <w:highlight w:val="none"/>
                <w:lang w:eastAsia="zh-CN"/>
              </w:rPr>
              <w:t>的</w:t>
            </w:r>
            <w:r>
              <w:rPr>
                <w:rFonts w:hint="default" w:ascii="Times New Roman" w:hAnsi="Times New Roman" w:cs="Times New Roman"/>
                <w:color w:val="auto"/>
                <w:sz w:val="21"/>
                <w:szCs w:val="21"/>
                <w:highlight w:val="none"/>
                <w:lang w:eastAsia="zh-CN"/>
              </w:rPr>
              <w:t>得</w:t>
            </w:r>
            <w:r>
              <w:rPr>
                <w:rFonts w:hint="eastAsia"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val="en-US" w:eastAsia="zh-CN"/>
              </w:rPr>
              <w:t>0分。</w:t>
            </w:r>
            <w:r>
              <w:rPr>
                <w:rFonts w:hint="eastAsia" w:cs="Times New Roman"/>
                <w:color w:val="auto"/>
                <w:sz w:val="21"/>
                <w:szCs w:val="21"/>
                <w:highlight w:val="none"/>
                <w:lang w:val="en-US" w:eastAsia="zh-CN"/>
              </w:rPr>
              <w:t>机制、</w:t>
            </w:r>
            <w:r>
              <w:rPr>
                <w:rFonts w:hint="default" w:ascii="Times New Roman" w:hAnsi="Times New Roman" w:eastAsia="仿宋_GB2312" w:cs="Times New Roman"/>
                <w:color w:val="auto"/>
                <w:sz w:val="21"/>
                <w:szCs w:val="21"/>
                <w:highlight w:val="none"/>
              </w:rPr>
              <w:t>制度不健全或执行不力</w:t>
            </w:r>
            <w:r>
              <w:rPr>
                <w:rFonts w:hint="default" w:ascii="Times New Roman" w:hAnsi="Times New Roman" w:eastAsia="仿宋_GB2312" w:cs="Times New Roman"/>
                <w:color w:val="auto"/>
                <w:sz w:val="21"/>
                <w:szCs w:val="21"/>
                <w:highlight w:val="none"/>
                <w:lang w:val="en-US" w:eastAsia="zh-CN"/>
              </w:rPr>
              <w:t>的</w:t>
            </w:r>
            <w:r>
              <w:rPr>
                <w:rFonts w:hint="default" w:ascii="Times New Roman" w:hAnsi="Times New Roman" w:eastAsia="仿宋_GB2312" w:cs="Times New Roman"/>
                <w:color w:val="auto"/>
                <w:sz w:val="21"/>
                <w:szCs w:val="21"/>
                <w:highlight w:val="none"/>
              </w:rPr>
              <w:t>，酌情扣1</w:t>
            </w:r>
            <w:r>
              <w:rPr>
                <w:rFonts w:hint="eastAsia" w:cs="Times New Roman"/>
                <w:color w:val="auto"/>
                <w:kern w:val="2"/>
                <w:sz w:val="21"/>
                <w:szCs w:val="21"/>
                <w:highlight w:val="none"/>
                <w:lang w:val="en-US" w:eastAsia="zh-CN" w:bidi="ar-SA"/>
              </w:rPr>
              <w:t>～</w:t>
            </w:r>
            <w:r>
              <w:rPr>
                <w:rFonts w:hint="eastAsia"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0分。</w:t>
            </w:r>
          </w:p>
        </w:tc>
        <w:tc>
          <w:tcPr>
            <w:tcW w:w="798" w:type="dxa"/>
            <w:tcBorders>
              <w:top w:val="single" w:color="auto" w:sz="4" w:space="0"/>
              <w:left w:val="single" w:color="auto" w:sz="4" w:space="0"/>
              <w:bottom w:val="single" w:color="auto" w:sz="4" w:space="0"/>
              <w:right w:val="single" w:color="auto" w:sz="4" w:space="0"/>
            </w:tcBorders>
            <w:noWrap w:val="0"/>
            <w:vAlign w:val="top"/>
          </w:tcPr>
          <w:p w14:paraId="5246190B">
            <w:pPr>
              <w:spacing w:line="540" w:lineRule="exact"/>
              <w:rPr>
                <w:rFonts w:hint="default" w:ascii="Times New Roman" w:hAnsi="Times New Roman" w:eastAsia="方正仿宋_GBK" w:cs="Times New Roman"/>
                <w:color w:val="auto"/>
                <w:sz w:val="32"/>
                <w:szCs w:val="32"/>
                <w:highlight w:val="none"/>
              </w:rPr>
            </w:pPr>
          </w:p>
        </w:tc>
        <w:tc>
          <w:tcPr>
            <w:tcW w:w="715" w:type="dxa"/>
            <w:tcBorders>
              <w:top w:val="single" w:color="auto" w:sz="4" w:space="0"/>
              <w:left w:val="single" w:color="auto" w:sz="4" w:space="0"/>
              <w:bottom w:val="single" w:color="auto" w:sz="4" w:space="0"/>
              <w:right w:val="single" w:color="auto" w:sz="4" w:space="0"/>
            </w:tcBorders>
            <w:noWrap w:val="0"/>
            <w:vAlign w:val="top"/>
          </w:tcPr>
          <w:p w14:paraId="6CEC4BA1">
            <w:pPr>
              <w:spacing w:line="540" w:lineRule="exact"/>
              <w:rPr>
                <w:rFonts w:hint="default" w:ascii="Times New Roman" w:hAnsi="Times New Roman" w:eastAsia="方正仿宋_GBK" w:cs="Times New Roman"/>
                <w:color w:val="auto"/>
                <w:sz w:val="32"/>
                <w:szCs w:val="32"/>
                <w:highlight w:val="none"/>
              </w:rPr>
            </w:pPr>
          </w:p>
        </w:tc>
      </w:tr>
      <w:tr w14:paraId="275F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1138" w:type="dxa"/>
            <w:vMerge w:val="continue"/>
            <w:tcBorders>
              <w:left w:val="single" w:color="auto" w:sz="4" w:space="0"/>
              <w:right w:val="single" w:color="auto" w:sz="4" w:space="0"/>
            </w:tcBorders>
            <w:noWrap w:val="0"/>
            <w:vAlign w:val="center"/>
          </w:tcPr>
          <w:p w14:paraId="578E5421">
            <w:pPr>
              <w:spacing w:line="400" w:lineRule="exact"/>
              <w:jc w:val="center"/>
              <w:rPr>
                <w:rFonts w:hint="default" w:ascii="Times New Roman" w:hAnsi="Times New Roman" w:eastAsia="方正仿宋_GBK" w:cs="Times New Roman"/>
                <w:color w:val="auto"/>
                <w:sz w:val="32"/>
                <w:szCs w:val="32"/>
                <w:highlight w:val="none"/>
              </w:rPr>
            </w:pPr>
          </w:p>
        </w:tc>
        <w:tc>
          <w:tcPr>
            <w:tcW w:w="1398" w:type="dxa"/>
            <w:tcBorders>
              <w:top w:val="single" w:color="auto" w:sz="4" w:space="0"/>
              <w:left w:val="single" w:color="auto" w:sz="4" w:space="0"/>
              <w:bottom w:val="single" w:color="auto" w:sz="4" w:space="0"/>
              <w:right w:val="single" w:color="auto" w:sz="4" w:space="0"/>
            </w:tcBorders>
            <w:noWrap w:val="0"/>
            <w:vAlign w:val="center"/>
          </w:tcPr>
          <w:p w14:paraId="5AD95E33">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outlineLvl w:val="9"/>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lang w:eastAsia="zh-CN"/>
              </w:rPr>
              <w:t>（</w:t>
            </w:r>
            <w:r>
              <w:rPr>
                <w:rFonts w:hint="default" w:ascii="Times New Roman" w:hAnsi="Times New Roman" w:eastAsia="楷体_GB2312" w:cs="Times New Roman"/>
                <w:b/>
                <w:bCs/>
                <w:color w:val="auto"/>
                <w:sz w:val="24"/>
                <w:szCs w:val="24"/>
                <w:highlight w:val="none"/>
                <w:lang w:val="en-US" w:eastAsia="zh-CN"/>
              </w:rPr>
              <w:t>2</w:t>
            </w:r>
            <w:r>
              <w:rPr>
                <w:rFonts w:hint="eastAsia" w:eastAsia="楷体_GB2312" w:cs="Times New Roman"/>
                <w:b/>
                <w:bCs/>
                <w:color w:val="auto"/>
                <w:sz w:val="24"/>
                <w:szCs w:val="24"/>
                <w:highlight w:val="none"/>
                <w:lang w:val="en-US" w:eastAsia="zh-CN"/>
              </w:rPr>
              <w:t>1</w:t>
            </w:r>
            <w:r>
              <w:rPr>
                <w:rFonts w:hint="default" w:ascii="Times New Roman" w:hAnsi="Times New Roman" w:eastAsia="楷体_GB2312" w:cs="Times New Roman"/>
                <w:b/>
                <w:bCs/>
                <w:color w:val="auto"/>
                <w:sz w:val="24"/>
                <w:szCs w:val="24"/>
                <w:highlight w:val="none"/>
                <w:lang w:eastAsia="zh-CN"/>
              </w:rPr>
              <w:t>）风控执行</w:t>
            </w:r>
          </w:p>
        </w:tc>
        <w:tc>
          <w:tcPr>
            <w:tcW w:w="506" w:type="dxa"/>
            <w:tcBorders>
              <w:top w:val="single" w:color="auto" w:sz="4" w:space="0"/>
              <w:left w:val="single" w:color="auto" w:sz="4" w:space="0"/>
              <w:bottom w:val="single" w:color="auto" w:sz="4" w:space="0"/>
              <w:right w:val="single" w:color="auto" w:sz="4" w:space="0"/>
            </w:tcBorders>
            <w:noWrap w:val="0"/>
            <w:vAlign w:val="center"/>
          </w:tcPr>
          <w:p w14:paraId="45212FBE">
            <w:pPr>
              <w:jc w:val="center"/>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1</w:t>
            </w:r>
            <w:r>
              <w:rPr>
                <w:rFonts w:hint="eastAsia" w:eastAsia="宋体" w:cs="Times New Roman"/>
                <w:b/>
                <w:bCs/>
                <w:color w:val="auto"/>
                <w:sz w:val="24"/>
                <w:szCs w:val="24"/>
                <w:highlight w:val="none"/>
                <w:lang w:val="en-US" w:eastAsia="zh-CN"/>
              </w:rPr>
              <w:t>5</w:t>
            </w:r>
          </w:p>
        </w:tc>
        <w:tc>
          <w:tcPr>
            <w:tcW w:w="9741" w:type="dxa"/>
            <w:tcBorders>
              <w:top w:val="single" w:color="auto" w:sz="4" w:space="0"/>
              <w:left w:val="single" w:color="auto" w:sz="4" w:space="0"/>
              <w:bottom w:val="single" w:color="auto" w:sz="4" w:space="0"/>
              <w:right w:val="single" w:color="auto" w:sz="4" w:space="0"/>
            </w:tcBorders>
            <w:noWrap w:val="0"/>
            <w:vAlign w:val="center"/>
          </w:tcPr>
          <w:p w14:paraId="022722E3">
            <w:pPr>
              <w:rPr>
                <w:rFonts w:hint="default" w:ascii="Times New Roman" w:hAnsi="Times New Roman"/>
                <w:color w:val="auto"/>
                <w:sz w:val="21"/>
                <w:szCs w:val="21"/>
                <w:highlight w:val="none"/>
                <w:lang w:val="en-US" w:eastAsia="zh-CN"/>
              </w:rPr>
            </w:pPr>
            <w:r>
              <w:rPr>
                <w:rFonts w:hint="eastAsia"/>
                <w:color w:val="auto"/>
                <w:sz w:val="21"/>
                <w:szCs w:val="21"/>
                <w:highlight w:val="none"/>
                <w:lang w:val="en-US" w:eastAsia="zh-CN"/>
              </w:rPr>
              <w:t xml:space="preserve">    </w:t>
            </w:r>
            <w:r>
              <w:rPr>
                <w:rFonts w:hint="default" w:ascii="Times New Roman" w:hAnsi="Times New Roman"/>
                <w:color w:val="auto"/>
                <w:sz w:val="21"/>
                <w:szCs w:val="21"/>
                <w:highlight w:val="none"/>
                <w:lang w:val="en-US" w:eastAsia="zh-CN"/>
              </w:rPr>
              <w:t>1.严格进行贷前调查、贷时审查、贷后检查的得</w:t>
            </w:r>
            <w:r>
              <w:rPr>
                <w:rFonts w:hint="eastAsia"/>
                <w:color w:val="auto"/>
                <w:sz w:val="21"/>
                <w:szCs w:val="21"/>
                <w:highlight w:val="none"/>
                <w:lang w:val="en-US" w:eastAsia="zh-CN"/>
              </w:rPr>
              <w:t>5</w:t>
            </w:r>
            <w:r>
              <w:rPr>
                <w:rFonts w:hint="default" w:ascii="Times New Roman" w:hAnsi="Times New Roman"/>
                <w:color w:val="auto"/>
                <w:sz w:val="21"/>
                <w:szCs w:val="21"/>
                <w:highlight w:val="none"/>
                <w:lang w:val="en-US" w:eastAsia="zh-CN"/>
              </w:rPr>
              <w:t>分</w:t>
            </w:r>
            <w:r>
              <w:rPr>
                <w:rFonts w:hint="eastAsia"/>
                <w:color w:val="auto"/>
                <w:sz w:val="21"/>
                <w:szCs w:val="21"/>
                <w:highlight w:val="none"/>
                <w:lang w:val="en-US" w:eastAsia="zh-CN"/>
              </w:rPr>
              <w:t>，否则</w:t>
            </w:r>
            <w:r>
              <w:rPr>
                <w:rFonts w:hint="default" w:ascii="Times New Roman" w:hAnsi="Times New Roman"/>
                <w:color w:val="auto"/>
                <w:sz w:val="21"/>
                <w:szCs w:val="21"/>
                <w:highlight w:val="none"/>
                <w:lang w:val="en-US" w:eastAsia="zh-CN"/>
              </w:rPr>
              <w:t>发现一笔扣</w:t>
            </w:r>
            <w:r>
              <w:rPr>
                <w:rFonts w:hint="eastAsia"/>
                <w:color w:val="auto"/>
                <w:sz w:val="21"/>
                <w:szCs w:val="21"/>
                <w:highlight w:val="none"/>
                <w:lang w:val="en-US" w:eastAsia="zh-CN"/>
              </w:rPr>
              <w:t>1</w:t>
            </w:r>
            <w:r>
              <w:rPr>
                <w:rFonts w:hint="default" w:ascii="Times New Roman" w:hAnsi="Times New Roman"/>
                <w:color w:val="auto"/>
                <w:sz w:val="21"/>
                <w:szCs w:val="21"/>
                <w:highlight w:val="none"/>
                <w:lang w:val="en-US" w:eastAsia="zh-CN"/>
              </w:rPr>
              <w:t>分</w:t>
            </w:r>
            <w:r>
              <w:rPr>
                <w:rFonts w:hint="eastAsia"/>
                <w:color w:val="auto"/>
                <w:sz w:val="21"/>
                <w:szCs w:val="21"/>
                <w:highlight w:val="none"/>
                <w:lang w:val="en-US" w:eastAsia="zh-CN"/>
              </w:rPr>
              <w:t>，扣完5分为止</w:t>
            </w:r>
            <w:r>
              <w:rPr>
                <w:rFonts w:hint="default" w:ascii="Times New Roman" w:hAnsi="Times New Roman"/>
                <w:color w:val="auto"/>
                <w:sz w:val="21"/>
                <w:szCs w:val="21"/>
                <w:highlight w:val="none"/>
                <w:lang w:val="en-US" w:eastAsia="zh-CN"/>
              </w:rPr>
              <w:t>；未建立</w:t>
            </w:r>
            <w:r>
              <w:rPr>
                <w:rFonts w:hint="eastAsia"/>
                <w:color w:val="auto"/>
                <w:sz w:val="21"/>
                <w:szCs w:val="21"/>
                <w:highlight w:val="none"/>
                <w:lang w:val="en-US" w:eastAsia="zh-CN"/>
              </w:rPr>
              <w:t>贷款</w:t>
            </w:r>
            <w:r>
              <w:rPr>
                <w:rFonts w:hint="default" w:ascii="Times New Roman" w:hAnsi="Times New Roman"/>
                <w:color w:val="auto"/>
                <w:sz w:val="21"/>
                <w:szCs w:val="21"/>
                <w:highlight w:val="none"/>
                <w:lang w:val="en-US" w:eastAsia="zh-CN"/>
              </w:rPr>
              <w:t>“三查”制度</w:t>
            </w:r>
            <w:r>
              <w:rPr>
                <w:rFonts w:hint="eastAsia"/>
                <w:color w:val="auto"/>
                <w:sz w:val="21"/>
                <w:szCs w:val="21"/>
                <w:highlight w:val="none"/>
                <w:lang w:val="en-US" w:eastAsia="zh-CN"/>
              </w:rPr>
              <w:t>的</w:t>
            </w:r>
            <w:r>
              <w:rPr>
                <w:rFonts w:hint="default" w:ascii="Times New Roman" w:hAnsi="Times New Roman"/>
                <w:color w:val="auto"/>
                <w:sz w:val="21"/>
                <w:szCs w:val="21"/>
                <w:highlight w:val="none"/>
                <w:lang w:val="en-US" w:eastAsia="zh-CN"/>
              </w:rPr>
              <w:t>得0分。</w:t>
            </w:r>
          </w:p>
          <w:p w14:paraId="59223043">
            <w:pPr>
              <w:rPr>
                <w:rFonts w:hint="default" w:ascii="Times New Roman" w:hAnsi="Times New Roman"/>
                <w:color w:val="auto"/>
                <w:kern w:val="2"/>
                <w:sz w:val="21"/>
                <w:szCs w:val="21"/>
                <w:highlight w:val="none"/>
                <w:lang w:val="en-US" w:eastAsia="zh-CN" w:bidi="ar-SA"/>
              </w:rPr>
            </w:pPr>
            <w:r>
              <w:rPr>
                <w:rFonts w:hint="eastAsia"/>
                <w:color w:val="auto"/>
                <w:kern w:val="2"/>
                <w:sz w:val="21"/>
                <w:szCs w:val="21"/>
                <w:highlight w:val="none"/>
                <w:lang w:val="en-US" w:eastAsia="zh-CN" w:bidi="ar-SA"/>
              </w:rPr>
              <w:t xml:space="preserve">    </w:t>
            </w:r>
            <w:r>
              <w:rPr>
                <w:rFonts w:hint="default" w:ascii="Times New Roman" w:hAnsi="Times New Roman"/>
                <w:color w:val="auto"/>
                <w:kern w:val="2"/>
                <w:sz w:val="21"/>
                <w:szCs w:val="21"/>
                <w:highlight w:val="none"/>
                <w:lang w:val="en-US" w:eastAsia="zh-CN" w:bidi="ar-SA"/>
              </w:rPr>
              <w:t>2.贷款的调查、审查、批准职责和权限</w:t>
            </w:r>
            <w:r>
              <w:rPr>
                <w:rFonts w:hint="eastAsia" w:ascii="Times New Roman" w:hAnsi="Times New Roman"/>
                <w:color w:val="auto"/>
                <w:kern w:val="2"/>
                <w:sz w:val="21"/>
                <w:szCs w:val="21"/>
                <w:highlight w:val="none"/>
                <w:lang w:val="en-US" w:eastAsia="zh-CN" w:bidi="ar-SA"/>
              </w:rPr>
              <w:t>分离，划归</w:t>
            </w:r>
            <w:r>
              <w:rPr>
                <w:rFonts w:hint="default" w:ascii="Times New Roman" w:hAnsi="Times New Roman"/>
                <w:color w:val="auto"/>
                <w:kern w:val="2"/>
                <w:sz w:val="21"/>
                <w:szCs w:val="21"/>
                <w:highlight w:val="none"/>
                <w:lang w:val="en-US" w:eastAsia="zh-CN" w:bidi="ar-SA"/>
              </w:rPr>
              <w:t>不同人员负责执行</w:t>
            </w:r>
            <w:r>
              <w:rPr>
                <w:rFonts w:hint="eastAsia" w:ascii="Times New Roman" w:hAnsi="Times New Roman"/>
                <w:color w:val="auto"/>
                <w:kern w:val="2"/>
                <w:sz w:val="21"/>
                <w:szCs w:val="21"/>
                <w:highlight w:val="none"/>
                <w:lang w:val="en-US" w:eastAsia="zh-CN" w:bidi="ar-SA"/>
              </w:rPr>
              <w:t>的得</w:t>
            </w:r>
            <w:r>
              <w:rPr>
                <w:rFonts w:hint="eastAsia"/>
                <w:color w:val="auto"/>
                <w:kern w:val="2"/>
                <w:sz w:val="21"/>
                <w:szCs w:val="21"/>
                <w:highlight w:val="none"/>
                <w:lang w:val="en-US" w:eastAsia="zh-CN" w:bidi="ar-SA"/>
              </w:rPr>
              <w:t>3</w:t>
            </w:r>
            <w:r>
              <w:rPr>
                <w:rFonts w:hint="eastAsia" w:ascii="Times New Roman" w:hAnsi="Times New Roman"/>
                <w:color w:val="auto"/>
                <w:kern w:val="2"/>
                <w:sz w:val="21"/>
                <w:szCs w:val="21"/>
                <w:highlight w:val="none"/>
                <w:lang w:val="en-US" w:eastAsia="zh-CN" w:bidi="ar-SA"/>
              </w:rPr>
              <w:t>分</w:t>
            </w:r>
            <w:r>
              <w:rPr>
                <w:rFonts w:hint="eastAsia"/>
                <w:color w:val="auto"/>
                <w:kern w:val="2"/>
                <w:sz w:val="21"/>
                <w:szCs w:val="21"/>
                <w:highlight w:val="none"/>
                <w:lang w:val="en-US" w:eastAsia="zh-CN" w:bidi="ar-SA"/>
              </w:rPr>
              <w:t>，</w:t>
            </w:r>
            <w:r>
              <w:rPr>
                <w:rFonts w:hint="eastAsia" w:ascii="Times New Roman" w:hAnsi="Times New Roman" w:eastAsia="仿宋_GB2312" w:cs="Times New Roman"/>
                <w:i w:val="0"/>
                <w:caps w:val="0"/>
                <w:color w:val="auto"/>
                <w:spacing w:val="0"/>
                <w:kern w:val="2"/>
                <w:sz w:val="21"/>
                <w:szCs w:val="21"/>
                <w:highlight w:val="none"/>
                <w:shd w:val="clear" w:color="auto" w:fill="auto"/>
                <w:lang w:val="en-US" w:eastAsia="zh-CN" w:bidi="ar-SA"/>
              </w:rPr>
              <w:t>否则</w:t>
            </w:r>
            <w:r>
              <w:rPr>
                <w:rFonts w:hint="eastAsia" w:ascii="Times New Roman" w:hAnsi="Times New Roman" w:cs="Times New Roman"/>
                <w:i w:val="0"/>
                <w:caps w:val="0"/>
                <w:color w:val="auto"/>
                <w:spacing w:val="0"/>
                <w:kern w:val="2"/>
                <w:sz w:val="21"/>
                <w:szCs w:val="21"/>
                <w:highlight w:val="none"/>
                <w:shd w:val="clear" w:color="auto" w:fill="auto"/>
                <w:lang w:val="en-US" w:eastAsia="zh-CN" w:bidi="ar-SA"/>
              </w:rPr>
              <w:t>该子项</w:t>
            </w:r>
            <w:r>
              <w:rPr>
                <w:rFonts w:hint="eastAsia" w:ascii="Times New Roman" w:hAnsi="Times New Roman" w:eastAsia="仿宋_GB2312" w:cs="Times New Roman"/>
                <w:i w:val="0"/>
                <w:caps w:val="0"/>
                <w:color w:val="auto"/>
                <w:spacing w:val="0"/>
                <w:kern w:val="2"/>
                <w:sz w:val="21"/>
                <w:szCs w:val="21"/>
                <w:highlight w:val="none"/>
                <w:shd w:val="clear" w:color="auto" w:fill="auto"/>
                <w:lang w:val="en-US" w:eastAsia="zh-CN" w:bidi="ar-SA"/>
              </w:rPr>
              <w:t>得0分</w:t>
            </w:r>
            <w:r>
              <w:rPr>
                <w:rFonts w:hint="eastAsia" w:ascii="Times New Roman" w:hAnsi="Times New Roman"/>
                <w:color w:val="auto"/>
                <w:kern w:val="2"/>
                <w:sz w:val="21"/>
                <w:szCs w:val="21"/>
                <w:highlight w:val="none"/>
                <w:lang w:val="en-US" w:eastAsia="zh-CN" w:bidi="ar-SA"/>
              </w:rPr>
              <w:t>。</w:t>
            </w:r>
          </w:p>
          <w:p w14:paraId="3D335980">
            <w:pPr>
              <w:rPr>
                <w:rFonts w:hint="default" w:ascii="Times New Roman" w:hAnsi="Times New Roman"/>
                <w:color w:val="auto"/>
                <w:kern w:val="2"/>
                <w:sz w:val="21"/>
                <w:szCs w:val="21"/>
                <w:highlight w:val="none"/>
                <w:lang w:val="en-US" w:eastAsia="zh-CN" w:bidi="ar-SA"/>
              </w:rPr>
            </w:pPr>
            <w:r>
              <w:rPr>
                <w:rFonts w:hint="eastAsia"/>
                <w:color w:val="auto"/>
                <w:kern w:val="2"/>
                <w:sz w:val="21"/>
                <w:szCs w:val="21"/>
                <w:highlight w:val="none"/>
                <w:lang w:val="en-US" w:eastAsia="zh-CN" w:bidi="ar-SA"/>
              </w:rPr>
              <w:t xml:space="preserve">    </w:t>
            </w:r>
            <w:r>
              <w:rPr>
                <w:rFonts w:hint="eastAsia" w:ascii="Times New Roman" w:hAnsi="Times New Roman"/>
                <w:color w:val="auto"/>
                <w:kern w:val="2"/>
                <w:sz w:val="21"/>
                <w:szCs w:val="21"/>
                <w:highlight w:val="none"/>
                <w:lang w:val="en-US" w:eastAsia="zh-CN" w:bidi="ar-SA"/>
              </w:rPr>
              <w:t>3.担保贷款的抵（质）押物及时向有关部门办理抵（质）押登记手续的得2分</w:t>
            </w:r>
            <w:r>
              <w:rPr>
                <w:rFonts w:hint="eastAsia"/>
                <w:color w:val="auto"/>
                <w:kern w:val="2"/>
                <w:sz w:val="21"/>
                <w:szCs w:val="21"/>
                <w:highlight w:val="none"/>
                <w:lang w:val="en-US" w:eastAsia="zh-CN" w:bidi="ar-SA"/>
              </w:rPr>
              <w:t>，</w:t>
            </w:r>
            <w:r>
              <w:rPr>
                <w:rFonts w:hint="eastAsia" w:ascii="Times New Roman" w:hAnsi="Times New Roman" w:eastAsia="仿宋_GB2312" w:cs="Times New Roman"/>
                <w:i w:val="0"/>
                <w:caps w:val="0"/>
                <w:color w:val="auto"/>
                <w:spacing w:val="0"/>
                <w:kern w:val="2"/>
                <w:sz w:val="21"/>
                <w:szCs w:val="21"/>
                <w:highlight w:val="none"/>
                <w:shd w:val="clear" w:color="auto" w:fill="auto"/>
                <w:lang w:val="en-US" w:eastAsia="zh-CN" w:bidi="ar-SA"/>
              </w:rPr>
              <w:t>否则</w:t>
            </w:r>
            <w:r>
              <w:rPr>
                <w:rFonts w:hint="eastAsia" w:ascii="Times New Roman" w:hAnsi="Times New Roman" w:cs="Times New Roman"/>
                <w:i w:val="0"/>
                <w:caps w:val="0"/>
                <w:color w:val="auto"/>
                <w:spacing w:val="0"/>
                <w:kern w:val="2"/>
                <w:sz w:val="21"/>
                <w:szCs w:val="21"/>
                <w:highlight w:val="none"/>
                <w:shd w:val="clear" w:color="auto" w:fill="auto"/>
                <w:lang w:val="en-US" w:eastAsia="zh-CN" w:bidi="ar-SA"/>
              </w:rPr>
              <w:t>该子项</w:t>
            </w:r>
            <w:r>
              <w:rPr>
                <w:rFonts w:hint="eastAsia" w:ascii="Times New Roman" w:hAnsi="Times New Roman" w:eastAsia="仿宋_GB2312" w:cs="Times New Roman"/>
                <w:i w:val="0"/>
                <w:caps w:val="0"/>
                <w:color w:val="auto"/>
                <w:spacing w:val="0"/>
                <w:kern w:val="2"/>
                <w:sz w:val="21"/>
                <w:szCs w:val="21"/>
                <w:highlight w:val="none"/>
                <w:shd w:val="clear" w:color="auto" w:fill="auto"/>
                <w:lang w:val="en-US" w:eastAsia="zh-CN" w:bidi="ar-SA"/>
              </w:rPr>
              <w:t>得0分</w:t>
            </w:r>
            <w:r>
              <w:rPr>
                <w:rFonts w:hint="eastAsia" w:ascii="Times New Roman" w:hAnsi="Times New Roman"/>
                <w:color w:val="auto"/>
                <w:kern w:val="2"/>
                <w:sz w:val="21"/>
                <w:szCs w:val="21"/>
                <w:highlight w:val="none"/>
                <w:lang w:val="en-US" w:eastAsia="zh-CN" w:bidi="ar-SA"/>
              </w:rPr>
              <w:t>。</w:t>
            </w:r>
          </w:p>
          <w:p w14:paraId="5EA94EB2">
            <w:pPr>
              <w:rPr>
                <w:rFonts w:hint="default" w:ascii="Times New Roman" w:hAnsi="Times New Roman"/>
                <w:color w:val="auto"/>
                <w:kern w:val="2"/>
                <w:sz w:val="21"/>
                <w:szCs w:val="21"/>
                <w:highlight w:val="none"/>
                <w:lang w:val="en-US" w:eastAsia="zh-CN" w:bidi="ar-SA"/>
              </w:rPr>
            </w:pPr>
            <w:r>
              <w:rPr>
                <w:rFonts w:hint="eastAsia"/>
                <w:color w:val="auto"/>
                <w:kern w:val="2"/>
                <w:sz w:val="21"/>
                <w:szCs w:val="21"/>
                <w:highlight w:val="none"/>
                <w:lang w:val="en-US" w:eastAsia="zh-CN" w:bidi="ar-SA"/>
              </w:rPr>
              <w:t xml:space="preserve">    </w:t>
            </w:r>
            <w:r>
              <w:rPr>
                <w:rFonts w:hint="eastAsia" w:ascii="Times New Roman" w:hAnsi="Times New Roman"/>
                <w:color w:val="auto"/>
                <w:kern w:val="2"/>
                <w:sz w:val="21"/>
                <w:szCs w:val="21"/>
                <w:highlight w:val="none"/>
                <w:lang w:val="en-US" w:eastAsia="zh-CN" w:bidi="ar-SA"/>
              </w:rPr>
              <w:t>4.经营过程中不良贷款率超过10%，或可疑类和损失类贷款余额超过贷款余额的5%，</w:t>
            </w:r>
            <w:r>
              <w:rPr>
                <w:rFonts w:hint="eastAsia" w:ascii="Times New Roman" w:hAnsi="Times New Roman" w:cs="Times New Roman"/>
                <w:color w:val="auto"/>
                <w:kern w:val="2"/>
                <w:sz w:val="21"/>
                <w:szCs w:val="21"/>
                <w:highlight w:val="none"/>
                <w:lang w:val="en-US" w:eastAsia="zh-CN" w:bidi="ar-SA"/>
              </w:rPr>
              <w:t>及时召开董事会或经执行董事研究处置，有关情况及时形成专项报告报属地地方金融管理部门及自治区地方金融</w:t>
            </w:r>
            <w:r>
              <w:rPr>
                <w:rFonts w:hint="eastAsia" w:ascii="Times New Roman" w:hAnsi="Times New Roman"/>
                <w:color w:val="auto"/>
                <w:kern w:val="2"/>
                <w:sz w:val="21"/>
                <w:szCs w:val="21"/>
                <w:highlight w:val="none"/>
                <w:lang w:val="en-US" w:eastAsia="zh-CN" w:bidi="ar-SA"/>
              </w:rPr>
              <w:t>管理局的得2分</w:t>
            </w:r>
            <w:r>
              <w:rPr>
                <w:rFonts w:hint="eastAsia"/>
                <w:color w:val="auto"/>
                <w:kern w:val="2"/>
                <w:sz w:val="21"/>
                <w:szCs w:val="21"/>
                <w:highlight w:val="none"/>
                <w:lang w:val="en-US" w:eastAsia="zh-CN" w:bidi="ar-SA"/>
              </w:rPr>
              <w:t>，</w:t>
            </w:r>
            <w:r>
              <w:rPr>
                <w:rFonts w:hint="eastAsia" w:ascii="Times New Roman" w:hAnsi="Times New Roman" w:eastAsia="仿宋_GB2312" w:cs="Times New Roman"/>
                <w:i w:val="0"/>
                <w:caps w:val="0"/>
                <w:color w:val="auto"/>
                <w:spacing w:val="0"/>
                <w:kern w:val="2"/>
                <w:sz w:val="21"/>
                <w:szCs w:val="21"/>
                <w:highlight w:val="none"/>
                <w:shd w:val="clear" w:color="auto" w:fill="auto"/>
                <w:lang w:val="en-US" w:eastAsia="zh-CN" w:bidi="ar-SA"/>
              </w:rPr>
              <w:t>否则</w:t>
            </w:r>
            <w:r>
              <w:rPr>
                <w:rFonts w:hint="eastAsia" w:ascii="Times New Roman" w:hAnsi="Times New Roman" w:cs="Times New Roman"/>
                <w:i w:val="0"/>
                <w:caps w:val="0"/>
                <w:color w:val="auto"/>
                <w:spacing w:val="0"/>
                <w:kern w:val="2"/>
                <w:sz w:val="21"/>
                <w:szCs w:val="21"/>
                <w:highlight w:val="none"/>
                <w:shd w:val="clear" w:color="auto" w:fill="auto"/>
                <w:lang w:val="en-US" w:eastAsia="zh-CN" w:bidi="ar-SA"/>
              </w:rPr>
              <w:t>该子项</w:t>
            </w:r>
            <w:r>
              <w:rPr>
                <w:rFonts w:hint="eastAsia" w:ascii="Times New Roman" w:hAnsi="Times New Roman" w:eastAsia="仿宋_GB2312" w:cs="Times New Roman"/>
                <w:i w:val="0"/>
                <w:caps w:val="0"/>
                <w:color w:val="auto"/>
                <w:spacing w:val="0"/>
                <w:kern w:val="2"/>
                <w:sz w:val="21"/>
                <w:szCs w:val="21"/>
                <w:highlight w:val="none"/>
                <w:shd w:val="clear" w:color="auto" w:fill="auto"/>
                <w:lang w:val="en-US" w:eastAsia="zh-CN" w:bidi="ar-SA"/>
              </w:rPr>
              <w:t>得0分</w:t>
            </w:r>
            <w:r>
              <w:rPr>
                <w:rFonts w:hint="eastAsia" w:ascii="Times New Roman" w:hAnsi="Times New Roman"/>
                <w:color w:val="auto"/>
                <w:kern w:val="2"/>
                <w:sz w:val="21"/>
                <w:szCs w:val="21"/>
                <w:highlight w:val="none"/>
                <w:lang w:val="en-US" w:eastAsia="zh-CN" w:bidi="ar-SA"/>
              </w:rPr>
              <w:t>。</w:t>
            </w:r>
          </w:p>
          <w:p w14:paraId="7E3E116C">
            <w:pPr>
              <w:keepNext w:val="0"/>
              <w:keepLines w:val="0"/>
              <w:pageBreakBefore w:val="0"/>
              <w:widowControl/>
              <w:kinsoku/>
              <w:wordWrap/>
              <w:overflowPunct/>
              <w:topLinePunct w:val="0"/>
              <w:autoSpaceDE/>
              <w:autoSpaceDN/>
              <w:bidi w:val="0"/>
              <w:adjustRightInd/>
              <w:snapToGrid/>
              <w:spacing w:line="240" w:lineRule="auto"/>
              <w:ind w:right="0" w:rightChars="0" w:firstLine="420" w:firstLineChars="200"/>
              <w:textAlignment w:val="auto"/>
              <w:rPr>
                <w:rFonts w:hint="default" w:ascii="Times New Roman" w:hAnsi="Times New Roman" w:eastAsia="仿宋_GB2312" w:cs="Times New Roman"/>
                <w:color w:val="auto"/>
                <w:sz w:val="21"/>
                <w:szCs w:val="21"/>
                <w:highlight w:val="none"/>
              </w:rPr>
            </w:pPr>
            <w:r>
              <w:rPr>
                <w:rFonts w:hint="eastAsia" w:ascii="Times New Roman" w:hAnsi="Times New Roman"/>
                <w:color w:val="auto"/>
                <w:kern w:val="2"/>
                <w:sz w:val="21"/>
                <w:szCs w:val="21"/>
                <w:highlight w:val="none"/>
                <w:lang w:val="en-US" w:eastAsia="zh-CN" w:bidi="ar-SA"/>
              </w:rPr>
              <w:t>5.规范债务催收程序和方式，</w:t>
            </w:r>
            <w:r>
              <w:rPr>
                <w:rFonts w:hint="eastAsia"/>
                <w:color w:val="auto"/>
                <w:kern w:val="2"/>
                <w:sz w:val="21"/>
                <w:szCs w:val="21"/>
                <w:highlight w:val="none"/>
                <w:lang w:val="en-US" w:eastAsia="zh-CN" w:bidi="ar-SA"/>
              </w:rPr>
              <w:t>没</w:t>
            </w:r>
            <w:r>
              <w:rPr>
                <w:rFonts w:hint="eastAsia" w:ascii="Times New Roman" w:hAnsi="Times New Roman"/>
                <w:color w:val="auto"/>
                <w:kern w:val="2"/>
                <w:sz w:val="21"/>
                <w:szCs w:val="21"/>
                <w:highlight w:val="none"/>
                <w:lang w:val="en-US" w:eastAsia="zh-CN" w:bidi="ar-SA"/>
              </w:rPr>
              <w:t>有违法或不当催收行为的得</w:t>
            </w:r>
            <w:r>
              <w:rPr>
                <w:rFonts w:hint="eastAsia"/>
                <w:color w:val="auto"/>
                <w:kern w:val="2"/>
                <w:sz w:val="21"/>
                <w:szCs w:val="21"/>
                <w:highlight w:val="none"/>
                <w:lang w:val="en-US" w:eastAsia="zh-CN" w:bidi="ar-SA"/>
              </w:rPr>
              <w:t>3</w:t>
            </w:r>
            <w:r>
              <w:rPr>
                <w:rFonts w:hint="eastAsia" w:ascii="Times New Roman" w:hAnsi="Times New Roman"/>
                <w:color w:val="auto"/>
                <w:kern w:val="2"/>
                <w:sz w:val="21"/>
                <w:szCs w:val="21"/>
                <w:highlight w:val="none"/>
                <w:lang w:val="en-US" w:eastAsia="zh-CN" w:bidi="ar-SA"/>
              </w:rPr>
              <w:t>分</w:t>
            </w:r>
            <w:r>
              <w:rPr>
                <w:rFonts w:hint="eastAsia"/>
                <w:color w:val="auto"/>
                <w:kern w:val="2"/>
                <w:sz w:val="21"/>
                <w:szCs w:val="21"/>
                <w:highlight w:val="none"/>
                <w:lang w:val="en-US" w:eastAsia="zh-CN" w:bidi="ar-SA"/>
              </w:rPr>
              <w:t>，</w:t>
            </w:r>
            <w:r>
              <w:rPr>
                <w:rFonts w:hint="eastAsia" w:ascii="Times New Roman" w:hAnsi="Times New Roman" w:eastAsia="仿宋_GB2312" w:cs="Times New Roman"/>
                <w:i w:val="0"/>
                <w:caps w:val="0"/>
                <w:color w:val="auto"/>
                <w:spacing w:val="0"/>
                <w:kern w:val="2"/>
                <w:sz w:val="21"/>
                <w:szCs w:val="21"/>
                <w:highlight w:val="none"/>
                <w:shd w:val="clear" w:color="auto" w:fill="auto"/>
                <w:lang w:val="en-US" w:eastAsia="zh-CN" w:bidi="ar-SA"/>
              </w:rPr>
              <w:t>否则</w:t>
            </w:r>
            <w:r>
              <w:rPr>
                <w:rFonts w:hint="eastAsia" w:ascii="Times New Roman" w:hAnsi="Times New Roman" w:cs="Times New Roman"/>
                <w:i w:val="0"/>
                <w:caps w:val="0"/>
                <w:color w:val="auto"/>
                <w:spacing w:val="0"/>
                <w:kern w:val="2"/>
                <w:sz w:val="21"/>
                <w:szCs w:val="21"/>
                <w:highlight w:val="none"/>
                <w:shd w:val="clear" w:color="auto" w:fill="auto"/>
                <w:lang w:val="en-US" w:eastAsia="zh-CN" w:bidi="ar-SA"/>
              </w:rPr>
              <w:t>该子项</w:t>
            </w:r>
            <w:r>
              <w:rPr>
                <w:rFonts w:hint="eastAsia" w:ascii="Times New Roman" w:hAnsi="Times New Roman" w:eastAsia="仿宋_GB2312" w:cs="Times New Roman"/>
                <w:i w:val="0"/>
                <w:caps w:val="0"/>
                <w:color w:val="auto"/>
                <w:spacing w:val="0"/>
                <w:kern w:val="2"/>
                <w:sz w:val="21"/>
                <w:szCs w:val="21"/>
                <w:highlight w:val="none"/>
                <w:shd w:val="clear" w:color="auto" w:fill="auto"/>
                <w:lang w:val="en-US" w:eastAsia="zh-CN" w:bidi="ar-SA"/>
              </w:rPr>
              <w:t>得0分</w:t>
            </w:r>
            <w:r>
              <w:rPr>
                <w:rFonts w:hint="eastAsia" w:ascii="Times New Roman" w:hAnsi="Times New Roman"/>
                <w:color w:val="auto"/>
                <w:kern w:val="2"/>
                <w:sz w:val="21"/>
                <w:szCs w:val="21"/>
                <w:highlight w:val="none"/>
                <w:lang w:val="en-US" w:eastAsia="zh-CN" w:bidi="ar-SA"/>
              </w:rPr>
              <w:t>。</w:t>
            </w:r>
          </w:p>
        </w:tc>
        <w:tc>
          <w:tcPr>
            <w:tcW w:w="798" w:type="dxa"/>
            <w:tcBorders>
              <w:top w:val="single" w:color="auto" w:sz="4" w:space="0"/>
              <w:left w:val="single" w:color="auto" w:sz="4" w:space="0"/>
              <w:bottom w:val="single" w:color="auto" w:sz="4" w:space="0"/>
              <w:right w:val="single" w:color="auto" w:sz="4" w:space="0"/>
            </w:tcBorders>
            <w:noWrap w:val="0"/>
            <w:vAlign w:val="top"/>
          </w:tcPr>
          <w:p w14:paraId="0126E9C5">
            <w:pPr>
              <w:spacing w:line="540" w:lineRule="exact"/>
              <w:rPr>
                <w:rFonts w:hint="default" w:ascii="Times New Roman" w:hAnsi="Times New Roman" w:eastAsia="方正仿宋_GBK" w:cs="Times New Roman"/>
                <w:color w:val="auto"/>
                <w:sz w:val="32"/>
                <w:szCs w:val="32"/>
                <w:highlight w:val="none"/>
              </w:rPr>
            </w:pPr>
          </w:p>
        </w:tc>
        <w:tc>
          <w:tcPr>
            <w:tcW w:w="715" w:type="dxa"/>
            <w:tcBorders>
              <w:top w:val="single" w:color="auto" w:sz="4" w:space="0"/>
              <w:left w:val="single" w:color="auto" w:sz="4" w:space="0"/>
              <w:bottom w:val="single" w:color="auto" w:sz="4" w:space="0"/>
              <w:right w:val="single" w:color="auto" w:sz="4" w:space="0"/>
            </w:tcBorders>
            <w:noWrap w:val="0"/>
            <w:vAlign w:val="top"/>
          </w:tcPr>
          <w:p w14:paraId="0F0BD044">
            <w:pPr>
              <w:spacing w:line="540" w:lineRule="exact"/>
              <w:rPr>
                <w:rFonts w:hint="default" w:ascii="Times New Roman" w:hAnsi="Times New Roman" w:eastAsia="方正仿宋_GBK" w:cs="Times New Roman"/>
                <w:color w:val="auto"/>
                <w:sz w:val="32"/>
                <w:szCs w:val="32"/>
                <w:highlight w:val="none"/>
              </w:rPr>
            </w:pPr>
          </w:p>
        </w:tc>
      </w:tr>
      <w:tr w14:paraId="63F9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138" w:type="dxa"/>
            <w:vMerge w:val="restart"/>
            <w:noWrap w:val="0"/>
            <w:vAlign w:val="center"/>
          </w:tcPr>
          <w:p w14:paraId="707FD866">
            <w:pPr>
              <w:spacing w:line="400" w:lineRule="exact"/>
              <w:jc w:val="center"/>
              <w:rPr>
                <w:rFonts w:hint="default" w:ascii="Times New Roman" w:hAnsi="Times New Roman" w:eastAsia="黑体" w:cs="Times New Roman"/>
                <w:color w:val="auto"/>
                <w:sz w:val="28"/>
                <w:szCs w:val="28"/>
                <w:highlight w:val="none"/>
              </w:rPr>
            </w:pPr>
          </w:p>
          <w:p w14:paraId="2F76C67E">
            <w:pPr>
              <w:spacing w:line="40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五、</w:t>
            </w:r>
          </w:p>
          <w:p w14:paraId="547EFA93">
            <w:pPr>
              <w:spacing w:line="40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资产</w:t>
            </w:r>
          </w:p>
          <w:p w14:paraId="57CECF40">
            <w:pPr>
              <w:spacing w:line="40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质量</w:t>
            </w:r>
          </w:p>
          <w:p w14:paraId="01DCA3C3">
            <w:pPr>
              <w:spacing w:line="40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w:t>
            </w:r>
            <w:r>
              <w:rPr>
                <w:rFonts w:hint="eastAsia" w:eastAsia="黑体" w:cs="Times New Roman"/>
                <w:color w:val="auto"/>
                <w:sz w:val="28"/>
                <w:szCs w:val="28"/>
                <w:highlight w:val="none"/>
                <w:lang w:val="en-US" w:eastAsia="zh-CN"/>
              </w:rPr>
              <w:t>25</w:t>
            </w:r>
            <w:r>
              <w:rPr>
                <w:rFonts w:hint="default" w:ascii="Times New Roman" w:hAnsi="Times New Roman" w:eastAsia="黑体" w:cs="Times New Roman"/>
                <w:color w:val="auto"/>
                <w:sz w:val="28"/>
                <w:szCs w:val="28"/>
                <w:highlight w:val="none"/>
              </w:rPr>
              <w:t>分）</w:t>
            </w:r>
          </w:p>
          <w:p w14:paraId="33B1775B">
            <w:pPr>
              <w:spacing w:line="400" w:lineRule="exact"/>
              <w:jc w:val="left"/>
              <w:rPr>
                <w:rFonts w:hint="default" w:ascii="Times New Roman" w:hAnsi="Times New Roman" w:eastAsia="方正仿宋_GBK" w:cs="Times New Roman"/>
                <w:color w:val="auto"/>
                <w:sz w:val="32"/>
                <w:szCs w:val="32"/>
                <w:highlight w:val="none"/>
              </w:rPr>
            </w:pPr>
          </w:p>
        </w:tc>
        <w:tc>
          <w:tcPr>
            <w:tcW w:w="1398" w:type="dxa"/>
            <w:noWrap w:val="0"/>
            <w:vAlign w:val="center"/>
          </w:tcPr>
          <w:p w14:paraId="3902B8DB">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outlineLvl w:val="9"/>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（2</w:t>
            </w:r>
            <w:r>
              <w:rPr>
                <w:rFonts w:hint="eastAsia" w:eastAsia="楷体_GB2312" w:cs="Times New Roman"/>
                <w:b/>
                <w:bCs/>
                <w:color w:val="auto"/>
                <w:sz w:val="24"/>
                <w:szCs w:val="24"/>
                <w:highlight w:val="none"/>
                <w:lang w:val="en-US" w:eastAsia="zh-CN"/>
              </w:rPr>
              <w:t>2</w:t>
            </w:r>
            <w:r>
              <w:rPr>
                <w:rFonts w:hint="default" w:ascii="Times New Roman" w:hAnsi="Times New Roman" w:eastAsia="楷体_GB2312" w:cs="Times New Roman"/>
                <w:b/>
                <w:bCs/>
                <w:color w:val="auto"/>
                <w:sz w:val="24"/>
                <w:szCs w:val="24"/>
                <w:highlight w:val="none"/>
              </w:rPr>
              <w:t>）不良贷款率</w:t>
            </w:r>
          </w:p>
        </w:tc>
        <w:tc>
          <w:tcPr>
            <w:tcW w:w="506" w:type="dxa"/>
            <w:noWrap w:val="0"/>
            <w:vAlign w:val="center"/>
          </w:tcPr>
          <w:p w14:paraId="3049D922">
            <w:pPr>
              <w:jc w:val="center"/>
              <w:rPr>
                <w:rFonts w:hint="default" w:ascii="Times New Roman" w:hAnsi="Times New Roman" w:eastAsia="宋体" w:cs="Times New Roman"/>
                <w:b/>
                <w:bCs/>
                <w:color w:val="auto"/>
                <w:sz w:val="24"/>
                <w:szCs w:val="24"/>
                <w:highlight w:val="none"/>
                <w:lang w:val="en-US" w:eastAsia="zh-CN"/>
              </w:rPr>
            </w:pPr>
            <w:r>
              <w:rPr>
                <w:rFonts w:hint="eastAsia" w:eastAsia="宋体" w:cs="Times New Roman"/>
                <w:b/>
                <w:bCs/>
                <w:color w:val="auto"/>
                <w:sz w:val="24"/>
                <w:szCs w:val="24"/>
                <w:highlight w:val="none"/>
                <w:lang w:val="en-US" w:eastAsia="zh-CN"/>
              </w:rPr>
              <w:t>10</w:t>
            </w:r>
          </w:p>
        </w:tc>
        <w:tc>
          <w:tcPr>
            <w:tcW w:w="9741" w:type="dxa"/>
            <w:noWrap w:val="0"/>
            <w:vAlign w:val="center"/>
          </w:tcPr>
          <w:p w14:paraId="23127551">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420" w:firstLineChars="200"/>
              <w:jc w:val="left"/>
              <w:textAlignment w:val="auto"/>
              <w:rPr>
                <w:rFonts w:hint="eastAsia" w:ascii="Times New Roman" w:hAnsi="Times New Roman" w:eastAsia="仿宋_GB2312" w:cs="Times New Roman"/>
                <w:i w:val="0"/>
                <w:caps w:val="0"/>
                <w:color w:val="auto"/>
                <w:spacing w:val="0"/>
                <w:kern w:val="2"/>
                <w:sz w:val="21"/>
                <w:szCs w:val="21"/>
                <w:highlight w:val="none"/>
                <w:shd w:val="clear" w:color="auto" w:fill="auto"/>
                <w:lang w:val="en-US" w:eastAsia="zh-CN" w:bidi="ar-SA"/>
              </w:rPr>
            </w:pPr>
            <w:r>
              <w:rPr>
                <w:rFonts w:hint="eastAsia" w:ascii="Times New Roman" w:hAnsi="Times New Roman" w:cs="Times New Roman"/>
                <w:i w:val="0"/>
                <w:caps w:val="0"/>
                <w:color w:val="auto"/>
                <w:spacing w:val="0"/>
                <w:kern w:val="2"/>
                <w:sz w:val="21"/>
                <w:szCs w:val="21"/>
                <w:highlight w:val="none"/>
                <w:shd w:val="clear" w:color="auto" w:fill="auto"/>
                <w:lang w:val="en-US" w:eastAsia="zh-CN" w:bidi="ar-SA"/>
              </w:rPr>
              <w:t>1.</w:t>
            </w:r>
            <w:r>
              <w:rPr>
                <w:rFonts w:hint="eastAsia" w:ascii="Times New Roman" w:hAnsi="Times New Roman" w:eastAsia="仿宋_GB2312" w:cs="Times New Roman"/>
                <w:i w:val="0"/>
                <w:caps w:val="0"/>
                <w:color w:val="auto"/>
                <w:spacing w:val="0"/>
                <w:kern w:val="2"/>
                <w:sz w:val="21"/>
                <w:szCs w:val="21"/>
                <w:highlight w:val="none"/>
                <w:shd w:val="clear" w:color="auto" w:fill="auto"/>
                <w:lang w:val="en-US" w:eastAsia="zh-CN" w:bidi="ar-SA"/>
              </w:rPr>
              <w:t>小额贷款公司将逾期超过九十天的贷款划分为不良贷款的</w:t>
            </w:r>
            <w:r>
              <w:rPr>
                <w:rFonts w:hint="eastAsia" w:ascii="仿宋" w:hAnsi="仿宋" w:eastAsia="仿宋" w:cs="仿宋"/>
                <w:i w:val="0"/>
                <w:caps w:val="0"/>
                <w:color w:val="auto"/>
                <w:spacing w:val="0"/>
                <w:kern w:val="0"/>
                <w:sz w:val="21"/>
                <w:szCs w:val="21"/>
                <w:highlight w:val="none"/>
                <w:shd w:val="clear" w:color="auto" w:fill="FFFFFF"/>
                <w:lang w:val="en-US" w:eastAsia="zh-CN" w:bidi="ar"/>
              </w:rPr>
              <w:t>得</w:t>
            </w:r>
            <w:r>
              <w:rPr>
                <w:rFonts w:hint="eastAsia" w:cs="Times New Roman"/>
                <w:i w:val="0"/>
                <w:caps w:val="0"/>
                <w:color w:val="auto"/>
                <w:spacing w:val="0"/>
                <w:kern w:val="2"/>
                <w:sz w:val="21"/>
                <w:szCs w:val="21"/>
                <w:highlight w:val="none"/>
                <w:shd w:val="clear" w:color="auto" w:fill="auto"/>
                <w:lang w:val="en-US" w:eastAsia="zh-CN" w:bidi="ar-SA"/>
              </w:rPr>
              <w:t>3</w:t>
            </w:r>
            <w:r>
              <w:rPr>
                <w:rFonts w:hint="eastAsia" w:ascii="仿宋" w:hAnsi="仿宋" w:eastAsia="仿宋" w:cs="仿宋"/>
                <w:i w:val="0"/>
                <w:caps w:val="0"/>
                <w:color w:val="auto"/>
                <w:spacing w:val="0"/>
                <w:kern w:val="0"/>
                <w:sz w:val="21"/>
                <w:szCs w:val="21"/>
                <w:highlight w:val="none"/>
                <w:shd w:val="clear" w:color="auto" w:fill="FFFFFF"/>
                <w:lang w:val="en-US" w:eastAsia="zh-CN" w:bidi="ar"/>
              </w:rPr>
              <w:t>分，</w:t>
            </w:r>
            <w:r>
              <w:rPr>
                <w:rFonts w:hint="eastAsia" w:ascii="Times New Roman" w:hAnsi="Times New Roman" w:eastAsia="仿宋_GB2312" w:cs="Times New Roman"/>
                <w:i w:val="0"/>
                <w:caps w:val="0"/>
                <w:color w:val="auto"/>
                <w:spacing w:val="0"/>
                <w:kern w:val="2"/>
                <w:sz w:val="21"/>
                <w:szCs w:val="21"/>
                <w:highlight w:val="none"/>
                <w:shd w:val="clear" w:color="auto" w:fill="auto"/>
                <w:lang w:val="en-US" w:eastAsia="zh-CN" w:bidi="ar-SA"/>
              </w:rPr>
              <w:t>否则</w:t>
            </w:r>
            <w:r>
              <w:rPr>
                <w:rFonts w:hint="eastAsia" w:ascii="Times New Roman" w:hAnsi="Times New Roman" w:cs="Times New Roman"/>
                <w:i w:val="0"/>
                <w:caps w:val="0"/>
                <w:color w:val="auto"/>
                <w:spacing w:val="0"/>
                <w:kern w:val="2"/>
                <w:sz w:val="21"/>
                <w:szCs w:val="21"/>
                <w:highlight w:val="none"/>
                <w:shd w:val="clear" w:color="auto" w:fill="auto"/>
                <w:lang w:val="en-US" w:eastAsia="zh-CN" w:bidi="ar-SA"/>
              </w:rPr>
              <w:t>该子项得</w:t>
            </w:r>
            <w:r>
              <w:rPr>
                <w:rFonts w:hint="eastAsia" w:ascii="Times New Roman" w:hAnsi="Times New Roman" w:eastAsia="仿宋_GB2312" w:cs="Times New Roman"/>
                <w:i w:val="0"/>
                <w:caps w:val="0"/>
                <w:color w:val="auto"/>
                <w:spacing w:val="0"/>
                <w:kern w:val="2"/>
                <w:sz w:val="21"/>
                <w:szCs w:val="21"/>
                <w:highlight w:val="none"/>
                <w:shd w:val="clear" w:color="auto" w:fill="auto"/>
                <w:lang w:val="en-US" w:eastAsia="zh-CN" w:bidi="ar-SA"/>
              </w:rPr>
              <w:t>0分。</w:t>
            </w:r>
          </w:p>
          <w:p w14:paraId="093EEB24">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420" w:firstLineChars="200"/>
              <w:jc w:val="left"/>
              <w:textAlignment w:val="auto"/>
              <w:rPr>
                <w:rFonts w:hint="default" w:ascii="Times New Roman" w:hAnsi="Times New Roman" w:eastAsia="仿宋_GB2312" w:cs="Times New Roman"/>
                <w:color w:val="auto"/>
                <w:sz w:val="21"/>
                <w:szCs w:val="21"/>
                <w:highlight w:val="none"/>
              </w:rPr>
            </w:pPr>
            <w:r>
              <w:rPr>
                <w:rFonts w:hint="eastAsia"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年末不良贷款余额占全部贷款余额的比重，低于5%（含）得</w:t>
            </w:r>
            <w:r>
              <w:rPr>
                <w:rFonts w:hint="eastAsia" w:cs="Times New Roman"/>
                <w:color w:val="auto"/>
                <w:sz w:val="21"/>
                <w:szCs w:val="21"/>
                <w:highlight w:val="none"/>
                <w:lang w:val="en-US" w:eastAsia="zh-CN"/>
              </w:rPr>
              <w:t>7</w:t>
            </w:r>
            <w:r>
              <w:rPr>
                <w:rFonts w:hint="default" w:ascii="Times New Roman" w:hAnsi="Times New Roman" w:eastAsia="仿宋_GB2312" w:cs="Times New Roman"/>
                <w:color w:val="auto"/>
                <w:sz w:val="21"/>
                <w:szCs w:val="21"/>
                <w:highlight w:val="none"/>
              </w:rPr>
              <w:t>分；高于</w:t>
            </w: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%的，</w:t>
            </w:r>
            <w:r>
              <w:rPr>
                <w:rFonts w:hint="eastAsia" w:cs="Times New Roman"/>
                <w:color w:val="auto"/>
                <w:sz w:val="21"/>
                <w:szCs w:val="21"/>
                <w:highlight w:val="none"/>
                <w:lang w:val="en-US" w:eastAsia="zh-CN"/>
              </w:rPr>
              <w:t>每</w:t>
            </w:r>
            <w:r>
              <w:rPr>
                <w:rFonts w:hint="default" w:ascii="Times New Roman" w:hAnsi="Times New Roman" w:eastAsia="仿宋_GB2312" w:cs="Times New Roman"/>
                <w:color w:val="auto"/>
                <w:sz w:val="21"/>
                <w:szCs w:val="21"/>
                <w:highlight w:val="none"/>
              </w:rPr>
              <w:t>增加</w:t>
            </w:r>
            <w:r>
              <w:rPr>
                <w:rFonts w:hint="eastAsia"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个百分点</w:t>
            </w:r>
            <w:r>
              <w:rPr>
                <w:rFonts w:hint="eastAsia" w:cs="Times New Roman"/>
                <w:color w:val="auto"/>
                <w:sz w:val="21"/>
                <w:szCs w:val="21"/>
                <w:highlight w:val="none"/>
                <w:lang w:val="en-US" w:eastAsia="zh-CN"/>
              </w:rPr>
              <w:t>扣1分</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不足2个百分点的按2个百分点计算</w:t>
            </w:r>
            <w:r>
              <w:rPr>
                <w:rFonts w:hint="default" w:ascii="Times New Roman" w:hAnsi="Times New Roman" w:cs="Times New Roman"/>
                <w:color w:val="auto"/>
                <w:sz w:val="21"/>
                <w:szCs w:val="21"/>
                <w:highlight w:val="none"/>
                <w:lang w:eastAsia="zh-CN"/>
              </w:rPr>
              <w:t>）</w:t>
            </w:r>
            <w:r>
              <w:rPr>
                <w:rFonts w:hint="eastAsia" w:cs="Times New Roman"/>
                <w:color w:val="auto"/>
                <w:sz w:val="21"/>
                <w:szCs w:val="21"/>
                <w:highlight w:val="none"/>
                <w:lang w:val="en-US" w:eastAsia="zh-CN"/>
              </w:rPr>
              <w:t>，扣完10分为止。</w:t>
            </w:r>
          </w:p>
        </w:tc>
        <w:tc>
          <w:tcPr>
            <w:tcW w:w="798" w:type="dxa"/>
            <w:noWrap w:val="0"/>
            <w:vAlign w:val="top"/>
          </w:tcPr>
          <w:p w14:paraId="1449A091">
            <w:pPr>
              <w:spacing w:line="540" w:lineRule="exact"/>
              <w:rPr>
                <w:rFonts w:hint="default" w:ascii="Times New Roman" w:hAnsi="Times New Roman" w:eastAsia="方正仿宋_GBK" w:cs="Times New Roman"/>
                <w:color w:val="auto"/>
                <w:sz w:val="32"/>
                <w:szCs w:val="32"/>
                <w:highlight w:val="none"/>
              </w:rPr>
            </w:pPr>
          </w:p>
        </w:tc>
        <w:tc>
          <w:tcPr>
            <w:tcW w:w="715" w:type="dxa"/>
            <w:noWrap w:val="0"/>
            <w:vAlign w:val="top"/>
          </w:tcPr>
          <w:p w14:paraId="41F42639">
            <w:pPr>
              <w:spacing w:line="540" w:lineRule="exact"/>
              <w:rPr>
                <w:rFonts w:hint="default" w:ascii="Times New Roman" w:hAnsi="Times New Roman" w:eastAsia="方正仿宋_GBK" w:cs="Times New Roman"/>
                <w:color w:val="auto"/>
                <w:sz w:val="32"/>
                <w:szCs w:val="32"/>
                <w:highlight w:val="none"/>
              </w:rPr>
            </w:pPr>
          </w:p>
        </w:tc>
      </w:tr>
      <w:tr w14:paraId="314F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138" w:type="dxa"/>
            <w:vMerge w:val="continue"/>
            <w:noWrap w:val="0"/>
            <w:vAlign w:val="top"/>
          </w:tcPr>
          <w:p w14:paraId="3795AE4B">
            <w:pPr>
              <w:spacing w:line="400" w:lineRule="exact"/>
              <w:jc w:val="left"/>
              <w:rPr>
                <w:rFonts w:hint="default" w:ascii="Times New Roman" w:hAnsi="Times New Roman" w:eastAsia="方正仿宋_GBK" w:cs="Times New Roman"/>
                <w:color w:val="auto"/>
                <w:sz w:val="32"/>
                <w:szCs w:val="32"/>
                <w:highlight w:val="none"/>
              </w:rPr>
            </w:pPr>
          </w:p>
        </w:tc>
        <w:tc>
          <w:tcPr>
            <w:tcW w:w="1398" w:type="dxa"/>
            <w:noWrap w:val="0"/>
            <w:vAlign w:val="center"/>
          </w:tcPr>
          <w:p w14:paraId="198FE480">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outlineLvl w:val="9"/>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（2</w:t>
            </w:r>
            <w:r>
              <w:rPr>
                <w:rFonts w:hint="eastAsia" w:eastAsia="楷体_GB2312" w:cs="Times New Roman"/>
                <w:b/>
                <w:bCs/>
                <w:color w:val="auto"/>
                <w:sz w:val="24"/>
                <w:szCs w:val="24"/>
                <w:highlight w:val="none"/>
                <w:lang w:val="en-US" w:eastAsia="zh-CN"/>
              </w:rPr>
              <w:t>3</w:t>
            </w:r>
            <w:r>
              <w:rPr>
                <w:rFonts w:hint="default" w:ascii="Times New Roman" w:hAnsi="Times New Roman" w:eastAsia="楷体_GB2312" w:cs="Times New Roman"/>
                <w:b/>
                <w:bCs/>
                <w:color w:val="auto"/>
                <w:sz w:val="24"/>
                <w:szCs w:val="24"/>
                <w:highlight w:val="none"/>
              </w:rPr>
              <w:t>）贷款逾期率</w:t>
            </w:r>
          </w:p>
        </w:tc>
        <w:tc>
          <w:tcPr>
            <w:tcW w:w="506" w:type="dxa"/>
            <w:noWrap w:val="0"/>
            <w:vAlign w:val="center"/>
          </w:tcPr>
          <w:p w14:paraId="503A6E0F">
            <w:pPr>
              <w:jc w:val="center"/>
              <w:rPr>
                <w:rFonts w:hint="default" w:ascii="Times New Roman" w:hAnsi="Times New Roman" w:eastAsia="宋体" w:cs="Times New Roman"/>
                <w:b/>
                <w:bCs/>
                <w:color w:val="auto"/>
                <w:sz w:val="24"/>
                <w:szCs w:val="24"/>
                <w:highlight w:val="none"/>
                <w:lang w:val="en-US" w:eastAsia="zh-CN"/>
              </w:rPr>
            </w:pPr>
            <w:r>
              <w:rPr>
                <w:rFonts w:hint="eastAsia" w:eastAsia="宋体" w:cs="Times New Roman"/>
                <w:b/>
                <w:bCs/>
                <w:color w:val="auto"/>
                <w:sz w:val="24"/>
                <w:szCs w:val="24"/>
                <w:highlight w:val="none"/>
                <w:lang w:val="en-US" w:eastAsia="zh-CN"/>
              </w:rPr>
              <w:t>5</w:t>
            </w:r>
          </w:p>
        </w:tc>
        <w:tc>
          <w:tcPr>
            <w:tcW w:w="9741" w:type="dxa"/>
            <w:noWrap w:val="0"/>
            <w:vAlign w:val="center"/>
          </w:tcPr>
          <w:p w14:paraId="7ED55876">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年末逾期贷款余额占全部贷款余额的比重，低于8%</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含</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得</w:t>
            </w: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分；高于8%的，每增加2个百分点扣1分</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不足2个百分点的按2个百分点计算</w:t>
            </w:r>
            <w:r>
              <w:rPr>
                <w:rFonts w:hint="default" w:ascii="Times New Roman" w:hAnsi="Times New Roman"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w:t>
            </w:r>
            <w:r>
              <w:rPr>
                <w:rFonts w:hint="default" w:ascii="Times New Roman" w:hAnsi="Times New Roman" w:cs="Times New Roman"/>
                <w:color w:val="auto"/>
                <w:sz w:val="21"/>
                <w:szCs w:val="21"/>
                <w:highlight w:val="none"/>
                <w:lang w:eastAsia="zh-CN"/>
              </w:rPr>
              <w:t>扣完</w:t>
            </w:r>
            <w:r>
              <w:rPr>
                <w:rFonts w:hint="eastAsia" w:cs="Times New Roman"/>
                <w:color w:val="auto"/>
                <w:sz w:val="21"/>
                <w:szCs w:val="21"/>
                <w:highlight w:val="none"/>
                <w:lang w:val="en-US" w:eastAsia="zh-CN"/>
              </w:rPr>
              <w:t>5分</w:t>
            </w:r>
            <w:r>
              <w:rPr>
                <w:rFonts w:hint="default" w:ascii="Times New Roman" w:hAnsi="Times New Roman" w:cs="Times New Roman"/>
                <w:color w:val="auto"/>
                <w:sz w:val="21"/>
                <w:szCs w:val="21"/>
                <w:highlight w:val="none"/>
                <w:lang w:eastAsia="zh-CN"/>
              </w:rPr>
              <w:t>为止</w:t>
            </w:r>
            <w:r>
              <w:rPr>
                <w:rFonts w:hint="default" w:ascii="Times New Roman" w:hAnsi="Times New Roman" w:eastAsia="仿宋_GB2312" w:cs="Times New Roman"/>
                <w:color w:val="auto"/>
                <w:sz w:val="21"/>
                <w:szCs w:val="21"/>
                <w:highlight w:val="none"/>
              </w:rPr>
              <w:t>。</w:t>
            </w:r>
          </w:p>
          <w:p w14:paraId="54408AE8">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textAlignment w:val="auto"/>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color w:val="auto"/>
                <w:sz w:val="21"/>
                <w:szCs w:val="21"/>
                <w:highlight w:val="none"/>
              </w:rPr>
              <w:t>注：贷款到期办理展期的，展期期限不得超过原贷款期限</w:t>
            </w:r>
            <w:r>
              <w:rPr>
                <w:rFonts w:hint="default" w:ascii="Times New Roman" w:hAnsi="Times New Roman" w:eastAsia="仿宋_GB2312" w:cs="Times New Roman"/>
                <w:color w:val="auto"/>
                <w:sz w:val="21"/>
                <w:szCs w:val="21"/>
                <w:highlight w:val="none"/>
                <w:lang w:eastAsia="zh-CN"/>
              </w:rPr>
              <w:t>。</w:t>
            </w:r>
          </w:p>
        </w:tc>
        <w:tc>
          <w:tcPr>
            <w:tcW w:w="798" w:type="dxa"/>
            <w:noWrap w:val="0"/>
            <w:vAlign w:val="top"/>
          </w:tcPr>
          <w:p w14:paraId="5F7398FD">
            <w:pPr>
              <w:spacing w:line="540" w:lineRule="exact"/>
              <w:rPr>
                <w:rFonts w:hint="default" w:ascii="Times New Roman" w:hAnsi="Times New Roman" w:eastAsia="方正仿宋_GBK" w:cs="Times New Roman"/>
                <w:color w:val="auto"/>
                <w:sz w:val="32"/>
                <w:szCs w:val="32"/>
                <w:highlight w:val="none"/>
              </w:rPr>
            </w:pPr>
          </w:p>
        </w:tc>
        <w:tc>
          <w:tcPr>
            <w:tcW w:w="715" w:type="dxa"/>
            <w:noWrap w:val="0"/>
            <w:vAlign w:val="top"/>
          </w:tcPr>
          <w:p w14:paraId="23B6F206">
            <w:pPr>
              <w:spacing w:line="540" w:lineRule="exact"/>
              <w:rPr>
                <w:rFonts w:hint="default" w:ascii="Times New Roman" w:hAnsi="Times New Roman" w:eastAsia="方正仿宋_GBK" w:cs="Times New Roman"/>
                <w:color w:val="auto"/>
                <w:sz w:val="32"/>
                <w:szCs w:val="32"/>
                <w:highlight w:val="none"/>
              </w:rPr>
            </w:pPr>
          </w:p>
        </w:tc>
      </w:tr>
      <w:tr w14:paraId="31B0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138" w:type="dxa"/>
            <w:vMerge w:val="continue"/>
            <w:noWrap w:val="0"/>
            <w:vAlign w:val="center"/>
          </w:tcPr>
          <w:p w14:paraId="35D96CA3">
            <w:pPr>
              <w:spacing w:line="400" w:lineRule="exact"/>
              <w:jc w:val="left"/>
              <w:rPr>
                <w:rFonts w:hint="default" w:ascii="Times New Roman" w:hAnsi="Times New Roman" w:eastAsia="方正仿宋_GBK" w:cs="Times New Roman"/>
                <w:color w:val="auto"/>
                <w:sz w:val="32"/>
                <w:szCs w:val="32"/>
                <w:highlight w:val="none"/>
              </w:rPr>
            </w:pPr>
          </w:p>
        </w:tc>
        <w:tc>
          <w:tcPr>
            <w:tcW w:w="1398" w:type="dxa"/>
            <w:noWrap w:val="0"/>
            <w:vAlign w:val="center"/>
          </w:tcPr>
          <w:p w14:paraId="0C883C4A">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outlineLvl w:val="9"/>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（2</w:t>
            </w:r>
            <w:r>
              <w:rPr>
                <w:rFonts w:hint="eastAsia" w:eastAsia="楷体_GB2312" w:cs="Times New Roman"/>
                <w:b/>
                <w:bCs/>
                <w:color w:val="auto"/>
                <w:sz w:val="24"/>
                <w:szCs w:val="24"/>
                <w:highlight w:val="none"/>
                <w:lang w:val="en-US" w:eastAsia="zh-CN"/>
              </w:rPr>
              <w:t>4</w:t>
            </w:r>
            <w:r>
              <w:rPr>
                <w:rFonts w:hint="default" w:ascii="Times New Roman" w:hAnsi="Times New Roman" w:eastAsia="楷体_GB2312" w:cs="Times New Roman"/>
                <w:b/>
                <w:bCs/>
                <w:color w:val="auto"/>
                <w:sz w:val="24"/>
                <w:szCs w:val="24"/>
                <w:highlight w:val="none"/>
              </w:rPr>
              <w:t>）拨备覆盖率</w:t>
            </w:r>
          </w:p>
        </w:tc>
        <w:tc>
          <w:tcPr>
            <w:tcW w:w="506" w:type="dxa"/>
            <w:noWrap w:val="0"/>
            <w:vAlign w:val="center"/>
          </w:tcPr>
          <w:p w14:paraId="06098A9F">
            <w:pPr>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5</w:t>
            </w:r>
          </w:p>
        </w:tc>
        <w:tc>
          <w:tcPr>
            <w:tcW w:w="9741" w:type="dxa"/>
            <w:noWrap w:val="0"/>
            <w:vAlign w:val="center"/>
          </w:tcPr>
          <w:p w14:paraId="2D43929D">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textAlignment w:val="auto"/>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rPr>
              <w:t>拨备覆盖率大于等于100%</w:t>
            </w:r>
            <w:r>
              <w:rPr>
                <w:rFonts w:hint="default" w:ascii="Times New Roman" w:hAnsi="Times New Roman" w:cs="Times New Roman"/>
                <w:bCs/>
                <w:color w:val="auto"/>
                <w:sz w:val="21"/>
                <w:szCs w:val="21"/>
                <w:highlight w:val="none"/>
                <w:lang w:eastAsia="zh-CN"/>
              </w:rPr>
              <w:t>的</w:t>
            </w:r>
            <w:r>
              <w:rPr>
                <w:rFonts w:hint="default" w:ascii="Times New Roman" w:hAnsi="Times New Roman" w:eastAsia="仿宋_GB2312" w:cs="Times New Roman"/>
                <w:bCs/>
                <w:color w:val="auto"/>
                <w:sz w:val="21"/>
                <w:szCs w:val="21"/>
                <w:highlight w:val="none"/>
              </w:rPr>
              <w:t>得5分；每降低10个百分点</w:t>
            </w:r>
            <w:r>
              <w:rPr>
                <w:rFonts w:hint="eastAsia" w:cs="Times New Roman"/>
                <w:bCs/>
                <w:color w:val="auto"/>
                <w:sz w:val="21"/>
                <w:szCs w:val="21"/>
                <w:highlight w:val="none"/>
                <w:lang w:val="en-US" w:eastAsia="zh-CN"/>
              </w:rPr>
              <w:t>扣</w:t>
            </w:r>
            <w:r>
              <w:rPr>
                <w:rFonts w:hint="default" w:ascii="Times New Roman" w:hAnsi="Times New Roman" w:eastAsia="仿宋_GB2312" w:cs="Times New Roman"/>
                <w:bCs/>
                <w:color w:val="auto"/>
                <w:sz w:val="21"/>
                <w:szCs w:val="21"/>
                <w:highlight w:val="none"/>
              </w:rPr>
              <w:t>1分</w:t>
            </w:r>
            <w:r>
              <w:rPr>
                <w:rFonts w:hint="eastAsia" w:cs="Times New Roman"/>
                <w:bCs/>
                <w:color w:val="auto"/>
                <w:sz w:val="21"/>
                <w:szCs w:val="21"/>
                <w:highlight w:val="none"/>
                <w:lang w:eastAsia="zh-CN"/>
              </w:rPr>
              <w:t>（</w:t>
            </w:r>
            <w:r>
              <w:rPr>
                <w:rFonts w:hint="eastAsia" w:cs="Times New Roman"/>
                <w:color w:val="auto"/>
                <w:sz w:val="21"/>
                <w:szCs w:val="21"/>
                <w:highlight w:val="none"/>
                <w:lang w:val="en-US" w:eastAsia="zh-CN"/>
              </w:rPr>
              <w:t>不足10个百分点的按10个百分点计算</w:t>
            </w:r>
            <w:r>
              <w:rPr>
                <w:rFonts w:hint="eastAsia" w:cs="Times New Roman"/>
                <w:bCs/>
                <w:color w:val="auto"/>
                <w:sz w:val="21"/>
                <w:szCs w:val="21"/>
                <w:highlight w:val="none"/>
                <w:lang w:eastAsia="zh-CN"/>
              </w:rPr>
              <w:t>），</w:t>
            </w:r>
            <w:r>
              <w:rPr>
                <w:rFonts w:hint="default" w:ascii="Times New Roman" w:hAnsi="Times New Roman" w:cs="Times New Roman"/>
                <w:color w:val="auto"/>
                <w:sz w:val="21"/>
                <w:szCs w:val="21"/>
                <w:highlight w:val="none"/>
                <w:lang w:eastAsia="zh-CN"/>
              </w:rPr>
              <w:t>扣完</w:t>
            </w:r>
            <w:r>
              <w:rPr>
                <w:rFonts w:hint="eastAsia" w:cs="Times New Roman"/>
                <w:color w:val="auto"/>
                <w:sz w:val="21"/>
                <w:szCs w:val="21"/>
                <w:highlight w:val="none"/>
                <w:lang w:val="en-US" w:eastAsia="zh-CN"/>
              </w:rPr>
              <w:t>5分</w:t>
            </w:r>
            <w:r>
              <w:rPr>
                <w:rFonts w:hint="default" w:ascii="Times New Roman" w:hAnsi="Times New Roman" w:cs="Times New Roman"/>
                <w:color w:val="auto"/>
                <w:sz w:val="21"/>
                <w:szCs w:val="21"/>
                <w:highlight w:val="none"/>
                <w:lang w:eastAsia="zh-CN"/>
              </w:rPr>
              <w:t>为止</w:t>
            </w:r>
            <w:r>
              <w:rPr>
                <w:rFonts w:hint="default" w:ascii="Times New Roman" w:hAnsi="Times New Roman" w:eastAsia="仿宋_GB2312" w:cs="Times New Roman"/>
                <w:bCs/>
                <w:color w:val="auto"/>
                <w:sz w:val="21"/>
                <w:szCs w:val="21"/>
                <w:highlight w:val="none"/>
              </w:rPr>
              <w:t>。</w:t>
            </w:r>
          </w:p>
          <w:p w14:paraId="19287030">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textAlignment w:val="auto"/>
              <w:rPr>
                <w:rFonts w:hint="default" w:ascii="Times New Roman" w:hAnsi="Times New Roman" w:eastAsia="仿宋_GB2312" w:cs="Times New Roman"/>
                <w:bCs/>
                <w:color w:val="auto"/>
                <w:sz w:val="21"/>
                <w:szCs w:val="21"/>
                <w:highlight w:val="none"/>
                <w:lang w:val="en-US" w:eastAsia="zh-CN"/>
              </w:rPr>
            </w:pPr>
            <w:r>
              <w:rPr>
                <w:rFonts w:hint="default" w:ascii="Times New Roman" w:hAnsi="Times New Roman" w:eastAsia="仿宋_GB2312" w:cs="Times New Roman"/>
                <w:bCs/>
                <w:color w:val="auto"/>
                <w:sz w:val="21"/>
                <w:szCs w:val="21"/>
                <w:highlight w:val="none"/>
              </w:rPr>
              <w:t>注：</w:t>
            </w:r>
            <w:r>
              <w:rPr>
                <w:rFonts w:hint="default" w:ascii="Times New Roman" w:hAnsi="Times New Roman" w:cs="Times New Roman"/>
                <w:bCs/>
                <w:color w:val="auto"/>
                <w:sz w:val="21"/>
                <w:szCs w:val="21"/>
                <w:highlight w:val="none"/>
                <w:lang w:val="en-US" w:eastAsia="zh-CN"/>
              </w:rPr>
              <w:t>1.</w:t>
            </w:r>
            <w:r>
              <w:rPr>
                <w:rFonts w:hint="default" w:ascii="Times New Roman" w:hAnsi="Times New Roman" w:eastAsia="仿宋_GB2312" w:cs="Times New Roman"/>
                <w:bCs/>
                <w:color w:val="auto"/>
                <w:sz w:val="21"/>
                <w:szCs w:val="21"/>
                <w:highlight w:val="none"/>
              </w:rPr>
              <w:t>拨备覆盖率</w:t>
            </w:r>
            <w:r>
              <w:rPr>
                <w:rFonts w:hint="default" w:ascii="Times New Roman" w:hAnsi="Times New Roman" w:cs="Times New Roman"/>
                <w:bCs/>
                <w:color w:val="auto"/>
                <w:sz w:val="21"/>
                <w:szCs w:val="21"/>
                <w:highlight w:val="none"/>
                <w:lang w:val="en-US" w:eastAsia="zh-CN"/>
              </w:rPr>
              <w:t>=（</w:t>
            </w:r>
            <w:r>
              <w:rPr>
                <w:rFonts w:hint="default" w:ascii="Times New Roman" w:hAnsi="Times New Roman" w:eastAsia="仿宋_GB2312" w:cs="Times New Roman"/>
                <w:bCs/>
                <w:color w:val="auto"/>
                <w:sz w:val="21"/>
                <w:szCs w:val="21"/>
                <w:highlight w:val="none"/>
              </w:rPr>
              <w:fldChar w:fldCharType="begin"/>
            </w:r>
            <w:r>
              <w:rPr>
                <w:rFonts w:hint="default" w:ascii="Times New Roman" w:hAnsi="Times New Roman" w:eastAsia="仿宋_GB2312" w:cs="Times New Roman"/>
                <w:bCs/>
                <w:color w:val="auto"/>
                <w:sz w:val="21"/>
                <w:szCs w:val="21"/>
                <w:highlight w:val="none"/>
              </w:rPr>
              <w:instrText xml:space="preserve"> HYPERLINK "https://baike.baidu.com/item/%E4%B8%80%E8%88%AC%E5%87%86%E5%A4%87" \t "https://baike.baidu.com/item/%E6%8B%A8%E5%A4%87%E8%A6%86%E7%9B%96%E7%8E%87/_blank" </w:instrText>
            </w:r>
            <w:r>
              <w:rPr>
                <w:rFonts w:hint="default" w:ascii="Times New Roman" w:hAnsi="Times New Roman" w:eastAsia="仿宋_GB2312" w:cs="Times New Roman"/>
                <w:bCs/>
                <w:color w:val="auto"/>
                <w:sz w:val="21"/>
                <w:szCs w:val="21"/>
                <w:highlight w:val="none"/>
              </w:rPr>
              <w:fldChar w:fldCharType="separate"/>
            </w:r>
            <w:r>
              <w:rPr>
                <w:rFonts w:hint="default" w:ascii="Times New Roman" w:hAnsi="Times New Roman" w:eastAsia="仿宋_GB2312" w:cs="Times New Roman"/>
                <w:bCs/>
                <w:color w:val="auto"/>
                <w:sz w:val="21"/>
                <w:szCs w:val="21"/>
                <w:highlight w:val="none"/>
              </w:rPr>
              <w:t>一般准备</w:t>
            </w:r>
            <w:r>
              <w:rPr>
                <w:rFonts w:hint="default" w:ascii="Times New Roman" w:hAnsi="Times New Roman" w:eastAsia="仿宋_GB2312" w:cs="Times New Roman"/>
                <w:bCs/>
                <w:color w:val="auto"/>
                <w:sz w:val="21"/>
                <w:szCs w:val="21"/>
                <w:highlight w:val="none"/>
              </w:rPr>
              <w:fldChar w:fldCharType="end"/>
            </w:r>
            <w:r>
              <w:rPr>
                <w:rFonts w:hint="default" w:ascii="Times New Roman" w:hAnsi="Times New Roman" w:cs="Times New Roman"/>
                <w:bCs/>
                <w:color w:val="auto"/>
                <w:sz w:val="21"/>
                <w:szCs w:val="21"/>
                <w:highlight w:val="none"/>
                <w:lang w:val="en-US" w:eastAsia="zh-CN"/>
              </w:rPr>
              <w:t>+专项</w:t>
            </w:r>
            <w:r>
              <w:rPr>
                <w:rFonts w:hint="default" w:ascii="Times New Roman" w:hAnsi="Times New Roman" w:cs="Times New Roman"/>
                <w:bCs/>
                <w:color w:val="auto"/>
                <w:sz w:val="21"/>
                <w:szCs w:val="21"/>
                <w:highlight w:val="none"/>
                <w:lang w:eastAsia="zh-CN"/>
              </w:rPr>
              <w:t>准备</w:t>
            </w:r>
            <w:r>
              <w:rPr>
                <w:rFonts w:hint="default" w:ascii="Times New Roman" w:hAnsi="Times New Roman" w:eastAsia="仿宋_GB2312" w:cs="Times New Roman"/>
                <w:bCs/>
                <w:color w:val="auto"/>
                <w:sz w:val="21"/>
                <w:szCs w:val="21"/>
                <w:highlight w:val="none"/>
              </w:rPr>
              <w:t>+特种准备</w:t>
            </w:r>
            <w:r>
              <w:rPr>
                <w:rFonts w:hint="default" w:ascii="Times New Roman" w:hAnsi="Times New Roman" w:cs="Times New Roman"/>
                <w:bCs/>
                <w:color w:val="auto"/>
                <w:sz w:val="21"/>
                <w:szCs w:val="21"/>
                <w:highlight w:val="none"/>
                <w:lang w:eastAsia="zh-CN"/>
              </w:rPr>
              <w:t>）</w:t>
            </w:r>
            <w:r>
              <w:rPr>
                <w:rFonts w:hint="default" w:ascii="Times New Roman" w:hAnsi="Times New Roman" w:eastAsia="仿宋_GB2312" w:cs="Times New Roman"/>
                <w:bCs/>
                <w:color w:val="auto"/>
                <w:sz w:val="21"/>
                <w:szCs w:val="21"/>
                <w:highlight w:val="none"/>
              </w:rPr>
              <w:t>/</w:t>
            </w:r>
            <w:r>
              <w:rPr>
                <w:rFonts w:hint="eastAsia" w:ascii="Times New Roman" w:hAnsi="Times New Roman" w:cs="Times New Roman"/>
                <w:bCs/>
                <w:color w:val="auto"/>
                <w:sz w:val="21"/>
                <w:szCs w:val="21"/>
                <w:highlight w:val="none"/>
                <w:lang w:eastAsia="zh-CN"/>
              </w:rPr>
              <w:t>（</w:t>
            </w:r>
            <w:r>
              <w:rPr>
                <w:rFonts w:hint="default" w:ascii="Times New Roman" w:hAnsi="Times New Roman" w:eastAsia="仿宋_GB2312" w:cs="Times New Roman"/>
                <w:bCs/>
                <w:color w:val="auto"/>
                <w:sz w:val="21"/>
                <w:szCs w:val="21"/>
                <w:highlight w:val="none"/>
              </w:rPr>
              <w:fldChar w:fldCharType="begin"/>
            </w:r>
            <w:r>
              <w:rPr>
                <w:rFonts w:hint="default" w:ascii="Times New Roman" w:hAnsi="Times New Roman" w:eastAsia="仿宋_GB2312" w:cs="Times New Roman"/>
                <w:bCs/>
                <w:color w:val="auto"/>
                <w:sz w:val="21"/>
                <w:szCs w:val="21"/>
                <w:highlight w:val="none"/>
              </w:rPr>
              <w:instrText xml:space="preserve"> HYPERLINK "https://baike.baidu.com/item/%E6%AC%A1%E7%BA%A7%E7%B1%BB%E8%B4%B7%E6%AC%BE" \t "https://baike.baidu.com/item/%E6%8B%A8%E5%A4%87%E8%A6%86%E7%9B%96%E7%8E%87/_blank" </w:instrText>
            </w:r>
            <w:r>
              <w:rPr>
                <w:rFonts w:hint="default" w:ascii="Times New Roman" w:hAnsi="Times New Roman" w:eastAsia="仿宋_GB2312" w:cs="Times New Roman"/>
                <w:bCs/>
                <w:color w:val="auto"/>
                <w:sz w:val="21"/>
                <w:szCs w:val="21"/>
                <w:highlight w:val="none"/>
              </w:rPr>
              <w:fldChar w:fldCharType="separate"/>
            </w:r>
            <w:r>
              <w:rPr>
                <w:rFonts w:hint="default" w:ascii="Times New Roman" w:hAnsi="Times New Roman" w:eastAsia="仿宋_GB2312" w:cs="Times New Roman"/>
                <w:bCs/>
                <w:color w:val="auto"/>
                <w:sz w:val="21"/>
                <w:szCs w:val="21"/>
                <w:highlight w:val="none"/>
              </w:rPr>
              <w:t>次级类贷款</w:t>
            </w:r>
            <w:r>
              <w:rPr>
                <w:rFonts w:hint="default" w:ascii="Times New Roman" w:hAnsi="Times New Roman" w:eastAsia="仿宋_GB2312" w:cs="Times New Roman"/>
                <w:bCs/>
                <w:color w:val="auto"/>
                <w:sz w:val="21"/>
                <w:szCs w:val="21"/>
                <w:highlight w:val="none"/>
              </w:rPr>
              <w:fldChar w:fldCharType="end"/>
            </w:r>
            <w:r>
              <w:rPr>
                <w:rFonts w:hint="default" w:ascii="Times New Roman" w:hAnsi="Times New Roman" w:eastAsia="仿宋_GB2312" w:cs="Times New Roman"/>
                <w:bCs/>
                <w:color w:val="auto"/>
                <w:sz w:val="21"/>
                <w:szCs w:val="21"/>
                <w:highlight w:val="none"/>
              </w:rPr>
              <w:t>+</w:t>
            </w:r>
            <w:r>
              <w:rPr>
                <w:rFonts w:hint="default" w:ascii="Times New Roman" w:hAnsi="Times New Roman" w:eastAsia="仿宋_GB2312" w:cs="Times New Roman"/>
                <w:bCs/>
                <w:color w:val="auto"/>
                <w:sz w:val="21"/>
                <w:szCs w:val="21"/>
                <w:highlight w:val="none"/>
              </w:rPr>
              <w:fldChar w:fldCharType="begin"/>
            </w:r>
            <w:r>
              <w:rPr>
                <w:rFonts w:hint="default" w:ascii="Times New Roman" w:hAnsi="Times New Roman" w:eastAsia="仿宋_GB2312" w:cs="Times New Roman"/>
                <w:bCs/>
                <w:color w:val="auto"/>
                <w:sz w:val="21"/>
                <w:szCs w:val="21"/>
                <w:highlight w:val="none"/>
              </w:rPr>
              <w:instrText xml:space="preserve"> HYPERLINK "https://baike.baidu.com/item/%E5%8F%AF%E7%96%91%E7%B1%BB%E8%B4%B7%E6%AC%BE" \t "https://baike.baidu.com/item/%E6%8B%A8%E5%A4%87%E8%A6%86%E7%9B%96%E7%8E%87/_blank" </w:instrText>
            </w:r>
            <w:r>
              <w:rPr>
                <w:rFonts w:hint="default" w:ascii="Times New Roman" w:hAnsi="Times New Roman" w:eastAsia="仿宋_GB2312" w:cs="Times New Roman"/>
                <w:bCs/>
                <w:color w:val="auto"/>
                <w:sz w:val="21"/>
                <w:szCs w:val="21"/>
                <w:highlight w:val="none"/>
              </w:rPr>
              <w:fldChar w:fldCharType="separate"/>
            </w:r>
            <w:r>
              <w:rPr>
                <w:rFonts w:hint="default" w:ascii="Times New Roman" w:hAnsi="Times New Roman" w:eastAsia="仿宋_GB2312" w:cs="Times New Roman"/>
                <w:bCs/>
                <w:color w:val="auto"/>
                <w:sz w:val="21"/>
                <w:szCs w:val="21"/>
                <w:highlight w:val="none"/>
              </w:rPr>
              <w:t>可疑类贷款</w:t>
            </w:r>
            <w:r>
              <w:rPr>
                <w:rFonts w:hint="default" w:ascii="Times New Roman" w:hAnsi="Times New Roman" w:eastAsia="仿宋_GB2312" w:cs="Times New Roman"/>
                <w:bCs/>
                <w:color w:val="auto"/>
                <w:sz w:val="21"/>
                <w:szCs w:val="21"/>
                <w:highlight w:val="none"/>
              </w:rPr>
              <w:fldChar w:fldCharType="end"/>
            </w:r>
            <w:r>
              <w:rPr>
                <w:rFonts w:hint="default" w:ascii="Times New Roman" w:hAnsi="Times New Roman" w:eastAsia="仿宋_GB2312" w:cs="Times New Roman"/>
                <w:bCs/>
                <w:color w:val="auto"/>
                <w:sz w:val="21"/>
                <w:szCs w:val="21"/>
                <w:highlight w:val="none"/>
              </w:rPr>
              <w:t>+</w:t>
            </w:r>
            <w:r>
              <w:rPr>
                <w:rFonts w:hint="default" w:ascii="Times New Roman" w:hAnsi="Times New Roman" w:eastAsia="仿宋_GB2312" w:cs="Times New Roman"/>
                <w:bCs/>
                <w:color w:val="auto"/>
                <w:sz w:val="21"/>
                <w:szCs w:val="21"/>
                <w:highlight w:val="none"/>
              </w:rPr>
              <w:fldChar w:fldCharType="begin"/>
            </w:r>
            <w:r>
              <w:rPr>
                <w:rFonts w:hint="default" w:ascii="Times New Roman" w:hAnsi="Times New Roman" w:eastAsia="仿宋_GB2312" w:cs="Times New Roman"/>
                <w:bCs/>
                <w:color w:val="auto"/>
                <w:sz w:val="21"/>
                <w:szCs w:val="21"/>
                <w:highlight w:val="none"/>
              </w:rPr>
              <w:instrText xml:space="preserve"> HYPERLINK "https://baike.baidu.com/item/%E6%8D%9F%E5%A4%B1%E7%B1%BB%E8%B4%B7%E6%AC%BE" \t "https://baike.baidu.com/item/%E6%8B%A8%E5%A4%87%E8%A6%86%E7%9B%96%E7%8E%87/_blank" </w:instrText>
            </w:r>
            <w:r>
              <w:rPr>
                <w:rFonts w:hint="default" w:ascii="Times New Roman" w:hAnsi="Times New Roman" w:eastAsia="仿宋_GB2312" w:cs="Times New Roman"/>
                <w:bCs/>
                <w:color w:val="auto"/>
                <w:sz w:val="21"/>
                <w:szCs w:val="21"/>
                <w:highlight w:val="none"/>
              </w:rPr>
              <w:fldChar w:fldCharType="separate"/>
            </w:r>
            <w:r>
              <w:rPr>
                <w:rFonts w:hint="default" w:ascii="Times New Roman" w:hAnsi="Times New Roman" w:eastAsia="仿宋_GB2312" w:cs="Times New Roman"/>
                <w:bCs/>
                <w:color w:val="auto"/>
                <w:sz w:val="21"/>
                <w:szCs w:val="21"/>
                <w:highlight w:val="none"/>
              </w:rPr>
              <w:t>损失类贷款</w:t>
            </w:r>
            <w:r>
              <w:rPr>
                <w:rFonts w:hint="default" w:ascii="Times New Roman" w:hAnsi="Times New Roman" w:eastAsia="仿宋_GB2312" w:cs="Times New Roman"/>
                <w:bCs/>
                <w:color w:val="auto"/>
                <w:sz w:val="21"/>
                <w:szCs w:val="21"/>
                <w:highlight w:val="none"/>
              </w:rPr>
              <w:fldChar w:fldCharType="end"/>
            </w:r>
            <w:r>
              <w:rPr>
                <w:rFonts w:hint="default" w:ascii="Times New Roman" w:hAnsi="Times New Roman" w:cs="Times New Roman"/>
                <w:bCs/>
                <w:color w:val="auto"/>
                <w:sz w:val="21"/>
                <w:szCs w:val="21"/>
                <w:highlight w:val="none"/>
                <w:lang w:eastAsia="zh-CN"/>
              </w:rPr>
              <w:t>）</w:t>
            </w:r>
            <w:r>
              <w:rPr>
                <w:rFonts w:hint="default" w:ascii="Times New Roman" w:hAnsi="Times New Roman" w:eastAsia="仿宋_GB2312" w:cs="Times New Roman"/>
                <w:bCs/>
                <w:color w:val="auto"/>
                <w:sz w:val="21"/>
                <w:szCs w:val="21"/>
                <w:highlight w:val="none"/>
              </w:rPr>
              <w:t>×100%</w:t>
            </w:r>
            <w:r>
              <w:rPr>
                <w:rFonts w:hint="default" w:ascii="Times New Roman" w:hAnsi="Times New Roman" w:cs="Times New Roman"/>
                <w:bCs/>
                <w:color w:val="auto"/>
                <w:sz w:val="21"/>
                <w:szCs w:val="21"/>
                <w:highlight w:val="none"/>
                <w:lang w:val="en-US" w:eastAsia="zh-CN"/>
              </w:rPr>
              <w:t>。</w:t>
            </w:r>
          </w:p>
        </w:tc>
        <w:tc>
          <w:tcPr>
            <w:tcW w:w="798" w:type="dxa"/>
            <w:noWrap w:val="0"/>
            <w:vAlign w:val="top"/>
          </w:tcPr>
          <w:p w14:paraId="0F3135FE">
            <w:pPr>
              <w:spacing w:line="540" w:lineRule="exact"/>
              <w:rPr>
                <w:rFonts w:hint="default" w:ascii="Times New Roman" w:hAnsi="Times New Roman" w:eastAsia="方正仿宋_GBK" w:cs="Times New Roman"/>
                <w:color w:val="auto"/>
                <w:sz w:val="32"/>
                <w:szCs w:val="32"/>
                <w:highlight w:val="none"/>
              </w:rPr>
            </w:pPr>
          </w:p>
        </w:tc>
        <w:tc>
          <w:tcPr>
            <w:tcW w:w="715" w:type="dxa"/>
            <w:noWrap w:val="0"/>
            <w:vAlign w:val="top"/>
          </w:tcPr>
          <w:p w14:paraId="2DF1E53B">
            <w:pPr>
              <w:spacing w:line="540" w:lineRule="exact"/>
              <w:rPr>
                <w:rFonts w:hint="default" w:ascii="Times New Roman" w:hAnsi="Times New Roman" w:eastAsia="方正仿宋_GBK" w:cs="Times New Roman"/>
                <w:color w:val="auto"/>
                <w:sz w:val="32"/>
                <w:szCs w:val="32"/>
                <w:highlight w:val="none"/>
              </w:rPr>
            </w:pPr>
          </w:p>
        </w:tc>
      </w:tr>
      <w:tr w14:paraId="5720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138" w:type="dxa"/>
            <w:vMerge w:val="continue"/>
            <w:noWrap w:val="0"/>
            <w:vAlign w:val="top"/>
          </w:tcPr>
          <w:p w14:paraId="56DE4192">
            <w:pPr>
              <w:spacing w:line="400" w:lineRule="exact"/>
              <w:jc w:val="left"/>
              <w:rPr>
                <w:rFonts w:hint="default" w:ascii="Times New Roman" w:hAnsi="Times New Roman" w:eastAsia="方正仿宋_GBK" w:cs="Times New Roman"/>
                <w:color w:val="auto"/>
                <w:sz w:val="32"/>
                <w:szCs w:val="32"/>
                <w:highlight w:val="none"/>
              </w:rPr>
            </w:pPr>
          </w:p>
        </w:tc>
        <w:tc>
          <w:tcPr>
            <w:tcW w:w="1398" w:type="dxa"/>
            <w:noWrap w:val="0"/>
            <w:vAlign w:val="center"/>
          </w:tcPr>
          <w:p w14:paraId="51C0782D">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outlineLvl w:val="9"/>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（2</w:t>
            </w:r>
            <w:r>
              <w:rPr>
                <w:rFonts w:hint="eastAsia" w:eastAsia="楷体_GB2312" w:cs="Times New Roman"/>
                <w:b/>
                <w:bCs/>
                <w:color w:val="auto"/>
                <w:sz w:val="24"/>
                <w:szCs w:val="24"/>
                <w:highlight w:val="none"/>
                <w:lang w:val="en-US" w:eastAsia="zh-CN"/>
              </w:rPr>
              <w:t>5</w:t>
            </w:r>
            <w:r>
              <w:rPr>
                <w:rFonts w:hint="default" w:ascii="Times New Roman" w:hAnsi="Times New Roman" w:eastAsia="楷体_GB2312" w:cs="Times New Roman"/>
                <w:b/>
                <w:bCs/>
                <w:color w:val="auto"/>
                <w:sz w:val="24"/>
                <w:szCs w:val="24"/>
                <w:highlight w:val="none"/>
              </w:rPr>
              <w:t>）贷款损失准备充足率</w:t>
            </w:r>
          </w:p>
        </w:tc>
        <w:tc>
          <w:tcPr>
            <w:tcW w:w="506" w:type="dxa"/>
            <w:noWrap w:val="0"/>
            <w:vAlign w:val="center"/>
          </w:tcPr>
          <w:p w14:paraId="715D1726">
            <w:pPr>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5</w:t>
            </w:r>
          </w:p>
        </w:tc>
        <w:tc>
          <w:tcPr>
            <w:tcW w:w="9741" w:type="dxa"/>
            <w:noWrap w:val="0"/>
            <w:vAlign w:val="center"/>
          </w:tcPr>
          <w:p w14:paraId="296DBAD1">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textAlignment w:val="auto"/>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rPr>
              <w:t>贷款损失准备充足率大于等于100%</w:t>
            </w:r>
            <w:r>
              <w:rPr>
                <w:rFonts w:hint="default" w:ascii="Times New Roman" w:hAnsi="Times New Roman" w:cs="Times New Roman"/>
                <w:bCs/>
                <w:color w:val="auto"/>
                <w:sz w:val="21"/>
                <w:szCs w:val="21"/>
                <w:highlight w:val="none"/>
                <w:lang w:eastAsia="zh-CN"/>
              </w:rPr>
              <w:t>的</w:t>
            </w:r>
            <w:r>
              <w:rPr>
                <w:rFonts w:hint="default" w:ascii="Times New Roman" w:hAnsi="Times New Roman" w:eastAsia="仿宋_GB2312" w:cs="Times New Roman"/>
                <w:bCs/>
                <w:color w:val="auto"/>
                <w:sz w:val="21"/>
                <w:szCs w:val="21"/>
                <w:highlight w:val="none"/>
              </w:rPr>
              <w:t>得5分；每降低10个百分点</w:t>
            </w:r>
            <w:r>
              <w:rPr>
                <w:rFonts w:hint="eastAsia" w:cs="Times New Roman"/>
                <w:bCs/>
                <w:color w:val="auto"/>
                <w:sz w:val="21"/>
                <w:szCs w:val="21"/>
                <w:highlight w:val="none"/>
                <w:lang w:val="en-US" w:eastAsia="zh-CN"/>
              </w:rPr>
              <w:t>扣</w:t>
            </w:r>
            <w:r>
              <w:rPr>
                <w:rFonts w:hint="default" w:ascii="Times New Roman" w:hAnsi="Times New Roman" w:eastAsia="仿宋_GB2312" w:cs="Times New Roman"/>
                <w:bCs/>
                <w:color w:val="auto"/>
                <w:sz w:val="21"/>
                <w:szCs w:val="21"/>
                <w:highlight w:val="none"/>
              </w:rPr>
              <w:t>1分</w:t>
            </w:r>
            <w:r>
              <w:rPr>
                <w:rFonts w:hint="eastAsia" w:cs="Times New Roman"/>
                <w:bCs/>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不足10个百分点的按10个百分点计算</w:t>
            </w:r>
            <w:r>
              <w:rPr>
                <w:rFonts w:hint="eastAsia" w:cs="Times New Roman"/>
                <w:bCs/>
                <w:color w:val="auto"/>
                <w:sz w:val="21"/>
                <w:szCs w:val="21"/>
                <w:highlight w:val="none"/>
                <w:lang w:eastAsia="zh-CN"/>
              </w:rPr>
              <w:t>），</w:t>
            </w:r>
            <w:r>
              <w:rPr>
                <w:rFonts w:hint="default" w:ascii="Times New Roman" w:hAnsi="Times New Roman" w:cs="Times New Roman"/>
                <w:color w:val="auto"/>
                <w:sz w:val="21"/>
                <w:szCs w:val="21"/>
                <w:highlight w:val="none"/>
                <w:lang w:eastAsia="zh-CN"/>
              </w:rPr>
              <w:t>扣完</w:t>
            </w:r>
            <w:r>
              <w:rPr>
                <w:rFonts w:hint="eastAsia" w:cs="Times New Roman"/>
                <w:color w:val="auto"/>
                <w:sz w:val="21"/>
                <w:szCs w:val="21"/>
                <w:highlight w:val="none"/>
                <w:lang w:val="en-US" w:eastAsia="zh-CN"/>
              </w:rPr>
              <w:t>5分</w:t>
            </w:r>
            <w:r>
              <w:rPr>
                <w:rFonts w:hint="default" w:ascii="Times New Roman" w:hAnsi="Times New Roman" w:cs="Times New Roman"/>
                <w:color w:val="auto"/>
                <w:sz w:val="21"/>
                <w:szCs w:val="21"/>
                <w:highlight w:val="none"/>
                <w:lang w:eastAsia="zh-CN"/>
              </w:rPr>
              <w:t>为止</w:t>
            </w:r>
            <w:r>
              <w:rPr>
                <w:rFonts w:hint="default" w:ascii="Times New Roman" w:hAnsi="Times New Roman" w:eastAsia="仿宋_GB2312" w:cs="Times New Roman"/>
                <w:bCs/>
                <w:color w:val="auto"/>
                <w:sz w:val="21"/>
                <w:szCs w:val="21"/>
                <w:highlight w:val="none"/>
              </w:rPr>
              <w:t>。</w:t>
            </w:r>
          </w:p>
          <w:p w14:paraId="41703E38">
            <w:pPr>
              <w:pStyle w:val="2"/>
              <w:ind w:firstLine="420" w:firstLineChars="200"/>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bCs/>
                <w:color w:val="auto"/>
                <w:sz w:val="21"/>
                <w:szCs w:val="21"/>
                <w:highlight w:val="none"/>
                <w:lang w:eastAsia="zh-CN"/>
              </w:rPr>
              <w:t>注：</w:t>
            </w:r>
            <w:r>
              <w:rPr>
                <w:rFonts w:hint="eastAsia" w:ascii="Times New Roman" w:hAnsi="Times New Roman" w:cs="Times New Roman"/>
                <w:bCs/>
                <w:color w:val="auto"/>
                <w:sz w:val="21"/>
                <w:szCs w:val="21"/>
                <w:highlight w:val="none"/>
                <w:lang w:val="en-US" w:eastAsia="zh-CN"/>
              </w:rPr>
              <w:t>1.</w:t>
            </w:r>
            <w:r>
              <w:rPr>
                <w:rFonts w:hint="default" w:ascii="Times New Roman" w:hAnsi="Times New Roman" w:eastAsia="仿宋_GB2312" w:cs="Times New Roman"/>
                <w:bCs/>
                <w:color w:val="auto"/>
                <w:sz w:val="21"/>
                <w:szCs w:val="21"/>
                <w:highlight w:val="none"/>
              </w:rPr>
              <w:t>贷款损失准备充足率</w:t>
            </w:r>
            <w:r>
              <w:rPr>
                <w:rFonts w:hint="default" w:ascii="Times New Roman" w:hAnsi="Times New Roman" w:eastAsia="仿宋_GB2312" w:cs="Times New Roman"/>
                <w:bCs/>
                <w:color w:val="auto"/>
                <w:sz w:val="21"/>
                <w:szCs w:val="21"/>
                <w:highlight w:val="none"/>
                <w:lang w:val="en-US" w:eastAsia="zh-CN"/>
              </w:rPr>
              <w:t>=</w:t>
            </w:r>
            <w:r>
              <w:rPr>
                <w:rFonts w:hint="default" w:ascii="Times New Roman" w:hAnsi="Times New Roman" w:eastAsia="仿宋_GB2312" w:cs="Times New Roman"/>
                <w:bCs/>
                <w:color w:val="auto"/>
                <w:sz w:val="21"/>
                <w:szCs w:val="21"/>
                <w:highlight w:val="none"/>
              </w:rPr>
              <w:t>实际计提贷款损失准备</w:t>
            </w:r>
            <w:r>
              <w:rPr>
                <w:rFonts w:hint="default" w:ascii="Times New Roman" w:hAnsi="Times New Roman" w:eastAsia="仿宋_GB2312" w:cs="Times New Roman"/>
                <w:bCs/>
                <w:color w:val="auto"/>
                <w:sz w:val="21"/>
                <w:szCs w:val="21"/>
                <w:highlight w:val="none"/>
                <w:lang w:val="en-US" w:eastAsia="zh-CN"/>
              </w:rPr>
              <w:t>/</w:t>
            </w:r>
            <w:r>
              <w:rPr>
                <w:rFonts w:hint="default" w:ascii="Times New Roman" w:hAnsi="Times New Roman" w:eastAsia="仿宋_GB2312" w:cs="Times New Roman"/>
                <w:bCs/>
                <w:color w:val="auto"/>
                <w:sz w:val="21"/>
                <w:szCs w:val="21"/>
                <w:highlight w:val="none"/>
              </w:rPr>
              <w:t>应提贷款损失准备</w:t>
            </w:r>
            <w:r>
              <w:rPr>
                <w:rFonts w:hint="eastAsia" w:ascii="Times New Roman" w:hAnsi="Times New Roman" w:cs="Times New Roman"/>
                <w:bCs/>
                <w:color w:val="auto"/>
                <w:sz w:val="21"/>
                <w:szCs w:val="21"/>
                <w:highlight w:val="none"/>
                <w:lang w:eastAsia="zh-CN"/>
              </w:rPr>
              <w:t>；</w:t>
            </w:r>
            <w:r>
              <w:rPr>
                <w:rFonts w:hint="eastAsia" w:ascii="Times New Roman" w:hAnsi="Times New Roman" w:cs="Times New Roman"/>
                <w:bCs/>
                <w:color w:val="auto"/>
                <w:sz w:val="21"/>
                <w:szCs w:val="21"/>
                <w:highlight w:val="none"/>
                <w:lang w:val="en-US" w:eastAsia="zh-CN"/>
              </w:rPr>
              <w:t>2.</w:t>
            </w:r>
            <w:r>
              <w:rPr>
                <w:rFonts w:hint="eastAsia" w:ascii="Times New Roman" w:hAnsi="Times New Roman" w:cs="Times New Roman"/>
                <w:bCs w:val="0"/>
                <w:color w:val="auto"/>
                <w:kern w:val="2"/>
                <w:sz w:val="21"/>
                <w:szCs w:val="21"/>
                <w:highlight w:val="none"/>
                <w:lang w:val="en-US" w:eastAsia="zh-CN" w:bidi="ar-SA"/>
              </w:rPr>
              <w:t>应提贷款损失准备=正常类贷款</w:t>
            </w:r>
            <w:r>
              <w:rPr>
                <w:rFonts w:hint="eastAsia" w:ascii="Times New Roman" w:hAnsi="Times New Roman" w:eastAsia="仿宋_GB2312" w:cs="Times New Roman"/>
                <w:bCs w:val="0"/>
                <w:color w:val="auto"/>
                <w:kern w:val="2"/>
                <w:sz w:val="21"/>
                <w:szCs w:val="21"/>
                <w:highlight w:val="none"/>
                <w:lang w:val="en-US" w:eastAsia="zh-CN" w:bidi="ar-SA"/>
              </w:rPr>
              <w:t>×</w:t>
            </w:r>
            <w:r>
              <w:rPr>
                <w:rFonts w:hint="eastAsia" w:ascii="Times New Roman" w:hAnsi="Times New Roman" w:cs="Times New Roman"/>
                <w:bCs w:val="0"/>
                <w:color w:val="auto"/>
                <w:kern w:val="2"/>
                <w:sz w:val="21"/>
                <w:szCs w:val="21"/>
                <w:highlight w:val="none"/>
                <w:lang w:val="en-US" w:eastAsia="zh-CN" w:bidi="ar-SA"/>
              </w:rPr>
              <w:t>1.5%+关注类贷款</w:t>
            </w:r>
            <w:r>
              <w:rPr>
                <w:rFonts w:hint="eastAsia" w:ascii="Times New Roman" w:hAnsi="Times New Roman" w:eastAsia="仿宋_GB2312" w:cs="Times New Roman"/>
                <w:bCs w:val="0"/>
                <w:color w:val="auto"/>
                <w:kern w:val="2"/>
                <w:sz w:val="21"/>
                <w:szCs w:val="21"/>
                <w:highlight w:val="none"/>
                <w:lang w:val="en-US" w:eastAsia="zh-CN" w:bidi="ar-SA"/>
              </w:rPr>
              <w:t>×3</w:t>
            </w:r>
            <w:r>
              <w:rPr>
                <w:rFonts w:hint="eastAsia" w:ascii="Times New Roman" w:hAnsi="Times New Roman" w:cs="Times New Roman"/>
                <w:bCs w:val="0"/>
                <w:color w:val="auto"/>
                <w:kern w:val="2"/>
                <w:sz w:val="21"/>
                <w:szCs w:val="21"/>
                <w:highlight w:val="none"/>
                <w:lang w:val="en-US" w:eastAsia="zh-CN" w:bidi="ar-SA"/>
              </w:rPr>
              <w:t>%+次级类贷款</w:t>
            </w:r>
            <w:r>
              <w:rPr>
                <w:rFonts w:hint="eastAsia" w:ascii="Times New Roman" w:hAnsi="Times New Roman" w:eastAsia="仿宋_GB2312" w:cs="Times New Roman"/>
                <w:bCs w:val="0"/>
                <w:color w:val="auto"/>
                <w:kern w:val="2"/>
                <w:sz w:val="21"/>
                <w:szCs w:val="21"/>
                <w:highlight w:val="none"/>
                <w:lang w:val="en-US" w:eastAsia="zh-CN" w:bidi="ar-SA"/>
              </w:rPr>
              <w:t>×30</w:t>
            </w:r>
            <w:r>
              <w:rPr>
                <w:rFonts w:hint="eastAsia" w:ascii="Times New Roman" w:hAnsi="Times New Roman" w:cs="Times New Roman"/>
                <w:bCs w:val="0"/>
                <w:color w:val="auto"/>
                <w:kern w:val="2"/>
                <w:sz w:val="21"/>
                <w:szCs w:val="21"/>
                <w:highlight w:val="none"/>
                <w:lang w:val="en-US" w:eastAsia="zh-CN" w:bidi="ar-SA"/>
              </w:rPr>
              <w:t>%+可疑类贷款</w:t>
            </w:r>
            <w:r>
              <w:rPr>
                <w:rFonts w:hint="eastAsia" w:ascii="Times New Roman" w:hAnsi="Times New Roman" w:eastAsia="仿宋_GB2312" w:cs="Times New Roman"/>
                <w:bCs w:val="0"/>
                <w:color w:val="auto"/>
                <w:kern w:val="2"/>
                <w:sz w:val="21"/>
                <w:szCs w:val="21"/>
                <w:highlight w:val="none"/>
                <w:lang w:val="en-US" w:eastAsia="zh-CN" w:bidi="ar-SA"/>
              </w:rPr>
              <w:t>×60</w:t>
            </w:r>
            <w:r>
              <w:rPr>
                <w:rFonts w:hint="eastAsia" w:ascii="Times New Roman" w:hAnsi="Times New Roman" w:cs="Times New Roman"/>
                <w:bCs w:val="0"/>
                <w:color w:val="auto"/>
                <w:kern w:val="2"/>
                <w:sz w:val="21"/>
                <w:szCs w:val="21"/>
                <w:highlight w:val="none"/>
                <w:lang w:val="en-US" w:eastAsia="zh-CN" w:bidi="ar-SA"/>
              </w:rPr>
              <w:t>%+损失类贷款</w:t>
            </w:r>
            <w:r>
              <w:rPr>
                <w:rFonts w:hint="eastAsia" w:ascii="Times New Roman" w:hAnsi="Times New Roman" w:eastAsia="仿宋_GB2312" w:cs="Times New Roman"/>
                <w:bCs w:val="0"/>
                <w:color w:val="auto"/>
                <w:kern w:val="2"/>
                <w:sz w:val="21"/>
                <w:szCs w:val="21"/>
                <w:highlight w:val="none"/>
                <w:lang w:val="en-US" w:eastAsia="zh-CN" w:bidi="ar-SA"/>
              </w:rPr>
              <w:t>×100</w:t>
            </w:r>
            <w:r>
              <w:rPr>
                <w:rFonts w:hint="eastAsia" w:ascii="Times New Roman" w:hAnsi="Times New Roman" w:cs="Times New Roman"/>
                <w:bCs w:val="0"/>
                <w:color w:val="auto"/>
                <w:kern w:val="2"/>
                <w:sz w:val="21"/>
                <w:szCs w:val="21"/>
                <w:highlight w:val="none"/>
                <w:lang w:val="en-US" w:eastAsia="zh-CN" w:bidi="ar-SA"/>
              </w:rPr>
              <w:t>%。</w:t>
            </w:r>
          </w:p>
        </w:tc>
        <w:tc>
          <w:tcPr>
            <w:tcW w:w="798" w:type="dxa"/>
            <w:noWrap w:val="0"/>
            <w:vAlign w:val="top"/>
          </w:tcPr>
          <w:p w14:paraId="0AB2C175">
            <w:pPr>
              <w:spacing w:line="540" w:lineRule="exact"/>
              <w:rPr>
                <w:rFonts w:hint="default" w:ascii="Times New Roman" w:hAnsi="Times New Roman" w:eastAsia="方正仿宋_GBK" w:cs="Times New Roman"/>
                <w:color w:val="auto"/>
                <w:sz w:val="32"/>
                <w:szCs w:val="32"/>
                <w:highlight w:val="none"/>
              </w:rPr>
            </w:pPr>
          </w:p>
        </w:tc>
        <w:tc>
          <w:tcPr>
            <w:tcW w:w="715" w:type="dxa"/>
            <w:noWrap w:val="0"/>
            <w:vAlign w:val="top"/>
          </w:tcPr>
          <w:p w14:paraId="0CB575A8">
            <w:pPr>
              <w:spacing w:line="540" w:lineRule="exact"/>
              <w:rPr>
                <w:rFonts w:hint="default" w:ascii="Times New Roman" w:hAnsi="Times New Roman" w:eastAsia="方正仿宋_GBK" w:cs="Times New Roman"/>
                <w:color w:val="auto"/>
                <w:sz w:val="32"/>
                <w:szCs w:val="32"/>
                <w:highlight w:val="none"/>
              </w:rPr>
            </w:pPr>
          </w:p>
        </w:tc>
      </w:tr>
      <w:tr w14:paraId="00B6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3" w:hRule="atLeast"/>
          <w:jc w:val="center"/>
        </w:trPr>
        <w:tc>
          <w:tcPr>
            <w:tcW w:w="3042" w:type="dxa"/>
            <w:gridSpan w:val="3"/>
            <w:noWrap w:val="0"/>
            <w:vAlign w:val="center"/>
          </w:tcPr>
          <w:p w14:paraId="646C2F95">
            <w:pPr>
              <w:spacing w:line="400" w:lineRule="exact"/>
              <w:jc w:val="center"/>
              <w:rPr>
                <w:rFonts w:hint="default" w:ascii="Times New Roman" w:hAnsi="Times New Roman" w:eastAsia="宋体" w:cs="Times New Roman"/>
                <w:b/>
                <w:bCs/>
                <w:color w:val="auto"/>
                <w:sz w:val="28"/>
                <w:szCs w:val="28"/>
                <w:highlight w:val="none"/>
              </w:rPr>
            </w:pPr>
            <w:r>
              <w:rPr>
                <w:rFonts w:hint="default" w:ascii="Times New Roman" w:hAnsi="Times New Roman" w:eastAsia="黑体" w:cs="Times New Roman"/>
                <w:b w:val="0"/>
                <w:bCs w:val="0"/>
                <w:color w:val="auto"/>
                <w:sz w:val="28"/>
                <w:szCs w:val="28"/>
                <w:highlight w:val="none"/>
              </w:rPr>
              <w:t>一票否决项</w:t>
            </w:r>
          </w:p>
        </w:tc>
        <w:tc>
          <w:tcPr>
            <w:tcW w:w="9741" w:type="dxa"/>
            <w:noWrap w:val="0"/>
            <w:vAlign w:val="center"/>
          </w:tcPr>
          <w:p w14:paraId="49FC5579">
            <w:pPr>
              <w:pStyle w:val="2"/>
              <w:keepNext w:val="0"/>
              <w:keepLines w:val="0"/>
              <w:pageBreakBefore w:val="0"/>
              <w:widowControl/>
              <w:kinsoku/>
              <w:wordWrap/>
              <w:overflowPunct/>
              <w:topLinePunct w:val="0"/>
              <w:bidi w:val="0"/>
              <w:snapToGrid/>
              <w:ind w:firstLine="420" w:firstLineChars="200"/>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一、</w:t>
            </w:r>
            <w:r>
              <w:rPr>
                <w:rFonts w:hint="default" w:ascii="Times New Roman" w:hAnsi="Times New Roman" w:eastAsia="仿宋_GB2312" w:cs="Times New Roman"/>
                <w:color w:val="auto"/>
                <w:sz w:val="21"/>
                <w:szCs w:val="21"/>
                <w:highlight w:val="none"/>
              </w:rPr>
              <w:t>小额贷款公司</w:t>
            </w:r>
            <w:r>
              <w:rPr>
                <w:rFonts w:hint="eastAsia" w:ascii="Times New Roman" w:hAnsi="Times New Roman" w:cs="Times New Roman"/>
                <w:color w:val="auto"/>
                <w:sz w:val="21"/>
                <w:szCs w:val="21"/>
                <w:highlight w:val="none"/>
                <w:lang w:eastAsia="zh-CN"/>
              </w:rPr>
              <w:t>违反评分</w:t>
            </w:r>
            <w:r>
              <w:rPr>
                <w:rFonts w:hint="default" w:ascii="Times New Roman" w:hAnsi="Times New Roman" w:eastAsia="仿宋_GB2312" w:cs="Times New Roman"/>
                <w:color w:val="auto"/>
                <w:sz w:val="21"/>
                <w:szCs w:val="21"/>
                <w:highlight w:val="none"/>
              </w:rPr>
              <w:t>细则</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6</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12</w:t>
            </w:r>
            <w:r>
              <w:rPr>
                <w:rFonts w:hint="eastAsia" w:ascii="Times New Roman" w:hAnsi="Times New Roman" w:cs="Times New Roman"/>
                <w:color w:val="auto"/>
                <w:sz w:val="21"/>
                <w:szCs w:val="21"/>
                <w:highlight w:val="none"/>
                <w:lang w:eastAsia="zh-CN"/>
              </w:rPr>
              <w:t>）项中的有关</w:t>
            </w:r>
            <w:r>
              <w:rPr>
                <w:rFonts w:hint="default" w:ascii="Times New Roman" w:hAnsi="Times New Roman" w:eastAsia="仿宋_GB2312" w:cs="Times New Roman"/>
                <w:color w:val="auto"/>
                <w:sz w:val="21"/>
                <w:szCs w:val="21"/>
                <w:highlight w:val="none"/>
              </w:rPr>
              <w:t>情形的，最高只可</w:t>
            </w:r>
            <w:r>
              <w:rPr>
                <w:rFonts w:hint="default" w:ascii="Times New Roman" w:hAnsi="Times New Roman" w:eastAsia="仿宋_GB2312" w:cs="Times New Roman"/>
                <w:bCs/>
                <w:color w:val="auto"/>
                <w:sz w:val="21"/>
                <w:szCs w:val="21"/>
                <w:highlight w:val="none"/>
              </w:rPr>
              <w:t>评为B级</w:t>
            </w:r>
            <w:r>
              <w:rPr>
                <w:rFonts w:hint="eastAsia" w:ascii="Times New Roman" w:hAnsi="Times New Roman" w:cs="Times New Roman"/>
                <w:bCs/>
                <w:color w:val="auto"/>
                <w:sz w:val="21"/>
                <w:szCs w:val="21"/>
                <w:highlight w:val="none"/>
                <w:lang w:eastAsia="zh-CN"/>
              </w:rPr>
              <w:t>；违反评分细则（</w:t>
            </w:r>
            <w:r>
              <w:rPr>
                <w:rFonts w:hint="eastAsia" w:ascii="Times New Roman" w:hAnsi="Times New Roman" w:cs="Times New Roman"/>
                <w:bCs/>
                <w:color w:val="auto"/>
                <w:sz w:val="21"/>
                <w:szCs w:val="21"/>
                <w:highlight w:val="none"/>
                <w:lang w:val="en-US" w:eastAsia="zh-CN"/>
              </w:rPr>
              <w:t>8）项中的有关</w:t>
            </w:r>
            <w:r>
              <w:rPr>
                <w:rFonts w:hint="eastAsia" w:ascii="Times New Roman" w:hAnsi="Times New Roman" w:cs="Times New Roman"/>
                <w:bCs/>
                <w:color w:val="auto"/>
                <w:sz w:val="21"/>
                <w:szCs w:val="21"/>
                <w:highlight w:val="none"/>
                <w:lang w:eastAsia="zh-CN"/>
              </w:rPr>
              <w:t>情形的，最高只可评为</w:t>
            </w:r>
            <w:r>
              <w:rPr>
                <w:rFonts w:hint="eastAsia" w:ascii="Times New Roman" w:hAnsi="Times New Roman" w:cs="Times New Roman"/>
                <w:bCs/>
                <w:color w:val="auto"/>
                <w:sz w:val="21"/>
                <w:szCs w:val="21"/>
                <w:highlight w:val="none"/>
                <w:lang w:val="en-US" w:eastAsia="zh-CN"/>
              </w:rPr>
              <w:t>C级。详见相关评分细则</w:t>
            </w:r>
            <w:r>
              <w:rPr>
                <w:rFonts w:hint="eastAsia" w:ascii="Times New Roman" w:hAnsi="Times New Roman" w:cs="Times New Roman"/>
                <w:bCs/>
                <w:color w:val="auto"/>
                <w:sz w:val="21"/>
                <w:szCs w:val="21"/>
                <w:highlight w:val="none"/>
                <w:lang w:eastAsia="zh-CN"/>
              </w:rPr>
              <w:t>。</w:t>
            </w:r>
          </w:p>
          <w:p w14:paraId="536FF770">
            <w:pPr>
              <w:pStyle w:val="2"/>
              <w:ind w:firstLine="420" w:firstLineChars="200"/>
              <w:rPr>
                <w:rFonts w:hint="default" w:ascii="Times New Roman" w:hAnsi="Times New Roman" w:eastAsia="仿宋_GB2312"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二、</w:t>
            </w:r>
            <w:r>
              <w:rPr>
                <w:rFonts w:hint="default" w:ascii="Times New Roman" w:hAnsi="Times New Roman" w:eastAsia="仿宋_GB2312" w:cs="Times New Roman"/>
                <w:color w:val="auto"/>
                <w:sz w:val="21"/>
                <w:szCs w:val="21"/>
                <w:highlight w:val="none"/>
              </w:rPr>
              <w:t>小额贷款公司存在以下情形</w:t>
            </w:r>
            <w:r>
              <w:rPr>
                <w:rFonts w:hint="default" w:ascii="Times New Roman" w:hAnsi="Times New Roman" w:eastAsia="仿宋_GB2312" w:cs="Times New Roman"/>
                <w:color w:val="auto"/>
                <w:sz w:val="21"/>
                <w:szCs w:val="21"/>
                <w:highlight w:val="none"/>
                <w:lang w:eastAsia="zh-CN"/>
              </w:rPr>
              <w:t>之一</w:t>
            </w:r>
            <w:r>
              <w:rPr>
                <w:rFonts w:hint="default" w:ascii="Times New Roman" w:hAnsi="Times New Roman" w:eastAsia="仿宋_GB2312" w:cs="Times New Roman"/>
                <w:color w:val="auto"/>
                <w:sz w:val="21"/>
                <w:szCs w:val="21"/>
                <w:highlight w:val="none"/>
              </w:rPr>
              <w:t>的，直接</w:t>
            </w:r>
            <w:r>
              <w:rPr>
                <w:rFonts w:hint="eastAsia" w:ascii="Times New Roman" w:hAnsi="Times New Roman" w:cs="Times New Roman"/>
                <w:color w:val="auto"/>
                <w:sz w:val="21"/>
                <w:szCs w:val="21"/>
                <w:highlight w:val="none"/>
                <w:lang w:eastAsia="zh-CN"/>
              </w:rPr>
              <w:t>评</w:t>
            </w:r>
            <w:r>
              <w:rPr>
                <w:rFonts w:hint="default" w:ascii="Times New Roman" w:hAnsi="Times New Roman" w:eastAsia="仿宋_GB2312" w:cs="Times New Roman"/>
                <w:color w:val="auto"/>
                <w:sz w:val="21"/>
                <w:szCs w:val="21"/>
                <w:highlight w:val="none"/>
              </w:rPr>
              <w:t>定为D级：</w:t>
            </w:r>
          </w:p>
          <w:p w14:paraId="66972B13">
            <w:pPr>
              <w:pStyle w:val="2"/>
              <w:ind w:firstLine="420" w:firstLineChars="20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吸收或变相吸收公众存款</w:t>
            </w:r>
            <w:r>
              <w:rPr>
                <w:rFonts w:hint="eastAsia" w:ascii="Times New Roman" w:hAnsi="Times New Roman" w:cs="Times New Roman"/>
                <w:color w:val="auto"/>
                <w:sz w:val="21"/>
                <w:szCs w:val="21"/>
                <w:highlight w:val="none"/>
                <w:lang w:val="en-US" w:eastAsia="zh-CN"/>
              </w:rPr>
              <w:t>，组织或参与</w:t>
            </w:r>
            <w:r>
              <w:rPr>
                <w:rFonts w:hint="default" w:ascii="Times New Roman" w:hAnsi="Times New Roman" w:eastAsia="仿宋_GB2312" w:cs="Times New Roman"/>
                <w:color w:val="auto"/>
                <w:sz w:val="21"/>
                <w:szCs w:val="21"/>
                <w:highlight w:val="none"/>
              </w:rPr>
              <w:t>非法集资</w:t>
            </w:r>
            <w:r>
              <w:rPr>
                <w:rFonts w:hint="eastAsia" w:ascii="Times New Roman" w:hAnsi="Times New Roman" w:cs="Times New Roman"/>
                <w:color w:val="auto"/>
                <w:sz w:val="21"/>
                <w:szCs w:val="21"/>
                <w:highlight w:val="none"/>
                <w:lang w:eastAsia="zh-CN"/>
              </w:rPr>
              <w:t>活动</w:t>
            </w:r>
            <w:r>
              <w:rPr>
                <w:rFonts w:hint="default" w:ascii="Times New Roman" w:hAnsi="Times New Roman" w:eastAsia="仿宋_GB2312" w:cs="Times New Roman"/>
                <w:color w:val="auto"/>
                <w:sz w:val="21"/>
                <w:szCs w:val="21"/>
                <w:highlight w:val="none"/>
              </w:rPr>
              <w:t>。</w:t>
            </w:r>
          </w:p>
          <w:p w14:paraId="75191A82">
            <w:pPr>
              <w:pStyle w:val="2"/>
              <w:ind w:firstLine="420" w:firstLineChars="200"/>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2.</w:t>
            </w:r>
            <w:r>
              <w:rPr>
                <w:rFonts w:hint="eastAsia" w:ascii="Times New Roman" w:hAnsi="Times New Roman" w:cs="Times New Roman"/>
                <w:bCs/>
                <w:color w:val="auto"/>
                <w:sz w:val="21"/>
                <w:szCs w:val="21"/>
                <w:highlight w:val="none"/>
                <w:lang w:eastAsia="zh-CN"/>
              </w:rPr>
              <w:t>“</w:t>
            </w:r>
            <w:r>
              <w:rPr>
                <w:rFonts w:hint="eastAsia" w:ascii="Times New Roman" w:hAnsi="Times New Roman" w:cs="Times New Roman"/>
                <w:bCs/>
                <w:color w:val="auto"/>
                <w:sz w:val="21"/>
                <w:szCs w:val="21"/>
                <w:highlight w:val="none"/>
                <w:lang w:val="en-US" w:eastAsia="zh-CN"/>
              </w:rPr>
              <w:t>失联</w:t>
            </w:r>
            <w:r>
              <w:rPr>
                <w:rFonts w:hint="eastAsia" w:ascii="Times New Roman" w:hAnsi="Times New Roman" w:cs="Times New Roman"/>
                <w:bCs/>
                <w:color w:val="auto"/>
                <w:sz w:val="21"/>
                <w:szCs w:val="21"/>
                <w:highlight w:val="none"/>
                <w:lang w:eastAsia="zh-CN"/>
              </w:rPr>
              <w:t>”“</w:t>
            </w:r>
            <w:r>
              <w:rPr>
                <w:rFonts w:hint="eastAsia" w:ascii="Times New Roman" w:hAnsi="Times New Roman" w:cs="Times New Roman"/>
                <w:bCs/>
                <w:color w:val="auto"/>
                <w:sz w:val="21"/>
                <w:szCs w:val="21"/>
                <w:highlight w:val="none"/>
                <w:lang w:val="en-US" w:eastAsia="zh-CN"/>
              </w:rPr>
              <w:t>空壳</w:t>
            </w:r>
            <w:r>
              <w:rPr>
                <w:rFonts w:hint="eastAsia" w:ascii="Times New Roman" w:hAnsi="Times New Roman" w:cs="Times New Roman"/>
                <w:bCs/>
                <w:color w:val="auto"/>
                <w:sz w:val="21"/>
                <w:szCs w:val="21"/>
                <w:highlight w:val="none"/>
                <w:lang w:eastAsia="zh-CN"/>
              </w:rPr>
              <w:t>”</w:t>
            </w:r>
            <w:r>
              <w:rPr>
                <w:rFonts w:hint="eastAsia" w:ascii="Times New Roman" w:hAnsi="Times New Roman" w:cs="Times New Roman"/>
                <w:bCs/>
                <w:color w:val="auto"/>
                <w:sz w:val="21"/>
                <w:szCs w:val="21"/>
                <w:highlight w:val="none"/>
                <w:lang w:val="en-US" w:eastAsia="zh-CN"/>
              </w:rPr>
              <w:t>或严重违规的</w:t>
            </w:r>
            <w:r>
              <w:rPr>
                <w:rFonts w:hint="eastAsia" w:ascii="Times New Roman" w:hAnsi="Times New Roman" w:cs="Times New Roman"/>
                <w:color w:val="auto"/>
                <w:sz w:val="21"/>
                <w:szCs w:val="21"/>
                <w:highlight w:val="none"/>
                <w:lang w:eastAsia="zh-CN"/>
              </w:rPr>
              <w:t>。</w:t>
            </w:r>
          </w:p>
          <w:p w14:paraId="3266B6F8">
            <w:pPr>
              <w:pStyle w:val="2"/>
              <w:ind w:firstLine="420" w:firstLineChars="200"/>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rPr>
              <w:t>拒绝、阻挠或不配合</w:t>
            </w:r>
            <w:r>
              <w:rPr>
                <w:rFonts w:hint="default" w:ascii="Times New Roman" w:hAnsi="Times New Roman" w:eastAsia="仿宋_GB2312" w:cs="Times New Roman"/>
                <w:color w:val="auto"/>
                <w:sz w:val="21"/>
                <w:szCs w:val="21"/>
                <w:highlight w:val="none"/>
                <w:lang w:eastAsia="zh-CN"/>
              </w:rPr>
              <w:t>地方金融</w:t>
            </w:r>
            <w:r>
              <w:rPr>
                <w:rFonts w:hint="eastAsia" w:ascii="Times New Roman" w:hAnsi="Times New Roman" w:cs="Times New Roman"/>
                <w:color w:val="auto"/>
                <w:sz w:val="21"/>
                <w:szCs w:val="21"/>
                <w:highlight w:val="none"/>
                <w:lang w:val="en-US" w:eastAsia="zh-CN"/>
              </w:rPr>
              <w:t>管理</w:t>
            </w:r>
            <w:r>
              <w:rPr>
                <w:rFonts w:hint="default" w:ascii="Times New Roman" w:hAnsi="Times New Roman" w:eastAsia="仿宋_GB2312" w:cs="Times New Roman"/>
                <w:color w:val="auto"/>
                <w:sz w:val="21"/>
                <w:szCs w:val="21"/>
                <w:highlight w:val="none"/>
                <w:lang w:eastAsia="zh-CN"/>
              </w:rPr>
              <w:t>部门</w:t>
            </w:r>
            <w:r>
              <w:rPr>
                <w:rFonts w:hint="eastAsia" w:ascii="Times New Roman" w:hAnsi="Times New Roman" w:cs="Times New Roman"/>
                <w:color w:val="auto"/>
                <w:sz w:val="21"/>
                <w:szCs w:val="21"/>
                <w:highlight w:val="none"/>
                <w:lang w:eastAsia="zh-CN"/>
              </w:rPr>
              <w:t>开展监管评级</w:t>
            </w:r>
            <w:r>
              <w:rPr>
                <w:rFonts w:hint="default" w:ascii="Times New Roman" w:hAnsi="Times New Roman" w:cs="Times New Roman"/>
                <w:color w:val="auto"/>
                <w:sz w:val="21"/>
                <w:szCs w:val="21"/>
                <w:highlight w:val="none"/>
                <w:lang w:eastAsia="zh-CN"/>
              </w:rPr>
              <w:t>或</w:t>
            </w:r>
            <w:r>
              <w:rPr>
                <w:rFonts w:hint="default" w:ascii="Times New Roman" w:hAnsi="Times New Roman" w:eastAsia="仿宋_GB2312" w:cs="Times New Roman"/>
                <w:color w:val="auto"/>
                <w:sz w:val="21"/>
                <w:szCs w:val="21"/>
                <w:highlight w:val="none"/>
              </w:rPr>
              <w:t>现场检查。</w:t>
            </w:r>
          </w:p>
        </w:tc>
        <w:tc>
          <w:tcPr>
            <w:tcW w:w="798" w:type="dxa"/>
            <w:noWrap w:val="0"/>
            <w:vAlign w:val="top"/>
          </w:tcPr>
          <w:p w14:paraId="14C57FB9">
            <w:pPr>
              <w:spacing w:line="540" w:lineRule="exact"/>
              <w:rPr>
                <w:rFonts w:hint="default" w:ascii="Times New Roman" w:hAnsi="Times New Roman" w:eastAsia="方正仿宋_GBK" w:cs="Times New Roman"/>
                <w:color w:val="auto"/>
                <w:sz w:val="32"/>
                <w:szCs w:val="32"/>
                <w:highlight w:val="none"/>
              </w:rPr>
            </w:pPr>
          </w:p>
        </w:tc>
        <w:tc>
          <w:tcPr>
            <w:tcW w:w="715" w:type="dxa"/>
            <w:noWrap w:val="0"/>
            <w:vAlign w:val="top"/>
          </w:tcPr>
          <w:p w14:paraId="048A9C22">
            <w:pPr>
              <w:spacing w:line="540" w:lineRule="exact"/>
              <w:rPr>
                <w:rFonts w:hint="default" w:ascii="Times New Roman" w:hAnsi="Times New Roman" w:eastAsia="方正仿宋_GBK" w:cs="Times New Roman"/>
                <w:color w:val="auto"/>
                <w:sz w:val="32"/>
                <w:szCs w:val="32"/>
                <w:highlight w:val="none"/>
              </w:rPr>
            </w:pPr>
          </w:p>
        </w:tc>
      </w:tr>
      <w:tr w14:paraId="1759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3042" w:type="dxa"/>
            <w:gridSpan w:val="3"/>
            <w:noWrap w:val="0"/>
            <w:vAlign w:val="center"/>
          </w:tcPr>
          <w:p w14:paraId="3DFDAE96">
            <w:pPr>
              <w:spacing w:line="400" w:lineRule="exact"/>
              <w:jc w:val="center"/>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专家调整项</w:t>
            </w:r>
          </w:p>
        </w:tc>
        <w:tc>
          <w:tcPr>
            <w:tcW w:w="9741" w:type="dxa"/>
            <w:noWrap w:val="0"/>
            <w:vAlign w:val="center"/>
          </w:tcPr>
          <w:p w14:paraId="57419C4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firstLine="420" w:firstLineChars="200"/>
              <w:textAlignment w:val="auto"/>
              <w:rPr>
                <w:rFonts w:hint="default" w:ascii="Times New Roman" w:hAnsi="Times New Roman" w:eastAsia="仿宋_GB2312" w:cs="Times New Roman"/>
                <w:color w:val="auto"/>
                <w:sz w:val="21"/>
                <w:szCs w:val="21"/>
                <w:highlight w:val="none"/>
              </w:rPr>
            </w:pPr>
            <w:r>
              <w:rPr>
                <w:rFonts w:hint="eastAsia" w:cs="Times New Roman"/>
                <w:color w:val="auto"/>
                <w:sz w:val="21"/>
                <w:szCs w:val="21"/>
                <w:highlight w:val="none"/>
                <w:lang w:val="en-US" w:eastAsia="zh-CN"/>
              </w:rPr>
              <w:t>1.在服务实体经济、发展普惠金融、助企纾困解难、引领行业发展等方面作出突出贡献或成绩的</w:t>
            </w:r>
            <w:r>
              <w:rPr>
                <w:rFonts w:hint="default" w:ascii="Times New Roman" w:hAnsi="Times New Roman" w:eastAsia="仿宋_GB2312" w:cs="Times New Roman"/>
                <w:color w:val="auto"/>
                <w:sz w:val="21"/>
                <w:szCs w:val="21"/>
                <w:highlight w:val="none"/>
              </w:rPr>
              <w:t>，可</w:t>
            </w:r>
            <w:r>
              <w:rPr>
                <w:rFonts w:hint="eastAsia" w:cs="Times New Roman"/>
                <w:color w:val="auto"/>
                <w:sz w:val="21"/>
                <w:szCs w:val="21"/>
                <w:highlight w:val="none"/>
                <w:lang w:val="en-US" w:eastAsia="zh-CN"/>
              </w:rPr>
              <w:t>经有关</w:t>
            </w:r>
            <w:r>
              <w:rPr>
                <w:rFonts w:hint="default" w:ascii="Times New Roman" w:hAnsi="Times New Roman" w:cs="Times New Roman"/>
                <w:color w:val="auto"/>
                <w:sz w:val="21"/>
                <w:szCs w:val="21"/>
                <w:highlight w:val="none"/>
                <w:lang w:eastAsia="zh-CN"/>
              </w:rPr>
              <w:t>专家</w:t>
            </w:r>
            <w:r>
              <w:rPr>
                <w:rFonts w:hint="eastAsia" w:cs="Times New Roman"/>
                <w:color w:val="auto"/>
                <w:sz w:val="21"/>
                <w:szCs w:val="21"/>
                <w:highlight w:val="none"/>
                <w:lang w:val="en-US" w:eastAsia="zh-CN"/>
              </w:rPr>
              <w:t>会商后</w:t>
            </w:r>
            <w:r>
              <w:rPr>
                <w:rFonts w:hint="default" w:ascii="Times New Roman" w:hAnsi="Times New Roman" w:eastAsia="仿宋_GB2312" w:cs="Times New Roman"/>
                <w:color w:val="auto"/>
                <w:sz w:val="21"/>
                <w:szCs w:val="21"/>
                <w:highlight w:val="none"/>
              </w:rPr>
              <w:t>给予适当</w:t>
            </w:r>
            <w:r>
              <w:rPr>
                <w:rFonts w:hint="eastAsia" w:ascii="Times New Roman" w:hAnsi="Times New Roman" w:cs="Times New Roman"/>
                <w:color w:val="auto"/>
                <w:sz w:val="21"/>
                <w:szCs w:val="21"/>
                <w:highlight w:val="none"/>
                <w:lang w:val="en-US" w:eastAsia="zh-CN"/>
              </w:rPr>
              <w:t>加</w:t>
            </w:r>
            <w:r>
              <w:rPr>
                <w:rFonts w:hint="default" w:ascii="Times New Roman" w:hAnsi="Times New Roman" w:eastAsia="仿宋_GB2312" w:cs="Times New Roman"/>
                <w:color w:val="auto"/>
                <w:sz w:val="21"/>
                <w:szCs w:val="21"/>
                <w:highlight w:val="none"/>
              </w:rPr>
              <w:t>分</w:t>
            </w:r>
            <w:r>
              <w:rPr>
                <w:rFonts w:hint="eastAsia" w:cs="Times New Roman"/>
                <w:color w:val="auto"/>
                <w:sz w:val="21"/>
                <w:szCs w:val="21"/>
                <w:highlight w:val="none"/>
                <w:lang w:val="en-US" w:eastAsia="zh-CN"/>
              </w:rPr>
              <w:t>或</w:t>
            </w:r>
            <w:r>
              <w:rPr>
                <w:rFonts w:hint="default" w:ascii="Times New Roman" w:hAnsi="Times New Roman" w:cs="Times New Roman"/>
                <w:color w:val="auto"/>
                <w:sz w:val="21"/>
                <w:szCs w:val="21"/>
                <w:highlight w:val="none"/>
                <w:lang w:eastAsia="zh-CN"/>
              </w:rPr>
              <w:t>调高</w:t>
            </w:r>
            <w:r>
              <w:rPr>
                <w:rFonts w:hint="eastAsia" w:cs="Times New Roman"/>
                <w:color w:val="auto"/>
                <w:sz w:val="21"/>
                <w:szCs w:val="21"/>
                <w:highlight w:val="none"/>
                <w:lang w:val="en-US" w:eastAsia="zh-CN"/>
              </w:rPr>
              <w:t>评级</w:t>
            </w:r>
            <w:r>
              <w:rPr>
                <w:rFonts w:hint="default" w:ascii="Times New Roman" w:hAnsi="Times New Roman" w:eastAsia="仿宋_GB2312" w:cs="Times New Roman"/>
                <w:color w:val="auto"/>
                <w:sz w:val="21"/>
                <w:szCs w:val="21"/>
                <w:highlight w:val="none"/>
              </w:rPr>
              <w:t>。</w:t>
            </w:r>
          </w:p>
          <w:p w14:paraId="38EE2E93">
            <w:pPr>
              <w:numPr>
                <w:ilvl w:val="0"/>
                <w:numId w:val="0"/>
              </w:numPr>
              <w:autoSpaceDE/>
              <w:autoSpaceDN/>
              <w:adjustRightInd/>
              <w:snapToGrid w:val="0"/>
              <w:ind w:firstLine="420" w:firstLineChars="200"/>
              <w:rPr>
                <w:rFonts w:hint="default"/>
                <w:color w:val="auto"/>
                <w:highlight w:val="none"/>
                <w:lang w:eastAsia="zh-CN"/>
              </w:rPr>
            </w:pPr>
            <w:r>
              <w:rPr>
                <w:rFonts w:hint="eastAsia"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获得县级以上</w:t>
            </w:r>
            <w:r>
              <w:rPr>
                <w:rFonts w:hint="eastAsia" w:cs="Times New Roman"/>
                <w:color w:val="auto"/>
                <w:sz w:val="21"/>
                <w:szCs w:val="21"/>
                <w:highlight w:val="none"/>
                <w:lang w:val="en-US" w:eastAsia="zh-CN"/>
              </w:rPr>
              <w:t>党委、</w:t>
            </w:r>
            <w:r>
              <w:rPr>
                <w:rFonts w:hint="default" w:ascii="Times New Roman" w:hAnsi="Times New Roman" w:cs="Times New Roman"/>
                <w:color w:val="auto"/>
                <w:sz w:val="21"/>
                <w:szCs w:val="21"/>
                <w:highlight w:val="none"/>
              </w:rPr>
              <w:t>政府表彰奖励的</w:t>
            </w:r>
            <w:r>
              <w:rPr>
                <w:rFonts w:hint="eastAsia" w:ascii="Times New Roman" w:hAnsi="Times New Roman" w:cs="Times New Roman"/>
                <w:color w:val="auto"/>
                <w:sz w:val="21"/>
                <w:szCs w:val="21"/>
                <w:highlight w:val="none"/>
                <w:lang w:eastAsia="zh-CN"/>
              </w:rPr>
              <w:t>，加</w:t>
            </w:r>
            <w:r>
              <w:rPr>
                <w:rFonts w:hint="eastAsia"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分</w:t>
            </w:r>
            <w:r>
              <w:rPr>
                <w:rFonts w:hint="default" w:ascii="Times New Roman" w:hAnsi="Times New Roman" w:cs="Times New Roman"/>
                <w:color w:val="auto"/>
                <w:sz w:val="21"/>
                <w:szCs w:val="21"/>
                <w:highlight w:val="none"/>
                <w:lang w:eastAsia="zh-CN"/>
              </w:rPr>
              <w:t>。</w:t>
            </w:r>
          </w:p>
          <w:p w14:paraId="573EC3DA">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textAlignment w:val="auto"/>
              <w:rPr>
                <w:rFonts w:hint="default" w:ascii="Times New Roman" w:hAnsi="Times New Roman" w:eastAsia="仿宋_GB2312" w:cs="Times New Roman"/>
                <w:color w:val="auto"/>
                <w:sz w:val="21"/>
                <w:szCs w:val="21"/>
                <w:highlight w:val="none"/>
              </w:rPr>
            </w:pPr>
            <w:r>
              <w:rPr>
                <w:rFonts w:hint="eastAsia"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rPr>
              <w:t>.</w:t>
            </w:r>
            <w:r>
              <w:rPr>
                <w:rFonts w:hint="default" w:ascii="Times New Roman" w:hAnsi="Times New Roman" w:cs="Times New Roman"/>
                <w:color w:val="auto"/>
                <w:sz w:val="21"/>
                <w:szCs w:val="21"/>
                <w:highlight w:val="none"/>
                <w:lang w:eastAsia="zh-CN"/>
              </w:rPr>
              <w:t>有</w:t>
            </w:r>
            <w:r>
              <w:rPr>
                <w:rFonts w:hint="eastAsia" w:cs="Times New Roman"/>
                <w:color w:val="auto"/>
                <w:sz w:val="21"/>
                <w:szCs w:val="21"/>
                <w:highlight w:val="none"/>
                <w:lang w:eastAsia="zh-CN"/>
              </w:rPr>
              <w:t>违法</w:t>
            </w:r>
            <w:r>
              <w:rPr>
                <w:rFonts w:hint="default" w:ascii="Times New Roman" w:hAnsi="Times New Roman" w:cs="Times New Roman"/>
                <w:color w:val="auto"/>
                <w:sz w:val="21"/>
                <w:szCs w:val="21"/>
                <w:highlight w:val="none"/>
                <w:lang w:eastAsia="zh-CN"/>
              </w:rPr>
              <w:t>违规记录</w:t>
            </w:r>
            <w:r>
              <w:rPr>
                <w:rFonts w:hint="eastAsia" w:cs="Times New Roman"/>
                <w:color w:val="auto"/>
                <w:sz w:val="21"/>
                <w:szCs w:val="21"/>
                <w:highlight w:val="none"/>
                <w:lang w:val="en-US" w:eastAsia="zh-CN"/>
              </w:rPr>
              <w:t>或不良舆情</w:t>
            </w:r>
            <w:r>
              <w:rPr>
                <w:rFonts w:hint="default" w:ascii="Times New Roman" w:hAnsi="Times New Roman"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且</w:t>
            </w:r>
            <w:r>
              <w:rPr>
                <w:rFonts w:hint="eastAsia" w:cs="Times New Roman"/>
                <w:color w:val="auto"/>
                <w:sz w:val="21"/>
                <w:szCs w:val="21"/>
                <w:highlight w:val="none"/>
                <w:lang w:eastAsia="zh-CN"/>
              </w:rPr>
              <w:t>评分</w:t>
            </w:r>
            <w:r>
              <w:rPr>
                <w:rFonts w:hint="default" w:ascii="Times New Roman" w:hAnsi="Times New Roman" w:cs="Times New Roman"/>
                <w:color w:val="auto"/>
                <w:sz w:val="21"/>
                <w:szCs w:val="21"/>
                <w:highlight w:val="none"/>
                <w:lang w:eastAsia="zh-CN"/>
              </w:rPr>
              <w:t>偏高与公司合规经营情况不相匹配的</w:t>
            </w:r>
            <w:r>
              <w:rPr>
                <w:rFonts w:hint="default" w:ascii="Times New Roman" w:hAnsi="Times New Roman" w:eastAsia="仿宋_GB2312" w:cs="Times New Roman"/>
                <w:color w:val="auto"/>
                <w:sz w:val="21"/>
                <w:szCs w:val="21"/>
                <w:highlight w:val="none"/>
              </w:rPr>
              <w:t>，可</w:t>
            </w:r>
            <w:r>
              <w:rPr>
                <w:rFonts w:hint="eastAsia" w:cs="Times New Roman"/>
                <w:color w:val="auto"/>
                <w:sz w:val="21"/>
                <w:szCs w:val="21"/>
                <w:highlight w:val="none"/>
                <w:lang w:val="en-US" w:eastAsia="zh-CN"/>
              </w:rPr>
              <w:t>经有关</w:t>
            </w:r>
            <w:r>
              <w:rPr>
                <w:rFonts w:hint="default" w:ascii="Times New Roman" w:hAnsi="Times New Roman" w:cs="Times New Roman"/>
                <w:color w:val="auto"/>
                <w:sz w:val="21"/>
                <w:szCs w:val="21"/>
                <w:highlight w:val="none"/>
                <w:lang w:eastAsia="zh-CN"/>
              </w:rPr>
              <w:t>专家</w:t>
            </w:r>
            <w:r>
              <w:rPr>
                <w:rFonts w:hint="eastAsia" w:cs="Times New Roman"/>
                <w:color w:val="auto"/>
                <w:sz w:val="21"/>
                <w:szCs w:val="21"/>
                <w:highlight w:val="none"/>
                <w:lang w:val="en-US" w:eastAsia="zh-CN"/>
              </w:rPr>
              <w:t>会商后</w:t>
            </w:r>
            <w:r>
              <w:rPr>
                <w:rFonts w:hint="default" w:ascii="Times New Roman" w:hAnsi="Times New Roman" w:eastAsia="仿宋_GB2312" w:cs="Times New Roman"/>
                <w:color w:val="auto"/>
                <w:sz w:val="21"/>
                <w:szCs w:val="21"/>
                <w:highlight w:val="none"/>
              </w:rPr>
              <w:t>给予适当减分</w:t>
            </w:r>
            <w:r>
              <w:rPr>
                <w:rFonts w:hint="eastAsia" w:cs="Times New Roman"/>
                <w:color w:val="auto"/>
                <w:sz w:val="21"/>
                <w:szCs w:val="21"/>
                <w:highlight w:val="none"/>
                <w:lang w:eastAsia="zh-CN"/>
              </w:rPr>
              <w:t>或调低评级</w:t>
            </w:r>
            <w:r>
              <w:rPr>
                <w:rFonts w:hint="default" w:ascii="Times New Roman" w:hAnsi="Times New Roman" w:eastAsia="仿宋_GB2312" w:cs="Times New Roman"/>
                <w:color w:val="auto"/>
                <w:sz w:val="21"/>
                <w:szCs w:val="21"/>
                <w:highlight w:val="none"/>
              </w:rPr>
              <w:t>。</w:t>
            </w:r>
          </w:p>
        </w:tc>
        <w:tc>
          <w:tcPr>
            <w:tcW w:w="798" w:type="dxa"/>
            <w:noWrap w:val="0"/>
            <w:vAlign w:val="top"/>
          </w:tcPr>
          <w:p w14:paraId="2CD32C48">
            <w:pPr>
              <w:spacing w:line="540" w:lineRule="exact"/>
              <w:rPr>
                <w:rFonts w:hint="default" w:ascii="Times New Roman" w:hAnsi="Times New Roman" w:eastAsia="方正仿宋_GBK" w:cs="Times New Roman"/>
                <w:color w:val="auto"/>
                <w:sz w:val="32"/>
                <w:szCs w:val="32"/>
                <w:highlight w:val="none"/>
              </w:rPr>
            </w:pPr>
          </w:p>
        </w:tc>
        <w:tc>
          <w:tcPr>
            <w:tcW w:w="715" w:type="dxa"/>
            <w:noWrap w:val="0"/>
            <w:vAlign w:val="top"/>
          </w:tcPr>
          <w:p w14:paraId="42F67A70">
            <w:pPr>
              <w:spacing w:line="540" w:lineRule="exact"/>
              <w:rPr>
                <w:rFonts w:hint="default" w:ascii="Times New Roman" w:hAnsi="Times New Roman" w:eastAsia="方正仿宋_GBK" w:cs="Times New Roman"/>
                <w:color w:val="auto"/>
                <w:sz w:val="32"/>
                <w:szCs w:val="32"/>
                <w:highlight w:val="none"/>
              </w:rPr>
            </w:pPr>
          </w:p>
        </w:tc>
      </w:tr>
      <w:tr w14:paraId="50C22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042" w:type="dxa"/>
            <w:gridSpan w:val="3"/>
            <w:noWrap w:val="0"/>
            <w:vAlign w:val="center"/>
          </w:tcPr>
          <w:p w14:paraId="7C156C4C">
            <w:pPr>
              <w:spacing w:line="400" w:lineRule="exact"/>
              <w:jc w:val="center"/>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lang w:eastAsia="zh-CN"/>
              </w:rPr>
              <w:t>合计</w:t>
            </w:r>
          </w:p>
        </w:tc>
        <w:tc>
          <w:tcPr>
            <w:tcW w:w="9741" w:type="dxa"/>
            <w:noWrap w:val="0"/>
            <w:vAlign w:val="center"/>
          </w:tcPr>
          <w:p w14:paraId="06D8C713">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textAlignment w:val="auto"/>
              <w:rPr>
                <w:rFonts w:hint="default" w:ascii="Times New Roman" w:hAnsi="Times New Roman" w:eastAsia="仿宋_GB2312" w:cs="Times New Roman"/>
                <w:color w:val="auto"/>
                <w:sz w:val="21"/>
                <w:szCs w:val="21"/>
                <w:highlight w:val="none"/>
              </w:rPr>
            </w:pPr>
          </w:p>
        </w:tc>
        <w:tc>
          <w:tcPr>
            <w:tcW w:w="798" w:type="dxa"/>
            <w:noWrap w:val="0"/>
            <w:vAlign w:val="top"/>
          </w:tcPr>
          <w:p w14:paraId="72A77462">
            <w:pPr>
              <w:spacing w:line="540" w:lineRule="exact"/>
              <w:rPr>
                <w:rFonts w:hint="default" w:ascii="Times New Roman" w:hAnsi="Times New Roman" w:eastAsia="方正仿宋_GBK" w:cs="Times New Roman"/>
                <w:color w:val="auto"/>
                <w:sz w:val="32"/>
                <w:szCs w:val="32"/>
                <w:highlight w:val="none"/>
              </w:rPr>
            </w:pPr>
          </w:p>
        </w:tc>
        <w:tc>
          <w:tcPr>
            <w:tcW w:w="715" w:type="dxa"/>
            <w:noWrap w:val="0"/>
            <w:vAlign w:val="top"/>
          </w:tcPr>
          <w:p w14:paraId="6C6C9689">
            <w:pPr>
              <w:spacing w:line="540" w:lineRule="exact"/>
              <w:rPr>
                <w:rFonts w:hint="default" w:ascii="Times New Roman" w:hAnsi="Times New Roman" w:eastAsia="方正仿宋_GBK" w:cs="Times New Roman"/>
                <w:color w:val="auto"/>
                <w:sz w:val="32"/>
                <w:szCs w:val="32"/>
                <w:highlight w:val="none"/>
              </w:rPr>
            </w:pPr>
          </w:p>
        </w:tc>
      </w:tr>
    </w:tbl>
    <w:p w14:paraId="4F058E6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right="0" w:rightChars="0"/>
        <w:jc w:val="both"/>
        <w:textAlignment w:val="auto"/>
        <w:outlineLvl w:val="9"/>
        <w:rPr>
          <w:rFonts w:hint="default" w:ascii="Times New Roman" w:hAnsi="Times New Roman" w:eastAsia="黑体" w:cs="Times New Roman"/>
          <w:color w:val="auto"/>
          <w:sz w:val="32"/>
          <w:szCs w:val="32"/>
          <w:highlight w:val="none"/>
          <w:lang w:val="en-US" w:eastAsia="zh-CN"/>
        </w:rPr>
      </w:pPr>
    </w:p>
    <w:p w14:paraId="04B9512E">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14:paraId="35D28D0B">
      <w:pPr>
        <w:pStyle w:val="2"/>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2：</w:t>
      </w:r>
    </w:p>
    <w:p w14:paraId="5D34536A">
      <w:pPr>
        <w:keepNext w:val="0"/>
        <w:keepLines w:val="0"/>
        <w:pageBreakBefore w:val="0"/>
        <w:kinsoku/>
        <w:overflowPunct/>
        <w:topLinePunct w:val="0"/>
        <w:bidi w:val="0"/>
        <w:snapToGrid w:val="0"/>
        <w:spacing w:line="580" w:lineRule="exact"/>
        <w:ind w:left="0" w:leftChars="0" w:right="0" w:rightChars="0" w:firstLine="880" w:firstLineChars="200"/>
        <w:jc w:val="both"/>
        <w:textAlignment w:val="auto"/>
        <w:outlineLvl w:val="9"/>
        <w:rPr>
          <w:rFonts w:hint="default" w:ascii="Times New Roman" w:hAnsi="Times New Roman" w:cs="Times New Roman"/>
          <w:color w:val="auto"/>
          <w:highlight w:val="none"/>
        </w:rPr>
      </w:pPr>
      <w:r>
        <w:rPr>
          <w:rFonts w:hint="default" w:ascii="Times New Roman" w:hAnsi="Times New Roman" w:eastAsia="方正小标宋简体" w:cs="Times New Roman"/>
          <w:color w:val="auto"/>
          <w:sz w:val="44"/>
          <w:szCs w:val="44"/>
          <w:highlight w:val="none"/>
        </w:rPr>
        <w:t>广西壮族自治区典当行</w:t>
      </w:r>
      <w:r>
        <w:rPr>
          <w:rFonts w:hint="eastAsia" w:eastAsia="方正小标宋简体" w:cs="Times New Roman"/>
          <w:color w:val="auto"/>
          <w:sz w:val="44"/>
          <w:szCs w:val="44"/>
          <w:highlight w:val="none"/>
          <w:lang w:eastAsia="zh-CN"/>
        </w:rPr>
        <w:t>2024年度监管评级评分</w:t>
      </w:r>
      <w:r>
        <w:rPr>
          <w:rFonts w:hint="default" w:ascii="Times New Roman" w:hAnsi="Times New Roman" w:eastAsia="方正小标宋简体" w:cs="Times New Roman"/>
          <w:color w:val="auto"/>
          <w:sz w:val="44"/>
          <w:szCs w:val="44"/>
          <w:highlight w:val="none"/>
        </w:rPr>
        <w:t>表</w:t>
      </w:r>
    </w:p>
    <w:tbl>
      <w:tblPr>
        <w:tblStyle w:val="24"/>
        <w:tblW w:w="13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536"/>
        <w:gridCol w:w="504"/>
        <w:gridCol w:w="8992"/>
        <w:gridCol w:w="705"/>
        <w:gridCol w:w="680"/>
      </w:tblGrid>
      <w:tr w14:paraId="03E3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blHeader/>
        </w:trPr>
        <w:tc>
          <w:tcPr>
            <w:tcW w:w="2669" w:type="dxa"/>
            <w:gridSpan w:val="2"/>
            <w:noWrap w:val="0"/>
            <w:vAlign w:val="center"/>
          </w:tcPr>
          <w:p w14:paraId="382CCEC0">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方正仿宋_GBK" w:cs="Times New Roman"/>
                <w:b/>
                <w:bCs/>
                <w:color w:val="auto"/>
                <w:szCs w:val="32"/>
                <w:highlight w:val="none"/>
              </w:rPr>
            </w:pPr>
            <w:r>
              <w:rPr>
                <w:rFonts w:hint="default" w:ascii="Times New Roman" w:hAnsi="Times New Roman" w:eastAsia="方正仿宋_GBK" w:cs="Times New Roman"/>
                <w:b/>
                <w:bCs/>
                <w:color w:val="auto"/>
                <w:szCs w:val="32"/>
                <w:highlight w:val="none"/>
              </w:rPr>
              <w:t>考评内容</w:t>
            </w:r>
          </w:p>
        </w:tc>
        <w:tc>
          <w:tcPr>
            <w:tcW w:w="504" w:type="dxa"/>
            <w:noWrap w:val="0"/>
            <w:vAlign w:val="center"/>
          </w:tcPr>
          <w:p w14:paraId="3F9F277E">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方正仿宋_GBK" w:cs="Times New Roman"/>
                <w:b/>
                <w:bCs/>
                <w:color w:val="auto"/>
                <w:szCs w:val="32"/>
                <w:highlight w:val="none"/>
              </w:rPr>
            </w:pPr>
            <w:r>
              <w:rPr>
                <w:rFonts w:hint="default" w:ascii="Times New Roman" w:hAnsi="Times New Roman" w:eastAsia="方正仿宋_GBK" w:cs="Times New Roman"/>
                <w:b/>
                <w:bCs/>
                <w:color w:val="auto"/>
                <w:szCs w:val="32"/>
                <w:highlight w:val="none"/>
              </w:rPr>
              <w:t>分值</w:t>
            </w:r>
          </w:p>
        </w:tc>
        <w:tc>
          <w:tcPr>
            <w:tcW w:w="8992" w:type="dxa"/>
            <w:noWrap w:val="0"/>
            <w:vAlign w:val="center"/>
          </w:tcPr>
          <w:p w14:paraId="2E617C0A">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方正仿宋_GBK" w:cs="Times New Roman"/>
                <w:b/>
                <w:bCs/>
                <w:color w:val="auto"/>
                <w:szCs w:val="32"/>
                <w:highlight w:val="none"/>
              </w:rPr>
            </w:pPr>
            <w:r>
              <w:rPr>
                <w:rFonts w:hint="default" w:ascii="Times New Roman" w:hAnsi="Times New Roman" w:eastAsia="方正仿宋_GBK" w:cs="Times New Roman"/>
                <w:b/>
                <w:bCs/>
                <w:color w:val="auto"/>
                <w:szCs w:val="32"/>
                <w:highlight w:val="none"/>
              </w:rPr>
              <w:t>评分标准</w:t>
            </w:r>
          </w:p>
        </w:tc>
        <w:tc>
          <w:tcPr>
            <w:tcW w:w="705" w:type="dxa"/>
            <w:noWrap w:val="0"/>
            <w:vAlign w:val="center"/>
          </w:tcPr>
          <w:p w14:paraId="7569C6AF">
            <w:pPr>
              <w:keepNext w:val="0"/>
              <w:keepLines w:val="0"/>
              <w:pageBreakBefore w:val="0"/>
              <w:kinsoku/>
              <w:overflowPunct/>
              <w:topLinePunct w:val="0"/>
              <w:bidi w:val="0"/>
              <w:snapToGrid w:val="0"/>
              <w:spacing w:line="360" w:lineRule="exact"/>
              <w:ind w:left="0" w:leftChars="0" w:right="0" w:rightChars="0"/>
              <w:jc w:val="center"/>
              <w:textAlignment w:val="auto"/>
              <w:outlineLvl w:val="9"/>
              <w:rPr>
                <w:rFonts w:hint="default" w:ascii="Times New Roman" w:hAnsi="Times New Roman" w:eastAsia="方正仿宋_GBK" w:cs="Times New Roman"/>
                <w:b/>
                <w:bCs/>
                <w:color w:val="auto"/>
                <w:szCs w:val="32"/>
                <w:highlight w:val="none"/>
              </w:rPr>
            </w:pPr>
            <w:r>
              <w:rPr>
                <w:rFonts w:hint="default" w:ascii="Times New Roman" w:hAnsi="Times New Roman" w:eastAsia="方正仿宋_GBK" w:cs="Times New Roman"/>
                <w:b/>
                <w:bCs/>
                <w:color w:val="auto"/>
                <w:szCs w:val="32"/>
                <w:highlight w:val="none"/>
              </w:rPr>
              <w:t>得分</w:t>
            </w:r>
          </w:p>
        </w:tc>
        <w:tc>
          <w:tcPr>
            <w:tcW w:w="680" w:type="dxa"/>
            <w:noWrap w:val="0"/>
            <w:vAlign w:val="center"/>
          </w:tcPr>
          <w:p w14:paraId="255FF312">
            <w:pPr>
              <w:keepNext w:val="0"/>
              <w:keepLines w:val="0"/>
              <w:pageBreakBefore w:val="0"/>
              <w:kinsoku/>
              <w:overflowPunct/>
              <w:topLinePunct w:val="0"/>
              <w:bidi w:val="0"/>
              <w:snapToGrid w:val="0"/>
              <w:spacing w:line="360" w:lineRule="exact"/>
              <w:ind w:left="0" w:leftChars="0" w:right="0" w:rightChars="0"/>
              <w:jc w:val="center"/>
              <w:textAlignment w:val="auto"/>
              <w:outlineLvl w:val="9"/>
              <w:rPr>
                <w:rFonts w:hint="default" w:ascii="Times New Roman" w:hAnsi="Times New Roman" w:eastAsia="方正仿宋_GBK" w:cs="Times New Roman"/>
                <w:b/>
                <w:bCs/>
                <w:color w:val="auto"/>
                <w:szCs w:val="32"/>
                <w:highlight w:val="none"/>
              </w:rPr>
            </w:pPr>
            <w:r>
              <w:rPr>
                <w:rFonts w:hint="default" w:ascii="Times New Roman" w:hAnsi="Times New Roman" w:eastAsia="方正仿宋_GBK" w:cs="Times New Roman"/>
                <w:b/>
                <w:bCs/>
                <w:color w:val="auto"/>
                <w:szCs w:val="32"/>
                <w:highlight w:val="none"/>
              </w:rPr>
              <w:t>备注</w:t>
            </w:r>
          </w:p>
        </w:tc>
      </w:tr>
      <w:tr w14:paraId="5839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33" w:type="dxa"/>
            <w:vMerge w:val="restart"/>
            <w:noWrap w:val="0"/>
            <w:vAlign w:val="center"/>
          </w:tcPr>
          <w:p w14:paraId="18ADAE7A">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一、</w:t>
            </w:r>
          </w:p>
          <w:p w14:paraId="41F24CA4">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公司</w:t>
            </w:r>
          </w:p>
          <w:p w14:paraId="28C300C3">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治理</w:t>
            </w:r>
          </w:p>
          <w:p w14:paraId="43C4C656">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(4</w:t>
            </w:r>
            <w:r>
              <w:rPr>
                <w:rFonts w:hint="default" w:ascii="Times New Roman" w:hAnsi="Times New Roman" w:eastAsia="黑体" w:cs="Times New Roman"/>
                <w:color w:val="auto"/>
                <w:sz w:val="24"/>
                <w:szCs w:val="24"/>
                <w:highlight w:val="none"/>
                <w:lang w:val="en-US" w:eastAsia="zh-CN"/>
              </w:rPr>
              <w:t>0</w:t>
            </w:r>
            <w:r>
              <w:rPr>
                <w:rFonts w:hint="default" w:ascii="Times New Roman" w:hAnsi="Times New Roman" w:eastAsia="黑体" w:cs="Times New Roman"/>
                <w:color w:val="auto"/>
                <w:sz w:val="24"/>
                <w:szCs w:val="24"/>
                <w:highlight w:val="none"/>
              </w:rPr>
              <w:t>分）</w:t>
            </w:r>
          </w:p>
          <w:p w14:paraId="55FD531B">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p>
        </w:tc>
        <w:tc>
          <w:tcPr>
            <w:tcW w:w="1536" w:type="dxa"/>
            <w:noWrap w:val="0"/>
            <w:vAlign w:val="center"/>
          </w:tcPr>
          <w:p w14:paraId="6E26B91B">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（1）</w:t>
            </w:r>
          </w:p>
          <w:p w14:paraId="34B39262">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股东</w:t>
            </w:r>
            <w:r>
              <w:rPr>
                <w:rFonts w:hint="eastAsia" w:eastAsia="仿宋" w:cs="Times New Roman"/>
                <w:b/>
                <w:bCs/>
                <w:color w:val="auto"/>
                <w:sz w:val="24"/>
                <w:szCs w:val="24"/>
                <w:highlight w:val="none"/>
                <w:lang w:val="en-US" w:eastAsia="zh-CN"/>
              </w:rPr>
              <w:t>情况</w:t>
            </w:r>
          </w:p>
        </w:tc>
        <w:tc>
          <w:tcPr>
            <w:tcW w:w="504" w:type="dxa"/>
            <w:noWrap w:val="0"/>
            <w:vAlign w:val="center"/>
          </w:tcPr>
          <w:p w14:paraId="1B575970">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val="en-US" w:eastAsia="zh-CN"/>
              </w:rPr>
              <w:t>5</w:t>
            </w:r>
          </w:p>
        </w:tc>
        <w:tc>
          <w:tcPr>
            <w:tcW w:w="8992" w:type="dxa"/>
            <w:noWrap w:val="0"/>
            <w:vAlign w:val="center"/>
          </w:tcPr>
          <w:p w14:paraId="5A287106">
            <w:pPr>
              <w:pStyle w:val="2"/>
              <w:keepNext w:val="0"/>
              <w:keepLines w:val="0"/>
              <w:pageBreakBefore w:val="0"/>
              <w:kinsoku/>
              <w:overflowPunct/>
              <w:topLinePunct w:val="0"/>
              <w:bidi w:val="0"/>
              <w:snapToGrid w:val="0"/>
              <w:ind w:left="0" w:leftChars="0" w:right="0" w:rightChars="0" w:firstLine="420" w:firstLineChars="200"/>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eastAsia="zh-CN"/>
              </w:rPr>
              <w:t>股东</w:t>
            </w:r>
            <w:r>
              <w:rPr>
                <w:rFonts w:hint="default" w:ascii="Times New Roman" w:hAnsi="Times New Roman" w:eastAsia="仿宋_GB2312" w:cs="Times New Roman"/>
                <w:color w:val="auto"/>
                <w:sz w:val="21"/>
                <w:szCs w:val="21"/>
                <w:highlight w:val="none"/>
              </w:rPr>
              <w:t>信誉。人民银行征信系统信用报告正常</w:t>
            </w:r>
            <w:r>
              <w:rPr>
                <w:rFonts w:hint="default" w:ascii="Times New Roman" w:hAnsi="Times New Roman" w:cs="Times New Roman"/>
                <w:color w:val="auto"/>
                <w:sz w:val="21"/>
                <w:szCs w:val="21"/>
                <w:highlight w:val="none"/>
                <w:lang w:eastAsia="zh-CN"/>
              </w:rPr>
              <w:t>的</w:t>
            </w:r>
            <w:r>
              <w:rPr>
                <w:rFonts w:hint="default" w:ascii="Times New Roman" w:hAnsi="Times New Roman" w:eastAsia="仿宋_GB2312" w:cs="Times New Roman"/>
                <w:color w:val="auto"/>
                <w:sz w:val="21"/>
                <w:szCs w:val="21"/>
                <w:highlight w:val="none"/>
              </w:rPr>
              <w:t>得</w:t>
            </w:r>
            <w:r>
              <w:rPr>
                <w:rFonts w:hint="default" w:ascii="Times New Roman" w:hAnsi="Times New Roman"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分；信用报告有不良信用记录（包括大额贷款到期未还、恶意拖欠贷款本息1个月以上</w:t>
            </w:r>
            <w:r>
              <w:rPr>
                <w:rFonts w:hint="eastAsia" w:ascii="Times New Roman" w:hAnsi="Times New Roman" w:cs="Times New Roman"/>
                <w:color w:val="auto"/>
                <w:sz w:val="21"/>
                <w:szCs w:val="21"/>
                <w:highlight w:val="none"/>
                <w:lang w:eastAsia="zh-CN"/>
              </w:rPr>
              <w:t>等</w:t>
            </w:r>
            <w:r>
              <w:rPr>
                <w:rFonts w:hint="default" w:ascii="Times New Roman" w:hAnsi="Times New Roman" w:eastAsia="仿宋_GB2312" w:cs="Times New Roman"/>
                <w:color w:val="auto"/>
                <w:sz w:val="21"/>
                <w:szCs w:val="21"/>
                <w:highlight w:val="none"/>
              </w:rPr>
              <w:t>）</w:t>
            </w:r>
            <w:bookmarkStart w:id="79" w:name="OLE_LINK1"/>
            <w:r>
              <w:rPr>
                <w:rFonts w:hint="eastAsia" w:ascii="Times New Roman" w:hAnsi="Times New Roman" w:cs="Times New Roman"/>
                <w:color w:val="auto"/>
                <w:sz w:val="21"/>
                <w:szCs w:val="21"/>
                <w:highlight w:val="none"/>
                <w:lang w:val="en-US" w:eastAsia="zh-CN"/>
              </w:rPr>
              <w:t>不得分</w:t>
            </w:r>
            <w:bookmarkEnd w:id="79"/>
            <w:r>
              <w:rPr>
                <w:rFonts w:hint="default" w:ascii="Times New Roman" w:hAnsi="Times New Roman" w:eastAsia="仿宋_GB2312" w:cs="Times New Roman"/>
                <w:color w:val="auto"/>
                <w:sz w:val="21"/>
                <w:szCs w:val="21"/>
                <w:highlight w:val="none"/>
              </w:rPr>
              <w:t>。</w:t>
            </w:r>
          </w:p>
          <w:p w14:paraId="632606B6">
            <w:pPr>
              <w:pStyle w:val="2"/>
              <w:keepNext w:val="0"/>
              <w:keepLines w:val="0"/>
              <w:pageBreakBefore w:val="0"/>
              <w:kinsoku/>
              <w:overflowPunct/>
              <w:topLinePunct w:val="0"/>
              <w:bidi w:val="0"/>
              <w:snapToGrid w:val="0"/>
              <w:ind w:left="0" w:leftChars="0" w:right="0" w:rightChars="0" w:firstLine="420" w:firstLineChars="200"/>
              <w:textAlignment w:val="auto"/>
              <w:outlineLvl w:val="9"/>
              <w:rPr>
                <w:rFonts w:hint="default" w:ascii="Times New Roman" w:hAnsi="Times New Roman" w:cs="Times New Roman"/>
                <w:color w:val="auto"/>
                <w:kern w:val="2"/>
                <w:highlight w:val="none"/>
              </w:rPr>
            </w:pP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股权结构稳定</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2</w:t>
            </w:r>
            <w:r>
              <w:rPr>
                <w:rFonts w:hint="eastAsia" w:ascii="Times New Roman" w:hAnsi="Times New Roman" w:cs="Times New Roman"/>
                <w:color w:val="auto"/>
                <w:sz w:val="21"/>
                <w:szCs w:val="21"/>
                <w:highlight w:val="none"/>
                <w:lang w:eastAsia="zh-CN"/>
              </w:rPr>
              <w:t>个</w:t>
            </w:r>
            <w:r>
              <w:rPr>
                <w:rFonts w:hint="default" w:ascii="Times New Roman" w:hAnsi="Times New Roman" w:cs="Times New Roman"/>
                <w:color w:val="auto"/>
                <w:sz w:val="21"/>
                <w:szCs w:val="21"/>
                <w:highlight w:val="none"/>
              </w:rPr>
              <w:t>年</w:t>
            </w:r>
            <w:r>
              <w:rPr>
                <w:rFonts w:hint="eastAsia" w:ascii="Times New Roman" w:hAnsi="Times New Roman" w:cs="Times New Roman"/>
                <w:color w:val="auto"/>
                <w:sz w:val="21"/>
                <w:szCs w:val="21"/>
                <w:highlight w:val="none"/>
                <w:lang w:eastAsia="zh-CN"/>
              </w:rPr>
              <w:t>度</w:t>
            </w:r>
            <w:r>
              <w:rPr>
                <w:rFonts w:hint="default" w:ascii="Times New Roman" w:hAnsi="Times New Roman" w:cs="Times New Roman"/>
                <w:color w:val="auto"/>
                <w:sz w:val="21"/>
                <w:szCs w:val="21"/>
                <w:highlight w:val="none"/>
              </w:rPr>
              <w:t>内股东及持股比例不变</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rPr>
              <w:t>得</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分（增资扩股除外）。</w:t>
            </w:r>
          </w:p>
        </w:tc>
        <w:tc>
          <w:tcPr>
            <w:tcW w:w="705" w:type="dxa"/>
            <w:noWrap w:val="0"/>
            <w:vAlign w:val="top"/>
          </w:tcPr>
          <w:p w14:paraId="2A5E1FAC">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717C6697">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04A2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133" w:type="dxa"/>
            <w:vMerge w:val="continue"/>
            <w:noWrap w:val="0"/>
            <w:vAlign w:val="top"/>
          </w:tcPr>
          <w:p w14:paraId="55B7FCA6">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p>
        </w:tc>
        <w:tc>
          <w:tcPr>
            <w:tcW w:w="1536" w:type="dxa"/>
            <w:noWrap w:val="0"/>
            <w:vAlign w:val="center"/>
          </w:tcPr>
          <w:p w14:paraId="3B819BC2">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（2）</w:t>
            </w:r>
          </w:p>
          <w:p w14:paraId="1C7430B4">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lang w:eastAsia="zh-CN"/>
              </w:rPr>
              <w:t>经营场所</w:t>
            </w:r>
          </w:p>
        </w:tc>
        <w:tc>
          <w:tcPr>
            <w:tcW w:w="504" w:type="dxa"/>
            <w:noWrap w:val="0"/>
            <w:vAlign w:val="center"/>
          </w:tcPr>
          <w:p w14:paraId="0003666E">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10</w:t>
            </w:r>
          </w:p>
        </w:tc>
        <w:tc>
          <w:tcPr>
            <w:tcW w:w="8992" w:type="dxa"/>
            <w:noWrap w:val="0"/>
            <w:vAlign w:val="center"/>
          </w:tcPr>
          <w:p w14:paraId="5AC516AE">
            <w:pPr>
              <w:keepNext w:val="0"/>
              <w:keepLines w:val="0"/>
              <w:pageBreakBefore w:val="0"/>
              <w:kinsoku/>
              <w:overflowPunct/>
              <w:topLinePunct w:val="0"/>
              <w:bidi w:val="0"/>
              <w:snapToGrid w:val="0"/>
              <w:ind w:left="0" w:leftChars="0" w:right="0" w:rightChars="0" w:firstLine="435"/>
              <w:textAlignment w:val="auto"/>
              <w:outlineLvl w:val="9"/>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1.经营场所内设置有视频监控且视频资料保存2个月以上</w:t>
            </w:r>
            <w:r>
              <w:rPr>
                <w:rFonts w:hint="default" w:ascii="Times New Roman" w:hAnsi="Times New Roman" w:cs="Times New Roman"/>
                <w:color w:val="auto"/>
                <w:sz w:val="21"/>
                <w:highlight w:val="none"/>
                <w:lang w:eastAsia="zh-CN"/>
              </w:rPr>
              <w:t>的</w:t>
            </w:r>
            <w:r>
              <w:rPr>
                <w:rFonts w:hint="default" w:ascii="Times New Roman" w:hAnsi="Times New Roman" w:cs="Times New Roman"/>
                <w:color w:val="auto"/>
                <w:sz w:val="21"/>
                <w:highlight w:val="none"/>
              </w:rPr>
              <w:t>得</w:t>
            </w:r>
            <w:r>
              <w:rPr>
                <w:rFonts w:hint="default" w:ascii="Times New Roman" w:hAnsi="Times New Roman" w:cs="Times New Roman"/>
                <w:color w:val="auto"/>
                <w:sz w:val="21"/>
                <w:highlight w:val="none"/>
                <w:lang w:val="en-US" w:eastAsia="zh-CN"/>
              </w:rPr>
              <w:t>3</w:t>
            </w:r>
            <w:r>
              <w:rPr>
                <w:rFonts w:hint="default" w:ascii="Times New Roman" w:hAnsi="Times New Roman" w:cs="Times New Roman"/>
                <w:color w:val="auto"/>
                <w:sz w:val="21"/>
                <w:highlight w:val="none"/>
              </w:rPr>
              <w:t>分；有</w:t>
            </w:r>
            <w:r>
              <w:rPr>
                <w:rFonts w:hint="default" w:ascii="Times New Roman" w:hAnsi="Times New Roman" w:cs="Times New Roman"/>
                <w:color w:val="auto"/>
                <w:sz w:val="21"/>
                <w:highlight w:val="none"/>
                <w:lang w:eastAsia="zh-CN"/>
              </w:rPr>
              <w:t>监控</w:t>
            </w:r>
            <w:r>
              <w:rPr>
                <w:rFonts w:hint="default" w:ascii="Times New Roman" w:hAnsi="Times New Roman" w:cs="Times New Roman"/>
                <w:color w:val="auto"/>
                <w:sz w:val="21"/>
                <w:highlight w:val="none"/>
              </w:rPr>
              <w:t>设备</w:t>
            </w:r>
            <w:r>
              <w:rPr>
                <w:rFonts w:hint="default" w:ascii="Times New Roman" w:hAnsi="Times New Roman" w:cs="Times New Roman"/>
                <w:color w:val="auto"/>
                <w:sz w:val="21"/>
                <w:highlight w:val="none"/>
                <w:lang w:eastAsia="zh-CN"/>
              </w:rPr>
              <w:t>但视频资料</w:t>
            </w:r>
            <w:r>
              <w:rPr>
                <w:rFonts w:hint="default" w:ascii="Times New Roman" w:hAnsi="Times New Roman" w:cs="Times New Roman"/>
                <w:color w:val="auto"/>
                <w:sz w:val="21"/>
                <w:highlight w:val="none"/>
              </w:rPr>
              <w:t>保存</w:t>
            </w:r>
            <w:r>
              <w:rPr>
                <w:rFonts w:hint="default" w:ascii="Times New Roman" w:hAnsi="Times New Roman" w:cs="Times New Roman"/>
                <w:color w:val="auto"/>
                <w:sz w:val="21"/>
                <w:highlight w:val="none"/>
                <w:lang w:eastAsia="zh-CN"/>
              </w:rPr>
              <w:t>不足</w:t>
            </w:r>
            <w:r>
              <w:rPr>
                <w:rFonts w:hint="default" w:ascii="Times New Roman" w:hAnsi="Times New Roman" w:cs="Times New Roman"/>
                <w:color w:val="auto"/>
                <w:sz w:val="21"/>
                <w:highlight w:val="none"/>
                <w:lang w:val="en-US" w:eastAsia="zh-CN"/>
              </w:rPr>
              <w:t>2个月的</w:t>
            </w:r>
            <w:r>
              <w:rPr>
                <w:rFonts w:hint="default" w:ascii="Times New Roman" w:hAnsi="Times New Roman" w:cs="Times New Roman"/>
                <w:color w:val="auto"/>
                <w:sz w:val="21"/>
                <w:highlight w:val="none"/>
              </w:rPr>
              <w:t>得</w:t>
            </w:r>
            <w:r>
              <w:rPr>
                <w:rFonts w:hint="default" w:ascii="Times New Roman" w:hAnsi="Times New Roman" w:cs="Times New Roman"/>
                <w:color w:val="auto"/>
                <w:sz w:val="21"/>
                <w:highlight w:val="none"/>
                <w:lang w:val="en-US" w:eastAsia="zh-CN"/>
              </w:rPr>
              <w:t>2</w:t>
            </w:r>
            <w:r>
              <w:rPr>
                <w:rFonts w:hint="default" w:ascii="Times New Roman" w:hAnsi="Times New Roman" w:cs="Times New Roman"/>
                <w:color w:val="auto"/>
                <w:sz w:val="21"/>
                <w:highlight w:val="none"/>
              </w:rPr>
              <w:t>分；无设备</w:t>
            </w:r>
            <w:r>
              <w:rPr>
                <w:rFonts w:hint="default" w:ascii="Times New Roman" w:hAnsi="Times New Roman" w:cs="Times New Roman"/>
                <w:color w:val="auto"/>
                <w:sz w:val="21"/>
                <w:highlight w:val="none"/>
                <w:lang w:eastAsia="zh-CN"/>
              </w:rPr>
              <w:t>的</w:t>
            </w:r>
            <w:r>
              <w:rPr>
                <w:rFonts w:hint="eastAsia" w:ascii="Times New Roman" w:hAnsi="Times New Roman" w:cs="Times New Roman"/>
                <w:color w:val="auto"/>
                <w:sz w:val="21"/>
                <w:szCs w:val="21"/>
                <w:highlight w:val="none"/>
                <w:lang w:val="en-US" w:eastAsia="zh-CN"/>
              </w:rPr>
              <w:t>不得分</w:t>
            </w:r>
            <w:r>
              <w:rPr>
                <w:rFonts w:hint="default" w:ascii="Times New Roman" w:hAnsi="Times New Roman" w:cs="Times New Roman"/>
                <w:color w:val="auto"/>
                <w:sz w:val="21"/>
                <w:highlight w:val="none"/>
              </w:rPr>
              <w:t>。</w:t>
            </w:r>
          </w:p>
          <w:p w14:paraId="2A8BAEAB">
            <w:pPr>
              <w:keepNext w:val="0"/>
              <w:keepLines w:val="0"/>
              <w:pageBreakBefore w:val="0"/>
              <w:kinsoku/>
              <w:overflowPunct/>
              <w:topLinePunct w:val="0"/>
              <w:bidi w:val="0"/>
              <w:snapToGrid w:val="0"/>
              <w:ind w:left="0" w:leftChars="0" w:right="0" w:rightChars="0" w:firstLine="435"/>
              <w:textAlignment w:val="auto"/>
              <w:outlineLvl w:val="9"/>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2.典当物品保管库房和保险箱符合安全要求</w:t>
            </w:r>
            <w:r>
              <w:rPr>
                <w:rFonts w:hint="default" w:ascii="Times New Roman" w:hAnsi="Times New Roman" w:cs="Times New Roman"/>
                <w:color w:val="auto"/>
                <w:sz w:val="21"/>
                <w:highlight w:val="none"/>
                <w:lang w:eastAsia="zh-CN"/>
              </w:rPr>
              <w:t>的</w:t>
            </w:r>
            <w:r>
              <w:rPr>
                <w:rFonts w:hint="default" w:ascii="Times New Roman" w:hAnsi="Times New Roman" w:cs="Times New Roman"/>
                <w:color w:val="auto"/>
                <w:sz w:val="21"/>
                <w:highlight w:val="none"/>
              </w:rPr>
              <w:t>得2分</w:t>
            </w:r>
            <w:r>
              <w:rPr>
                <w:rFonts w:hint="default" w:ascii="Times New Roman" w:hAnsi="Times New Roman" w:cs="Times New Roman"/>
                <w:color w:val="auto"/>
                <w:sz w:val="21"/>
                <w:highlight w:val="none"/>
                <w:lang w:eastAsia="zh-CN"/>
              </w:rPr>
              <w:t>，</w:t>
            </w:r>
            <w:r>
              <w:rPr>
                <w:rFonts w:hint="default" w:ascii="Times New Roman" w:hAnsi="Times New Roman" w:cs="Times New Roman"/>
                <w:color w:val="auto"/>
                <w:sz w:val="21"/>
                <w:highlight w:val="none"/>
              </w:rPr>
              <w:t>否则不得分。</w:t>
            </w:r>
          </w:p>
          <w:p w14:paraId="361B990B">
            <w:pPr>
              <w:keepNext w:val="0"/>
              <w:keepLines w:val="0"/>
              <w:pageBreakBefore w:val="0"/>
              <w:kinsoku/>
              <w:overflowPunct/>
              <w:topLinePunct w:val="0"/>
              <w:bidi w:val="0"/>
              <w:snapToGrid w:val="0"/>
              <w:ind w:left="0" w:leftChars="0" w:right="0" w:rightChars="0" w:firstLine="435"/>
              <w:textAlignment w:val="auto"/>
              <w:outlineLvl w:val="9"/>
              <w:rPr>
                <w:rFonts w:hint="default" w:ascii="Times New Roman" w:hAnsi="Times New Roman" w:cs="Times New Roman"/>
                <w:bCs/>
                <w:color w:val="auto"/>
                <w:sz w:val="21"/>
                <w:highlight w:val="none"/>
              </w:rPr>
            </w:pPr>
            <w:r>
              <w:rPr>
                <w:rFonts w:hint="default" w:ascii="Times New Roman" w:hAnsi="Times New Roman" w:cs="Times New Roman"/>
                <w:bCs/>
                <w:color w:val="auto"/>
                <w:sz w:val="21"/>
                <w:highlight w:val="none"/>
              </w:rPr>
              <w:t>3.有报警设备且运行良好</w:t>
            </w:r>
            <w:r>
              <w:rPr>
                <w:rFonts w:hint="default" w:ascii="Times New Roman" w:hAnsi="Times New Roman" w:cs="Times New Roman"/>
                <w:bCs/>
                <w:color w:val="auto"/>
                <w:sz w:val="21"/>
                <w:highlight w:val="none"/>
                <w:lang w:eastAsia="zh-CN"/>
              </w:rPr>
              <w:t>的</w:t>
            </w:r>
            <w:r>
              <w:rPr>
                <w:rFonts w:hint="default" w:ascii="Times New Roman" w:hAnsi="Times New Roman" w:cs="Times New Roman"/>
                <w:bCs/>
                <w:color w:val="auto"/>
                <w:sz w:val="21"/>
                <w:highlight w:val="none"/>
              </w:rPr>
              <w:t>得2分</w:t>
            </w:r>
            <w:r>
              <w:rPr>
                <w:rFonts w:hint="default" w:ascii="Times New Roman" w:hAnsi="Times New Roman" w:cs="Times New Roman"/>
                <w:bCs/>
                <w:color w:val="auto"/>
                <w:sz w:val="21"/>
                <w:highlight w:val="none"/>
                <w:lang w:eastAsia="zh-CN"/>
              </w:rPr>
              <w:t>，</w:t>
            </w:r>
            <w:r>
              <w:rPr>
                <w:rFonts w:hint="default" w:ascii="Times New Roman" w:hAnsi="Times New Roman" w:cs="Times New Roman"/>
                <w:bCs/>
                <w:color w:val="auto"/>
                <w:sz w:val="21"/>
                <w:highlight w:val="none"/>
              </w:rPr>
              <w:t>否则不得分。</w:t>
            </w:r>
          </w:p>
          <w:p w14:paraId="202FF803">
            <w:pPr>
              <w:keepNext w:val="0"/>
              <w:keepLines w:val="0"/>
              <w:pageBreakBefore w:val="0"/>
              <w:kinsoku/>
              <w:overflowPunct/>
              <w:topLinePunct w:val="0"/>
              <w:bidi w:val="0"/>
              <w:snapToGrid w:val="0"/>
              <w:ind w:left="0" w:leftChars="0" w:right="0" w:rightChars="0" w:firstLine="435"/>
              <w:textAlignment w:val="auto"/>
              <w:outlineLvl w:val="9"/>
              <w:rPr>
                <w:rFonts w:hint="default" w:ascii="Times New Roman" w:hAnsi="Times New Roman" w:cs="Times New Roman"/>
                <w:bCs/>
                <w:color w:val="auto"/>
                <w:sz w:val="21"/>
                <w:highlight w:val="none"/>
              </w:rPr>
            </w:pPr>
            <w:r>
              <w:rPr>
                <w:rFonts w:hint="default" w:ascii="Times New Roman" w:hAnsi="Times New Roman" w:cs="Times New Roman"/>
                <w:bCs/>
                <w:color w:val="auto"/>
                <w:sz w:val="21"/>
                <w:highlight w:val="none"/>
              </w:rPr>
              <w:t>4.配备</w:t>
            </w:r>
            <w:r>
              <w:rPr>
                <w:rFonts w:hint="default" w:ascii="Times New Roman" w:hAnsi="Times New Roman" w:cs="Times New Roman"/>
                <w:bCs/>
                <w:color w:val="auto"/>
                <w:sz w:val="21"/>
                <w:highlight w:val="none"/>
                <w:lang w:eastAsia="zh-CN"/>
              </w:rPr>
              <w:t>有</w:t>
            </w:r>
            <w:r>
              <w:rPr>
                <w:rFonts w:hint="default" w:ascii="Times New Roman" w:hAnsi="Times New Roman" w:cs="Times New Roman"/>
                <w:bCs/>
                <w:color w:val="auto"/>
                <w:sz w:val="21"/>
                <w:highlight w:val="none"/>
              </w:rPr>
              <w:t>必要消防设施及器材</w:t>
            </w:r>
            <w:r>
              <w:rPr>
                <w:rFonts w:hint="default" w:ascii="Times New Roman" w:hAnsi="Times New Roman" w:cs="Times New Roman"/>
                <w:bCs/>
                <w:color w:val="auto"/>
                <w:sz w:val="21"/>
                <w:highlight w:val="none"/>
                <w:lang w:eastAsia="zh-CN"/>
              </w:rPr>
              <w:t>的</w:t>
            </w:r>
            <w:r>
              <w:rPr>
                <w:rFonts w:hint="default" w:ascii="Times New Roman" w:hAnsi="Times New Roman" w:cs="Times New Roman"/>
                <w:bCs/>
                <w:color w:val="auto"/>
                <w:sz w:val="21"/>
                <w:highlight w:val="none"/>
              </w:rPr>
              <w:t>得</w:t>
            </w:r>
            <w:r>
              <w:rPr>
                <w:rFonts w:hint="default" w:ascii="Times New Roman" w:hAnsi="Times New Roman" w:cs="Times New Roman"/>
                <w:bCs/>
                <w:color w:val="auto"/>
                <w:sz w:val="21"/>
                <w:highlight w:val="none"/>
                <w:lang w:val="en-US" w:eastAsia="zh-CN"/>
              </w:rPr>
              <w:t>1</w:t>
            </w:r>
            <w:r>
              <w:rPr>
                <w:rFonts w:hint="default" w:ascii="Times New Roman" w:hAnsi="Times New Roman" w:cs="Times New Roman"/>
                <w:bCs/>
                <w:color w:val="auto"/>
                <w:sz w:val="21"/>
                <w:highlight w:val="none"/>
              </w:rPr>
              <w:t>分</w:t>
            </w:r>
            <w:r>
              <w:rPr>
                <w:rFonts w:hint="default" w:ascii="Times New Roman" w:hAnsi="Times New Roman" w:cs="Times New Roman"/>
                <w:bCs/>
                <w:color w:val="auto"/>
                <w:sz w:val="21"/>
                <w:highlight w:val="none"/>
                <w:lang w:eastAsia="zh-CN"/>
              </w:rPr>
              <w:t>，</w:t>
            </w:r>
            <w:r>
              <w:rPr>
                <w:rFonts w:hint="default" w:ascii="Times New Roman" w:hAnsi="Times New Roman" w:cs="Times New Roman"/>
                <w:bCs/>
                <w:color w:val="auto"/>
                <w:sz w:val="21"/>
                <w:highlight w:val="none"/>
              </w:rPr>
              <w:t>否则不得分。</w:t>
            </w:r>
          </w:p>
          <w:p w14:paraId="4FB10970">
            <w:pPr>
              <w:keepNext w:val="0"/>
              <w:keepLines w:val="0"/>
              <w:pageBreakBefore w:val="0"/>
              <w:kinsoku/>
              <w:overflowPunct/>
              <w:topLinePunct w:val="0"/>
              <w:bidi w:val="0"/>
              <w:snapToGrid w:val="0"/>
              <w:ind w:left="0" w:leftChars="0" w:right="0" w:rightChars="0" w:firstLine="435"/>
              <w:textAlignment w:val="auto"/>
              <w:outlineLvl w:val="9"/>
              <w:rPr>
                <w:rFonts w:hint="default" w:ascii="Times New Roman" w:hAnsi="Times New Roman" w:cs="Times New Roman"/>
                <w:bCs/>
                <w:color w:val="auto"/>
                <w:sz w:val="21"/>
                <w:highlight w:val="none"/>
              </w:rPr>
            </w:pPr>
            <w:r>
              <w:rPr>
                <w:rFonts w:hint="default" w:ascii="Times New Roman" w:hAnsi="Times New Roman" w:cs="Times New Roman"/>
                <w:bCs/>
                <w:color w:val="auto"/>
                <w:sz w:val="21"/>
                <w:highlight w:val="none"/>
              </w:rPr>
              <w:t>5.</w:t>
            </w:r>
            <w:r>
              <w:rPr>
                <w:rFonts w:hint="default" w:ascii="Times New Roman" w:hAnsi="Times New Roman" w:cs="Times New Roman"/>
                <w:bCs/>
                <w:color w:val="auto"/>
                <w:sz w:val="21"/>
                <w:highlight w:val="none"/>
                <w:lang w:eastAsia="zh-CN"/>
              </w:rPr>
              <w:t>经营</w:t>
            </w:r>
            <w:r>
              <w:rPr>
                <w:rFonts w:hint="default" w:ascii="Times New Roman" w:hAnsi="Times New Roman" w:cs="Times New Roman"/>
                <w:bCs/>
                <w:color w:val="auto"/>
                <w:sz w:val="21"/>
                <w:highlight w:val="none"/>
              </w:rPr>
              <w:t>场所属商业用房</w:t>
            </w:r>
            <w:r>
              <w:rPr>
                <w:rFonts w:hint="default" w:ascii="Times New Roman" w:hAnsi="Times New Roman" w:cs="Times New Roman"/>
                <w:bCs/>
                <w:color w:val="auto"/>
                <w:sz w:val="21"/>
                <w:highlight w:val="none"/>
                <w:lang w:eastAsia="zh-CN"/>
              </w:rPr>
              <w:t>，并属于自有或</w:t>
            </w:r>
            <w:r>
              <w:rPr>
                <w:rFonts w:hint="default" w:ascii="Times New Roman" w:hAnsi="Times New Roman" w:cs="Times New Roman"/>
                <w:bCs/>
                <w:color w:val="auto"/>
                <w:sz w:val="21"/>
                <w:highlight w:val="none"/>
              </w:rPr>
              <w:t>签订租赁合同1年</w:t>
            </w:r>
            <w:r>
              <w:rPr>
                <w:rFonts w:hint="default" w:ascii="Times New Roman" w:hAnsi="Times New Roman" w:cs="Times New Roman"/>
                <w:bCs/>
                <w:color w:val="auto"/>
                <w:sz w:val="21"/>
                <w:highlight w:val="none"/>
                <w:lang w:eastAsia="zh-CN"/>
              </w:rPr>
              <w:t>（含）</w:t>
            </w:r>
            <w:r>
              <w:rPr>
                <w:rFonts w:hint="default" w:ascii="Times New Roman" w:hAnsi="Times New Roman" w:cs="Times New Roman"/>
                <w:bCs/>
                <w:color w:val="auto"/>
                <w:sz w:val="21"/>
                <w:highlight w:val="none"/>
              </w:rPr>
              <w:t>以上的得2分</w:t>
            </w:r>
            <w:r>
              <w:rPr>
                <w:rFonts w:hint="default" w:ascii="Times New Roman" w:hAnsi="Times New Roman" w:cs="Times New Roman"/>
                <w:bCs/>
                <w:color w:val="auto"/>
                <w:sz w:val="21"/>
                <w:highlight w:val="none"/>
                <w:lang w:eastAsia="zh-CN"/>
              </w:rPr>
              <w:t>，否则</w:t>
            </w:r>
            <w:r>
              <w:rPr>
                <w:rFonts w:hint="default" w:ascii="Times New Roman" w:hAnsi="Times New Roman" w:cs="Times New Roman"/>
                <w:bCs/>
                <w:color w:val="auto"/>
                <w:sz w:val="21"/>
                <w:highlight w:val="none"/>
              </w:rPr>
              <w:t>酌情扣分。</w:t>
            </w:r>
          </w:p>
          <w:p w14:paraId="3E5BB7F5">
            <w:pPr>
              <w:keepNext w:val="0"/>
              <w:keepLines w:val="0"/>
              <w:pageBreakBefore w:val="0"/>
              <w:kinsoku/>
              <w:overflowPunct/>
              <w:topLinePunct w:val="0"/>
              <w:bidi w:val="0"/>
              <w:snapToGrid w:val="0"/>
              <w:ind w:left="0" w:leftChars="0" w:right="0" w:rightChars="0" w:firstLine="435"/>
              <w:textAlignment w:val="auto"/>
              <w:outlineLvl w:val="9"/>
              <w:rPr>
                <w:rFonts w:hint="default" w:ascii="Times New Roman" w:hAnsi="Times New Roman" w:cs="Times New Roman"/>
                <w:bCs/>
                <w:color w:val="auto"/>
                <w:sz w:val="21"/>
                <w:highlight w:val="none"/>
              </w:rPr>
            </w:pPr>
            <w:r>
              <w:rPr>
                <w:rFonts w:hint="default" w:ascii="Times New Roman" w:hAnsi="Times New Roman" w:cs="Times New Roman"/>
                <w:bCs/>
                <w:color w:val="auto"/>
                <w:sz w:val="21"/>
                <w:highlight w:val="none"/>
              </w:rPr>
              <w:t>6.</w:t>
            </w:r>
            <w:r>
              <w:rPr>
                <w:rFonts w:hint="default" w:ascii="Times New Roman" w:hAnsi="Times New Roman" w:cs="Times New Roman"/>
                <w:bCs/>
                <w:color w:val="auto"/>
                <w:sz w:val="21"/>
                <w:highlight w:val="none"/>
                <w:lang w:eastAsia="zh-CN"/>
              </w:rPr>
              <w:t>无经营</w:t>
            </w:r>
            <w:r>
              <w:rPr>
                <w:rFonts w:hint="default" w:ascii="Times New Roman" w:hAnsi="Times New Roman" w:cs="Times New Roman"/>
                <w:bCs/>
                <w:color w:val="auto"/>
                <w:sz w:val="21"/>
                <w:highlight w:val="none"/>
              </w:rPr>
              <w:t>场所的</w:t>
            </w:r>
            <w:r>
              <w:rPr>
                <w:rFonts w:hint="default" w:ascii="Times New Roman" w:hAnsi="Times New Roman" w:cs="Times New Roman"/>
                <w:bCs/>
                <w:color w:val="auto"/>
                <w:sz w:val="21"/>
                <w:highlight w:val="none"/>
                <w:lang w:eastAsia="zh-CN"/>
              </w:rPr>
              <w:t>倒扣</w:t>
            </w:r>
            <w:r>
              <w:rPr>
                <w:rFonts w:hint="default" w:ascii="Times New Roman" w:hAnsi="Times New Roman" w:cs="Times New Roman"/>
                <w:bCs/>
                <w:color w:val="auto"/>
                <w:sz w:val="21"/>
                <w:highlight w:val="none"/>
                <w:lang w:val="en-US" w:eastAsia="zh-CN"/>
              </w:rPr>
              <w:t>10分</w:t>
            </w:r>
            <w:r>
              <w:rPr>
                <w:rFonts w:hint="default" w:ascii="Times New Roman" w:hAnsi="Times New Roman" w:cs="Times New Roman"/>
                <w:bCs/>
                <w:color w:val="auto"/>
                <w:sz w:val="21"/>
                <w:highlight w:val="none"/>
              </w:rPr>
              <w:t>。</w:t>
            </w:r>
          </w:p>
        </w:tc>
        <w:tc>
          <w:tcPr>
            <w:tcW w:w="705" w:type="dxa"/>
            <w:noWrap w:val="0"/>
            <w:vAlign w:val="top"/>
          </w:tcPr>
          <w:p w14:paraId="350102F4">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1BBB4108">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1395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3" w:type="dxa"/>
            <w:vMerge w:val="continue"/>
            <w:noWrap w:val="0"/>
            <w:vAlign w:val="center"/>
          </w:tcPr>
          <w:p w14:paraId="1DE5E927">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p>
        </w:tc>
        <w:tc>
          <w:tcPr>
            <w:tcW w:w="1536" w:type="dxa"/>
            <w:noWrap w:val="0"/>
            <w:vAlign w:val="center"/>
          </w:tcPr>
          <w:p w14:paraId="287FC191">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（3）</w:t>
            </w:r>
          </w:p>
          <w:p w14:paraId="1103AEF4">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内部治理</w:t>
            </w:r>
          </w:p>
        </w:tc>
        <w:tc>
          <w:tcPr>
            <w:tcW w:w="504" w:type="dxa"/>
            <w:noWrap w:val="0"/>
            <w:vAlign w:val="center"/>
          </w:tcPr>
          <w:p w14:paraId="434D19E1">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lang w:val="en-US" w:eastAsia="zh-CN"/>
              </w:rPr>
            </w:pPr>
            <w:r>
              <w:rPr>
                <w:rFonts w:hint="eastAsia" w:eastAsia="宋体" w:cs="Times New Roman"/>
                <w:b/>
                <w:bCs/>
                <w:color w:val="auto"/>
                <w:sz w:val="24"/>
                <w:szCs w:val="24"/>
                <w:highlight w:val="none"/>
                <w:lang w:val="en-US" w:eastAsia="zh-CN"/>
              </w:rPr>
              <w:t>10</w:t>
            </w:r>
          </w:p>
        </w:tc>
        <w:tc>
          <w:tcPr>
            <w:tcW w:w="8992" w:type="dxa"/>
            <w:noWrap w:val="0"/>
            <w:vAlign w:val="center"/>
          </w:tcPr>
          <w:p w14:paraId="6CF2CD0D">
            <w:pPr>
              <w:keepNext w:val="0"/>
              <w:keepLines w:val="0"/>
              <w:pageBreakBefore w:val="0"/>
              <w:kinsoku/>
              <w:overflowPunct/>
              <w:topLinePunct w:val="0"/>
              <w:bidi w:val="0"/>
              <w:snapToGrid w:val="0"/>
              <w:ind w:left="0" w:leftChars="0" w:right="0" w:rightChars="0" w:firstLine="420" w:firstLineChars="200"/>
              <w:textAlignment w:val="auto"/>
              <w:outlineLvl w:val="9"/>
              <w:rPr>
                <w:rFonts w:hint="default" w:ascii="Times New Roman" w:hAnsi="Times New Roman" w:cs="Times New Roman"/>
                <w:bCs/>
                <w:color w:val="auto"/>
                <w:sz w:val="21"/>
                <w:highlight w:val="none"/>
              </w:rPr>
            </w:pPr>
            <w:r>
              <w:rPr>
                <w:rFonts w:hint="default" w:ascii="Times New Roman" w:hAnsi="Times New Roman" w:cs="Times New Roman"/>
                <w:bCs/>
                <w:color w:val="auto"/>
                <w:sz w:val="21"/>
                <w:highlight w:val="none"/>
                <w:lang w:eastAsia="zh-CN"/>
              </w:rPr>
              <w:t>典当行应当建立以股东</w:t>
            </w:r>
            <w:r>
              <w:rPr>
                <w:rFonts w:hint="eastAsia" w:cs="Times New Roman"/>
                <w:bCs/>
                <w:color w:val="auto"/>
                <w:sz w:val="21"/>
                <w:highlight w:val="none"/>
                <w:lang w:eastAsia="zh-CN"/>
              </w:rPr>
              <w:t>（</w:t>
            </w:r>
            <w:r>
              <w:rPr>
                <w:rFonts w:hint="default" w:ascii="Times New Roman" w:hAnsi="Times New Roman" w:cs="Times New Roman"/>
                <w:bCs/>
                <w:color w:val="auto"/>
                <w:sz w:val="21"/>
                <w:highlight w:val="none"/>
                <w:lang w:eastAsia="zh-CN"/>
              </w:rPr>
              <w:t>会</w:t>
            </w:r>
            <w:r>
              <w:rPr>
                <w:rFonts w:hint="eastAsia" w:cs="Times New Roman"/>
                <w:bCs/>
                <w:color w:val="auto"/>
                <w:sz w:val="21"/>
                <w:highlight w:val="none"/>
                <w:lang w:eastAsia="zh-CN"/>
              </w:rPr>
              <w:t>）</w:t>
            </w:r>
            <w:r>
              <w:rPr>
                <w:rFonts w:hint="default" w:ascii="Times New Roman" w:hAnsi="Times New Roman" w:cs="Times New Roman"/>
                <w:bCs/>
                <w:color w:val="auto"/>
                <w:sz w:val="21"/>
                <w:highlight w:val="none"/>
                <w:lang w:eastAsia="zh-CN"/>
              </w:rPr>
              <w:t>、董事</w:t>
            </w:r>
            <w:r>
              <w:rPr>
                <w:rFonts w:hint="eastAsia" w:cs="Times New Roman"/>
                <w:bCs/>
                <w:color w:val="auto"/>
                <w:sz w:val="21"/>
                <w:highlight w:val="none"/>
                <w:lang w:eastAsia="zh-CN"/>
              </w:rPr>
              <w:t>（</w:t>
            </w:r>
            <w:r>
              <w:rPr>
                <w:rFonts w:hint="default" w:ascii="Times New Roman" w:hAnsi="Times New Roman" w:cs="Times New Roman"/>
                <w:bCs/>
                <w:color w:val="auto"/>
                <w:sz w:val="21"/>
                <w:highlight w:val="none"/>
                <w:lang w:eastAsia="zh-CN"/>
              </w:rPr>
              <w:t>会</w:t>
            </w:r>
            <w:r>
              <w:rPr>
                <w:rFonts w:hint="eastAsia" w:cs="Times New Roman"/>
                <w:bCs/>
                <w:color w:val="auto"/>
                <w:sz w:val="21"/>
                <w:highlight w:val="none"/>
                <w:lang w:eastAsia="zh-CN"/>
              </w:rPr>
              <w:t>）</w:t>
            </w:r>
            <w:r>
              <w:rPr>
                <w:rFonts w:hint="default" w:ascii="Times New Roman" w:hAnsi="Times New Roman" w:cs="Times New Roman"/>
                <w:bCs/>
                <w:color w:val="auto"/>
                <w:sz w:val="21"/>
                <w:highlight w:val="none"/>
                <w:lang w:eastAsia="zh-CN"/>
              </w:rPr>
              <w:t>、监事</w:t>
            </w:r>
            <w:r>
              <w:rPr>
                <w:rFonts w:hint="eastAsia" w:cs="Times New Roman"/>
                <w:bCs/>
                <w:color w:val="auto"/>
                <w:sz w:val="21"/>
                <w:highlight w:val="none"/>
                <w:lang w:eastAsia="zh-CN"/>
              </w:rPr>
              <w:t>（</w:t>
            </w:r>
            <w:r>
              <w:rPr>
                <w:rFonts w:hint="default" w:ascii="Times New Roman" w:hAnsi="Times New Roman" w:cs="Times New Roman"/>
                <w:bCs/>
                <w:color w:val="auto"/>
                <w:sz w:val="21"/>
                <w:highlight w:val="none"/>
                <w:lang w:eastAsia="zh-CN"/>
              </w:rPr>
              <w:t>会</w:t>
            </w:r>
            <w:r>
              <w:rPr>
                <w:rFonts w:hint="eastAsia" w:cs="Times New Roman"/>
                <w:bCs/>
                <w:color w:val="auto"/>
                <w:sz w:val="21"/>
                <w:highlight w:val="none"/>
                <w:lang w:eastAsia="zh-CN"/>
              </w:rPr>
              <w:t>）</w:t>
            </w:r>
            <w:r>
              <w:rPr>
                <w:rFonts w:hint="default" w:ascii="Times New Roman" w:hAnsi="Times New Roman" w:cs="Times New Roman"/>
                <w:bCs/>
                <w:color w:val="auto"/>
                <w:sz w:val="21"/>
                <w:highlight w:val="none"/>
                <w:lang w:eastAsia="zh-CN"/>
              </w:rPr>
              <w:t>、高级管理层等为主体的组织架构，完善议事规则和决策程序；部门设置合理、岗位权责清晰。组织架构或财务、业务、风控部门（</w:t>
            </w:r>
            <w:r>
              <w:rPr>
                <w:rFonts w:hint="default" w:ascii="Times New Roman" w:hAnsi="Times New Roman" w:cs="Times New Roman"/>
                <w:bCs/>
                <w:color w:val="auto"/>
                <w:sz w:val="21"/>
                <w:highlight w:val="none"/>
              </w:rPr>
              <w:t>或专职人员</w:t>
            </w:r>
            <w:r>
              <w:rPr>
                <w:rFonts w:hint="default" w:ascii="Times New Roman" w:hAnsi="Times New Roman" w:cs="Times New Roman"/>
                <w:bCs/>
                <w:color w:val="auto"/>
                <w:sz w:val="21"/>
                <w:highlight w:val="none"/>
                <w:lang w:eastAsia="zh-CN"/>
              </w:rPr>
              <w:t>）缺少一项扣</w:t>
            </w:r>
            <w:r>
              <w:rPr>
                <w:rFonts w:hint="eastAsia" w:cs="Times New Roman"/>
                <w:bCs/>
                <w:color w:val="auto"/>
                <w:sz w:val="21"/>
                <w:highlight w:val="none"/>
                <w:lang w:val="en-US" w:eastAsia="zh-CN"/>
              </w:rPr>
              <w:t>2</w:t>
            </w:r>
            <w:r>
              <w:rPr>
                <w:rFonts w:hint="default" w:ascii="Times New Roman" w:hAnsi="Times New Roman" w:cs="Times New Roman"/>
                <w:bCs/>
                <w:color w:val="auto"/>
                <w:sz w:val="21"/>
                <w:highlight w:val="none"/>
                <w:lang w:val="en-US" w:eastAsia="zh-CN"/>
              </w:rPr>
              <w:t>分，扣完为止。</w:t>
            </w:r>
          </w:p>
        </w:tc>
        <w:tc>
          <w:tcPr>
            <w:tcW w:w="705" w:type="dxa"/>
            <w:noWrap w:val="0"/>
            <w:vAlign w:val="top"/>
          </w:tcPr>
          <w:p w14:paraId="1DAF1198">
            <w:pPr>
              <w:keepNext w:val="0"/>
              <w:keepLines w:val="0"/>
              <w:pageBreakBefore w:val="0"/>
              <w:kinsoku/>
              <w:overflowPunct/>
              <w:topLinePunct w:val="0"/>
              <w:bidi w:val="0"/>
              <w:snapToGrid w:val="0"/>
              <w:ind w:left="0" w:leftChars="0" w:right="0" w:rightChars="0" w:firstLine="420" w:firstLineChars="200"/>
              <w:textAlignment w:val="auto"/>
              <w:outlineLvl w:val="9"/>
              <w:rPr>
                <w:rFonts w:hint="default" w:ascii="Times New Roman" w:hAnsi="Times New Roman" w:eastAsia="仿宋" w:cs="Times New Roman"/>
                <w:bCs/>
                <w:color w:val="auto"/>
                <w:sz w:val="21"/>
                <w:highlight w:val="none"/>
              </w:rPr>
            </w:pPr>
          </w:p>
        </w:tc>
        <w:tc>
          <w:tcPr>
            <w:tcW w:w="680" w:type="dxa"/>
            <w:noWrap w:val="0"/>
            <w:vAlign w:val="top"/>
          </w:tcPr>
          <w:p w14:paraId="31FC76FB">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7BB4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33" w:type="dxa"/>
            <w:vMerge w:val="continue"/>
            <w:noWrap w:val="0"/>
            <w:vAlign w:val="center"/>
          </w:tcPr>
          <w:p w14:paraId="068F6106">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p>
        </w:tc>
        <w:tc>
          <w:tcPr>
            <w:tcW w:w="1536" w:type="dxa"/>
            <w:noWrap w:val="0"/>
            <w:vAlign w:val="center"/>
          </w:tcPr>
          <w:p w14:paraId="3ED47B0A">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（4）</w:t>
            </w:r>
          </w:p>
          <w:p w14:paraId="17FC94FD">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eastAsia="仿宋"/>
                <w:b/>
                <w:bCs/>
                <w:color w:val="auto"/>
                <w:sz w:val="24"/>
                <w:highlight w:val="none"/>
              </w:rPr>
              <w:t>党建和人才建设</w:t>
            </w:r>
          </w:p>
        </w:tc>
        <w:tc>
          <w:tcPr>
            <w:tcW w:w="504" w:type="dxa"/>
            <w:noWrap w:val="0"/>
            <w:vAlign w:val="center"/>
          </w:tcPr>
          <w:p w14:paraId="25440C6A">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5</w:t>
            </w:r>
          </w:p>
        </w:tc>
        <w:tc>
          <w:tcPr>
            <w:tcW w:w="8992" w:type="dxa"/>
            <w:noWrap w:val="0"/>
            <w:vAlign w:val="center"/>
          </w:tcPr>
          <w:p w14:paraId="75D981A8">
            <w:pPr>
              <w:keepNext w:val="0"/>
              <w:keepLines w:val="0"/>
              <w:pageBreakBefore w:val="0"/>
              <w:numPr>
                <w:ilvl w:val="0"/>
                <w:numId w:val="2"/>
              </w:numPr>
              <w:kinsoku/>
              <w:overflowPunct/>
              <w:topLinePunct w:val="0"/>
              <w:bidi w:val="0"/>
              <w:snapToGrid w:val="0"/>
              <w:ind w:left="0" w:leftChars="0" w:right="0" w:rightChars="0" w:firstLine="420" w:firstLineChars="200"/>
              <w:textAlignment w:val="auto"/>
              <w:outlineLvl w:val="9"/>
              <w:rPr>
                <w:rFonts w:hint="default" w:ascii="Times New Roman" w:hAnsi="Times New Roman" w:cs="Times New Roman"/>
                <w:bCs/>
                <w:color w:val="auto"/>
                <w:sz w:val="21"/>
                <w:highlight w:val="none"/>
              </w:rPr>
            </w:pPr>
            <w:r>
              <w:rPr>
                <w:rFonts w:hint="default" w:ascii="Times New Roman" w:hAnsi="Times New Roman" w:cs="Times New Roman"/>
                <w:bCs/>
                <w:color w:val="auto"/>
                <w:sz w:val="21"/>
                <w:highlight w:val="none"/>
              </w:rPr>
              <w:t>总经理</w:t>
            </w:r>
            <w:r>
              <w:rPr>
                <w:rFonts w:hint="eastAsia" w:cs="Times New Roman"/>
                <w:bCs/>
                <w:color w:val="auto"/>
                <w:sz w:val="21"/>
                <w:highlight w:val="none"/>
                <w:lang w:eastAsia="zh-CN"/>
              </w:rPr>
              <w:t>、副总经理、财务负责人</w:t>
            </w:r>
            <w:r>
              <w:rPr>
                <w:rFonts w:hint="default" w:ascii="Times New Roman" w:hAnsi="Times New Roman" w:cs="Times New Roman"/>
                <w:bCs/>
                <w:color w:val="auto"/>
                <w:sz w:val="21"/>
                <w:highlight w:val="none"/>
              </w:rPr>
              <w:t>等高级管理人员学历在本科</w:t>
            </w:r>
            <w:r>
              <w:rPr>
                <w:rFonts w:hint="default" w:ascii="Times New Roman" w:hAnsi="Times New Roman" w:cs="Times New Roman"/>
                <w:bCs/>
                <w:color w:val="auto"/>
                <w:sz w:val="21"/>
                <w:highlight w:val="none"/>
                <w:lang w:eastAsia="zh-CN"/>
              </w:rPr>
              <w:t>（含）</w:t>
            </w:r>
            <w:r>
              <w:rPr>
                <w:rFonts w:hint="default" w:ascii="Times New Roman" w:hAnsi="Times New Roman" w:cs="Times New Roman"/>
                <w:bCs/>
                <w:color w:val="auto"/>
                <w:sz w:val="21"/>
                <w:highlight w:val="none"/>
              </w:rPr>
              <w:t>以上得1分</w:t>
            </w:r>
            <w:r>
              <w:rPr>
                <w:rFonts w:hint="default" w:ascii="Times New Roman" w:hAnsi="Times New Roman" w:cs="Times New Roman"/>
                <w:bCs/>
                <w:color w:val="auto"/>
                <w:sz w:val="21"/>
                <w:highlight w:val="none"/>
                <w:lang w:eastAsia="zh-CN"/>
              </w:rPr>
              <w:t>，否则酌情扣分；</w:t>
            </w:r>
            <w:r>
              <w:rPr>
                <w:rFonts w:hint="default" w:ascii="Times New Roman" w:hAnsi="Times New Roman" w:cs="Times New Roman"/>
                <w:bCs/>
                <w:color w:val="auto"/>
                <w:sz w:val="21"/>
                <w:highlight w:val="none"/>
              </w:rPr>
              <w:t>从事金融或类金融、法律、经济等相关工作3年</w:t>
            </w:r>
            <w:r>
              <w:rPr>
                <w:rFonts w:hint="default" w:ascii="Times New Roman" w:hAnsi="Times New Roman" w:cs="Times New Roman"/>
                <w:bCs/>
                <w:color w:val="auto"/>
                <w:sz w:val="21"/>
                <w:highlight w:val="none"/>
                <w:lang w:eastAsia="zh-CN"/>
              </w:rPr>
              <w:t>（含）</w:t>
            </w:r>
            <w:r>
              <w:rPr>
                <w:rFonts w:hint="default" w:ascii="Times New Roman" w:hAnsi="Times New Roman" w:cs="Times New Roman"/>
                <w:bCs/>
                <w:color w:val="auto"/>
                <w:sz w:val="21"/>
                <w:highlight w:val="none"/>
              </w:rPr>
              <w:t>以上或具有典当行从业经历1年</w:t>
            </w:r>
            <w:r>
              <w:rPr>
                <w:rFonts w:hint="default" w:ascii="Times New Roman" w:hAnsi="Times New Roman" w:cs="Times New Roman"/>
                <w:bCs/>
                <w:color w:val="auto"/>
                <w:sz w:val="21"/>
                <w:highlight w:val="none"/>
                <w:lang w:eastAsia="zh-CN"/>
              </w:rPr>
              <w:t>（含）</w:t>
            </w:r>
            <w:r>
              <w:rPr>
                <w:rFonts w:hint="default" w:ascii="Times New Roman" w:hAnsi="Times New Roman" w:cs="Times New Roman"/>
                <w:bCs/>
                <w:color w:val="auto"/>
                <w:sz w:val="21"/>
                <w:highlight w:val="none"/>
              </w:rPr>
              <w:t>以上得</w:t>
            </w:r>
            <w:r>
              <w:rPr>
                <w:rFonts w:hint="eastAsia" w:cs="Times New Roman"/>
                <w:bCs/>
                <w:color w:val="auto"/>
                <w:sz w:val="21"/>
                <w:highlight w:val="none"/>
                <w:lang w:eastAsia="zh-CN"/>
              </w:rPr>
              <w:t>2</w:t>
            </w:r>
            <w:r>
              <w:rPr>
                <w:rFonts w:hint="default" w:ascii="Times New Roman" w:hAnsi="Times New Roman" w:cs="Times New Roman"/>
                <w:bCs/>
                <w:color w:val="auto"/>
                <w:sz w:val="21"/>
                <w:highlight w:val="none"/>
              </w:rPr>
              <w:t>分</w:t>
            </w:r>
            <w:r>
              <w:rPr>
                <w:rFonts w:hint="default" w:ascii="Times New Roman" w:hAnsi="Times New Roman" w:cs="Times New Roman"/>
                <w:bCs/>
                <w:color w:val="auto"/>
                <w:sz w:val="21"/>
                <w:highlight w:val="none"/>
                <w:lang w:eastAsia="zh-CN"/>
              </w:rPr>
              <w:t>，否则酌情扣分。</w:t>
            </w:r>
            <w:r>
              <w:rPr>
                <w:rFonts w:hint="default" w:ascii="Times New Roman" w:hAnsi="Times New Roman" w:cs="Times New Roman"/>
                <w:bCs/>
                <w:color w:val="auto"/>
                <w:sz w:val="21"/>
                <w:highlight w:val="none"/>
              </w:rPr>
              <w:t>从业人员</w:t>
            </w:r>
            <w:r>
              <w:rPr>
                <w:rFonts w:hint="default" w:ascii="Times New Roman" w:hAnsi="Times New Roman" w:cs="Times New Roman"/>
                <w:bCs/>
                <w:color w:val="auto"/>
                <w:sz w:val="21"/>
                <w:highlight w:val="none"/>
                <w:lang w:eastAsia="zh-CN"/>
              </w:rPr>
              <w:t>具</w:t>
            </w:r>
            <w:r>
              <w:rPr>
                <w:rFonts w:hint="default" w:ascii="Times New Roman" w:hAnsi="Times New Roman" w:cs="Times New Roman"/>
                <w:bCs/>
                <w:color w:val="auto"/>
                <w:sz w:val="21"/>
                <w:highlight w:val="none"/>
              </w:rPr>
              <w:t>有典当</w:t>
            </w:r>
            <w:r>
              <w:rPr>
                <w:rFonts w:hint="default" w:ascii="Times New Roman" w:hAnsi="Times New Roman" w:cs="Times New Roman"/>
                <w:bCs/>
                <w:color w:val="auto"/>
                <w:sz w:val="21"/>
                <w:highlight w:val="none"/>
                <w:lang w:eastAsia="zh-CN"/>
              </w:rPr>
              <w:t>行从业经历</w:t>
            </w:r>
            <w:r>
              <w:rPr>
                <w:rFonts w:hint="default" w:ascii="Times New Roman" w:hAnsi="Times New Roman" w:cs="Times New Roman"/>
                <w:bCs/>
                <w:color w:val="auto"/>
                <w:sz w:val="21"/>
                <w:highlight w:val="none"/>
              </w:rPr>
              <w:t>2年</w:t>
            </w:r>
            <w:r>
              <w:rPr>
                <w:rFonts w:hint="default" w:ascii="Times New Roman" w:hAnsi="Times New Roman" w:cs="Times New Roman"/>
                <w:bCs/>
                <w:color w:val="auto"/>
                <w:sz w:val="21"/>
                <w:highlight w:val="none"/>
                <w:lang w:eastAsia="zh-CN"/>
              </w:rPr>
              <w:t>（含）</w:t>
            </w:r>
            <w:r>
              <w:rPr>
                <w:rFonts w:hint="default" w:ascii="Times New Roman" w:hAnsi="Times New Roman" w:cs="Times New Roman"/>
                <w:bCs/>
                <w:color w:val="auto"/>
                <w:sz w:val="21"/>
                <w:highlight w:val="none"/>
              </w:rPr>
              <w:t>以上</w:t>
            </w:r>
            <w:r>
              <w:rPr>
                <w:rFonts w:hint="default" w:ascii="Times New Roman" w:hAnsi="Times New Roman" w:cs="Times New Roman"/>
                <w:bCs/>
                <w:color w:val="auto"/>
                <w:sz w:val="21"/>
                <w:highlight w:val="none"/>
                <w:lang w:eastAsia="zh-CN"/>
              </w:rPr>
              <w:t>的</w:t>
            </w:r>
            <w:r>
              <w:rPr>
                <w:rFonts w:hint="default" w:ascii="Times New Roman" w:hAnsi="Times New Roman" w:cs="Times New Roman"/>
                <w:bCs/>
                <w:color w:val="auto"/>
                <w:sz w:val="21"/>
                <w:highlight w:val="none"/>
              </w:rPr>
              <w:t>得2分</w:t>
            </w:r>
            <w:r>
              <w:rPr>
                <w:rFonts w:hint="default" w:ascii="Times New Roman" w:hAnsi="Times New Roman" w:cs="Times New Roman"/>
                <w:bCs/>
                <w:color w:val="auto"/>
                <w:sz w:val="21"/>
                <w:highlight w:val="none"/>
                <w:lang w:eastAsia="zh-CN"/>
              </w:rPr>
              <w:t>，否则</w:t>
            </w:r>
            <w:r>
              <w:rPr>
                <w:rFonts w:hint="default" w:ascii="Times New Roman" w:hAnsi="Times New Roman" w:cs="Times New Roman"/>
                <w:bCs/>
                <w:color w:val="auto"/>
                <w:sz w:val="21"/>
                <w:highlight w:val="none"/>
              </w:rPr>
              <w:t>酌情扣分。</w:t>
            </w:r>
          </w:p>
          <w:p w14:paraId="0DD89472">
            <w:pPr>
              <w:keepNext w:val="0"/>
              <w:keepLines w:val="0"/>
              <w:pageBreakBefore w:val="0"/>
              <w:numPr>
                <w:ilvl w:val="0"/>
                <w:numId w:val="2"/>
              </w:numPr>
              <w:kinsoku/>
              <w:overflowPunct/>
              <w:topLinePunct w:val="0"/>
              <w:bidi w:val="0"/>
              <w:snapToGrid w:val="0"/>
              <w:ind w:left="0" w:leftChars="0" w:right="0" w:rightChars="0" w:firstLine="420" w:firstLineChars="200"/>
              <w:textAlignment w:val="auto"/>
              <w:outlineLvl w:val="9"/>
              <w:rPr>
                <w:rFonts w:hint="eastAsia" w:ascii="Times New Roman" w:hAnsi="Times New Roman" w:eastAsia="仿宋_GB2312" w:cs="Times New Roman"/>
                <w:bCs/>
                <w:color w:val="auto"/>
                <w:sz w:val="21"/>
                <w:highlight w:val="none"/>
                <w:lang w:val="en-US" w:eastAsia="zh-CN"/>
              </w:rPr>
            </w:pPr>
            <w:r>
              <w:rPr>
                <w:rFonts w:hint="default"/>
                <w:bCs/>
                <w:color w:val="auto"/>
                <w:sz w:val="21"/>
                <w:highlight w:val="none"/>
              </w:rPr>
              <w:t>国有控股的典当行要坚持加强党的领导和完善公司治理相统一，把党的领导融入公司治理各环节，将党建工作写入公司章程，确保党的路线、方针、政策得以贯彻落实。</w:t>
            </w:r>
            <w:r>
              <w:rPr>
                <w:rFonts w:hint="eastAsia"/>
                <w:bCs/>
                <w:color w:val="auto"/>
                <w:sz w:val="21"/>
                <w:highlight w:val="none"/>
                <w:lang w:val="en-US" w:eastAsia="zh-CN"/>
              </w:rPr>
              <w:t>不</w:t>
            </w:r>
            <w:r>
              <w:rPr>
                <w:rFonts w:hint="default"/>
                <w:bCs/>
                <w:color w:val="auto"/>
                <w:sz w:val="21"/>
                <w:highlight w:val="none"/>
              </w:rPr>
              <w:t>符合</w:t>
            </w:r>
            <w:r>
              <w:rPr>
                <w:rFonts w:hint="eastAsia"/>
                <w:bCs/>
                <w:color w:val="auto"/>
                <w:sz w:val="21"/>
                <w:highlight w:val="none"/>
                <w:lang w:eastAsia="zh-CN"/>
              </w:rPr>
              <w:t>的倒</w:t>
            </w:r>
            <w:r>
              <w:rPr>
                <w:rFonts w:hint="eastAsia"/>
                <w:bCs/>
                <w:color w:val="auto"/>
                <w:sz w:val="21"/>
                <w:highlight w:val="none"/>
                <w:lang w:val="en-US" w:eastAsia="zh-CN"/>
              </w:rPr>
              <w:t>扣2分</w:t>
            </w:r>
            <w:r>
              <w:rPr>
                <w:rFonts w:hint="default"/>
                <w:bCs/>
                <w:color w:val="auto"/>
                <w:sz w:val="21"/>
                <w:highlight w:val="none"/>
              </w:rPr>
              <w:t>。</w:t>
            </w:r>
          </w:p>
        </w:tc>
        <w:tc>
          <w:tcPr>
            <w:tcW w:w="705" w:type="dxa"/>
            <w:noWrap w:val="0"/>
            <w:vAlign w:val="top"/>
          </w:tcPr>
          <w:p w14:paraId="60A06B25">
            <w:pPr>
              <w:keepNext w:val="0"/>
              <w:keepLines w:val="0"/>
              <w:pageBreakBefore w:val="0"/>
              <w:kinsoku/>
              <w:overflowPunct/>
              <w:topLinePunct w:val="0"/>
              <w:bidi w:val="0"/>
              <w:snapToGrid w:val="0"/>
              <w:spacing w:line="240" w:lineRule="exact"/>
              <w:ind w:left="0" w:leftChars="0" w:right="0" w:rightChars="0"/>
              <w:textAlignment w:val="auto"/>
              <w:outlineLvl w:val="9"/>
              <w:rPr>
                <w:rFonts w:hint="default" w:ascii="Times New Roman" w:hAnsi="Times New Roman" w:eastAsia="方正仿宋_GBK" w:cs="Times New Roman"/>
                <w:color w:val="auto"/>
                <w:szCs w:val="32"/>
                <w:highlight w:val="none"/>
                <w:lang w:eastAsia="zh-CN"/>
              </w:rPr>
            </w:pPr>
          </w:p>
        </w:tc>
        <w:tc>
          <w:tcPr>
            <w:tcW w:w="680" w:type="dxa"/>
            <w:noWrap w:val="0"/>
            <w:vAlign w:val="top"/>
          </w:tcPr>
          <w:p w14:paraId="5C28E95C">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2AC7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133" w:type="dxa"/>
            <w:vMerge w:val="continue"/>
            <w:noWrap w:val="0"/>
            <w:vAlign w:val="center"/>
          </w:tcPr>
          <w:p w14:paraId="79148B42">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p>
        </w:tc>
        <w:tc>
          <w:tcPr>
            <w:tcW w:w="1536" w:type="dxa"/>
            <w:noWrap w:val="0"/>
            <w:vAlign w:val="center"/>
          </w:tcPr>
          <w:p w14:paraId="6E8C3434">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（5）</w:t>
            </w:r>
          </w:p>
          <w:p w14:paraId="1E0FBB8B">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档案管理</w:t>
            </w:r>
          </w:p>
        </w:tc>
        <w:tc>
          <w:tcPr>
            <w:tcW w:w="504" w:type="dxa"/>
            <w:noWrap w:val="0"/>
            <w:vAlign w:val="center"/>
          </w:tcPr>
          <w:p w14:paraId="15542B89">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5</w:t>
            </w:r>
          </w:p>
        </w:tc>
        <w:tc>
          <w:tcPr>
            <w:tcW w:w="8992" w:type="dxa"/>
            <w:noWrap w:val="0"/>
            <w:vAlign w:val="center"/>
          </w:tcPr>
          <w:p w14:paraId="5203F44A">
            <w:pPr>
              <w:keepNext w:val="0"/>
              <w:keepLines w:val="0"/>
              <w:pageBreakBefore w:val="0"/>
              <w:kinsoku/>
              <w:overflowPunct/>
              <w:topLinePunct w:val="0"/>
              <w:bidi w:val="0"/>
              <w:snapToGrid w:val="0"/>
              <w:ind w:left="0" w:leftChars="0" w:right="0" w:rightChars="0" w:firstLine="435"/>
              <w:textAlignment w:val="auto"/>
              <w:outlineLvl w:val="9"/>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妥善保管当票</w:t>
            </w:r>
            <w:r>
              <w:rPr>
                <w:rFonts w:hint="default" w:ascii="Times New Roman" w:hAnsi="Times New Roman" w:cs="Times New Roman"/>
                <w:color w:val="auto"/>
                <w:sz w:val="21"/>
                <w:highlight w:val="none"/>
                <w:lang w:eastAsia="zh-CN"/>
              </w:rPr>
              <w:t>、</w:t>
            </w:r>
            <w:r>
              <w:rPr>
                <w:rFonts w:hint="default" w:ascii="Times New Roman" w:hAnsi="Times New Roman" w:cs="Times New Roman"/>
                <w:color w:val="auto"/>
                <w:sz w:val="21"/>
                <w:highlight w:val="none"/>
              </w:rPr>
              <w:t>业务档案</w:t>
            </w:r>
            <w:r>
              <w:rPr>
                <w:rFonts w:hint="default" w:ascii="Times New Roman" w:hAnsi="Times New Roman" w:cs="Times New Roman"/>
                <w:color w:val="auto"/>
                <w:sz w:val="21"/>
                <w:highlight w:val="none"/>
                <w:lang w:eastAsia="zh-CN"/>
              </w:rPr>
              <w:t>和台账</w:t>
            </w:r>
            <w:r>
              <w:rPr>
                <w:rFonts w:hint="default" w:ascii="Times New Roman" w:hAnsi="Times New Roman" w:cs="Times New Roman"/>
                <w:color w:val="auto"/>
                <w:sz w:val="21"/>
                <w:highlight w:val="none"/>
              </w:rPr>
              <w:t>、</w:t>
            </w:r>
            <w:r>
              <w:rPr>
                <w:rFonts w:hint="default" w:ascii="Times New Roman" w:hAnsi="Times New Roman" w:eastAsia="仿宋_GB2312" w:cs="Times New Roman"/>
                <w:i w:val="0"/>
                <w:caps w:val="0"/>
                <w:color w:val="auto"/>
                <w:spacing w:val="0"/>
                <w:sz w:val="21"/>
                <w:szCs w:val="24"/>
                <w:highlight w:val="none"/>
                <w:shd w:val="clear" w:color="auto" w:fill="FFFFFF"/>
              </w:rPr>
              <w:t>会计凭证、会计账簿、财务报告</w:t>
            </w:r>
            <w:r>
              <w:rPr>
                <w:rFonts w:hint="default" w:ascii="Times New Roman" w:hAnsi="Times New Roman" w:cs="Times New Roman"/>
                <w:color w:val="auto"/>
                <w:sz w:val="21"/>
                <w:highlight w:val="none"/>
              </w:rPr>
              <w:t>等有关资料，并保证账证真实</w:t>
            </w:r>
            <w:r>
              <w:rPr>
                <w:rFonts w:hint="default" w:ascii="Times New Roman" w:hAnsi="Times New Roman" w:cs="Times New Roman"/>
                <w:color w:val="auto"/>
                <w:sz w:val="21"/>
                <w:highlight w:val="none"/>
                <w:lang w:eastAsia="zh-CN"/>
              </w:rPr>
              <w:t>的</w:t>
            </w:r>
            <w:r>
              <w:rPr>
                <w:rFonts w:hint="default" w:ascii="Times New Roman" w:hAnsi="Times New Roman" w:cs="Times New Roman"/>
                <w:color w:val="auto"/>
                <w:sz w:val="21"/>
                <w:highlight w:val="none"/>
              </w:rPr>
              <w:t>得5分。未指定专门人员管理的扣2分；账证资料整理不全或不及时的酌情</w:t>
            </w:r>
            <w:r>
              <w:rPr>
                <w:rFonts w:hint="default" w:ascii="Times New Roman" w:hAnsi="Times New Roman" w:cs="Times New Roman"/>
                <w:color w:val="auto"/>
                <w:sz w:val="21"/>
                <w:highlight w:val="none"/>
                <w:lang w:eastAsia="zh-CN"/>
              </w:rPr>
              <w:t>扣</w:t>
            </w:r>
            <w:r>
              <w:rPr>
                <w:rFonts w:hint="default" w:ascii="Times New Roman" w:hAnsi="Times New Roman" w:cs="Times New Roman"/>
                <w:color w:val="auto"/>
                <w:sz w:val="21"/>
                <w:highlight w:val="none"/>
              </w:rPr>
              <w:t>1</w:t>
            </w:r>
            <w:r>
              <w:rPr>
                <w:rFonts w:hint="default" w:ascii="Times New Roman" w:hAnsi="Times New Roman" w:cs="Times New Roman"/>
                <w:color w:val="auto"/>
                <w:sz w:val="21"/>
                <w:highlight w:val="none"/>
                <w:lang w:eastAsia="zh-CN"/>
              </w:rPr>
              <w:t>~</w:t>
            </w:r>
            <w:r>
              <w:rPr>
                <w:rFonts w:hint="default" w:ascii="Times New Roman" w:hAnsi="Times New Roman" w:cs="Times New Roman"/>
                <w:color w:val="auto"/>
                <w:sz w:val="21"/>
                <w:highlight w:val="none"/>
              </w:rPr>
              <w:t>5分。</w:t>
            </w:r>
          </w:p>
        </w:tc>
        <w:tc>
          <w:tcPr>
            <w:tcW w:w="705" w:type="dxa"/>
            <w:noWrap w:val="0"/>
            <w:vAlign w:val="top"/>
          </w:tcPr>
          <w:p w14:paraId="71A91AEC">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076F02B1">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6324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133" w:type="dxa"/>
            <w:vMerge w:val="continue"/>
            <w:noWrap w:val="0"/>
            <w:vAlign w:val="center"/>
          </w:tcPr>
          <w:p w14:paraId="6D69D3AC">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p>
        </w:tc>
        <w:tc>
          <w:tcPr>
            <w:tcW w:w="1536" w:type="dxa"/>
            <w:noWrap w:val="0"/>
            <w:vAlign w:val="center"/>
          </w:tcPr>
          <w:p w14:paraId="3C4913A8">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（6）</w:t>
            </w:r>
          </w:p>
          <w:p w14:paraId="1C43AC70">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社会责任</w:t>
            </w:r>
          </w:p>
        </w:tc>
        <w:tc>
          <w:tcPr>
            <w:tcW w:w="504" w:type="dxa"/>
            <w:noWrap w:val="0"/>
            <w:vAlign w:val="center"/>
          </w:tcPr>
          <w:p w14:paraId="02393E2B">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lang w:val="en-US" w:eastAsia="zh-CN"/>
              </w:rPr>
            </w:pPr>
            <w:r>
              <w:rPr>
                <w:rFonts w:hint="eastAsia" w:eastAsia="宋体" w:cs="Times New Roman"/>
                <w:b/>
                <w:bCs/>
                <w:color w:val="auto"/>
                <w:sz w:val="24"/>
                <w:szCs w:val="24"/>
                <w:highlight w:val="none"/>
                <w:lang w:val="en-US" w:eastAsia="zh-CN"/>
              </w:rPr>
              <w:t>5</w:t>
            </w:r>
          </w:p>
        </w:tc>
        <w:tc>
          <w:tcPr>
            <w:tcW w:w="8992" w:type="dxa"/>
            <w:noWrap w:val="0"/>
            <w:vAlign w:val="center"/>
          </w:tcPr>
          <w:p w14:paraId="3603E28E">
            <w:pPr>
              <w:keepNext w:val="0"/>
              <w:keepLines w:val="0"/>
              <w:pageBreakBefore w:val="0"/>
              <w:kinsoku/>
              <w:overflowPunct/>
              <w:topLinePunct w:val="0"/>
              <w:bidi w:val="0"/>
              <w:snapToGrid w:val="0"/>
              <w:ind w:left="0" w:leftChars="0" w:right="0" w:rightChars="0" w:firstLine="420" w:firstLineChars="200"/>
              <w:textAlignment w:val="auto"/>
              <w:outlineLvl w:val="9"/>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积极推广宣传</w:t>
            </w:r>
            <w:r>
              <w:rPr>
                <w:rFonts w:hint="default" w:ascii="Times New Roman" w:hAnsi="Times New Roman" w:cs="Times New Roman"/>
                <w:color w:val="auto"/>
                <w:sz w:val="21"/>
                <w:highlight w:val="none"/>
                <w:lang w:eastAsia="zh-CN"/>
              </w:rPr>
              <w:t>典当</w:t>
            </w:r>
            <w:r>
              <w:rPr>
                <w:rFonts w:hint="default" w:ascii="Times New Roman" w:hAnsi="Times New Roman" w:cs="Times New Roman"/>
                <w:color w:val="auto"/>
                <w:sz w:val="21"/>
                <w:highlight w:val="none"/>
              </w:rPr>
              <w:t>行业，推动树立行业良好社会形象。企业及员工通过微信、微博、短视频等新媒体平台，每发1条行业宣传信息、视频加0.1分，视影响力可酌情加分，最多累计</w:t>
            </w:r>
            <w:r>
              <w:rPr>
                <w:rFonts w:hint="eastAsia" w:cs="Times New Roman"/>
                <w:color w:val="auto"/>
                <w:sz w:val="21"/>
                <w:highlight w:val="none"/>
                <w:lang w:val="en-US" w:eastAsia="zh-CN"/>
              </w:rPr>
              <w:t>3</w:t>
            </w:r>
            <w:r>
              <w:rPr>
                <w:rFonts w:hint="default" w:ascii="Times New Roman" w:hAnsi="Times New Roman" w:cs="Times New Roman"/>
                <w:color w:val="auto"/>
                <w:sz w:val="21"/>
                <w:highlight w:val="none"/>
              </w:rPr>
              <w:t>分；积极参与相关部门组织的行业宣传</w:t>
            </w:r>
            <w:r>
              <w:rPr>
                <w:rFonts w:hint="default" w:ascii="Times New Roman" w:hAnsi="Times New Roman" w:cs="Times New Roman"/>
                <w:color w:val="auto"/>
                <w:sz w:val="21"/>
                <w:highlight w:val="none"/>
                <w:lang w:eastAsia="zh-CN"/>
              </w:rPr>
              <w:t>或公益</w:t>
            </w:r>
            <w:r>
              <w:rPr>
                <w:rFonts w:hint="default" w:ascii="Times New Roman" w:hAnsi="Times New Roman" w:cs="Times New Roman"/>
                <w:color w:val="auto"/>
                <w:sz w:val="21"/>
                <w:highlight w:val="none"/>
              </w:rPr>
              <w:t>活动，得</w:t>
            </w:r>
            <w:r>
              <w:rPr>
                <w:rFonts w:hint="eastAsia" w:cs="Times New Roman"/>
                <w:color w:val="auto"/>
                <w:sz w:val="21"/>
                <w:highlight w:val="none"/>
                <w:lang w:val="en-US" w:eastAsia="zh-CN"/>
              </w:rPr>
              <w:t>2</w:t>
            </w:r>
            <w:r>
              <w:rPr>
                <w:rFonts w:hint="default" w:ascii="Times New Roman" w:hAnsi="Times New Roman" w:cs="Times New Roman"/>
                <w:color w:val="auto"/>
                <w:sz w:val="21"/>
                <w:highlight w:val="none"/>
              </w:rPr>
              <w:t>分。</w:t>
            </w:r>
          </w:p>
        </w:tc>
        <w:tc>
          <w:tcPr>
            <w:tcW w:w="705" w:type="dxa"/>
            <w:noWrap w:val="0"/>
            <w:vAlign w:val="top"/>
          </w:tcPr>
          <w:p w14:paraId="388AA672">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472AEAA5">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51AA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1133" w:type="dxa"/>
            <w:vMerge w:val="restart"/>
            <w:noWrap w:val="0"/>
            <w:vAlign w:val="center"/>
          </w:tcPr>
          <w:p w14:paraId="52CE1340">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二、</w:t>
            </w:r>
          </w:p>
          <w:p w14:paraId="2F7ACBBC">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合规</w:t>
            </w:r>
          </w:p>
          <w:p w14:paraId="0A41C139">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经营</w:t>
            </w:r>
          </w:p>
          <w:p w14:paraId="2000BBED">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szCs w:val="24"/>
                <w:highlight w:val="none"/>
              </w:rPr>
              <w:t>(1</w:t>
            </w:r>
            <w:r>
              <w:rPr>
                <w:rFonts w:hint="eastAsia" w:eastAsia="黑体" w:cs="Times New Roman"/>
                <w:color w:val="auto"/>
                <w:sz w:val="24"/>
                <w:szCs w:val="24"/>
                <w:highlight w:val="none"/>
                <w:lang w:val="en-US" w:eastAsia="zh-CN"/>
              </w:rPr>
              <w:t>3</w:t>
            </w:r>
            <w:r>
              <w:rPr>
                <w:rFonts w:hint="default" w:ascii="Times New Roman" w:hAnsi="Times New Roman" w:eastAsia="黑体" w:cs="Times New Roman"/>
                <w:color w:val="auto"/>
                <w:sz w:val="24"/>
                <w:szCs w:val="24"/>
                <w:highlight w:val="none"/>
                <w:lang w:val="en-US" w:eastAsia="zh-CN"/>
              </w:rPr>
              <w:t>0</w:t>
            </w:r>
            <w:r>
              <w:rPr>
                <w:rFonts w:hint="default" w:ascii="Times New Roman" w:hAnsi="Times New Roman" w:eastAsia="黑体" w:cs="Times New Roman"/>
                <w:color w:val="auto"/>
                <w:sz w:val="24"/>
                <w:szCs w:val="24"/>
                <w:highlight w:val="none"/>
              </w:rPr>
              <w:t>分)</w:t>
            </w:r>
          </w:p>
        </w:tc>
        <w:tc>
          <w:tcPr>
            <w:tcW w:w="1536" w:type="dxa"/>
            <w:noWrap w:val="0"/>
            <w:vAlign w:val="center"/>
          </w:tcPr>
          <w:p w14:paraId="507B7F7F">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（7）</w:t>
            </w:r>
          </w:p>
          <w:p w14:paraId="635A92A4">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资金来源</w:t>
            </w:r>
          </w:p>
        </w:tc>
        <w:tc>
          <w:tcPr>
            <w:tcW w:w="504" w:type="dxa"/>
            <w:noWrap w:val="0"/>
            <w:vAlign w:val="center"/>
          </w:tcPr>
          <w:p w14:paraId="7E506166">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仿宋" w:cs="Times New Roman"/>
                <w:b/>
                <w:bCs/>
                <w:color w:val="auto"/>
                <w:sz w:val="24"/>
                <w:szCs w:val="24"/>
                <w:highlight w:val="none"/>
                <w:lang w:val="en-US" w:eastAsia="zh-CN"/>
              </w:rPr>
            </w:pPr>
            <w:r>
              <w:rPr>
                <w:rFonts w:hint="eastAsia" w:eastAsia="仿宋" w:cs="Times New Roman"/>
                <w:b/>
                <w:bCs/>
                <w:color w:val="auto"/>
                <w:sz w:val="24"/>
                <w:szCs w:val="24"/>
                <w:highlight w:val="none"/>
                <w:lang w:val="en-US" w:eastAsia="zh-CN"/>
              </w:rPr>
              <w:t>10</w:t>
            </w:r>
          </w:p>
        </w:tc>
        <w:tc>
          <w:tcPr>
            <w:tcW w:w="8992" w:type="dxa"/>
            <w:noWrap w:val="0"/>
            <w:vAlign w:val="center"/>
          </w:tcPr>
          <w:p w14:paraId="4822BA82">
            <w:pPr>
              <w:pStyle w:val="22"/>
              <w:keepNext w:val="0"/>
              <w:keepLines w:val="0"/>
              <w:pageBreakBefore w:val="0"/>
              <w:widowControl/>
              <w:kinsoku/>
              <w:wordWrap w:val="0"/>
              <w:overflowPunct/>
              <w:topLinePunct w:val="0"/>
              <w:bidi w:val="0"/>
              <w:snapToGrid w:val="0"/>
              <w:spacing w:beforeAutospacing="0" w:afterAutospacing="0" w:line="300" w:lineRule="exact"/>
              <w:ind w:left="0" w:leftChars="0" w:right="0" w:rightChars="0" w:firstLine="420" w:firstLineChars="200"/>
              <w:textAlignment w:val="auto"/>
              <w:outlineLvl w:val="9"/>
              <w:rPr>
                <w:rFonts w:hint="default" w:ascii="Times New Roman" w:hAnsi="Times New Roman" w:eastAsia="仿宋_GB2312" w:cs="Times New Roman"/>
                <w:color w:val="auto"/>
                <w:kern w:val="2"/>
                <w:sz w:val="21"/>
                <w:highlight w:val="none"/>
              </w:rPr>
            </w:pPr>
            <w:r>
              <w:rPr>
                <w:rFonts w:hint="default" w:ascii="Times New Roman" w:hAnsi="Times New Roman" w:eastAsia="仿宋_GB2312" w:cs="Times New Roman"/>
                <w:color w:val="auto"/>
                <w:kern w:val="2"/>
                <w:sz w:val="21"/>
                <w:highlight w:val="none"/>
              </w:rPr>
              <w:t>典当行不得进行任何形式的非法集资、吸收公众存款或者变相吸收存款；</w:t>
            </w:r>
            <w:r>
              <w:rPr>
                <w:rFonts w:hint="default" w:ascii="Times New Roman" w:hAnsi="Times New Roman" w:eastAsia="仿宋_GB2312" w:cs="Times New Roman"/>
                <w:color w:val="auto"/>
                <w:kern w:val="2"/>
                <w:sz w:val="21"/>
                <w:highlight w:val="none"/>
                <w:lang w:eastAsia="zh-CN"/>
              </w:rPr>
              <w:t>不得</w:t>
            </w:r>
            <w:r>
              <w:rPr>
                <w:rFonts w:hint="default" w:ascii="Times New Roman" w:hAnsi="Times New Roman" w:eastAsia="仿宋_GB2312" w:cs="Times New Roman"/>
                <w:color w:val="auto"/>
                <w:kern w:val="2"/>
                <w:sz w:val="21"/>
                <w:highlight w:val="none"/>
              </w:rPr>
              <w:t>从商业银行以外的单位和个人借款</w:t>
            </w:r>
            <w:r>
              <w:rPr>
                <w:rFonts w:hint="default" w:ascii="Times New Roman" w:hAnsi="Times New Roman" w:eastAsia="仿宋_GB2312" w:cs="Times New Roman"/>
                <w:color w:val="auto"/>
                <w:kern w:val="2"/>
                <w:sz w:val="21"/>
                <w:highlight w:val="none"/>
                <w:lang w:eastAsia="zh-CN"/>
              </w:rPr>
              <w:t>、</w:t>
            </w:r>
            <w:r>
              <w:rPr>
                <w:rFonts w:hint="default" w:ascii="Times New Roman" w:hAnsi="Times New Roman" w:eastAsia="仿宋_GB2312" w:cs="Times New Roman"/>
                <w:color w:val="auto"/>
                <w:kern w:val="2"/>
                <w:sz w:val="21"/>
                <w:highlight w:val="none"/>
              </w:rPr>
              <w:t>与其他典当行拆借或者变相拆借资金、超过规定限额从商业银行贷款</w:t>
            </w:r>
            <w:r>
              <w:rPr>
                <w:rFonts w:hint="default" w:ascii="Times New Roman" w:hAnsi="Times New Roman" w:eastAsia="仿宋_GB2312" w:cs="Times New Roman"/>
                <w:color w:val="auto"/>
                <w:kern w:val="2"/>
                <w:sz w:val="21"/>
                <w:highlight w:val="none"/>
                <w:lang w:eastAsia="zh-CN"/>
              </w:rPr>
              <w:t>、</w:t>
            </w:r>
            <w:r>
              <w:rPr>
                <w:rFonts w:hint="default" w:ascii="Times New Roman" w:hAnsi="Times New Roman" w:eastAsia="仿宋_GB2312" w:cs="Times New Roman"/>
                <w:color w:val="auto"/>
                <w:kern w:val="2"/>
                <w:sz w:val="21"/>
                <w:highlight w:val="none"/>
              </w:rPr>
              <w:t>对外投资</w:t>
            </w:r>
            <w:r>
              <w:rPr>
                <w:rFonts w:hint="default" w:ascii="Times New Roman" w:hAnsi="Times New Roman" w:eastAsia="仿宋_GB2312" w:cs="Times New Roman"/>
                <w:color w:val="auto"/>
                <w:kern w:val="2"/>
                <w:sz w:val="21"/>
                <w:highlight w:val="none"/>
                <w:lang w:eastAsia="zh-CN"/>
              </w:rPr>
              <w:t>；</w:t>
            </w:r>
            <w:r>
              <w:rPr>
                <w:rFonts w:hint="default" w:ascii="Times New Roman" w:hAnsi="Times New Roman" w:eastAsia="仿宋_GB2312" w:cs="Times New Roman"/>
                <w:color w:val="auto"/>
                <w:kern w:val="2"/>
                <w:sz w:val="21"/>
                <w:highlight w:val="none"/>
              </w:rPr>
              <w:t>不得发放信用贷款；禁止典当行向股东借款、。</w:t>
            </w:r>
          </w:p>
          <w:p w14:paraId="6189818F">
            <w:pPr>
              <w:pStyle w:val="22"/>
              <w:keepNext w:val="0"/>
              <w:keepLines w:val="0"/>
              <w:pageBreakBefore w:val="0"/>
              <w:widowControl/>
              <w:kinsoku/>
              <w:wordWrap w:val="0"/>
              <w:overflowPunct/>
              <w:topLinePunct w:val="0"/>
              <w:bidi w:val="0"/>
              <w:snapToGrid w:val="0"/>
              <w:spacing w:beforeAutospacing="0" w:afterAutospacing="0" w:line="300" w:lineRule="exact"/>
              <w:ind w:left="0" w:leftChars="0" w:right="0" w:rightChars="0" w:firstLine="420" w:firstLineChars="200"/>
              <w:textAlignment w:val="auto"/>
              <w:outlineLvl w:val="9"/>
              <w:rPr>
                <w:rFonts w:hint="default" w:ascii="Times New Roman" w:hAnsi="Times New Roman" w:eastAsia="仿宋_GB2312" w:cs="Times New Roman"/>
                <w:color w:val="auto"/>
                <w:kern w:val="2"/>
                <w:sz w:val="21"/>
                <w:highlight w:val="none"/>
                <w:lang w:eastAsia="zh-CN"/>
              </w:rPr>
            </w:pPr>
            <w:r>
              <w:rPr>
                <w:rFonts w:hint="default" w:ascii="Times New Roman" w:hAnsi="Times New Roman" w:eastAsia="仿宋_GB2312" w:cs="Times New Roman"/>
                <w:color w:val="auto"/>
                <w:kern w:val="2"/>
                <w:sz w:val="21"/>
                <w:highlight w:val="none"/>
              </w:rPr>
              <w:t>1.遵守上述规定的得</w:t>
            </w:r>
            <w:r>
              <w:rPr>
                <w:rFonts w:hint="eastAsia" w:ascii="Times New Roman" w:hAnsi="Times New Roman" w:eastAsia="仿宋_GB2312" w:cs="Times New Roman"/>
                <w:color w:val="auto"/>
                <w:kern w:val="2"/>
                <w:sz w:val="21"/>
                <w:highlight w:val="none"/>
                <w:lang w:val="en-US" w:eastAsia="zh-CN"/>
              </w:rPr>
              <w:t>1</w:t>
            </w:r>
            <w:r>
              <w:rPr>
                <w:rFonts w:hint="default" w:ascii="Times New Roman" w:hAnsi="Times New Roman" w:eastAsia="仿宋_GB2312" w:cs="Times New Roman"/>
                <w:color w:val="auto"/>
                <w:kern w:val="2"/>
                <w:sz w:val="21"/>
                <w:highlight w:val="none"/>
              </w:rPr>
              <w:t>0分</w:t>
            </w:r>
            <w:r>
              <w:rPr>
                <w:rFonts w:hint="default" w:ascii="Times New Roman" w:hAnsi="Times New Roman" w:eastAsia="仿宋_GB2312" w:cs="Times New Roman"/>
                <w:color w:val="auto"/>
                <w:kern w:val="2"/>
                <w:sz w:val="21"/>
                <w:highlight w:val="none"/>
                <w:lang w:eastAsia="zh-CN"/>
              </w:rPr>
              <w:t>，违反酌情扣</w:t>
            </w:r>
            <w:r>
              <w:rPr>
                <w:rFonts w:hint="default" w:ascii="Times New Roman" w:hAnsi="Times New Roman" w:eastAsia="仿宋_GB2312" w:cs="Times New Roman"/>
                <w:color w:val="auto"/>
                <w:kern w:val="2"/>
                <w:sz w:val="21"/>
                <w:highlight w:val="none"/>
                <w:lang w:val="en-US" w:eastAsia="zh-CN"/>
              </w:rPr>
              <w:t>5</w:t>
            </w:r>
            <w:r>
              <w:rPr>
                <w:rFonts w:hint="default" w:ascii="Times New Roman" w:hAnsi="Times New Roman" w:eastAsia="仿宋_GB2312" w:cs="Times New Roman"/>
                <w:color w:val="auto"/>
                <w:kern w:val="2"/>
                <w:sz w:val="21"/>
                <w:highlight w:val="none"/>
                <w:lang w:eastAsia="zh-CN"/>
              </w:rPr>
              <w:t>~</w:t>
            </w:r>
            <w:r>
              <w:rPr>
                <w:rFonts w:hint="eastAsia" w:ascii="Times New Roman" w:hAnsi="Times New Roman" w:eastAsia="仿宋_GB2312" w:cs="Times New Roman"/>
                <w:color w:val="auto"/>
                <w:kern w:val="2"/>
                <w:sz w:val="21"/>
                <w:highlight w:val="none"/>
                <w:lang w:val="en-US" w:eastAsia="zh-CN"/>
              </w:rPr>
              <w:t>1</w:t>
            </w:r>
            <w:r>
              <w:rPr>
                <w:rFonts w:hint="default" w:ascii="Times New Roman" w:hAnsi="Times New Roman" w:eastAsia="仿宋_GB2312" w:cs="Times New Roman"/>
                <w:color w:val="auto"/>
                <w:kern w:val="2"/>
                <w:sz w:val="21"/>
                <w:highlight w:val="none"/>
                <w:lang w:val="en-US" w:eastAsia="zh-CN"/>
              </w:rPr>
              <w:t>0</w:t>
            </w:r>
            <w:r>
              <w:rPr>
                <w:rFonts w:hint="default" w:ascii="Times New Roman" w:hAnsi="Times New Roman" w:eastAsia="仿宋_GB2312" w:cs="Times New Roman"/>
                <w:color w:val="auto"/>
                <w:kern w:val="2"/>
                <w:sz w:val="21"/>
                <w:highlight w:val="none"/>
                <w:lang w:eastAsia="zh-CN"/>
              </w:rPr>
              <w:t>分。</w:t>
            </w:r>
          </w:p>
          <w:p w14:paraId="453C3533">
            <w:pPr>
              <w:pStyle w:val="22"/>
              <w:keepNext w:val="0"/>
              <w:keepLines w:val="0"/>
              <w:pageBreakBefore w:val="0"/>
              <w:widowControl/>
              <w:kinsoku/>
              <w:wordWrap w:val="0"/>
              <w:overflowPunct/>
              <w:topLinePunct w:val="0"/>
              <w:bidi w:val="0"/>
              <w:snapToGrid w:val="0"/>
              <w:spacing w:beforeAutospacing="0" w:afterAutospacing="0" w:line="300" w:lineRule="exact"/>
              <w:ind w:left="0" w:leftChars="0" w:right="0" w:rightChars="0" w:firstLine="420" w:firstLineChars="200"/>
              <w:textAlignment w:val="auto"/>
              <w:outlineLvl w:val="9"/>
              <w:rPr>
                <w:rFonts w:hint="default" w:ascii="Times New Roman" w:hAnsi="Times New Roman" w:eastAsia="仿宋_GB2312" w:cs="Times New Roman"/>
                <w:color w:val="auto"/>
                <w:kern w:val="2"/>
                <w:sz w:val="21"/>
                <w:highlight w:val="none"/>
              </w:rPr>
            </w:pPr>
            <w:r>
              <w:rPr>
                <w:rFonts w:hint="default" w:ascii="Times New Roman" w:hAnsi="Times New Roman" w:eastAsia="仿宋_GB2312" w:cs="Times New Roman"/>
                <w:color w:val="auto"/>
                <w:kern w:val="2"/>
                <w:sz w:val="21"/>
                <w:highlight w:val="none"/>
              </w:rPr>
              <w:t>2.资金来源</w:t>
            </w:r>
            <w:r>
              <w:rPr>
                <w:rFonts w:hint="default" w:ascii="Times New Roman" w:hAnsi="Times New Roman" w:eastAsia="仿宋_GB2312" w:cs="Times New Roman"/>
                <w:color w:val="auto"/>
                <w:kern w:val="2"/>
                <w:sz w:val="21"/>
                <w:highlight w:val="none"/>
                <w:lang w:eastAsia="zh-CN"/>
              </w:rPr>
              <w:t>不合规的</w:t>
            </w:r>
            <w:r>
              <w:rPr>
                <w:rFonts w:hint="default" w:ascii="Times New Roman" w:hAnsi="Times New Roman" w:eastAsia="仿宋_GB2312" w:cs="Times New Roman"/>
                <w:color w:val="auto"/>
                <w:kern w:val="2"/>
                <w:sz w:val="21"/>
                <w:highlight w:val="none"/>
              </w:rPr>
              <w:t>不得分。</w:t>
            </w:r>
          </w:p>
        </w:tc>
        <w:tc>
          <w:tcPr>
            <w:tcW w:w="705" w:type="dxa"/>
            <w:noWrap w:val="0"/>
            <w:vAlign w:val="top"/>
          </w:tcPr>
          <w:p w14:paraId="3B195586">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229444AE">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p w14:paraId="35195169">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0445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1133" w:type="dxa"/>
            <w:vMerge w:val="continue"/>
            <w:noWrap w:val="0"/>
            <w:vAlign w:val="center"/>
          </w:tcPr>
          <w:p w14:paraId="203A00DA">
            <w:pPr>
              <w:keepNext w:val="0"/>
              <w:keepLines w:val="0"/>
              <w:pageBreakBefore w:val="0"/>
              <w:kinsoku/>
              <w:overflowPunct/>
              <w:topLinePunct w:val="0"/>
              <w:bidi w:val="0"/>
              <w:snapToGrid w:val="0"/>
              <w:spacing w:line="540" w:lineRule="exact"/>
              <w:ind w:left="0" w:leftChars="0" w:right="0" w:rightChars="0"/>
              <w:jc w:val="center"/>
              <w:textAlignment w:val="auto"/>
              <w:outlineLvl w:val="9"/>
              <w:rPr>
                <w:rFonts w:hint="default" w:ascii="Times New Roman" w:hAnsi="Times New Roman" w:cs="Times New Roman"/>
                <w:color w:val="auto"/>
                <w:sz w:val="28"/>
                <w:szCs w:val="28"/>
                <w:highlight w:val="none"/>
              </w:rPr>
            </w:pPr>
          </w:p>
        </w:tc>
        <w:tc>
          <w:tcPr>
            <w:tcW w:w="1536" w:type="dxa"/>
            <w:noWrap w:val="0"/>
            <w:vAlign w:val="center"/>
          </w:tcPr>
          <w:p w14:paraId="7CDDA7A1">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w:t>
            </w:r>
            <w:r>
              <w:rPr>
                <w:rFonts w:hint="default" w:ascii="Times New Roman" w:hAnsi="Times New Roman" w:eastAsia="仿宋" w:cs="Times New Roman"/>
                <w:b/>
                <w:bCs/>
                <w:color w:val="auto"/>
                <w:sz w:val="24"/>
                <w:szCs w:val="24"/>
                <w:highlight w:val="none"/>
                <w:lang w:eastAsia="zh-CN"/>
              </w:rPr>
              <w:t>8</w:t>
            </w:r>
            <w:r>
              <w:rPr>
                <w:rFonts w:hint="default" w:ascii="Times New Roman" w:hAnsi="Times New Roman" w:eastAsia="仿宋" w:cs="Times New Roman"/>
                <w:b/>
                <w:bCs/>
                <w:color w:val="auto"/>
                <w:sz w:val="24"/>
                <w:szCs w:val="24"/>
                <w:highlight w:val="none"/>
              </w:rPr>
              <w:t>）</w:t>
            </w:r>
          </w:p>
          <w:p w14:paraId="5E80323B">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lang w:eastAsia="zh-CN"/>
              </w:rPr>
              <w:t>注册</w:t>
            </w:r>
            <w:r>
              <w:rPr>
                <w:rFonts w:hint="default" w:ascii="Times New Roman" w:hAnsi="Times New Roman" w:eastAsia="仿宋" w:cs="Times New Roman"/>
                <w:b/>
                <w:bCs/>
                <w:color w:val="auto"/>
                <w:sz w:val="24"/>
                <w:szCs w:val="24"/>
                <w:highlight w:val="none"/>
              </w:rPr>
              <w:t>资本</w:t>
            </w:r>
          </w:p>
        </w:tc>
        <w:tc>
          <w:tcPr>
            <w:tcW w:w="504" w:type="dxa"/>
            <w:noWrap w:val="0"/>
            <w:vAlign w:val="center"/>
          </w:tcPr>
          <w:p w14:paraId="3FB1CAEF">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仿宋" w:cs="Times New Roman"/>
                <w:b/>
                <w:bCs/>
                <w:color w:val="auto"/>
                <w:sz w:val="24"/>
                <w:szCs w:val="24"/>
                <w:highlight w:val="none"/>
                <w:lang w:val="en-US"/>
              </w:rPr>
            </w:pPr>
            <w:r>
              <w:rPr>
                <w:rFonts w:hint="eastAsia" w:eastAsia="宋体" w:cs="Times New Roman"/>
                <w:b/>
                <w:bCs/>
                <w:color w:val="auto"/>
                <w:sz w:val="24"/>
                <w:szCs w:val="24"/>
                <w:highlight w:val="none"/>
                <w:lang w:val="en-US" w:eastAsia="zh-CN"/>
              </w:rPr>
              <w:t>25</w:t>
            </w:r>
          </w:p>
        </w:tc>
        <w:tc>
          <w:tcPr>
            <w:tcW w:w="8992" w:type="dxa"/>
            <w:noWrap w:val="0"/>
            <w:vAlign w:val="center"/>
          </w:tcPr>
          <w:p w14:paraId="5AE34473">
            <w:pPr>
              <w:pStyle w:val="22"/>
              <w:keepNext w:val="0"/>
              <w:keepLines w:val="0"/>
              <w:pageBreakBefore w:val="0"/>
              <w:widowControl/>
              <w:kinsoku/>
              <w:wordWrap w:val="0"/>
              <w:overflowPunct/>
              <w:topLinePunct w:val="0"/>
              <w:bidi w:val="0"/>
              <w:snapToGrid w:val="0"/>
              <w:spacing w:beforeLines="0" w:beforeAutospacing="0" w:afterLines="0" w:afterAutospacing="0" w:line="300" w:lineRule="exact"/>
              <w:ind w:left="0" w:leftChars="0" w:right="0" w:rightChars="0" w:firstLine="420" w:firstLineChars="200"/>
              <w:textAlignment w:val="auto"/>
              <w:outlineLvl w:val="9"/>
              <w:rPr>
                <w:rFonts w:hint="default" w:ascii="Times New Roman" w:hAnsi="Times New Roman" w:eastAsia="仿宋_GB2312" w:cs="Times New Roman"/>
                <w:color w:val="auto"/>
                <w:kern w:val="2"/>
                <w:sz w:val="21"/>
                <w:highlight w:val="none"/>
                <w:lang w:eastAsia="zh-CN"/>
              </w:rPr>
            </w:pPr>
            <w:r>
              <w:rPr>
                <w:rFonts w:hint="default" w:ascii="Times New Roman" w:hAnsi="Times New Roman" w:eastAsia="仿宋_GB2312" w:cs="Times New Roman"/>
                <w:color w:val="auto"/>
                <w:kern w:val="2"/>
                <w:sz w:val="21"/>
                <w:highlight w:val="none"/>
                <w:lang w:val="en-US" w:eastAsia="zh-CN"/>
              </w:rPr>
              <w:t>1.</w:t>
            </w:r>
            <w:r>
              <w:rPr>
                <w:rFonts w:hint="default" w:ascii="Times New Roman" w:hAnsi="Times New Roman" w:eastAsia="仿宋_GB2312" w:cs="Times New Roman"/>
                <w:color w:val="auto"/>
                <w:kern w:val="2"/>
                <w:sz w:val="21"/>
                <w:highlight w:val="none"/>
              </w:rPr>
              <w:t>南宁市行政辖区内以3000万元、</w:t>
            </w:r>
            <w:r>
              <w:rPr>
                <w:rFonts w:hint="default" w:ascii="Times New Roman" w:hAnsi="Times New Roman" w:eastAsia="仿宋_GB2312" w:cs="Times New Roman"/>
                <w:color w:val="auto"/>
                <w:kern w:val="2"/>
                <w:sz w:val="21"/>
                <w:highlight w:val="none"/>
                <w:lang w:eastAsia="zh-CN"/>
              </w:rPr>
              <w:t>其他市、县</w:t>
            </w:r>
            <w:r>
              <w:rPr>
                <w:rFonts w:hint="default" w:ascii="Times New Roman" w:hAnsi="Times New Roman" w:eastAsia="仿宋_GB2312" w:cs="Times New Roman"/>
                <w:color w:val="auto"/>
                <w:kern w:val="2"/>
                <w:sz w:val="21"/>
                <w:highlight w:val="none"/>
              </w:rPr>
              <w:t>以2000万元注册资本为基数，达到的得</w:t>
            </w:r>
            <w:r>
              <w:rPr>
                <w:rFonts w:hint="eastAsia" w:ascii="Times New Roman" w:hAnsi="Times New Roman" w:eastAsia="仿宋_GB2312" w:cs="Times New Roman"/>
                <w:color w:val="auto"/>
                <w:kern w:val="2"/>
                <w:sz w:val="21"/>
                <w:highlight w:val="none"/>
                <w:lang w:val="en-US" w:eastAsia="zh-CN"/>
              </w:rPr>
              <w:t>10</w:t>
            </w:r>
            <w:r>
              <w:rPr>
                <w:rFonts w:hint="default" w:ascii="Times New Roman" w:hAnsi="Times New Roman" w:eastAsia="仿宋_GB2312" w:cs="Times New Roman"/>
                <w:color w:val="auto"/>
                <w:kern w:val="2"/>
                <w:sz w:val="21"/>
                <w:highlight w:val="none"/>
              </w:rPr>
              <w:t>分，每高于基数10%加1分，最高加</w:t>
            </w:r>
            <w:r>
              <w:rPr>
                <w:rFonts w:hint="default" w:ascii="Times New Roman" w:hAnsi="Times New Roman" w:eastAsia="仿宋_GB2312" w:cs="Times New Roman"/>
                <w:color w:val="auto"/>
                <w:kern w:val="2"/>
                <w:sz w:val="21"/>
                <w:highlight w:val="none"/>
                <w:lang w:eastAsia="zh-CN"/>
              </w:rPr>
              <w:t>5</w:t>
            </w:r>
            <w:r>
              <w:rPr>
                <w:rFonts w:hint="default" w:ascii="Times New Roman" w:hAnsi="Times New Roman" w:eastAsia="仿宋_GB2312" w:cs="Times New Roman"/>
                <w:color w:val="auto"/>
                <w:kern w:val="2"/>
                <w:sz w:val="21"/>
                <w:highlight w:val="none"/>
              </w:rPr>
              <w:t>分</w:t>
            </w:r>
            <w:r>
              <w:rPr>
                <w:rFonts w:hint="default" w:ascii="Times New Roman" w:hAnsi="Times New Roman" w:eastAsia="仿宋_GB2312" w:cs="Times New Roman"/>
                <w:color w:val="auto"/>
                <w:kern w:val="2"/>
                <w:sz w:val="21"/>
                <w:highlight w:val="none"/>
                <w:lang w:eastAsia="zh-CN"/>
              </w:rPr>
              <w:t>。</w:t>
            </w:r>
          </w:p>
          <w:p w14:paraId="71655E93">
            <w:pPr>
              <w:pStyle w:val="22"/>
              <w:keepNext w:val="0"/>
              <w:keepLines w:val="0"/>
              <w:pageBreakBefore w:val="0"/>
              <w:widowControl/>
              <w:kinsoku/>
              <w:wordWrap w:val="0"/>
              <w:overflowPunct/>
              <w:topLinePunct w:val="0"/>
              <w:bidi w:val="0"/>
              <w:snapToGrid w:val="0"/>
              <w:spacing w:beforeLines="0" w:beforeAutospacing="0" w:afterLines="0" w:afterAutospacing="0" w:line="300" w:lineRule="exact"/>
              <w:ind w:left="0" w:leftChars="0" w:right="0" w:rightChars="0" w:firstLine="420" w:firstLineChars="200"/>
              <w:textAlignment w:val="auto"/>
              <w:outlineLvl w:val="9"/>
              <w:rPr>
                <w:rFonts w:hint="default" w:ascii="Times New Roman" w:hAnsi="Times New Roman" w:eastAsia="仿宋_GB2312" w:cs="Times New Roman"/>
                <w:color w:val="auto"/>
                <w:kern w:val="2"/>
                <w:sz w:val="21"/>
                <w:szCs w:val="24"/>
                <w:highlight w:val="none"/>
                <w:lang w:val="en-US" w:eastAsia="zh-CN"/>
              </w:rPr>
            </w:pPr>
            <w:r>
              <w:rPr>
                <w:rFonts w:hint="default" w:ascii="Times New Roman" w:hAnsi="Times New Roman" w:eastAsia="仿宋_GB2312" w:cs="Times New Roman"/>
                <w:color w:val="auto"/>
                <w:kern w:val="2"/>
                <w:sz w:val="21"/>
                <w:szCs w:val="24"/>
                <w:highlight w:val="none"/>
                <w:lang w:val="en-US" w:eastAsia="zh-CN"/>
              </w:rPr>
              <w:t>2</w:t>
            </w:r>
            <w:r>
              <w:rPr>
                <w:rFonts w:hint="default" w:ascii="Times New Roman" w:hAnsi="Times New Roman" w:eastAsia="仿宋_GB2312" w:cs="Times New Roman"/>
                <w:color w:val="auto"/>
                <w:kern w:val="2"/>
                <w:sz w:val="21"/>
                <w:szCs w:val="24"/>
                <w:highlight w:val="none"/>
              </w:rPr>
              <w:t>.</w:t>
            </w:r>
            <w:r>
              <w:rPr>
                <w:rFonts w:hint="default" w:ascii="Times New Roman" w:hAnsi="Times New Roman" w:eastAsia="仿宋_GB2312" w:cs="Times New Roman"/>
                <w:color w:val="auto"/>
                <w:kern w:val="2"/>
                <w:sz w:val="21"/>
                <w:szCs w:val="24"/>
                <w:highlight w:val="none"/>
                <w:lang w:eastAsia="zh-CN"/>
              </w:rPr>
              <w:t>有主动增资的加</w:t>
            </w:r>
            <w:r>
              <w:rPr>
                <w:rFonts w:hint="eastAsia" w:ascii="Times New Roman" w:hAnsi="Times New Roman" w:eastAsia="仿宋_GB2312" w:cs="Times New Roman"/>
                <w:color w:val="auto"/>
                <w:kern w:val="2"/>
                <w:sz w:val="21"/>
                <w:szCs w:val="24"/>
                <w:highlight w:val="none"/>
                <w:lang w:val="en-US" w:eastAsia="zh-CN"/>
              </w:rPr>
              <w:t>5</w:t>
            </w:r>
            <w:r>
              <w:rPr>
                <w:rFonts w:hint="default" w:ascii="Times New Roman" w:hAnsi="Times New Roman" w:eastAsia="仿宋_GB2312" w:cs="Times New Roman"/>
                <w:color w:val="auto"/>
                <w:kern w:val="2"/>
                <w:sz w:val="21"/>
                <w:szCs w:val="24"/>
                <w:highlight w:val="none"/>
                <w:lang w:val="en-US" w:eastAsia="zh-CN"/>
              </w:rPr>
              <w:t>分。另外，增资额</w:t>
            </w:r>
            <w:r>
              <w:rPr>
                <w:rFonts w:hint="default" w:ascii="Times New Roman" w:hAnsi="Times New Roman" w:eastAsia="仿宋_GB2312" w:cs="Times New Roman"/>
                <w:color w:val="auto"/>
                <w:kern w:val="2"/>
                <w:sz w:val="21"/>
                <w:szCs w:val="24"/>
                <w:highlight w:val="none"/>
                <w:lang w:eastAsia="zh-CN"/>
              </w:rPr>
              <w:t>每</w:t>
            </w:r>
            <w:r>
              <w:rPr>
                <w:rFonts w:hint="eastAsia" w:ascii="Times New Roman" w:hAnsi="Times New Roman" w:eastAsia="仿宋_GB2312" w:cs="Times New Roman"/>
                <w:color w:val="auto"/>
                <w:kern w:val="2"/>
                <w:sz w:val="21"/>
                <w:szCs w:val="24"/>
                <w:highlight w:val="none"/>
                <w:lang w:val="en-US" w:eastAsia="zh-CN"/>
              </w:rPr>
              <w:t>2</w:t>
            </w:r>
            <w:r>
              <w:rPr>
                <w:rFonts w:hint="default" w:ascii="Times New Roman" w:hAnsi="Times New Roman" w:eastAsia="仿宋_GB2312" w:cs="Times New Roman"/>
                <w:color w:val="auto"/>
                <w:kern w:val="2"/>
                <w:sz w:val="21"/>
                <w:szCs w:val="24"/>
                <w:highlight w:val="none"/>
                <w:lang w:val="en-US" w:eastAsia="zh-CN"/>
              </w:rPr>
              <w:t>00万元加1分，最多累计</w:t>
            </w:r>
            <w:r>
              <w:rPr>
                <w:rFonts w:hint="eastAsia" w:ascii="Times New Roman" w:hAnsi="Times New Roman" w:eastAsia="仿宋_GB2312" w:cs="Times New Roman"/>
                <w:color w:val="auto"/>
                <w:kern w:val="2"/>
                <w:sz w:val="21"/>
                <w:szCs w:val="24"/>
                <w:highlight w:val="none"/>
                <w:lang w:val="en-US" w:eastAsia="zh-CN"/>
              </w:rPr>
              <w:t>5</w:t>
            </w:r>
            <w:r>
              <w:rPr>
                <w:rFonts w:hint="default" w:ascii="Times New Roman" w:hAnsi="Times New Roman" w:eastAsia="仿宋_GB2312" w:cs="Times New Roman"/>
                <w:color w:val="auto"/>
                <w:kern w:val="2"/>
                <w:sz w:val="21"/>
                <w:szCs w:val="24"/>
                <w:highlight w:val="none"/>
                <w:lang w:val="en-US" w:eastAsia="zh-CN"/>
              </w:rPr>
              <w:t>分。</w:t>
            </w:r>
          </w:p>
          <w:p w14:paraId="62759FBF">
            <w:pPr>
              <w:pStyle w:val="22"/>
              <w:keepNext w:val="0"/>
              <w:keepLines w:val="0"/>
              <w:pageBreakBefore w:val="0"/>
              <w:widowControl/>
              <w:kinsoku/>
              <w:wordWrap w:val="0"/>
              <w:overflowPunct/>
              <w:topLinePunct w:val="0"/>
              <w:bidi w:val="0"/>
              <w:snapToGrid w:val="0"/>
              <w:spacing w:beforeLines="0" w:beforeAutospacing="0" w:afterLines="0" w:afterAutospacing="0" w:line="300" w:lineRule="exact"/>
              <w:ind w:left="0" w:leftChars="0" w:right="0" w:rightChars="0" w:firstLine="420" w:firstLineChars="200"/>
              <w:textAlignment w:val="auto"/>
              <w:outlineLvl w:val="9"/>
              <w:rPr>
                <w:rFonts w:hint="default" w:ascii="Times New Roman" w:hAnsi="Times New Roman" w:eastAsia="仿宋_GB2312" w:cs="Times New Roman"/>
                <w:b w:val="0"/>
                <w:bCs w:val="0"/>
                <w:color w:val="auto"/>
                <w:kern w:val="2"/>
                <w:sz w:val="21"/>
                <w:szCs w:val="24"/>
                <w:highlight w:val="none"/>
              </w:rPr>
            </w:pPr>
            <w:r>
              <w:rPr>
                <w:rFonts w:hint="default" w:ascii="Times New Roman" w:hAnsi="Times New Roman" w:eastAsia="仿宋_GB2312" w:cs="Times New Roman"/>
                <w:color w:val="auto"/>
                <w:kern w:val="2"/>
                <w:sz w:val="21"/>
                <w:highlight w:val="none"/>
                <w:lang w:val="en-US" w:eastAsia="zh-CN"/>
              </w:rPr>
              <w:t>3.</w:t>
            </w:r>
            <w:r>
              <w:rPr>
                <w:rFonts w:hint="default" w:ascii="Times New Roman" w:hAnsi="Times New Roman" w:eastAsia="仿宋_GB2312" w:cs="Times New Roman"/>
                <w:color w:val="auto"/>
                <w:kern w:val="2"/>
                <w:sz w:val="21"/>
                <w:highlight w:val="none"/>
                <w:lang w:eastAsia="zh-CN"/>
              </w:rPr>
              <w:t>典当行净资产低于注册资本90%时，各股东未按比例补足或者申请减少注册资本的视情节</w:t>
            </w:r>
            <w:r>
              <w:rPr>
                <w:rFonts w:hint="eastAsia" w:ascii="Times New Roman" w:hAnsi="Times New Roman" w:eastAsia="仿宋_GB2312" w:cs="Times New Roman"/>
                <w:color w:val="auto"/>
                <w:kern w:val="2"/>
                <w:sz w:val="21"/>
                <w:highlight w:val="none"/>
                <w:lang w:val="en-US" w:eastAsia="zh-CN"/>
              </w:rPr>
              <w:t>倒扣</w:t>
            </w:r>
            <w:r>
              <w:rPr>
                <w:rFonts w:hint="default" w:ascii="Times New Roman" w:hAnsi="Times New Roman" w:eastAsia="仿宋_GB2312" w:cs="Times New Roman"/>
                <w:color w:val="auto"/>
                <w:kern w:val="2"/>
                <w:sz w:val="21"/>
                <w:highlight w:val="none"/>
                <w:lang w:val="en-US" w:eastAsia="zh-CN"/>
              </w:rPr>
              <w:t>5~10</w:t>
            </w:r>
            <w:r>
              <w:rPr>
                <w:rFonts w:hint="default" w:ascii="Times New Roman" w:hAnsi="Times New Roman" w:eastAsia="仿宋_GB2312" w:cs="Times New Roman"/>
                <w:color w:val="auto"/>
                <w:kern w:val="2"/>
                <w:sz w:val="21"/>
                <w:highlight w:val="none"/>
                <w:lang w:eastAsia="zh-CN"/>
              </w:rPr>
              <w:t>分。</w:t>
            </w:r>
          </w:p>
        </w:tc>
        <w:tc>
          <w:tcPr>
            <w:tcW w:w="705" w:type="dxa"/>
            <w:noWrap w:val="0"/>
            <w:vAlign w:val="top"/>
          </w:tcPr>
          <w:p w14:paraId="2006354E">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仿宋" w:cs="Times New Roman"/>
                <w:b/>
                <w:bCs/>
                <w:color w:val="auto"/>
                <w:sz w:val="28"/>
                <w:szCs w:val="28"/>
                <w:highlight w:val="none"/>
              </w:rPr>
            </w:pPr>
          </w:p>
        </w:tc>
        <w:tc>
          <w:tcPr>
            <w:tcW w:w="680" w:type="dxa"/>
            <w:noWrap w:val="0"/>
            <w:vAlign w:val="top"/>
          </w:tcPr>
          <w:p w14:paraId="7C7B6AB7">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仿宋" w:cs="Times New Roman"/>
                <w:b/>
                <w:bCs/>
                <w:color w:val="auto"/>
                <w:sz w:val="28"/>
                <w:szCs w:val="28"/>
                <w:highlight w:val="none"/>
              </w:rPr>
            </w:pPr>
          </w:p>
        </w:tc>
      </w:tr>
      <w:tr w14:paraId="43B6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1133" w:type="dxa"/>
            <w:vMerge w:val="continue"/>
            <w:noWrap w:val="0"/>
            <w:vAlign w:val="top"/>
          </w:tcPr>
          <w:p w14:paraId="36462F43">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p>
        </w:tc>
        <w:tc>
          <w:tcPr>
            <w:tcW w:w="1536" w:type="dxa"/>
            <w:noWrap w:val="0"/>
            <w:vAlign w:val="center"/>
          </w:tcPr>
          <w:p w14:paraId="1CF4F84C">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w:t>
            </w:r>
            <w:r>
              <w:rPr>
                <w:rFonts w:hint="eastAsia" w:eastAsia="仿宋" w:cs="Times New Roman"/>
                <w:b/>
                <w:bCs/>
                <w:color w:val="auto"/>
                <w:sz w:val="24"/>
                <w:szCs w:val="24"/>
                <w:highlight w:val="none"/>
                <w:lang w:val="en-US" w:eastAsia="zh-CN"/>
              </w:rPr>
              <w:t>9</w:t>
            </w:r>
            <w:r>
              <w:rPr>
                <w:rFonts w:hint="default" w:ascii="Times New Roman" w:hAnsi="Times New Roman" w:eastAsia="仿宋" w:cs="Times New Roman"/>
                <w:b/>
                <w:bCs/>
                <w:color w:val="auto"/>
                <w:sz w:val="24"/>
                <w:szCs w:val="24"/>
                <w:highlight w:val="none"/>
              </w:rPr>
              <w:t>）</w:t>
            </w:r>
          </w:p>
          <w:p w14:paraId="27416885">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当票使用</w:t>
            </w:r>
          </w:p>
        </w:tc>
        <w:tc>
          <w:tcPr>
            <w:tcW w:w="504" w:type="dxa"/>
            <w:noWrap w:val="0"/>
            <w:vAlign w:val="center"/>
          </w:tcPr>
          <w:p w14:paraId="6B6C6134">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lang w:val="en-US"/>
              </w:rPr>
            </w:pPr>
            <w:r>
              <w:rPr>
                <w:rFonts w:hint="eastAsia" w:eastAsia="宋体" w:cs="Times New Roman"/>
                <w:b/>
                <w:bCs/>
                <w:color w:val="auto"/>
                <w:sz w:val="24"/>
                <w:szCs w:val="24"/>
                <w:highlight w:val="none"/>
                <w:lang w:val="en-US" w:eastAsia="zh-CN"/>
              </w:rPr>
              <w:t>15</w:t>
            </w:r>
          </w:p>
        </w:tc>
        <w:tc>
          <w:tcPr>
            <w:tcW w:w="8992" w:type="dxa"/>
            <w:noWrap w:val="0"/>
            <w:vAlign w:val="center"/>
          </w:tcPr>
          <w:p w14:paraId="613F2BB4">
            <w:pPr>
              <w:keepNext w:val="0"/>
              <w:keepLines w:val="0"/>
              <w:pageBreakBefore w:val="0"/>
              <w:kinsoku/>
              <w:overflowPunct/>
              <w:topLinePunct w:val="0"/>
              <w:bidi w:val="0"/>
              <w:snapToGrid w:val="0"/>
              <w:ind w:left="0" w:leftChars="0" w:right="0" w:rightChars="0" w:firstLine="420" w:firstLineChars="200"/>
              <w:textAlignment w:val="auto"/>
              <w:outlineLvl w:val="9"/>
              <w:rPr>
                <w:rFonts w:hint="default"/>
                <w:color w:val="auto"/>
                <w:sz w:val="21"/>
                <w:highlight w:val="none"/>
              </w:rPr>
            </w:pPr>
            <w:r>
              <w:rPr>
                <w:rFonts w:hint="default"/>
                <w:color w:val="auto"/>
                <w:sz w:val="21"/>
                <w:highlight w:val="none"/>
              </w:rPr>
              <w:t>1.当票载明以下事项得</w:t>
            </w:r>
            <w:r>
              <w:rPr>
                <w:rFonts w:hint="eastAsia"/>
                <w:color w:val="auto"/>
                <w:sz w:val="21"/>
                <w:highlight w:val="none"/>
                <w:lang w:eastAsia="zh-CN"/>
              </w:rPr>
              <w:t>5</w:t>
            </w:r>
            <w:r>
              <w:rPr>
                <w:rFonts w:hint="default"/>
                <w:color w:val="auto"/>
                <w:sz w:val="21"/>
                <w:highlight w:val="none"/>
              </w:rPr>
              <w:t>分：典当行机构名称及住所；当户姓名（名称）、住所（址）、有效证件（照）及号码；当物名称、数量、质量、状况；估价金额、当金数额；利率、综合费率；典当日期、典当期、续当期。信息不完整的每笔扣1分，扣完为止。</w:t>
            </w:r>
          </w:p>
          <w:p w14:paraId="04882500">
            <w:pPr>
              <w:keepNext w:val="0"/>
              <w:keepLines w:val="0"/>
              <w:pageBreakBefore w:val="0"/>
              <w:kinsoku/>
              <w:overflowPunct/>
              <w:topLinePunct w:val="0"/>
              <w:bidi w:val="0"/>
              <w:snapToGrid w:val="0"/>
              <w:ind w:left="0" w:leftChars="0" w:right="0" w:rightChars="0" w:firstLine="420" w:firstLineChars="200"/>
              <w:textAlignment w:val="auto"/>
              <w:outlineLvl w:val="9"/>
              <w:rPr>
                <w:rFonts w:hint="default"/>
                <w:color w:val="auto"/>
                <w:sz w:val="21"/>
                <w:highlight w:val="none"/>
              </w:rPr>
            </w:pPr>
            <w:r>
              <w:rPr>
                <w:rFonts w:hint="default"/>
                <w:color w:val="auto"/>
                <w:sz w:val="21"/>
                <w:highlight w:val="none"/>
              </w:rPr>
              <w:t>2.典当行真实记录并妥善保管当票的得</w:t>
            </w:r>
            <w:r>
              <w:rPr>
                <w:rFonts w:hint="eastAsia"/>
                <w:color w:val="auto"/>
                <w:sz w:val="21"/>
                <w:highlight w:val="none"/>
                <w:lang w:eastAsia="zh-CN"/>
              </w:rPr>
              <w:t>5</w:t>
            </w:r>
            <w:r>
              <w:rPr>
                <w:rFonts w:hint="default"/>
                <w:color w:val="auto"/>
                <w:sz w:val="21"/>
                <w:highlight w:val="none"/>
              </w:rPr>
              <w:t>分。典当行将当票转让、出借或者质押给第三人的倒扣5分。不通过典当业务系统开具打印当票、续当凭证，或以合同代替当票、续当凭证</w:t>
            </w:r>
            <w:r>
              <w:rPr>
                <w:rFonts w:hint="eastAsia"/>
                <w:color w:val="auto"/>
                <w:sz w:val="21"/>
                <w:highlight w:val="none"/>
                <w:lang w:eastAsia="zh-CN"/>
              </w:rPr>
              <w:t>，或</w:t>
            </w:r>
            <w:r>
              <w:rPr>
                <w:rFonts w:hint="default"/>
                <w:color w:val="auto"/>
                <w:sz w:val="21"/>
                <w:highlight w:val="none"/>
              </w:rPr>
              <w:t>私自印制当票和续当凭证的倒扣10分。</w:t>
            </w:r>
          </w:p>
          <w:p w14:paraId="4B7E51B2">
            <w:pPr>
              <w:keepNext w:val="0"/>
              <w:keepLines w:val="0"/>
              <w:pageBreakBefore w:val="0"/>
              <w:kinsoku/>
              <w:overflowPunct/>
              <w:topLinePunct w:val="0"/>
              <w:bidi w:val="0"/>
              <w:snapToGrid w:val="0"/>
              <w:ind w:left="0" w:leftChars="0" w:right="0" w:rightChars="0" w:firstLine="420" w:firstLineChars="200"/>
              <w:textAlignment w:val="auto"/>
              <w:outlineLvl w:val="9"/>
              <w:rPr>
                <w:rFonts w:hint="default"/>
                <w:color w:val="auto"/>
                <w:sz w:val="21"/>
                <w:highlight w:val="none"/>
              </w:rPr>
            </w:pPr>
            <w:r>
              <w:rPr>
                <w:rFonts w:hint="default"/>
                <w:color w:val="auto"/>
                <w:sz w:val="21"/>
                <w:highlight w:val="none"/>
              </w:rPr>
              <w:t>3.典当行当票与续当凭证使用的张数应</w:t>
            </w:r>
            <w:r>
              <w:rPr>
                <w:rFonts w:hint="eastAsia"/>
                <w:color w:val="auto"/>
                <w:sz w:val="21"/>
                <w:highlight w:val="none"/>
                <w:lang w:eastAsia="zh-CN"/>
              </w:rPr>
              <w:t>与</w:t>
            </w:r>
            <w:r>
              <w:rPr>
                <w:rFonts w:hint="default"/>
                <w:color w:val="auto"/>
                <w:sz w:val="21"/>
                <w:highlight w:val="none"/>
              </w:rPr>
              <w:t>典当业务笔数相符，</w:t>
            </w:r>
            <w:r>
              <w:rPr>
                <w:rFonts w:hint="eastAsia"/>
                <w:color w:val="auto"/>
                <w:sz w:val="21"/>
                <w:highlight w:val="none"/>
                <w:lang w:eastAsia="zh-CN"/>
              </w:rPr>
              <w:t>当年新开具</w:t>
            </w:r>
            <w:r>
              <w:rPr>
                <w:rFonts w:hint="default"/>
                <w:color w:val="auto"/>
                <w:sz w:val="21"/>
                <w:highlight w:val="none"/>
              </w:rPr>
              <w:t>当票与续当凭证开具的累计金额应与典当总额相符，尚未赎回的当票与续当凭证的金额应与典当余额相符。情况相符得3分；不符的每项扣1分，扣完为止。</w:t>
            </w:r>
          </w:p>
          <w:p w14:paraId="5020BCEE">
            <w:pPr>
              <w:keepNext w:val="0"/>
              <w:keepLines w:val="0"/>
              <w:pageBreakBefore w:val="0"/>
              <w:kinsoku/>
              <w:overflowPunct/>
              <w:topLinePunct w:val="0"/>
              <w:bidi w:val="0"/>
              <w:snapToGrid w:val="0"/>
              <w:ind w:left="0" w:leftChars="0" w:right="0" w:rightChars="0" w:firstLine="420" w:firstLineChars="200"/>
              <w:textAlignment w:val="auto"/>
              <w:outlineLvl w:val="9"/>
              <w:rPr>
                <w:rFonts w:hint="default"/>
                <w:color w:val="auto"/>
                <w:sz w:val="21"/>
                <w:highlight w:val="none"/>
              </w:rPr>
            </w:pPr>
            <w:r>
              <w:rPr>
                <w:rFonts w:hint="default"/>
                <w:color w:val="auto"/>
                <w:sz w:val="21"/>
                <w:highlight w:val="none"/>
              </w:rPr>
              <w:t>4.已使用当票、续当凭证按规定装订成册（每本25份）、</w:t>
            </w:r>
            <w:r>
              <w:rPr>
                <w:rFonts w:hint="eastAsia"/>
                <w:color w:val="auto"/>
                <w:sz w:val="21"/>
                <w:highlight w:val="none"/>
                <w:lang w:val="en-US" w:eastAsia="zh-CN"/>
              </w:rPr>
              <w:t>及时</w:t>
            </w:r>
            <w:r>
              <w:rPr>
                <w:rFonts w:hint="default"/>
                <w:color w:val="auto"/>
                <w:sz w:val="21"/>
                <w:highlight w:val="none"/>
              </w:rPr>
              <w:t>办理核销手续得</w:t>
            </w:r>
            <w:r>
              <w:rPr>
                <w:rFonts w:hint="eastAsia"/>
                <w:color w:val="auto"/>
                <w:sz w:val="21"/>
                <w:highlight w:val="none"/>
                <w:lang w:eastAsia="zh-CN"/>
              </w:rPr>
              <w:t>2</w:t>
            </w:r>
            <w:r>
              <w:rPr>
                <w:rFonts w:hint="default"/>
                <w:color w:val="auto"/>
                <w:sz w:val="21"/>
                <w:highlight w:val="none"/>
              </w:rPr>
              <w:t>分，否则</w:t>
            </w:r>
            <w:r>
              <w:rPr>
                <w:rFonts w:hint="eastAsia"/>
                <w:color w:val="auto"/>
                <w:sz w:val="21"/>
                <w:highlight w:val="none"/>
                <w:lang w:val="en-US" w:eastAsia="zh-CN"/>
              </w:rPr>
              <w:t>酌情扣分，扣完为止</w:t>
            </w:r>
            <w:r>
              <w:rPr>
                <w:rFonts w:hint="default"/>
                <w:color w:val="auto"/>
                <w:sz w:val="21"/>
                <w:highlight w:val="none"/>
              </w:rPr>
              <w:t>。</w:t>
            </w:r>
          </w:p>
          <w:p w14:paraId="47122905">
            <w:pPr>
              <w:keepNext w:val="0"/>
              <w:keepLines w:val="0"/>
              <w:pageBreakBefore w:val="0"/>
              <w:kinsoku/>
              <w:overflowPunct/>
              <w:topLinePunct w:val="0"/>
              <w:bidi w:val="0"/>
              <w:snapToGrid w:val="0"/>
              <w:ind w:left="0" w:leftChars="0" w:right="0" w:rightChars="0" w:firstLine="420" w:firstLineChars="200"/>
              <w:textAlignment w:val="auto"/>
              <w:outlineLvl w:val="9"/>
              <w:rPr>
                <w:rFonts w:hint="default" w:ascii="Times New Roman" w:hAnsi="Times New Roman" w:cs="Times New Roman"/>
                <w:color w:val="auto"/>
                <w:sz w:val="21"/>
                <w:highlight w:val="none"/>
              </w:rPr>
            </w:pPr>
            <w:r>
              <w:rPr>
                <w:rFonts w:hint="eastAsia"/>
                <w:color w:val="auto"/>
                <w:sz w:val="21"/>
                <w:highlight w:val="none"/>
                <w:lang w:val="en-US" w:eastAsia="zh-CN"/>
              </w:rPr>
              <w:t>5.</w:t>
            </w:r>
            <w:r>
              <w:rPr>
                <w:rFonts w:hint="eastAsia"/>
                <w:color w:val="auto"/>
                <w:sz w:val="21"/>
                <w:highlight w:val="none"/>
              </w:rPr>
              <w:t>当票和续当凭证发生遗失的，典当行应及时在官方纸媒上刊登作废声明，并以书面形式报告自治区地方金融管理局</w:t>
            </w:r>
            <w:r>
              <w:rPr>
                <w:rFonts w:hint="eastAsia"/>
                <w:color w:val="auto"/>
                <w:sz w:val="21"/>
                <w:highlight w:val="none"/>
                <w:lang w:eastAsia="zh-CN"/>
              </w:rPr>
              <w:t>，</w:t>
            </w:r>
            <w:r>
              <w:rPr>
                <w:rFonts w:hint="default" w:ascii="Times New Roman" w:hAnsi="Times New Roman"/>
                <w:color w:val="auto"/>
                <w:kern w:val="2"/>
                <w:sz w:val="21"/>
                <w:szCs w:val="24"/>
                <w:highlight w:val="none"/>
                <w:lang w:val="en-US" w:eastAsia="zh-CN" w:bidi="ar-SA"/>
              </w:rPr>
              <w:t>不符合的</w:t>
            </w:r>
            <w:r>
              <w:rPr>
                <w:rFonts w:hint="eastAsia"/>
                <w:color w:val="auto"/>
                <w:kern w:val="2"/>
                <w:sz w:val="21"/>
                <w:szCs w:val="24"/>
                <w:highlight w:val="none"/>
                <w:lang w:val="en-US" w:eastAsia="zh-CN" w:bidi="ar-SA"/>
              </w:rPr>
              <w:t>倒扣2</w:t>
            </w:r>
            <w:r>
              <w:rPr>
                <w:rFonts w:hint="default" w:ascii="Times New Roman" w:hAnsi="Times New Roman"/>
                <w:color w:val="auto"/>
                <w:kern w:val="2"/>
                <w:sz w:val="21"/>
                <w:szCs w:val="24"/>
                <w:highlight w:val="none"/>
                <w:lang w:val="en-US" w:eastAsia="zh-CN" w:bidi="ar-SA"/>
              </w:rPr>
              <w:t>分</w:t>
            </w:r>
            <w:r>
              <w:rPr>
                <w:rFonts w:hint="eastAsia"/>
                <w:color w:val="auto"/>
                <w:sz w:val="21"/>
                <w:highlight w:val="none"/>
              </w:rPr>
              <w:t>。</w:t>
            </w:r>
          </w:p>
        </w:tc>
        <w:tc>
          <w:tcPr>
            <w:tcW w:w="705" w:type="dxa"/>
            <w:noWrap w:val="0"/>
            <w:vAlign w:val="top"/>
          </w:tcPr>
          <w:p w14:paraId="75C2CCE7">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 w:val="24"/>
                <w:highlight w:val="none"/>
              </w:rPr>
            </w:pPr>
          </w:p>
        </w:tc>
        <w:tc>
          <w:tcPr>
            <w:tcW w:w="680" w:type="dxa"/>
            <w:noWrap w:val="0"/>
            <w:vAlign w:val="top"/>
          </w:tcPr>
          <w:p w14:paraId="7C5FD42C">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3CBB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133" w:type="dxa"/>
            <w:vMerge w:val="restart"/>
            <w:noWrap w:val="0"/>
            <w:vAlign w:val="center"/>
          </w:tcPr>
          <w:p w14:paraId="4E820347">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二、</w:t>
            </w:r>
          </w:p>
          <w:p w14:paraId="3939E4DD">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合规</w:t>
            </w:r>
          </w:p>
          <w:p w14:paraId="1C531574">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经营</w:t>
            </w:r>
          </w:p>
          <w:p w14:paraId="70937965">
            <w:pPr>
              <w:keepNext w:val="0"/>
              <w:keepLines w:val="0"/>
              <w:pageBreakBefore w:val="0"/>
              <w:kinsoku/>
              <w:overflowPunct/>
              <w:topLinePunct w:val="0"/>
              <w:bidi w:val="0"/>
              <w:snapToGrid w:val="0"/>
              <w:spacing w:line="400" w:lineRule="exact"/>
              <w:ind w:left="0" w:leftChars="0" w:right="0" w:rightChars="0"/>
              <w:jc w:val="center"/>
              <w:textAlignment w:val="center"/>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szCs w:val="24"/>
                <w:highlight w:val="none"/>
              </w:rPr>
              <w:t>(1</w:t>
            </w:r>
            <w:r>
              <w:rPr>
                <w:rFonts w:hint="eastAsia" w:eastAsia="黑体" w:cs="Times New Roman"/>
                <w:color w:val="auto"/>
                <w:sz w:val="24"/>
                <w:szCs w:val="24"/>
                <w:highlight w:val="none"/>
                <w:lang w:val="en-US" w:eastAsia="zh-CN"/>
              </w:rPr>
              <w:t>3</w:t>
            </w:r>
            <w:r>
              <w:rPr>
                <w:rFonts w:hint="default" w:ascii="Times New Roman" w:hAnsi="Times New Roman" w:eastAsia="黑体" w:cs="Times New Roman"/>
                <w:color w:val="auto"/>
                <w:sz w:val="24"/>
                <w:szCs w:val="24"/>
                <w:highlight w:val="none"/>
                <w:lang w:val="en-US" w:eastAsia="zh-CN"/>
              </w:rPr>
              <w:t>0</w:t>
            </w:r>
            <w:r>
              <w:rPr>
                <w:rFonts w:hint="default" w:ascii="Times New Roman" w:hAnsi="Times New Roman" w:eastAsia="黑体" w:cs="Times New Roman"/>
                <w:color w:val="auto"/>
                <w:sz w:val="24"/>
                <w:szCs w:val="24"/>
                <w:highlight w:val="none"/>
              </w:rPr>
              <w:t>分)</w:t>
            </w:r>
          </w:p>
        </w:tc>
        <w:tc>
          <w:tcPr>
            <w:tcW w:w="1536" w:type="dxa"/>
            <w:noWrap w:val="0"/>
            <w:vAlign w:val="center"/>
          </w:tcPr>
          <w:p w14:paraId="3A7E5069">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w:t>
            </w:r>
            <w:r>
              <w:rPr>
                <w:rFonts w:hint="eastAsia" w:eastAsia="仿宋" w:cs="Times New Roman"/>
                <w:b/>
                <w:bCs/>
                <w:color w:val="auto"/>
                <w:sz w:val="24"/>
                <w:szCs w:val="24"/>
                <w:highlight w:val="none"/>
                <w:lang w:val="en-US" w:eastAsia="zh-CN"/>
              </w:rPr>
              <w:t>10</w:t>
            </w:r>
            <w:r>
              <w:rPr>
                <w:rFonts w:hint="default" w:ascii="Times New Roman" w:hAnsi="Times New Roman" w:eastAsia="仿宋" w:cs="Times New Roman"/>
                <w:b/>
                <w:bCs/>
                <w:color w:val="auto"/>
                <w:sz w:val="24"/>
                <w:szCs w:val="24"/>
                <w:highlight w:val="none"/>
              </w:rPr>
              <w:t>）</w:t>
            </w:r>
          </w:p>
          <w:p w14:paraId="0F7D241E">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sz w:val="24"/>
                <w:szCs w:val="24"/>
                <w:highlight w:val="none"/>
              </w:rPr>
              <w:t>费率执行</w:t>
            </w:r>
          </w:p>
        </w:tc>
        <w:tc>
          <w:tcPr>
            <w:tcW w:w="504" w:type="dxa"/>
            <w:noWrap w:val="0"/>
            <w:vAlign w:val="center"/>
          </w:tcPr>
          <w:p w14:paraId="16C5D73D">
            <w:pPr>
              <w:keepNext w:val="0"/>
              <w:keepLines w:val="0"/>
              <w:pageBreakBefore w:val="0"/>
              <w:kinsoku/>
              <w:overflowPunct/>
              <w:topLinePunct w:val="0"/>
              <w:bidi w:val="0"/>
              <w:snapToGrid w:val="0"/>
              <w:ind w:left="0" w:leftChars="0" w:right="0" w:rightChars="0"/>
              <w:jc w:val="center"/>
              <w:textAlignment w:val="auto"/>
              <w:outlineLvl w:val="9"/>
              <w:rPr>
                <w:rFonts w:hint="eastAsia" w:ascii="Times New Roman" w:hAnsi="Times New Roman" w:eastAsia="宋体" w:cs="Times New Roman"/>
                <w:b/>
                <w:bCs/>
                <w:color w:val="auto"/>
                <w:kern w:val="2"/>
                <w:sz w:val="24"/>
                <w:szCs w:val="24"/>
                <w:highlight w:val="none"/>
                <w:lang w:val="en-US" w:eastAsia="zh-CN" w:bidi="ar-SA"/>
              </w:rPr>
            </w:pPr>
            <w:r>
              <w:rPr>
                <w:rFonts w:hint="eastAsia" w:eastAsia="宋体" w:cs="Times New Roman"/>
                <w:b/>
                <w:bCs/>
                <w:color w:val="auto"/>
                <w:sz w:val="24"/>
                <w:szCs w:val="24"/>
                <w:highlight w:val="none"/>
                <w:lang w:val="en-US" w:eastAsia="zh-CN"/>
              </w:rPr>
              <w:t>5</w:t>
            </w:r>
          </w:p>
        </w:tc>
        <w:tc>
          <w:tcPr>
            <w:tcW w:w="8992" w:type="dxa"/>
            <w:noWrap w:val="0"/>
            <w:vAlign w:val="center"/>
          </w:tcPr>
          <w:p w14:paraId="075EBF80">
            <w:pPr>
              <w:keepNext w:val="0"/>
              <w:keepLines w:val="0"/>
              <w:pageBreakBefore w:val="0"/>
              <w:kinsoku/>
              <w:overflowPunct/>
              <w:topLinePunct w:val="0"/>
              <w:bidi w:val="0"/>
              <w:snapToGrid w:val="0"/>
              <w:ind w:left="0" w:leftChars="0" w:right="0" w:rightChars="0" w:firstLine="0" w:firstLineChars="0"/>
              <w:textAlignment w:val="auto"/>
              <w:outlineLvl w:val="9"/>
              <w:rPr>
                <w:rFonts w:hint="default" w:ascii="Times New Roman" w:hAnsi="Times New Roman" w:eastAsia="仿宋_GB2312" w:cs="Times New Roman"/>
                <w:color w:val="auto"/>
                <w:kern w:val="2"/>
                <w:sz w:val="21"/>
                <w:szCs w:val="24"/>
                <w:highlight w:val="none"/>
                <w:lang w:val="en-US" w:eastAsia="zh-CN" w:bidi="ar-SA"/>
              </w:rPr>
            </w:pPr>
            <w:r>
              <w:rPr>
                <w:rFonts w:hint="default" w:ascii="Times New Roman" w:hAnsi="Times New Roman" w:cs="Times New Roman"/>
                <w:color w:val="auto"/>
                <w:sz w:val="21"/>
                <w:highlight w:val="none"/>
                <w:lang w:val="en-US" w:eastAsia="zh-CN"/>
              </w:rPr>
              <w:t xml:space="preserve">    </w:t>
            </w:r>
            <w:r>
              <w:rPr>
                <w:rFonts w:hint="default" w:ascii="Times New Roman" w:hAnsi="Times New Roman" w:cs="Times New Roman"/>
                <w:color w:val="auto"/>
                <w:sz w:val="21"/>
                <w:highlight w:val="none"/>
              </w:rPr>
              <w:t>典当当金利率按贷款市场报价利率(LPR)及浮动范围执行，当金利息不得预扣。动产质押典当的月综合费率不得超过当金的42‰</w:t>
            </w:r>
            <w:r>
              <w:rPr>
                <w:rFonts w:hint="eastAsia" w:cs="Times New Roman"/>
                <w:color w:val="auto"/>
                <w:sz w:val="21"/>
                <w:highlight w:val="none"/>
                <w:lang w:eastAsia="zh-CN"/>
              </w:rPr>
              <w:t>，</w:t>
            </w:r>
            <w:r>
              <w:rPr>
                <w:rFonts w:hint="default" w:ascii="Times New Roman" w:hAnsi="Times New Roman" w:cs="Times New Roman"/>
                <w:color w:val="auto"/>
                <w:sz w:val="21"/>
                <w:highlight w:val="none"/>
              </w:rPr>
              <w:t>房地产抵押典当的月综合费率不得超过当金的27‰</w:t>
            </w:r>
            <w:r>
              <w:rPr>
                <w:rFonts w:hint="eastAsia" w:cs="Times New Roman"/>
                <w:color w:val="auto"/>
                <w:sz w:val="21"/>
                <w:highlight w:val="none"/>
                <w:lang w:eastAsia="zh-CN"/>
              </w:rPr>
              <w:t>，</w:t>
            </w:r>
            <w:r>
              <w:rPr>
                <w:rFonts w:hint="default" w:ascii="Times New Roman" w:hAnsi="Times New Roman" w:cs="Times New Roman"/>
                <w:color w:val="auto"/>
                <w:sz w:val="21"/>
                <w:highlight w:val="none"/>
              </w:rPr>
              <w:t>财产权利质押典当的月综合费率不得超过当金的24‰。严禁利用各种不合理的计息、收息方式变相提高综合费率。符合上述规定的得</w:t>
            </w:r>
            <w:r>
              <w:rPr>
                <w:rFonts w:hint="eastAsia" w:cs="Times New Roman"/>
                <w:color w:val="auto"/>
                <w:sz w:val="21"/>
                <w:highlight w:val="none"/>
                <w:lang w:val="en-US" w:eastAsia="zh-CN"/>
              </w:rPr>
              <w:t>5</w:t>
            </w:r>
            <w:r>
              <w:rPr>
                <w:rFonts w:hint="default" w:ascii="Times New Roman" w:hAnsi="Times New Roman" w:cs="Times New Roman"/>
                <w:color w:val="auto"/>
                <w:sz w:val="21"/>
                <w:highlight w:val="none"/>
              </w:rPr>
              <w:t>分。违反</w:t>
            </w:r>
            <w:r>
              <w:rPr>
                <w:rFonts w:hint="default" w:ascii="Times New Roman" w:hAnsi="Times New Roman" w:cs="Times New Roman"/>
                <w:color w:val="auto"/>
                <w:sz w:val="21"/>
                <w:highlight w:val="none"/>
                <w:lang w:eastAsia="zh-CN"/>
              </w:rPr>
              <w:t>的</w:t>
            </w:r>
            <w:r>
              <w:rPr>
                <w:rFonts w:hint="default" w:ascii="Times New Roman" w:hAnsi="Times New Roman" w:cs="Times New Roman"/>
                <w:color w:val="auto"/>
                <w:sz w:val="21"/>
                <w:highlight w:val="none"/>
              </w:rPr>
              <w:t>发现一笔扣</w:t>
            </w:r>
            <w:r>
              <w:rPr>
                <w:rFonts w:hint="eastAsia" w:cs="Times New Roman"/>
                <w:color w:val="auto"/>
                <w:sz w:val="21"/>
                <w:highlight w:val="none"/>
                <w:lang w:val="en-US" w:eastAsia="zh-CN"/>
              </w:rPr>
              <w:t>2</w:t>
            </w:r>
            <w:r>
              <w:rPr>
                <w:rFonts w:hint="default" w:ascii="Times New Roman" w:hAnsi="Times New Roman" w:cs="Times New Roman"/>
                <w:color w:val="auto"/>
                <w:sz w:val="21"/>
                <w:highlight w:val="none"/>
              </w:rPr>
              <w:t>分，此项扣分不设上限。</w:t>
            </w:r>
          </w:p>
        </w:tc>
        <w:tc>
          <w:tcPr>
            <w:tcW w:w="705" w:type="dxa"/>
            <w:noWrap w:val="0"/>
            <w:vAlign w:val="top"/>
          </w:tcPr>
          <w:p w14:paraId="1272986B">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 w:val="24"/>
                <w:highlight w:val="none"/>
              </w:rPr>
            </w:pPr>
          </w:p>
        </w:tc>
        <w:tc>
          <w:tcPr>
            <w:tcW w:w="680" w:type="dxa"/>
            <w:noWrap w:val="0"/>
            <w:vAlign w:val="top"/>
          </w:tcPr>
          <w:p w14:paraId="1F4DFD9B">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6364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1133" w:type="dxa"/>
            <w:vMerge w:val="continue"/>
            <w:noWrap w:val="0"/>
            <w:vAlign w:val="top"/>
          </w:tcPr>
          <w:p w14:paraId="710E0652">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4"/>
                <w:szCs w:val="24"/>
                <w:highlight w:val="none"/>
              </w:rPr>
            </w:pPr>
          </w:p>
        </w:tc>
        <w:tc>
          <w:tcPr>
            <w:tcW w:w="1536" w:type="dxa"/>
            <w:noWrap w:val="0"/>
            <w:vAlign w:val="center"/>
          </w:tcPr>
          <w:p w14:paraId="6653EDE1">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eastAsia" w:eastAsia="仿宋" w:cs="Times New Roman"/>
                <w:b/>
                <w:bCs/>
                <w:color w:val="auto"/>
                <w:sz w:val="24"/>
                <w:szCs w:val="24"/>
                <w:highlight w:val="none"/>
                <w:lang w:eastAsia="zh-CN"/>
              </w:rPr>
            </w:pPr>
            <w:r>
              <w:rPr>
                <w:rFonts w:hint="eastAsia" w:eastAsia="仿宋" w:cs="Times New Roman"/>
                <w:b/>
                <w:bCs/>
                <w:color w:val="auto"/>
                <w:sz w:val="24"/>
                <w:szCs w:val="24"/>
                <w:highlight w:val="none"/>
                <w:lang w:eastAsia="zh-CN"/>
              </w:rPr>
              <w:t>（</w:t>
            </w:r>
            <w:r>
              <w:rPr>
                <w:rFonts w:hint="eastAsia" w:eastAsia="仿宋" w:cs="Times New Roman"/>
                <w:b/>
                <w:bCs/>
                <w:color w:val="auto"/>
                <w:sz w:val="24"/>
                <w:szCs w:val="24"/>
                <w:highlight w:val="none"/>
                <w:lang w:val="en-US" w:eastAsia="zh-CN"/>
              </w:rPr>
              <w:t>11</w:t>
            </w:r>
            <w:r>
              <w:rPr>
                <w:rFonts w:hint="eastAsia" w:eastAsia="仿宋" w:cs="Times New Roman"/>
                <w:b/>
                <w:bCs/>
                <w:color w:val="auto"/>
                <w:sz w:val="24"/>
                <w:szCs w:val="24"/>
                <w:highlight w:val="none"/>
                <w:lang w:eastAsia="zh-CN"/>
              </w:rPr>
              <w:t>）</w:t>
            </w:r>
          </w:p>
          <w:p w14:paraId="7FCAA637">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eastAsia" w:ascii="Times New Roman" w:hAnsi="Times New Roman" w:eastAsia="仿宋" w:cs="Times New Roman"/>
                <w:b/>
                <w:bCs/>
                <w:color w:val="auto"/>
                <w:sz w:val="24"/>
                <w:szCs w:val="24"/>
                <w:highlight w:val="none"/>
                <w:lang w:eastAsia="zh-CN"/>
              </w:rPr>
            </w:pPr>
            <w:r>
              <w:rPr>
                <w:rFonts w:hint="eastAsia" w:eastAsia="仿宋" w:cs="Times New Roman"/>
                <w:b/>
                <w:bCs/>
                <w:color w:val="auto"/>
                <w:sz w:val="24"/>
                <w:szCs w:val="24"/>
                <w:highlight w:val="none"/>
                <w:lang w:eastAsia="zh-CN"/>
              </w:rPr>
              <w:t>业务规则</w:t>
            </w:r>
          </w:p>
        </w:tc>
        <w:tc>
          <w:tcPr>
            <w:tcW w:w="504" w:type="dxa"/>
            <w:noWrap w:val="0"/>
            <w:vAlign w:val="center"/>
          </w:tcPr>
          <w:p w14:paraId="3017B6D0">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lang w:val="en-US" w:eastAsia="zh-CN"/>
              </w:rPr>
            </w:pPr>
            <w:r>
              <w:rPr>
                <w:rFonts w:hint="eastAsia" w:eastAsia="宋体" w:cs="Times New Roman"/>
                <w:b/>
                <w:bCs/>
                <w:color w:val="auto"/>
                <w:sz w:val="24"/>
                <w:szCs w:val="24"/>
                <w:highlight w:val="none"/>
                <w:lang w:val="en-US" w:eastAsia="zh-CN"/>
              </w:rPr>
              <w:t>10</w:t>
            </w:r>
          </w:p>
        </w:tc>
        <w:tc>
          <w:tcPr>
            <w:tcW w:w="8992" w:type="dxa"/>
            <w:noWrap w:val="0"/>
            <w:vAlign w:val="center"/>
          </w:tcPr>
          <w:p w14:paraId="30E0366F">
            <w:pPr>
              <w:keepNext w:val="0"/>
              <w:keepLines w:val="0"/>
              <w:pageBreakBefore w:val="0"/>
              <w:kinsoku/>
              <w:overflowPunct/>
              <w:topLinePunct w:val="0"/>
              <w:bidi w:val="0"/>
              <w:snapToGrid w:val="0"/>
              <w:ind w:left="0" w:leftChars="0" w:right="0" w:rightChars="0" w:firstLine="420" w:firstLineChars="200"/>
              <w:textAlignment w:val="auto"/>
              <w:outlineLvl w:val="9"/>
              <w:rPr>
                <w:rFonts w:hint="default"/>
                <w:color w:val="auto"/>
                <w:sz w:val="21"/>
                <w:highlight w:val="none"/>
              </w:rPr>
            </w:pPr>
            <w:r>
              <w:rPr>
                <w:rFonts w:hint="default"/>
                <w:color w:val="auto"/>
                <w:sz w:val="21"/>
                <w:highlight w:val="none"/>
              </w:rPr>
              <w:t>典当行不得经营下列业务：</w:t>
            </w:r>
          </w:p>
          <w:p w14:paraId="13F1983E">
            <w:pPr>
              <w:keepNext w:val="0"/>
              <w:keepLines w:val="0"/>
              <w:pageBreakBefore w:val="0"/>
              <w:kinsoku/>
              <w:overflowPunct/>
              <w:topLinePunct w:val="0"/>
              <w:bidi w:val="0"/>
              <w:snapToGrid w:val="0"/>
              <w:ind w:left="0" w:leftChars="0" w:right="0" w:rightChars="0" w:firstLine="420" w:firstLineChars="200"/>
              <w:textAlignment w:val="auto"/>
              <w:outlineLvl w:val="9"/>
              <w:rPr>
                <w:rFonts w:hint="eastAsia"/>
                <w:color w:val="auto"/>
                <w:sz w:val="21"/>
                <w:highlight w:val="none"/>
              </w:rPr>
            </w:pPr>
            <w:r>
              <w:rPr>
                <w:rFonts w:hint="default"/>
                <w:color w:val="auto"/>
                <w:sz w:val="21"/>
                <w:highlight w:val="none"/>
              </w:rPr>
              <w:t>1.非绝当物品的销售以及旧物收购、寄售</w:t>
            </w:r>
            <w:r>
              <w:rPr>
                <w:rFonts w:hint="eastAsia"/>
                <w:color w:val="auto"/>
                <w:sz w:val="21"/>
                <w:highlight w:val="none"/>
                <w:lang w:eastAsia="zh-CN"/>
              </w:rPr>
              <w:t>。</w:t>
            </w:r>
          </w:p>
          <w:p w14:paraId="7CCA894D">
            <w:pPr>
              <w:keepNext w:val="0"/>
              <w:keepLines w:val="0"/>
              <w:pageBreakBefore w:val="0"/>
              <w:kinsoku/>
              <w:overflowPunct/>
              <w:topLinePunct w:val="0"/>
              <w:bidi w:val="0"/>
              <w:snapToGrid w:val="0"/>
              <w:ind w:left="0" w:leftChars="0" w:right="0" w:rightChars="0" w:firstLine="420" w:firstLineChars="200"/>
              <w:textAlignment w:val="auto"/>
              <w:outlineLvl w:val="9"/>
              <w:rPr>
                <w:rFonts w:hint="eastAsia"/>
                <w:color w:val="auto"/>
                <w:sz w:val="21"/>
                <w:highlight w:val="none"/>
              </w:rPr>
            </w:pPr>
            <w:r>
              <w:rPr>
                <w:rFonts w:hint="default"/>
                <w:color w:val="auto"/>
                <w:sz w:val="21"/>
                <w:highlight w:val="none"/>
              </w:rPr>
              <w:t>2.动产抵押业务</w:t>
            </w:r>
            <w:r>
              <w:rPr>
                <w:rFonts w:hint="eastAsia"/>
                <w:color w:val="auto"/>
                <w:sz w:val="21"/>
                <w:highlight w:val="none"/>
                <w:lang w:eastAsia="zh-CN"/>
              </w:rPr>
              <w:t>。</w:t>
            </w:r>
          </w:p>
          <w:p w14:paraId="7DF6F17F">
            <w:pPr>
              <w:snapToGrid w:val="0"/>
              <w:ind w:firstLine="420" w:firstLineChars="200"/>
              <w:outlineLvl w:val="9"/>
              <w:rPr>
                <w:rFonts w:hint="default"/>
                <w:color w:val="auto"/>
                <w:sz w:val="21"/>
                <w:highlight w:val="none"/>
              </w:rPr>
            </w:pPr>
            <w:r>
              <w:rPr>
                <w:rFonts w:hint="default"/>
                <w:color w:val="auto"/>
                <w:sz w:val="21"/>
                <w:highlight w:val="none"/>
                <w:lang w:eastAsia="zh-CN"/>
              </w:rPr>
              <w:t>3</w:t>
            </w:r>
            <w:r>
              <w:rPr>
                <w:rFonts w:hint="default"/>
                <w:color w:val="auto"/>
                <w:sz w:val="21"/>
                <w:highlight w:val="none"/>
                <w:lang w:val="en-US" w:eastAsia="zh-CN"/>
              </w:rPr>
              <w:t>.</w:t>
            </w:r>
            <w:r>
              <w:rPr>
                <w:rFonts w:hint="default"/>
                <w:color w:val="auto"/>
                <w:sz w:val="21"/>
                <w:highlight w:val="none"/>
              </w:rPr>
              <w:t>禁止典当行违规融资参与上市股票炒作，或为客户提供股票交易资金。禁止以证券交易账户资产为质押的股票典当业务。</w:t>
            </w:r>
          </w:p>
          <w:p w14:paraId="059982EF">
            <w:pPr>
              <w:snapToGrid w:val="0"/>
              <w:ind w:firstLine="420" w:firstLineChars="200"/>
              <w:outlineLvl w:val="9"/>
              <w:rPr>
                <w:rFonts w:hint="default"/>
                <w:color w:val="auto"/>
                <w:sz w:val="21"/>
                <w:highlight w:val="none"/>
              </w:rPr>
            </w:pPr>
            <w:r>
              <w:rPr>
                <w:rFonts w:hint="default"/>
                <w:color w:val="auto"/>
                <w:sz w:val="21"/>
                <w:highlight w:val="none"/>
                <w:lang w:eastAsia="zh-CN"/>
              </w:rPr>
              <w:t>4</w:t>
            </w:r>
            <w:r>
              <w:rPr>
                <w:rFonts w:hint="default"/>
                <w:color w:val="auto"/>
                <w:sz w:val="21"/>
                <w:highlight w:val="none"/>
                <w:lang w:val="en-US" w:eastAsia="zh-CN"/>
              </w:rPr>
              <w:t>.</w:t>
            </w:r>
            <w:r>
              <w:rPr>
                <w:rFonts w:hint="default"/>
                <w:color w:val="auto"/>
                <w:sz w:val="21"/>
                <w:highlight w:val="none"/>
              </w:rPr>
              <w:t>典当行收当国家统收、专营、专卖物品，须经有关部门批准。</w:t>
            </w:r>
          </w:p>
          <w:p w14:paraId="2F0C4CE7">
            <w:pPr>
              <w:snapToGrid w:val="0"/>
              <w:ind w:firstLine="420" w:firstLineChars="200"/>
              <w:outlineLvl w:val="9"/>
              <w:rPr>
                <w:rFonts w:hint="default"/>
                <w:color w:val="auto"/>
                <w:sz w:val="21"/>
                <w:highlight w:val="none"/>
                <w:lang w:val="en-US" w:eastAsia="zh-CN"/>
              </w:rPr>
            </w:pPr>
            <w:r>
              <w:rPr>
                <w:rFonts w:hint="default"/>
                <w:color w:val="auto"/>
                <w:sz w:val="21"/>
                <w:highlight w:val="none"/>
                <w:lang w:val="en-US" w:eastAsia="zh-CN"/>
              </w:rPr>
              <w:t>5.</w:t>
            </w:r>
            <w:r>
              <w:rPr>
                <w:rFonts w:hint="default" w:ascii="Times New Roman" w:hAnsi="Times New Roman" w:cs="Times New Roman"/>
                <w:color w:val="auto"/>
                <w:sz w:val="21"/>
                <w:highlight w:val="none"/>
              </w:rPr>
              <w:t>典当行股东不得以典当行名义开展典当业务，不得利用典当行违法违规从事金融活动。典当行不得委托其他单位和个人代办典当业务。严禁典当行以加盟、合作设立分公司等形式引入无经营资格的企业和个人开展典当业务。</w:t>
            </w:r>
          </w:p>
          <w:p w14:paraId="6E5B8DED">
            <w:pPr>
              <w:pStyle w:val="2"/>
              <w:adjustRightInd/>
              <w:snapToGrid w:val="0"/>
              <w:ind w:firstLine="420" w:firstLineChars="200"/>
              <w:rPr>
                <w:rFonts w:hint="default"/>
                <w:color w:val="auto"/>
                <w:highlight w:val="none"/>
              </w:rPr>
            </w:pPr>
            <w:r>
              <w:rPr>
                <w:rFonts w:hint="default" w:ascii="Times New Roman" w:hAnsi="Times New Roman"/>
                <w:color w:val="auto"/>
                <w:kern w:val="2"/>
                <w:sz w:val="21"/>
                <w:szCs w:val="24"/>
                <w:highlight w:val="none"/>
                <w:lang w:val="en-US" w:eastAsia="zh-CN" w:bidi="ar-SA"/>
              </w:rPr>
              <w:t>符合上述规定的得</w:t>
            </w:r>
            <w:r>
              <w:rPr>
                <w:rFonts w:hint="eastAsia" w:ascii="Times New Roman" w:hAnsi="Times New Roman"/>
                <w:color w:val="auto"/>
                <w:kern w:val="2"/>
                <w:sz w:val="21"/>
                <w:szCs w:val="24"/>
                <w:highlight w:val="none"/>
                <w:lang w:val="en-US" w:eastAsia="zh-CN" w:bidi="ar-SA"/>
              </w:rPr>
              <w:t>10</w:t>
            </w:r>
            <w:r>
              <w:rPr>
                <w:rFonts w:hint="default" w:ascii="Times New Roman" w:hAnsi="Times New Roman"/>
                <w:color w:val="auto"/>
                <w:kern w:val="2"/>
                <w:sz w:val="21"/>
                <w:szCs w:val="24"/>
                <w:highlight w:val="none"/>
                <w:lang w:val="en-US" w:eastAsia="zh-CN" w:bidi="ar-SA"/>
              </w:rPr>
              <w:t>分，不符合的不得分</w:t>
            </w:r>
            <w:r>
              <w:rPr>
                <w:rFonts w:hint="eastAsia" w:ascii="Times New Roman" w:hAnsi="Times New Roman"/>
                <w:color w:val="auto"/>
                <w:kern w:val="2"/>
                <w:sz w:val="21"/>
                <w:szCs w:val="24"/>
                <w:highlight w:val="none"/>
                <w:lang w:val="en-US" w:eastAsia="zh-CN" w:bidi="ar-SA"/>
              </w:rPr>
              <w:t>且最高只可评为B级，违反多项的</w:t>
            </w:r>
            <w:r>
              <w:rPr>
                <w:rFonts w:hint="eastAsia" w:ascii="Times New Roman" w:hAnsi="Times New Roman" w:cs="Times New Roman"/>
                <w:bCs/>
                <w:color w:val="auto"/>
                <w:sz w:val="21"/>
                <w:highlight w:val="none"/>
                <w:lang w:val="en-US" w:eastAsia="zh-CN"/>
              </w:rPr>
              <w:t>倒扣10-20</w:t>
            </w:r>
            <w:r>
              <w:rPr>
                <w:rFonts w:hint="default" w:ascii="Times New Roman" w:hAnsi="Times New Roman" w:cs="Times New Roman"/>
                <w:bCs/>
                <w:color w:val="auto"/>
                <w:sz w:val="21"/>
                <w:highlight w:val="none"/>
              </w:rPr>
              <w:t>分。</w:t>
            </w:r>
          </w:p>
        </w:tc>
        <w:tc>
          <w:tcPr>
            <w:tcW w:w="705" w:type="dxa"/>
            <w:noWrap w:val="0"/>
            <w:vAlign w:val="top"/>
          </w:tcPr>
          <w:p w14:paraId="2F979AEA">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 w:val="24"/>
                <w:highlight w:val="none"/>
              </w:rPr>
            </w:pPr>
          </w:p>
        </w:tc>
        <w:tc>
          <w:tcPr>
            <w:tcW w:w="680" w:type="dxa"/>
            <w:noWrap w:val="0"/>
            <w:vAlign w:val="top"/>
          </w:tcPr>
          <w:p w14:paraId="2D774C94">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362F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atLeast"/>
        </w:trPr>
        <w:tc>
          <w:tcPr>
            <w:tcW w:w="1133" w:type="dxa"/>
            <w:vMerge w:val="continue"/>
            <w:noWrap w:val="0"/>
            <w:vAlign w:val="top"/>
          </w:tcPr>
          <w:p w14:paraId="7A2BF50E">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p>
        </w:tc>
        <w:tc>
          <w:tcPr>
            <w:tcW w:w="1536" w:type="dxa"/>
            <w:noWrap w:val="0"/>
            <w:vAlign w:val="center"/>
          </w:tcPr>
          <w:p w14:paraId="55E0B8FE">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w:t>
            </w:r>
            <w:r>
              <w:rPr>
                <w:rFonts w:hint="default" w:ascii="Times New Roman" w:hAnsi="Times New Roman" w:eastAsia="仿宋" w:cs="Times New Roman"/>
                <w:b/>
                <w:bCs/>
                <w:color w:val="auto"/>
                <w:sz w:val="24"/>
                <w:szCs w:val="24"/>
                <w:highlight w:val="none"/>
                <w:lang w:val="en-US" w:eastAsia="zh-CN"/>
              </w:rPr>
              <w:t>1</w:t>
            </w:r>
            <w:r>
              <w:rPr>
                <w:rFonts w:hint="eastAsia" w:eastAsia="仿宋" w:cs="Times New Roman"/>
                <w:b/>
                <w:bCs/>
                <w:color w:val="auto"/>
                <w:sz w:val="24"/>
                <w:szCs w:val="24"/>
                <w:highlight w:val="none"/>
                <w:lang w:val="en-US" w:eastAsia="zh-CN"/>
              </w:rPr>
              <w:t>2</w:t>
            </w:r>
            <w:r>
              <w:rPr>
                <w:rFonts w:hint="default" w:ascii="Times New Roman" w:hAnsi="Times New Roman" w:eastAsia="仿宋" w:cs="Times New Roman"/>
                <w:b/>
                <w:bCs/>
                <w:color w:val="auto"/>
                <w:sz w:val="24"/>
                <w:szCs w:val="24"/>
                <w:highlight w:val="none"/>
              </w:rPr>
              <w:t>）</w:t>
            </w:r>
          </w:p>
          <w:p w14:paraId="7444CB0C">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sz w:val="24"/>
                <w:szCs w:val="24"/>
                <w:highlight w:val="none"/>
              </w:rPr>
              <w:t>当</w:t>
            </w:r>
            <w:r>
              <w:rPr>
                <w:rFonts w:hint="default" w:ascii="Times New Roman" w:hAnsi="Times New Roman" w:eastAsia="仿宋" w:cs="Times New Roman"/>
                <w:b/>
                <w:bCs/>
                <w:color w:val="auto"/>
                <w:sz w:val="24"/>
                <w:szCs w:val="24"/>
                <w:highlight w:val="none"/>
                <w:lang w:eastAsia="zh-CN"/>
              </w:rPr>
              <w:t>物管理</w:t>
            </w:r>
            <w:r>
              <w:rPr>
                <w:rFonts w:hint="default" w:ascii="Times New Roman" w:hAnsi="Times New Roman" w:eastAsia="仿宋" w:cs="Times New Roman"/>
                <w:b/>
                <w:bCs/>
                <w:color w:val="auto"/>
                <w:sz w:val="24"/>
                <w:szCs w:val="24"/>
                <w:highlight w:val="none"/>
                <w:lang w:val="en-US" w:eastAsia="zh-CN"/>
              </w:rPr>
              <w:t>与处置</w:t>
            </w:r>
          </w:p>
        </w:tc>
        <w:tc>
          <w:tcPr>
            <w:tcW w:w="504" w:type="dxa"/>
            <w:noWrap w:val="0"/>
            <w:vAlign w:val="center"/>
          </w:tcPr>
          <w:p w14:paraId="60147C41">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sz w:val="24"/>
                <w:szCs w:val="24"/>
                <w:highlight w:val="none"/>
                <w:lang w:val="en-US" w:eastAsia="zh-CN"/>
              </w:rPr>
              <w:t>15</w:t>
            </w:r>
          </w:p>
        </w:tc>
        <w:tc>
          <w:tcPr>
            <w:tcW w:w="8992" w:type="dxa"/>
            <w:noWrap w:val="0"/>
            <w:vAlign w:val="center"/>
          </w:tcPr>
          <w:p w14:paraId="548BA5A5">
            <w:pPr>
              <w:keepNext w:val="0"/>
              <w:keepLines w:val="0"/>
              <w:pageBreakBefore w:val="0"/>
              <w:numPr>
                <w:ilvl w:val="0"/>
                <w:numId w:val="0"/>
              </w:numPr>
              <w:kinsoku/>
              <w:overflowPunct/>
              <w:topLinePunct w:val="0"/>
              <w:bidi w:val="0"/>
              <w:snapToGrid w:val="0"/>
              <w:spacing w:beforeLines="0" w:afterLines="0"/>
              <w:ind w:left="0" w:leftChars="0" w:right="0" w:rightChars="0" w:firstLine="420" w:firstLineChars="200"/>
              <w:textAlignment w:val="auto"/>
              <w:outlineLvl w:val="9"/>
              <w:rPr>
                <w:rFonts w:hint="default" w:ascii="Times New Roman" w:hAnsi="Times New Roman" w:cs="Times New Roman"/>
                <w:bCs/>
                <w:color w:val="auto"/>
                <w:sz w:val="21"/>
                <w:highlight w:val="none"/>
                <w:lang w:val="en-US" w:eastAsia="zh-CN"/>
              </w:rPr>
            </w:pPr>
            <w:r>
              <w:rPr>
                <w:rFonts w:hint="default" w:ascii="Times New Roman" w:hAnsi="Times New Roman" w:cs="Times New Roman"/>
                <w:bCs/>
                <w:color w:val="auto"/>
                <w:sz w:val="21"/>
                <w:highlight w:val="none"/>
                <w:lang w:val="en-US" w:eastAsia="zh-CN"/>
              </w:rPr>
              <w:t>1.按规定做好当物管理，认真查验当户身份和当物，如实记录当物和当户的相关信息，杜绝收当赃物或来源不明的物品得5分。典当行收当下列财物的发现一笔，此项不得分且倒扣10分：</w:t>
            </w:r>
            <w:r>
              <w:rPr>
                <w:rFonts w:hint="default" w:ascii="Times New Roman" w:hAnsi="Times New Roman" w:cs="Times New Roman"/>
                <w:bCs/>
                <w:color w:val="auto"/>
                <w:sz w:val="21"/>
                <w:highlight w:val="none"/>
              </w:rPr>
              <w:t>依法被查封、扣押或者已经被采取其他保全措施的财产；赃物和来源不明的物品；易燃、易爆、剧毒、放射性物品及其容器；管制刀具，枪支、弹药，军、警用标志、制式服装和器械；国家机关公文、印章及其管理的财物；国家机关核发的除物权证书以外的证照及有效身份证件；当户没有所有权或者未能依法取得处分权的财产；法律</w:t>
            </w:r>
            <w:r>
              <w:rPr>
                <w:rFonts w:hint="eastAsia" w:cs="Times New Roman"/>
                <w:bCs/>
                <w:color w:val="auto"/>
                <w:sz w:val="21"/>
                <w:highlight w:val="none"/>
                <w:lang w:eastAsia="zh-CN"/>
              </w:rPr>
              <w:t>、</w:t>
            </w:r>
            <w:r>
              <w:rPr>
                <w:rFonts w:hint="default" w:ascii="Times New Roman" w:hAnsi="Times New Roman" w:cs="Times New Roman"/>
                <w:bCs/>
                <w:color w:val="auto"/>
                <w:sz w:val="21"/>
                <w:highlight w:val="none"/>
              </w:rPr>
              <w:t>法规及国家有关规定禁止流通的自然资源或者其他财物。</w:t>
            </w:r>
          </w:p>
          <w:p w14:paraId="03A1BE14">
            <w:pPr>
              <w:keepNext w:val="0"/>
              <w:keepLines w:val="0"/>
              <w:pageBreakBefore w:val="0"/>
              <w:numPr>
                <w:ilvl w:val="0"/>
                <w:numId w:val="0"/>
              </w:numPr>
              <w:kinsoku/>
              <w:overflowPunct/>
              <w:topLinePunct w:val="0"/>
              <w:bidi w:val="0"/>
              <w:snapToGrid w:val="0"/>
              <w:spacing w:beforeLines="0" w:afterLines="0"/>
              <w:ind w:left="0" w:leftChars="0" w:right="0" w:rightChars="0" w:firstLine="420" w:firstLineChars="200"/>
              <w:textAlignment w:val="auto"/>
              <w:outlineLvl w:val="9"/>
              <w:rPr>
                <w:rFonts w:hint="default" w:ascii="Times New Roman" w:hAnsi="Times New Roman" w:cs="Times New Roman"/>
                <w:bCs/>
                <w:color w:val="auto"/>
                <w:sz w:val="21"/>
                <w:highlight w:val="none"/>
                <w:lang w:val="en-US" w:eastAsia="zh-CN"/>
              </w:rPr>
            </w:pPr>
            <w:r>
              <w:rPr>
                <w:rFonts w:hint="default" w:ascii="Times New Roman" w:hAnsi="Times New Roman" w:cs="Times New Roman"/>
                <w:bCs/>
                <w:color w:val="auto"/>
                <w:sz w:val="21"/>
                <w:highlight w:val="none"/>
                <w:lang w:val="en-US" w:eastAsia="zh-CN"/>
              </w:rPr>
              <w:t>2.典当行在当期内不得出租、质押、抵押和使用当物，符合规定得5分，发现一笔违反规定的此项不得分。</w:t>
            </w:r>
          </w:p>
          <w:p w14:paraId="2E62589A">
            <w:pPr>
              <w:keepNext w:val="0"/>
              <w:keepLines w:val="0"/>
              <w:pageBreakBefore w:val="0"/>
              <w:kinsoku/>
              <w:overflowPunct/>
              <w:topLinePunct w:val="0"/>
              <w:bidi w:val="0"/>
              <w:snapToGrid w:val="0"/>
              <w:spacing w:beforeLines="0" w:afterLines="0"/>
              <w:ind w:left="0" w:leftChars="0" w:right="0" w:rightChars="0" w:firstLine="420" w:firstLineChars="200"/>
              <w:textAlignment w:val="auto"/>
              <w:outlineLvl w:val="9"/>
              <w:rPr>
                <w:rFonts w:hint="default" w:ascii="Times New Roman" w:hAnsi="Times New Roman" w:eastAsia="仿宋" w:cs="Times New Roman"/>
                <w:b/>
                <w:bCs/>
                <w:color w:val="auto"/>
                <w:kern w:val="2"/>
                <w:sz w:val="28"/>
                <w:szCs w:val="28"/>
                <w:highlight w:val="none"/>
                <w:lang w:val="en-US" w:eastAsia="zh-CN" w:bidi="ar-SA"/>
              </w:rPr>
            </w:pPr>
            <w:r>
              <w:rPr>
                <w:rFonts w:hint="default" w:ascii="Times New Roman" w:hAnsi="Times New Roman" w:cs="Times New Roman"/>
                <w:bCs/>
                <w:color w:val="auto"/>
                <w:sz w:val="21"/>
                <w:highlight w:val="none"/>
                <w:lang w:val="en-US" w:eastAsia="zh-CN"/>
              </w:rPr>
              <w:t>3.</w:t>
            </w:r>
            <w:r>
              <w:rPr>
                <w:rFonts w:hint="default" w:ascii="Times New Roman" w:hAnsi="Times New Roman" w:cs="Times New Roman"/>
                <w:bCs/>
                <w:color w:val="auto"/>
                <w:sz w:val="21"/>
                <w:highlight w:val="none"/>
              </w:rPr>
              <w:t>典当行采用协议折价或者协议拍卖、变卖的方式及时处理绝当物，并就所得价款优先受偿。拍卖、变卖收入在扣除拍卖、变卖费用及当金本息后，剩余部分应当退还当户，不足部分应当继续向当户追偿。典当行处分绝当物品中的上市公司股份应当取得当户的同意和配合，不得自行变卖、折价处理或者委托拍卖行公开拍卖绝当物品中的上市公司股份</w:t>
            </w:r>
            <w:r>
              <w:rPr>
                <w:rFonts w:hint="eastAsia" w:cs="Times New Roman"/>
                <w:bCs/>
                <w:color w:val="auto"/>
                <w:sz w:val="21"/>
                <w:highlight w:val="none"/>
                <w:lang w:eastAsia="zh-CN"/>
              </w:rPr>
              <w:t>。</w:t>
            </w:r>
            <w:r>
              <w:rPr>
                <w:rFonts w:hint="default" w:ascii="Times New Roman" w:hAnsi="Times New Roman" w:cs="Times New Roman"/>
                <w:bCs/>
                <w:color w:val="auto"/>
                <w:sz w:val="21"/>
                <w:highlight w:val="none"/>
              </w:rPr>
              <w:t>对绝当品处置符合规定的得</w:t>
            </w:r>
            <w:r>
              <w:rPr>
                <w:rFonts w:hint="default" w:ascii="Times New Roman" w:hAnsi="Times New Roman" w:cs="Times New Roman"/>
                <w:bCs/>
                <w:color w:val="auto"/>
                <w:sz w:val="21"/>
                <w:highlight w:val="none"/>
                <w:lang w:val="en-US" w:eastAsia="zh-CN"/>
              </w:rPr>
              <w:t>5</w:t>
            </w:r>
            <w:r>
              <w:rPr>
                <w:rFonts w:hint="default" w:ascii="Times New Roman" w:hAnsi="Times New Roman" w:cs="Times New Roman"/>
                <w:bCs/>
                <w:color w:val="auto"/>
                <w:sz w:val="21"/>
                <w:highlight w:val="none"/>
              </w:rPr>
              <w:t>分</w:t>
            </w:r>
            <w:r>
              <w:rPr>
                <w:rFonts w:hint="default" w:ascii="Times New Roman" w:hAnsi="Times New Roman" w:cs="Times New Roman"/>
                <w:bCs/>
                <w:color w:val="auto"/>
                <w:sz w:val="21"/>
                <w:highlight w:val="none"/>
                <w:lang w:eastAsia="zh-CN"/>
              </w:rPr>
              <w:t>，</w:t>
            </w:r>
            <w:r>
              <w:rPr>
                <w:rFonts w:hint="default" w:ascii="Times New Roman" w:hAnsi="Times New Roman" w:cs="Times New Roman"/>
                <w:bCs/>
                <w:color w:val="auto"/>
                <w:sz w:val="21"/>
                <w:highlight w:val="none"/>
              </w:rPr>
              <w:t>违反</w:t>
            </w:r>
            <w:r>
              <w:rPr>
                <w:rFonts w:hint="eastAsia" w:cs="Times New Roman"/>
                <w:bCs/>
                <w:color w:val="auto"/>
                <w:sz w:val="21"/>
                <w:highlight w:val="none"/>
                <w:lang w:eastAsia="zh-CN"/>
              </w:rPr>
              <w:t>的</w:t>
            </w:r>
            <w:r>
              <w:rPr>
                <w:rFonts w:hint="default" w:ascii="Times New Roman" w:hAnsi="Times New Roman" w:cs="Times New Roman"/>
                <w:bCs/>
                <w:color w:val="auto"/>
                <w:sz w:val="21"/>
                <w:highlight w:val="none"/>
              </w:rPr>
              <w:t>酌情扣1</w:t>
            </w:r>
            <w:r>
              <w:rPr>
                <w:rFonts w:hint="default" w:ascii="Times New Roman" w:hAnsi="Times New Roman" w:cs="Times New Roman"/>
                <w:bCs/>
                <w:color w:val="auto"/>
                <w:sz w:val="21"/>
                <w:highlight w:val="none"/>
                <w:lang w:eastAsia="zh-CN"/>
              </w:rPr>
              <w:t>~</w:t>
            </w:r>
            <w:r>
              <w:rPr>
                <w:rFonts w:hint="default" w:ascii="Times New Roman" w:hAnsi="Times New Roman" w:cs="Times New Roman"/>
                <w:bCs/>
                <w:color w:val="auto"/>
                <w:sz w:val="21"/>
                <w:highlight w:val="none"/>
                <w:lang w:val="en-US" w:eastAsia="zh-CN"/>
              </w:rPr>
              <w:t>5</w:t>
            </w:r>
            <w:r>
              <w:rPr>
                <w:rFonts w:hint="default" w:ascii="Times New Roman" w:hAnsi="Times New Roman" w:cs="Times New Roman"/>
                <w:bCs/>
                <w:color w:val="auto"/>
                <w:sz w:val="21"/>
                <w:highlight w:val="none"/>
              </w:rPr>
              <w:t>分。</w:t>
            </w:r>
          </w:p>
        </w:tc>
        <w:tc>
          <w:tcPr>
            <w:tcW w:w="705" w:type="dxa"/>
            <w:noWrap w:val="0"/>
            <w:vAlign w:val="top"/>
          </w:tcPr>
          <w:p w14:paraId="14A94A39">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 w:val="24"/>
                <w:highlight w:val="none"/>
              </w:rPr>
            </w:pPr>
          </w:p>
        </w:tc>
        <w:tc>
          <w:tcPr>
            <w:tcW w:w="680" w:type="dxa"/>
            <w:noWrap w:val="0"/>
            <w:vAlign w:val="top"/>
          </w:tcPr>
          <w:p w14:paraId="0FE4024E">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53E5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33" w:type="dxa"/>
            <w:vMerge w:val="restart"/>
            <w:noWrap w:val="0"/>
            <w:vAlign w:val="center"/>
          </w:tcPr>
          <w:p w14:paraId="5CD69213">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二、</w:t>
            </w:r>
          </w:p>
          <w:p w14:paraId="58267A34">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合规</w:t>
            </w:r>
          </w:p>
          <w:p w14:paraId="018FF943">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经营</w:t>
            </w:r>
          </w:p>
          <w:p w14:paraId="72C9CBEF">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szCs w:val="24"/>
                <w:highlight w:val="none"/>
              </w:rPr>
              <w:t>(1</w:t>
            </w:r>
            <w:r>
              <w:rPr>
                <w:rFonts w:hint="eastAsia" w:eastAsia="黑体" w:cs="Times New Roman"/>
                <w:color w:val="auto"/>
                <w:sz w:val="24"/>
                <w:szCs w:val="24"/>
                <w:highlight w:val="none"/>
                <w:lang w:val="en-US" w:eastAsia="zh-CN"/>
              </w:rPr>
              <w:t>3</w:t>
            </w:r>
            <w:r>
              <w:rPr>
                <w:rFonts w:hint="default" w:ascii="Times New Roman" w:hAnsi="Times New Roman" w:eastAsia="黑体" w:cs="Times New Roman"/>
                <w:color w:val="auto"/>
                <w:sz w:val="24"/>
                <w:szCs w:val="24"/>
                <w:highlight w:val="none"/>
                <w:lang w:val="en-US" w:eastAsia="zh-CN"/>
              </w:rPr>
              <w:t>0</w:t>
            </w:r>
            <w:r>
              <w:rPr>
                <w:rFonts w:hint="default" w:ascii="Times New Roman" w:hAnsi="Times New Roman" w:eastAsia="黑体" w:cs="Times New Roman"/>
                <w:color w:val="auto"/>
                <w:sz w:val="24"/>
                <w:szCs w:val="24"/>
                <w:highlight w:val="none"/>
              </w:rPr>
              <w:t>分)</w:t>
            </w:r>
          </w:p>
        </w:tc>
        <w:tc>
          <w:tcPr>
            <w:tcW w:w="1536" w:type="dxa"/>
            <w:noWrap w:val="0"/>
            <w:vAlign w:val="center"/>
          </w:tcPr>
          <w:p w14:paraId="158DC911">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（1</w:t>
            </w:r>
            <w:r>
              <w:rPr>
                <w:rFonts w:hint="eastAsia" w:eastAsia="仿宋" w:cs="Times New Roman"/>
                <w:b/>
                <w:bCs/>
                <w:color w:val="auto"/>
                <w:sz w:val="24"/>
                <w:szCs w:val="24"/>
                <w:highlight w:val="none"/>
                <w:lang w:val="en-US" w:eastAsia="zh-CN"/>
              </w:rPr>
              <w:t>3</w:t>
            </w:r>
            <w:r>
              <w:rPr>
                <w:rFonts w:hint="default" w:ascii="Times New Roman" w:hAnsi="Times New Roman" w:eastAsia="仿宋" w:cs="Times New Roman"/>
                <w:b/>
                <w:bCs/>
                <w:color w:val="auto"/>
                <w:sz w:val="24"/>
                <w:szCs w:val="24"/>
                <w:highlight w:val="none"/>
              </w:rPr>
              <w:t>）</w:t>
            </w:r>
          </w:p>
          <w:p w14:paraId="79ABC4BD">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sz w:val="24"/>
                <w:szCs w:val="24"/>
                <w:highlight w:val="none"/>
                <w:lang w:eastAsia="zh-CN"/>
              </w:rPr>
              <w:t>典当期限</w:t>
            </w:r>
          </w:p>
        </w:tc>
        <w:tc>
          <w:tcPr>
            <w:tcW w:w="504" w:type="dxa"/>
            <w:noWrap w:val="0"/>
            <w:vAlign w:val="center"/>
          </w:tcPr>
          <w:p w14:paraId="56D9A052">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kern w:val="2"/>
                <w:sz w:val="24"/>
                <w:szCs w:val="24"/>
                <w:highlight w:val="none"/>
                <w:u w:val="single"/>
                <w:lang w:val="en-US" w:eastAsia="zh-CN" w:bidi="ar-SA"/>
              </w:rPr>
            </w:pPr>
            <w:r>
              <w:rPr>
                <w:rFonts w:hint="default" w:ascii="Times New Roman" w:hAnsi="Times New Roman" w:eastAsia="宋体" w:cs="Times New Roman"/>
                <w:b/>
                <w:bCs/>
                <w:color w:val="auto"/>
                <w:sz w:val="24"/>
                <w:szCs w:val="24"/>
                <w:highlight w:val="none"/>
                <w:lang w:val="en-US" w:eastAsia="zh-CN"/>
              </w:rPr>
              <w:t>5</w:t>
            </w:r>
          </w:p>
        </w:tc>
        <w:tc>
          <w:tcPr>
            <w:tcW w:w="8992" w:type="dxa"/>
            <w:noWrap w:val="0"/>
            <w:vAlign w:val="center"/>
          </w:tcPr>
          <w:p w14:paraId="6E3D5594">
            <w:pPr>
              <w:keepNext w:val="0"/>
              <w:keepLines w:val="0"/>
              <w:pageBreakBefore w:val="0"/>
              <w:kinsoku/>
              <w:overflowPunct/>
              <w:topLinePunct w:val="0"/>
              <w:bidi w:val="0"/>
              <w:snapToGrid w:val="0"/>
              <w:ind w:left="0" w:leftChars="0" w:right="0" w:rightChars="0" w:firstLine="420" w:firstLineChars="200"/>
              <w:textAlignment w:val="auto"/>
              <w:outlineLvl w:val="9"/>
              <w:rPr>
                <w:rFonts w:hint="default" w:ascii="Times New Roman" w:hAnsi="Times New Roman" w:eastAsia="仿宋_GB2312" w:cs="Times New Roman"/>
                <w:color w:val="auto"/>
                <w:kern w:val="2"/>
                <w:sz w:val="21"/>
                <w:szCs w:val="24"/>
                <w:highlight w:val="none"/>
                <w:lang w:val="en-US" w:eastAsia="zh-CN" w:bidi="ar-SA"/>
              </w:rPr>
            </w:pPr>
            <w:r>
              <w:rPr>
                <w:rFonts w:hint="default" w:ascii="Times New Roman" w:hAnsi="Times New Roman" w:cs="Times New Roman"/>
                <w:color w:val="auto"/>
                <w:sz w:val="21"/>
                <w:highlight w:val="none"/>
              </w:rPr>
              <w:t>典当期限最</w:t>
            </w:r>
            <w:r>
              <w:rPr>
                <w:rFonts w:hint="default" w:ascii="Times New Roman" w:hAnsi="Times New Roman" w:cs="Times New Roman"/>
                <w:color w:val="auto"/>
                <w:sz w:val="21"/>
                <w:highlight w:val="none"/>
                <w:lang w:eastAsia="zh-CN"/>
              </w:rPr>
              <w:t>长</w:t>
            </w:r>
            <w:r>
              <w:rPr>
                <w:rFonts w:hint="default" w:ascii="Times New Roman" w:hAnsi="Times New Roman" w:cs="Times New Roman"/>
                <w:color w:val="auto"/>
                <w:sz w:val="21"/>
                <w:highlight w:val="none"/>
              </w:rPr>
              <w:t>不能超过6个月</w:t>
            </w:r>
            <w:r>
              <w:rPr>
                <w:rFonts w:hint="default" w:ascii="Times New Roman" w:hAnsi="Times New Roman" w:cs="Times New Roman"/>
                <w:color w:val="auto"/>
                <w:sz w:val="21"/>
                <w:highlight w:val="none"/>
                <w:lang w:eastAsia="zh-CN"/>
              </w:rPr>
              <w:t>，</w:t>
            </w:r>
            <w:r>
              <w:rPr>
                <w:rFonts w:hint="default" w:ascii="Times New Roman" w:hAnsi="Times New Roman" w:cs="Times New Roman"/>
                <w:color w:val="auto"/>
                <w:sz w:val="21"/>
                <w:highlight w:val="none"/>
              </w:rPr>
              <w:t>续当一次期限不能超过6个月</w:t>
            </w:r>
            <w:r>
              <w:rPr>
                <w:rFonts w:hint="default" w:ascii="Times New Roman" w:hAnsi="Times New Roman" w:cs="Times New Roman"/>
                <w:color w:val="auto"/>
                <w:sz w:val="21"/>
                <w:highlight w:val="none"/>
                <w:lang w:eastAsia="zh-CN"/>
              </w:rPr>
              <w:t>，</w:t>
            </w:r>
            <w:r>
              <w:rPr>
                <w:rFonts w:hint="default" w:ascii="Times New Roman" w:hAnsi="Times New Roman" w:cs="Times New Roman"/>
                <w:color w:val="auto"/>
                <w:sz w:val="21"/>
                <w:highlight w:val="none"/>
              </w:rPr>
              <w:t>续当期自典当期限或者前一次续当期限届满日起算。续当时，当户应当结清前期利息和当期费用。</w:t>
            </w:r>
            <w:r>
              <w:rPr>
                <w:rFonts w:hint="default" w:ascii="Times New Roman" w:hAnsi="Times New Roman" w:cs="Times New Roman"/>
                <w:color w:val="auto"/>
                <w:sz w:val="21"/>
                <w:highlight w:val="none"/>
                <w:lang w:eastAsia="zh-CN"/>
              </w:rPr>
              <w:t>符合此项规定得</w:t>
            </w:r>
            <w:r>
              <w:rPr>
                <w:rFonts w:hint="default" w:ascii="Times New Roman" w:hAnsi="Times New Roman" w:cs="Times New Roman"/>
                <w:color w:val="auto"/>
                <w:sz w:val="21"/>
                <w:highlight w:val="none"/>
                <w:lang w:val="en-US" w:eastAsia="zh-CN"/>
              </w:rPr>
              <w:t>5</w:t>
            </w:r>
            <w:r>
              <w:rPr>
                <w:rFonts w:hint="default" w:ascii="Times New Roman" w:hAnsi="Times New Roman" w:cs="Times New Roman"/>
                <w:color w:val="auto"/>
                <w:sz w:val="21"/>
                <w:highlight w:val="none"/>
              </w:rPr>
              <w:t>分</w:t>
            </w:r>
            <w:r>
              <w:rPr>
                <w:rFonts w:hint="default" w:ascii="Times New Roman" w:hAnsi="Times New Roman" w:cs="Times New Roman"/>
                <w:color w:val="auto"/>
                <w:sz w:val="21"/>
                <w:highlight w:val="none"/>
                <w:lang w:eastAsia="zh-CN"/>
              </w:rPr>
              <w:t>，否则</w:t>
            </w:r>
            <w:r>
              <w:rPr>
                <w:rFonts w:hint="default" w:ascii="Times New Roman" w:hAnsi="Times New Roman" w:cs="Times New Roman"/>
                <w:color w:val="auto"/>
                <w:sz w:val="21"/>
                <w:highlight w:val="none"/>
              </w:rPr>
              <w:t>每发现一</w:t>
            </w:r>
            <w:r>
              <w:rPr>
                <w:rFonts w:hint="default" w:ascii="Times New Roman" w:hAnsi="Times New Roman" w:cs="Times New Roman"/>
                <w:color w:val="auto"/>
                <w:sz w:val="21"/>
                <w:highlight w:val="none"/>
                <w:lang w:eastAsia="zh-CN"/>
              </w:rPr>
              <w:t>笔</w:t>
            </w:r>
            <w:r>
              <w:rPr>
                <w:rFonts w:hint="default" w:ascii="Times New Roman" w:hAnsi="Times New Roman" w:cs="Times New Roman"/>
                <w:color w:val="auto"/>
                <w:sz w:val="21"/>
                <w:highlight w:val="none"/>
              </w:rPr>
              <w:t>扣1分</w:t>
            </w:r>
            <w:r>
              <w:rPr>
                <w:rFonts w:hint="default" w:ascii="Times New Roman" w:hAnsi="Times New Roman" w:cs="Times New Roman"/>
                <w:color w:val="auto"/>
                <w:sz w:val="21"/>
                <w:highlight w:val="none"/>
                <w:lang w:eastAsia="zh-CN"/>
              </w:rPr>
              <w:t>，扣完为止。</w:t>
            </w:r>
          </w:p>
        </w:tc>
        <w:tc>
          <w:tcPr>
            <w:tcW w:w="705" w:type="dxa"/>
            <w:noWrap w:val="0"/>
            <w:vAlign w:val="top"/>
          </w:tcPr>
          <w:p w14:paraId="56AD8CB8">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 w:val="24"/>
                <w:highlight w:val="none"/>
              </w:rPr>
            </w:pPr>
          </w:p>
        </w:tc>
        <w:tc>
          <w:tcPr>
            <w:tcW w:w="680" w:type="dxa"/>
            <w:noWrap w:val="0"/>
            <w:vAlign w:val="top"/>
          </w:tcPr>
          <w:p w14:paraId="6904EDF5">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6244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133" w:type="dxa"/>
            <w:vMerge w:val="continue"/>
            <w:noWrap w:val="0"/>
            <w:vAlign w:val="top"/>
          </w:tcPr>
          <w:p w14:paraId="1940DF4A">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p>
        </w:tc>
        <w:tc>
          <w:tcPr>
            <w:tcW w:w="1536" w:type="dxa"/>
            <w:noWrap w:val="0"/>
            <w:vAlign w:val="center"/>
          </w:tcPr>
          <w:p w14:paraId="663DE1EF">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lang w:eastAsia="zh-CN"/>
              </w:rPr>
            </w:pPr>
            <w:r>
              <w:rPr>
                <w:rFonts w:hint="default" w:ascii="Times New Roman" w:hAnsi="Times New Roman" w:eastAsia="仿宋" w:cs="Times New Roman"/>
                <w:b/>
                <w:bCs/>
                <w:color w:val="auto"/>
                <w:sz w:val="24"/>
                <w:szCs w:val="24"/>
                <w:highlight w:val="none"/>
                <w:lang w:eastAsia="zh-CN"/>
              </w:rPr>
              <w:t>（</w:t>
            </w:r>
            <w:r>
              <w:rPr>
                <w:rFonts w:hint="default" w:ascii="Times New Roman" w:hAnsi="Times New Roman" w:eastAsia="仿宋" w:cs="Times New Roman"/>
                <w:b/>
                <w:bCs/>
                <w:color w:val="auto"/>
                <w:sz w:val="24"/>
                <w:szCs w:val="24"/>
                <w:highlight w:val="none"/>
                <w:lang w:val="en-US" w:eastAsia="zh-CN"/>
              </w:rPr>
              <w:t>1</w:t>
            </w:r>
            <w:r>
              <w:rPr>
                <w:rFonts w:hint="eastAsia" w:eastAsia="仿宋" w:cs="Times New Roman"/>
                <w:b/>
                <w:bCs/>
                <w:color w:val="auto"/>
                <w:sz w:val="24"/>
                <w:szCs w:val="24"/>
                <w:highlight w:val="none"/>
                <w:lang w:val="en-US" w:eastAsia="zh-CN"/>
              </w:rPr>
              <w:t>4</w:t>
            </w:r>
            <w:r>
              <w:rPr>
                <w:rFonts w:hint="default" w:ascii="Times New Roman" w:hAnsi="Times New Roman" w:eastAsia="仿宋" w:cs="Times New Roman"/>
                <w:b/>
                <w:bCs/>
                <w:color w:val="auto"/>
                <w:sz w:val="24"/>
                <w:szCs w:val="24"/>
                <w:highlight w:val="none"/>
                <w:lang w:eastAsia="zh-CN"/>
              </w:rPr>
              <w:t>）</w:t>
            </w:r>
          </w:p>
          <w:p w14:paraId="07F06631">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sz w:val="24"/>
                <w:szCs w:val="24"/>
                <w:highlight w:val="none"/>
                <w:lang w:eastAsia="zh-CN"/>
              </w:rPr>
              <w:t>合规登记</w:t>
            </w:r>
          </w:p>
        </w:tc>
        <w:tc>
          <w:tcPr>
            <w:tcW w:w="504" w:type="dxa"/>
            <w:noWrap w:val="0"/>
            <w:vAlign w:val="center"/>
          </w:tcPr>
          <w:p w14:paraId="1AE6B4E3">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sz w:val="24"/>
                <w:szCs w:val="24"/>
                <w:highlight w:val="none"/>
                <w:lang w:val="en-US" w:eastAsia="zh-CN"/>
              </w:rPr>
              <w:t>10</w:t>
            </w:r>
          </w:p>
        </w:tc>
        <w:tc>
          <w:tcPr>
            <w:tcW w:w="8992" w:type="dxa"/>
            <w:noWrap w:val="0"/>
            <w:vAlign w:val="center"/>
          </w:tcPr>
          <w:p w14:paraId="734FAA40">
            <w:pPr>
              <w:keepNext w:val="0"/>
              <w:keepLines w:val="0"/>
              <w:pageBreakBefore w:val="0"/>
              <w:kinsoku/>
              <w:overflowPunct/>
              <w:topLinePunct w:val="0"/>
              <w:bidi w:val="0"/>
              <w:snapToGrid w:val="0"/>
              <w:ind w:left="0" w:leftChars="0" w:right="0" w:rightChars="0" w:firstLine="420" w:firstLineChars="200"/>
              <w:textAlignment w:val="auto"/>
              <w:outlineLvl w:val="9"/>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典当行经营房地产抵押典当业务，应当和当户依法到有关部门先行办理抵押登记</w:t>
            </w:r>
            <w:r>
              <w:rPr>
                <w:rFonts w:hint="default" w:ascii="Times New Roman" w:hAnsi="Times New Roman" w:cs="Times New Roman"/>
                <w:color w:val="auto"/>
                <w:sz w:val="21"/>
                <w:highlight w:val="none"/>
                <w:lang w:eastAsia="zh-CN"/>
              </w:rPr>
              <w:t>，</w:t>
            </w:r>
            <w:r>
              <w:rPr>
                <w:rFonts w:hint="default" w:ascii="Times New Roman" w:hAnsi="Times New Roman" w:cs="Times New Roman"/>
                <w:color w:val="auto"/>
                <w:sz w:val="21"/>
                <w:highlight w:val="none"/>
              </w:rPr>
              <w:t>再办理抵押典当手续。典当行经营机动车质押典当业务，应当到车辆管理部门办理质押登记手续。典当行经营其他典当业务，有关法律、法规要求登记的，应当依法办理登记手续。</w:t>
            </w:r>
          </w:p>
          <w:p w14:paraId="77D8042B">
            <w:pPr>
              <w:keepNext w:val="0"/>
              <w:keepLines w:val="0"/>
              <w:pageBreakBefore w:val="0"/>
              <w:kinsoku/>
              <w:overflowPunct/>
              <w:topLinePunct w:val="0"/>
              <w:bidi w:val="0"/>
              <w:snapToGrid w:val="0"/>
              <w:ind w:left="0" w:leftChars="0" w:right="0" w:rightChars="0" w:firstLine="0" w:firstLineChars="0"/>
              <w:textAlignment w:val="auto"/>
              <w:outlineLvl w:val="9"/>
              <w:rPr>
                <w:rFonts w:hint="default" w:ascii="Times New Roman" w:hAnsi="Times New Roman" w:eastAsia="仿宋_GB2312" w:cs="Times New Roman"/>
                <w:color w:val="auto"/>
                <w:kern w:val="2"/>
                <w:sz w:val="21"/>
                <w:szCs w:val="24"/>
                <w:highlight w:val="none"/>
                <w:lang w:val="en-US" w:eastAsia="zh-CN" w:bidi="ar-SA"/>
              </w:rPr>
            </w:pPr>
            <w:r>
              <w:rPr>
                <w:rFonts w:hint="default" w:ascii="Times New Roman" w:hAnsi="Times New Roman" w:cs="Times New Roman"/>
                <w:color w:val="auto"/>
                <w:sz w:val="21"/>
                <w:highlight w:val="none"/>
                <w:lang w:val="en-US" w:eastAsia="zh-CN"/>
              </w:rPr>
              <w:t xml:space="preserve">     符合以上规定得10分，否则发现一笔扣</w:t>
            </w:r>
            <w:r>
              <w:rPr>
                <w:rFonts w:hint="eastAsia" w:cs="Times New Roman"/>
                <w:color w:val="auto"/>
                <w:sz w:val="21"/>
                <w:highlight w:val="none"/>
                <w:lang w:val="en-US" w:eastAsia="zh-CN"/>
              </w:rPr>
              <w:t>2</w:t>
            </w:r>
            <w:r>
              <w:rPr>
                <w:rFonts w:hint="default" w:ascii="Times New Roman" w:hAnsi="Times New Roman" w:cs="Times New Roman"/>
                <w:color w:val="auto"/>
                <w:sz w:val="21"/>
                <w:highlight w:val="none"/>
                <w:lang w:val="en-US" w:eastAsia="zh-CN"/>
              </w:rPr>
              <w:t>分，扣完为止。</w:t>
            </w:r>
          </w:p>
        </w:tc>
        <w:tc>
          <w:tcPr>
            <w:tcW w:w="705" w:type="dxa"/>
            <w:noWrap w:val="0"/>
            <w:vAlign w:val="top"/>
          </w:tcPr>
          <w:p w14:paraId="55C3EF97">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 w:val="24"/>
                <w:highlight w:val="none"/>
              </w:rPr>
            </w:pPr>
          </w:p>
        </w:tc>
        <w:tc>
          <w:tcPr>
            <w:tcW w:w="680" w:type="dxa"/>
            <w:noWrap w:val="0"/>
            <w:vAlign w:val="top"/>
          </w:tcPr>
          <w:p w14:paraId="214DEE52">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3281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1133" w:type="dxa"/>
            <w:vMerge w:val="continue"/>
            <w:noWrap w:val="0"/>
            <w:vAlign w:val="top"/>
          </w:tcPr>
          <w:p w14:paraId="1B8BF663">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p>
        </w:tc>
        <w:tc>
          <w:tcPr>
            <w:tcW w:w="1536" w:type="dxa"/>
            <w:noWrap w:val="0"/>
            <w:vAlign w:val="center"/>
          </w:tcPr>
          <w:p w14:paraId="57ABD7F0">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lang w:eastAsia="zh-CN"/>
              </w:rPr>
            </w:pPr>
            <w:r>
              <w:rPr>
                <w:rFonts w:hint="default" w:ascii="Times New Roman" w:hAnsi="Times New Roman" w:eastAsia="仿宋" w:cs="Times New Roman"/>
                <w:b/>
                <w:bCs/>
                <w:color w:val="auto"/>
                <w:sz w:val="24"/>
                <w:szCs w:val="24"/>
                <w:highlight w:val="none"/>
                <w:lang w:eastAsia="zh-CN"/>
              </w:rPr>
              <w:t>（</w:t>
            </w:r>
            <w:r>
              <w:rPr>
                <w:rFonts w:hint="default" w:ascii="Times New Roman" w:hAnsi="Times New Roman" w:eastAsia="仿宋" w:cs="Times New Roman"/>
                <w:b/>
                <w:bCs/>
                <w:color w:val="auto"/>
                <w:sz w:val="24"/>
                <w:szCs w:val="24"/>
                <w:highlight w:val="none"/>
                <w:lang w:val="en-US" w:eastAsia="zh-CN"/>
              </w:rPr>
              <w:t>1</w:t>
            </w:r>
            <w:r>
              <w:rPr>
                <w:rFonts w:hint="eastAsia" w:eastAsia="仿宋" w:cs="Times New Roman"/>
                <w:b/>
                <w:bCs/>
                <w:color w:val="auto"/>
                <w:sz w:val="24"/>
                <w:szCs w:val="24"/>
                <w:highlight w:val="none"/>
                <w:lang w:val="en-US" w:eastAsia="zh-CN"/>
              </w:rPr>
              <w:t>5</w:t>
            </w:r>
            <w:r>
              <w:rPr>
                <w:rFonts w:hint="default" w:ascii="Times New Roman" w:hAnsi="Times New Roman" w:eastAsia="仿宋" w:cs="Times New Roman"/>
                <w:b/>
                <w:bCs/>
                <w:color w:val="auto"/>
                <w:sz w:val="24"/>
                <w:szCs w:val="24"/>
                <w:highlight w:val="none"/>
                <w:lang w:eastAsia="zh-CN"/>
              </w:rPr>
              <w:t>）</w:t>
            </w:r>
          </w:p>
          <w:p w14:paraId="078AF0CA">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kern w:val="2"/>
                <w:sz w:val="24"/>
                <w:szCs w:val="24"/>
                <w:highlight w:val="none"/>
                <w:lang w:val="en-US" w:eastAsia="zh-CN" w:bidi="ar-SA"/>
              </w:rPr>
            </w:pPr>
            <w:r>
              <w:rPr>
                <w:rFonts w:hint="eastAsia" w:eastAsia="仿宋" w:cs="Times New Roman"/>
                <w:b/>
                <w:bCs/>
                <w:color w:val="auto"/>
                <w:sz w:val="24"/>
                <w:szCs w:val="24"/>
                <w:highlight w:val="none"/>
                <w:lang w:val="en-US" w:eastAsia="zh-CN"/>
              </w:rPr>
              <w:t>集中度</w:t>
            </w:r>
          </w:p>
        </w:tc>
        <w:tc>
          <w:tcPr>
            <w:tcW w:w="504" w:type="dxa"/>
            <w:noWrap w:val="0"/>
            <w:vAlign w:val="center"/>
          </w:tcPr>
          <w:p w14:paraId="69CD9680">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sz w:val="24"/>
                <w:szCs w:val="24"/>
                <w:highlight w:val="none"/>
                <w:lang w:val="en-US" w:eastAsia="zh-CN"/>
              </w:rPr>
              <w:t>15</w:t>
            </w:r>
          </w:p>
        </w:tc>
        <w:tc>
          <w:tcPr>
            <w:tcW w:w="8992" w:type="dxa"/>
            <w:noWrap w:val="0"/>
            <w:vAlign w:val="center"/>
          </w:tcPr>
          <w:p w14:paraId="56EA4FC1">
            <w:pPr>
              <w:keepNext w:val="0"/>
              <w:keepLines w:val="0"/>
              <w:pageBreakBefore w:val="0"/>
              <w:kinsoku/>
              <w:overflowPunct/>
              <w:topLinePunct w:val="0"/>
              <w:bidi w:val="0"/>
              <w:snapToGrid w:val="0"/>
              <w:spacing w:beforeLines="0" w:afterLines="0"/>
              <w:ind w:left="0" w:leftChars="0" w:right="0" w:rightChars="0" w:firstLine="420" w:firstLineChars="200"/>
              <w:textAlignment w:val="auto"/>
              <w:outlineLvl w:val="9"/>
              <w:rPr>
                <w:rFonts w:hint="default" w:ascii="Times New Roman" w:hAnsi="Times New Roman" w:cs="Times New Roman"/>
                <w:color w:val="auto"/>
                <w:sz w:val="21"/>
                <w:highlight w:val="none"/>
                <w:lang w:eastAsia="zh-CN"/>
              </w:rPr>
            </w:pPr>
            <w:r>
              <w:rPr>
                <w:rFonts w:hint="default" w:ascii="Times New Roman" w:hAnsi="Times New Roman" w:cs="Times New Roman"/>
                <w:color w:val="auto"/>
                <w:sz w:val="21"/>
                <w:highlight w:val="none"/>
              </w:rPr>
              <w:t>典当行对同一法人或者自然人的典当余额不超过注册资本的25%</w:t>
            </w:r>
            <w:r>
              <w:rPr>
                <w:rFonts w:hint="eastAsia" w:cs="Times New Roman"/>
                <w:color w:val="auto"/>
                <w:sz w:val="21"/>
                <w:highlight w:val="none"/>
                <w:lang w:eastAsia="zh-CN"/>
              </w:rPr>
              <w:t>。</w:t>
            </w:r>
          </w:p>
          <w:p w14:paraId="2C09450F">
            <w:pPr>
              <w:keepNext w:val="0"/>
              <w:keepLines w:val="0"/>
              <w:pageBreakBefore w:val="0"/>
              <w:kinsoku/>
              <w:overflowPunct/>
              <w:topLinePunct w:val="0"/>
              <w:bidi w:val="0"/>
              <w:snapToGrid w:val="0"/>
              <w:spacing w:beforeLines="0" w:afterLines="0"/>
              <w:ind w:left="0" w:leftChars="0" w:right="0" w:rightChars="0" w:firstLine="420" w:firstLineChars="200"/>
              <w:textAlignment w:val="auto"/>
              <w:outlineLvl w:val="9"/>
              <w:rPr>
                <w:rFonts w:hint="default" w:ascii="Times New Roman" w:hAnsi="Times New Roman" w:cs="Times New Roman"/>
                <w:color w:val="auto"/>
                <w:sz w:val="21"/>
                <w:highlight w:val="none"/>
                <w:lang w:eastAsia="zh-CN"/>
              </w:rPr>
            </w:pPr>
            <w:r>
              <w:rPr>
                <w:rFonts w:hint="default" w:ascii="Times New Roman" w:hAnsi="Times New Roman" w:cs="Times New Roman"/>
                <w:color w:val="auto"/>
                <w:sz w:val="21"/>
                <w:highlight w:val="none"/>
              </w:rPr>
              <w:t>典当行对其股东的典当余额不超过该股东入股金额，且典当条件不得优于普通当户</w:t>
            </w:r>
            <w:r>
              <w:rPr>
                <w:rFonts w:hint="eastAsia" w:cs="Times New Roman"/>
                <w:color w:val="auto"/>
                <w:sz w:val="21"/>
                <w:highlight w:val="none"/>
                <w:lang w:eastAsia="zh-CN"/>
              </w:rPr>
              <w:t>。</w:t>
            </w:r>
          </w:p>
          <w:p w14:paraId="41906B74">
            <w:pPr>
              <w:keepNext w:val="0"/>
              <w:keepLines w:val="0"/>
              <w:pageBreakBefore w:val="0"/>
              <w:kinsoku/>
              <w:overflowPunct/>
              <w:topLinePunct w:val="0"/>
              <w:bidi w:val="0"/>
              <w:snapToGrid w:val="0"/>
              <w:spacing w:beforeLines="0" w:afterLines="0"/>
              <w:ind w:left="0" w:leftChars="0" w:right="0" w:rightChars="0" w:firstLine="420" w:firstLineChars="200"/>
              <w:textAlignment w:val="auto"/>
              <w:outlineLvl w:val="9"/>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典当行财产权利质押典当余额不得超过注册资本的50%</w:t>
            </w:r>
            <w:r>
              <w:rPr>
                <w:rFonts w:hint="eastAsia" w:cs="Times New Roman"/>
                <w:color w:val="auto"/>
                <w:sz w:val="21"/>
                <w:highlight w:val="none"/>
                <w:lang w:eastAsia="zh-CN"/>
              </w:rPr>
              <w:t>；</w:t>
            </w:r>
            <w:r>
              <w:rPr>
                <w:rFonts w:hint="default" w:ascii="Times New Roman" w:hAnsi="Times New Roman" w:cs="Times New Roman"/>
                <w:color w:val="auto"/>
                <w:sz w:val="21"/>
                <w:highlight w:val="none"/>
              </w:rPr>
              <w:t>房地产抵押典当余额不得超过注册资本</w:t>
            </w:r>
            <w:r>
              <w:rPr>
                <w:rFonts w:hint="default" w:ascii="Times New Roman" w:hAnsi="Times New Roman" w:cs="Times New Roman"/>
                <w:color w:val="auto"/>
                <w:sz w:val="21"/>
                <w:highlight w:val="none"/>
                <w:lang w:eastAsia="zh-CN"/>
              </w:rPr>
              <w:t>；</w:t>
            </w:r>
            <w:r>
              <w:rPr>
                <w:rFonts w:hint="default" w:ascii="Times New Roman" w:hAnsi="Times New Roman" w:cs="Times New Roman"/>
                <w:color w:val="auto"/>
                <w:sz w:val="21"/>
                <w:highlight w:val="none"/>
              </w:rPr>
              <w:t>注册资本不足1000万元的典当行，房地产抵押典当单笔当金数额不得超过100万元</w:t>
            </w:r>
            <w:r>
              <w:rPr>
                <w:rFonts w:hint="default" w:ascii="Times New Roman" w:hAnsi="Times New Roman" w:cs="Times New Roman"/>
                <w:color w:val="auto"/>
                <w:sz w:val="21"/>
                <w:highlight w:val="none"/>
                <w:lang w:eastAsia="zh-CN"/>
              </w:rPr>
              <w:t>；</w:t>
            </w:r>
            <w:r>
              <w:rPr>
                <w:rFonts w:hint="default" w:ascii="Times New Roman" w:hAnsi="Times New Roman" w:cs="Times New Roman"/>
                <w:color w:val="auto"/>
                <w:sz w:val="21"/>
                <w:highlight w:val="none"/>
              </w:rPr>
              <w:t>注册资本在1000万元以上的典当行，房地产抵押典当单笔当金数额不得超过注册资本的10%</w:t>
            </w:r>
            <w:r>
              <w:rPr>
                <w:rFonts w:hint="default" w:ascii="Times New Roman" w:hAnsi="Times New Roman" w:cs="Times New Roman"/>
                <w:color w:val="auto"/>
                <w:sz w:val="21"/>
                <w:highlight w:val="none"/>
                <w:lang w:eastAsia="zh-CN"/>
              </w:rPr>
              <w:t>。</w:t>
            </w:r>
          </w:p>
          <w:p w14:paraId="4DD389CE">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420" w:firstLineChars="200"/>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cs="Times New Roman"/>
                <w:color w:val="auto"/>
                <w:sz w:val="21"/>
                <w:highlight w:val="none"/>
                <w:lang w:val="en-US" w:eastAsia="zh-CN"/>
              </w:rPr>
              <w:t>1.符合以上规定的得15分。</w:t>
            </w:r>
          </w:p>
          <w:p w14:paraId="3E4C68B2">
            <w:pPr>
              <w:keepNext w:val="0"/>
              <w:keepLines w:val="0"/>
              <w:pageBreakBefore w:val="0"/>
              <w:kinsoku/>
              <w:overflowPunct/>
              <w:topLinePunct w:val="0"/>
              <w:bidi w:val="0"/>
              <w:snapToGrid w:val="0"/>
              <w:ind w:left="0" w:leftChars="0" w:right="0" w:rightChars="0" w:firstLine="420" w:firstLineChars="200"/>
              <w:textAlignment w:val="auto"/>
              <w:outlineLvl w:val="9"/>
              <w:rPr>
                <w:rFonts w:hint="default" w:ascii="Times New Roman" w:hAnsi="Times New Roman" w:eastAsia="仿宋_GB2312" w:cs="Times New Roman"/>
                <w:color w:val="auto"/>
                <w:kern w:val="2"/>
                <w:sz w:val="21"/>
                <w:szCs w:val="24"/>
                <w:highlight w:val="none"/>
                <w:lang w:val="en-US" w:eastAsia="zh-CN" w:bidi="ar-SA"/>
              </w:rPr>
            </w:pPr>
            <w:r>
              <w:rPr>
                <w:rFonts w:hint="default" w:ascii="Times New Roman" w:hAnsi="Times New Roman" w:cs="Times New Roman"/>
                <w:color w:val="auto"/>
                <w:sz w:val="21"/>
                <w:highlight w:val="none"/>
                <w:lang w:val="en-US" w:eastAsia="zh-CN"/>
              </w:rPr>
              <w:t>2.</w:t>
            </w:r>
            <w:r>
              <w:rPr>
                <w:rFonts w:hint="eastAsia" w:cs="Times New Roman"/>
                <w:color w:val="auto"/>
                <w:sz w:val="21"/>
                <w:highlight w:val="none"/>
                <w:lang w:val="en-US" w:eastAsia="zh-CN"/>
              </w:rPr>
              <w:t>违反规定的，每项（笔）扣5分，</w:t>
            </w:r>
            <w:r>
              <w:rPr>
                <w:rFonts w:hint="default" w:ascii="Times New Roman" w:hAnsi="Times New Roman" w:cs="Times New Roman"/>
                <w:color w:val="auto"/>
                <w:sz w:val="21"/>
                <w:highlight w:val="none"/>
              </w:rPr>
              <w:t>扣完为止。</w:t>
            </w:r>
          </w:p>
        </w:tc>
        <w:tc>
          <w:tcPr>
            <w:tcW w:w="705" w:type="dxa"/>
            <w:noWrap w:val="0"/>
            <w:vAlign w:val="top"/>
          </w:tcPr>
          <w:p w14:paraId="7F077FDA">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 w:val="24"/>
                <w:highlight w:val="none"/>
              </w:rPr>
            </w:pPr>
          </w:p>
        </w:tc>
        <w:tc>
          <w:tcPr>
            <w:tcW w:w="680" w:type="dxa"/>
            <w:noWrap w:val="0"/>
            <w:vAlign w:val="top"/>
          </w:tcPr>
          <w:p w14:paraId="7BFD3C5B">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7EAF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33" w:type="dxa"/>
            <w:vMerge w:val="continue"/>
            <w:noWrap w:val="0"/>
            <w:vAlign w:val="top"/>
          </w:tcPr>
          <w:p w14:paraId="6AE7B697">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p>
        </w:tc>
        <w:tc>
          <w:tcPr>
            <w:tcW w:w="1536" w:type="dxa"/>
            <w:noWrap w:val="0"/>
            <w:vAlign w:val="center"/>
          </w:tcPr>
          <w:p w14:paraId="48EAD11A">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（1</w:t>
            </w:r>
            <w:r>
              <w:rPr>
                <w:rFonts w:hint="eastAsia" w:eastAsia="仿宋" w:cs="Times New Roman"/>
                <w:b/>
                <w:bCs/>
                <w:color w:val="auto"/>
                <w:sz w:val="24"/>
                <w:szCs w:val="24"/>
                <w:highlight w:val="none"/>
                <w:lang w:val="en-US" w:eastAsia="zh-CN"/>
              </w:rPr>
              <w:t>6</w:t>
            </w:r>
            <w:r>
              <w:rPr>
                <w:rFonts w:hint="default" w:ascii="Times New Roman" w:hAnsi="Times New Roman" w:eastAsia="仿宋" w:cs="Times New Roman"/>
                <w:b/>
                <w:bCs/>
                <w:color w:val="auto"/>
                <w:sz w:val="24"/>
                <w:szCs w:val="24"/>
                <w:highlight w:val="none"/>
              </w:rPr>
              <w:t>）</w:t>
            </w:r>
          </w:p>
          <w:p w14:paraId="4B910176">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sz w:val="24"/>
                <w:szCs w:val="24"/>
                <w:highlight w:val="none"/>
              </w:rPr>
              <w:t>财务合规</w:t>
            </w:r>
          </w:p>
        </w:tc>
        <w:tc>
          <w:tcPr>
            <w:tcW w:w="504" w:type="dxa"/>
            <w:noWrap w:val="0"/>
            <w:vAlign w:val="center"/>
          </w:tcPr>
          <w:p w14:paraId="63D26F6C">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sz w:val="24"/>
                <w:szCs w:val="24"/>
                <w:highlight w:val="none"/>
              </w:rPr>
              <w:t>10</w:t>
            </w:r>
          </w:p>
        </w:tc>
        <w:tc>
          <w:tcPr>
            <w:tcW w:w="8992" w:type="dxa"/>
            <w:noWrap w:val="0"/>
            <w:vAlign w:val="center"/>
          </w:tcPr>
          <w:p w14:paraId="5499F533">
            <w:pPr>
              <w:keepNext w:val="0"/>
              <w:keepLines w:val="0"/>
              <w:pageBreakBefore w:val="0"/>
              <w:kinsoku/>
              <w:overflowPunct/>
              <w:topLinePunct w:val="0"/>
              <w:bidi w:val="0"/>
              <w:snapToGrid w:val="0"/>
              <w:ind w:left="0" w:leftChars="0" w:right="0" w:rightChars="0" w:firstLine="420" w:firstLineChars="200"/>
              <w:textAlignment w:val="auto"/>
              <w:outlineLvl w:val="9"/>
              <w:rPr>
                <w:rFonts w:hint="default" w:ascii="Times New Roman" w:hAnsi="Times New Roman" w:eastAsia="仿宋_GB2312" w:cs="Times New Roman"/>
                <w:color w:val="auto"/>
                <w:kern w:val="2"/>
                <w:sz w:val="21"/>
                <w:szCs w:val="24"/>
                <w:highlight w:val="none"/>
                <w:lang w:val="en-US" w:eastAsia="zh-CN" w:bidi="ar-SA"/>
              </w:rPr>
            </w:pPr>
            <w:r>
              <w:rPr>
                <w:rFonts w:hint="default" w:ascii="Times New Roman" w:hAnsi="Times New Roman" w:cs="Times New Roman"/>
                <w:color w:val="auto"/>
                <w:sz w:val="21"/>
                <w:highlight w:val="none"/>
              </w:rPr>
              <w:t>建立健全财务会计制度和内部审计制度</w:t>
            </w:r>
            <w:r>
              <w:rPr>
                <w:rFonts w:hint="default" w:ascii="Times New Roman" w:hAnsi="Times New Roman" w:cs="Times New Roman"/>
                <w:color w:val="auto"/>
                <w:sz w:val="21"/>
                <w:highlight w:val="none"/>
                <w:lang w:eastAsia="zh-CN"/>
              </w:rPr>
              <w:t>得</w:t>
            </w:r>
            <w:r>
              <w:rPr>
                <w:rFonts w:hint="default" w:ascii="Times New Roman" w:hAnsi="Times New Roman" w:cs="Times New Roman"/>
                <w:color w:val="auto"/>
                <w:sz w:val="21"/>
                <w:highlight w:val="none"/>
              </w:rPr>
              <w:t>5分；编制月度报表和年度财务会计报告</w:t>
            </w:r>
            <w:r>
              <w:rPr>
                <w:rFonts w:hint="default" w:ascii="Times New Roman" w:hAnsi="Times New Roman" w:cs="Times New Roman"/>
                <w:color w:val="auto"/>
                <w:sz w:val="21"/>
                <w:highlight w:val="none"/>
                <w:lang w:eastAsia="zh-CN"/>
              </w:rPr>
              <w:t>得</w:t>
            </w:r>
            <w:r>
              <w:rPr>
                <w:rFonts w:hint="default" w:ascii="Times New Roman" w:hAnsi="Times New Roman" w:cs="Times New Roman"/>
                <w:color w:val="auto"/>
                <w:sz w:val="21"/>
                <w:highlight w:val="none"/>
              </w:rPr>
              <w:t>5分。</w:t>
            </w:r>
          </w:p>
        </w:tc>
        <w:tc>
          <w:tcPr>
            <w:tcW w:w="705" w:type="dxa"/>
            <w:noWrap w:val="0"/>
            <w:vAlign w:val="top"/>
          </w:tcPr>
          <w:p w14:paraId="3D2CDEC7">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 w:val="24"/>
                <w:highlight w:val="none"/>
              </w:rPr>
            </w:pPr>
          </w:p>
        </w:tc>
        <w:tc>
          <w:tcPr>
            <w:tcW w:w="680" w:type="dxa"/>
            <w:noWrap w:val="0"/>
            <w:vAlign w:val="top"/>
          </w:tcPr>
          <w:p w14:paraId="159A7009">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554E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1133" w:type="dxa"/>
            <w:vMerge w:val="continue"/>
            <w:noWrap w:val="0"/>
            <w:vAlign w:val="top"/>
          </w:tcPr>
          <w:p w14:paraId="1B1BA2F2">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p>
        </w:tc>
        <w:tc>
          <w:tcPr>
            <w:tcW w:w="1536" w:type="dxa"/>
            <w:noWrap w:val="0"/>
            <w:vAlign w:val="center"/>
          </w:tcPr>
          <w:p w14:paraId="594C214D">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（1</w:t>
            </w:r>
            <w:r>
              <w:rPr>
                <w:rFonts w:hint="eastAsia" w:eastAsia="仿宋" w:cs="Times New Roman"/>
                <w:b/>
                <w:bCs/>
                <w:color w:val="auto"/>
                <w:sz w:val="24"/>
                <w:szCs w:val="24"/>
                <w:highlight w:val="none"/>
                <w:lang w:val="en-US" w:eastAsia="zh-CN"/>
              </w:rPr>
              <w:t>7</w:t>
            </w:r>
            <w:r>
              <w:rPr>
                <w:rFonts w:hint="default" w:ascii="Times New Roman" w:hAnsi="Times New Roman" w:eastAsia="仿宋" w:cs="Times New Roman"/>
                <w:b/>
                <w:bCs/>
                <w:color w:val="auto"/>
                <w:sz w:val="24"/>
                <w:szCs w:val="24"/>
                <w:highlight w:val="none"/>
              </w:rPr>
              <w:t>）</w:t>
            </w:r>
          </w:p>
          <w:p w14:paraId="48C37EE8">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sz w:val="24"/>
                <w:szCs w:val="24"/>
                <w:highlight w:val="none"/>
              </w:rPr>
              <w:t>社会监督</w:t>
            </w:r>
          </w:p>
        </w:tc>
        <w:tc>
          <w:tcPr>
            <w:tcW w:w="504" w:type="dxa"/>
            <w:noWrap w:val="0"/>
            <w:vAlign w:val="center"/>
          </w:tcPr>
          <w:p w14:paraId="3EE774DD">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sz w:val="24"/>
                <w:szCs w:val="24"/>
                <w:highlight w:val="none"/>
              </w:rPr>
              <w:t>10</w:t>
            </w:r>
          </w:p>
        </w:tc>
        <w:tc>
          <w:tcPr>
            <w:tcW w:w="8992" w:type="dxa"/>
            <w:noWrap w:val="0"/>
            <w:vAlign w:val="center"/>
          </w:tcPr>
          <w:p w14:paraId="30B402E7">
            <w:pPr>
              <w:keepNext w:val="0"/>
              <w:keepLines w:val="0"/>
              <w:pageBreakBefore w:val="0"/>
              <w:kinsoku/>
              <w:overflowPunct/>
              <w:topLinePunct w:val="0"/>
              <w:bidi w:val="0"/>
              <w:snapToGrid w:val="0"/>
              <w:ind w:left="0" w:leftChars="0" w:right="0" w:rightChars="0" w:firstLine="0" w:firstLineChars="0"/>
              <w:textAlignment w:val="auto"/>
              <w:outlineLvl w:val="9"/>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lang w:val="en-US" w:eastAsia="zh-CN"/>
              </w:rPr>
              <w:t xml:space="preserve">    </w:t>
            </w:r>
            <w:r>
              <w:rPr>
                <w:rFonts w:hint="default" w:ascii="Times New Roman" w:hAnsi="Times New Roman" w:cs="Times New Roman"/>
                <w:color w:val="auto"/>
                <w:sz w:val="21"/>
                <w:highlight w:val="none"/>
              </w:rPr>
              <w:t>1.按照监管要求悬挂不参与非法集资、不吸收公众存款、不违规经营等公开承诺标示牌；在显眼位置悬挂《典当经营许可证》《营业执照》；公布当地监管部门监督举报电话及收费标准</w:t>
            </w:r>
            <w:r>
              <w:rPr>
                <w:rFonts w:hint="default" w:ascii="Times New Roman" w:hAnsi="Times New Roman" w:cs="Times New Roman"/>
                <w:color w:val="auto"/>
                <w:sz w:val="21"/>
                <w:highlight w:val="none"/>
                <w:lang w:val="en-US" w:eastAsia="zh-CN"/>
              </w:rPr>
              <w:t>。</w:t>
            </w:r>
            <w:r>
              <w:rPr>
                <w:rFonts w:hint="default" w:ascii="Times New Roman" w:hAnsi="Times New Roman" w:cs="Times New Roman"/>
                <w:color w:val="auto"/>
                <w:sz w:val="21"/>
                <w:highlight w:val="none"/>
              </w:rPr>
              <w:t>未遵守相关规定的，每项扣3分；</w:t>
            </w:r>
          </w:p>
          <w:p w14:paraId="1A4B7A8B">
            <w:pPr>
              <w:keepNext w:val="0"/>
              <w:keepLines w:val="0"/>
              <w:pageBreakBefore w:val="0"/>
              <w:kinsoku/>
              <w:overflowPunct/>
              <w:topLinePunct w:val="0"/>
              <w:bidi w:val="0"/>
              <w:snapToGrid w:val="0"/>
              <w:ind w:left="0" w:leftChars="0" w:right="0" w:rightChars="0" w:firstLine="420" w:firstLineChars="200"/>
              <w:textAlignment w:val="auto"/>
              <w:outlineLvl w:val="9"/>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2.出现不良信用记录或</w:t>
            </w:r>
            <w:r>
              <w:rPr>
                <w:rFonts w:hint="default" w:ascii="Times New Roman" w:hAnsi="Times New Roman" w:cs="Times New Roman"/>
                <w:color w:val="auto"/>
                <w:sz w:val="21"/>
                <w:highlight w:val="none"/>
                <w:lang w:eastAsia="zh-CN"/>
              </w:rPr>
              <w:t>发生</w:t>
            </w:r>
            <w:r>
              <w:rPr>
                <w:rFonts w:hint="default" w:ascii="Times New Roman" w:hAnsi="Times New Roman" w:cs="Times New Roman"/>
                <w:color w:val="auto"/>
                <w:sz w:val="21"/>
                <w:highlight w:val="none"/>
              </w:rPr>
              <w:t>影响企业社会信用形象的事件，扣3分；</w:t>
            </w:r>
          </w:p>
          <w:p w14:paraId="34F12669">
            <w:pPr>
              <w:keepNext w:val="0"/>
              <w:keepLines w:val="0"/>
              <w:pageBreakBefore w:val="0"/>
              <w:kinsoku/>
              <w:overflowPunct/>
              <w:topLinePunct w:val="0"/>
              <w:bidi w:val="0"/>
              <w:snapToGrid w:val="0"/>
              <w:ind w:left="0" w:leftChars="0" w:right="0" w:rightChars="0"/>
              <w:textAlignment w:val="auto"/>
              <w:outlineLvl w:val="9"/>
              <w:rPr>
                <w:rFonts w:hint="default" w:ascii="Times New Roman" w:hAnsi="Times New Roman" w:eastAsia="仿宋_GB2312" w:cs="Times New Roman"/>
                <w:color w:val="auto"/>
                <w:kern w:val="2"/>
                <w:sz w:val="21"/>
                <w:szCs w:val="24"/>
                <w:highlight w:val="none"/>
                <w:lang w:val="en-US" w:eastAsia="zh-CN" w:bidi="ar-SA"/>
              </w:rPr>
            </w:pPr>
            <w:r>
              <w:rPr>
                <w:rFonts w:hint="default" w:ascii="Times New Roman" w:hAnsi="Times New Roman" w:cs="Times New Roman"/>
                <w:color w:val="auto"/>
                <w:sz w:val="21"/>
                <w:highlight w:val="none"/>
                <w:lang w:val="en-US" w:eastAsia="zh-CN"/>
              </w:rPr>
              <w:t xml:space="preserve">    </w:t>
            </w:r>
            <w:r>
              <w:rPr>
                <w:rFonts w:hint="default" w:ascii="Times New Roman" w:hAnsi="Times New Roman" w:cs="Times New Roman"/>
                <w:color w:val="auto"/>
                <w:sz w:val="21"/>
                <w:highlight w:val="none"/>
              </w:rPr>
              <w:t>3.受到社会监督举报违法违规问题并经查实的，酌情扣</w:t>
            </w:r>
            <w:r>
              <w:rPr>
                <w:rFonts w:hint="eastAsia" w:cs="Times New Roman"/>
                <w:color w:val="auto"/>
                <w:sz w:val="21"/>
                <w:highlight w:val="none"/>
                <w:lang w:val="en-US" w:eastAsia="zh-CN"/>
              </w:rPr>
              <w:t>5</w:t>
            </w:r>
            <w:r>
              <w:rPr>
                <w:rFonts w:hint="default" w:ascii="Times New Roman" w:hAnsi="Times New Roman" w:cs="Times New Roman"/>
                <w:bCs/>
                <w:color w:val="auto"/>
                <w:sz w:val="21"/>
                <w:highlight w:val="none"/>
                <w:lang w:eastAsia="zh-CN"/>
              </w:rPr>
              <w:t>~</w:t>
            </w:r>
            <w:r>
              <w:rPr>
                <w:rFonts w:hint="eastAsia" w:cs="Times New Roman"/>
                <w:bCs/>
                <w:color w:val="auto"/>
                <w:sz w:val="21"/>
                <w:highlight w:val="none"/>
                <w:lang w:val="en-US" w:eastAsia="zh-CN"/>
              </w:rPr>
              <w:t>20</w:t>
            </w:r>
            <w:r>
              <w:rPr>
                <w:rFonts w:hint="default" w:ascii="Times New Roman" w:hAnsi="Times New Roman" w:cs="Times New Roman"/>
                <w:color w:val="auto"/>
                <w:sz w:val="21"/>
                <w:highlight w:val="none"/>
              </w:rPr>
              <w:t>分。</w:t>
            </w:r>
          </w:p>
        </w:tc>
        <w:tc>
          <w:tcPr>
            <w:tcW w:w="705" w:type="dxa"/>
            <w:noWrap w:val="0"/>
            <w:vAlign w:val="top"/>
          </w:tcPr>
          <w:p w14:paraId="7BC40EF6">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 w:val="24"/>
                <w:highlight w:val="none"/>
              </w:rPr>
            </w:pPr>
          </w:p>
        </w:tc>
        <w:tc>
          <w:tcPr>
            <w:tcW w:w="680" w:type="dxa"/>
            <w:noWrap w:val="0"/>
            <w:vAlign w:val="top"/>
          </w:tcPr>
          <w:p w14:paraId="645E043C">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65DF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33" w:type="dxa"/>
            <w:vMerge w:val="restart"/>
            <w:noWrap w:val="0"/>
            <w:vAlign w:val="center"/>
          </w:tcPr>
          <w:p w14:paraId="76A18BE5">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三、</w:t>
            </w:r>
          </w:p>
          <w:p w14:paraId="2C091197">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经营</w:t>
            </w:r>
          </w:p>
          <w:p w14:paraId="0BB017A2">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能力</w:t>
            </w:r>
          </w:p>
          <w:p w14:paraId="24114EDF">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szCs w:val="24"/>
                <w:highlight w:val="none"/>
              </w:rPr>
              <w:t>(</w:t>
            </w:r>
            <w:r>
              <w:rPr>
                <w:rFonts w:hint="default" w:ascii="Times New Roman" w:hAnsi="Times New Roman" w:eastAsia="黑体" w:cs="Times New Roman"/>
                <w:color w:val="auto"/>
                <w:sz w:val="24"/>
                <w:szCs w:val="24"/>
                <w:highlight w:val="none"/>
                <w:lang w:val="en-US" w:eastAsia="zh-CN"/>
              </w:rPr>
              <w:t>30</w:t>
            </w:r>
            <w:r>
              <w:rPr>
                <w:rFonts w:hint="default" w:ascii="Times New Roman" w:hAnsi="Times New Roman" w:eastAsia="黑体" w:cs="Times New Roman"/>
                <w:color w:val="auto"/>
                <w:sz w:val="24"/>
                <w:szCs w:val="24"/>
                <w:highlight w:val="none"/>
              </w:rPr>
              <w:t>分）</w:t>
            </w:r>
          </w:p>
        </w:tc>
        <w:tc>
          <w:tcPr>
            <w:tcW w:w="1536" w:type="dxa"/>
            <w:noWrap w:val="0"/>
            <w:vAlign w:val="center"/>
          </w:tcPr>
          <w:p w14:paraId="55BEAA3B">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w:t>
            </w:r>
            <w:r>
              <w:rPr>
                <w:rFonts w:hint="eastAsia" w:eastAsia="仿宋" w:cs="Times New Roman"/>
                <w:b/>
                <w:bCs/>
                <w:color w:val="auto"/>
                <w:sz w:val="24"/>
                <w:szCs w:val="24"/>
                <w:highlight w:val="none"/>
                <w:lang w:val="en-US" w:eastAsia="zh-CN"/>
              </w:rPr>
              <w:t>18</w:t>
            </w:r>
            <w:r>
              <w:rPr>
                <w:rFonts w:hint="default" w:ascii="Times New Roman" w:hAnsi="Times New Roman" w:eastAsia="仿宋" w:cs="Times New Roman"/>
                <w:b/>
                <w:bCs/>
                <w:color w:val="auto"/>
                <w:sz w:val="24"/>
                <w:szCs w:val="24"/>
                <w:highlight w:val="none"/>
              </w:rPr>
              <w:t>）</w:t>
            </w:r>
          </w:p>
          <w:p w14:paraId="52B916EF">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资金周转率</w:t>
            </w:r>
          </w:p>
        </w:tc>
        <w:tc>
          <w:tcPr>
            <w:tcW w:w="504" w:type="dxa"/>
            <w:noWrap w:val="0"/>
            <w:vAlign w:val="center"/>
          </w:tcPr>
          <w:p w14:paraId="5104494A">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lang w:val="en-US" w:eastAsia="zh-CN"/>
              </w:rPr>
            </w:pPr>
            <w:r>
              <w:rPr>
                <w:rFonts w:hint="eastAsia" w:eastAsia="宋体" w:cs="Times New Roman"/>
                <w:b/>
                <w:bCs/>
                <w:color w:val="auto"/>
                <w:sz w:val="24"/>
                <w:szCs w:val="24"/>
                <w:highlight w:val="none"/>
                <w:lang w:val="en-US" w:eastAsia="zh-CN"/>
              </w:rPr>
              <w:t>10</w:t>
            </w:r>
          </w:p>
        </w:tc>
        <w:tc>
          <w:tcPr>
            <w:tcW w:w="8992" w:type="dxa"/>
            <w:noWrap w:val="0"/>
            <w:vAlign w:val="center"/>
          </w:tcPr>
          <w:p w14:paraId="7D4F65C7">
            <w:pPr>
              <w:keepNext w:val="0"/>
              <w:keepLines w:val="0"/>
              <w:pageBreakBefore w:val="0"/>
              <w:numPr>
                <w:ilvl w:val="0"/>
                <w:numId w:val="0"/>
              </w:numPr>
              <w:kinsoku/>
              <w:overflowPunct/>
              <w:topLinePunct w:val="0"/>
              <w:bidi w:val="0"/>
              <w:snapToGrid w:val="0"/>
              <w:spacing w:line="240" w:lineRule="auto"/>
              <w:ind w:left="0" w:leftChars="0" w:right="0" w:rightChars="0" w:firstLine="420" w:firstLineChars="200"/>
              <w:textAlignment w:val="auto"/>
              <w:outlineLvl w:val="9"/>
              <w:rPr>
                <w:rFonts w:hint="default" w:ascii="Times New Roman" w:hAnsi="Times New Roman" w:eastAsia="仿宋_GB2312" w:cs="Times New Roman"/>
                <w:color w:val="auto"/>
                <w:sz w:val="21"/>
                <w:highlight w:val="none"/>
                <w:lang w:eastAsia="zh-CN"/>
              </w:rPr>
            </w:pPr>
            <w:r>
              <w:rPr>
                <w:rFonts w:hint="default" w:ascii="Times New Roman" w:hAnsi="Times New Roman" w:cs="Times New Roman"/>
                <w:color w:val="auto"/>
                <w:sz w:val="21"/>
                <w:highlight w:val="none"/>
                <w:lang w:eastAsia="zh-CN"/>
              </w:rPr>
              <w:t>典当</w:t>
            </w:r>
            <w:r>
              <w:rPr>
                <w:rFonts w:hint="default" w:ascii="Times New Roman" w:hAnsi="Times New Roman" w:cs="Times New Roman"/>
                <w:color w:val="auto"/>
                <w:sz w:val="21"/>
                <w:highlight w:val="none"/>
              </w:rPr>
              <w:t>资金周转率达到100%（含）以上的得</w:t>
            </w:r>
            <w:r>
              <w:rPr>
                <w:rFonts w:hint="eastAsia" w:cs="Times New Roman"/>
                <w:color w:val="auto"/>
                <w:sz w:val="21"/>
                <w:highlight w:val="none"/>
                <w:lang w:val="en-US" w:eastAsia="zh-CN"/>
              </w:rPr>
              <w:t>10</w:t>
            </w:r>
            <w:r>
              <w:rPr>
                <w:rFonts w:hint="default" w:ascii="Times New Roman" w:hAnsi="Times New Roman" w:cs="Times New Roman"/>
                <w:color w:val="auto"/>
                <w:sz w:val="21"/>
                <w:highlight w:val="none"/>
              </w:rPr>
              <w:t>分；50%（含）～100%的得</w:t>
            </w:r>
            <w:r>
              <w:rPr>
                <w:rFonts w:hint="eastAsia" w:cs="Times New Roman"/>
                <w:color w:val="auto"/>
                <w:sz w:val="21"/>
                <w:highlight w:val="none"/>
                <w:lang w:val="en-US" w:eastAsia="zh-CN"/>
              </w:rPr>
              <w:t>8</w:t>
            </w:r>
            <w:r>
              <w:rPr>
                <w:rFonts w:hint="default" w:ascii="Times New Roman" w:hAnsi="Times New Roman" w:cs="Times New Roman"/>
                <w:color w:val="auto"/>
                <w:sz w:val="21"/>
                <w:highlight w:val="none"/>
              </w:rPr>
              <w:t>分；10%（含）～50%的得</w:t>
            </w:r>
            <w:r>
              <w:rPr>
                <w:rFonts w:hint="eastAsia" w:cs="Times New Roman"/>
                <w:color w:val="auto"/>
                <w:sz w:val="21"/>
                <w:highlight w:val="none"/>
                <w:lang w:val="en-US" w:eastAsia="zh-CN"/>
              </w:rPr>
              <w:t>4</w:t>
            </w:r>
            <w:r>
              <w:rPr>
                <w:rFonts w:hint="default" w:ascii="Times New Roman" w:hAnsi="Times New Roman" w:cs="Times New Roman"/>
                <w:color w:val="auto"/>
                <w:sz w:val="21"/>
                <w:highlight w:val="none"/>
              </w:rPr>
              <w:t>分；低于10%得0分。</w:t>
            </w:r>
          </w:p>
          <w:p w14:paraId="49CD127D">
            <w:pPr>
              <w:keepNext w:val="0"/>
              <w:keepLines w:val="0"/>
              <w:pageBreakBefore w:val="0"/>
              <w:numPr>
                <w:ilvl w:val="0"/>
                <w:numId w:val="0"/>
              </w:numPr>
              <w:kinsoku/>
              <w:overflowPunct/>
              <w:topLinePunct w:val="0"/>
              <w:bidi w:val="0"/>
              <w:snapToGrid w:val="0"/>
              <w:spacing w:line="240" w:lineRule="auto"/>
              <w:ind w:left="0" w:leftChars="0" w:right="0" w:rightChars="0" w:firstLine="420" w:firstLineChars="200"/>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1"/>
                <w:highlight w:val="none"/>
              </w:rPr>
              <w:t xml:space="preserve">  （注：</w:t>
            </w:r>
            <w:r>
              <w:rPr>
                <w:rFonts w:hint="default" w:ascii="Times New Roman" w:hAnsi="Times New Roman" w:cs="Times New Roman"/>
                <w:color w:val="auto"/>
                <w:sz w:val="21"/>
                <w:highlight w:val="none"/>
                <w:lang w:eastAsia="zh-CN"/>
              </w:rPr>
              <w:t>典当</w:t>
            </w:r>
            <w:r>
              <w:rPr>
                <w:rFonts w:hint="default" w:ascii="Times New Roman" w:hAnsi="Times New Roman" w:cs="Times New Roman"/>
                <w:color w:val="auto"/>
                <w:sz w:val="21"/>
                <w:highlight w:val="none"/>
              </w:rPr>
              <w:t>资金周转率=典当总额÷实收资本×100%）</w:t>
            </w:r>
          </w:p>
        </w:tc>
        <w:tc>
          <w:tcPr>
            <w:tcW w:w="705" w:type="dxa"/>
            <w:noWrap w:val="0"/>
            <w:vAlign w:val="top"/>
          </w:tcPr>
          <w:p w14:paraId="4A5F3273">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16E0CE29">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b/>
                <w:bCs/>
                <w:color w:val="auto"/>
                <w:sz w:val="18"/>
                <w:szCs w:val="18"/>
                <w:highlight w:val="none"/>
              </w:rPr>
            </w:pPr>
          </w:p>
        </w:tc>
      </w:tr>
      <w:tr w14:paraId="6FAC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133" w:type="dxa"/>
            <w:vMerge w:val="continue"/>
            <w:noWrap w:val="0"/>
            <w:vAlign w:val="top"/>
          </w:tcPr>
          <w:p w14:paraId="53CC84BF">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p>
        </w:tc>
        <w:tc>
          <w:tcPr>
            <w:tcW w:w="1536" w:type="dxa"/>
            <w:noWrap w:val="0"/>
            <w:vAlign w:val="center"/>
          </w:tcPr>
          <w:p w14:paraId="21C49752">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w:t>
            </w:r>
            <w:r>
              <w:rPr>
                <w:rFonts w:hint="eastAsia" w:eastAsia="仿宋" w:cs="Times New Roman"/>
                <w:b/>
                <w:bCs/>
                <w:color w:val="auto"/>
                <w:sz w:val="24"/>
                <w:szCs w:val="24"/>
                <w:highlight w:val="none"/>
                <w:lang w:val="en-US" w:eastAsia="zh-CN"/>
              </w:rPr>
              <w:t>19</w:t>
            </w:r>
            <w:r>
              <w:rPr>
                <w:rFonts w:hint="default" w:ascii="Times New Roman" w:hAnsi="Times New Roman" w:eastAsia="仿宋" w:cs="Times New Roman"/>
                <w:b/>
                <w:bCs/>
                <w:color w:val="auto"/>
                <w:sz w:val="24"/>
                <w:szCs w:val="24"/>
                <w:highlight w:val="none"/>
              </w:rPr>
              <w:t>）</w:t>
            </w:r>
          </w:p>
          <w:p w14:paraId="5FB378FF">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盈利水平</w:t>
            </w:r>
          </w:p>
        </w:tc>
        <w:tc>
          <w:tcPr>
            <w:tcW w:w="504" w:type="dxa"/>
            <w:noWrap w:val="0"/>
            <w:vAlign w:val="center"/>
          </w:tcPr>
          <w:p w14:paraId="1BEE4AD6">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10</w:t>
            </w:r>
          </w:p>
        </w:tc>
        <w:tc>
          <w:tcPr>
            <w:tcW w:w="8992" w:type="dxa"/>
            <w:noWrap w:val="0"/>
            <w:vAlign w:val="center"/>
          </w:tcPr>
          <w:p w14:paraId="0664F512">
            <w:pPr>
              <w:keepNext w:val="0"/>
              <w:keepLines w:val="0"/>
              <w:pageBreakBefore w:val="0"/>
              <w:kinsoku/>
              <w:overflowPunct/>
              <w:topLinePunct w:val="0"/>
              <w:bidi w:val="0"/>
              <w:snapToGrid w:val="0"/>
              <w:spacing w:line="240" w:lineRule="atLeast"/>
              <w:ind w:left="0" w:leftChars="0" w:right="0" w:righ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年度有盈利的得5分，以此为基础，年度利润达10万元（结合纳税审核，下同）～</w:t>
            </w:r>
            <w:r>
              <w:rPr>
                <w:rFonts w:hint="default" w:ascii="Times New Roman" w:hAnsi="Times New Roman" w:cs="Times New Roman"/>
                <w:color w:val="auto"/>
                <w:sz w:val="21"/>
                <w:szCs w:val="21"/>
                <w:highlight w:val="none"/>
                <w:lang w:val="en-US" w:eastAsia="zh-CN"/>
              </w:rPr>
              <w:t>50</w:t>
            </w:r>
            <w:r>
              <w:rPr>
                <w:rFonts w:hint="default" w:ascii="Times New Roman" w:hAnsi="Times New Roman" w:cs="Times New Roman"/>
                <w:color w:val="auto"/>
                <w:sz w:val="21"/>
                <w:szCs w:val="21"/>
                <w:highlight w:val="none"/>
              </w:rPr>
              <w:t>万元（</w:t>
            </w:r>
            <w:r>
              <w:rPr>
                <w:rFonts w:hint="eastAsia" w:cs="Times New Roman"/>
                <w:color w:val="auto"/>
                <w:sz w:val="21"/>
                <w:szCs w:val="21"/>
                <w:highlight w:val="none"/>
                <w:lang w:eastAsia="zh-CN"/>
              </w:rPr>
              <w:t>不</w:t>
            </w:r>
            <w:r>
              <w:rPr>
                <w:rFonts w:hint="default" w:ascii="Times New Roman" w:hAnsi="Times New Roman" w:cs="Times New Roman"/>
                <w:color w:val="auto"/>
                <w:sz w:val="21"/>
                <w:szCs w:val="21"/>
                <w:highlight w:val="none"/>
              </w:rPr>
              <w:t>含）的得</w:t>
            </w: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分；50万元（含）以上得</w:t>
            </w: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分</w:t>
            </w:r>
            <w:r>
              <w:rPr>
                <w:rFonts w:hint="default" w:ascii="Times New Roman" w:hAnsi="Times New Roman" w:cs="Times New Roman"/>
                <w:color w:val="auto"/>
                <w:sz w:val="21"/>
                <w:szCs w:val="21"/>
                <w:highlight w:val="none"/>
                <w:lang w:eastAsia="zh-CN"/>
              </w:rPr>
              <w:t>；年度亏损得</w:t>
            </w:r>
            <w:r>
              <w:rPr>
                <w:rFonts w:hint="default" w:ascii="Times New Roman" w:hAnsi="Times New Roman" w:cs="Times New Roman"/>
                <w:color w:val="auto"/>
                <w:sz w:val="21"/>
                <w:szCs w:val="21"/>
                <w:highlight w:val="none"/>
                <w:lang w:val="en-US" w:eastAsia="zh-CN"/>
              </w:rPr>
              <w:t>0分。</w:t>
            </w:r>
          </w:p>
        </w:tc>
        <w:tc>
          <w:tcPr>
            <w:tcW w:w="705" w:type="dxa"/>
            <w:noWrap w:val="0"/>
            <w:vAlign w:val="top"/>
          </w:tcPr>
          <w:p w14:paraId="3CC9E35E">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5A595A74">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17D8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133" w:type="dxa"/>
            <w:vMerge w:val="continue"/>
            <w:noWrap w:val="0"/>
            <w:vAlign w:val="top"/>
          </w:tcPr>
          <w:p w14:paraId="1EC9FCC0">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p>
        </w:tc>
        <w:tc>
          <w:tcPr>
            <w:tcW w:w="1536" w:type="dxa"/>
            <w:noWrap w:val="0"/>
            <w:vAlign w:val="center"/>
          </w:tcPr>
          <w:p w14:paraId="43F9AF00">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w:t>
            </w:r>
            <w:r>
              <w:rPr>
                <w:rFonts w:hint="eastAsia" w:eastAsia="仿宋" w:cs="Times New Roman"/>
                <w:b/>
                <w:bCs/>
                <w:color w:val="auto"/>
                <w:sz w:val="24"/>
                <w:szCs w:val="24"/>
                <w:highlight w:val="none"/>
                <w:lang w:val="en-US" w:eastAsia="zh-CN"/>
              </w:rPr>
              <w:t>20</w:t>
            </w:r>
            <w:r>
              <w:rPr>
                <w:rFonts w:hint="default" w:ascii="Times New Roman" w:hAnsi="Times New Roman" w:eastAsia="仿宋" w:cs="Times New Roman"/>
                <w:b/>
                <w:bCs/>
                <w:color w:val="auto"/>
                <w:sz w:val="24"/>
                <w:szCs w:val="24"/>
                <w:highlight w:val="none"/>
              </w:rPr>
              <w:t>）</w:t>
            </w:r>
          </w:p>
          <w:p w14:paraId="6332741C">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税收贡献</w:t>
            </w:r>
          </w:p>
        </w:tc>
        <w:tc>
          <w:tcPr>
            <w:tcW w:w="504" w:type="dxa"/>
            <w:noWrap w:val="0"/>
            <w:vAlign w:val="center"/>
          </w:tcPr>
          <w:p w14:paraId="2D6ADC65">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rPr>
              <w:t>1</w:t>
            </w:r>
            <w:r>
              <w:rPr>
                <w:rFonts w:hint="default" w:ascii="Times New Roman" w:hAnsi="Times New Roman" w:eastAsia="宋体" w:cs="Times New Roman"/>
                <w:b/>
                <w:bCs/>
                <w:color w:val="auto"/>
                <w:sz w:val="24"/>
                <w:szCs w:val="24"/>
                <w:highlight w:val="none"/>
                <w:lang w:val="en-US" w:eastAsia="zh-CN"/>
              </w:rPr>
              <w:t>0</w:t>
            </w:r>
          </w:p>
        </w:tc>
        <w:tc>
          <w:tcPr>
            <w:tcW w:w="8992" w:type="dxa"/>
            <w:noWrap w:val="0"/>
            <w:vAlign w:val="center"/>
          </w:tcPr>
          <w:p w14:paraId="0CFBF557">
            <w:pPr>
              <w:keepNext w:val="0"/>
              <w:keepLines w:val="0"/>
              <w:pageBreakBefore w:val="0"/>
              <w:kinsoku/>
              <w:overflowPunct/>
              <w:topLinePunct w:val="0"/>
              <w:bidi w:val="0"/>
              <w:snapToGrid w:val="0"/>
              <w:ind w:left="0" w:leftChars="0" w:right="0" w:rightChars="0" w:firstLine="420" w:firstLineChars="200"/>
              <w:textAlignment w:val="auto"/>
              <w:outlineLvl w:val="9"/>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税收贡献度达到0.1%得基本分</w:t>
            </w:r>
            <w:r>
              <w:rPr>
                <w:rFonts w:hint="default" w:ascii="Times New Roman" w:hAnsi="Times New Roman" w:cs="Times New Roman"/>
                <w:color w:val="auto"/>
                <w:sz w:val="21"/>
                <w:highlight w:val="none"/>
                <w:lang w:eastAsia="zh-CN"/>
              </w:rPr>
              <w:t>7</w:t>
            </w:r>
            <w:r>
              <w:rPr>
                <w:rFonts w:hint="default" w:ascii="Times New Roman" w:hAnsi="Times New Roman" w:cs="Times New Roman"/>
                <w:color w:val="auto"/>
                <w:sz w:val="21"/>
                <w:highlight w:val="none"/>
              </w:rPr>
              <w:t>分，每增加0.1个百分点加1分</w:t>
            </w:r>
            <w:r>
              <w:rPr>
                <w:rFonts w:hint="default" w:ascii="Times New Roman" w:hAnsi="Times New Roman" w:cs="Times New Roman"/>
                <w:color w:val="auto"/>
                <w:sz w:val="21"/>
                <w:highlight w:val="none"/>
                <w:lang w:eastAsia="zh-CN"/>
              </w:rPr>
              <w:t>；低于</w:t>
            </w:r>
            <w:r>
              <w:rPr>
                <w:rFonts w:hint="default" w:ascii="Times New Roman" w:hAnsi="Times New Roman" w:cs="Times New Roman"/>
                <w:color w:val="auto"/>
                <w:sz w:val="21"/>
                <w:highlight w:val="none"/>
              </w:rPr>
              <w:t>0.1%</w:t>
            </w:r>
            <w:r>
              <w:rPr>
                <w:rFonts w:hint="default" w:ascii="Times New Roman" w:hAnsi="Times New Roman" w:cs="Times New Roman"/>
                <w:color w:val="auto"/>
                <w:sz w:val="21"/>
                <w:highlight w:val="none"/>
                <w:lang w:eastAsia="zh-CN"/>
              </w:rPr>
              <w:t>不得</w:t>
            </w:r>
            <w:r>
              <w:rPr>
                <w:rFonts w:hint="default" w:ascii="Times New Roman" w:hAnsi="Times New Roman" w:cs="Times New Roman"/>
                <w:color w:val="auto"/>
                <w:sz w:val="21"/>
                <w:highlight w:val="none"/>
              </w:rPr>
              <w:t>分</w:t>
            </w:r>
            <w:r>
              <w:rPr>
                <w:rFonts w:hint="default" w:ascii="Times New Roman" w:hAnsi="Times New Roman" w:cs="Times New Roman"/>
                <w:color w:val="auto"/>
                <w:sz w:val="21"/>
                <w:highlight w:val="none"/>
                <w:lang w:eastAsia="zh-CN"/>
              </w:rPr>
              <w:t>。</w:t>
            </w:r>
          </w:p>
          <w:p w14:paraId="40B9E182">
            <w:pPr>
              <w:keepNext w:val="0"/>
              <w:keepLines w:val="0"/>
              <w:pageBreakBefore w:val="0"/>
              <w:kinsoku/>
              <w:overflowPunct/>
              <w:topLinePunct w:val="0"/>
              <w:bidi w:val="0"/>
              <w:snapToGrid w:val="0"/>
              <w:ind w:left="0" w:leftChars="0" w:right="0" w:rightChars="0" w:firstLine="420" w:firstLineChars="200"/>
              <w:textAlignment w:val="auto"/>
              <w:outlineLvl w:val="9"/>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（注：税收贡献度=纳税总额/</w:t>
            </w:r>
            <w:r>
              <w:rPr>
                <w:rFonts w:hint="eastAsia" w:cs="Times New Roman"/>
                <w:color w:val="auto"/>
                <w:sz w:val="21"/>
                <w:highlight w:val="none"/>
                <w:lang w:eastAsia="zh-CN"/>
              </w:rPr>
              <w:t>年</w:t>
            </w:r>
            <w:r>
              <w:rPr>
                <w:rFonts w:hint="default" w:ascii="Times New Roman" w:hAnsi="Times New Roman" w:cs="Times New Roman"/>
                <w:color w:val="auto"/>
                <w:sz w:val="21"/>
                <w:highlight w:val="none"/>
              </w:rPr>
              <w:t>均净资产×100%，）</w:t>
            </w:r>
          </w:p>
        </w:tc>
        <w:tc>
          <w:tcPr>
            <w:tcW w:w="705" w:type="dxa"/>
            <w:noWrap w:val="0"/>
            <w:vAlign w:val="top"/>
          </w:tcPr>
          <w:p w14:paraId="0DD0B070">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00AB7A1D">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5792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33" w:type="dxa"/>
            <w:vMerge w:val="restart"/>
            <w:noWrap w:val="0"/>
            <w:vAlign w:val="center"/>
          </w:tcPr>
          <w:p w14:paraId="625B1CDD">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四、</w:t>
            </w:r>
          </w:p>
          <w:p w14:paraId="7DAE8B9D">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风险</w:t>
            </w:r>
          </w:p>
          <w:p w14:paraId="6E054422">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控制</w:t>
            </w:r>
          </w:p>
          <w:p w14:paraId="1715AA6B">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方正仿宋_GBK" w:cs="Times New Roman"/>
                <w:color w:val="auto"/>
                <w:sz w:val="28"/>
                <w:szCs w:val="28"/>
                <w:highlight w:val="none"/>
              </w:rPr>
            </w:pPr>
            <w:r>
              <w:rPr>
                <w:rFonts w:hint="default" w:ascii="Times New Roman" w:hAnsi="Times New Roman" w:eastAsia="黑体" w:cs="Times New Roman"/>
                <w:color w:val="auto"/>
                <w:sz w:val="24"/>
                <w:szCs w:val="24"/>
                <w:highlight w:val="none"/>
              </w:rPr>
              <w:t>(20分）</w:t>
            </w:r>
          </w:p>
        </w:tc>
        <w:tc>
          <w:tcPr>
            <w:tcW w:w="1536" w:type="dxa"/>
            <w:noWrap w:val="0"/>
            <w:vAlign w:val="center"/>
          </w:tcPr>
          <w:p w14:paraId="7537374C">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（2</w:t>
            </w:r>
            <w:r>
              <w:rPr>
                <w:rFonts w:hint="eastAsia" w:eastAsia="仿宋" w:cs="Times New Roman"/>
                <w:b/>
                <w:bCs/>
                <w:color w:val="auto"/>
                <w:sz w:val="24"/>
                <w:szCs w:val="24"/>
                <w:highlight w:val="none"/>
                <w:lang w:val="en-US" w:eastAsia="zh-CN"/>
              </w:rPr>
              <w:t>1</w:t>
            </w:r>
            <w:r>
              <w:rPr>
                <w:rFonts w:hint="default" w:ascii="Times New Roman" w:hAnsi="Times New Roman" w:eastAsia="仿宋" w:cs="Times New Roman"/>
                <w:b/>
                <w:bCs/>
                <w:color w:val="auto"/>
                <w:sz w:val="24"/>
                <w:szCs w:val="24"/>
                <w:highlight w:val="none"/>
              </w:rPr>
              <w:t>）</w:t>
            </w:r>
          </w:p>
          <w:p w14:paraId="26CAB6C4">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内控执行</w:t>
            </w:r>
          </w:p>
        </w:tc>
        <w:tc>
          <w:tcPr>
            <w:tcW w:w="504" w:type="dxa"/>
            <w:noWrap w:val="0"/>
            <w:vAlign w:val="center"/>
          </w:tcPr>
          <w:p w14:paraId="20F0C0E8">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10</w:t>
            </w:r>
          </w:p>
        </w:tc>
        <w:tc>
          <w:tcPr>
            <w:tcW w:w="8992" w:type="dxa"/>
            <w:noWrap w:val="0"/>
            <w:vAlign w:val="center"/>
          </w:tcPr>
          <w:p w14:paraId="2BA74DD2">
            <w:pPr>
              <w:keepNext w:val="0"/>
              <w:keepLines w:val="0"/>
              <w:pageBreakBefore w:val="0"/>
              <w:kinsoku/>
              <w:overflowPunct/>
              <w:topLinePunct w:val="0"/>
              <w:bidi w:val="0"/>
              <w:snapToGrid w:val="0"/>
              <w:ind w:left="0" w:leftChars="0" w:right="0" w:rightChars="0" w:firstLine="435"/>
              <w:textAlignment w:val="auto"/>
              <w:outlineLvl w:val="9"/>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建立《收当、续当、赎当查验证件（照）制度》《当物查验、保管制度》《通缉协查核对制度》《可疑情况报告制度》《配备保安人员制度》</w:t>
            </w:r>
            <w:r>
              <w:rPr>
                <w:rFonts w:hint="default" w:ascii="Times New Roman" w:hAnsi="Times New Roman" w:cs="Times New Roman"/>
                <w:color w:val="auto"/>
                <w:sz w:val="21"/>
                <w:highlight w:val="none"/>
                <w:lang w:eastAsia="zh-CN"/>
              </w:rPr>
              <w:t>等</w:t>
            </w:r>
            <w:r>
              <w:rPr>
                <w:rFonts w:hint="default" w:ascii="Times New Roman" w:hAnsi="Times New Roman" w:cs="Times New Roman"/>
                <w:color w:val="auto"/>
                <w:sz w:val="21"/>
                <w:highlight w:val="none"/>
              </w:rPr>
              <w:t>制度得</w:t>
            </w:r>
            <w:r>
              <w:rPr>
                <w:rFonts w:hint="default" w:ascii="Times New Roman" w:hAnsi="Times New Roman" w:cs="Times New Roman"/>
                <w:color w:val="auto"/>
                <w:sz w:val="21"/>
                <w:highlight w:val="none"/>
                <w:lang w:val="en-US" w:eastAsia="zh-CN"/>
              </w:rPr>
              <w:t>10</w:t>
            </w:r>
            <w:r>
              <w:rPr>
                <w:rFonts w:hint="default" w:ascii="Times New Roman" w:hAnsi="Times New Roman" w:cs="Times New Roman"/>
                <w:color w:val="auto"/>
                <w:sz w:val="21"/>
                <w:highlight w:val="none"/>
              </w:rPr>
              <w:t>分，缺一项扣</w:t>
            </w:r>
            <w:r>
              <w:rPr>
                <w:rFonts w:hint="default" w:ascii="Times New Roman" w:hAnsi="Times New Roman" w:cs="Times New Roman"/>
                <w:color w:val="auto"/>
                <w:sz w:val="21"/>
                <w:highlight w:val="none"/>
                <w:lang w:val="en-US" w:eastAsia="zh-CN"/>
              </w:rPr>
              <w:t>2</w:t>
            </w:r>
            <w:r>
              <w:rPr>
                <w:rFonts w:hint="default" w:ascii="Times New Roman" w:hAnsi="Times New Roman" w:cs="Times New Roman"/>
                <w:color w:val="auto"/>
                <w:sz w:val="21"/>
                <w:highlight w:val="none"/>
              </w:rPr>
              <w:t>分。</w:t>
            </w:r>
          </w:p>
        </w:tc>
        <w:tc>
          <w:tcPr>
            <w:tcW w:w="705" w:type="dxa"/>
            <w:noWrap w:val="0"/>
            <w:vAlign w:val="top"/>
          </w:tcPr>
          <w:p w14:paraId="26FE7C0A">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266D0FBC">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2043D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1133" w:type="dxa"/>
            <w:vMerge w:val="continue"/>
            <w:noWrap w:val="0"/>
            <w:vAlign w:val="top"/>
          </w:tcPr>
          <w:p w14:paraId="1DE03D99">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方正仿宋_GBK" w:cs="Times New Roman"/>
                <w:color w:val="auto"/>
                <w:sz w:val="28"/>
                <w:szCs w:val="28"/>
                <w:highlight w:val="none"/>
              </w:rPr>
            </w:pPr>
          </w:p>
        </w:tc>
        <w:tc>
          <w:tcPr>
            <w:tcW w:w="1536" w:type="dxa"/>
            <w:noWrap w:val="0"/>
            <w:vAlign w:val="center"/>
          </w:tcPr>
          <w:p w14:paraId="56F1501E">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（2</w:t>
            </w:r>
            <w:r>
              <w:rPr>
                <w:rFonts w:hint="eastAsia" w:eastAsia="仿宋" w:cs="Times New Roman"/>
                <w:b/>
                <w:bCs/>
                <w:color w:val="auto"/>
                <w:sz w:val="24"/>
                <w:szCs w:val="24"/>
                <w:highlight w:val="none"/>
                <w:lang w:val="en-US" w:eastAsia="zh-CN"/>
              </w:rPr>
              <w:t>2</w:t>
            </w:r>
            <w:r>
              <w:rPr>
                <w:rFonts w:hint="default" w:ascii="Times New Roman" w:hAnsi="Times New Roman" w:eastAsia="仿宋" w:cs="Times New Roman"/>
                <w:b/>
                <w:bCs/>
                <w:color w:val="auto"/>
                <w:sz w:val="24"/>
                <w:szCs w:val="24"/>
                <w:highlight w:val="none"/>
              </w:rPr>
              <w:t>）</w:t>
            </w:r>
          </w:p>
          <w:p w14:paraId="49D49794">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风险控制</w:t>
            </w:r>
          </w:p>
        </w:tc>
        <w:tc>
          <w:tcPr>
            <w:tcW w:w="504" w:type="dxa"/>
            <w:noWrap w:val="0"/>
            <w:vAlign w:val="center"/>
          </w:tcPr>
          <w:p w14:paraId="644F220B">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10</w:t>
            </w:r>
          </w:p>
        </w:tc>
        <w:tc>
          <w:tcPr>
            <w:tcW w:w="8992" w:type="dxa"/>
            <w:noWrap w:val="0"/>
            <w:vAlign w:val="center"/>
          </w:tcPr>
          <w:p w14:paraId="103BB04B">
            <w:pPr>
              <w:pStyle w:val="2"/>
              <w:keepNext w:val="0"/>
              <w:keepLines w:val="0"/>
              <w:pageBreakBefore w:val="0"/>
              <w:kinsoku/>
              <w:overflowPunct/>
              <w:topLinePunct w:val="0"/>
              <w:bidi w:val="0"/>
              <w:snapToGrid w:val="0"/>
              <w:spacing w:beforeLines="0" w:afterLines="0" w:line="280" w:lineRule="exact"/>
              <w:ind w:left="0" w:leftChars="0" w:right="0" w:rightChars="0" w:firstLine="420" w:firstLineChars="200"/>
              <w:textAlignment w:val="auto"/>
              <w:outlineLvl w:val="9"/>
              <w:rPr>
                <w:rFonts w:hint="default" w:ascii="Times New Roman" w:hAnsi="Times New Roman" w:cs="Times New Roman"/>
                <w:color w:val="auto"/>
                <w:sz w:val="21"/>
                <w:highlight w:val="none"/>
              </w:rPr>
            </w:pPr>
            <w:r>
              <w:rPr>
                <w:rFonts w:hint="default" w:ascii="Times New Roman" w:hAnsi="Times New Roman" w:cs="Times New Roman"/>
                <w:bCs w:val="0"/>
                <w:color w:val="auto"/>
                <w:kern w:val="2"/>
                <w:sz w:val="21"/>
                <w:szCs w:val="24"/>
                <w:highlight w:val="none"/>
                <w:lang w:val="en-US" w:eastAsia="zh-CN" w:bidi="ar-SA"/>
              </w:rPr>
              <w:t>1.</w:t>
            </w:r>
            <w:r>
              <w:rPr>
                <w:rFonts w:hint="default" w:ascii="Times New Roman" w:hAnsi="Times New Roman" w:cs="Times New Roman"/>
                <w:color w:val="auto"/>
                <w:kern w:val="2"/>
                <w:sz w:val="21"/>
                <w:szCs w:val="24"/>
                <w:highlight w:val="none"/>
                <w:lang w:val="en-US" w:eastAsia="zh-CN" w:bidi="ar-SA"/>
              </w:rPr>
              <w:t>对当</w:t>
            </w:r>
            <w:r>
              <w:rPr>
                <w:rFonts w:hint="default" w:ascii="Times New Roman" w:hAnsi="Times New Roman" w:cs="Times New Roman"/>
                <w:color w:val="auto"/>
                <w:sz w:val="21"/>
                <w:highlight w:val="none"/>
              </w:rPr>
              <w:t>物有严格审慎的评估制度；建立有</w:t>
            </w:r>
            <w:r>
              <w:rPr>
                <w:rFonts w:hint="default" w:ascii="Times New Roman" w:hAnsi="Times New Roman" w:cs="Times New Roman"/>
                <w:color w:val="auto"/>
                <w:sz w:val="21"/>
                <w:highlight w:val="none"/>
                <w:lang w:eastAsia="zh-CN"/>
              </w:rPr>
              <w:t>针对</w:t>
            </w:r>
            <w:r>
              <w:rPr>
                <w:rFonts w:hint="default" w:ascii="Times New Roman" w:hAnsi="Times New Roman" w:cs="Times New Roman"/>
                <w:color w:val="auto"/>
                <w:sz w:val="21"/>
                <w:highlight w:val="none"/>
              </w:rPr>
              <w:t>不同风险当物的管理</w:t>
            </w:r>
            <w:r>
              <w:rPr>
                <w:rFonts w:hint="default" w:ascii="Times New Roman" w:hAnsi="Times New Roman" w:cs="Times New Roman"/>
                <w:color w:val="auto"/>
                <w:sz w:val="21"/>
                <w:highlight w:val="none"/>
                <w:lang w:eastAsia="zh-CN"/>
              </w:rPr>
              <w:t>应对</w:t>
            </w:r>
            <w:r>
              <w:rPr>
                <w:rFonts w:hint="default" w:ascii="Times New Roman" w:hAnsi="Times New Roman" w:cs="Times New Roman"/>
                <w:color w:val="auto"/>
                <w:sz w:val="21"/>
                <w:highlight w:val="none"/>
              </w:rPr>
              <w:t>制度和举措，对特定当物有严格的保管措施；因绝当造成损失的在企业可承受范围内</w:t>
            </w:r>
            <w:r>
              <w:rPr>
                <w:rFonts w:hint="default" w:ascii="Times New Roman" w:hAnsi="Times New Roman" w:cs="Times New Roman"/>
                <w:color w:val="auto"/>
                <w:sz w:val="21"/>
                <w:highlight w:val="none"/>
                <w:lang w:eastAsia="zh-CN"/>
              </w:rPr>
              <w:t>（</w:t>
            </w:r>
            <w:r>
              <w:rPr>
                <w:rFonts w:hint="default" w:ascii="Times New Roman" w:hAnsi="Times New Roman" w:cs="Times New Roman"/>
                <w:color w:val="auto"/>
                <w:sz w:val="21"/>
                <w:highlight w:val="none"/>
              </w:rPr>
              <w:t>注册资</w:t>
            </w:r>
            <w:r>
              <w:rPr>
                <w:rFonts w:hint="eastAsia" w:ascii="Times New Roman" w:hAnsi="Times New Roman" w:cs="Times New Roman"/>
                <w:color w:val="auto"/>
                <w:sz w:val="21"/>
                <w:highlight w:val="none"/>
                <w:lang w:eastAsia="zh-CN"/>
              </w:rPr>
              <w:t>本</w:t>
            </w:r>
            <w:r>
              <w:rPr>
                <w:rFonts w:hint="default" w:ascii="Times New Roman" w:hAnsi="Times New Roman" w:cs="Times New Roman"/>
                <w:color w:val="auto"/>
                <w:sz w:val="21"/>
                <w:highlight w:val="none"/>
              </w:rPr>
              <w:t>25%以下</w:t>
            </w:r>
            <w:r>
              <w:rPr>
                <w:rFonts w:hint="default" w:ascii="Times New Roman" w:hAnsi="Times New Roman" w:cs="Times New Roman"/>
                <w:color w:val="auto"/>
                <w:sz w:val="21"/>
                <w:highlight w:val="none"/>
                <w:lang w:eastAsia="zh-CN"/>
              </w:rPr>
              <w:t>），</w:t>
            </w:r>
            <w:r>
              <w:rPr>
                <w:rFonts w:hint="default" w:ascii="Times New Roman" w:hAnsi="Times New Roman" w:cs="Times New Roman"/>
                <w:color w:val="auto"/>
                <w:sz w:val="21"/>
                <w:highlight w:val="none"/>
                <w:lang w:val="en-US" w:eastAsia="zh-CN"/>
              </w:rPr>
              <w:t>得8</w:t>
            </w:r>
            <w:r>
              <w:rPr>
                <w:rFonts w:hint="default" w:ascii="Times New Roman" w:hAnsi="Times New Roman" w:cs="Times New Roman"/>
                <w:color w:val="auto"/>
                <w:sz w:val="21"/>
                <w:highlight w:val="none"/>
              </w:rPr>
              <w:t>分。</w:t>
            </w:r>
            <w:r>
              <w:rPr>
                <w:rFonts w:hint="default" w:ascii="Times New Roman" w:hAnsi="Times New Roman" w:cs="Times New Roman"/>
                <w:color w:val="auto"/>
                <w:sz w:val="21"/>
                <w:highlight w:val="none"/>
                <w:lang w:eastAsia="zh-CN"/>
              </w:rPr>
              <w:t>制度</w:t>
            </w:r>
            <w:r>
              <w:rPr>
                <w:rFonts w:hint="default" w:ascii="Times New Roman" w:hAnsi="Times New Roman" w:cs="Times New Roman"/>
                <w:color w:val="auto"/>
                <w:sz w:val="21"/>
                <w:highlight w:val="none"/>
              </w:rPr>
              <w:t>缺失或造成了较大风险损失的酌情扣1</w:t>
            </w:r>
            <w:r>
              <w:rPr>
                <w:rFonts w:hint="default" w:ascii="Times New Roman" w:hAnsi="Times New Roman" w:cs="Times New Roman"/>
                <w:color w:val="auto"/>
                <w:sz w:val="21"/>
                <w:highlight w:val="none"/>
                <w:lang w:val="en-US" w:eastAsia="zh-CN"/>
              </w:rPr>
              <w:t>-8</w:t>
            </w:r>
            <w:r>
              <w:rPr>
                <w:rFonts w:hint="default" w:ascii="Times New Roman" w:hAnsi="Times New Roman" w:cs="Times New Roman"/>
                <w:color w:val="auto"/>
                <w:sz w:val="21"/>
                <w:highlight w:val="none"/>
              </w:rPr>
              <w:t>分。</w:t>
            </w:r>
          </w:p>
          <w:p w14:paraId="7D1799CE">
            <w:pPr>
              <w:pStyle w:val="2"/>
              <w:keepNext w:val="0"/>
              <w:keepLines w:val="0"/>
              <w:pageBreakBefore w:val="0"/>
              <w:kinsoku/>
              <w:overflowPunct/>
              <w:topLinePunct w:val="0"/>
              <w:bidi w:val="0"/>
              <w:snapToGrid w:val="0"/>
              <w:spacing w:beforeLines="0" w:afterLines="0" w:line="280" w:lineRule="exact"/>
              <w:ind w:left="0" w:leftChars="0" w:right="0" w:rightChars="0" w:firstLine="420" w:firstLineChars="200"/>
              <w:textAlignment w:val="auto"/>
              <w:outlineLvl w:val="9"/>
              <w:rPr>
                <w:rFonts w:hint="default" w:ascii="Times New Roman" w:hAnsi="Times New Roman" w:eastAsia="仿宋_GB2312" w:cs="Times New Roman"/>
                <w:color w:val="auto"/>
                <w:sz w:val="21"/>
                <w:highlight w:val="none"/>
                <w:lang w:eastAsia="zh-CN"/>
              </w:rPr>
            </w:pPr>
            <w:r>
              <w:rPr>
                <w:rFonts w:hint="default" w:ascii="Times New Roman" w:hAnsi="Times New Roman" w:cs="Times New Roman"/>
                <w:bCs w:val="0"/>
                <w:color w:val="auto"/>
                <w:kern w:val="2"/>
                <w:sz w:val="21"/>
                <w:szCs w:val="21"/>
                <w:highlight w:val="none"/>
                <w:lang w:val="en-US" w:eastAsia="zh-CN" w:bidi="ar-SA"/>
              </w:rPr>
              <w:t>2.建立健全风险预警机制，做好风险预警和信息报送工作，按规定向属地监管部门报送风险监测预警信息、风险处置报告等得2分，否则不得分。</w:t>
            </w:r>
          </w:p>
        </w:tc>
        <w:tc>
          <w:tcPr>
            <w:tcW w:w="705" w:type="dxa"/>
            <w:noWrap w:val="0"/>
            <w:vAlign w:val="top"/>
          </w:tcPr>
          <w:p w14:paraId="509F4023">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2C732DD2">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1046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1133" w:type="dxa"/>
            <w:vMerge w:val="restart"/>
            <w:noWrap w:val="0"/>
            <w:vAlign w:val="center"/>
          </w:tcPr>
          <w:p w14:paraId="6CBB5D00">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五、</w:t>
            </w:r>
          </w:p>
          <w:p w14:paraId="59EF2AB9">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eastAsia" w:eastAsia="黑体"/>
                <w:color w:val="auto"/>
                <w:sz w:val="28"/>
                <w:szCs w:val="28"/>
                <w:highlight w:val="none"/>
              </w:rPr>
            </w:pPr>
            <w:r>
              <w:rPr>
                <w:rFonts w:hint="eastAsia" w:eastAsia="黑体"/>
                <w:color w:val="auto"/>
                <w:sz w:val="28"/>
                <w:szCs w:val="28"/>
                <w:highlight w:val="none"/>
              </w:rPr>
              <w:t>配合</w:t>
            </w:r>
          </w:p>
          <w:p w14:paraId="268BF3B0">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eastAsia" w:eastAsia="黑体" w:cs="Times New Roman"/>
                <w:color w:val="auto"/>
                <w:sz w:val="28"/>
                <w:szCs w:val="28"/>
                <w:highlight w:val="none"/>
                <w:lang w:val="en-US" w:eastAsia="zh-CN"/>
              </w:rPr>
            </w:pPr>
            <w:r>
              <w:rPr>
                <w:rFonts w:hint="eastAsia" w:eastAsia="黑体"/>
                <w:color w:val="auto"/>
                <w:sz w:val="28"/>
                <w:szCs w:val="28"/>
                <w:highlight w:val="none"/>
              </w:rPr>
              <w:t>监管</w:t>
            </w:r>
          </w:p>
          <w:p w14:paraId="53ACAD43">
            <w:pPr>
              <w:snapToGrid w:val="0"/>
              <w:spacing w:line="400" w:lineRule="exact"/>
              <w:jc w:val="center"/>
              <w:outlineLvl w:val="9"/>
              <w:rPr>
                <w:rFonts w:hint="default"/>
                <w:color w:val="auto"/>
                <w:highlight w:val="none"/>
              </w:rPr>
            </w:pPr>
            <w:r>
              <w:rPr>
                <w:rFonts w:hint="default" w:ascii="Times New Roman" w:hAnsi="Times New Roman" w:eastAsia="黑体" w:cs="Times New Roman"/>
                <w:color w:val="auto"/>
                <w:sz w:val="24"/>
                <w:szCs w:val="24"/>
                <w:highlight w:val="none"/>
              </w:rPr>
              <w:t>（</w:t>
            </w:r>
            <w:r>
              <w:rPr>
                <w:rFonts w:hint="eastAsia" w:eastAsia="黑体" w:cs="Times New Roman"/>
                <w:color w:val="auto"/>
                <w:sz w:val="24"/>
                <w:szCs w:val="24"/>
                <w:highlight w:val="none"/>
                <w:lang w:val="en-US" w:eastAsia="zh-CN"/>
              </w:rPr>
              <w:t>8</w:t>
            </w:r>
            <w:r>
              <w:rPr>
                <w:rFonts w:hint="default" w:ascii="Times New Roman" w:hAnsi="Times New Roman" w:eastAsia="黑体" w:cs="Times New Roman"/>
                <w:color w:val="auto"/>
                <w:sz w:val="24"/>
                <w:szCs w:val="24"/>
                <w:highlight w:val="none"/>
                <w:lang w:val="en-US" w:eastAsia="zh-CN"/>
              </w:rPr>
              <w:t>0</w:t>
            </w:r>
            <w:r>
              <w:rPr>
                <w:rFonts w:hint="default" w:ascii="Times New Roman" w:hAnsi="Times New Roman" w:eastAsia="黑体" w:cs="Times New Roman"/>
                <w:color w:val="auto"/>
                <w:sz w:val="24"/>
                <w:szCs w:val="24"/>
                <w:highlight w:val="none"/>
              </w:rPr>
              <w:t>分）</w:t>
            </w:r>
          </w:p>
        </w:tc>
        <w:tc>
          <w:tcPr>
            <w:tcW w:w="1536" w:type="dxa"/>
            <w:noWrap w:val="0"/>
            <w:vAlign w:val="center"/>
          </w:tcPr>
          <w:p w14:paraId="1BE5447F">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（2</w:t>
            </w:r>
            <w:r>
              <w:rPr>
                <w:rFonts w:hint="eastAsia" w:eastAsia="仿宋" w:cs="Times New Roman"/>
                <w:b/>
                <w:bCs/>
                <w:color w:val="auto"/>
                <w:sz w:val="24"/>
                <w:szCs w:val="24"/>
                <w:highlight w:val="none"/>
                <w:lang w:val="en-US" w:eastAsia="zh-CN"/>
              </w:rPr>
              <w:t>3</w:t>
            </w:r>
            <w:r>
              <w:rPr>
                <w:rFonts w:hint="default" w:ascii="Times New Roman" w:hAnsi="Times New Roman" w:eastAsia="仿宋" w:cs="Times New Roman"/>
                <w:b/>
                <w:bCs/>
                <w:color w:val="auto"/>
                <w:sz w:val="24"/>
                <w:szCs w:val="24"/>
                <w:highlight w:val="none"/>
              </w:rPr>
              <w:t>）</w:t>
            </w:r>
          </w:p>
          <w:p w14:paraId="2400CC45">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eastAsia="仿宋"/>
                <w:b/>
                <w:bCs/>
                <w:color w:val="auto"/>
                <w:sz w:val="24"/>
                <w:highlight w:val="none"/>
              </w:rPr>
              <w:t>监管配合</w:t>
            </w:r>
          </w:p>
        </w:tc>
        <w:tc>
          <w:tcPr>
            <w:tcW w:w="504" w:type="dxa"/>
            <w:noWrap w:val="0"/>
            <w:vAlign w:val="center"/>
          </w:tcPr>
          <w:p w14:paraId="53CB865E">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r>
              <w:rPr>
                <w:rFonts w:hint="eastAsia" w:eastAsia="宋体" w:cs="Times New Roman"/>
                <w:b/>
                <w:bCs/>
                <w:color w:val="auto"/>
                <w:sz w:val="24"/>
                <w:szCs w:val="24"/>
                <w:highlight w:val="none"/>
                <w:lang w:val="en-US" w:eastAsia="zh-CN"/>
              </w:rPr>
              <w:t>25</w:t>
            </w:r>
          </w:p>
        </w:tc>
        <w:tc>
          <w:tcPr>
            <w:tcW w:w="8992" w:type="dxa"/>
            <w:noWrap w:val="0"/>
            <w:vAlign w:val="center"/>
          </w:tcPr>
          <w:p w14:paraId="684DE96C">
            <w:pPr>
              <w:keepNext w:val="0"/>
              <w:keepLines w:val="0"/>
              <w:pageBreakBefore w:val="0"/>
              <w:numPr>
                <w:ilvl w:val="0"/>
                <w:numId w:val="0"/>
              </w:numPr>
              <w:kinsoku/>
              <w:overflowPunct/>
              <w:topLinePunct w:val="0"/>
              <w:bidi w:val="0"/>
              <w:snapToGrid w:val="0"/>
              <w:spacing w:beforeLines="0" w:afterLines="0"/>
              <w:ind w:left="0" w:leftChars="0" w:right="0" w:rightChars="0" w:firstLine="420" w:firstLineChars="200"/>
              <w:textAlignment w:val="auto"/>
              <w:outlineLvl w:val="9"/>
              <w:rPr>
                <w:rFonts w:hint="default"/>
                <w:color w:val="auto"/>
                <w:sz w:val="21"/>
                <w:szCs w:val="21"/>
                <w:highlight w:val="none"/>
              </w:rPr>
            </w:pPr>
            <w:r>
              <w:rPr>
                <w:rFonts w:hint="eastAsia" w:cs="Times New Roman"/>
                <w:bCs w:val="0"/>
                <w:color w:val="auto"/>
                <w:sz w:val="21"/>
                <w:szCs w:val="21"/>
                <w:highlight w:val="none"/>
                <w:lang w:val="en-US" w:eastAsia="zh-CN"/>
              </w:rPr>
              <w:t>1</w:t>
            </w:r>
            <w:r>
              <w:rPr>
                <w:rFonts w:hint="default" w:cs="Times New Roman"/>
                <w:bCs w:val="0"/>
                <w:color w:val="auto"/>
                <w:sz w:val="21"/>
                <w:szCs w:val="21"/>
                <w:highlight w:val="none"/>
                <w:lang w:val="en-US" w:eastAsia="zh-CN"/>
              </w:rPr>
              <w:t>.</w:t>
            </w:r>
            <w:r>
              <w:rPr>
                <w:rFonts w:hint="eastAsia"/>
                <w:color w:val="auto"/>
                <w:sz w:val="21"/>
                <w:szCs w:val="21"/>
                <w:highlight w:val="none"/>
                <w:lang w:val="en-US" w:eastAsia="zh-CN"/>
              </w:rPr>
              <w:t>按照</w:t>
            </w:r>
            <w:r>
              <w:rPr>
                <w:rFonts w:hint="default"/>
                <w:color w:val="auto"/>
                <w:sz w:val="21"/>
                <w:szCs w:val="21"/>
                <w:highlight w:val="none"/>
              </w:rPr>
              <w:t>监管部门要求，执行相关监管规定，认真配合开展现场检查及非现场监管工作，对监管提示问题及时改正，得</w:t>
            </w:r>
            <w:r>
              <w:rPr>
                <w:rFonts w:hint="default"/>
                <w:color w:val="auto"/>
                <w:sz w:val="21"/>
                <w:szCs w:val="21"/>
                <w:highlight w:val="none"/>
                <w:shd w:val="clear" w:color="auto" w:fill="auto"/>
                <w:lang w:eastAsia="zh-CN"/>
              </w:rPr>
              <w:t>1</w:t>
            </w:r>
            <w:r>
              <w:rPr>
                <w:rFonts w:hint="default"/>
                <w:color w:val="auto"/>
                <w:sz w:val="21"/>
                <w:szCs w:val="21"/>
                <w:highlight w:val="none"/>
                <w:shd w:val="clear" w:color="auto" w:fill="auto"/>
                <w:lang w:val="en-US" w:eastAsia="zh-CN"/>
              </w:rPr>
              <w:t>0</w:t>
            </w:r>
            <w:r>
              <w:rPr>
                <w:rFonts w:hint="default"/>
                <w:color w:val="auto"/>
                <w:sz w:val="21"/>
                <w:szCs w:val="21"/>
                <w:highlight w:val="none"/>
              </w:rPr>
              <w:t>分；不予配合的、未在规定期限整改到位的不得分</w:t>
            </w:r>
            <w:r>
              <w:rPr>
                <w:rFonts w:hint="default" w:cs="Times New Roman"/>
                <w:color w:val="auto"/>
                <w:sz w:val="21"/>
                <w:szCs w:val="21"/>
                <w:highlight w:val="none"/>
                <w:lang w:eastAsia="zh-CN"/>
              </w:rPr>
              <w:t>，</w:t>
            </w:r>
            <w:r>
              <w:rPr>
                <w:rFonts w:hint="default" w:cs="Times New Roman"/>
                <w:color w:val="auto"/>
                <w:sz w:val="21"/>
                <w:szCs w:val="21"/>
                <w:highlight w:val="none"/>
                <w:lang w:val="en-US" w:eastAsia="zh-CN"/>
              </w:rPr>
              <w:t>且</w:t>
            </w:r>
            <w:r>
              <w:rPr>
                <w:rFonts w:hint="default" w:ascii="Times New Roman" w:hAnsi="Times New Roman" w:cs="Times New Roman"/>
                <w:color w:val="auto"/>
                <w:kern w:val="2"/>
                <w:sz w:val="21"/>
                <w:szCs w:val="21"/>
                <w:highlight w:val="none"/>
              </w:rPr>
              <w:t>最高只可评为</w:t>
            </w:r>
            <w:r>
              <w:rPr>
                <w:rFonts w:hint="default" w:cs="Times New Roman"/>
                <w:color w:val="auto"/>
                <w:kern w:val="2"/>
                <w:sz w:val="21"/>
                <w:szCs w:val="21"/>
                <w:highlight w:val="none"/>
                <w:lang w:val="en-US" w:eastAsia="zh-CN"/>
              </w:rPr>
              <w:t>C</w:t>
            </w:r>
            <w:r>
              <w:rPr>
                <w:rFonts w:hint="default" w:ascii="Times New Roman" w:hAnsi="Times New Roman" w:cs="Times New Roman"/>
                <w:color w:val="auto"/>
                <w:kern w:val="2"/>
                <w:sz w:val="21"/>
                <w:szCs w:val="21"/>
                <w:highlight w:val="none"/>
              </w:rPr>
              <w:t>级</w:t>
            </w:r>
            <w:r>
              <w:rPr>
                <w:rFonts w:hint="default"/>
                <w:color w:val="auto"/>
                <w:sz w:val="21"/>
                <w:szCs w:val="21"/>
                <w:highlight w:val="none"/>
              </w:rPr>
              <w:t>。</w:t>
            </w:r>
          </w:p>
          <w:p w14:paraId="243A8991">
            <w:pPr>
              <w:keepNext w:val="0"/>
              <w:keepLines w:val="0"/>
              <w:pageBreakBefore w:val="0"/>
              <w:numPr>
                <w:ilvl w:val="0"/>
                <w:numId w:val="0"/>
              </w:numPr>
              <w:kinsoku/>
              <w:overflowPunct/>
              <w:topLinePunct w:val="0"/>
              <w:bidi w:val="0"/>
              <w:snapToGrid w:val="0"/>
              <w:spacing w:beforeLines="0" w:afterLines="0"/>
              <w:ind w:left="0" w:leftChars="0" w:right="0" w:rightChars="0" w:firstLine="420" w:firstLineChars="200"/>
              <w:textAlignment w:val="auto"/>
              <w:outlineLvl w:val="9"/>
              <w:rPr>
                <w:rFonts w:hint="default" w:cs="Times New Roman"/>
                <w:bCs w:val="0"/>
                <w:color w:val="auto"/>
                <w:sz w:val="21"/>
                <w:szCs w:val="21"/>
                <w:highlight w:val="none"/>
                <w:lang w:val="en-US" w:eastAsia="zh-CN"/>
              </w:rPr>
            </w:pPr>
            <w:r>
              <w:rPr>
                <w:rFonts w:hint="eastAsia" w:cs="Times New Roman"/>
                <w:bCs w:val="0"/>
                <w:color w:val="auto"/>
                <w:sz w:val="21"/>
                <w:szCs w:val="21"/>
                <w:highlight w:val="none"/>
                <w:lang w:val="en-US" w:eastAsia="zh-CN"/>
              </w:rPr>
              <w:t>2</w:t>
            </w:r>
            <w:r>
              <w:rPr>
                <w:rFonts w:hint="default" w:ascii="Times New Roman" w:hAnsi="Times New Roman" w:cs="Times New Roman"/>
                <w:bCs w:val="0"/>
                <w:color w:val="auto"/>
                <w:sz w:val="21"/>
                <w:szCs w:val="21"/>
                <w:highlight w:val="none"/>
              </w:rPr>
              <w:t>.参加</w:t>
            </w:r>
            <w:r>
              <w:rPr>
                <w:rFonts w:hint="default" w:cs="Times New Roman"/>
                <w:bCs w:val="0"/>
                <w:color w:val="auto"/>
                <w:sz w:val="21"/>
                <w:szCs w:val="21"/>
                <w:highlight w:val="none"/>
                <w:lang w:val="en-US" w:eastAsia="zh-CN"/>
              </w:rPr>
              <w:t>各级</w:t>
            </w:r>
            <w:r>
              <w:rPr>
                <w:rFonts w:hint="default" w:ascii="Times New Roman" w:hAnsi="Times New Roman" w:cs="Times New Roman"/>
                <w:bCs w:val="0"/>
                <w:color w:val="auto"/>
                <w:sz w:val="21"/>
                <w:szCs w:val="21"/>
                <w:highlight w:val="none"/>
              </w:rPr>
              <w:t>地方金融</w:t>
            </w:r>
            <w:r>
              <w:rPr>
                <w:rFonts w:hint="default" w:ascii="Times New Roman" w:hAnsi="Times New Roman" w:cs="Times New Roman"/>
                <w:bCs w:val="0"/>
                <w:color w:val="auto"/>
                <w:sz w:val="21"/>
                <w:szCs w:val="21"/>
                <w:highlight w:val="none"/>
                <w:lang w:eastAsia="zh-CN"/>
              </w:rPr>
              <w:t>管理</w:t>
            </w:r>
            <w:r>
              <w:rPr>
                <w:rFonts w:hint="default" w:cs="Times New Roman"/>
                <w:bCs w:val="0"/>
                <w:color w:val="auto"/>
                <w:sz w:val="21"/>
                <w:szCs w:val="21"/>
                <w:highlight w:val="none"/>
                <w:lang w:val="en-US" w:eastAsia="zh-CN"/>
              </w:rPr>
              <w:t>部门组织的培训、会议得10分，请假、迟到、早退不得分，拒绝参加的倒扣10分，</w:t>
            </w:r>
            <w:r>
              <w:rPr>
                <w:rFonts w:hint="default"/>
                <w:bCs w:val="0"/>
                <w:color w:val="auto"/>
                <w:sz w:val="21"/>
                <w:szCs w:val="21"/>
                <w:highlight w:val="none"/>
              </w:rPr>
              <w:t>且最高只可评为C级。</w:t>
            </w:r>
          </w:p>
          <w:p w14:paraId="314057F1">
            <w:pPr>
              <w:keepNext w:val="0"/>
              <w:keepLines w:val="0"/>
              <w:pageBreakBefore w:val="0"/>
              <w:kinsoku/>
              <w:overflowPunct/>
              <w:topLinePunct w:val="0"/>
              <w:bidi w:val="0"/>
              <w:snapToGrid w:val="0"/>
              <w:ind w:left="0" w:leftChars="0" w:right="0" w:rightChars="0" w:firstLine="420" w:firstLineChars="200"/>
              <w:textAlignment w:val="auto"/>
              <w:outlineLvl w:val="9"/>
              <w:rPr>
                <w:rFonts w:hint="default" w:ascii="Times New Roman" w:hAnsi="Times New Roman" w:cs="Times New Roman"/>
                <w:color w:val="auto"/>
                <w:sz w:val="21"/>
                <w:szCs w:val="21"/>
                <w:highlight w:val="none"/>
              </w:rPr>
            </w:pPr>
            <w:r>
              <w:rPr>
                <w:rFonts w:hint="eastAsia" w:cs="Times New Roman"/>
                <w:bCs w:val="0"/>
                <w:color w:val="auto"/>
                <w:sz w:val="21"/>
                <w:szCs w:val="21"/>
                <w:highlight w:val="none"/>
                <w:lang w:val="en-US" w:eastAsia="zh-CN"/>
              </w:rPr>
              <w:t>3</w:t>
            </w:r>
            <w:r>
              <w:rPr>
                <w:rFonts w:hint="default" w:cs="Times New Roman"/>
                <w:bCs w:val="0"/>
                <w:color w:val="auto"/>
                <w:sz w:val="21"/>
                <w:szCs w:val="21"/>
                <w:highlight w:val="none"/>
                <w:lang w:val="en-US" w:eastAsia="zh-CN"/>
              </w:rPr>
              <w:t>.妥善保管并认真学习行业法律法规、监管资料的得5分，否则酌情扣分，扣完为止。</w:t>
            </w:r>
          </w:p>
        </w:tc>
        <w:tc>
          <w:tcPr>
            <w:tcW w:w="705" w:type="dxa"/>
            <w:noWrap w:val="0"/>
            <w:vAlign w:val="top"/>
          </w:tcPr>
          <w:p w14:paraId="2E59CC6A">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031820CF">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63723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trPr>
        <w:tc>
          <w:tcPr>
            <w:tcW w:w="1133" w:type="dxa"/>
            <w:vMerge w:val="restart"/>
            <w:noWrap w:val="0"/>
            <w:vAlign w:val="center"/>
          </w:tcPr>
          <w:p w14:paraId="7CA93551">
            <w:pPr>
              <w:keepNext w:val="0"/>
              <w:keepLines w:val="0"/>
              <w:pageBreakBefore w:val="0"/>
              <w:kinsoku/>
              <w:overflowPunct/>
              <w:topLinePunct w:val="0"/>
              <w:bidi w:val="0"/>
              <w:snapToGrid/>
              <w:spacing w:line="240" w:lineRule="auto"/>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五、</w:t>
            </w:r>
          </w:p>
          <w:p w14:paraId="0E8DE356">
            <w:pPr>
              <w:keepNext w:val="0"/>
              <w:keepLines w:val="0"/>
              <w:pageBreakBefore w:val="0"/>
              <w:kinsoku/>
              <w:overflowPunct/>
              <w:topLinePunct w:val="0"/>
              <w:bidi w:val="0"/>
              <w:snapToGrid/>
              <w:spacing w:line="240" w:lineRule="auto"/>
              <w:ind w:left="0" w:leftChars="0" w:right="0" w:rightChars="0"/>
              <w:jc w:val="center"/>
              <w:textAlignment w:val="auto"/>
              <w:outlineLvl w:val="9"/>
              <w:rPr>
                <w:rFonts w:hint="eastAsia" w:eastAsia="黑体"/>
                <w:color w:val="auto"/>
                <w:sz w:val="28"/>
                <w:szCs w:val="28"/>
                <w:highlight w:val="none"/>
              </w:rPr>
            </w:pPr>
            <w:r>
              <w:rPr>
                <w:rFonts w:hint="eastAsia" w:eastAsia="黑体"/>
                <w:color w:val="auto"/>
                <w:sz w:val="28"/>
                <w:szCs w:val="28"/>
                <w:highlight w:val="none"/>
              </w:rPr>
              <w:t>配合</w:t>
            </w:r>
          </w:p>
          <w:p w14:paraId="5CC9A22B">
            <w:pPr>
              <w:keepNext w:val="0"/>
              <w:keepLines w:val="0"/>
              <w:pageBreakBefore w:val="0"/>
              <w:kinsoku/>
              <w:overflowPunct/>
              <w:topLinePunct w:val="0"/>
              <w:bidi w:val="0"/>
              <w:snapToGrid/>
              <w:spacing w:line="240" w:lineRule="auto"/>
              <w:ind w:left="0" w:leftChars="0" w:right="0" w:rightChars="0"/>
              <w:jc w:val="center"/>
              <w:textAlignment w:val="auto"/>
              <w:outlineLvl w:val="9"/>
              <w:rPr>
                <w:rFonts w:hint="eastAsia" w:eastAsia="黑体" w:cs="Times New Roman"/>
                <w:color w:val="auto"/>
                <w:sz w:val="28"/>
                <w:szCs w:val="28"/>
                <w:highlight w:val="none"/>
                <w:lang w:val="en-US" w:eastAsia="zh-CN"/>
              </w:rPr>
            </w:pPr>
            <w:r>
              <w:rPr>
                <w:rFonts w:hint="eastAsia" w:eastAsia="黑体"/>
                <w:color w:val="auto"/>
                <w:sz w:val="28"/>
                <w:szCs w:val="28"/>
                <w:highlight w:val="none"/>
              </w:rPr>
              <w:t>监管</w:t>
            </w:r>
          </w:p>
          <w:p w14:paraId="0ED60228">
            <w:pPr>
              <w:keepNext w:val="0"/>
              <w:keepLines w:val="0"/>
              <w:pageBreakBefore w:val="0"/>
              <w:kinsoku/>
              <w:overflowPunct/>
              <w:topLinePunct w:val="0"/>
              <w:bidi w:val="0"/>
              <w:snapToGrid/>
              <w:spacing w:line="240" w:lineRule="auto"/>
              <w:ind w:left="0" w:leftChars="0" w:right="0" w:rightChars="0"/>
              <w:jc w:val="left"/>
              <w:textAlignment w:val="auto"/>
              <w:outlineLvl w:val="9"/>
              <w:rPr>
                <w:rFonts w:hint="default" w:ascii="Times New Roman" w:hAnsi="Times New Roman" w:eastAsia="方正仿宋_GBK" w:cs="Times New Roman"/>
                <w:color w:val="auto"/>
                <w:szCs w:val="32"/>
                <w:highlight w:val="none"/>
              </w:rPr>
            </w:pPr>
            <w:r>
              <w:rPr>
                <w:rFonts w:hint="default" w:ascii="Times New Roman" w:hAnsi="Times New Roman" w:eastAsia="黑体" w:cs="Times New Roman"/>
                <w:color w:val="auto"/>
                <w:sz w:val="24"/>
                <w:szCs w:val="24"/>
                <w:highlight w:val="none"/>
              </w:rPr>
              <w:t>（</w:t>
            </w:r>
            <w:r>
              <w:rPr>
                <w:rFonts w:hint="eastAsia" w:eastAsia="黑体" w:cs="Times New Roman"/>
                <w:color w:val="auto"/>
                <w:sz w:val="24"/>
                <w:szCs w:val="24"/>
                <w:highlight w:val="none"/>
                <w:lang w:val="en-US" w:eastAsia="zh-CN"/>
              </w:rPr>
              <w:t>8</w:t>
            </w:r>
            <w:r>
              <w:rPr>
                <w:rFonts w:hint="default" w:ascii="Times New Roman" w:hAnsi="Times New Roman" w:eastAsia="黑体" w:cs="Times New Roman"/>
                <w:color w:val="auto"/>
                <w:sz w:val="24"/>
                <w:szCs w:val="24"/>
                <w:highlight w:val="none"/>
                <w:lang w:val="en-US" w:eastAsia="zh-CN"/>
              </w:rPr>
              <w:t>0</w:t>
            </w:r>
            <w:r>
              <w:rPr>
                <w:rFonts w:hint="default" w:ascii="Times New Roman" w:hAnsi="Times New Roman" w:eastAsia="黑体" w:cs="Times New Roman"/>
                <w:color w:val="auto"/>
                <w:sz w:val="24"/>
                <w:szCs w:val="24"/>
                <w:highlight w:val="none"/>
              </w:rPr>
              <w:t>分）</w:t>
            </w:r>
          </w:p>
        </w:tc>
        <w:tc>
          <w:tcPr>
            <w:tcW w:w="1536" w:type="dxa"/>
            <w:noWrap w:val="0"/>
            <w:vAlign w:val="center"/>
          </w:tcPr>
          <w:p w14:paraId="228323D5">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w:t>
            </w:r>
            <w:r>
              <w:rPr>
                <w:rFonts w:hint="eastAsia" w:eastAsia="仿宋" w:cs="Times New Roman"/>
                <w:b/>
                <w:bCs/>
                <w:color w:val="auto"/>
                <w:sz w:val="24"/>
                <w:szCs w:val="24"/>
                <w:highlight w:val="none"/>
                <w:lang w:val="en-US" w:eastAsia="zh-CN"/>
              </w:rPr>
              <w:t>24</w:t>
            </w:r>
            <w:r>
              <w:rPr>
                <w:rFonts w:hint="default" w:ascii="Times New Roman" w:hAnsi="Times New Roman" w:eastAsia="仿宋" w:cs="Times New Roman"/>
                <w:b/>
                <w:bCs/>
                <w:color w:val="auto"/>
                <w:sz w:val="24"/>
                <w:szCs w:val="24"/>
                <w:highlight w:val="none"/>
              </w:rPr>
              <w:t>）</w:t>
            </w:r>
          </w:p>
          <w:p w14:paraId="217EAA6B">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eastAsia"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sz w:val="24"/>
                <w:szCs w:val="24"/>
                <w:highlight w:val="none"/>
              </w:rPr>
              <w:t>信息</w:t>
            </w:r>
            <w:r>
              <w:rPr>
                <w:rFonts w:hint="eastAsia" w:eastAsia="仿宋" w:cs="Times New Roman"/>
                <w:b/>
                <w:bCs/>
                <w:color w:val="auto"/>
                <w:sz w:val="24"/>
                <w:szCs w:val="24"/>
                <w:highlight w:val="none"/>
                <w:lang w:val="en-US" w:eastAsia="zh-CN"/>
              </w:rPr>
              <w:t>报送</w:t>
            </w:r>
          </w:p>
        </w:tc>
        <w:tc>
          <w:tcPr>
            <w:tcW w:w="504" w:type="dxa"/>
            <w:noWrap w:val="0"/>
            <w:vAlign w:val="center"/>
          </w:tcPr>
          <w:p w14:paraId="7C93034D">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kern w:val="2"/>
                <w:sz w:val="24"/>
                <w:szCs w:val="24"/>
                <w:highlight w:val="none"/>
                <w:lang w:val="en-US" w:eastAsia="zh-CN" w:bidi="ar-SA"/>
              </w:rPr>
            </w:pPr>
            <w:r>
              <w:rPr>
                <w:rFonts w:hint="eastAsia" w:eastAsia="宋体" w:cs="Times New Roman"/>
                <w:b/>
                <w:bCs/>
                <w:color w:val="auto"/>
                <w:sz w:val="24"/>
                <w:szCs w:val="24"/>
                <w:highlight w:val="none"/>
                <w:lang w:val="en-US" w:eastAsia="zh-CN"/>
              </w:rPr>
              <w:t>30</w:t>
            </w:r>
          </w:p>
        </w:tc>
        <w:tc>
          <w:tcPr>
            <w:tcW w:w="8992" w:type="dxa"/>
            <w:noWrap w:val="0"/>
            <w:vAlign w:val="center"/>
          </w:tcPr>
          <w:p w14:paraId="6B7DB9F9">
            <w:pPr>
              <w:snapToGrid w:val="0"/>
              <w:ind w:firstLine="420" w:firstLineChars="200"/>
              <w:outlineLvl w:val="9"/>
              <w:rPr>
                <w:rFonts w:hint="eastAsia"/>
                <w:color w:val="auto"/>
                <w:sz w:val="21"/>
                <w:highlight w:val="none"/>
              </w:rPr>
            </w:pPr>
            <w:r>
              <w:rPr>
                <w:rFonts w:hint="eastAsia" w:ascii="Times New Roman" w:hAnsi="Times New Roman" w:cs="Times New Roman"/>
                <w:color w:val="auto"/>
                <w:sz w:val="21"/>
                <w:highlight w:val="none"/>
              </w:rPr>
              <w:t>1.典当行应接入典当行业</w:t>
            </w:r>
            <w:r>
              <w:rPr>
                <w:rFonts w:hint="eastAsia" w:ascii="Times New Roman" w:hAnsi="Times New Roman" w:cs="Times New Roman"/>
                <w:color w:val="auto"/>
                <w:sz w:val="21"/>
                <w:highlight w:val="none"/>
                <w:lang w:eastAsia="zh-CN"/>
              </w:rPr>
              <w:t>监管</w:t>
            </w:r>
            <w:r>
              <w:rPr>
                <w:rFonts w:hint="eastAsia" w:ascii="Times New Roman" w:hAnsi="Times New Roman" w:cs="Times New Roman"/>
                <w:color w:val="auto"/>
                <w:sz w:val="21"/>
                <w:highlight w:val="none"/>
              </w:rPr>
              <w:t>信息系统，并按要求及时</w:t>
            </w:r>
            <w:r>
              <w:rPr>
                <w:rFonts w:hint="eastAsia" w:ascii="Times New Roman" w:hAnsi="Times New Roman" w:cs="Times New Roman"/>
                <w:color w:val="auto"/>
                <w:sz w:val="21"/>
                <w:highlight w:val="none"/>
                <w:lang w:eastAsia="zh-CN"/>
              </w:rPr>
              <w:t>、</w:t>
            </w:r>
            <w:r>
              <w:rPr>
                <w:rFonts w:hint="eastAsia" w:ascii="Times New Roman" w:hAnsi="Times New Roman" w:cs="Times New Roman"/>
                <w:color w:val="auto"/>
                <w:sz w:val="21"/>
                <w:highlight w:val="none"/>
              </w:rPr>
              <w:t>完整</w:t>
            </w:r>
            <w:r>
              <w:rPr>
                <w:rFonts w:hint="eastAsia" w:ascii="Times New Roman" w:hAnsi="Times New Roman" w:cs="Times New Roman"/>
                <w:color w:val="auto"/>
                <w:sz w:val="21"/>
                <w:highlight w:val="none"/>
                <w:lang w:eastAsia="zh-CN"/>
              </w:rPr>
              <w:t>、准确</w:t>
            </w:r>
            <w:r>
              <w:rPr>
                <w:rFonts w:hint="eastAsia" w:ascii="Times New Roman" w:hAnsi="Times New Roman" w:cs="Times New Roman"/>
                <w:color w:val="auto"/>
                <w:sz w:val="21"/>
                <w:highlight w:val="none"/>
              </w:rPr>
              <w:t>报送有关信息数据</w:t>
            </w:r>
            <w:r>
              <w:rPr>
                <w:rFonts w:hint="eastAsia" w:ascii="Times New Roman" w:hAnsi="Times New Roman" w:cs="Times New Roman"/>
                <w:color w:val="auto"/>
                <w:sz w:val="21"/>
                <w:highlight w:val="none"/>
                <w:lang w:val="en-US" w:eastAsia="zh-CN"/>
              </w:rPr>
              <w:t>的</w:t>
            </w:r>
            <w:r>
              <w:rPr>
                <w:rFonts w:hint="eastAsia" w:ascii="Times New Roman" w:hAnsi="Times New Roman" w:cs="Times New Roman"/>
                <w:color w:val="auto"/>
                <w:sz w:val="21"/>
                <w:highlight w:val="none"/>
              </w:rPr>
              <w:t>得</w:t>
            </w:r>
            <w:r>
              <w:rPr>
                <w:rFonts w:hint="eastAsia" w:cs="Times New Roman"/>
                <w:color w:val="auto"/>
                <w:sz w:val="21"/>
                <w:highlight w:val="none"/>
                <w:lang w:val="en-US" w:eastAsia="zh-CN"/>
              </w:rPr>
              <w:t>1</w:t>
            </w:r>
            <w:r>
              <w:rPr>
                <w:rFonts w:hint="eastAsia" w:ascii="Times New Roman" w:hAnsi="Times New Roman" w:cs="Times New Roman"/>
                <w:color w:val="auto"/>
                <w:sz w:val="21"/>
                <w:highlight w:val="none"/>
                <w:lang w:val="en-US" w:eastAsia="zh-CN"/>
              </w:rPr>
              <w:t>0</w:t>
            </w:r>
            <w:r>
              <w:rPr>
                <w:rFonts w:hint="eastAsia" w:ascii="Times New Roman" w:hAnsi="Times New Roman" w:cs="Times New Roman"/>
                <w:color w:val="auto"/>
                <w:sz w:val="21"/>
                <w:highlight w:val="none"/>
              </w:rPr>
              <w:t>分。错报、漏报、瞒报</w:t>
            </w:r>
            <w:r>
              <w:rPr>
                <w:rFonts w:hint="eastAsia" w:ascii="Times New Roman" w:hAnsi="Times New Roman" w:cs="Times New Roman"/>
                <w:color w:val="auto"/>
                <w:sz w:val="21"/>
                <w:highlight w:val="none"/>
                <w:lang w:eastAsia="zh-CN"/>
              </w:rPr>
              <w:t>、</w:t>
            </w:r>
            <w:r>
              <w:rPr>
                <w:rFonts w:hint="eastAsia" w:ascii="Times New Roman" w:hAnsi="Times New Roman" w:cs="Times New Roman"/>
                <w:color w:val="auto"/>
                <w:sz w:val="21"/>
                <w:highlight w:val="none"/>
              </w:rPr>
              <w:t>延迟报送</w:t>
            </w:r>
            <w:r>
              <w:rPr>
                <w:rFonts w:hint="eastAsia" w:ascii="Times New Roman" w:hAnsi="Times New Roman" w:cs="Times New Roman"/>
                <w:color w:val="auto"/>
                <w:sz w:val="21"/>
                <w:highlight w:val="none"/>
                <w:lang w:eastAsia="zh-CN"/>
              </w:rPr>
              <w:t>的</w:t>
            </w:r>
            <w:r>
              <w:rPr>
                <w:rFonts w:hint="eastAsia" w:ascii="Times New Roman" w:hAnsi="Times New Roman" w:cs="Times New Roman"/>
                <w:color w:val="auto"/>
                <w:sz w:val="21"/>
                <w:highlight w:val="none"/>
              </w:rPr>
              <w:t>视情节扣</w:t>
            </w:r>
            <w:r>
              <w:rPr>
                <w:rFonts w:hint="eastAsia" w:cs="Times New Roman"/>
                <w:color w:val="auto"/>
                <w:sz w:val="21"/>
                <w:highlight w:val="none"/>
                <w:lang w:val="en-US" w:eastAsia="zh-CN"/>
              </w:rPr>
              <w:t>5</w:t>
            </w:r>
            <w:r>
              <w:rPr>
                <w:rFonts w:hint="eastAsia" w:ascii="Times New Roman" w:hAnsi="Times New Roman" w:cs="Times New Roman"/>
                <w:color w:val="auto"/>
                <w:sz w:val="21"/>
                <w:highlight w:val="none"/>
                <w:lang w:eastAsia="zh-CN"/>
              </w:rPr>
              <w:t>~</w:t>
            </w:r>
            <w:r>
              <w:rPr>
                <w:rFonts w:hint="eastAsia" w:cs="Times New Roman"/>
                <w:color w:val="auto"/>
                <w:sz w:val="21"/>
                <w:highlight w:val="none"/>
                <w:lang w:val="en-US" w:eastAsia="zh-CN"/>
              </w:rPr>
              <w:t>1</w:t>
            </w:r>
            <w:r>
              <w:rPr>
                <w:rFonts w:hint="eastAsia" w:ascii="Times New Roman" w:hAnsi="Times New Roman" w:cs="Times New Roman"/>
                <w:color w:val="auto"/>
                <w:sz w:val="21"/>
                <w:highlight w:val="none"/>
                <w:lang w:val="en-US" w:eastAsia="zh-CN"/>
              </w:rPr>
              <w:t>0</w:t>
            </w:r>
            <w:r>
              <w:rPr>
                <w:rFonts w:hint="eastAsia" w:ascii="Times New Roman" w:hAnsi="Times New Roman" w:cs="Times New Roman"/>
                <w:color w:val="auto"/>
                <w:sz w:val="21"/>
                <w:highlight w:val="none"/>
              </w:rPr>
              <w:t>分。</w:t>
            </w:r>
            <w:r>
              <w:rPr>
                <w:rFonts w:hint="eastAsia" w:ascii="Times New Roman" w:hAnsi="Times New Roman" w:cs="Times New Roman"/>
                <w:color w:val="auto"/>
                <w:sz w:val="21"/>
                <w:highlight w:val="none"/>
                <w:lang w:val="en-US" w:eastAsia="zh-CN"/>
              </w:rPr>
              <w:t>拒不</w:t>
            </w:r>
            <w:r>
              <w:rPr>
                <w:rFonts w:hint="eastAsia" w:ascii="Times New Roman" w:hAnsi="Times New Roman" w:cs="Times New Roman"/>
                <w:color w:val="auto"/>
                <w:sz w:val="21"/>
                <w:highlight w:val="none"/>
              </w:rPr>
              <w:t>接入典当行业</w:t>
            </w:r>
            <w:r>
              <w:rPr>
                <w:rFonts w:hint="eastAsia" w:ascii="Times New Roman" w:hAnsi="Times New Roman" w:cs="Times New Roman"/>
                <w:color w:val="auto"/>
                <w:sz w:val="21"/>
                <w:highlight w:val="none"/>
                <w:lang w:eastAsia="zh-CN"/>
              </w:rPr>
              <w:t>监管</w:t>
            </w:r>
            <w:r>
              <w:rPr>
                <w:rFonts w:hint="eastAsia" w:ascii="Times New Roman" w:hAnsi="Times New Roman" w:cs="Times New Roman"/>
                <w:color w:val="auto"/>
                <w:sz w:val="21"/>
                <w:highlight w:val="none"/>
              </w:rPr>
              <w:t>信息系统</w:t>
            </w:r>
            <w:r>
              <w:rPr>
                <w:rFonts w:hint="eastAsia" w:ascii="Times New Roman" w:hAnsi="Times New Roman" w:cs="Times New Roman"/>
                <w:color w:val="auto"/>
                <w:sz w:val="21"/>
                <w:highlight w:val="none"/>
                <w:lang w:val="en-US" w:eastAsia="zh-CN"/>
              </w:rPr>
              <w:t>的倒扣</w:t>
            </w:r>
            <w:r>
              <w:rPr>
                <w:rFonts w:hint="eastAsia" w:cs="Times New Roman"/>
                <w:color w:val="auto"/>
                <w:sz w:val="21"/>
                <w:highlight w:val="none"/>
                <w:lang w:val="en-US" w:eastAsia="zh-CN"/>
              </w:rPr>
              <w:t>15</w:t>
            </w:r>
            <w:r>
              <w:rPr>
                <w:rFonts w:hint="eastAsia" w:ascii="Times New Roman" w:hAnsi="Times New Roman" w:cs="Times New Roman"/>
                <w:color w:val="auto"/>
                <w:sz w:val="21"/>
                <w:highlight w:val="none"/>
                <w:lang w:val="en-US" w:eastAsia="zh-CN"/>
              </w:rPr>
              <w:t>分。</w:t>
            </w:r>
          </w:p>
          <w:p w14:paraId="26FBA10F">
            <w:pPr>
              <w:snapToGrid w:val="0"/>
              <w:ind w:firstLine="420" w:firstLineChars="200"/>
              <w:outlineLvl w:val="9"/>
              <w:rPr>
                <w:rFonts w:hint="eastAsia"/>
                <w:color w:val="auto"/>
                <w:sz w:val="21"/>
                <w:highlight w:val="none"/>
              </w:rPr>
            </w:pPr>
            <w:r>
              <w:rPr>
                <w:rFonts w:hint="eastAsia" w:ascii="Times New Roman" w:hAnsi="Times New Roman" w:cs="Times New Roman"/>
                <w:color w:val="auto"/>
                <w:sz w:val="21"/>
                <w:highlight w:val="none"/>
                <w:lang w:val="en-US" w:eastAsia="zh-CN"/>
              </w:rPr>
              <w:t>2.</w:t>
            </w:r>
            <w:r>
              <w:rPr>
                <w:rFonts w:hint="eastAsia" w:ascii="Times New Roman" w:hAnsi="Times New Roman" w:cs="Times New Roman"/>
                <w:color w:val="auto"/>
                <w:sz w:val="21"/>
                <w:highlight w:val="none"/>
              </w:rPr>
              <w:t>制定了信息披露制度的得</w:t>
            </w:r>
            <w:r>
              <w:rPr>
                <w:rFonts w:hint="eastAsia" w:ascii="Times New Roman" w:hAnsi="Times New Roman" w:cs="Times New Roman"/>
                <w:color w:val="auto"/>
                <w:sz w:val="21"/>
                <w:highlight w:val="none"/>
                <w:lang w:val="en-US" w:eastAsia="zh-CN"/>
              </w:rPr>
              <w:t>2</w:t>
            </w:r>
            <w:r>
              <w:rPr>
                <w:rFonts w:hint="eastAsia" w:ascii="Times New Roman" w:hAnsi="Times New Roman" w:cs="Times New Roman"/>
                <w:color w:val="auto"/>
                <w:sz w:val="21"/>
                <w:highlight w:val="none"/>
              </w:rPr>
              <w:t>分</w:t>
            </w:r>
            <w:r>
              <w:rPr>
                <w:rFonts w:hint="eastAsia" w:ascii="Times New Roman" w:hAnsi="Times New Roman" w:cs="Times New Roman"/>
                <w:color w:val="auto"/>
                <w:sz w:val="21"/>
                <w:highlight w:val="none"/>
                <w:lang w:eastAsia="zh-CN"/>
              </w:rPr>
              <w:t>，</w:t>
            </w:r>
            <w:r>
              <w:rPr>
                <w:rFonts w:hint="eastAsia" w:ascii="Times New Roman" w:hAnsi="Times New Roman" w:cs="Times New Roman"/>
                <w:color w:val="auto"/>
                <w:sz w:val="21"/>
                <w:highlight w:val="none"/>
                <w:lang w:val="en-US" w:eastAsia="zh-CN"/>
              </w:rPr>
              <w:t>未制定的</w:t>
            </w:r>
            <w:r>
              <w:rPr>
                <w:rFonts w:hint="eastAsia" w:ascii="Times New Roman" w:hAnsi="Times New Roman" w:cs="Times New Roman"/>
                <w:color w:val="auto"/>
                <w:sz w:val="21"/>
                <w:highlight w:val="none"/>
              </w:rPr>
              <w:t>扣</w:t>
            </w:r>
            <w:r>
              <w:rPr>
                <w:rFonts w:hint="eastAsia" w:ascii="Times New Roman" w:hAnsi="Times New Roman" w:cs="Times New Roman"/>
                <w:color w:val="auto"/>
                <w:sz w:val="21"/>
                <w:highlight w:val="none"/>
                <w:lang w:val="en-US" w:eastAsia="zh-CN"/>
              </w:rPr>
              <w:t>2</w:t>
            </w:r>
            <w:r>
              <w:rPr>
                <w:rFonts w:hint="eastAsia" w:ascii="Times New Roman" w:hAnsi="Times New Roman" w:cs="Times New Roman"/>
                <w:color w:val="auto"/>
                <w:sz w:val="21"/>
                <w:highlight w:val="none"/>
              </w:rPr>
              <w:t>分。</w:t>
            </w:r>
          </w:p>
          <w:p w14:paraId="67550500">
            <w:pPr>
              <w:keepNext w:val="0"/>
              <w:keepLines w:val="0"/>
              <w:pageBreakBefore w:val="0"/>
              <w:kinsoku/>
              <w:overflowPunct/>
              <w:topLinePunct w:val="0"/>
              <w:bidi w:val="0"/>
              <w:snapToGrid w:val="0"/>
              <w:ind w:left="0" w:leftChars="0" w:right="0" w:rightChars="0" w:firstLine="420" w:firstLineChars="200"/>
              <w:textAlignment w:val="auto"/>
              <w:outlineLvl w:val="9"/>
              <w:rPr>
                <w:rFonts w:hint="eastAsia" w:ascii="Times New Roman" w:hAnsi="Times New Roman" w:cs="Times New Roman"/>
                <w:color w:val="auto"/>
                <w:sz w:val="21"/>
                <w:highlight w:val="none"/>
              </w:rPr>
            </w:pPr>
            <w:r>
              <w:rPr>
                <w:rFonts w:hint="eastAsia" w:cs="Times New Roman"/>
                <w:color w:val="auto"/>
                <w:sz w:val="21"/>
                <w:highlight w:val="none"/>
                <w:lang w:val="en-US" w:eastAsia="zh-CN"/>
              </w:rPr>
              <w:t>3</w:t>
            </w:r>
            <w:r>
              <w:rPr>
                <w:rFonts w:hint="eastAsia" w:ascii="Times New Roman" w:hAnsi="Times New Roman" w:cs="Times New Roman"/>
                <w:color w:val="auto"/>
                <w:sz w:val="21"/>
                <w:highlight w:val="none"/>
              </w:rPr>
              <w:t>.发生以下重大事项的，应当及时向当地监管部门报告并向公司股东、向其提供融资的金融机构和其他相关权益人披露</w:t>
            </w:r>
            <w:r>
              <w:rPr>
                <w:rFonts w:hint="eastAsia" w:ascii="Times New Roman" w:hAnsi="Times New Roman" w:cs="Times New Roman"/>
                <w:color w:val="auto"/>
                <w:sz w:val="21"/>
                <w:highlight w:val="none"/>
                <w:lang w:eastAsia="zh-CN"/>
              </w:rPr>
              <w:t>得</w:t>
            </w:r>
            <w:r>
              <w:rPr>
                <w:rFonts w:hint="eastAsia" w:cs="Times New Roman"/>
                <w:color w:val="auto"/>
                <w:sz w:val="21"/>
                <w:highlight w:val="none"/>
                <w:lang w:val="en-US" w:eastAsia="zh-CN"/>
              </w:rPr>
              <w:t>10</w:t>
            </w:r>
            <w:r>
              <w:rPr>
                <w:rFonts w:hint="eastAsia" w:ascii="Times New Roman" w:hAnsi="Times New Roman" w:cs="Times New Roman"/>
                <w:color w:val="auto"/>
                <w:sz w:val="21"/>
                <w:highlight w:val="none"/>
                <w:lang w:val="en-US" w:eastAsia="zh-CN"/>
              </w:rPr>
              <w:t>分</w:t>
            </w:r>
            <w:r>
              <w:rPr>
                <w:rFonts w:hint="eastAsia" w:ascii="Times New Roman" w:hAnsi="Times New Roman" w:cs="Times New Roman"/>
                <w:color w:val="auto"/>
                <w:sz w:val="21"/>
                <w:highlight w:val="none"/>
                <w:lang w:eastAsia="zh-CN"/>
              </w:rPr>
              <w:t>，</w:t>
            </w:r>
            <w:r>
              <w:rPr>
                <w:rFonts w:hint="eastAsia" w:ascii="Times New Roman" w:hAnsi="Times New Roman" w:cs="Times New Roman"/>
                <w:color w:val="auto"/>
                <w:sz w:val="21"/>
                <w:highlight w:val="none"/>
              </w:rPr>
              <w:t>未</w:t>
            </w:r>
            <w:r>
              <w:rPr>
                <w:rFonts w:hint="eastAsia" w:cs="Times New Roman"/>
                <w:color w:val="auto"/>
                <w:sz w:val="21"/>
                <w:highlight w:val="none"/>
                <w:lang w:val="en-US" w:eastAsia="zh-CN"/>
              </w:rPr>
              <w:t>报告、</w:t>
            </w:r>
            <w:r>
              <w:rPr>
                <w:rFonts w:hint="eastAsia" w:ascii="Times New Roman" w:hAnsi="Times New Roman" w:cs="Times New Roman"/>
                <w:color w:val="auto"/>
                <w:sz w:val="21"/>
                <w:highlight w:val="none"/>
              </w:rPr>
              <w:t>披露的</w:t>
            </w:r>
            <w:r>
              <w:rPr>
                <w:rFonts w:hint="eastAsia" w:cs="Times New Roman"/>
                <w:color w:val="auto"/>
                <w:sz w:val="21"/>
                <w:highlight w:val="none"/>
                <w:lang w:val="en-US" w:eastAsia="zh-CN"/>
              </w:rPr>
              <w:t>倒扣10</w:t>
            </w:r>
            <w:r>
              <w:rPr>
                <w:rFonts w:hint="eastAsia" w:ascii="Times New Roman" w:hAnsi="Times New Roman" w:cs="Times New Roman"/>
                <w:color w:val="auto"/>
                <w:sz w:val="21"/>
                <w:highlight w:val="none"/>
              </w:rPr>
              <w:t>分</w:t>
            </w:r>
            <w:r>
              <w:rPr>
                <w:rFonts w:hint="default" w:cs="Times New Roman"/>
                <w:color w:val="auto"/>
                <w:sz w:val="21"/>
                <w:highlight w:val="none"/>
                <w:lang w:eastAsia="zh-CN"/>
              </w:rPr>
              <w:t>，</w:t>
            </w:r>
            <w:r>
              <w:rPr>
                <w:rFonts w:hint="eastAsia" w:cs="Times New Roman"/>
                <w:color w:val="auto"/>
                <w:sz w:val="21"/>
                <w:highlight w:val="none"/>
                <w:lang w:val="en-US" w:eastAsia="zh-CN"/>
              </w:rPr>
              <w:t>且</w:t>
            </w:r>
            <w:r>
              <w:rPr>
                <w:rFonts w:hint="eastAsia" w:ascii="Times New Roman" w:hAnsi="Times New Roman" w:cs="Times New Roman"/>
                <w:color w:val="auto"/>
                <w:kern w:val="2"/>
                <w:sz w:val="21"/>
                <w:szCs w:val="24"/>
                <w:highlight w:val="none"/>
              </w:rPr>
              <w:t>最高只可评为</w:t>
            </w:r>
            <w:r>
              <w:rPr>
                <w:rFonts w:hint="eastAsia" w:cs="Times New Roman"/>
                <w:color w:val="auto"/>
                <w:kern w:val="2"/>
                <w:sz w:val="21"/>
                <w:szCs w:val="24"/>
                <w:highlight w:val="none"/>
                <w:lang w:val="en-US" w:eastAsia="zh-CN"/>
              </w:rPr>
              <w:t>C</w:t>
            </w:r>
            <w:r>
              <w:rPr>
                <w:rFonts w:hint="eastAsia" w:ascii="Times New Roman" w:hAnsi="Times New Roman" w:cs="Times New Roman"/>
                <w:color w:val="auto"/>
                <w:kern w:val="2"/>
                <w:sz w:val="21"/>
                <w:szCs w:val="24"/>
                <w:highlight w:val="none"/>
              </w:rPr>
              <w:t>级</w:t>
            </w:r>
            <w:r>
              <w:rPr>
                <w:rFonts w:hint="eastAsia" w:ascii="Times New Roman" w:hAnsi="Times New Roman" w:cs="Times New Roman"/>
                <w:color w:val="auto"/>
                <w:sz w:val="21"/>
                <w:highlight w:val="none"/>
              </w:rPr>
              <w:t>：</w:t>
            </w:r>
          </w:p>
          <w:p w14:paraId="65E64AE3">
            <w:pPr>
              <w:keepNext w:val="0"/>
              <w:keepLines w:val="0"/>
              <w:pageBreakBefore w:val="0"/>
              <w:kinsoku/>
              <w:overflowPunct/>
              <w:topLinePunct w:val="0"/>
              <w:bidi w:val="0"/>
              <w:snapToGrid w:val="0"/>
              <w:ind w:left="0" w:leftChars="0" w:right="0" w:rightChars="0" w:firstLine="420" w:firstLineChars="200"/>
              <w:textAlignment w:val="auto"/>
              <w:outlineLvl w:val="9"/>
              <w:rPr>
                <w:rFonts w:hint="eastAsia" w:ascii="Times New Roman" w:hAnsi="Times New Roman" w:cs="Times New Roman"/>
                <w:color w:val="auto"/>
                <w:sz w:val="21"/>
                <w:highlight w:val="none"/>
              </w:rPr>
            </w:pPr>
            <w:r>
              <w:rPr>
                <w:rFonts w:hint="eastAsia" w:ascii="Times New Roman" w:hAnsi="Times New Roman" w:cs="Times New Roman"/>
                <w:color w:val="auto"/>
                <w:sz w:val="21"/>
                <w:highlight w:val="none"/>
              </w:rPr>
              <w:t>（1）涉及重大诉讼、仲裁，或涉嫌违法违规被有关机关调查，或受到刑事处罚、重大行政处罚；</w:t>
            </w:r>
          </w:p>
          <w:p w14:paraId="76648098">
            <w:pPr>
              <w:keepNext w:val="0"/>
              <w:keepLines w:val="0"/>
              <w:pageBreakBefore w:val="0"/>
              <w:kinsoku/>
              <w:overflowPunct/>
              <w:topLinePunct w:val="0"/>
              <w:bidi w:val="0"/>
              <w:snapToGrid w:val="0"/>
              <w:ind w:left="0" w:leftChars="0" w:right="0" w:rightChars="0" w:firstLine="420" w:firstLineChars="200"/>
              <w:textAlignment w:val="auto"/>
              <w:outlineLvl w:val="9"/>
              <w:rPr>
                <w:rFonts w:hint="eastAsia" w:ascii="Times New Roman" w:hAnsi="Times New Roman" w:cs="Times New Roman"/>
                <w:color w:val="auto"/>
                <w:sz w:val="21"/>
                <w:szCs w:val="24"/>
                <w:highlight w:val="none"/>
                <w:lang w:eastAsia="zh-CN"/>
              </w:rPr>
            </w:pPr>
            <w:r>
              <w:rPr>
                <w:rFonts w:hint="eastAsia" w:ascii="Times New Roman" w:hAnsi="Times New Roman" w:cs="Times New Roman"/>
                <w:color w:val="auto"/>
                <w:sz w:val="21"/>
                <w:highlight w:val="none"/>
              </w:rPr>
              <w:t>（2）公司法定代表人、实际控制人、主要负责人、董事、监事、高管涉及重大诉讼、仲裁，或涉嫌违法违纪被有</w:t>
            </w:r>
            <w:r>
              <w:rPr>
                <w:rFonts w:hint="eastAsia" w:ascii="Times New Roman" w:hAnsi="Times New Roman" w:cs="Times New Roman"/>
                <w:color w:val="auto"/>
                <w:sz w:val="21"/>
                <w:szCs w:val="24"/>
                <w:highlight w:val="none"/>
              </w:rPr>
              <w:t>关机关调查，或受到刑事处罚、重大行政处罚，或被采取强制措施</w:t>
            </w:r>
            <w:r>
              <w:rPr>
                <w:rFonts w:hint="eastAsia" w:ascii="Times New Roman" w:hAnsi="Times New Roman" w:cs="Times New Roman"/>
                <w:color w:val="auto"/>
                <w:sz w:val="21"/>
                <w:szCs w:val="24"/>
                <w:highlight w:val="none"/>
                <w:lang w:eastAsia="zh-CN"/>
              </w:rPr>
              <w:t>。</w:t>
            </w:r>
          </w:p>
          <w:p w14:paraId="50E1C194">
            <w:pPr>
              <w:keepNext w:val="0"/>
              <w:keepLines w:val="0"/>
              <w:pageBreakBefore w:val="0"/>
              <w:kinsoku/>
              <w:overflowPunct/>
              <w:topLinePunct w:val="0"/>
              <w:bidi w:val="0"/>
              <w:snapToGrid w:val="0"/>
              <w:ind w:left="0" w:leftChars="0" w:right="0" w:rightChars="0" w:firstLine="420" w:firstLineChars="200"/>
              <w:textAlignment w:val="auto"/>
              <w:outlineLvl w:val="9"/>
              <w:rPr>
                <w:rFonts w:hint="default" w:ascii="Times New Roman" w:hAnsi="Times New Roman" w:cs="Times New Roman"/>
                <w:color w:val="auto"/>
                <w:sz w:val="21"/>
                <w:highlight w:val="none"/>
                <w:lang w:eastAsia="zh-CN"/>
              </w:rPr>
            </w:pPr>
            <w:r>
              <w:rPr>
                <w:rFonts w:hint="default" w:ascii="Times New Roman" w:hAnsi="Times New Roman" w:cs="Times New Roman"/>
                <w:bCs w:val="0"/>
                <w:color w:val="auto"/>
                <w:kern w:val="2"/>
                <w:sz w:val="21"/>
                <w:szCs w:val="24"/>
                <w:highlight w:val="none"/>
                <w:lang w:val="en-US" w:eastAsia="zh-CN" w:bidi="ar-SA"/>
              </w:rPr>
              <w:t>4</w:t>
            </w:r>
            <w:r>
              <w:rPr>
                <w:rFonts w:hint="eastAsia" w:ascii="Times New Roman" w:hAnsi="Times New Roman" w:cs="Times New Roman"/>
                <w:bCs w:val="0"/>
                <w:color w:val="auto"/>
                <w:kern w:val="2"/>
                <w:sz w:val="21"/>
                <w:szCs w:val="24"/>
                <w:highlight w:val="none"/>
                <w:lang w:val="en-US" w:eastAsia="zh-CN" w:bidi="ar-SA"/>
              </w:rPr>
              <w:t>.建立健全突发事件预警制度和监测预警台账，第一时间向监管部门报告突发事件，并适时报告事件进展情况，在突发事件处置完毕后，进行总结并报属地监管部门得</w:t>
            </w:r>
            <w:r>
              <w:rPr>
                <w:rFonts w:hint="default" w:ascii="Times New Roman" w:hAnsi="Times New Roman" w:cs="Times New Roman"/>
                <w:bCs w:val="0"/>
                <w:color w:val="auto"/>
                <w:kern w:val="2"/>
                <w:sz w:val="21"/>
                <w:szCs w:val="24"/>
                <w:highlight w:val="none"/>
                <w:lang w:val="en-US" w:eastAsia="zh-CN" w:bidi="ar-SA"/>
              </w:rPr>
              <w:t>8</w:t>
            </w:r>
            <w:r>
              <w:rPr>
                <w:rFonts w:hint="eastAsia" w:ascii="Times New Roman" w:hAnsi="Times New Roman" w:cs="Times New Roman"/>
                <w:bCs w:val="0"/>
                <w:color w:val="auto"/>
                <w:kern w:val="2"/>
                <w:sz w:val="21"/>
                <w:szCs w:val="24"/>
                <w:highlight w:val="none"/>
                <w:lang w:val="en-US" w:eastAsia="zh-CN" w:bidi="ar-SA"/>
              </w:rPr>
              <w:t>分，否则不得分。</w:t>
            </w:r>
          </w:p>
        </w:tc>
        <w:tc>
          <w:tcPr>
            <w:tcW w:w="705" w:type="dxa"/>
            <w:noWrap w:val="0"/>
            <w:vAlign w:val="top"/>
          </w:tcPr>
          <w:p w14:paraId="310FC4FA">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1AE2F160">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5566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133" w:type="dxa"/>
            <w:vMerge w:val="continue"/>
            <w:noWrap w:val="0"/>
            <w:vAlign w:val="center"/>
          </w:tcPr>
          <w:p w14:paraId="6B94BE5E">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4"/>
                <w:szCs w:val="24"/>
                <w:highlight w:val="none"/>
              </w:rPr>
            </w:pPr>
          </w:p>
        </w:tc>
        <w:tc>
          <w:tcPr>
            <w:tcW w:w="1536" w:type="dxa"/>
            <w:noWrap w:val="0"/>
            <w:vAlign w:val="center"/>
          </w:tcPr>
          <w:p w14:paraId="7DB7824C">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w:t>
            </w:r>
            <w:r>
              <w:rPr>
                <w:rFonts w:hint="eastAsia" w:eastAsia="仿宋" w:cs="Times New Roman"/>
                <w:b/>
                <w:bCs/>
                <w:color w:val="auto"/>
                <w:sz w:val="24"/>
                <w:szCs w:val="24"/>
                <w:highlight w:val="none"/>
                <w:lang w:val="en-US" w:eastAsia="zh-CN"/>
              </w:rPr>
              <w:t>25</w:t>
            </w:r>
            <w:r>
              <w:rPr>
                <w:rFonts w:hint="default" w:ascii="Times New Roman" w:hAnsi="Times New Roman" w:eastAsia="仿宋" w:cs="Times New Roman"/>
                <w:b/>
                <w:bCs/>
                <w:color w:val="auto"/>
                <w:sz w:val="24"/>
                <w:szCs w:val="24"/>
                <w:highlight w:val="none"/>
              </w:rPr>
              <w:t>）</w:t>
            </w:r>
          </w:p>
          <w:p w14:paraId="31CE8A26">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eastAsia" w:eastAsia="仿宋" w:cs="Times New Roman"/>
                <w:b/>
                <w:bCs/>
                <w:color w:val="auto"/>
                <w:sz w:val="24"/>
                <w:szCs w:val="24"/>
                <w:highlight w:val="none"/>
                <w:lang w:val="en-US" w:eastAsia="zh-CN"/>
              </w:rPr>
              <w:t>变更</w:t>
            </w:r>
            <w:r>
              <w:rPr>
                <w:rFonts w:hint="default" w:ascii="Times New Roman" w:hAnsi="Times New Roman" w:eastAsia="仿宋" w:cs="Times New Roman"/>
                <w:b/>
                <w:bCs/>
                <w:color w:val="auto"/>
                <w:sz w:val="24"/>
                <w:szCs w:val="24"/>
                <w:highlight w:val="none"/>
              </w:rPr>
              <w:t>报批</w:t>
            </w:r>
          </w:p>
          <w:p w14:paraId="2E147435">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eastAsia" w:ascii="Times New Roman" w:hAnsi="Times New Roman" w:eastAsia="仿宋" w:cs="Times New Roman"/>
                <w:b/>
                <w:bCs/>
                <w:color w:val="auto"/>
                <w:kern w:val="2"/>
                <w:sz w:val="24"/>
                <w:szCs w:val="24"/>
                <w:highlight w:val="none"/>
                <w:lang w:val="en-US" w:eastAsia="zh-CN" w:bidi="ar-SA"/>
              </w:rPr>
            </w:pPr>
            <w:r>
              <w:rPr>
                <w:rFonts w:hint="eastAsia" w:eastAsia="仿宋" w:cs="Times New Roman"/>
                <w:b/>
                <w:bCs/>
                <w:color w:val="auto"/>
                <w:sz w:val="24"/>
                <w:szCs w:val="24"/>
                <w:highlight w:val="none"/>
                <w:lang w:eastAsia="zh-CN"/>
              </w:rPr>
              <w:t>（报备）</w:t>
            </w:r>
          </w:p>
        </w:tc>
        <w:tc>
          <w:tcPr>
            <w:tcW w:w="504" w:type="dxa"/>
            <w:noWrap w:val="0"/>
            <w:vAlign w:val="center"/>
          </w:tcPr>
          <w:p w14:paraId="759C5729">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sz w:val="24"/>
                <w:szCs w:val="24"/>
                <w:highlight w:val="none"/>
                <w:lang w:val="en-US" w:eastAsia="zh-CN"/>
              </w:rPr>
              <w:t>1</w:t>
            </w:r>
            <w:r>
              <w:rPr>
                <w:rFonts w:hint="eastAsia" w:eastAsia="宋体" w:cs="Times New Roman"/>
                <w:b/>
                <w:bCs/>
                <w:color w:val="auto"/>
                <w:sz w:val="24"/>
                <w:szCs w:val="24"/>
                <w:highlight w:val="none"/>
                <w:lang w:val="en-US" w:eastAsia="zh-CN"/>
              </w:rPr>
              <w:t>0</w:t>
            </w:r>
          </w:p>
        </w:tc>
        <w:tc>
          <w:tcPr>
            <w:tcW w:w="8992" w:type="dxa"/>
            <w:noWrap w:val="0"/>
            <w:vAlign w:val="center"/>
          </w:tcPr>
          <w:p w14:paraId="7F1ADA2E">
            <w:pPr>
              <w:keepNext w:val="0"/>
              <w:keepLines w:val="0"/>
              <w:pageBreakBefore w:val="0"/>
              <w:kinsoku/>
              <w:overflowPunct/>
              <w:topLinePunct w:val="0"/>
              <w:bidi w:val="0"/>
              <w:snapToGrid w:val="0"/>
              <w:ind w:left="0" w:leftChars="0" w:right="0" w:rightChars="0" w:firstLine="420" w:firstLineChars="200"/>
              <w:textAlignment w:val="auto"/>
              <w:outlineLvl w:val="9"/>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cs="Times New Roman"/>
                <w:color w:val="auto"/>
                <w:sz w:val="21"/>
                <w:highlight w:val="none"/>
                <w:lang w:eastAsia="zh-CN"/>
              </w:rPr>
              <w:t>典当行及分支机构设立、变更（包括：机构名称、注册资本、法定代表人、住所、股权、分立、合并）和终止，须向地方金融管理部门申请审批</w:t>
            </w:r>
            <w:r>
              <w:rPr>
                <w:rFonts w:hint="eastAsia" w:cs="Times New Roman"/>
                <w:color w:val="auto"/>
                <w:sz w:val="21"/>
                <w:highlight w:val="none"/>
                <w:lang w:eastAsia="zh-CN"/>
              </w:rPr>
              <w:t>；增资不需要申请审批，增资后应在10个工作日内将增资情况报备地方金融管理部门。</w:t>
            </w:r>
            <w:r>
              <w:rPr>
                <w:rFonts w:hint="default" w:ascii="Times New Roman" w:hAnsi="Times New Roman" w:cs="Times New Roman"/>
                <w:color w:val="auto"/>
                <w:sz w:val="21"/>
                <w:highlight w:val="none"/>
                <w:lang w:eastAsia="zh-CN"/>
              </w:rPr>
              <w:t>依法依规</w:t>
            </w:r>
            <w:r>
              <w:rPr>
                <w:rFonts w:hint="eastAsia" w:cs="Times New Roman"/>
                <w:color w:val="auto"/>
                <w:sz w:val="21"/>
                <w:highlight w:val="none"/>
                <w:lang w:eastAsia="zh-CN"/>
              </w:rPr>
              <w:t>办理相关事项变更的</w:t>
            </w:r>
            <w:r>
              <w:rPr>
                <w:rFonts w:hint="default" w:ascii="Times New Roman" w:hAnsi="Times New Roman" w:cs="Times New Roman"/>
                <w:color w:val="auto"/>
                <w:sz w:val="21"/>
                <w:highlight w:val="none"/>
                <w:lang w:eastAsia="zh-CN"/>
              </w:rPr>
              <w:t>，得</w:t>
            </w:r>
            <w:r>
              <w:rPr>
                <w:rFonts w:hint="default" w:ascii="Times New Roman" w:hAnsi="Times New Roman" w:cs="Times New Roman"/>
                <w:color w:val="auto"/>
                <w:sz w:val="21"/>
                <w:highlight w:val="none"/>
                <w:lang w:val="en-US" w:eastAsia="zh-CN"/>
              </w:rPr>
              <w:t>1</w:t>
            </w:r>
            <w:r>
              <w:rPr>
                <w:rFonts w:hint="eastAsia" w:cs="Times New Roman"/>
                <w:color w:val="auto"/>
                <w:sz w:val="21"/>
                <w:highlight w:val="none"/>
                <w:lang w:val="en-US" w:eastAsia="zh-CN"/>
              </w:rPr>
              <w:t>0</w:t>
            </w:r>
            <w:r>
              <w:rPr>
                <w:rFonts w:hint="default" w:ascii="Times New Roman" w:hAnsi="Times New Roman" w:cs="Times New Roman"/>
                <w:color w:val="auto"/>
                <w:sz w:val="21"/>
                <w:highlight w:val="none"/>
                <w:lang w:val="en-US" w:eastAsia="zh-CN"/>
              </w:rPr>
              <w:t>分</w:t>
            </w:r>
            <w:r>
              <w:rPr>
                <w:rFonts w:hint="default" w:ascii="Times New Roman" w:hAnsi="Times New Roman" w:cs="Times New Roman"/>
                <w:color w:val="auto"/>
                <w:sz w:val="21"/>
                <w:highlight w:val="none"/>
              </w:rPr>
              <w:t>。私自变更或违规变更</w:t>
            </w:r>
            <w:r>
              <w:rPr>
                <w:rFonts w:hint="eastAsia" w:cs="Times New Roman"/>
                <w:color w:val="auto"/>
                <w:sz w:val="21"/>
                <w:highlight w:val="none"/>
                <w:lang w:eastAsia="zh-CN"/>
              </w:rPr>
              <w:t>的</w:t>
            </w:r>
            <w:r>
              <w:rPr>
                <w:rFonts w:hint="default" w:ascii="Times New Roman" w:hAnsi="Times New Roman" w:cs="Times New Roman"/>
                <w:color w:val="auto"/>
                <w:sz w:val="21"/>
                <w:highlight w:val="none"/>
              </w:rPr>
              <w:t>酌情</w:t>
            </w:r>
            <w:r>
              <w:rPr>
                <w:rFonts w:hint="default" w:ascii="Times New Roman" w:hAnsi="Times New Roman" w:cs="Times New Roman"/>
                <w:color w:val="auto"/>
                <w:sz w:val="21"/>
                <w:highlight w:val="none"/>
                <w:lang w:eastAsia="zh-CN"/>
              </w:rPr>
              <w:t>倒扣</w:t>
            </w:r>
            <w:r>
              <w:rPr>
                <w:rFonts w:hint="default" w:ascii="Times New Roman" w:hAnsi="Times New Roman" w:cs="Times New Roman"/>
                <w:color w:val="auto"/>
                <w:sz w:val="21"/>
                <w:highlight w:val="none"/>
              </w:rPr>
              <w:t>2</w:t>
            </w:r>
            <w:r>
              <w:rPr>
                <w:rFonts w:hint="default" w:ascii="Times New Roman" w:hAnsi="Times New Roman" w:cs="Times New Roman"/>
                <w:color w:val="auto"/>
                <w:sz w:val="21"/>
                <w:highlight w:val="none"/>
                <w:lang w:eastAsia="zh-CN"/>
              </w:rPr>
              <w:t>~</w:t>
            </w:r>
            <w:r>
              <w:rPr>
                <w:rFonts w:hint="default" w:ascii="Times New Roman" w:hAnsi="Times New Roman" w:cs="Times New Roman"/>
                <w:color w:val="auto"/>
                <w:sz w:val="21"/>
                <w:highlight w:val="none"/>
              </w:rPr>
              <w:t>1</w:t>
            </w:r>
            <w:r>
              <w:rPr>
                <w:rFonts w:hint="eastAsia" w:cs="Times New Roman"/>
                <w:color w:val="auto"/>
                <w:sz w:val="21"/>
                <w:highlight w:val="none"/>
                <w:lang w:val="en-US" w:eastAsia="zh-CN"/>
              </w:rPr>
              <w:t>0</w:t>
            </w:r>
            <w:r>
              <w:rPr>
                <w:rFonts w:hint="default" w:ascii="Times New Roman" w:hAnsi="Times New Roman" w:cs="Times New Roman"/>
                <w:color w:val="auto"/>
                <w:sz w:val="21"/>
                <w:highlight w:val="none"/>
              </w:rPr>
              <w:t>分</w:t>
            </w:r>
            <w:r>
              <w:rPr>
                <w:rFonts w:hint="eastAsia" w:cs="Times New Roman"/>
                <w:color w:val="auto"/>
                <w:sz w:val="21"/>
                <w:highlight w:val="none"/>
                <w:lang w:eastAsia="zh-CN"/>
              </w:rPr>
              <w:t>，</w:t>
            </w:r>
            <w:r>
              <w:rPr>
                <w:rFonts w:hint="eastAsia" w:cs="Times New Roman"/>
                <w:color w:val="auto"/>
                <w:sz w:val="21"/>
                <w:highlight w:val="none"/>
                <w:lang w:val="en-US" w:eastAsia="zh-CN"/>
              </w:rPr>
              <w:t>且</w:t>
            </w:r>
            <w:r>
              <w:rPr>
                <w:rFonts w:hint="default" w:ascii="Times New Roman" w:hAnsi="Times New Roman" w:cs="Times New Roman"/>
                <w:color w:val="auto"/>
                <w:kern w:val="2"/>
                <w:sz w:val="21"/>
                <w:szCs w:val="21"/>
                <w:highlight w:val="none"/>
              </w:rPr>
              <w:t>最高只可评为B级</w:t>
            </w:r>
            <w:r>
              <w:rPr>
                <w:rFonts w:hint="default" w:ascii="Times New Roman" w:hAnsi="Times New Roman" w:cs="Times New Roman"/>
                <w:color w:val="auto"/>
                <w:sz w:val="21"/>
                <w:highlight w:val="none"/>
              </w:rPr>
              <w:t>。</w:t>
            </w:r>
          </w:p>
        </w:tc>
        <w:tc>
          <w:tcPr>
            <w:tcW w:w="705" w:type="dxa"/>
            <w:noWrap w:val="0"/>
            <w:vAlign w:val="top"/>
          </w:tcPr>
          <w:p w14:paraId="174CBE46">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57C1A182">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5993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33" w:type="dxa"/>
            <w:vMerge w:val="continue"/>
            <w:noWrap w:val="0"/>
            <w:vAlign w:val="center"/>
          </w:tcPr>
          <w:p w14:paraId="0B58240B">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4"/>
                <w:szCs w:val="24"/>
                <w:highlight w:val="none"/>
              </w:rPr>
            </w:pPr>
          </w:p>
        </w:tc>
        <w:tc>
          <w:tcPr>
            <w:tcW w:w="1536" w:type="dxa"/>
            <w:noWrap w:val="0"/>
            <w:vAlign w:val="center"/>
          </w:tcPr>
          <w:p w14:paraId="62B6AABF">
            <w:pPr>
              <w:keepNext w:val="0"/>
              <w:keepLines w:val="0"/>
              <w:pageBreakBefore w:val="0"/>
              <w:kinsoku/>
              <w:overflowPunct/>
              <w:topLinePunct w:val="0"/>
              <w:bidi w:val="0"/>
              <w:snapToGrid w:val="0"/>
              <w:spacing w:beforeLines="0" w:afterLines="0" w:line="240" w:lineRule="auto"/>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w:t>
            </w:r>
            <w:r>
              <w:rPr>
                <w:rFonts w:hint="eastAsia" w:eastAsia="仿宋" w:cs="Times New Roman"/>
                <w:b/>
                <w:bCs/>
                <w:color w:val="auto"/>
                <w:sz w:val="24"/>
                <w:szCs w:val="24"/>
                <w:highlight w:val="none"/>
                <w:lang w:val="en-US" w:eastAsia="zh-CN"/>
              </w:rPr>
              <w:t>26</w:t>
            </w:r>
            <w:r>
              <w:rPr>
                <w:rFonts w:hint="default" w:ascii="Times New Roman" w:hAnsi="Times New Roman" w:eastAsia="仿宋" w:cs="Times New Roman"/>
                <w:b/>
                <w:bCs/>
                <w:color w:val="auto"/>
                <w:sz w:val="24"/>
                <w:szCs w:val="24"/>
                <w:highlight w:val="none"/>
              </w:rPr>
              <w:t>）</w:t>
            </w:r>
          </w:p>
          <w:p w14:paraId="15667D4A">
            <w:pPr>
              <w:snapToGrid w:val="0"/>
              <w:jc w:val="center"/>
              <w:outlineLvl w:val="9"/>
              <w:rPr>
                <w:rFonts w:hint="eastAsia" w:eastAsia="仿宋"/>
                <w:color w:val="auto"/>
                <w:highlight w:val="none"/>
                <w:lang w:val="en-US" w:eastAsia="zh-CN"/>
              </w:rPr>
            </w:pPr>
            <w:r>
              <w:rPr>
                <w:rFonts w:hint="default" w:ascii="Times New Roman" w:hAnsi="Times New Roman" w:eastAsia="仿宋" w:cs="Times New Roman"/>
                <w:b/>
                <w:bCs/>
                <w:color w:val="auto"/>
                <w:sz w:val="24"/>
                <w:szCs w:val="24"/>
                <w:highlight w:val="none"/>
              </w:rPr>
              <w:t>年审</w:t>
            </w:r>
            <w:r>
              <w:rPr>
                <w:rFonts w:hint="eastAsia" w:ascii="Times New Roman" w:hAnsi="Times New Roman" w:eastAsia="仿宋" w:cs="Times New Roman"/>
                <w:b/>
                <w:bCs/>
                <w:color w:val="auto"/>
                <w:sz w:val="24"/>
                <w:szCs w:val="24"/>
                <w:highlight w:val="none"/>
                <w:lang w:val="en-US" w:eastAsia="zh-CN"/>
              </w:rPr>
              <w:t>情况</w:t>
            </w:r>
          </w:p>
        </w:tc>
        <w:tc>
          <w:tcPr>
            <w:tcW w:w="504" w:type="dxa"/>
            <w:noWrap w:val="0"/>
            <w:vAlign w:val="center"/>
          </w:tcPr>
          <w:p w14:paraId="510445F7">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sz w:val="24"/>
                <w:szCs w:val="24"/>
                <w:highlight w:val="none"/>
                <w:lang w:val="en-US" w:eastAsia="zh-CN"/>
              </w:rPr>
              <w:t>10</w:t>
            </w:r>
          </w:p>
        </w:tc>
        <w:tc>
          <w:tcPr>
            <w:tcW w:w="8992" w:type="dxa"/>
            <w:noWrap w:val="0"/>
            <w:vAlign w:val="center"/>
          </w:tcPr>
          <w:p w14:paraId="30B8F944">
            <w:pPr>
              <w:keepNext w:val="0"/>
              <w:keepLines w:val="0"/>
              <w:pageBreakBefore w:val="0"/>
              <w:kinsoku/>
              <w:overflowPunct/>
              <w:topLinePunct w:val="0"/>
              <w:bidi w:val="0"/>
              <w:snapToGrid w:val="0"/>
              <w:ind w:left="0" w:leftChars="0" w:right="0" w:rightChars="0" w:firstLine="420" w:firstLineChars="200"/>
              <w:textAlignment w:val="auto"/>
              <w:outlineLvl w:val="9"/>
              <w:rPr>
                <w:rFonts w:hint="default" w:ascii="Times New Roman" w:hAnsi="Times New Roman" w:eastAsia="仿宋_GB2312" w:cs="Times New Roman"/>
                <w:color w:val="auto"/>
                <w:kern w:val="2"/>
                <w:sz w:val="21"/>
                <w:szCs w:val="24"/>
                <w:highlight w:val="none"/>
                <w:lang w:val="en-US" w:eastAsia="zh-CN" w:bidi="ar-SA"/>
              </w:rPr>
            </w:pPr>
            <w:r>
              <w:rPr>
                <w:rFonts w:hint="default" w:ascii="Times New Roman" w:hAnsi="Times New Roman" w:cs="Times New Roman"/>
                <w:color w:val="auto"/>
                <w:sz w:val="21"/>
                <w:highlight w:val="none"/>
              </w:rPr>
              <w:t>按时向属地监管部门提供齐备年审材料并通过</w:t>
            </w:r>
            <w:r>
              <w:rPr>
                <w:rFonts w:hint="default" w:ascii="Times New Roman" w:hAnsi="Times New Roman" w:cs="Times New Roman"/>
                <w:color w:val="auto"/>
                <w:sz w:val="21"/>
                <w:highlight w:val="none"/>
                <w:lang w:eastAsia="zh-CN"/>
              </w:rPr>
              <w:t>自治区地方金融管理局</w:t>
            </w:r>
            <w:r>
              <w:rPr>
                <w:rFonts w:hint="default" w:ascii="Times New Roman" w:hAnsi="Times New Roman" w:cs="Times New Roman"/>
                <w:color w:val="auto"/>
                <w:sz w:val="21"/>
                <w:highlight w:val="none"/>
              </w:rPr>
              <w:t>年审的，其中A级得10分，B级得</w:t>
            </w:r>
            <w:r>
              <w:rPr>
                <w:rFonts w:hint="eastAsia" w:cs="Times New Roman"/>
                <w:color w:val="auto"/>
                <w:sz w:val="21"/>
                <w:highlight w:val="none"/>
                <w:lang w:val="en-US" w:eastAsia="zh-CN"/>
              </w:rPr>
              <w:t>6</w:t>
            </w:r>
            <w:r>
              <w:rPr>
                <w:rFonts w:hint="default" w:ascii="Times New Roman" w:hAnsi="Times New Roman" w:cs="Times New Roman"/>
                <w:color w:val="auto"/>
                <w:sz w:val="21"/>
                <w:highlight w:val="none"/>
              </w:rPr>
              <w:t>分。需补交材料或时间拖延的，酌情扣1</w:t>
            </w:r>
            <w:r>
              <w:rPr>
                <w:rFonts w:hint="default" w:ascii="Times New Roman" w:hAnsi="Times New Roman" w:cs="Times New Roman"/>
                <w:color w:val="auto"/>
                <w:sz w:val="21"/>
                <w:highlight w:val="none"/>
                <w:lang w:val="en-US" w:eastAsia="zh-CN"/>
              </w:rPr>
              <w:t>~</w:t>
            </w:r>
            <w:r>
              <w:rPr>
                <w:rFonts w:hint="default" w:ascii="Times New Roman" w:hAnsi="Times New Roman" w:cs="Times New Roman"/>
                <w:color w:val="auto"/>
                <w:sz w:val="21"/>
                <w:highlight w:val="none"/>
                <w:lang w:eastAsia="zh-CN"/>
              </w:rPr>
              <w:t>1</w:t>
            </w:r>
            <w:r>
              <w:rPr>
                <w:rFonts w:hint="default" w:ascii="Times New Roman" w:hAnsi="Times New Roman" w:cs="Times New Roman"/>
                <w:color w:val="auto"/>
                <w:sz w:val="21"/>
                <w:highlight w:val="none"/>
                <w:lang w:val="en-US" w:eastAsia="zh-CN"/>
              </w:rPr>
              <w:t>0</w:t>
            </w:r>
            <w:r>
              <w:rPr>
                <w:rFonts w:hint="default" w:ascii="Times New Roman" w:hAnsi="Times New Roman" w:cs="Times New Roman"/>
                <w:color w:val="auto"/>
                <w:sz w:val="21"/>
                <w:highlight w:val="none"/>
              </w:rPr>
              <w:t>分。（当年未参加年审的以最近年度年审</w:t>
            </w:r>
            <w:r>
              <w:rPr>
                <w:rFonts w:hint="eastAsia" w:cs="Times New Roman"/>
                <w:color w:val="auto"/>
                <w:sz w:val="21"/>
                <w:highlight w:val="none"/>
                <w:lang w:eastAsia="zh-CN"/>
              </w:rPr>
              <w:t>情况</w:t>
            </w:r>
            <w:r>
              <w:rPr>
                <w:rFonts w:hint="default" w:ascii="Times New Roman" w:hAnsi="Times New Roman" w:cs="Times New Roman"/>
                <w:color w:val="auto"/>
                <w:sz w:val="21"/>
                <w:highlight w:val="none"/>
              </w:rPr>
              <w:t>为依据打分）</w:t>
            </w:r>
          </w:p>
        </w:tc>
        <w:tc>
          <w:tcPr>
            <w:tcW w:w="705" w:type="dxa"/>
            <w:noWrap w:val="0"/>
            <w:vAlign w:val="top"/>
          </w:tcPr>
          <w:p w14:paraId="50089604">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56822877">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328C5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133" w:type="dxa"/>
            <w:vMerge w:val="continue"/>
            <w:noWrap w:val="0"/>
            <w:vAlign w:val="top"/>
          </w:tcPr>
          <w:p w14:paraId="0F2066C4">
            <w:pPr>
              <w:keepNext w:val="0"/>
              <w:keepLines w:val="0"/>
              <w:pageBreakBefore w:val="0"/>
              <w:kinsoku/>
              <w:overflowPunct/>
              <w:topLinePunct w:val="0"/>
              <w:bidi w:val="0"/>
              <w:snapToGrid w:val="0"/>
              <w:spacing w:line="400" w:lineRule="exact"/>
              <w:ind w:left="0" w:leftChars="0" w:right="0" w:rightChars="0"/>
              <w:jc w:val="left"/>
              <w:textAlignment w:val="auto"/>
              <w:outlineLvl w:val="9"/>
              <w:rPr>
                <w:rFonts w:hint="default" w:ascii="Times New Roman" w:hAnsi="Times New Roman" w:eastAsia="方正仿宋_GBK" w:cs="Times New Roman"/>
                <w:color w:val="auto"/>
                <w:szCs w:val="32"/>
                <w:highlight w:val="none"/>
              </w:rPr>
            </w:pPr>
          </w:p>
        </w:tc>
        <w:tc>
          <w:tcPr>
            <w:tcW w:w="1536" w:type="dxa"/>
            <w:noWrap w:val="0"/>
            <w:vAlign w:val="center"/>
          </w:tcPr>
          <w:p w14:paraId="4EDD1D74">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（2</w:t>
            </w:r>
            <w:r>
              <w:rPr>
                <w:rFonts w:hint="eastAsia" w:eastAsia="仿宋" w:cs="Times New Roman"/>
                <w:b/>
                <w:bCs/>
                <w:color w:val="auto"/>
                <w:sz w:val="24"/>
                <w:szCs w:val="24"/>
                <w:highlight w:val="none"/>
                <w:lang w:val="en-US" w:eastAsia="zh-CN"/>
              </w:rPr>
              <w:t>7</w:t>
            </w:r>
            <w:r>
              <w:rPr>
                <w:rFonts w:hint="default" w:ascii="Times New Roman" w:hAnsi="Times New Roman" w:eastAsia="仿宋" w:cs="Times New Roman"/>
                <w:b/>
                <w:bCs/>
                <w:color w:val="auto"/>
                <w:sz w:val="24"/>
                <w:szCs w:val="24"/>
                <w:highlight w:val="none"/>
              </w:rPr>
              <w:t>）</w:t>
            </w:r>
          </w:p>
          <w:p w14:paraId="74AE5A6D">
            <w:pPr>
              <w:keepNext w:val="0"/>
              <w:keepLines w:val="0"/>
              <w:pageBreakBefore w:val="0"/>
              <w:kinsoku/>
              <w:overflowPunct/>
              <w:topLinePunct w:val="0"/>
              <w:bidi w:val="0"/>
              <w:snapToGrid w:val="0"/>
              <w:spacing w:beforeLines="0" w:afterLines="0" w:line="240" w:lineRule="atLeast"/>
              <w:ind w:left="0" w:leftChars="0" w:right="0" w:rightChars="0"/>
              <w:jc w:val="center"/>
              <w:textAlignment w:val="auto"/>
              <w:outlineLvl w:val="9"/>
              <w:rPr>
                <w:rFonts w:hint="default" w:ascii="Times New Roman" w:hAnsi="Times New Roman" w:eastAsia="仿宋" w:cs="Times New Roman"/>
                <w:b/>
                <w:bCs/>
                <w:color w:val="auto"/>
                <w:sz w:val="24"/>
                <w:szCs w:val="24"/>
                <w:highlight w:val="none"/>
                <w:lang w:val="en-US" w:eastAsia="zh-CN"/>
              </w:rPr>
            </w:pPr>
            <w:r>
              <w:rPr>
                <w:rFonts w:hint="eastAsia" w:eastAsia="仿宋" w:cs="Times New Roman"/>
                <w:b/>
                <w:bCs/>
                <w:color w:val="auto"/>
                <w:sz w:val="24"/>
                <w:szCs w:val="24"/>
                <w:highlight w:val="none"/>
                <w:lang w:val="en-US" w:eastAsia="zh-CN"/>
              </w:rPr>
              <w:t>行业自律</w:t>
            </w:r>
          </w:p>
        </w:tc>
        <w:tc>
          <w:tcPr>
            <w:tcW w:w="504" w:type="dxa"/>
            <w:noWrap w:val="0"/>
            <w:vAlign w:val="center"/>
          </w:tcPr>
          <w:p w14:paraId="7EA2657E">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r>
              <w:rPr>
                <w:rFonts w:hint="eastAsia" w:eastAsia="宋体" w:cs="Times New Roman"/>
                <w:b/>
                <w:bCs/>
                <w:color w:val="auto"/>
                <w:sz w:val="24"/>
                <w:szCs w:val="24"/>
                <w:highlight w:val="none"/>
                <w:lang w:val="en-US" w:eastAsia="zh-CN"/>
              </w:rPr>
              <w:t>5</w:t>
            </w:r>
          </w:p>
        </w:tc>
        <w:tc>
          <w:tcPr>
            <w:tcW w:w="8992" w:type="dxa"/>
            <w:noWrap w:val="0"/>
            <w:vAlign w:val="center"/>
          </w:tcPr>
          <w:p w14:paraId="14F45144">
            <w:pPr>
              <w:keepNext w:val="0"/>
              <w:keepLines w:val="0"/>
              <w:pageBreakBefore w:val="0"/>
              <w:kinsoku/>
              <w:overflowPunct/>
              <w:topLinePunct w:val="0"/>
              <w:bidi w:val="0"/>
              <w:snapToGrid w:val="0"/>
              <w:ind w:left="0" w:leftChars="0" w:right="0" w:rightChars="0" w:firstLine="420" w:firstLineChars="200"/>
              <w:textAlignment w:val="auto"/>
              <w:outlineLvl w:val="9"/>
              <w:rPr>
                <w:rFonts w:hint="default" w:ascii="Times New Roman" w:hAnsi="Times New Roman" w:cs="Times New Roman"/>
                <w:bCs/>
                <w:color w:val="auto"/>
                <w:sz w:val="24"/>
                <w:highlight w:val="none"/>
              </w:rPr>
            </w:pPr>
            <w:r>
              <w:rPr>
                <w:rFonts w:hint="default"/>
                <w:color w:val="auto"/>
                <w:sz w:val="21"/>
                <w:highlight w:val="none"/>
              </w:rPr>
              <w:t>加入行业自律组织并履行会员义务，接受行业自律管理的得</w:t>
            </w:r>
            <w:r>
              <w:rPr>
                <w:rFonts w:hint="eastAsia"/>
                <w:color w:val="auto"/>
                <w:sz w:val="21"/>
                <w:highlight w:val="none"/>
                <w:lang w:eastAsia="zh-CN"/>
              </w:rPr>
              <w:t>5</w:t>
            </w:r>
            <w:r>
              <w:rPr>
                <w:rFonts w:hint="default"/>
                <w:color w:val="auto"/>
                <w:sz w:val="21"/>
                <w:highlight w:val="none"/>
              </w:rPr>
              <w:t>分；未做到的</w:t>
            </w:r>
            <w:r>
              <w:rPr>
                <w:rFonts w:hint="eastAsia"/>
                <w:color w:val="auto"/>
                <w:sz w:val="21"/>
                <w:highlight w:val="none"/>
                <w:lang w:val="en-US" w:eastAsia="zh-CN"/>
              </w:rPr>
              <w:t>不得</w:t>
            </w:r>
            <w:r>
              <w:rPr>
                <w:rFonts w:hint="default"/>
                <w:color w:val="auto"/>
                <w:sz w:val="21"/>
                <w:highlight w:val="none"/>
              </w:rPr>
              <w:t>分。</w:t>
            </w:r>
          </w:p>
        </w:tc>
        <w:tc>
          <w:tcPr>
            <w:tcW w:w="705" w:type="dxa"/>
            <w:noWrap w:val="0"/>
            <w:vAlign w:val="top"/>
          </w:tcPr>
          <w:p w14:paraId="7B4B9CEE">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0A9A8483">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7C97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trPr>
        <w:tc>
          <w:tcPr>
            <w:tcW w:w="3173" w:type="dxa"/>
            <w:gridSpan w:val="3"/>
            <w:noWrap w:val="0"/>
            <w:vAlign w:val="center"/>
          </w:tcPr>
          <w:p w14:paraId="05523306">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宋体"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一票否决项</w:t>
            </w:r>
          </w:p>
        </w:tc>
        <w:tc>
          <w:tcPr>
            <w:tcW w:w="8992" w:type="dxa"/>
            <w:noWrap w:val="0"/>
            <w:vAlign w:val="center"/>
          </w:tcPr>
          <w:p w14:paraId="202D87C7">
            <w:pPr>
              <w:pStyle w:val="2"/>
              <w:keepNext w:val="0"/>
              <w:keepLines w:val="0"/>
              <w:pageBreakBefore w:val="0"/>
              <w:kinsoku/>
              <w:overflowPunct/>
              <w:topLinePunct w:val="0"/>
              <w:bidi w:val="0"/>
              <w:snapToGrid w:val="0"/>
              <w:ind w:left="0" w:leftChars="0" w:right="0" w:rightChars="0" w:firstLine="420" w:firstLineChars="200"/>
              <w:textAlignment w:val="auto"/>
              <w:outlineLvl w:val="9"/>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存在以下严重违规情形的，视情节直接定为D级：</w:t>
            </w:r>
          </w:p>
          <w:p w14:paraId="30FD0C11">
            <w:pPr>
              <w:pStyle w:val="2"/>
              <w:keepNext w:val="0"/>
              <w:keepLines w:val="0"/>
              <w:pageBreakBefore w:val="0"/>
              <w:kinsoku/>
              <w:overflowPunct/>
              <w:topLinePunct w:val="0"/>
              <w:bidi w:val="0"/>
              <w:snapToGrid w:val="0"/>
              <w:ind w:left="0" w:leftChars="0" w:right="0" w:rightChars="0" w:firstLine="420" w:firstLineChars="200"/>
              <w:textAlignment w:val="auto"/>
              <w:outlineLvl w:val="9"/>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1.</w:t>
            </w:r>
            <w:r>
              <w:rPr>
                <w:rFonts w:hint="default" w:ascii="Times New Roman" w:hAnsi="Times New Roman" w:cs="Times New Roman"/>
                <w:color w:val="auto"/>
                <w:sz w:val="21"/>
                <w:szCs w:val="21"/>
                <w:highlight w:val="none"/>
                <w:lang w:eastAsia="zh-CN"/>
              </w:rPr>
              <w:t>有</w:t>
            </w:r>
            <w:r>
              <w:rPr>
                <w:rFonts w:hint="default" w:ascii="Times New Roman" w:hAnsi="Times New Roman" w:eastAsia="仿宋_GB2312" w:cs="Times New Roman"/>
                <w:color w:val="auto"/>
                <w:sz w:val="21"/>
                <w:szCs w:val="21"/>
                <w:highlight w:val="none"/>
              </w:rPr>
              <w:t>非法集资</w:t>
            </w:r>
            <w:r>
              <w:rPr>
                <w:rFonts w:hint="default" w:ascii="Times New Roman" w:hAnsi="Times New Roman"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暴力催</w:t>
            </w:r>
            <w:r>
              <w:rPr>
                <w:rFonts w:hint="default" w:ascii="Times New Roman" w:hAnsi="Times New Roman" w:cs="Times New Roman"/>
                <w:color w:val="auto"/>
                <w:sz w:val="21"/>
                <w:szCs w:val="21"/>
                <w:highlight w:val="none"/>
                <w:lang w:eastAsia="zh-CN"/>
              </w:rPr>
              <w:t>收</w:t>
            </w:r>
            <w:r>
              <w:rPr>
                <w:rFonts w:hint="default" w:ascii="Times New Roman" w:hAnsi="Times New Roman" w:eastAsia="仿宋_GB2312" w:cs="Times New Roman"/>
                <w:color w:val="auto"/>
                <w:sz w:val="21"/>
                <w:szCs w:val="21"/>
                <w:highlight w:val="none"/>
              </w:rPr>
              <w:t>等严重违法行为。</w:t>
            </w:r>
          </w:p>
          <w:p w14:paraId="0AAEC71A">
            <w:pPr>
              <w:pStyle w:val="2"/>
              <w:keepNext w:val="0"/>
              <w:keepLines w:val="0"/>
              <w:pageBreakBefore w:val="0"/>
              <w:kinsoku/>
              <w:overflowPunct/>
              <w:topLinePunct w:val="0"/>
              <w:bidi w:val="0"/>
              <w:snapToGrid w:val="0"/>
              <w:ind w:left="0" w:leftChars="0" w:right="0" w:rightChars="0" w:firstLine="420" w:firstLineChars="200"/>
              <w:textAlignment w:val="auto"/>
              <w:outlineLvl w:val="9"/>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2.抽逃注册资本</w:t>
            </w:r>
            <w:r>
              <w:rPr>
                <w:rFonts w:hint="default" w:ascii="Times New Roman" w:hAnsi="Times New Roman" w:cs="Times New Roman"/>
                <w:color w:val="auto"/>
                <w:kern w:val="2"/>
                <w:sz w:val="21"/>
                <w:szCs w:val="21"/>
                <w:highlight w:val="none"/>
                <w:lang w:eastAsia="zh-CN"/>
              </w:rPr>
              <w:t>、</w:t>
            </w:r>
            <w:r>
              <w:rPr>
                <w:rFonts w:hint="default" w:ascii="Times New Roman" w:hAnsi="Times New Roman" w:cs="Times New Roman"/>
                <w:color w:val="auto"/>
                <w:kern w:val="2"/>
                <w:sz w:val="21"/>
                <w:szCs w:val="21"/>
                <w:highlight w:val="none"/>
              </w:rPr>
              <w:t>账外经营或账证资料虚假。</w:t>
            </w:r>
          </w:p>
          <w:p w14:paraId="461DCB52">
            <w:pPr>
              <w:pStyle w:val="2"/>
              <w:keepNext w:val="0"/>
              <w:keepLines w:val="0"/>
              <w:pageBreakBefore w:val="0"/>
              <w:numPr>
                <w:ilvl w:val="0"/>
                <w:numId w:val="0"/>
              </w:numPr>
              <w:kinsoku/>
              <w:overflowPunct/>
              <w:topLinePunct w:val="0"/>
              <w:bidi w:val="0"/>
              <w:snapToGrid w:val="0"/>
              <w:ind w:left="0" w:leftChars="0" w:right="0" w:rightChars="0" w:firstLine="420" w:firstLineChars="200"/>
              <w:textAlignment w:val="auto"/>
              <w:outlineLvl w:val="9"/>
              <w:rPr>
                <w:rFonts w:hint="default" w:ascii="Times New Roman" w:hAnsi="Times New Roman" w:cs="Times New Roman"/>
                <w:color w:val="auto"/>
                <w:kern w:val="2"/>
                <w:sz w:val="21"/>
                <w:szCs w:val="21"/>
                <w:highlight w:val="none"/>
                <w:lang w:val="en-US" w:eastAsia="zh-CN"/>
              </w:rPr>
            </w:pPr>
            <w:r>
              <w:rPr>
                <w:rFonts w:hint="eastAsia" w:ascii="Times New Roman" w:hAnsi="Times New Roman" w:cs="Times New Roman"/>
                <w:color w:val="auto"/>
                <w:kern w:val="2"/>
                <w:sz w:val="21"/>
                <w:szCs w:val="21"/>
                <w:highlight w:val="none"/>
                <w:lang w:val="en-US" w:eastAsia="zh-CN"/>
              </w:rPr>
              <w:t>3</w:t>
            </w:r>
            <w:r>
              <w:rPr>
                <w:rFonts w:hint="default" w:ascii="Times New Roman" w:hAnsi="Times New Roman" w:cs="Times New Roman"/>
                <w:color w:val="auto"/>
                <w:kern w:val="2"/>
                <w:sz w:val="21"/>
                <w:szCs w:val="21"/>
                <w:highlight w:val="none"/>
              </w:rPr>
              <w:t>.</w:t>
            </w:r>
            <w:r>
              <w:rPr>
                <w:rFonts w:hint="eastAsia" w:ascii="Times New Roman" w:hAnsi="Times New Roman" w:cs="Times New Roman"/>
                <w:color w:val="auto"/>
                <w:w w:val="100"/>
                <w:kern w:val="2"/>
                <w:sz w:val="21"/>
                <w:szCs w:val="21"/>
                <w:highlight w:val="none"/>
                <w:lang w:eastAsia="zh-CN"/>
              </w:rPr>
              <w:t>“</w:t>
            </w:r>
            <w:r>
              <w:rPr>
                <w:rFonts w:hint="eastAsia" w:ascii="Times New Roman" w:hAnsi="Times New Roman" w:cs="Times New Roman"/>
                <w:color w:val="auto"/>
                <w:w w:val="100"/>
                <w:kern w:val="2"/>
                <w:sz w:val="21"/>
                <w:szCs w:val="21"/>
                <w:highlight w:val="none"/>
                <w:lang w:val="en-US" w:eastAsia="zh-CN"/>
              </w:rPr>
              <w:t>空壳</w:t>
            </w:r>
            <w:r>
              <w:rPr>
                <w:rFonts w:hint="eastAsia" w:ascii="Times New Roman" w:hAnsi="Times New Roman" w:cs="Times New Roman"/>
                <w:color w:val="auto"/>
                <w:w w:val="100"/>
                <w:kern w:val="2"/>
                <w:sz w:val="21"/>
                <w:szCs w:val="21"/>
                <w:highlight w:val="none"/>
                <w:lang w:eastAsia="zh-CN"/>
              </w:rPr>
              <w:t>”“</w:t>
            </w:r>
            <w:r>
              <w:rPr>
                <w:rFonts w:hint="eastAsia" w:ascii="Times New Roman" w:hAnsi="Times New Roman" w:cs="Times New Roman"/>
                <w:color w:val="auto"/>
                <w:w w:val="100"/>
                <w:kern w:val="2"/>
                <w:sz w:val="21"/>
                <w:szCs w:val="21"/>
                <w:highlight w:val="none"/>
                <w:lang w:val="en-US" w:eastAsia="zh-CN"/>
              </w:rPr>
              <w:t>失联</w:t>
            </w:r>
            <w:r>
              <w:rPr>
                <w:rFonts w:hint="eastAsia" w:ascii="Times New Roman" w:hAnsi="Times New Roman" w:cs="Times New Roman"/>
                <w:color w:val="auto"/>
                <w:w w:val="100"/>
                <w:kern w:val="2"/>
                <w:sz w:val="21"/>
                <w:szCs w:val="21"/>
                <w:highlight w:val="none"/>
                <w:lang w:eastAsia="zh-CN"/>
              </w:rPr>
              <w:t>”</w:t>
            </w:r>
            <w:r>
              <w:rPr>
                <w:rFonts w:hint="eastAsia" w:ascii="Times New Roman" w:hAnsi="Times New Roman" w:cs="Times New Roman"/>
                <w:color w:val="auto"/>
                <w:w w:val="100"/>
                <w:kern w:val="2"/>
                <w:sz w:val="21"/>
                <w:szCs w:val="21"/>
                <w:highlight w:val="none"/>
                <w:lang w:val="en-US" w:eastAsia="zh-CN"/>
              </w:rPr>
              <w:t>企业</w:t>
            </w:r>
            <w:r>
              <w:rPr>
                <w:rFonts w:hint="default" w:ascii="Times New Roman" w:hAnsi="Times New Roman" w:cs="Times New Roman"/>
                <w:color w:val="auto"/>
                <w:kern w:val="2"/>
                <w:sz w:val="21"/>
                <w:szCs w:val="21"/>
                <w:highlight w:val="none"/>
                <w:lang w:val="en-US" w:eastAsia="zh-CN"/>
              </w:rPr>
              <w:t>。</w:t>
            </w:r>
          </w:p>
          <w:p w14:paraId="5EDBC31D">
            <w:pPr>
              <w:pStyle w:val="2"/>
              <w:keepNext w:val="0"/>
              <w:keepLines w:val="0"/>
              <w:pageBreakBefore w:val="0"/>
              <w:numPr>
                <w:ilvl w:val="0"/>
                <w:numId w:val="0"/>
              </w:numPr>
              <w:kinsoku/>
              <w:overflowPunct/>
              <w:topLinePunct w:val="0"/>
              <w:bidi w:val="0"/>
              <w:snapToGrid w:val="0"/>
              <w:ind w:left="0" w:leftChars="0" w:right="0" w:rightChars="0" w:firstLine="420" w:firstLineChars="200"/>
              <w:textAlignment w:val="auto"/>
              <w:outlineLvl w:val="9"/>
              <w:rPr>
                <w:rFonts w:hint="default" w:ascii="Times New Roman" w:hAnsi="Times New Roman" w:cs="Times New Roman"/>
                <w:color w:val="auto"/>
                <w:kern w:val="2"/>
                <w:sz w:val="21"/>
                <w:szCs w:val="21"/>
                <w:highlight w:val="none"/>
                <w:lang w:val="en-US" w:eastAsia="zh-CN"/>
              </w:rPr>
            </w:pPr>
            <w:r>
              <w:rPr>
                <w:rFonts w:hint="eastAsia" w:ascii="Times New Roman" w:hAnsi="Times New Roman" w:cs="Times New Roman"/>
                <w:color w:val="auto"/>
                <w:kern w:val="2"/>
                <w:sz w:val="21"/>
                <w:szCs w:val="21"/>
                <w:highlight w:val="none"/>
                <w:lang w:val="en-US" w:eastAsia="zh-CN"/>
              </w:rPr>
              <w:t>4</w:t>
            </w:r>
            <w:r>
              <w:rPr>
                <w:rFonts w:hint="default" w:ascii="Times New Roman" w:hAnsi="Times New Roman" w:cs="Times New Roman"/>
                <w:color w:val="auto"/>
                <w:kern w:val="2"/>
                <w:sz w:val="21"/>
                <w:szCs w:val="21"/>
                <w:highlight w:val="none"/>
              </w:rPr>
              <w:t>.拒绝、阻挠或不配合</w:t>
            </w:r>
            <w:r>
              <w:rPr>
                <w:rFonts w:hint="default" w:ascii="Times New Roman" w:hAnsi="Times New Roman" w:cs="Times New Roman"/>
                <w:color w:val="auto"/>
                <w:kern w:val="2"/>
                <w:sz w:val="21"/>
                <w:szCs w:val="21"/>
                <w:highlight w:val="none"/>
                <w:lang w:eastAsia="zh-CN"/>
              </w:rPr>
              <w:t>监管</w:t>
            </w:r>
            <w:r>
              <w:rPr>
                <w:rFonts w:hint="default" w:ascii="Times New Roman" w:hAnsi="Times New Roman" w:cs="Times New Roman"/>
                <w:color w:val="auto"/>
                <w:kern w:val="2"/>
                <w:sz w:val="21"/>
                <w:szCs w:val="21"/>
                <w:highlight w:val="none"/>
              </w:rPr>
              <w:t>部门进行</w:t>
            </w:r>
            <w:r>
              <w:rPr>
                <w:rFonts w:hint="default" w:ascii="Times New Roman" w:hAnsi="Times New Roman" w:cs="Times New Roman"/>
                <w:color w:val="auto"/>
                <w:kern w:val="2"/>
                <w:sz w:val="21"/>
                <w:szCs w:val="21"/>
                <w:highlight w:val="none"/>
                <w:lang w:eastAsia="zh-CN"/>
              </w:rPr>
              <w:t>年度现场检查和</w:t>
            </w:r>
            <w:r>
              <w:rPr>
                <w:rFonts w:hint="eastAsia" w:ascii="Times New Roman" w:hAnsi="Times New Roman" w:cs="Times New Roman"/>
                <w:color w:val="auto"/>
                <w:kern w:val="2"/>
                <w:sz w:val="21"/>
                <w:szCs w:val="21"/>
                <w:highlight w:val="none"/>
                <w:lang w:eastAsia="zh-CN"/>
              </w:rPr>
              <w:t>监管评级</w:t>
            </w:r>
            <w:r>
              <w:rPr>
                <w:rFonts w:hint="default" w:ascii="Times New Roman" w:hAnsi="Times New Roman" w:cs="Times New Roman"/>
                <w:color w:val="auto"/>
                <w:kern w:val="2"/>
                <w:sz w:val="21"/>
                <w:szCs w:val="21"/>
                <w:highlight w:val="none"/>
                <w:lang w:eastAsia="zh-CN"/>
              </w:rPr>
              <w:t>。</w:t>
            </w:r>
          </w:p>
        </w:tc>
        <w:tc>
          <w:tcPr>
            <w:tcW w:w="705" w:type="dxa"/>
            <w:noWrap w:val="0"/>
            <w:vAlign w:val="top"/>
          </w:tcPr>
          <w:p w14:paraId="07B664FA">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537F4E42">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2403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3173" w:type="dxa"/>
            <w:gridSpan w:val="3"/>
            <w:noWrap w:val="0"/>
            <w:vAlign w:val="center"/>
          </w:tcPr>
          <w:p w14:paraId="4A12D3E3">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加分项</w:t>
            </w:r>
          </w:p>
        </w:tc>
        <w:tc>
          <w:tcPr>
            <w:tcW w:w="8992" w:type="dxa"/>
            <w:noWrap w:val="0"/>
            <w:vAlign w:val="center"/>
          </w:tcPr>
          <w:p w14:paraId="73960182">
            <w:pPr>
              <w:pStyle w:val="2"/>
              <w:keepNext w:val="0"/>
              <w:keepLines w:val="0"/>
              <w:pageBreakBefore w:val="0"/>
              <w:kinsoku/>
              <w:overflowPunct/>
              <w:topLinePunct w:val="0"/>
              <w:bidi w:val="0"/>
              <w:snapToGrid w:val="0"/>
              <w:ind w:left="0" w:leftChars="0" w:right="0" w:rightChars="0" w:firstLine="420" w:firstLineChars="200"/>
              <w:textAlignment w:val="auto"/>
              <w:outlineLvl w:val="9"/>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出现下列情形的，可</w:t>
            </w:r>
            <w:r>
              <w:rPr>
                <w:rFonts w:hint="eastAsia" w:ascii="Times New Roman" w:hAnsi="Times New Roman" w:cs="Times New Roman"/>
                <w:color w:val="auto"/>
                <w:kern w:val="2"/>
                <w:sz w:val="21"/>
                <w:szCs w:val="21"/>
                <w:highlight w:val="none"/>
                <w:lang w:val="en-US" w:eastAsia="zh-CN"/>
              </w:rPr>
              <w:t>由企业</w:t>
            </w:r>
            <w:r>
              <w:rPr>
                <w:rFonts w:hint="default" w:ascii="Times New Roman" w:hAnsi="Times New Roman" w:cs="Times New Roman"/>
                <w:color w:val="auto"/>
                <w:kern w:val="2"/>
                <w:sz w:val="21"/>
                <w:szCs w:val="21"/>
                <w:highlight w:val="none"/>
              </w:rPr>
              <w:t>提出</w:t>
            </w:r>
            <w:r>
              <w:rPr>
                <w:rFonts w:hint="eastAsia" w:ascii="Times New Roman" w:hAnsi="Times New Roman" w:cs="Times New Roman"/>
                <w:color w:val="auto"/>
                <w:kern w:val="2"/>
                <w:sz w:val="21"/>
                <w:szCs w:val="21"/>
                <w:highlight w:val="none"/>
                <w:lang w:val="en-US" w:eastAsia="zh-CN"/>
              </w:rPr>
              <w:t>书面</w:t>
            </w:r>
            <w:r>
              <w:rPr>
                <w:rFonts w:hint="default" w:ascii="Times New Roman" w:hAnsi="Times New Roman" w:cs="Times New Roman"/>
                <w:color w:val="auto"/>
                <w:kern w:val="2"/>
                <w:sz w:val="21"/>
                <w:szCs w:val="21"/>
                <w:highlight w:val="none"/>
              </w:rPr>
              <w:t>申请，经监管</w:t>
            </w:r>
            <w:r>
              <w:rPr>
                <w:rFonts w:hint="default" w:ascii="Times New Roman" w:hAnsi="Times New Roman" w:cs="Times New Roman"/>
                <w:color w:val="auto"/>
                <w:kern w:val="2"/>
                <w:sz w:val="21"/>
                <w:szCs w:val="21"/>
                <w:highlight w:val="none"/>
                <w:lang w:eastAsia="zh-CN"/>
              </w:rPr>
              <w:t>部门</w:t>
            </w:r>
            <w:r>
              <w:rPr>
                <w:rFonts w:hint="default" w:ascii="Times New Roman" w:hAnsi="Times New Roman" w:cs="Times New Roman"/>
                <w:color w:val="auto"/>
                <w:kern w:val="2"/>
                <w:sz w:val="21"/>
                <w:szCs w:val="21"/>
                <w:highlight w:val="none"/>
              </w:rPr>
              <w:t>确认后，酌情予以加分。</w:t>
            </w:r>
          </w:p>
          <w:p w14:paraId="6CF6852E">
            <w:pPr>
              <w:pStyle w:val="2"/>
              <w:keepNext w:val="0"/>
              <w:keepLines w:val="0"/>
              <w:pageBreakBefore w:val="0"/>
              <w:numPr>
                <w:ilvl w:val="0"/>
                <w:numId w:val="3"/>
              </w:numPr>
              <w:kinsoku/>
              <w:overflowPunct/>
              <w:topLinePunct w:val="0"/>
              <w:bidi w:val="0"/>
              <w:snapToGrid w:val="0"/>
              <w:ind w:left="0" w:leftChars="0" w:right="0" w:rightChars="0" w:firstLine="420" w:firstLineChars="200"/>
              <w:textAlignment w:val="auto"/>
              <w:outlineLvl w:val="9"/>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lang w:eastAsia="zh-CN"/>
              </w:rPr>
              <w:t>当年典当总额达到</w:t>
            </w:r>
            <w:r>
              <w:rPr>
                <w:rFonts w:hint="default" w:ascii="Times New Roman" w:hAnsi="Times New Roman" w:cs="Times New Roman"/>
                <w:color w:val="auto"/>
                <w:kern w:val="2"/>
                <w:sz w:val="21"/>
                <w:szCs w:val="21"/>
                <w:highlight w:val="none"/>
                <w:lang w:val="en-US" w:eastAsia="zh-CN"/>
              </w:rPr>
              <w:t>1000万元且</w:t>
            </w:r>
            <w:r>
              <w:rPr>
                <w:rFonts w:hint="default" w:ascii="Times New Roman" w:hAnsi="Times New Roman" w:cs="Times New Roman"/>
                <w:color w:val="auto"/>
                <w:kern w:val="2"/>
                <w:sz w:val="21"/>
                <w:szCs w:val="21"/>
                <w:highlight w:val="none"/>
                <w:lang w:eastAsia="zh-CN"/>
              </w:rPr>
              <w:t>民品典当总额占比达</w:t>
            </w:r>
            <w:r>
              <w:rPr>
                <w:rFonts w:hint="default" w:ascii="Times New Roman" w:hAnsi="Times New Roman" w:cs="Times New Roman"/>
                <w:color w:val="auto"/>
                <w:kern w:val="2"/>
                <w:sz w:val="21"/>
                <w:szCs w:val="21"/>
                <w:highlight w:val="none"/>
                <w:lang w:val="en-US" w:eastAsia="zh-CN"/>
              </w:rPr>
              <w:t>50%以上的酌情加5-10分。</w:t>
            </w:r>
          </w:p>
          <w:p w14:paraId="2CC2B598">
            <w:pPr>
              <w:pStyle w:val="2"/>
              <w:keepNext w:val="0"/>
              <w:keepLines w:val="0"/>
              <w:pageBreakBefore w:val="0"/>
              <w:numPr>
                <w:ilvl w:val="0"/>
                <w:numId w:val="3"/>
              </w:numPr>
              <w:kinsoku/>
              <w:overflowPunct/>
              <w:topLinePunct w:val="0"/>
              <w:bidi w:val="0"/>
              <w:snapToGrid w:val="0"/>
              <w:ind w:left="0" w:leftChars="0" w:right="0" w:rightChars="0" w:firstLine="420" w:firstLineChars="200"/>
              <w:textAlignment w:val="auto"/>
              <w:outlineLvl w:val="9"/>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sz w:val="21"/>
                <w:szCs w:val="21"/>
                <w:highlight w:val="none"/>
                <w:lang w:val="en-US" w:eastAsia="zh-CN"/>
              </w:rPr>
              <w:t>积极履行社会责任，为各项公益事业捐款捐物</w:t>
            </w:r>
            <w:r>
              <w:rPr>
                <w:rFonts w:hint="default" w:ascii="Times New Roman" w:hAnsi="Times New Roman" w:eastAsia="仿宋_GB2312" w:cs="Times New Roman"/>
                <w:color w:val="auto"/>
                <w:sz w:val="21"/>
                <w:szCs w:val="21"/>
                <w:highlight w:val="none"/>
                <w:lang w:val="en-US" w:eastAsia="zh-CN"/>
              </w:rPr>
              <w:t>的</w:t>
            </w:r>
            <w:r>
              <w:rPr>
                <w:rFonts w:hint="default" w:ascii="Times New Roman" w:hAnsi="Times New Roman" w:cs="Times New Roman"/>
                <w:color w:val="auto"/>
                <w:sz w:val="21"/>
                <w:szCs w:val="21"/>
                <w:highlight w:val="none"/>
                <w:lang w:val="en-US" w:eastAsia="zh-CN"/>
              </w:rPr>
              <w:t>(以捐赠凭证为依据)</w:t>
            </w:r>
            <w:r>
              <w:rPr>
                <w:rFonts w:hint="default" w:ascii="Times New Roman" w:hAnsi="Times New Roman" w:cs="Times New Roman"/>
                <w:color w:val="auto"/>
                <w:kern w:val="2"/>
                <w:sz w:val="21"/>
                <w:szCs w:val="21"/>
                <w:highlight w:val="none"/>
              </w:rPr>
              <w:t>酌情加1</w:t>
            </w:r>
            <w:r>
              <w:rPr>
                <w:rFonts w:hint="default" w:ascii="Times New Roman" w:hAnsi="Times New Roman" w:cs="Times New Roman"/>
                <w:color w:val="auto"/>
                <w:kern w:val="2"/>
                <w:sz w:val="21"/>
                <w:szCs w:val="21"/>
                <w:highlight w:val="none"/>
                <w:lang w:val="en-US" w:eastAsia="zh-CN"/>
              </w:rPr>
              <w:t>-</w:t>
            </w:r>
            <w:r>
              <w:rPr>
                <w:rFonts w:hint="default" w:ascii="Times New Roman" w:hAnsi="Times New Roman" w:cs="Times New Roman"/>
                <w:color w:val="auto"/>
                <w:kern w:val="2"/>
                <w:sz w:val="21"/>
                <w:szCs w:val="21"/>
                <w:highlight w:val="none"/>
              </w:rPr>
              <w:t>10分。</w:t>
            </w:r>
          </w:p>
          <w:p w14:paraId="2B4B1D4F">
            <w:pPr>
              <w:pStyle w:val="2"/>
              <w:keepNext w:val="0"/>
              <w:keepLines w:val="0"/>
              <w:pageBreakBefore w:val="0"/>
              <w:numPr>
                <w:ilvl w:val="0"/>
                <w:numId w:val="3"/>
              </w:numPr>
              <w:kinsoku/>
              <w:overflowPunct/>
              <w:topLinePunct w:val="0"/>
              <w:bidi w:val="0"/>
              <w:snapToGrid w:val="0"/>
              <w:ind w:left="0" w:leftChars="0" w:right="0" w:rightChars="0" w:firstLine="420" w:firstLineChars="200"/>
              <w:textAlignment w:val="auto"/>
              <w:outlineLvl w:val="9"/>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lang w:eastAsia="zh-CN"/>
              </w:rPr>
              <w:t>考核期内获得监管部门、行业协会等相关单位表扬表彰、颁发荣誉的酌情加5-10分。</w:t>
            </w:r>
          </w:p>
        </w:tc>
        <w:tc>
          <w:tcPr>
            <w:tcW w:w="705" w:type="dxa"/>
            <w:noWrap w:val="0"/>
            <w:vAlign w:val="top"/>
          </w:tcPr>
          <w:p w14:paraId="66BBD41C">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4AEFDA24">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42538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3173" w:type="dxa"/>
            <w:gridSpan w:val="3"/>
            <w:noWrap w:val="0"/>
            <w:vAlign w:val="center"/>
          </w:tcPr>
          <w:p w14:paraId="7184123D">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宋体"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专家调整项</w:t>
            </w:r>
          </w:p>
        </w:tc>
        <w:tc>
          <w:tcPr>
            <w:tcW w:w="8992" w:type="dxa"/>
            <w:noWrap w:val="0"/>
            <w:vAlign w:val="center"/>
          </w:tcPr>
          <w:p w14:paraId="62E80415">
            <w:pPr>
              <w:keepNext w:val="0"/>
              <w:keepLines w:val="0"/>
              <w:pageBreakBefore w:val="0"/>
              <w:kinsoku/>
              <w:overflowPunct/>
              <w:topLinePunct w:val="0"/>
              <w:bidi w:val="0"/>
              <w:snapToGrid w:val="0"/>
              <w:ind w:left="0" w:leftChars="0" w:right="0" w:rightChars="0" w:firstLine="420" w:firstLineChars="200"/>
              <w:textAlignment w:val="auto"/>
              <w:outlineLvl w:val="9"/>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1.坚持服务</w:t>
            </w:r>
            <w:r>
              <w:rPr>
                <w:rFonts w:hint="default" w:ascii="Times New Roman" w:hAnsi="Times New Roman" w:cs="Times New Roman"/>
                <w:color w:val="auto"/>
                <w:sz w:val="21"/>
                <w:highlight w:val="none"/>
                <w:lang w:eastAsia="zh-CN"/>
              </w:rPr>
              <w:t>地方</w:t>
            </w:r>
            <w:r>
              <w:rPr>
                <w:rFonts w:hint="default" w:ascii="Times New Roman" w:hAnsi="Times New Roman" w:cs="Times New Roman"/>
                <w:color w:val="auto"/>
                <w:sz w:val="21"/>
                <w:highlight w:val="none"/>
              </w:rPr>
              <w:t>实体经济、</w:t>
            </w:r>
            <w:r>
              <w:rPr>
                <w:rFonts w:hint="default" w:ascii="Times New Roman" w:hAnsi="Times New Roman" w:cs="Times New Roman"/>
                <w:color w:val="auto"/>
                <w:sz w:val="21"/>
                <w:highlight w:val="none"/>
                <w:lang w:eastAsia="zh-CN"/>
              </w:rPr>
              <w:t>发挥</w:t>
            </w:r>
            <w:r>
              <w:rPr>
                <w:rFonts w:hint="default" w:ascii="Times New Roman" w:hAnsi="Times New Roman" w:cs="Times New Roman"/>
                <w:color w:val="auto"/>
                <w:sz w:val="21"/>
                <w:highlight w:val="none"/>
              </w:rPr>
              <w:t>普惠金融</w:t>
            </w:r>
            <w:r>
              <w:rPr>
                <w:rFonts w:hint="default" w:ascii="Times New Roman" w:hAnsi="Times New Roman" w:cs="Times New Roman"/>
                <w:color w:val="auto"/>
                <w:sz w:val="21"/>
                <w:highlight w:val="none"/>
                <w:lang w:eastAsia="zh-CN"/>
              </w:rPr>
              <w:t>作用显著</w:t>
            </w:r>
            <w:r>
              <w:rPr>
                <w:rFonts w:hint="default" w:ascii="Times New Roman" w:hAnsi="Times New Roman" w:cs="Times New Roman"/>
                <w:color w:val="auto"/>
                <w:sz w:val="21"/>
                <w:highlight w:val="none"/>
              </w:rPr>
              <w:t>且评级级别较低的，可启动专家调整高</w:t>
            </w:r>
            <w:r>
              <w:rPr>
                <w:rFonts w:hint="default" w:ascii="Times New Roman" w:hAnsi="Times New Roman" w:cs="Times New Roman"/>
                <w:color w:val="auto"/>
                <w:sz w:val="21"/>
                <w:highlight w:val="none"/>
                <w:lang w:val="en-US" w:eastAsia="zh-CN"/>
              </w:rPr>
              <w:t>1</w:t>
            </w:r>
            <w:r>
              <w:rPr>
                <w:rFonts w:hint="default" w:ascii="Times New Roman" w:hAnsi="Times New Roman" w:cs="Times New Roman"/>
                <w:color w:val="auto"/>
                <w:sz w:val="21"/>
                <w:highlight w:val="none"/>
              </w:rPr>
              <w:t>个等次。</w:t>
            </w:r>
          </w:p>
          <w:p w14:paraId="78F6B4DD">
            <w:pPr>
              <w:keepNext w:val="0"/>
              <w:keepLines w:val="0"/>
              <w:pageBreakBefore w:val="0"/>
              <w:kinsoku/>
              <w:overflowPunct/>
              <w:topLinePunct w:val="0"/>
              <w:bidi w:val="0"/>
              <w:snapToGrid w:val="0"/>
              <w:ind w:left="0" w:leftChars="0" w:right="0" w:rightChars="0" w:firstLine="420" w:firstLineChars="200"/>
              <w:textAlignment w:val="auto"/>
              <w:outlineLvl w:val="9"/>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2.有违规记录，且因评</w:t>
            </w:r>
            <w:r>
              <w:rPr>
                <w:rFonts w:hint="default" w:ascii="Times New Roman" w:hAnsi="Times New Roman" w:cs="Times New Roman"/>
                <w:color w:val="auto"/>
                <w:sz w:val="21"/>
                <w:highlight w:val="none"/>
                <w:lang w:eastAsia="zh-CN"/>
              </w:rPr>
              <w:t>分</w:t>
            </w:r>
            <w:r>
              <w:rPr>
                <w:rFonts w:hint="default" w:ascii="Times New Roman" w:hAnsi="Times New Roman" w:cs="Times New Roman"/>
                <w:color w:val="auto"/>
                <w:sz w:val="21"/>
                <w:highlight w:val="none"/>
              </w:rPr>
              <w:t xml:space="preserve">值偏高与公司合规经营情况不相匹配的，可启动专家调整项给予适当减分。 </w:t>
            </w:r>
          </w:p>
        </w:tc>
        <w:tc>
          <w:tcPr>
            <w:tcW w:w="705" w:type="dxa"/>
            <w:noWrap w:val="0"/>
            <w:vAlign w:val="top"/>
          </w:tcPr>
          <w:p w14:paraId="5C0D1AF3">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36CD6202">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7E26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173" w:type="dxa"/>
            <w:gridSpan w:val="3"/>
            <w:noWrap w:val="0"/>
            <w:vAlign w:val="center"/>
          </w:tcPr>
          <w:p w14:paraId="00ECFFED">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仿宋" w:cs="Times New Roman"/>
                <w:b/>
                <w:bCs/>
                <w:color w:val="auto"/>
                <w:sz w:val="28"/>
                <w:szCs w:val="28"/>
                <w:highlight w:val="none"/>
                <w:lang w:eastAsia="zh-CN"/>
              </w:rPr>
            </w:pPr>
            <w:r>
              <w:rPr>
                <w:rFonts w:hint="default" w:ascii="Times New Roman" w:hAnsi="Times New Roman" w:eastAsia="仿宋" w:cs="Times New Roman"/>
                <w:b/>
                <w:bCs/>
                <w:color w:val="auto"/>
                <w:sz w:val="28"/>
                <w:szCs w:val="28"/>
                <w:highlight w:val="none"/>
                <w:lang w:eastAsia="zh-CN"/>
              </w:rPr>
              <w:t>合计</w:t>
            </w:r>
          </w:p>
        </w:tc>
        <w:tc>
          <w:tcPr>
            <w:tcW w:w="8992" w:type="dxa"/>
            <w:noWrap w:val="0"/>
            <w:vAlign w:val="center"/>
          </w:tcPr>
          <w:p w14:paraId="07DC8CFB">
            <w:pPr>
              <w:keepNext w:val="0"/>
              <w:keepLines w:val="0"/>
              <w:pageBreakBefore w:val="0"/>
              <w:kinsoku/>
              <w:overflowPunct/>
              <w:topLinePunct w:val="0"/>
              <w:bidi w:val="0"/>
              <w:snapToGrid w:val="0"/>
              <w:ind w:left="0" w:leftChars="0" w:right="0" w:rightChars="0" w:firstLine="420" w:firstLineChars="200"/>
              <w:textAlignment w:val="auto"/>
              <w:outlineLvl w:val="9"/>
              <w:rPr>
                <w:rFonts w:hint="default" w:ascii="Times New Roman" w:hAnsi="Times New Roman" w:cs="Times New Roman"/>
                <w:color w:val="auto"/>
                <w:sz w:val="21"/>
                <w:highlight w:val="none"/>
              </w:rPr>
            </w:pPr>
          </w:p>
        </w:tc>
        <w:tc>
          <w:tcPr>
            <w:tcW w:w="705" w:type="dxa"/>
            <w:noWrap w:val="0"/>
            <w:vAlign w:val="top"/>
          </w:tcPr>
          <w:p w14:paraId="2495F7DD">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077883E5">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bl>
    <w:p w14:paraId="3B99E941">
      <w:pPr>
        <w:pStyle w:val="2"/>
        <w:numPr>
          <w:ilvl w:val="0"/>
          <w:numId w:val="0"/>
        </w:numPr>
        <w:rPr>
          <w:rFonts w:hint="default"/>
          <w:color w:val="auto"/>
          <w:highlight w:val="none"/>
          <w:lang w:val="en" w:eastAsia="zh-CN"/>
        </w:rPr>
      </w:pPr>
    </w:p>
    <w:p w14:paraId="024CB40A">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14:paraId="5167662A">
      <w:pPr>
        <w:pStyle w:val="2"/>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3：</w:t>
      </w:r>
    </w:p>
    <w:p w14:paraId="723F3D86">
      <w:pPr>
        <w:pStyle w:val="2"/>
        <w:rPr>
          <w:rFonts w:hint="default" w:ascii="Times New Roman" w:hAnsi="Times New Roman" w:eastAsia="方正小标宋简体" w:cs="Times New Roman"/>
          <w:color w:val="auto"/>
          <w:sz w:val="44"/>
          <w:szCs w:val="44"/>
          <w:highlight w:val="none"/>
          <w:lang w:val="en-US" w:eastAsia="zh-CN"/>
        </w:rPr>
      </w:pPr>
    </w:p>
    <w:p w14:paraId="5D71B49E">
      <w:pPr>
        <w:spacing w:line="540" w:lineRule="exact"/>
        <w:jc w:val="center"/>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val="en-US" w:eastAsia="zh-CN"/>
        </w:rPr>
        <w:t>广西壮族自治区地方资产管理公司</w:t>
      </w:r>
      <w:r>
        <w:rPr>
          <w:rFonts w:hint="eastAsia" w:eastAsia="方正小标宋简体" w:cs="Times New Roman"/>
          <w:color w:val="auto"/>
          <w:sz w:val="44"/>
          <w:szCs w:val="44"/>
          <w:highlight w:val="none"/>
          <w:lang w:val="en-US" w:eastAsia="zh-CN"/>
        </w:rPr>
        <w:t>2024年度监管评级</w:t>
      </w:r>
      <w:r>
        <w:rPr>
          <w:rFonts w:hint="default" w:ascii="Times New Roman" w:hAnsi="Times New Roman" w:eastAsia="方正小标宋简体" w:cs="Times New Roman"/>
          <w:color w:val="auto"/>
          <w:sz w:val="44"/>
          <w:szCs w:val="44"/>
          <w:highlight w:val="none"/>
          <w:lang w:eastAsia="zh-CN"/>
        </w:rPr>
        <w:t>评分</w:t>
      </w:r>
      <w:r>
        <w:rPr>
          <w:rFonts w:hint="eastAsia" w:eastAsia="方正小标宋简体" w:cs="Times New Roman"/>
          <w:color w:val="auto"/>
          <w:sz w:val="44"/>
          <w:szCs w:val="44"/>
          <w:highlight w:val="none"/>
          <w:lang w:eastAsia="zh-CN"/>
        </w:rPr>
        <w:t>表</w:t>
      </w:r>
    </w:p>
    <w:p w14:paraId="53600C83">
      <w:pPr>
        <w:bidi w:val="0"/>
        <w:rPr>
          <w:rFonts w:hint="default"/>
          <w:color w:val="auto"/>
          <w:highlight w:val="none"/>
        </w:rPr>
      </w:pPr>
    </w:p>
    <w:tbl>
      <w:tblPr>
        <w:tblStyle w:val="24"/>
        <w:tblW w:w="14620"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690"/>
        <w:gridCol w:w="491"/>
        <w:gridCol w:w="10293"/>
        <w:gridCol w:w="530"/>
        <w:gridCol w:w="623"/>
      </w:tblGrid>
      <w:tr w14:paraId="2A5B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683" w:type="dxa"/>
            <w:gridSpan w:val="2"/>
            <w:noWrap w:val="0"/>
            <w:vAlign w:val="center"/>
          </w:tcPr>
          <w:p w14:paraId="30E35E0B">
            <w:pPr>
              <w:spacing w:line="4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考评内容</w:t>
            </w:r>
          </w:p>
        </w:tc>
        <w:tc>
          <w:tcPr>
            <w:tcW w:w="491" w:type="dxa"/>
            <w:noWrap w:val="0"/>
            <w:vAlign w:val="center"/>
          </w:tcPr>
          <w:p w14:paraId="7D66F864">
            <w:pPr>
              <w:spacing w:line="4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分值</w:t>
            </w:r>
          </w:p>
        </w:tc>
        <w:tc>
          <w:tcPr>
            <w:tcW w:w="10293" w:type="dxa"/>
            <w:noWrap w:val="0"/>
            <w:vAlign w:val="center"/>
          </w:tcPr>
          <w:p w14:paraId="5B61E1A5">
            <w:pPr>
              <w:spacing w:line="4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评分标准</w:t>
            </w:r>
          </w:p>
        </w:tc>
        <w:tc>
          <w:tcPr>
            <w:tcW w:w="530" w:type="dxa"/>
            <w:noWrap w:val="0"/>
            <w:vAlign w:val="center"/>
          </w:tcPr>
          <w:p w14:paraId="2C1A27F2">
            <w:pPr>
              <w:spacing w:line="36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得分</w:t>
            </w:r>
          </w:p>
        </w:tc>
        <w:tc>
          <w:tcPr>
            <w:tcW w:w="623" w:type="dxa"/>
            <w:noWrap w:val="0"/>
            <w:vAlign w:val="center"/>
          </w:tcPr>
          <w:p w14:paraId="7F4BE58D">
            <w:pPr>
              <w:spacing w:line="36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备注</w:t>
            </w:r>
          </w:p>
        </w:tc>
      </w:tr>
      <w:tr w14:paraId="4B02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blHeader/>
        </w:trPr>
        <w:tc>
          <w:tcPr>
            <w:tcW w:w="993" w:type="dxa"/>
            <w:vMerge w:val="restart"/>
            <w:noWrap w:val="0"/>
            <w:vAlign w:val="center"/>
          </w:tcPr>
          <w:p w14:paraId="59F6D57B">
            <w:pPr>
              <w:spacing w:line="40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一、</w:t>
            </w:r>
          </w:p>
          <w:p w14:paraId="266AAA4C">
            <w:pPr>
              <w:spacing w:line="40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公司</w:t>
            </w:r>
          </w:p>
          <w:p w14:paraId="04F33ED7">
            <w:pPr>
              <w:spacing w:line="40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治理</w:t>
            </w:r>
          </w:p>
          <w:p w14:paraId="78E7D839">
            <w:pPr>
              <w:spacing w:line="400" w:lineRule="exact"/>
              <w:jc w:val="center"/>
              <w:rPr>
                <w:rFonts w:hint="default" w:ascii="Times New Roman" w:hAnsi="Times New Roman" w:eastAsia="方正仿宋_GBK" w:cs="Times New Roman"/>
                <w:b/>
                <w:bCs/>
                <w:color w:val="auto"/>
                <w:sz w:val="32"/>
                <w:szCs w:val="32"/>
                <w:highlight w:val="none"/>
              </w:rPr>
            </w:pPr>
            <w:r>
              <w:rPr>
                <w:rFonts w:hint="eastAsia" w:eastAsia="黑体" w:cs="Times New Roman"/>
                <w:color w:val="auto"/>
                <w:sz w:val="24"/>
                <w:szCs w:val="24"/>
                <w:highlight w:val="none"/>
                <w:lang w:val="en-US" w:eastAsia="zh-CN"/>
              </w:rPr>
              <w:t>（15</w:t>
            </w:r>
            <w:r>
              <w:rPr>
                <w:rFonts w:hint="default" w:ascii="Times New Roman" w:hAnsi="Times New Roman" w:eastAsia="黑体" w:cs="Times New Roman"/>
                <w:color w:val="auto"/>
                <w:sz w:val="24"/>
                <w:szCs w:val="24"/>
                <w:highlight w:val="none"/>
              </w:rPr>
              <w:t>分）</w:t>
            </w:r>
          </w:p>
        </w:tc>
        <w:tc>
          <w:tcPr>
            <w:tcW w:w="1690" w:type="dxa"/>
            <w:noWrap w:val="0"/>
            <w:vAlign w:val="center"/>
          </w:tcPr>
          <w:p w14:paraId="70CBCCE5">
            <w:pPr>
              <w:spacing w:line="400" w:lineRule="exact"/>
              <w:jc w:val="left"/>
              <w:rPr>
                <w:rFonts w:hint="default" w:ascii="Times New Roman" w:hAnsi="Times New Roman" w:eastAsia="楷体_GB2312" w:cs="Times New Roman"/>
                <w:b/>
                <w:bCs/>
                <w:color w:val="auto"/>
                <w:sz w:val="24"/>
                <w:szCs w:val="24"/>
                <w:highlight w:val="none"/>
                <w:lang w:eastAsia="zh-CN"/>
              </w:rPr>
            </w:pPr>
            <w:r>
              <w:rPr>
                <w:rFonts w:hint="default" w:ascii="Times New Roman" w:hAnsi="Times New Roman" w:eastAsia="楷体_GB2312" w:cs="Times New Roman"/>
                <w:b/>
                <w:bCs/>
                <w:color w:val="auto"/>
                <w:sz w:val="24"/>
                <w:szCs w:val="24"/>
                <w:highlight w:val="none"/>
                <w:lang w:eastAsia="zh-CN"/>
              </w:rPr>
              <w:t>（</w:t>
            </w:r>
            <w:r>
              <w:rPr>
                <w:rFonts w:hint="default" w:ascii="Times New Roman" w:hAnsi="Times New Roman" w:eastAsia="楷体_GB2312" w:cs="Times New Roman"/>
                <w:b/>
                <w:bCs/>
                <w:color w:val="auto"/>
                <w:sz w:val="24"/>
                <w:szCs w:val="24"/>
                <w:highlight w:val="none"/>
                <w:lang w:val="en-US" w:eastAsia="zh-CN"/>
              </w:rPr>
              <w:t>1</w:t>
            </w:r>
            <w:r>
              <w:rPr>
                <w:rFonts w:hint="default" w:ascii="Times New Roman" w:hAnsi="Times New Roman" w:eastAsia="楷体_GB2312" w:cs="Times New Roman"/>
                <w:b/>
                <w:bCs/>
                <w:color w:val="auto"/>
                <w:sz w:val="24"/>
                <w:szCs w:val="24"/>
                <w:highlight w:val="none"/>
                <w:lang w:eastAsia="zh-CN"/>
              </w:rPr>
              <w:t>）治理结构</w:t>
            </w:r>
          </w:p>
        </w:tc>
        <w:tc>
          <w:tcPr>
            <w:tcW w:w="491" w:type="dxa"/>
            <w:noWrap w:val="0"/>
            <w:vAlign w:val="center"/>
          </w:tcPr>
          <w:p w14:paraId="4ACD301B">
            <w:pPr>
              <w:spacing w:line="400" w:lineRule="exact"/>
              <w:jc w:val="center"/>
              <w:rPr>
                <w:rFonts w:hint="default" w:ascii="Times New Roman" w:hAnsi="Times New Roman" w:eastAsia="方正仿宋_GBK" w:cs="Times New Roman"/>
                <w:b/>
                <w:bCs/>
                <w:color w:val="auto"/>
                <w:sz w:val="24"/>
                <w:szCs w:val="24"/>
                <w:highlight w:val="none"/>
                <w:lang w:val="en-US" w:eastAsia="zh-CN"/>
              </w:rPr>
            </w:pPr>
            <w:r>
              <w:rPr>
                <w:rFonts w:hint="eastAsia" w:eastAsia="方正仿宋_GBK" w:cs="Times New Roman"/>
                <w:b/>
                <w:bCs/>
                <w:color w:val="auto"/>
                <w:sz w:val="24"/>
                <w:szCs w:val="24"/>
                <w:highlight w:val="none"/>
                <w:lang w:val="en-US" w:eastAsia="zh-CN"/>
              </w:rPr>
              <w:t>5</w:t>
            </w:r>
          </w:p>
        </w:tc>
        <w:tc>
          <w:tcPr>
            <w:tcW w:w="10293" w:type="dxa"/>
            <w:noWrap w:val="0"/>
            <w:vAlign w:val="center"/>
          </w:tcPr>
          <w:p w14:paraId="32269AC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Times New Roman" w:hAnsi="Times New Roman" w:eastAsia="仿宋_GB2312" w:cs="Times New Roman"/>
                <w:bCs w:val="0"/>
                <w:color w:val="auto"/>
                <w:sz w:val="21"/>
                <w:szCs w:val="21"/>
                <w:highlight w:val="none"/>
              </w:rPr>
            </w:pPr>
            <w:r>
              <w:rPr>
                <w:rFonts w:hint="eastAsia" w:cs="Times New Roman"/>
                <w:bCs w:val="0"/>
                <w:color w:val="auto"/>
                <w:sz w:val="21"/>
                <w:szCs w:val="21"/>
                <w:highlight w:val="none"/>
                <w:lang w:val="en-US" w:eastAsia="zh-CN"/>
              </w:rPr>
              <w:t>1.</w:t>
            </w:r>
            <w:r>
              <w:rPr>
                <w:rFonts w:hint="eastAsia" w:ascii="Times New Roman" w:hAnsi="Times New Roman" w:eastAsia="仿宋_GB2312" w:cs="Times New Roman"/>
                <w:bCs w:val="0"/>
                <w:color w:val="auto"/>
                <w:sz w:val="21"/>
                <w:szCs w:val="21"/>
                <w:highlight w:val="none"/>
              </w:rPr>
              <w:t>建立全面的公司治理框架</w:t>
            </w:r>
            <w:r>
              <w:rPr>
                <w:rFonts w:hint="eastAsia" w:ascii="Times New Roman" w:hAnsi="Times New Roman" w:eastAsia="仿宋_GB2312" w:cs="Times New Roman"/>
                <w:bCs w:val="0"/>
                <w:color w:val="auto"/>
                <w:sz w:val="21"/>
                <w:szCs w:val="21"/>
                <w:highlight w:val="none"/>
                <w:lang w:eastAsia="zh-CN"/>
              </w:rPr>
              <w:t>，</w:t>
            </w:r>
            <w:r>
              <w:rPr>
                <w:rFonts w:hint="eastAsia" w:ascii="Times New Roman" w:hAnsi="Times New Roman" w:eastAsia="仿宋_GB2312" w:cs="Times New Roman"/>
                <w:bCs w:val="0"/>
                <w:color w:val="auto"/>
                <w:sz w:val="21"/>
                <w:szCs w:val="21"/>
                <w:highlight w:val="none"/>
              </w:rPr>
              <w:t>股东会、董事会（或董事）、监事会（或监事）和高级管理层权责明确，</w:t>
            </w:r>
            <w:r>
              <w:rPr>
                <w:rFonts w:hint="eastAsia" w:eastAsia="仿宋_GB2312" w:cs="Times New Roman"/>
                <w:bCs w:val="0"/>
                <w:color w:val="auto"/>
                <w:sz w:val="21"/>
                <w:szCs w:val="21"/>
                <w:highlight w:val="none"/>
                <w:lang w:eastAsia="zh-CN"/>
              </w:rPr>
              <w:t>严格落实“三重一大”决策机制</w:t>
            </w:r>
            <w:r>
              <w:rPr>
                <w:rFonts w:hint="eastAsia" w:cs="Times New Roman"/>
                <w:bCs w:val="0"/>
                <w:color w:val="auto"/>
                <w:sz w:val="21"/>
                <w:szCs w:val="21"/>
                <w:highlight w:val="none"/>
                <w:lang w:eastAsia="zh-CN"/>
              </w:rPr>
              <w:t>，</w:t>
            </w:r>
            <w:r>
              <w:rPr>
                <w:rFonts w:hint="eastAsia" w:eastAsia="仿宋_GB2312" w:cs="Times New Roman"/>
                <w:bCs w:val="0"/>
                <w:color w:val="auto"/>
                <w:sz w:val="21"/>
                <w:szCs w:val="21"/>
                <w:highlight w:val="none"/>
                <w:lang w:eastAsia="zh-CN"/>
              </w:rPr>
              <w:t>规范权力运行</w:t>
            </w:r>
            <w:r>
              <w:rPr>
                <w:rFonts w:hint="eastAsia" w:cs="Times New Roman"/>
                <w:bCs w:val="0"/>
                <w:color w:val="auto"/>
                <w:sz w:val="21"/>
                <w:szCs w:val="21"/>
                <w:highlight w:val="none"/>
                <w:lang w:eastAsia="zh-CN"/>
              </w:rPr>
              <w:t>，</w:t>
            </w:r>
            <w:r>
              <w:rPr>
                <w:rFonts w:hint="eastAsia" w:ascii="Times New Roman" w:hAnsi="Times New Roman" w:eastAsia="仿宋_GB2312" w:cs="Times New Roman"/>
                <w:bCs w:val="0"/>
                <w:color w:val="auto"/>
                <w:sz w:val="21"/>
                <w:szCs w:val="21"/>
                <w:highlight w:val="none"/>
              </w:rPr>
              <w:t>有议事规则、决策程序和约束机制，会议记录完整</w:t>
            </w:r>
            <w:r>
              <w:rPr>
                <w:rFonts w:hint="eastAsia" w:cs="Times New Roman"/>
                <w:bCs w:val="0"/>
                <w:color w:val="auto"/>
                <w:sz w:val="21"/>
                <w:szCs w:val="21"/>
                <w:highlight w:val="none"/>
                <w:lang w:eastAsia="zh-CN"/>
              </w:rPr>
              <w:t>的</w:t>
            </w:r>
            <w:r>
              <w:rPr>
                <w:rFonts w:hint="eastAsia" w:ascii="Times New Roman" w:hAnsi="Times New Roman" w:eastAsia="仿宋_GB2312" w:cs="Times New Roman"/>
                <w:bCs w:val="0"/>
                <w:color w:val="auto"/>
                <w:sz w:val="21"/>
                <w:szCs w:val="21"/>
                <w:highlight w:val="none"/>
              </w:rPr>
              <w:t>得</w:t>
            </w:r>
            <w:r>
              <w:rPr>
                <w:rFonts w:hint="eastAsia" w:cs="Times New Roman"/>
                <w:bCs w:val="0"/>
                <w:color w:val="auto"/>
                <w:sz w:val="21"/>
                <w:szCs w:val="21"/>
                <w:highlight w:val="none"/>
                <w:lang w:val="en-US" w:eastAsia="zh-CN"/>
              </w:rPr>
              <w:t>3</w:t>
            </w:r>
            <w:r>
              <w:rPr>
                <w:rFonts w:hint="eastAsia" w:ascii="Times New Roman" w:hAnsi="Times New Roman" w:eastAsia="仿宋_GB2312" w:cs="Times New Roman"/>
                <w:bCs w:val="0"/>
                <w:color w:val="auto"/>
                <w:sz w:val="21"/>
                <w:szCs w:val="21"/>
                <w:highlight w:val="none"/>
              </w:rPr>
              <w:t>分</w:t>
            </w:r>
            <w:r>
              <w:rPr>
                <w:rFonts w:hint="eastAsia" w:cs="Times New Roman"/>
                <w:bCs w:val="0"/>
                <w:color w:val="auto"/>
                <w:sz w:val="21"/>
                <w:szCs w:val="21"/>
                <w:highlight w:val="none"/>
                <w:lang w:eastAsia="zh-CN"/>
              </w:rPr>
              <w:t>；否则</w:t>
            </w:r>
            <w:r>
              <w:rPr>
                <w:rFonts w:hint="eastAsia" w:ascii="Times New Roman" w:hAnsi="Times New Roman" w:eastAsia="仿宋_GB2312" w:cs="Times New Roman"/>
                <w:bCs w:val="0"/>
                <w:color w:val="auto"/>
                <w:sz w:val="21"/>
                <w:szCs w:val="21"/>
                <w:highlight w:val="none"/>
              </w:rPr>
              <w:t>酌情扣1</w:t>
            </w:r>
            <w:r>
              <w:rPr>
                <w:rFonts w:hint="eastAsia" w:ascii="Times New Roman" w:hAnsi="Times New Roman" w:eastAsia="仿宋_GB2312" w:cs="Times New Roman"/>
                <w:color w:val="auto"/>
                <w:sz w:val="21"/>
                <w:szCs w:val="21"/>
                <w:highlight w:val="none"/>
              </w:rPr>
              <w:t>～</w:t>
            </w:r>
            <w:r>
              <w:rPr>
                <w:rFonts w:hint="eastAsia" w:cs="Times New Roman"/>
                <w:color w:val="auto"/>
                <w:sz w:val="21"/>
                <w:szCs w:val="21"/>
                <w:highlight w:val="none"/>
                <w:lang w:val="en-US" w:eastAsia="zh-CN"/>
              </w:rPr>
              <w:t>3</w:t>
            </w:r>
            <w:r>
              <w:rPr>
                <w:rFonts w:hint="eastAsia" w:ascii="Times New Roman" w:hAnsi="Times New Roman" w:eastAsia="仿宋_GB2312" w:cs="Times New Roman"/>
                <w:bCs w:val="0"/>
                <w:color w:val="auto"/>
                <w:sz w:val="21"/>
                <w:szCs w:val="21"/>
                <w:highlight w:val="none"/>
              </w:rPr>
              <w:t>分。</w:t>
            </w:r>
          </w:p>
          <w:p w14:paraId="036F96BB">
            <w:pPr>
              <w:keepNext w:val="0"/>
              <w:keepLines w:val="0"/>
              <w:pageBreakBefore w:val="0"/>
              <w:widowControl w:val="0"/>
              <w:kinsoku/>
              <w:wordWrap/>
              <w:overflowPunct/>
              <w:topLinePunct w:val="0"/>
              <w:autoSpaceDE/>
              <w:autoSpaceDN/>
              <w:bidi w:val="0"/>
              <w:adjustRightInd/>
              <w:snapToGrid/>
              <w:spacing w:line="280" w:lineRule="exact"/>
              <w:ind w:right="0" w:rightChars="0" w:firstLine="420" w:firstLineChars="200"/>
              <w:jc w:val="both"/>
              <w:textAlignment w:val="auto"/>
              <w:outlineLvl w:val="9"/>
              <w:rPr>
                <w:rFonts w:hint="default" w:ascii="Times New Roman" w:hAnsi="Times New Roman" w:eastAsia="仿宋" w:cs="Times New Roman"/>
                <w:b/>
                <w:bCs/>
                <w:color w:val="auto"/>
                <w:sz w:val="21"/>
                <w:szCs w:val="21"/>
                <w:highlight w:val="none"/>
              </w:rPr>
            </w:pPr>
            <w:r>
              <w:rPr>
                <w:rFonts w:hint="eastAsia"/>
                <w:color w:val="auto"/>
                <w:sz w:val="21"/>
                <w:szCs w:val="21"/>
                <w:highlight w:val="none"/>
                <w:lang w:val="en-US" w:eastAsia="zh-CN"/>
              </w:rPr>
              <w:t>2.</w:t>
            </w:r>
            <w:r>
              <w:rPr>
                <w:rFonts w:hint="eastAsia" w:ascii="Times New Roman" w:hAnsi="Times New Roman" w:eastAsia="仿宋_GB2312"/>
                <w:bCs w:val="0"/>
                <w:color w:val="auto"/>
                <w:kern w:val="2"/>
                <w:sz w:val="21"/>
                <w:szCs w:val="21"/>
                <w:highlight w:val="none"/>
                <w:lang w:val="en-US" w:eastAsia="zh-CN" w:bidi="ar-SA"/>
              </w:rPr>
              <w:t>公司</w:t>
            </w:r>
            <w:r>
              <w:rPr>
                <w:rFonts w:hint="eastAsia"/>
                <w:bCs w:val="0"/>
                <w:color w:val="auto"/>
                <w:kern w:val="2"/>
                <w:sz w:val="21"/>
                <w:szCs w:val="21"/>
                <w:highlight w:val="none"/>
                <w:lang w:val="en-US" w:eastAsia="zh-CN" w:bidi="ar-SA"/>
              </w:rPr>
              <w:t>设置</w:t>
            </w:r>
            <w:r>
              <w:rPr>
                <w:rFonts w:hint="eastAsia" w:ascii="Times New Roman" w:hAnsi="Times New Roman" w:eastAsia="仿宋_GB2312"/>
                <w:bCs w:val="0"/>
                <w:color w:val="auto"/>
                <w:kern w:val="2"/>
                <w:sz w:val="21"/>
                <w:szCs w:val="21"/>
                <w:highlight w:val="none"/>
                <w:lang w:val="en-US" w:eastAsia="zh-CN" w:bidi="ar-SA"/>
              </w:rPr>
              <w:t>业务审查委员会、评估审查委员会、风险管理委员会、审计委员会等专业决策机构，有议事规则并严格执行</w:t>
            </w:r>
            <w:r>
              <w:rPr>
                <w:rFonts w:hint="eastAsia"/>
                <w:bCs w:val="0"/>
                <w:color w:val="auto"/>
                <w:kern w:val="2"/>
                <w:sz w:val="21"/>
                <w:szCs w:val="21"/>
                <w:highlight w:val="none"/>
                <w:lang w:val="en-US" w:eastAsia="zh-CN" w:bidi="ar-SA"/>
              </w:rPr>
              <w:t>的</w:t>
            </w:r>
            <w:r>
              <w:rPr>
                <w:rFonts w:hint="eastAsia" w:ascii="Times New Roman" w:hAnsi="Times New Roman" w:eastAsia="仿宋_GB2312"/>
                <w:bCs w:val="0"/>
                <w:color w:val="auto"/>
                <w:kern w:val="2"/>
                <w:sz w:val="21"/>
                <w:szCs w:val="21"/>
                <w:highlight w:val="none"/>
                <w:lang w:val="en-US" w:eastAsia="zh-CN" w:bidi="ar-SA"/>
              </w:rPr>
              <w:t>得</w:t>
            </w:r>
            <w:r>
              <w:rPr>
                <w:rFonts w:hint="eastAsia" w:ascii="Times New Roman" w:hAnsi="Times New Roman"/>
                <w:bCs w:val="0"/>
                <w:color w:val="auto"/>
                <w:kern w:val="2"/>
                <w:sz w:val="21"/>
                <w:szCs w:val="21"/>
                <w:highlight w:val="none"/>
                <w:lang w:val="en-US" w:eastAsia="zh-CN" w:bidi="ar-SA"/>
              </w:rPr>
              <w:t>2</w:t>
            </w:r>
            <w:r>
              <w:rPr>
                <w:rFonts w:hint="eastAsia" w:ascii="Times New Roman" w:hAnsi="Times New Roman" w:eastAsia="仿宋_GB2312"/>
                <w:bCs w:val="0"/>
                <w:color w:val="auto"/>
                <w:kern w:val="2"/>
                <w:sz w:val="21"/>
                <w:szCs w:val="21"/>
                <w:highlight w:val="none"/>
                <w:lang w:val="en-US" w:eastAsia="zh-CN" w:bidi="ar-SA"/>
              </w:rPr>
              <w:t>分</w:t>
            </w:r>
            <w:r>
              <w:rPr>
                <w:rFonts w:hint="eastAsia"/>
                <w:bCs w:val="0"/>
                <w:color w:val="auto"/>
                <w:kern w:val="2"/>
                <w:sz w:val="21"/>
                <w:szCs w:val="21"/>
                <w:highlight w:val="none"/>
                <w:lang w:val="en-US" w:eastAsia="zh-CN" w:bidi="ar-SA"/>
              </w:rPr>
              <w:t>；否则</w:t>
            </w:r>
            <w:r>
              <w:rPr>
                <w:rFonts w:hint="eastAsia" w:ascii="Times New Roman" w:hAnsi="Times New Roman" w:eastAsia="仿宋_GB2312"/>
                <w:bCs w:val="0"/>
                <w:color w:val="auto"/>
                <w:kern w:val="2"/>
                <w:sz w:val="21"/>
                <w:szCs w:val="21"/>
                <w:highlight w:val="none"/>
                <w:lang w:val="en-US" w:eastAsia="zh-CN" w:bidi="ar-SA"/>
              </w:rPr>
              <w:t>酌情</w:t>
            </w:r>
            <w:r>
              <w:rPr>
                <w:rFonts w:hint="eastAsia"/>
                <w:bCs w:val="0"/>
                <w:color w:val="auto"/>
                <w:kern w:val="2"/>
                <w:sz w:val="21"/>
                <w:szCs w:val="21"/>
                <w:highlight w:val="none"/>
                <w:lang w:val="en-US" w:eastAsia="zh-CN" w:bidi="ar-SA"/>
              </w:rPr>
              <w:t>扣</w:t>
            </w:r>
            <w:r>
              <w:rPr>
                <w:rFonts w:hint="eastAsia" w:ascii="Times New Roman" w:hAnsi="Times New Roman" w:eastAsia="仿宋_GB2312"/>
                <w:bCs w:val="0"/>
                <w:color w:val="auto"/>
                <w:kern w:val="2"/>
                <w:sz w:val="21"/>
                <w:szCs w:val="21"/>
                <w:highlight w:val="none"/>
                <w:lang w:val="en-US" w:eastAsia="zh-CN" w:bidi="ar-SA"/>
              </w:rPr>
              <w:t>1</w:t>
            </w:r>
            <w:r>
              <w:rPr>
                <w:rFonts w:hint="eastAsia" w:ascii="Times New Roman" w:hAnsi="Times New Roman" w:eastAsia="仿宋_GB2312" w:cs="Times New Roman"/>
                <w:color w:val="auto"/>
                <w:sz w:val="21"/>
                <w:szCs w:val="21"/>
                <w:highlight w:val="none"/>
              </w:rPr>
              <w:t>～</w:t>
            </w:r>
            <w:r>
              <w:rPr>
                <w:rFonts w:hint="eastAsia" w:ascii="Times New Roman" w:hAnsi="Times New Roman"/>
                <w:bCs w:val="0"/>
                <w:color w:val="auto"/>
                <w:kern w:val="2"/>
                <w:sz w:val="21"/>
                <w:szCs w:val="21"/>
                <w:highlight w:val="none"/>
                <w:lang w:val="en-US" w:eastAsia="zh-CN" w:bidi="ar-SA"/>
              </w:rPr>
              <w:t>2</w:t>
            </w:r>
            <w:r>
              <w:rPr>
                <w:rFonts w:hint="eastAsia" w:ascii="Times New Roman" w:hAnsi="Times New Roman" w:eastAsia="仿宋_GB2312"/>
                <w:bCs w:val="0"/>
                <w:color w:val="auto"/>
                <w:kern w:val="2"/>
                <w:sz w:val="21"/>
                <w:szCs w:val="21"/>
                <w:highlight w:val="none"/>
                <w:lang w:val="en-US" w:eastAsia="zh-CN" w:bidi="ar-SA"/>
              </w:rPr>
              <w:t>分</w:t>
            </w:r>
            <w:r>
              <w:rPr>
                <w:rFonts w:hint="eastAsia" w:eastAsia="仿宋_GB2312"/>
                <w:bCs w:val="0"/>
                <w:color w:val="auto"/>
                <w:kern w:val="2"/>
                <w:sz w:val="21"/>
                <w:szCs w:val="21"/>
                <w:highlight w:val="none"/>
                <w:lang w:val="en-US" w:eastAsia="zh-CN" w:bidi="ar-SA"/>
              </w:rPr>
              <w:t>。</w:t>
            </w:r>
          </w:p>
        </w:tc>
        <w:tc>
          <w:tcPr>
            <w:tcW w:w="530" w:type="dxa"/>
            <w:noWrap w:val="0"/>
            <w:vAlign w:val="center"/>
          </w:tcPr>
          <w:p w14:paraId="3C83CC71">
            <w:pPr>
              <w:spacing w:line="360" w:lineRule="exact"/>
              <w:jc w:val="center"/>
              <w:rPr>
                <w:rFonts w:hint="default" w:ascii="Times New Roman" w:hAnsi="Times New Roman" w:eastAsia="方正仿宋_GBK" w:cs="Times New Roman"/>
                <w:b/>
                <w:bCs/>
                <w:color w:val="auto"/>
                <w:sz w:val="32"/>
                <w:szCs w:val="32"/>
                <w:highlight w:val="none"/>
              </w:rPr>
            </w:pPr>
          </w:p>
        </w:tc>
        <w:tc>
          <w:tcPr>
            <w:tcW w:w="623" w:type="dxa"/>
            <w:noWrap w:val="0"/>
            <w:vAlign w:val="center"/>
          </w:tcPr>
          <w:p w14:paraId="4CC94E53">
            <w:pPr>
              <w:spacing w:line="360" w:lineRule="exact"/>
              <w:jc w:val="center"/>
              <w:rPr>
                <w:rFonts w:hint="default" w:ascii="Times New Roman" w:hAnsi="Times New Roman" w:eastAsia="方正仿宋_GBK" w:cs="Times New Roman"/>
                <w:b/>
                <w:bCs/>
                <w:color w:val="auto"/>
                <w:sz w:val="32"/>
                <w:szCs w:val="32"/>
                <w:highlight w:val="none"/>
              </w:rPr>
            </w:pPr>
          </w:p>
        </w:tc>
      </w:tr>
      <w:tr w14:paraId="55DB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blHeader/>
        </w:trPr>
        <w:tc>
          <w:tcPr>
            <w:tcW w:w="993" w:type="dxa"/>
            <w:vMerge w:val="continue"/>
            <w:noWrap w:val="0"/>
            <w:vAlign w:val="center"/>
          </w:tcPr>
          <w:p w14:paraId="2C8073BD">
            <w:pPr>
              <w:spacing w:line="400" w:lineRule="exact"/>
              <w:jc w:val="left"/>
              <w:rPr>
                <w:rFonts w:hint="default" w:ascii="Times New Roman" w:hAnsi="Times New Roman" w:eastAsia="方正仿宋_GBK" w:cs="Times New Roman"/>
                <w:b/>
                <w:bCs/>
                <w:color w:val="auto"/>
                <w:sz w:val="32"/>
                <w:szCs w:val="32"/>
                <w:highlight w:val="none"/>
              </w:rPr>
            </w:pPr>
          </w:p>
        </w:tc>
        <w:tc>
          <w:tcPr>
            <w:tcW w:w="1690" w:type="dxa"/>
            <w:noWrap w:val="0"/>
            <w:vAlign w:val="center"/>
          </w:tcPr>
          <w:p w14:paraId="2E6596CD">
            <w:pPr>
              <w:spacing w:line="400" w:lineRule="exact"/>
              <w:jc w:val="left"/>
              <w:rPr>
                <w:rFonts w:hint="default" w:ascii="Times New Roman" w:hAnsi="Times New Roman" w:eastAsia="楷体_GB2312" w:cs="Times New Roman"/>
                <w:b/>
                <w:bCs/>
                <w:color w:val="auto"/>
                <w:sz w:val="24"/>
                <w:szCs w:val="24"/>
                <w:highlight w:val="none"/>
                <w:lang w:eastAsia="zh-CN"/>
              </w:rPr>
            </w:pPr>
            <w:r>
              <w:rPr>
                <w:rFonts w:hint="default" w:ascii="Times New Roman" w:hAnsi="Times New Roman" w:eastAsia="楷体_GB2312" w:cs="Times New Roman"/>
                <w:b/>
                <w:bCs/>
                <w:color w:val="auto"/>
                <w:sz w:val="24"/>
                <w:szCs w:val="24"/>
                <w:highlight w:val="none"/>
                <w:lang w:eastAsia="zh-CN"/>
              </w:rPr>
              <w:t>（</w:t>
            </w:r>
            <w:r>
              <w:rPr>
                <w:rFonts w:hint="default" w:ascii="Times New Roman" w:hAnsi="Times New Roman" w:eastAsia="楷体_GB2312" w:cs="Times New Roman"/>
                <w:b/>
                <w:bCs/>
                <w:color w:val="auto"/>
                <w:sz w:val="24"/>
                <w:szCs w:val="24"/>
                <w:highlight w:val="none"/>
                <w:lang w:val="en-US" w:eastAsia="zh-CN"/>
              </w:rPr>
              <w:t>2</w:t>
            </w:r>
            <w:r>
              <w:rPr>
                <w:rFonts w:hint="default" w:ascii="Times New Roman" w:hAnsi="Times New Roman" w:eastAsia="楷体_GB2312" w:cs="Times New Roman"/>
                <w:b/>
                <w:bCs/>
                <w:color w:val="auto"/>
                <w:sz w:val="24"/>
                <w:szCs w:val="24"/>
                <w:highlight w:val="none"/>
                <w:lang w:eastAsia="zh-CN"/>
              </w:rPr>
              <w:t>）人力资源</w:t>
            </w:r>
          </w:p>
        </w:tc>
        <w:tc>
          <w:tcPr>
            <w:tcW w:w="491" w:type="dxa"/>
            <w:noWrap w:val="0"/>
            <w:vAlign w:val="center"/>
          </w:tcPr>
          <w:p w14:paraId="194FB057">
            <w:pPr>
              <w:spacing w:line="400" w:lineRule="exact"/>
              <w:jc w:val="center"/>
              <w:rPr>
                <w:rFonts w:hint="default" w:ascii="Times New Roman" w:hAnsi="Times New Roman" w:eastAsia="方正仿宋_GBK" w:cs="Times New Roman"/>
                <w:b/>
                <w:bCs/>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lang w:val="en-US" w:eastAsia="zh-CN"/>
              </w:rPr>
              <w:t>3</w:t>
            </w:r>
          </w:p>
        </w:tc>
        <w:tc>
          <w:tcPr>
            <w:tcW w:w="10293" w:type="dxa"/>
            <w:noWrap w:val="0"/>
            <w:vAlign w:val="center"/>
          </w:tcPr>
          <w:p w14:paraId="5EC4D45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default" w:ascii="Times New Roman" w:hAnsi="Times New Roman" w:eastAsia="仿宋" w:cs="Times New Roman"/>
                <w:b w:val="0"/>
                <w:bCs w:val="0"/>
                <w:color w:val="auto"/>
                <w:sz w:val="21"/>
                <w:szCs w:val="21"/>
                <w:highlight w:val="none"/>
              </w:rPr>
            </w:pPr>
            <w:r>
              <w:rPr>
                <w:rFonts w:hint="eastAsia" w:ascii="Times New Roman" w:hAnsi="Times New Roman" w:eastAsia="仿宋_GB2312" w:cs="Times New Roman"/>
                <w:b w:val="0"/>
                <w:bCs w:val="0"/>
                <w:color w:val="auto"/>
                <w:sz w:val="21"/>
                <w:szCs w:val="21"/>
                <w:highlight w:val="none"/>
              </w:rPr>
              <w:t>董事</w:t>
            </w:r>
            <w:r>
              <w:rPr>
                <w:rFonts w:hint="default" w:cs="Times New Roman"/>
                <w:b w:val="0"/>
                <w:bCs w:val="0"/>
                <w:color w:val="auto"/>
                <w:sz w:val="21"/>
                <w:szCs w:val="21"/>
                <w:highlight w:val="none"/>
                <w:lang w:val="en"/>
              </w:rPr>
              <w:t>、</w:t>
            </w:r>
            <w:r>
              <w:rPr>
                <w:rFonts w:hint="eastAsia" w:ascii="Times New Roman" w:hAnsi="Times New Roman" w:eastAsia="仿宋_GB2312" w:cs="Times New Roman"/>
                <w:b w:val="0"/>
                <w:bCs w:val="0"/>
                <w:color w:val="auto"/>
                <w:sz w:val="21"/>
                <w:szCs w:val="21"/>
                <w:highlight w:val="none"/>
              </w:rPr>
              <w:t>高级管理人员</w:t>
            </w:r>
            <w:r>
              <w:rPr>
                <w:rFonts w:hint="eastAsia" w:cs="Times New Roman"/>
                <w:b w:val="0"/>
                <w:bCs w:val="0"/>
                <w:color w:val="auto"/>
                <w:sz w:val="21"/>
                <w:szCs w:val="21"/>
                <w:highlight w:val="none"/>
                <w:lang w:eastAsia="zh-CN"/>
              </w:rPr>
              <w:t>具备</w:t>
            </w:r>
            <w:r>
              <w:rPr>
                <w:rFonts w:hint="default" w:cs="Times New Roman"/>
                <w:b w:val="0"/>
                <w:bCs w:val="0"/>
                <w:color w:val="auto"/>
                <w:sz w:val="21"/>
                <w:szCs w:val="21"/>
                <w:highlight w:val="none"/>
                <w:lang w:val="en" w:eastAsia="zh-CN"/>
              </w:rPr>
              <w:t>相关</w:t>
            </w:r>
            <w:r>
              <w:rPr>
                <w:rFonts w:hint="eastAsia" w:cs="Times New Roman"/>
                <w:b w:val="0"/>
                <w:bCs w:val="0"/>
                <w:color w:val="auto"/>
                <w:sz w:val="21"/>
                <w:szCs w:val="21"/>
                <w:highlight w:val="none"/>
                <w:lang w:eastAsia="zh-CN"/>
              </w:rPr>
              <w:t>专业知识和业务经验，</w:t>
            </w:r>
            <w:r>
              <w:rPr>
                <w:rFonts w:hint="default" w:cs="Times New Roman"/>
                <w:b w:val="0"/>
                <w:bCs w:val="0"/>
                <w:color w:val="auto"/>
                <w:sz w:val="21"/>
                <w:szCs w:val="21"/>
                <w:highlight w:val="none"/>
                <w:lang w:val="en" w:eastAsia="zh-CN"/>
              </w:rPr>
              <w:t>拥有</w:t>
            </w:r>
            <w:r>
              <w:rPr>
                <w:rFonts w:hint="eastAsia" w:cs="Times New Roman"/>
                <w:b w:val="0"/>
                <w:bCs w:val="0"/>
                <w:color w:val="auto"/>
                <w:sz w:val="21"/>
                <w:szCs w:val="21"/>
                <w:highlight w:val="none"/>
                <w:lang w:eastAsia="zh-CN"/>
              </w:rPr>
              <w:t>能够胜任金融</w:t>
            </w:r>
            <w:r>
              <w:rPr>
                <w:rFonts w:hint="default" w:cs="Times New Roman"/>
                <w:b w:val="0"/>
                <w:bCs w:val="0"/>
                <w:color w:val="auto"/>
                <w:sz w:val="21"/>
                <w:szCs w:val="21"/>
                <w:highlight w:val="none"/>
                <w:lang w:val="en" w:eastAsia="zh-CN"/>
              </w:rPr>
              <w:t>企业</w:t>
            </w:r>
            <w:r>
              <w:rPr>
                <w:rFonts w:hint="eastAsia" w:ascii="Times New Roman" w:hAnsi="Times New Roman" w:eastAsia="仿宋_GB2312" w:cs="Times New Roman"/>
                <w:b w:val="0"/>
                <w:bCs w:val="0"/>
                <w:color w:val="auto"/>
                <w:sz w:val="21"/>
                <w:szCs w:val="21"/>
                <w:highlight w:val="none"/>
              </w:rPr>
              <w:t>不良资产</w:t>
            </w:r>
            <w:r>
              <w:rPr>
                <w:rFonts w:hint="eastAsia" w:cs="Times New Roman"/>
                <w:b w:val="0"/>
                <w:bCs w:val="0"/>
                <w:color w:val="auto"/>
                <w:sz w:val="21"/>
                <w:szCs w:val="21"/>
                <w:highlight w:val="none"/>
                <w:lang w:eastAsia="zh-CN"/>
              </w:rPr>
              <w:t>批量</w:t>
            </w:r>
            <w:r>
              <w:rPr>
                <w:rFonts w:hint="eastAsia" w:ascii="Times New Roman" w:hAnsi="Times New Roman" w:eastAsia="仿宋_GB2312" w:cs="Times New Roman"/>
                <w:b w:val="0"/>
                <w:bCs w:val="0"/>
                <w:color w:val="auto"/>
                <w:sz w:val="21"/>
                <w:szCs w:val="21"/>
                <w:highlight w:val="none"/>
              </w:rPr>
              <w:t>收购</w:t>
            </w:r>
            <w:r>
              <w:rPr>
                <w:rFonts w:hint="default" w:cs="Times New Roman"/>
                <w:b w:val="0"/>
                <w:bCs w:val="0"/>
                <w:color w:val="auto"/>
                <w:sz w:val="21"/>
                <w:szCs w:val="21"/>
                <w:highlight w:val="none"/>
                <w:lang w:val="en"/>
              </w:rPr>
              <w:t>、</w:t>
            </w:r>
            <w:r>
              <w:rPr>
                <w:rFonts w:hint="eastAsia" w:ascii="Times New Roman" w:hAnsi="Times New Roman" w:eastAsia="仿宋_GB2312" w:cs="Times New Roman"/>
                <w:b w:val="0"/>
                <w:bCs w:val="0"/>
                <w:color w:val="auto"/>
                <w:sz w:val="21"/>
                <w:szCs w:val="21"/>
                <w:highlight w:val="none"/>
              </w:rPr>
              <w:t>处置业务专业团队</w:t>
            </w:r>
            <w:r>
              <w:rPr>
                <w:rFonts w:hint="eastAsia" w:cs="Times New Roman"/>
                <w:b w:val="0"/>
                <w:bCs w:val="0"/>
                <w:color w:val="auto"/>
                <w:sz w:val="21"/>
                <w:szCs w:val="21"/>
                <w:highlight w:val="none"/>
                <w:lang w:eastAsia="zh-CN"/>
              </w:rPr>
              <w:t>的</w:t>
            </w:r>
            <w:r>
              <w:rPr>
                <w:rFonts w:hint="eastAsia" w:ascii="Times New Roman" w:hAnsi="Times New Roman" w:eastAsia="仿宋_GB2312" w:cs="Times New Roman"/>
                <w:b w:val="0"/>
                <w:bCs w:val="0"/>
                <w:color w:val="auto"/>
                <w:sz w:val="21"/>
                <w:szCs w:val="21"/>
                <w:highlight w:val="none"/>
                <w:lang w:eastAsia="zh-CN"/>
              </w:rPr>
              <w:t>得</w:t>
            </w:r>
            <w:r>
              <w:rPr>
                <w:rFonts w:hint="eastAsia" w:ascii="Times New Roman" w:hAnsi="Times New Roman" w:eastAsia="仿宋_GB2312" w:cs="Times New Roman"/>
                <w:b w:val="0"/>
                <w:bCs w:val="0"/>
                <w:color w:val="auto"/>
                <w:sz w:val="21"/>
                <w:szCs w:val="21"/>
                <w:highlight w:val="none"/>
                <w:lang w:val="en-US" w:eastAsia="zh-CN"/>
              </w:rPr>
              <w:t>3分</w:t>
            </w:r>
            <w:r>
              <w:rPr>
                <w:rFonts w:hint="eastAsia" w:cs="Times New Roman"/>
                <w:b w:val="0"/>
                <w:bCs w:val="0"/>
                <w:color w:val="auto"/>
                <w:sz w:val="21"/>
                <w:szCs w:val="21"/>
                <w:highlight w:val="none"/>
                <w:lang w:val="en-US" w:eastAsia="zh-CN"/>
              </w:rPr>
              <w:t>；否则</w:t>
            </w:r>
            <w:r>
              <w:rPr>
                <w:rFonts w:hint="eastAsia" w:ascii="Times New Roman" w:hAnsi="Times New Roman" w:eastAsia="仿宋_GB2312"/>
                <w:bCs w:val="0"/>
                <w:color w:val="auto"/>
                <w:kern w:val="2"/>
                <w:sz w:val="21"/>
                <w:szCs w:val="21"/>
                <w:highlight w:val="none"/>
                <w:lang w:val="en-US" w:eastAsia="zh-CN" w:bidi="ar-SA"/>
              </w:rPr>
              <w:t>酌情扣1</w:t>
            </w:r>
            <w:r>
              <w:rPr>
                <w:rFonts w:hint="eastAsia" w:ascii="Times New Roman" w:hAnsi="Times New Roman" w:eastAsia="仿宋_GB2312" w:cs="Times New Roman"/>
                <w:color w:val="auto"/>
                <w:sz w:val="21"/>
                <w:szCs w:val="21"/>
                <w:highlight w:val="none"/>
              </w:rPr>
              <w:t>～</w:t>
            </w:r>
            <w:r>
              <w:rPr>
                <w:rFonts w:hint="eastAsia" w:ascii="Times New Roman" w:hAnsi="Times New Roman" w:eastAsia="仿宋_GB2312"/>
                <w:bCs w:val="0"/>
                <w:color w:val="auto"/>
                <w:kern w:val="2"/>
                <w:sz w:val="21"/>
                <w:szCs w:val="21"/>
                <w:highlight w:val="none"/>
                <w:lang w:val="en-US" w:eastAsia="zh-CN" w:bidi="ar-SA"/>
              </w:rPr>
              <w:t>3分。</w:t>
            </w:r>
          </w:p>
        </w:tc>
        <w:tc>
          <w:tcPr>
            <w:tcW w:w="530" w:type="dxa"/>
            <w:noWrap w:val="0"/>
            <w:vAlign w:val="center"/>
          </w:tcPr>
          <w:p w14:paraId="07FB3BDF">
            <w:pPr>
              <w:spacing w:line="360" w:lineRule="exact"/>
              <w:jc w:val="center"/>
              <w:rPr>
                <w:rFonts w:hint="default" w:ascii="Times New Roman" w:hAnsi="Times New Roman" w:eastAsia="方正仿宋_GBK" w:cs="Times New Roman"/>
                <w:b/>
                <w:bCs/>
                <w:color w:val="auto"/>
                <w:sz w:val="32"/>
                <w:szCs w:val="32"/>
                <w:highlight w:val="none"/>
              </w:rPr>
            </w:pPr>
          </w:p>
        </w:tc>
        <w:tc>
          <w:tcPr>
            <w:tcW w:w="623" w:type="dxa"/>
            <w:noWrap w:val="0"/>
            <w:vAlign w:val="center"/>
          </w:tcPr>
          <w:p w14:paraId="74ACF7DF">
            <w:pPr>
              <w:spacing w:line="360" w:lineRule="exact"/>
              <w:jc w:val="center"/>
              <w:rPr>
                <w:rFonts w:hint="default" w:ascii="Times New Roman" w:hAnsi="Times New Roman" w:eastAsia="方正仿宋_GBK" w:cs="Times New Roman"/>
                <w:b/>
                <w:bCs/>
                <w:color w:val="auto"/>
                <w:sz w:val="32"/>
                <w:szCs w:val="32"/>
                <w:highlight w:val="none"/>
              </w:rPr>
            </w:pPr>
          </w:p>
        </w:tc>
      </w:tr>
      <w:tr w14:paraId="2E44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blHeader/>
        </w:trPr>
        <w:tc>
          <w:tcPr>
            <w:tcW w:w="993" w:type="dxa"/>
            <w:vMerge w:val="continue"/>
            <w:noWrap w:val="0"/>
            <w:vAlign w:val="center"/>
          </w:tcPr>
          <w:p w14:paraId="01A43B38">
            <w:pPr>
              <w:spacing w:line="400" w:lineRule="exact"/>
              <w:jc w:val="left"/>
              <w:rPr>
                <w:rFonts w:hint="default" w:ascii="Times New Roman" w:hAnsi="Times New Roman" w:eastAsia="方正仿宋_GBK" w:cs="Times New Roman"/>
                <w:b/>
                <w:bCs/>
                <w:color w:val="auto"/>
                <w:sz w:val="32"/>
                <w:szCs w:val="32"/>
                <w:highlight w:val="none"/>
              </w:rPr>
            </w:pPr>
          </w:p>
        </w:tc>
        <w:tc>
          <w:tcPr>
            <w:tcW w:w="1690" w:type="dxa"/>
            <w:noWrap w:val="0"/>
            <w:vAlign w:val="center"/>
          </w:tcPr>
          <w:p w14:paraId="1C645131">
            <w:pPr>
              <w:spacing w:line="400" w:lineRule="exact"/>
              <w:jc w:val="left"/>
              <w:rPr>
                <w:rFonts w:hint="default" w:ascii="Times New Roman" w:hAnsi="Times New Roman" w:eastAsia="楷体_GB2312" w:cs="Times New Roman"/>
                <w:b/>
                <w:bCs/>
                <w:color w:val="auto"/>
                <w:sz w:val="24"/>
                <w:szCs w:val="24"/>
                <w:highlight w:val="none"/>
                <w:lang w:eastAsia="zh-CN"/>
              </w:rPr>
            </w:pPr>
            <w:r>
              <w:rPr>
                <w:rFonts w:hint="default" w:ascii="Times New Roman" w:hAnsi="Times New Roman" w:eastAsia="楷体_GB2312" w:cs="Times New Roman"/>
                <w:b/>
                <w:bCs/>
                <w:color w:val="auto"/>
                <w:sz w:val="24"/>
                <w:szCs w:val="24"/>
                <w:highlight w:val="none"/>
                <w:lang w:eastAsia="zh-CN"/>
              </w:rPr>
              <w:t>（</w:t>
            </w:r>
            <w:r>
              <w:rPr>
                <w:rFonts w:hint="default" w:ascii="Times New Roman" w:hAnsi="Times New Roman" w:eastAsia="楷体_GB2312" w:cs="Times New Roman"/>
                <w:b/>
                <w:bCs/>
                <w:color w:val="auto"/>
                <w:sz w:val="24"/>
                <w:szCs w:val="24"/>
                <w:highlight w:val="none"/>
                <w:lang w:val="en-US" w:eastAsia="zh-CN"/>
              </w:rPr>
              <w:t>3</w:t>
            </w:r>
            <w:r>
              <w:rPr>
                <w:rFonts w:hint="default" w:ascii="Times New Roman" w:hAnsi="Times New Roman" w:eastAsia="楷体_GB2312" w:cs="Times New Roman"/>
                <w:b/>
                <w:bCs/>
                <w:color w:val="auto"/>
                <w:sz w:val="24"/>
                <w:szCs w:val="24"/>
                <w:highlight w:val="none"/>
                <w:lang w:eastAsia="zh-CN"/>
              </w:rPr>
              <w:t>）财务及档案管理</w:t>
            </w:r>
          </w:p>
        </w:tc>
        <w:tc>
          <w:tcPr>
            <w:tcW w:w="491" w:type="dxa"/>
            <w:noWrap w:val="0"/>
            <w:vAlign w:val="center"/>
          </w:tcPr>
          <w:p w14:paraId="79FC57E6">
            <w:pPr>
              <w:spacing w:line="400" w:lineRule="exact"/>
              <w:jc w:val="center"/>
              <w:rPr>
                <w:rFonts w:hint="default" w:ascii="Times New Roman" w:hAnsi="Times New Roman" w:eastAsia="方正仿宋_GBK" w:cs="Times New Roman"/>
                <w:b/>
                <w:bCs/>
                <w:color w:val="auto"/>
                <w:sz w:val="24"/>
                <w:szCs w:val="24"/>
                <w:highlight w:val="none"/>
                <w:lang w:val="en-US" w:eastAsia="zh-CN"/>
              </w:rPr>
            </w:pPr>
            <w:r>
              <w:rPr>
                <w:rFonts w:hint="eastAsia" w:eastAsia="方正仿宋_GBK" w:cs="Times New Roman"/>
                <w:b/>
                <w:bCs/>
                <w:color w:val="auto"/>
                <w:sz w:val="24"/>
                <w:szCs w:val="24"/>
                <w:highlight w:val="none"/>
                <w:lang w:val="en-US" w:eastAsia="zh-CN"/>
              </w:rPr>
              <w:t>3</w:t>
            </w:r>
          </w:p>
        </w:tc>
        <w:tc>
          <w:tcPr>
            <w:tcW w:w="10293" w:type="dxa"/>
            <w:noWrap w:val="0"/>
            <w:vAlign w:val="center"/>
          </w:tcPr>
          <w:p w14:paraId="4CCD6622">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Times New Roman" w:hAnsi="Times New Roman" w:eastAsia="仿宋_GB2312" w:cs="Times New Roman"/>
                <w:b w:val="0"/>
                <w:bCs w:val="0"/>
                <w:color w:val="auto"/>
                <w:sz w:val="21"/>
                <w:szCs w:val="21"/>
                <w:highlight w:val="none"/>
                <w:lang w:eastAsia="zh-CN"/>
              </w:rPr>
            </w:pPr>
            <w:r>
              <w:rPr>
                <w:rFonts w:hint="eastAsia" w:ascii="Times New Roman" w:hAnsi="Times New Roman" w:eastAsia="仿宋_GB2312" w:cs="Times New Roman"/>
                <w:b w:val="0"/>
                <w:bCs w:val="0"/>
                <w:color w:val="auto"/>
                <w:sz w:val="21"/>
                <w:szCs w:val="21"/>
                <w:highlight w:val="none"/>
                <w:lang w:val="en-US" w:eastAsia="zh-CN"/>
              </w:rPr>
              <w:t>1.</w:t>
            </w:r>
            <w:r>
              <w:rPr>
                <w:rFonts w:hint="eastAsia" w:eastAsia="仿宋_GB2312" w:cs="Times New Roman"/>
                <w:b w:val="0"/>
                <w:bCs w:val="0"/>
                <w:color w:val="auto"/>
                <w:sz w:val="21"/>
                <w:szCs w:val="21"/>
                <w:highlight w:val="none"/>
                <w:lang w:val="en-US" w:eastAsia="zh-CN"/>
              </w:rPr>
              <w:t>严格执行会计准则，建立健全财务会计制度，</w:t>
            </w:r>
            <w:r>
              <w:rPr>
                <w:rFonts w:hint="eastAsia" w:ascii="Times New Roman" w:hAnsi="Times New Roman" w:eastAsia="仿宋_GB2312" w:cs="Times New Roman"/>
                <w:b w:val="0"/>
                <w:bCs w:val="0"/>
                <w:color w:val="auto"/>
                <w:sz w:val="21"/>
                <w:szCs w:val="21"/>
                <w:highlight w:val="none"/>
              </w:rPr>
              <w:t>财务数据真实，</w:t>
            </w:r>
            <w:r>
              <w:rPr>
                <w:rFonts w:hint="eastAsia" w:ascii="Times New Roman" w:hAnsi="Times New Roman" w:eastAsia="仿宋_GB2312" w:cs="Times New Roman"/>
                <w:b w:val="0"/>
                <w:bCs w:val="0"/>
                <w:color w:val="auto"/>
                <w:sz w:val="21"/>
                <w:szCs w:val="21"/>
                <w:highlight w:val="none"/>
                <w:lang w:eastAsia="zh-CN"/>
              </w:rPr>
              <w:t>不</w:t>
            </w:r>
            <w:r>
              <w:rPr>
                <w:rFonts w:hint="eastAsia" w:ascii="Times New Roman" w:hAnsi="Times New Roman" w:eastAsia="仿宋_GB2312" w:cs="Times New Roman"/>
                <w:b w:val="0"/>
                <w:bCs w:val="0"/>
                <w:color w:val="auto"/>
                <w:sz w:val="21"/>
                <w:szCs w:val="21"/>
                <w:highlight w:val="none"/>
              </w:rPr>
              <w:t>存在账外经营行为</w:t>
            </w:r>
            <w:r>
              <w:rPr>
                <w:rFonts w:hint="eastAsia" w:cs="Times New Roman"/>
                <w:b w:val="0"/>
                <w:bCs w:val="0"/>
                <w:color w:val="auto"/>
                <w:sz w:val="21"/>
                <w:szCs w:val="21"/>
                <w:highlight w:val="none"/>
                <w:lang w:eastAsia="zh-CN"/>
              </w:rPr>
              <w:t>的</w:t>
            </w:r>
            <w:r>
              <w:rPr>
                <w:rFonts w:hint="eastAsia" w:eastAsia="仿宋_GB2312" w:cs="Times New Roman"/>
                <w:b w:val="0"/>
                <w:bCs w:val="0"/>
                <w:color w:val="auto"/>
                <w:sz w:val="21"/>
                <w:szCs w:val="21"/>
                <w:highlight w:val="none"/>
                <w:lang w:val="en-US" w:eastAsia="zh-CN"/>
              </w:rPr>
              <w:t>得</w:t>
            </w:r>
            <w:r>
              <w:rPr>
                <w:rFonts w:hint="eastAsia" w:ascii="Times New Roman" w:hAnsi="Times New Roman" w:cs="Times New Roman"/>
                <w:b w:val="0"/>
                <w:bCs w:val="0"/>
                <w:color w:val="auto"/>
                <w:sz w:val="21"/>
                <w:szCs w:val="21"/>
                <w:highlight w:val="none"/>
                <w:lang w:val="en-US" w:eastAsia="zh-CN"/>
              </w:rPr>
              <w:t>2</w:t>
            </w:r>
            <w:r>
              <w:rPr>
                <w:rFonts w:hint="eastAsia" w:eastAsia="仿宋_GB2312" w:cs="Times New Roman"/>
                <w:b w:val="0"/>
                <w:bCs w:val="0"/>
                <w:color w:val="auto"/>
                <w:sz w:val="21"/>
                <w:szCs w:val="21"/>
                <w:highlight w:val="none"/>
                <w:lang w:val="en-US" w:eastAsia="zh-CN"/>
              </w:rPr>
              <w:t>分</w:t>
            </w:r>
            <w:r>
              <w:rPr>
                <w:rFonts w:hint="eastAsia" w:cs="Times New Roman"/>
                <w:b w:val="0"/>
                <w:bCs w:val="0"/>
                <w:color w:val="auto"/>
                <w:sz w:val="21"/>
                <w:szCs w:val="21"/>
                <w:highlight w:val="none"/>
                <w:lang w:val="en-US" w:eastAsia="zh-CN"/>
              </w:rPr>
              <w:t>；</w:t>
            </w:r>
            <w:r>
              <w:rPr>
                <w:rFonts w:hint="eastAsia"/>
                <w:bCs w:val="0"/>
                <w:color w:val="auto"/>
                <w:kern w:val="2"/>
                <w:sz w:val="21"/>
                <w:szCs w:val="21"/>
                <w:highlight w:val="none"/>
                <w:lang w:val="en-US" w:eastAsia="zh-CN" w:bidi="ar-SA"/>
              </w:rPr>
              <w:t>否则</w:t>
            </w:r>
            <w:r>
              <w:rPr>
                <w:rFonts w:hint="eastAsia" w:ascii="Times New Roman" w:hAnsi="Times New Roman" w:eastAsia="仿宋_GB2312"/>
                <w:bCs w:val="0"/>
                <w:color w:val="auto"/>
                <w:kern w:val="2"/>
                <w:sz w:val="21"/>
                <w:szCs w:val="21"/>
                <w:highlight w:val="none"/>
                <w:lang w:val="en-US" w:eastAsia="zh-CN" w:bidi="ar-SA"/>
              </w:rPr>
              <w:t>酌情</w:t>
            </w:r>
            <w:r>
              <w:rPr>
                <w:rFonts w:hint="eastAsia"/>
                <w:bCs w:val="0"/>
                <w:color w:val="auto"/>
                <w:kern w:val="2"/>
                <w:sz w:val="21"/>
                <w:szCs w:val="21"/>
                <w:highlight w:val="none"/>
                <w:lang w:val="en-US" w:eastAsia="zh-CN" w:bidi="ar-SA"/>
              </w:rPr>
              <w:t>扣</w:t>
            </w:r>
            <w:r>
              <w:rPr>
                <w:rFonts w:hint="eastAsia" w:ascii="Times New Roman" w:hAnsi="Times New Roman" w:eastAsia="仿宋_GB2312"/>
                <w:bCs w:val="0"/>
                <w:color w:val="auto"/>
                <w:kern w:val="2"/>
                <w:sz w:val="21"/>
                <w:szCs w:val="21"/>
                <w:highlight w:val="none"/>
                <w:lang w:val="en-US" w:eastAsia="zh-CN" w:bidi="ar-SA"/>
              </w:rPr>
              <w:t>1</w:t>
            </w:r>
            <w:r>
              <w:rPr>
                <w:rFonts w:hint="eastAsia" w:ascii="Times New Roman" w:hAnsi="Times New Roman" w:eastAsia="仿宋_GB2312" w:cs="Times New Roman"/>
                <w:color w:val="auto"/>
                <w:sz w:val="21"/>
                <w:szCs w:val="21"/>
                <w:highlight w:val="none"/>
              </w:rPr>
              <w:t>～</w:t>
            </w:r>
            <w:r>
              <w:rPr>
                <w:rFonts w:hint="eastAsia" w:ascii="Times New Roman" w:hAnsi="Times New Roman"/>
                <w:bCs w:val="0"/>
                <w:color w:val="auto"/>
                <w:kern w:val="2"/>
                <w:sz w:val="21"/>
                <w:szCs w:val="21"/>
                <w:highlight w:val="none"/>
                <w:lang w:val="en-US" w:eastAsia="zh-CN" w:bidi="ar-SA"/>
              </w:rPr>
              <w:t>2</w:t>
            </w:r>
            <w:r>
              <w:rPr>
                <w:rFonts w:hint="eastAsia" w:ascii="Times New Roman" w:hAnsi="Times New Roman" w:eastAsia="仿宋_GB2312"/>
                <w:bCs w:val="0"/>
                <w:color w:val="auto"/>
                <w:kern w:val="2"/>
                <w:sz w:val="21"/>
                <w:szCs w:val="21"/>
                <w:highlight w:val="none"/>
                <w:lang w:val="en-US" w:eastAsia="zh-CN" w:bidi="ar-SA"/>
              </w:rPr>
              <w:t>分</w:t>
            </w:r>
            <w:r>
              <w:rPr>
                <w:rFonts w:hint="eastAsia" w:ascii="Times New Roman" w:hAnsi="Times New Roman" w:eastAsia="仿宋_GB2312" w:cs="Times New Roman"/>
                <w:bCs w:val="0"/>
                <w:color w:val="auto"/>
                <w:sz w:val="21"/>
                <w:szCs w:val="21"/>
                <w:highlight w:val="none"/>
                <w:lang w:val="en-US" w:eastAsia="zh-CN"/>
              </w:rPr>
              <w:t>。</w:t>
            </w:r>
          </w:p>
          <w:p w14:paraId="47A887E9">
            <w:pPr>
              <w:keepNext w:val="0"/>
              <w:keepLines w:val="0"/>
              <w:pageBreakBefore w:val="0"/>
              <w:widowControl w:val="0"/>
              <w:kinsoku/>
              <w:wordWrap/>
              <w:overflowPunct/>
              <w:topLinePunct w:val="0"/>
              <w:autoSpaceDE/>
              <w:autoSpaceDN/>
              <w:bidi w:val="0"/>
              <w:adjustRightInd/>
              <w:snapToGrid/>
              <w:spacing w:line="280" w:lineRule="exact"/>
              <w:ind w:right="0" w:rightChars="0" w:firstLine="420" w:firstLineChars="200"/>
              <w:jc w:val="both"/>
              <w:textAlignment w:val="auto"/>
              <w:outlineLvl w:val="9"/>
              <w:rPr>
                <w:rFonts w:hint="default" w:ascii="Times New Roman" w:hAnsi="Times New Roman" w:eastAsia="仿宋" w:cs="Times New Roman"/>
                <w:b w:val="0"/>
                <w:bCs w:val="0"/>
                <w:color w:val="auto"/>
                <w:sz w:val="21"/>
                <w:szCs w:val="21"/>
                <w:highlight w:val="none"/>
              </w:rPr>
            </w:pPr>
            <w:r>
              <w:rPr>
                <w:rFonts w:hint="eastAsia" w:ascii="Times New Roman" w:hAnsi="Times New Roman" w:eastAsia="仿宋_GB2312" w:cs="Times New Roman"/>
                <w:b w:val="0"/>
                <w:bCs w:val="0"/>
                <w:color w:val="auto"/>
                <w:sz w:val="21"/>
                <w:szCs w:val="21"/>
                <w:highlight w:val="none"/>
                <w:lang w:val="en-US" w:eastAsia="zh-CN"/>
              </w:rPr>
              <w:t>2.</w:t>
            </w:r>
            <w:r>
              <w:rPr>
                <w:rFonts w:hint="eastAsia" w:eastAsia="仿宋_GB2312" w:cs="Times New Roman"/>
                <w:b w:val="0"/>
                <w:bCs w:val="0"/>
                <w:color w:val="auto"/>
                <w:sz w:val="21"/>
                <w:szCs w:val="21"/>
                <w:highlight w:val="none"/>
                <w:lang w:eastAsia="zh-CN"/>
              </w:rPr>
              <w:t>会计凭证</w:t>
            </w:r>
            <w:r>
              <w:rPr>
                <w:rFonts w:hint="eastAsia" w:ascii="Times New Roman" w:hAnsi="Times New Roman" w:eastAsia="仿宋_GB2312" w:cs="Times New Roman"/>
                <w:b w:val="0"/>
                <w:bCs w:val="0"/>
                <w:color w:val="auto"/>
                <w:sz w:val="21"/>
                <w:szCs w:val="21"/>
                <w:highlight w:val="none"/>
              </w:rPr>
              <w:t>、业务档案等资料</w:t>
            </w:r>
            <w:r>
              <w:rPr>
                <w:rFonts w:hint="eastAsia" w:eastAsia="仿宋_GB2312" w:cs="Times New Roman"/>
                <w:b w:val="0"/>
                <w:bCs w:val="0"/>
                <w:color w:val="auto"/>
                <w:sz w:val="21"/>
                <w:szCs w:val="21"/>
                <w:highlight w:val="none"/>
                <w:lang w:eastAsia="zh-CN"/>
              </w:rPr>
              <w:t>保存</w:t>
            </w:r>
            <w:r>
              <w:rPr>
                <w:rFonts w:hint="eastAsia" w:ascii="Times New Roman" w:hAnsi="Times New Roman" w:eastAsia="仿宋_GB2312" w:cs="Times New Roman"/>
                <w:b w:val="0"/>
                <w:bCs w:val="0"/>
                <w:color w:val="auto"/>
                <w:sz w:val="21"/>
                <w:szCs w:val="21"/>
                <w:highlight w:val="none"/>
              </w:rPr>
              <w:t>完整</w:t>
            </w:r>
            <w:r>
              <w:rPr>
                <w:rFonts w:hint="eastAsia" w:eastAsia="仿宋_GB2312" w:cs="Times New Roman"/>
                <w:b w:val="0"/>
                <w:bCs w:val="0"/>
                <w:color w:val="auto"/>
                <w:sz w:val="21"/>
                <w:szCs w:val="21"/>
                <w:highlight w:val="none"/>
                <w:lang w:eastAsia="zh-CN"/>
              </w:rPr>
              <w:t>，管理规范</w:t>
            </w:r>
            <w:r>
              <w:rPr>
                <w:rFonts w:hint="eastAsia" w:cs="Times New Roman"/>
                <w:b w:val="0"/>
                <w:bCs w:val="0"/>
                <w:color w:val="auto"/>
                <w:sz w:val="21"/>
                <w:szCs w:val="21"/>
                <w:highlight w:val="none"/>
                <w:lang w:eastAsia="zh-CN"/>
              </w:rPr>
              <w:t>的</w:t>
            </w:r>
            <w:r>
              <w:rPr>
                <w:rFonts w:hint="eastAsia" w:eastAsia="仿宋_GB2312" w:cs="Times New Roman"/>
                <w:b w:val="0"/>
                <w:bCs w:val="0"/>
                <w:color w:val="auto"/>
                <w:sz w:val="21"/>
                <w:szCs w:val="21"/>
                <w:highlight w:val="none"/>
                <w:lang w:eastAsia="zh-CN"/>
              </w:rPr>
              <w:t>得</w:t>
            </w:r>
            <w:r>
              <w:rPr>
                <w:rFonts w:hint="eastAsia" w:cs="Times New Roman"/>
                <w:b w:val="0"/>
                <w:bCs w:val="0"/>
                <w:color w:val="auto"/>
                <w:sz w:val="21"/>
                <w:szCs w:val="21"/>
                <w:highlight w:val="none"/>
                <w:lang w:val="en-US" w:eastAsia="zh-CN"/>
              </w:rPr>
              <w:t>1</w:t>
            </w:r>
            <w:r>
              <w:rPr>
                <w:rFonts w:hint="eastAsia" w:eastAsia="仿宋_GB2312" w:cs="Times New Roman"/>
                <w:b w:val="0"/>
                <w:bCs w:val="0"/>
                <w:color w:val="auto"/>
                <w:sz w:val="21"/>
                <w:szCs w:val="21"/>
                <w:highlight w:val="none"/>
                <w:lang w:val="en-US" w:eastAsia="zh-CN"/>
              </w:rPr>
              <w:t>分</w:t>
            </w:r>
            <w:r>
              <w:rPr>
                <w:rFonts w:hint="eastAsia" w:cs="Times New Roman"/>
                <w:b w:val="0"/>
                <w:bCs w:val="0"/>
                <w:color w:val="auto"/>
                <w:sz w:val="21"/>
                <w:szCs w:val="21"/>
                <w:highlight w:val="none"/>
                <w:lang w:val="en-US" w:eastAsia="zh-CN"/>
              </w:rPr>
              <w:t>；否则</w:t>
            </w:r>
            <w:r>
              <w:rPr>
                <w:rFonts w:hint="eastAsia" w:cs="Times New Roman"/>
                <w:bCs w:val="0"/>
                <w:color w:val="auto"/>
                <w:sz w:val="21"/>
                <w:szCs w:val="21"/>
                <w:highlight w:val="none"/>
                <w:lang w:eastAsia="zh-CN"/>
              </w:rPr>
              <w:t>不得</w:t>
            </w:r>
            <w:r>
              <w:rPr>
                <w:rFonts w:hint="eastAsia" w:ascii="Times New Roman" w:hAnsi="Times New Roman" w:eastAsia="仿宋_GB2312" w:cs="Times New Roman"/>
                <w:bCs w:val="0"/>
                <w:color w:val="auto"/>
                <w:sz w:val="21"/>
                <w:szCs w:val="21"/>
                <w:highlight w:val="none"/>
                <w:lang w:val="en-US" w:eastAsia="zh-CN"/>
              </w:rPr>
              <w:t>分。</w:t>
            </w:r>
          </w:p>
        </w:tc>
        <w:tc>
          <w:tcPr>
            <w:tcW w:w="530" w:type="dxa"/>
            <w:noWrap w:val="0"/>
            <w:vAlign w:val="center"/>
          </w:tcPr>
          <w:p w14:paraId="25942261">
            <w:pPr>
              <w:spacing w:line="360" w:lineRule="exact"/>
              <w:jc w:val="center"/>
              <w:rPr>
                <w:rFonts w:hint="default" w:ascii="Times New Roman" w:hAnsi="Times New Roman" w:eastAsia="方正仿宋_GBK" w:cs="Times New Roman"/>
                <w:b/>
                <w:bCs/>
                <w:color w:val="auto"/>
                <w:sz w:val="32"/>
                <w:szCs w:val="32"/>
                <w:highlight w:val="none"/>
              </w:rPr>
            </w:pPr>
          </w:p>
        </w:tc>
        <w:tc>
          <w:tcPr>
            <w:tcW w:w="623" w:type="dxa"/>
            <w:noWrap w:val="0"/>
            <w:vAlign w:val="center"/>
          </w:tcPr>
          <w:p w14:paraId="531E606F">
            <w:pPr>
              <w:spacing w:line="360" w:lineRule="exact"/>
              <w:jc w:val="center"/>
              <w:rPr>
                <w:rFonts w:hint="default" w:ascii="Times New Roman" w:hAnsi="Times New Roman" w:eastAsia="方正仿宋_GBK" w:cs="Times New Roman"/>
                <w:b/>
                <w:bCs/>
                <w:color w:val="auto"/>
                <w:sz w:val="32"/>
                <w:szCs w:val="32"/>
                <w:highlight w:val="none"/>
              </w:rPr>
            </w:pPr>
          </w:p>
        </w:tc>
      </w:tr>
      <w:tr w14:paraId="2851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blHeader/>
        </w:trPr>
        <w:tc>
          <w:tcPr>
            <w:tcW w:w="993" w:type="dxa"/>
            <w:vMerge w:val="continue"/>
            <w:noWrap w:val="0"/>
            <w:vAlign w:val="center"/>
          </w:tcPr>
          <w:p w14:paraId="10BD90EA">
            <w:pPr>
              <w:spacing w:line="400" w:lineRule="exact"/>
              <w:jc w:val="left"/>
              <w:rPr>
                <w:rFonts w:hint="default" w:ascii="Times New Roman" w:hAnsi="Times New Roman" w:eastAsia="方正仿宋_GBK" w:cs="Times New Roman"/>
                <w:b/>
                <w:bCs/>
                <w:color w:val="auto"/>
                <w:sz w:val="32"/>
                <w:szCs w:val="32"/>
                <w:highlight w:val="none"/>
              </w:rPr>
            </w:pPr>
          </w:p>
        </w:tc>
        <w:tc>
          <w:tcPr>
            <w:tcW w:w="1690" w:type="dxa"/>
            <w:noWrap w:val="0"/>
            <w:vAlign w:val="center"/>
          </w:tcPr>
          <w:p w14:paraId="30B67250">
            <w:pPr>
              <w:spacing w:line="400" w:lineRule="exact"/>
              <w:jc w:val="left"/>
              <w:rPr>
                <w:rFonts w:hint="default" w:ascii="Times New Roman" w:hAnsi="Times New Roman" w:eastAsia="楷体_GB2312" w:cs="Times New Roman"/>
                <w:b/>
                <w:bCs/>
                <w:color w:val="auto"/>
                <w:sz w:val="24"/>
                <w:szCs w:val="24"/>
                <w:highlight w:val="none"/>
                <w:lang w:eastAsia="zh-CN"/>
              </w:rPr>
            </w:pPr>
            <w:r>
              <w:rPr>
                <w:rFonts w:hint="default" w:ascii="Times New Roman" w:hAnsi="Times New Roman" w:eastAsia="楷体_GB2312" w:cs="Times New Roman"/>
                <w:b/>
                <w:bCs/>
                <w:color w:val="auto"/>
                <w:sz w:val="24"/>
                <w:szCs w:val="24"/>
                <w:highlight w:val="none"/>
                <w:lang w:eastAsia="zh-CN"/>
              </w:rPr>
              <w:t>（</w:t>
            </w:r>
            <w:r>
              <w:rPr>
                <w:rFonts w:hint="default" w:ascii="Times New Roman" w:hAnsi="Times New Roman" w:eastAsia="楷体_GB2312" w:cs="Times New Roman"/>
                <w:b/>
                <w:bCs/>
                <w:color w:val="auto"/>
                <w:sz w:val="24"/>
                <w:szCs w:val="24"/>
                <w:highlight w:val="none"/>
                <w:lang w:val="en-US" w:eastAsia="zh-CN"/>
              </w:rPr>
              <w:t>4</w:t>
            </w:r>
            <w:r>
              <w:rPr>
                <w:rFonts w:hint="default" w:ascii="Times New Roman" w:hAnsi="Times New Roman" w:eastAsia="楷体_GB2312" w:cs="Times New Roman"/>
                <w:b/>
                <w:bCs/>
                <w:color w:val="auto"/>
                <w:sz w:val="24"/>
                <w:szCs w:val="24"/>
                <w:highlight w:val="none"/>
                <w:lang w:eastAsia="zh-CN"/>
              </w:rPr>
              <w:t>）社会评价</w:t>
            </w:r>
          </w:p>
        </w:tc>
        <w:tc>
          <w:tcPr>
            <w:tcW w:w="491" w:type="dxa"/>
            <w:noWrap w:val="0"/>
            <w:vAlign w:val="center"/>
          </w:tcPr>
          <w:p w14:paraId="668F9A01">
            <w:pPr>
              <w:spacing w:line="400" w:lineRule="exact"/>
              <w:jc w:val="center"/>
              <w:rPr>
                <w:rFonts w:hint="default" w:ascii="Times New Roman" w:hAnsi="Times New Roman" w:eastAsia="方正仿宋_GBK" w:cs="Times New Roman"/>
                <w:b/>
                <w:bCs/>
                <w:color w:val="auto"/>
                <w:sz w:val="24"/>
                <w:szCs w:val="24"/>
                <w:highlight w:val="none"/>
                <w:lang w:val="en-US" w:eastAsia="zh-CN"/>
              </w:rPr>
            </w:pPr>
            <w:r>
              <w:rPr>
                <w:rFonts w:hint="eastAsia" w:eastAsia="方正仿宋_GBK" w:cs="Times New Roman"/>
                <w:b/>
                <w:bCs/>
                <w:color w:val="auto"/>
                <w:sz w:val="24"/>
                <w:szCs w:val="24"/>
                <w:highlight w:val="none"/>
                <w:lang w:val="en-US" w:eastAsia="zh-CN"/>
              </w:rPr>
              <w:t>4</w:t>
            </w:r>
          </w:p>
        </w:tc>
        <w:tc>
          <w:tcPr>
            <w:tcW w:w="10293" w:type="dxa"/>
            <w:noWrap w:val="0"/>
            <w:vAlign w:val="center"/>
          </w:tcPr>
          <w:p w14:paraId="4ABC84D3">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Times New Roman" w:hAnsi="Times New Roman" w:eastAsia="仿宋_GB2312" w:cs="Times New Roman"/>
                <w:b w:val="0"/>
                <w:bCs w:val="0"/>
                <w:color w:val="auto"/>
                <w:sz w:val="21"/>
                <w:szCs w:val="21"/>
                <w:highlight w:val="none"/>
                <w:lang w:val="en-US" w:eastAsia="zh-CN"/>
              </w:rPr>
            </w:pPr>
            <w:r>
              <w:rPr>
                <w:rFonts w:hint="eastAsia" w:eastAsia="仿宋_GB2312" w:cs="Times New Roman"/>
                <w:b w:val="0"/>
                <w:bCs w:val="0"/>
                <w:color w:val="auto"/>
                <w:sz w:val="21"/>
                <w:szCs w:val="21"/>
                <w:highlight w:val="none"/>
                <w:lang w:val="en-US" w:eastAsia="zh-CN"/>
              </w:rPr>
              <w:t>依法合规经营</w:t>
            </w:r>
            <w:r>
              <w:rPr>
                <w:rFonts w:hint="eastAsia" w:cs="Times New Roman"/>
                <w:b w:val="0"/>
                <w:bCs w:val="0"/>
                <w:color w:val="auto"/>
                <w:sz w:val="21"/>
                <w:szCs w:val="21"/>
                <w:highlight w:val="none"/>
                <w:lang w:val="en-US" w:eastAsia="zh-CN"/>
              </w:rPr>
              <w:t>，</w:t>
            </w:r>
            <w:r>
              <w:rPr>
                <w:rFonts w:hint="eastAsia" w:eastAsia="仿宋_GB2312" w:cs="Times New Roman"/>
                <w:b w:val="0"/>
                <w:bCs w:val="0"/>
                <w:color w:val="auto"/>
                <w:sz w:val="21"/>
                <w:szCs w:val="21"/>
                <w:highlight w:val="none"/>
                <w:lang w:val="en-US" w:eastAsia="zh-CN"/>
              </w:rPr>
              <w:t>积极履行社会</w:t>
            </w:r>
            <w:r>
              <w:rPr>
                <w:rFonts w:hint="eastAsia" w:cs="Times New Roman"/>
                <w:b w:val="0"/>
                <w:bCs w:val="0"/>
                <w:color w:val="auto"/>
                <w:sz w:val="21"/>
                <w:szCs w:val="21"/>
                <w:highlight w:val="none"/>
                <w:lang w:val="en-US" w:eastAsia="zh-CN"/>
              </w:rPr>
              <w:t>责任</w:t>
            </w:r>
            <w:r>
              <w:rPr>
                <w:rFonts w:hint="eastAsia" w:eastAsia="仿宋_GB2312" w:cs="Times New Roman"/>
                <w:b w:val="0"/>
                <w:bCs w:val="0"/>
                <w:color w:val="auto"/>
                <w:sz w:val="21"/>
                <w:szCs w:val="21"/>
                <w:highlight w:val="none"/>
                <w:lang w:val="en-US" w:eastAsia="zh-CN"/>
              </w:rPr>
              <w:t>，树立良好社会形象</w:t>
            </w:r>
            <w:r>
              <w:rPr>
                <w:rFonts w:hint="eastAsia" w:cs="Times New Roman"/>
                <w:b w:val="0"/>
                <w:bCs w:val="0"/>
                <w:color w:val="auto"/>
                <w:sz w:val="21"/>
                <w:szCs w:val="21"/>
                <w:highlight w:val="none"/>
                <w:lang w:val="en-US" w:eastAsia="zh-CN"/>
              </w:rPr>
              <w:t>的</w:t>
            </w:r>
            <w:r>
              <w:rPr>
                <w:rFonts w:hint="eastAsia" w:eastAsia="仿宋_GB2312" w:cs="Times New Roman"/>
                <w:b w:val="0"/>
                <w:bCs w:val="0"/>
                <w:color w:val="auto"/>
                <w:sz w:val="21"/>
                <w:szCs w:val="21"/>
                <w:highlight w:val="none"/>
                <w:lang w:val="en-US" w:eastAsia="zh-CN"/>
              </w:rPr>
              <w:t>得</w:t>
            </w:r>
            <w:r>
              <w:rPr>
                <w:rFonts w:hint="eastAsia" w:cs="Times New Roman"/>
                <w:b w:val="0"/>
                <w:bCs w:val="0"/>
                <w:color w:val="auto"/>
                <w:sz w:val="21"/>
                <w:szCs w:val="21"/>
                <w:highlight w:val="none"/>
                <w:lang w:val="en-US" w:eastAsia="zh-CN"/>
              </w:rPr>
              <w:t>4</w:t>
            </w:r>
            <w:r>
              <w:rPr>
                <w:rFonts w:hint="eastAsia" w:eastAsia="仿宋_GB2312" w:cs="Times New Roman"/>
                <w:b w:val="0"/>
                <w:bCs w:val="0"/>
                <w:color w:val="auto"/>
                <w:sz w:val="21"/>
                <w:szCs w:val="21"/>
                <w:highlight w:val="none"/>
                <w:lang w:val="en-US" w:eastAsia="zh-CN"/>
              </w:rPr>
              <w:t>分</w:t>
            </w:r>
            <w:r>
              <w:rPr>
                <w:rFonts w:hint="eastAsia" w:cs="Times New Roman"/>
                <w:b w:val="0"/>
                <w:bCs w:val="0"/>
                <w:color w:val="auto"/>
                <w:sz w:val="21"/>
                <w:szCs w:val="21"/>
                <w:highlight w:val="none"/>
                <w:lang w:val="en-US" w:eastAsia="zh-CN"/>
              </w:rPr>
              <w:t>。若</w:t>
            </w:r>
            <w:r>
              <w:rPr>
                <w:rFonts w:hint="eastAsia" w:eastAsia="仿宋_GB2312" w:cs="Times New Roman"/>
                <w:b w:val="0"/>
                <w:bCs w:val="0"/>
                <w:color w:val="auto"/>
                <w:sz w:val="21"/>
                <w:szCs w:val="21"/>
                <w:highlight w:val="none"/>
                <w:lang w:val="en-US" w:eastAsia="zh-CN"/>
              </w:rPr>
              <w:t>存在以下</w:t>
            </w:r>
            <w:r>
              <w:rPr>
                <w:rFonts w:hint="eastAsia" w:cs="Times New Roman"/>
                <w:b w:val="0"/>
                <w:bCs w:val="0"/>
                <w:color w:val="auto"/>
                <w:sz w:val="21"/>
                <w:szCs w:val="21"/>
                <w:highlight w:val="none"/>
                <w:lang w:val="en-US" w:eastAsia="zh-CN"/>
              </w:rPr>
              <w:t>问题的酌情扣</w:t>
            </w:r>
            <w:r>
              <w:rPr>
                <w:rFonts w:hint="eastAsia" w:ascii="Times New Roman" w:hAnsi="Times New Roman" w:eastAsia="仿宋_GB2312"/>
                <w:bCs w:val="0"/>
                <w:color w:val="auto"/>
                <w:kern w:val="2"/>
                <w:sz w:val="21"/>
                <w:szCs w:val="21"/>
                <w:highlight w:val="none"/>
                <w:lang w:val="en-US" w:eastAsia="zh-CN" w:bidi="ar-SA"/>
              </w:rPr>
              <w:t>1</w:t>
            </w:r>
            <w:r>
              <w:rPr>
                <w:rFonts w:hint="eastAsia" w:ascii="Times New Roman" w:hAnsi="Times New Roman" w:eastAsia="仿宋_GB2312" w:cs="Times New Roman"/>
                <w:color w:val="auto"/>
                <w:sz w:val="21"/>
                <w:szCs w:val="21"/>
                <w:highlight w:val="none"/>
              </w:rPr>
              <w:t>～</w:t>
            </w:r>
            <w:r>
              <w:rPr>
                <w:rFonts w:hint="eastAsia" w:cs="Times New Roman"/>
                <w:color w:val="auto"/>
                <w:sz w:val="21"/>
                <w:szCs w:val="21"/>
                <w:highlight w:val="none"/>
                <w:lang w:val="en-US" w:eastAsia="zh-CN"/>
              </w:rPr>
              <w:t>4</w:t>
            </w:r>
            <w:r>
              <w:rPr>
                <w:rFonts w:hint="eastAsia" w:ascii="Times New Roman" w:hAnsi="Times New Roman" w:eastAsia="仿宋_GB2312"/>
                <w:bCs w:val="0"/>
                <w:color w:val="auto"/>
                <w:kern w:val="2"/>
                <w:sz w:val="21"/>
                <w:szCs w:val="21"/>
                <w:highlight w:val="none"/>
                <w:lang w:val="en-US" w:eastAsia="zh-CN" w:bidi="ar-SA"/>
              </w:rPr>
              <w:t>分</w:t>
            </w:r>
            <w:r>
              <w:rPr>
                <w:rFonts w:hint="eastAsia"/>
                <w:bCs w:val="0"/>
                <w:color w:val="auto"/>
                <w:kern w:val="2"/>
                <w:sz w:val="21"/>
                <w:szCs w:val="21"/>
                <w:highlight w:val="none"/>
                <w:lang w:val="en-US" w:eastAsia="zh-CN" w:bidi="ar-SA"/>
              </w:rPr>
              <w:t>：</w:t>
            </w:r>
          </w:p>
          <w:p w14:paraId="5DA20628">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eastAsia="仿宋_GB2312"/>
                <w:color w:val="auto"/>
                <w:sz w:val="21"/>
                <w:szCs w:val="21"/>
                <w:highlight w:val="none"/>
                <w:lang w:val="en-US" w:eastAsia="zh-CN"/>
              </w:rPr>
            </w:pPr>
            <w:r>
              <w:rPr>
                <w:rFonts w:hint="eastAsia" w:ascii="Times New Roman" w:hAnsi="Times New Roman" w:eastAsia="仿宋_GB2312" w:cs="Times New Roman"/>
                <w:b w:val="0"/>
                <w:bCs w:val="0"/>
                <w:color w:val="auto"/>
                <w:sz w:val="21"/>
                <w:szCs w:val="21"/>
                <w:highlight w:val="none"/>
                <w:lang w:val="en-US" w:eastAsia="zh-CN"/>
              </w:rPr>
              <w:t>1.</w:t>
            </w:r>
            <w:r>
              <w:rPr>
                <w:rFonts w:hint="eastAsia" w:cs="Times New Roman"/>
                <w:b w:val="0"/>
                <w:bCs w:val="0"/>
                <w:color w:val="auto"/>
                <w:sz w:val="21"/>
                <w:szCs w:val="21"/>
                <w:highlight w:val="none"/>
                <w:lang w:val="en-US" w:eastAsia="zh-CN"/>
              </w:rPr>
              <w:t>公司或其董事、监事、高级管理人员</w:t>
            </w:r>
            <w:r>
              <w:rPr>
                <w:rFonts w:hint="eastAsia" w:eastAsia="仿宋_GB2312" w:cs="Times New Roman"/>
                <w:b w:val="0"/>
                <w:bCs w:val="0"/>
                <w:color w:val="auto"/>
                <w:sz w:val="21"/>
                <w:szCs w:val="21"/>
                <w:highlight w:val="none"/>
                <w:lang w:val="en-US" w:eastAsia="zh-CN"/>
              </w:rPr>
              <w:t>有</w:t>
            </w:r>
            <w:r>
              <w:rPr>
                <w:rFonts w:hint="eastAsia" w:ascii="Times New Roman" w:hAnsi="Times New Roman" w:eastAsia="仿宋_GB2312" w:cs="Times New Roman"/>
                <w:b w:val="0"/>
                <w:bCs w:val="0"/>
                <w:color w:val="auto"/>
                <w:sz w:val="21"/>
                <w:szCs w:val="21"/>
                <w:highlight w:val="none"/>
              </w:rPr>
              <w:t>违法违规和其他不良</w:t>
            </w:r>
            <w:r>
              <w:rPr>
                <w:rFonts w:hint="eastAsia" w:cs="Times New Roman"/>
                <w:b w:val="0"/>
                <w:bCs w:val="0"/>
                <w:color w:val="auto"/>
                <w:sz w:val="21"/>
                <w:szCs w:val="21"/>
                <w:highlight w:val="none"/>
                <w:lang w:eastAsia="zh-CN"/>
              </w:rPr>
              <w:t>行为</w:t>
            </w:r>
            <w:r>
              <w:rPr>
                <w:rFonts w:hint="eastAsia" w:eastAsia="仿宋_GB2312" w:cs="Times New Roman"/>
                <w:b w:val="0"/>
                <w:bCs w:val="0"/>
                <w:color w:val="auto"/>
                <w:sz w:val="21"/>
                <w:szCs w:val="21"/>
                <w:highlight w:val="none"/>
                <w:lang w:val="en-US" w:eastAsia="zh-CN"/>
              </w:rPr>
              <w:t>；</w:t>
            </w:r>
          </w:p>
          <w:p w14:paraId="31F57B13">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eastAsia="仿宋_GB2312" w:cs="Times New Roman"/>
                <w:color w:val="auto"/>
                <w:sz w:val="21"/>
                <w:szCs w:val="21"/>
                <w:highlight w:val="none"/>
                <w:lang w:eastAsia="zh-CN"/>
              </w:rPr>
            </w:pPr>
            <w:r>
              <w:rPr>
                <w:rFonts w:hint="eastAsia"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rPr>
              <w:t>.</w:t>
            </w:r>
            <w:r>
              <w:rPr>
                <w:rFonts w:hint="eastAsia" w:cs="Times New Roman"/>
                <w:color w:val="auto"/>
                <w:sz w:val="21"/>
                <w:szCs w:val="21"/>
                <w:highlight w:val="none"/>
                <w:lang w:eastAsia="zh-CN"/>
              </w:rPr>
              <w:t>群众信访投诉问题且查明属实</w:t>
            </w:r>
            <w:r>
              <w:rPr>
                <w:rFonts w:hint="eastAsia" w:ascii="Times New Roman" w:hAnsi="Times New Roman" w:eastAsia="仿宋_GB2312" w:cs="Times New Roman"/>
                <w:color w:val="auto"/>
                <w:sz w:val="21"/>
                <w:szCs w:val="21"/>
                <w:highlight w:val="none"/>
              </w:rPr>
              <w:t>的</w:t>
            </w:r>
            <w:r>
              <w:rPr>
                <w:rFonts w:hint="eastAsia" w:eastAsia="仿宋_GB2312" w:cs="Times New Roman"/>
                <w:color w:val="auto"/>
                <w:sz w:val="21"/>
                <w:szCs w:val="21"/>
                <w:highlight w:val="none"/>
                <w:lang w:eastAsia="zh-CN"/>
              </w:rPr>
              <w:t>；</w:t>
            </w:r>
          </w:p>
          <w:p w14:paraId="687EEBB0">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3</w:t>
            </w:r>
            <w:r>
              <w:rPr>
                <w:rFonts w:hint="eastAsia" w:eastAsia="仿宋_GB2312" w:cs="Times New Roman"/>
                <w:color w:val="auto"/>
                <w:sz w:val="21"/>
                <w:szCs w:val="21"/>
                <w:highlight w:val="none"/>
                <w:lang w:val="en-US" w:eastAsia="zh-CN"/>
              </w:rPr>
              <w:t>.以不正当手段扰乱市场秩序、进行不公平竞争的；</w:t>
            </w:r>
          </w:p>
          <w:p w14:paraId="2EF11EEA">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Times New Roman" w:hAnsi="Times New Roman" w:eastAsia="仿宋_GB2312" w:cs="Times New Roman"/>
                <w:b w:val="0"/>
                <w:bCs w:val="0"/>
                <w:color w:val="auto"/>
                <w:sz w:val="21"/>
                <w:szCs w:val="21"/>
                <w:highlight w:val="none"/>
              </w:rPr>
            </w:pPr>
            <w:r>
              <w:rPr>
                <w:rFonts w:hint="eastAsia" w:cs="Times New Roman"/>
                <w:color w:val="auto"/>
                <w:sz w:val="21"/>
                <w:szCs w:val="21"/>
                <w:highlight w:val="none"/>
                <w:lang w:val="en-US" w:eastAsia="zh-CN"/>
              </w:rPr>
              <w:t>4</w:t>
            </w:r>
            <w:r>
              <w:rPr>
                <w:rFonts w:hint="eastAsia" w:eastAsia="仿宋_GB2312" w:cs="Times New Roman"/>
                <w:color w:val="auto"/>
                <w:sz w:val="21"/>
                <w:szCs w:val="21"/>
                <w:highlight w:val="none"/>
                <w:lang w:val="en-US" w:eastAsia="zh-CN"/>
              </w:rPr>
              <w:t>.以捏造、散布虚假</w:t>
            </w:r>
            <w:r>
              <w:rPr>
                <w:rFonts w:hint="eastAsia" w:cs="Times New Roman"/>
                <w:color w:val="auto"/>
                <w:sz w:val="21"/>
                <w:szCs w:val="21"/>
                <w:highlight w:val="none"/>
                <w:lang w:val="en-US" w:eastAsia="zh-CN"/>
              </w:rPr>
              <w:t>信息</w:t>
            </w:r>
            <w:r>
              <w:rPr>
                <w:rFonts w:hint="eastAsia" w:eastAsia="仿宋_GB2312" w:cs="Times New Roman"/>
                <w:color w:val="auto"/>
                <w:sz w:val="21"/>
                <w:szCs w:val="21"/>
                <w:highlight w:val="none"/>
                <w:lang w:val="en-US" w:eastAsia="zh-CN"/>
              </w:rPr>
              <w:t>等方式损害</w:t>
            </w:r>
            <w:r>
              <w:rPr>
                <w:rFonts w:hint="eastAsia" w:cs="Times New Roman"/>
                <w:color w:val="auto"/>
                <w:sz w:val="21"/>
                <w:szCs w:val="21"/>
                <w:highlight w:val="none"/>
                <w:lang w:val="en-US" w:eastAsia="zh-CN"/>
              </w:rPr>
              <w:t>同业</w:t>
            </w:r>
            <w:r>
              <w:rPr>
                <w:rFonts w:hint="eastAsia" w:eastAsia="仿宋_GB2312" w:cs="Times New Roman"/>
                <w:color w:val="auto"/>
                <w:sz w:val="21"/>
                <w:szCs w:val="21"/>
                <w:highlight w:val="none"/>
                <w:lang w:val="en-US" w:eastAsia="zh-CN"/>
              </w:rPr>
              <w:t>机构声誉</w:t>
            </w:r>
            <w:r>
              <w:rPr>
                <w:rFonts w:hint="eastAsia" w:cs="Times New Roman"/>
                <w:color w:val="auto"/>
                <w:sz w:val="21"/>
                <w:szCs w:val="21"/>
                <w:highlight w:val="none"/>
                <w:lang w:val="en-US" w:eastAsia="zh-CN"/>
              </w:rPr>
              <w:t>的</w:t>
            </w:r>
            <w:r>
              <w:rPr>
                <w:rFonts w:hint="eastAsia" w:eastAsia="仿宋_GB2312" w:cs="Times New Roman"/>
                <w:color w:val="auto"/>
                <w:sz w:val="21"/>
                <w:szCs w:val="21"/>
                <w:highlight w:val="none"/>
                <w:lang w:val="en-US" w:eastAsia="zh-CN"/>
              </w:rPr>
              <w:t>。</w:t>
            </w:r>
          </w:p>
        </w:tc>
        <w:tc>
          <w:tcPr>
            <w:tcW w:w="530" w:type="dxa"/>
            <w:noWrap w:val="0"/>
            <w:vAlign w:val="center"/>
          </w:tcPr>
          <w:p w14:paraId="4CD61936">
            <w:pPr>
              <w:spacing w:line="360" w:lineRule="exact"/>
              <w:jc w:val="center"/>
              <w:rPr>
                <w:rFonts w:hint="default" w:ascii="Times New Roman" w:hAnsi="Times New Roman" w:eastAsia="方正仿宋_GBK" w:cs="Times New Roman"/>
                <w:b/>
                <w:bCs/>
                <w:color w:val="auto"/>
                <w:sz w:val="32"/>
                <w:szCs w:val="32"/>
                <w:highlight w:val="none"/>
              </w:rPr>
            </w:pPr>
          </w:p>
        </w:tc>
        <w:tc>
          <w:tcPr>
            <w:tcW w:w="623" w:type="dxa"/>
            <w:noWrap w:val="0"/>
            <w:vAlign w:val="center"/>
          </w:tcPr>
          <w:p w14:paraId="241CBEA7">
            <w:pPr>
              <w:spacing w:line="360" w:lineRule="exact"/>
              <w:jc w:val="center"/>
              <w:rPr>
                <w:rFonts w:hint="default" w:ascii="Times New Roman" w:hAnsi="Times New Roman" w:eastAsia="方正仿宋_GBK" w:cs="Times New Roman"/>
                <w:b/>
                <w:bCs/>
                <w:color w:val="auto"/>
                <w:sz w:val="32"/>
                <w:szCs w:val="32"/>
                <w:highlight w:val="none"/>
              </w:rPr>
            </w:pPr>
          </w:p>
        </w:tc>
      </w:tr>
      <w:tr w14:paraId="02A96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tblHeader/>
        </w:trPr>
        <w:tc>
          <w:tcPr>
            <w:tcW w:w="993" w:type="dxa"/>
            <w:vMerge w:val="restart"/>
            <w:noWrap w:val="0"/>
            <w:vAlign w:val="center"/>
          </w:tcPr>
          <w:p w14:paraId="24F76A2B">
            <w:pPr>
              <w:spacing w:line="400" w:lineRule="exact"/>
              <w:jc w:val="both"/>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二、</w:t>
            </w:r>
          </w:p>
          <w:p w14:paraId="6B9FEB73">
            <w:pPr>
              <w:spacing w:line="400" w:lineRule="exact"/>
              <w:jc w:val="center"/>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合规</w:t>
            </w:r>
          </w:p>
          <w:p w14:paraId="46BD1C77">
            <w:pPr>
              <w:spacing w:line="400" w:lineRule="exact"/>
              <w:jc w:val="center"/>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经营</w:t>
            </w:r>
          </w:p>
          <w:p w14:paraId="0C98D7AC">
            <w:pPr>
              <w:spacing w:line="400" w:lineRule="exact"/>
              <w:jc w:val="center"/>
              <w:rPr>
                <w:rFonts w:hint="eastAsia" w:ascii="黑体" w:hAnsi="黑体" w:eastAsia="黑体" w:cs="黑体"/>
                <w:b w:val="0"/>
                <w:bCs w:val="0"/>
                <w:color w:val="auto"/>
                <w:sz w:val="28"/>
                <w:szCs w:val="28"/>
                <w:highlight w:val="none"/>
                <w:lang w:val="en-US" w:eastAsia="zh-CN"/>
              </w:rPr>
            </w:pPr>
            <w:r>
              <w:rPr>
                <w:rFonts w:hint="eastAsia" w:eastAsia="黑体" w:cs="Times New Roman"/>
                <w:color w:val="auto"/>
                <w:sz w:val="24"/>
                <w:szCs w:val="24"/>
                <w:highlight w:val="none"/>
                <w:lang w:val="en-US" w:eastAsia="zh-CN"/>
              </w:rPr>
              <w:t>（60</w:t>
            </w:r>
            <w:r>
              <w:rPr>
                <w:rFonts w:hint="default" w:ascii="Times New Roman" w:hAnsi="Times New Roman" w:eastAsia="黑体" w:cs="Times New Roman"/>
                <w:color w:val="auto"/>
                <w:sz w:val="24"/>
                <w:szCs w:val="24"/>
                <w:highlight w:val="none"/>
              </w:rPr>
              <w:t>分）</w:t>
            </w:r>
          </w:p>
        </w:tc>
        <w:tc>
          <w:tcPr>
            <w:tcW w:w="1690" w:type="dxa"/>
            <w:noWrap w:val="0"/>
            <w:vAlign w:val="center"/>
          </w:tcPr>
          <w:p w14:paraId="24B7FCB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楷体_GB2312" w:cs="Times New Roman"/>
                <w:b/>
                <w:bCs/>
                <w:color w:val="auto"/>
                <w:sz w:val="24"/>
                <w:szCs w:val="24"/>
                <w:highlight w:val="none"/>
                <w:lang w:eastAsia="zh-CN"/>
              </w:rPr>
            </w:pPr>
            <w:r>
              <w:rPr>
                <w:rFonts w:hint="default" w:ascii="Times New Roman" w:hAnsi="Times New Roman" w:eastAsia="楷体_GB2312" w:cs="Times New Roman"/>
                <w:b/>
                <w:bCs/>
                <w:color w:val="auto"/>
                <w:sz w:val="24"/>
                <w:szCs w:val="24"/>
                <w:highlight w:val="none"/>
                <w:lang w:eastAsia="zh-CN"/>
              </w:rPr>
              <w:t>（</w:t>
            </w:r>
            <w:r>
              <w:rPr>
                <w:rFonts w:hint="default" w:ascii="Times New Roman" w:hAnsi="Times New Roman" w:eastAsia="楷体_GB2312" w:cs="Times New Roman"/>
                <w:b/>
                <w:bCs/>
                <w:color w:val="auto"/>
                <w:sz w:val="24"/>
                <w:szCs w:val="24"/>
                <w:highlight w:val="none"/>
                <w:lang w:val="en-US" w:eastAsia="zh-CN"/>
              </w:rPr>
              <w:t>5</w:t>
            </w:r>
            <w:r>
              <w:rPr>
                <w:rFonts w:hint="default" w:ascii="Times New Roman" w:hAnsi="Times New Roman" w:eastAsia="楷体_GB2312" w:cs="Times New Roman"/>
                <w:b/>
                <w:bCs/>
                <w:color w:val="auto"/>
                <w:sz w:val="24"/>
                <w:szCs w:val="24"/>
                <w:highlight w:val="none"/>
                <w:lang w:eastAsia="zh-CN"/>
              </w:rPr>
              <w:t>）不良资产</w:t>
            </w:r>
            <w:r>
              <w:rPr>
                <w:rFonts w:hint="eastAsia" w:eastAsia="楷体_GB2312" w:cs="Times New Roman"/>
                <w:b/>
                <w:bCs/>
                <w:color w:val="auto"/>
                <w:sz w:val="24"/>
                <w:szCs w:val="24"/>
                <w:highlight w:val="none"/>
                <w:lang w:eastAsia="zh-CN"/>
              </w:rPr>
              <w:t>收购</w:t>
            </w:r>
          </w:p>
        </w:tc>
        <w:tc>
          <w:tcPr>
            <w:tcW w:w="491" w:type="dxa"/>
            <w:noWrap w:val="0"/>
            <w:vAlign w:val="center"/>
          </w:tcPr>
          <w:p w14:paraId="2A5BE0D4">
            <w:pPr>
              <w:spacing w:line="400" w:lineRule="exact"/>
              <w:jc w:val="center"/>
              <w:rPr>
                <w:rFonts w:hint="default" w:ascii="Times New Roman" w:hAnsi="Times New Roman" w:eastAsia="方正仿宋_GBK" w:cs="Times New Roman"/>
                <w:b/>
                <w:bCs/>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lang w:val="en-US" w:eastAsia="zh-CN"/>
              </w:rPr>
              <w:t>1</w:t>
            </w:r>
            <w:r>
              <w:rPr>
                <w:rFonts w:hint="eastAsia" w:eastAsia="方正仿宋_GBK" w:cs="Times New Roman"/>
                <w:b/>
                <w:bCs/>
                <w:color w:val="auto"/>
                <w:sz w:val="24"/>
                <w:szCs w:val="24"/>
                <w:highlight w:val="none"/>
                <w:lang w:val="en-US" w:eastAsia="zh-CN"/>
              </w:rPr>
              <w:t>5</w:t>
            </w:r>
          </w:p>
        </w:tc>
        <w:tc>
          <w:tcPr>
            <w:tcW w:w="10293" w:type="dxa"/>
            <w:noWrap w:val="0"/>
            <w:vAlign w:val="center"/>
          </w:tcPr>
          <w:p w14:paraId="799CC8E2">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eastAsia="仿宋_GB2312"/>
                <w:color w:val="auto"/>
                <w:sz w:val="21"/>
                <w:szCs w:val="21"/>
                <w:highlight w:val="none"/>
                <w:lang w:val="en-US" w:eastAsia="zh-CN"/>
              </w:rPr>
            </w:pPr>
            <w:r>
              <w:rPr>
                <w:rFonts w:hint="eastAsia" w:eastAsia="仿宋_GB2312"/>
                <w:color w:val="auto"/>
                <w:sz w:val="21"/>
                <w:szCs w:val="21"/>
                <w:highlight w:val="none"/>
                <w:lang w:val="en-US" w:eastAsia="zh-CN"/>
              </w:rPr>
              <w:t>1.收购处置不良资产</w:t>
            </w:r>
            <w:r>
              <w:rPr>
                <w:rFonts w:hint="eastAsia"/>
                <w:color w:val="auto"/>
                <w:sz w:val="21"/>
                <w:szCs w:val="21"/>
                <w:highlight w:val="none"/>
                <w:lang w:val="en-US" w:eastAsia="zh-CN"/>
              </w:rPr>
              <w:t>应当</w:t>
            </w:r>
            <w:r>
              <w:rPr>
                <w:rFonts w:hint="eastAsia" w:eastAsia="仿宋_GB2312"/>
                <w:color w:val="auto"/>
                <w:sz w:val="21"/>
                <w:szCs w:val="21"/>
                <w:highlight w:val="none"/>
                <w:lang w:val="en-US" w:eastAsia="zh-CN"/>
              </w:rPr>
              <w:t>符合真实性、洁净性和整体性原则，通过评估或估值程序进行市场公允定价</w:t>
            </w:r>
            <w:r>
              <w:rPr>
                <w:rFonts w:hint="eastAsia"/>
                <w:color w:val="auto"/>
                <w:sz w:val="21"/>
                <w:szCs w:val="21"/>
                <w:highlight w:val="none"/>
                <w:lang w:val="en-US" w:eastAsia="zh-CN"/>
              </w:rPr>
              <w:t>，实现资产和风险的真实、完全转移</w:t>
            </w:r>
            <w:r>
              <w:rPr>
                <w:rFonts w:hint="eastAsia" w:eastAsia="仿宋_GB2312"/>
                <w:color w:val="auto"/>
                <w:sz w:val="21"/>
                <w:szCs w:val="21"/>
                <w:highlight w:val="none"/>
                <w:lang w:val="en-US" w:eastAsia="zh-CN"/>
              </w:rPr>
              <w:t>。</w:t>
            </w:r>
          </w:p>
          <w:p w14:paraId="00E44DAF">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eastAsia="仿宋_GB2312"/>
                <w:color w:val="auto"/>
                <w:sz w:val="21"/>
                <w:szCs w:val="21"/>
                <w:highlight w:val="none"/>
                <w:lang w:val="en-US" w:eastAsia="zh-CN"/>
              </w:rPr>
            </w:pPr>
            <w:r>
              <w:rPr>
                <w:rFonts w:hint="eastAsia" w:eastAsia="仿宋_GB2312"/>
                <w:color w:val="auto"/>
                <w:sz w:val="21"/>
                <w:szCs w:val="21"/>
                <w:highlight w:val="none"/>
                <w:lang w:val="en-US" w:eastAsia="zh-CN"/>
              </w:rPr>
              <w:t>2.</w:t>
            </w:r>
            <w:r>
              <w:rPr>
                <w:rFonts w:hint="eastAsia"/>
                <w:color w:val="auto"/>
                <w:sz w:val="21"/>
                <w:szCs w:val="21"/>
                <w:highlight w:val="none"/>
                <w:lang w:val="en-US" w:eastAsia="zh-CN"/>
              </w:rPr>
              <w:t>不得</w:t>
            </w:r>
            <w:r>
              <w:rPr>
                <w:rFonts w:hint="eastAsia" w:eastAsia="仿宋_GB2312"/>
                <w:color w:val="auto"/>
                <w:sz w:val="21"/>
                <w:szCs w:val="21"/>
                <w:highlight w:val="none"/>
                <w:lang w:val="en-US" w:eastAsia="zh-CN"/>
              </w:rPr>
              <w:t>与转让方在转让合同等正式法律文件之外签订或达成影响资产和风险真实完全转移的改变交易结构、风险承担主体及相关权益转移过程的协议或约定。</w:t>
            </w:r>
          </w:p>
          <w:p w14:paraId="1A194C7C">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eastAsia="仿宋_GB2312"/>
                <w:color w:val="auto"/>
                <w:sz w:val="21"/>
                <w:szCs w:val="21"/>
                <w:highlight w:val="none"/>
                <w:lang w:val="en-US" w:eastAsia="zh-CN"/>
              </w:rPr>
            </w:pPr>
            <w:r>
              <w:rPr>
                <w:rFonts w:hint="eastAsia" w:eastAsia="仿宋_GB2312"/>
                <w:color w:val="auto"/>
                <w:sz w:val="21"/>
                <w:szCs w:val="21"/>
                <w:highlight w:val="none"/>
                <w:lang w:val="en-US" w:eastAsia="zh-CN"/>
              </w:rPr>
              <w:t>3.</w:t>
            </w:r>
            <w:r>
              <w:rPr>
                <w:rFonts w:hint="eastAsia"/>
                <w:color w:val="auto"/>
                <w:sz w:val="21"/>
                <w:szCs w:val="21"/>
                <w:highlight w:val="none"/>
                <w:lang w:val="en-US" w:eastAsia="zh-CN"/>
              </w:rPr>
              <w:t>不得</w:t>
            </w:r>
            <w:r>
              <w:rPr>
                <w:rFonts w:hint="eastAsia" w:eastAsia="仿宋_GB2312"/>
                <w:color w:val="auto"/>
                <w:sz w:val="21"/>
                <w:szCs w:val="21"/>
                <w:highlight w:val="none"/>
                <w:lang w:val="en-US" w:eastAsia="zh-CN"/>
              </w:rPr>
              <w:t>设置</w:t>
            </w:r>
            <w:r>
              <w:rPr>
                <w:rFonts w:hint="eastAsia"/>
                <w:color w:val="auto"/>
                <w:sz w:val="21"/>
                <w:szCs w:val="21"/>
                <w:highlight w:val="none"/>
                <w:lang w:val="en-US" w:eastAsia="zh-CN"/>
              </w:rPr>
              <w:t>任何</w:t>
            </w:r>
            <w:r>
              <w:rPr>
                <w:rFonts w:hint="eastAsia" w:eastAsia="仿宋_GB2312"/>
                <w:color w:val="auto"/>
                <w:sz w:val="21"/>
                <w:szCs w:val="21"/>
                <w:highlight w:val="none"/>
                <w:lang w:val="en-US" w:eastAsia="zh-CN"/>
              </w:rPr>
              <w:t>显性或隐性的回购条款。</w:t>
            </w:r>
          </w:p>
          <w:p w14:paraId="2C185441">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eastAsia="仿宋_GB2312"/>
                <w:color w:val="auto"/>
                <w:sz w:val="21"/>
                <w:szCs w:val="21"/>
                <w:highlight w:val="none"/>
                <w:lang w:val="en-US" w:eastAsia="zh-CN"/>
              </w:rPr>
            </w:pPr>
            <w:r>
              <w:rPr>
                <w:rFonts w:hint="eastAsia" w:eastAsia="仿宋_GB2312"/>
                <w:color w:val="auto"/>
                <w:sz w:val="21"/>
                <w:szCs w:val="21"/>
                <w:highlight w:val="none"/>
                <w:lang w:val="en-US" w:eastAsia="zh-CN"/>
              </w:rPr>
              <w:t>4.</w:t>
            </w:r>
            <w:r>
              <w:rPr>
                <w:rFonts w:hint="eastAsia"/>
                <w:color w:val="auto"/>
                <w:sz w:val="21"/>
                <w:szCs w:val="21"/>
                <w:highlight w:val="none"/>
                <w:lang w:val="en-US" w:eastAsia="zh-CN"/>
              </w:rPr>
              <w:t>不得以任何形式</w:t>
            </w:r>
            <w:r>
              <w:rPr>
                <w:rFonts w:hint="eastAsia" w:eastAsia="仿宋_GB2312"/>
                <w:color w:val="auto"/>
                <w:sz w:val="21"/>
                <w:szCs w:val="21"/>
                <w:highlight w:val="none"/>
                <w:lang w:val="en-US" w:eastAsia="zh-CN"/>
              </w:rPr>
              <w:t>帮助金融企业虚假出表掩盖不良资产。</w:t>
            </w:r>
          </w:p>
          <w:p w14:paraId="4FF9F236">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eastAsia="仿宋_GB2312"/>
                <w:color w:val="auto"/>
                <w:sz w:val="21"/>
                <w:szCs w:val="21"/>
                <w:highlight w:val="none"/>
                <w:lang w:val="en-US" w:eastAsia="zh-CN"/>
              </w:rPr>
            </w:pPr>
            <w:r>
              <w:rPr>
                <w:rFonts w:hint="eastAsia" w:eastAsia="仿宋_GB2312"/>
                <w:color w:val="auto"/>
                <w:sz w:val="21"/>
                <w:szCs w:val="21"/>
                <w:highlight w:val="none"/>
                <w:lang w:val="en-US" w:eastAsia="zh-CN"/>
              </w:rPr>
              <w:t>5.</w:t>
            </w:r>
            <w:r>
              <w:rPr>
                <w:rFonts w:hint="eastAsia"/>
                <w:color w:val="auto"/>
                <w:sz w:val="21"/>
                <w:szCs w:val="21"/>
                <w:highlight w:val="none"/>
                <w:lang w:val="en-US" w:eastAsia="zh-CN"/>
              </w:rPr>
              <w:t>不得</w:t>
            </w:r>
            <w:r>
              <w:rPr>
                <w:rFonts w:hint="eastAsia" w:eastAsia="仿宋_GB2312"/>
                <w:color w:val="auto"/>
                <w:sz w:val="21"/>
                <w:szCs w:val="21"/>
                <w:highlight w:val="none"/>
                <w:lang w:val="en-US" w:eastAsia="zh-CN"/>
              </w:rPr>
              <w:t>以收购不良资产名义为企业或项目提供融资。</w:t>
            </w:r>
          </w:p>
          <w:p w14:paraId="4267F314">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eastAsia="仿宋_GB2312"/>
                <w:color w:val="auto"/>
                <w:sz w:val="21"/>
                <w:szCs w:val="21"/>
                <w:highlight w:val="none"/>
                <w:lang w:val="en-US" w:eastAsia="zh-CN"/>
              </w:rPr>
            </w:pPr>
            <w:r>
              <w:rPr>
                <w:rFonts w:hint="eastAsia" w:eastAsia="仿宋_GB2312"/>
                <w:color w:val="auto"/>
                <w:sz w:val="21"/>
                <w:szCs w:val="21"/>
                <w:highlight w:val="none"/>
                <w:lang w:val="en-US" w:eastAsia="zh-CN"/>
              </w:rPr>
              <w:t>6.</w:t>
            </w:r>
            <w:r>
              <w:rPr>
                <w:rFonts w:hint="eastAsia"/>
                <w:color w:val="auto"/>
                <w:sz w:val="21"/>
                <w:szCs w:val="21"/>
                <w:highlight w:val="none"/>
                <w:lang w:val="en-US" w:eastAsia="zh-CN"/>
              </w:rPr>
              <w:t>不得</w:t>
            </w:r>
            <w:r>
              <w:rPr>
                <w:rFonts w:hint="eastAsia" w:eastAsia="仿宋_GB2312"/>
                <w:color w:val="auto"/>
                <w:sz w:val="21"/>
                <w:szCs w:val="21"/>
                <w:highlight w:val="none"/>
                <w:lang w:val="en-US" w:eastAsia="zh-CN"/>
              </w:rPr>
              <w:t>收购无实际对应资产和无真实交易背景的债权资产。</w:t>
            </w:r>
          </w:p>
          <w:p w14:paraId="1F326BC2">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eastAsia="仿宋_GB2312"/>
                <w:color w:val="auto"/>
                <w:sz w:val="21"/>
                <w:szCs w:val="21"/>
                <w:highlight w:val="none"/>
                <w:lang w:val="en-US" w:eastAsia="zh-CN"/>
              </w:rPr>
            </w:pPr>
            <w:r>
              <w:rPr>
                <w:rFonts w:hint="eastAsia" w:eastAsia="仿宋_GB2312"/>
                <w:color w:val="auto"/>
                <w:sz w:val="21"/>
                <w:szCs w:val="21"/>
                <w:highlight w:val="none"/>
                <w:lang w:val="en-US" w:eastAsia="zh-CN"/>
              </w:rPr>
              <w:t>7.</w:t>
            </w:r>
            <w:r>
              <w:rPr>
                <w:rFonts w:hint="eastAsia"/>
                <w:color w:val="auto"/>
                <w:sz w:val="21"/>
                <w:szCs w:val="21"/>
                <w:highlight w:val="none"/>
                <w:lang w:val="en-US" w:eastAsia="zh-CN"/>
              </w:rPr>
              <w:t>不得</w:t>
            </w:r>
            <w:r>
              <w:rPr>
                <w:rFonts w:hint="eastAsia" w:eastAsia="仿宋_GB2312"/>
                <w:color w:val="auto"/>
                <w:sz w:val="21"/>
                <w:szCs w:val="21"/>
                <w:highlight w:val="none"/>
                <w:lang w:val="en-US" w:eastAsia="zh-CN"/>
              </w:rPr>
              <w:t>向股东、债务人及其关系人输送非法利益。</w:t>
            </w:r>
          </w:p>
          <w:p w14:paraId="2A3E5F9D">
            <w:pPr>
              <w:numPr>
                <w:ilvl w:val="0"/>
                <w:numId w:val="0"/>
              </w:numPr>
              <w:autoSpaceDE/>
              <w:autoSpaceDN/>
              <w:adjustRightInd/>
              <w:spacing w:line="280" w:lineRule="exact"/>
              <w:ind w:firstLine="420" w:firstLineChars="200"/>
              <w:jc w:val="both"/>
              <w:outlineLvl w:val="9"/>
              <w:rPr>
                <w:rFonts w:hint="eastAsia"/>
                <w:color w:val="auto"/>
                <w:sz w:val="21"/>
                <w:szCs w:val="21"/>
                <w:highlight w:val="none"/>
                <w:lang w:val="en-US" w:eastAsia="zh-CN"/>
              </w:rPr>
            </w:pPr>
            <w:r>
              <w:rPr>
                <w:rFonts w:hint="eastAsia" w:eastAsia="仿宋_GB2312"/>
                <w:color w:val="auto"/>
                <w:sz w:val="21"/>
                <w:szCs w:val="21"/>
                <w:highlight w:val="none"/>
                <w:lang w:val="en-US" w:eastAsia="zh-CN"/>
              </w:rPr>
              <w:t>8.</w:t>
            </w:r>
            <w:r>
              <w:rPr>
                <w:rFonts w:hint="eastAsia"/>
                <w:color w:val="auto"/>
                <w:sz w:val="21"/>
                <w:szCs w:val="21"/>
                <w:highlight w:val="none"/>
                <w:lang w:val="en-US" w:eastAsia="zh-CN"/>
              </w:rPr>
              <w:t>不得</w:t>
            </w:r>
            <w:r>
              <w:rPr>
                <w:rFonts w:hint="eastAsia" w:eastAsia="仿宋_GB2312"/>
                <w:color w:val="auto"/>
                <w:sz w:val="21"/>
                <w:szCs w:val="21"/>
                <w:highlight w:val="none"/>
                <w:lang w:val="en-US" w:eastAsia="zh-CN"/>
              </w:rPr>
              <w:t>以任何形式帮助债务人逃废债务。</w:t>
            </w:r>
          </w:p>
          <w:p w14:paraId="3A500FF4">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outlineLvl w:val="9"/>
              <w:rPr>
                <w:rFonts w:hint="eastAsia" w:eastAsia="仿宋_GB2312"/>
                <w:color w:val="auto"/>
                <w:sz w:val="21"/>
                <w:szCs w:val="21"/>
                <w:highlight w:val="none"/>
                <w:lang w:val="en-US" w:eastAsia="zh-CN"/>
              </w:rPr>
            </w:pPr>
            <w:r>
              <w:rPr>
                <w:rFonts w:hint="eastAsia" w:eastAsia="仿宋_GB2312"/>
                <w:color w:val="auto"/>
                <w:sz w:val="21"/>
                <w:szCs w:val="21"/>
                <w:highlight w:val="none"/>
                <w:lang w:val="en-US" w:eastAsia="zh-CN"/>
              </w:rPr>
              <w:t>9.</w:t>
            </w:r>
            <w:r>
              <w:rPr>
                <w:rFonts w:hint="eastAsia"/>
                <w:color w:val="auto"/>
                <w:sz w:val="21"/>
                <w:szCs w:val="21"/>
                <w:highlight w:val="none"/>
                <w:lang w:val="en-US" w:eastAsia="zh-CN"/>
              </w:rPr>
              <w:t>不得</w:t>
            </w:r>
            <w:r>
              <w:rPr>
                <w:rFonts w:hint="eastAsia" w:eastAsia="仿宋_GB2312"/>
                <w:color w:val="auto"/>
                <w:sz w:val="21"/>
                <w:szCs w:val="21"/>
                <w:highlight w:val="none"/>
                <w:lang w:val="en-US" w:eastAsia="zh-CN"/>
              </w:rPr>
              <w:t>收购经国务院批准列入全国企业政策性关闭破产计划的资产、国防军工等涉及国家安全和敏感信息的资产、在借款合同或担保合同中有限制转让条款的资产以及国家法律法规限制转让的其他资产。</w:t>
            </w:r>
          </w:p>
          <w:p w14:paraId="4411313C">
            <w:pPr>
              <w:pStyle w:val="2"/>
              <w:spacing w:line="280" w:lineRule="exact"/>
              <w:rPr>
                <w:rFonts w:hint="default"/>
                <w:color w:val="auto"/>
                <w:highlight w:val="none"/>
                <w:lang w:val="en-US" w:eastAsia="zh-CN"/>
              </w:rPr>
            </w:pPr>
            <w:r>
              <w:rPr>
                <w:rFonts w:hint="eastAsia"/>
                <w:color w:val="auto"/>
                <w:sz w:val="21"/>
                <w:szCs w:val="21"/>
                <w:highlight w:val="none"/>
                <w:lang w:val="en-US" w:eastAsia="zh-CN"/>
              </w:rPr>
              <w:t xml:space="preserve">   符合以上规定的</w:t>
            </w:r>
            <w:r>
              <w:rPr>
                <w:rFonts w:hint="eastAsia" w:ascii="Times New Roman" w:hAnsi="Times New Roman"/>
                <w:color w:val="auto"/>
                <w:kern w:val="2"/>
                <w:sz w:val="21"/>
                <w:szCs w:val="21"/>
                <w:highlight w:val="none"/>
                <w:lang w:val="en-US" w:eastAsia="zh-CN" w:bidi="ar-SA"/>
              </w:rPr>
              <w:t>得15分；若发生以上任何一项禁止性行为，此项不得分。</w:t>
            </w:r>
          </w:p>
        </w:tc>
        <w:tc>
          <w:tcPr>
            <w:tcW w:w="530" w:type="dxa"/>
            <w:noWrap w:val="0"/>
            <w:vAlign w:val="center"/>
          </w:tcPr>
          <w:p w14:paraId="7609B454">
            <w:pPr>
              <w:spacing w:line="360" w:lineRule="exact"/>
              <w:jc w:val="center"/>
              <w:rPr>
                <w:rFonts w:hint="default" w:ascii="Times New Roman" w:hAnsi="Times New Roman" w:eastAsia="方正仿宋_GBK" w:cs="Times New Roman"/>
                <w:b/>
                <w:bCs/>
                <w:color w:val="auto"/>
                <w:sz w:val="32"/>
                <w:szCs w:val="32"/>
                <w:highlight w:val="none"/>
              </w:rPr>
            </w:pPr>
          </w:p>
        </w:tc>
        <w:tc>
          <w:tcPr>
            <w:tcW w:w="623" w:type="dxa"/>
            <w:noWrap w:val="0"/>
            <w:vAlign w:val="center"/>
          </w:tcPr>
          <w:p w14:paraId="498B5715">
            <w:pPr>
              <w:spacing w:line="360" w:lineRule="exact"/>
              <w:jc w:val="center"/>
              <w:rPr>
                <w:rFonts w:hint="default" w:ascii="Times New Roman" w:hAnsi="Times New Roman" w:eastAsia="方正仿宋_GBK" w:cs="Times New Roman"/>
                <w:b/>
                <w:bCs/>
                <w:color w:val="auto"/>
                <w:sz w:val="32"/>
                <w:szCs w:val="32"/>
                <w:highlight w:val="none"/>
              </w:rPr>
            </w:pPr>
          </w:p>
        </w:tc>
      </w:tr>
      <w:tr w14:paraId="0B81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blHeader/>
        </w:trPr>
        <w:tc>
          <w:tcPr>
            <w:tcW w:w="993" w:type="dxa"/>
            <w:vMerge w:val="continue"/>
            <w:noWrap w:val="0"/>
            <w:vAlign w:val="center"/>
          </w:tcPr>
          <w:p w14:paraId="6CCA16D1">
            <w:pPr>
              <w:spacing w:line="400" w:lineRule="exact"/>
              <w:jc w:val="left"/>
              <w:rPr>
                <w:rFonts w:hint="default" w:ascii="Times New Roman" w:hAnsi="Times New Roman" w:eastAsia="方正仿宋_GBK" w:cs="Times New Roman"/>
                <w:b/>
                <w:bCs/>
                <w:color w:val="auto"/>
                <w:sz w:val="32"/>
                <w:szCs w:val="32"/>
                <w:highlight w:val="none"/>
              </w:rPr>
            </w:pPr>
          </w:p>
        </w:tc>
        <w:tc>
          <w:tcPr>
            <w:tcW w:w="1690" w:type="dxa"/>
            <w:noWrap w:val="0"/>
            <w:vAlign w:val="center"/>
          </w:tcPr>
          <w:p w14:paraId="215922B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楷体_GB2312" w:cs="Times New Roman"/>
                <w:b/>
                <w:bCs/>
                <w:color w:val="auto"/>
                <w:sz w:val="24"/>
                <w:szCs w:val="24"/>
                <w:highlight w:val="none"/>
                <w:lang w:eastAsia="zh-CN"/>
              </w:rPr>
            </w:pPr>
            <w:r>
              <w:rPr>
                <w:rFonts w:hint="default" w:ascii="Times New Roman" w:hAnsi="Times New Roman" w:eastAsia="楷体_GB2312" w:cs="Times New Roman"/>
                <w:b/>
                <w:bCs/>
                <w:color w:val="auto"/>
                <w:sz w:val="24"/>
                <w:szCs w:val="24"/>
                <w:highlight w:val="none"/>
                <w:lang w:eastAsia="zh-CN"/>
              </w:rPr>
              <w:t>（</w:t>
            </w:r>
            <w:r>
              <w:rPr>
                <w:rFonts w:hint="default" w:ascii="Times New Roman" w:hAnsi="Times New Roman" w:eastAsia="楷体_GB2312" w:cs="Times New Roman"/>
                <w:b/>
                <w:bCs/>
                <w:color w:val="auto"/>
                <w:sz w:val="24"/>
                <w:szCs w:val="24"/>
                <w:highlight w:val="none"/>
                <w:lang w:val="en-US" w:eastAsia="zh-CN"/>
              </w:rPr>
              <w:t>6</w:t>
            </w:r>
            <w:r>
              <w:rPr>
                <w:rFonts w:hint="default" w:ascii="Times New Roman" w:hAnsi="Times New Roman" w:eastAsia="楷体_GB2312" w:cs="Times New Roman"/>
                <w:b/>
                <w:bCs/>
                <w:color w:val="auto"/>
                <w:sz w:val="24"/>
                <w:szCs w:val="24"/>
                <w:highlight w:val="none"/>
                <w:lang w:eastAsia="zh-CN"/>
              </w:rPr>
              <w:t>）不良资产</w:t>
            </w:r>
            <w:r>
              <w:rPr>
                <w:rFonts w:hint="eastAsia" w:eastAsia="楷体_GB2312" w:cs="Times New Roman"/>
                <w:b/>
                <w:bCs/>
                <w:color w:val="auto"/>
                <w:sz w:val="24"/>
                <w:szCs w:val="24"/>
                <w:highlight w:val="none"/>
                <w:lang w:eastAsia="zh-CN"/>
              </w:rPr>
              <w:t>处置</w:t>
            </w:r>
          </w:p>
        </w:tc>
        <w:tc>
          <w:tcPr>
            <w:tcW w:w="491" w:type="dxa"/>
            <w:noWrap w:val="0"/>
            <w:vAlign w:val="center"/>
          </w:tcPr>
          <w:p w14:paraId="7293C279">
            <w:pPr>
              <w:spacing w:line="400" w:lineRule="exact"/>
              <w:jc w:val="center"/>
              <w:rPr>
                <w:rFonts w:hint="default" w:ascii="Times New Roman" w:hAnsi="Times New Roman" w:eastAsia="方正仿宋_GBK" w:cs="Times New Roman"/>
                <w:b/>
                <w:bCs/>
                <w:color w:val="auto"/>
                <w:sz w:val="24"/>
                <w:szCs w:val="24"/>
                <w:highlight w:val="none"/>
                <w:lang w:val="en-US" w:eastAsia="zh-CN"/>
              </w:rPr>
            </w:pPr>
            <w:r>
              <w:rPr>
                <w:rFonts w:hint="eastAsia" w:eastAsia="方正仿宋_GBK" w:cs="Times New Roman"/>
                <w:b/>
                <w:bCs/>
                <w:color w:val="auto"/>
                <w:sz w:val="24"/>
                <w:szCs w:val="24"/>
                <w:highlight w:val="none"/>
                <w:lang w:val="en-US" w:eastAsia="zh-CN"/>
              </w:rPr>
              <w:t>5</w:t>
            </w:r>
          </w:p>
        </w:tc>
        <w:tc>
          <w:tcPr>
            <w:tcW w:w="10293" w:type="dxa"/>
            <w:noWrap w:val="0"/>
            <w:vAlign w:val="center"/>
          </w:tcPr>
          <w:p w14:paraId="36FF6CF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default" w:ascii="Times New Roman" w:hAnsi="Times New Roman" w:eastAsia="仿宋" w:cs="Times New Roman"/>
                <w:b w:val="0"/>
                <w:bCs w:val="0"/>
                <w:color w:val="auto"/>
                <w:sz w:val="21"/>
                <w:szCs w:val="21"/>
                <w:highlight w:val="none"/>
              </w:rPr>
            </w:pPr>
            <w:r>
              <w:rPr>
                <w:rFonts w:hint="eastAsia" w:cs="Times New Roman"/>
                <w:b w:val="0"/>
                <w:bCs w:val="0"/>
                <w:color w:val="auto"/>
                <w:sz w:val="21"/>
                <w:szCs w:val="21"/>
                <w:highlight w:val="none"/>
                <w:lang w:eastAsia="zh-CN"/>
              </w:rPr>
              <w:t>严格按照政策法规和监管要求处置不良资产</w:t>
            </w:r>
            <w:r>
              <w:rPr>
                <w:rFonts w:hint="eastAsia" w:ascii="Times New Roman" w:hAnsi="Times New Roman" w:eastAsia="仿宋_GB2312" w:cs="Times New Roman"/>
                <w:b w:val="0"/>
                <w:bCs w:val="0"/>
                <w:color w:val="auto"/>
                <w:sz w:val="21"/>
                <w:szCs w:val="21"/>
                <w:highlight w:val="none"/>
              </w:rPr>
              <w:t>，</w:t>
            </w:r>
            <w:r>
              <w:rPr>
                <w:rFonts w:hint="eastAsia" w:cs="Times New Roman"/>
                <w:b w:val="0"/>
                <w:bCs w:val="0"/>
                <w:color w:val="auto"/>
                <w:sz w:val="21"/>
                <w:szCs w:val="21"/>
                <w:highlight w:val="none"/>
                <w:lang w:eastAsia="zh-CN"/>
              </w:rPr>
              <w:t>在处置方式、公开转让、受让主体、债权催收、关联交易等方面和环节均合法合规的得</w:t>
            </w:r>
            <w:r>
              <w:rPr>
                <w:rFonts w:hint="eastAsia" w:cs="Times New Roman"/>
                <w:bCs w:val="0"/>
                <w:color w:val="auto"/>
                <w:sz w:val="21"/>
                <w:szCs w:val="21"/>
                <w:highlight w:val="none"/>
                <w:lang w:val="en-US" w:eastAsia="zh-CN"/>
              </w:rPr>
              <w:t>5</w:t>
            </w:r>
            <w:r>
              <w:rPr>
                <w:rFonts w:hint="eastAsia" w:eastAsia="仿宋_GB2312" w:cs="Times New Roman"/>
                <w:bCs w:val="0"/>
                <w:color w:val="auto"/>
                <w:sz w:val="21"/>
                <w:szCs w:val="21"/>
                <w:highlight w:val="none"/>
                <w:lang w:val="en-US" w:eastAsia="zh-CN"/>
              </w:rPr>
              <w:t>分</w:t>
            </w:r>
            <w:r>
              <w:rPr>
                <w:rFonts w:hint="eastAsia" w:cs="Times New Roman"/>
                <w:bCs w:val="0"/>
                <w:color w:val="auto"/>
                <w:sz w:val="21"/>
                <w:szCs w:val="21"/>
                <w:highlight w:val="none"/>
                <w:lang w:val="en-US" w:eastAsia="zh-CN"/>
              </w:rPr>
              <w:t>；</w:t>
            </w:r>
            <w:r>
              <w:rPr>
                <w:rFonts w:hint="eastAsia" w:eastAsia="仿宋_GB2312" w:cs="Times New Roman"/>
                <w:bCs w:val="0"/>
                <w:color w:val="auto"/>
                <w:sz w:val="21"/>
                <w:szCs w:val="21"/>
                <w:highlight w:val="none"/>
                <w:lang w:val="en-US" w:eastAsia="zh-CN"/>
              </w:rPr>
              <w:t>否则</w:t>
            </w:r>
            <w:r>
              <w:rPr>
                <w:rFonts w:hint="eastAsia" w:cs="Times New Roman"/>
                <w:bCs w:val="0"/>
                <w:color w:val="auto"/>
                <w:sz w:val="21"/>
                <w:szCs w:val="21"/>
                <w:highlight w:val="none"/>
                <w:lang w:val="en-US" w:eastAsia="zh-CN"/>
              </w:rPr>
              <w:t>酌情扣1</w:t>
            </w:r>
            <w:r>
              <w:rPr>
                <w:rFonts w:hint="eastAsia" w:ascii="Times New Roman" w:hAnsi="Times New Roman" w:eastAsia="仿宋_GB2312" w:cs="Times New Roman"/>
                <w:color w:val="auto"/>
                <w:sz w:val="21"/>
                <w:szCs w:val="21"/>
                <w:highlight w:val="none"/>
              </w:rPr>
              <w:t>～</w:t>
            </w:r>
            <w:r>
              <w:rPr>
                <w:rFonts w:hint="eastAsia" w:cs="Times New Roman"/>
                <w:bCs w:val="0"/>
                <w:color w:val="auto"/>
                <w:sz w:val="21"/>
                <w:szCs w:val="21"/>
                <w:highlight w:val="none"/>
                <w:lang w:val="en-US" w:eastAsia="zh-CN"/>
              </w:rPr>
              <w:t>5</w:t>
            </w:r>
            <w:r>
              <w:rPr>
                <w:rFonts w:hint="eastAsia" w:eastAsia="仿宋_GB2312" w:cs="Times New Roman"/>
                <w:bCs w:val="0"/>
                <w:color w:val="auto"/>
                <w:sz w:val="21"/>
                <w:szCs w:val="21"/>
                <w:highlight w:val="none"/>
                <w:lang w:val="en-US" w:eastAsia="zh-CN"/>
              </w:rPr>
              <w:t>分</w:t>
            </w:r>
            <w:r>
              <w:rPr>
                <w:rFonts w:hint="eastAsia" w:ascii="Times New Roman" w:hAnsi="Times New Roman" w:eastAsia="仿宋_GB2312" w:cs="Times New Roman"/>
                <w:bCs w:val="0"/>
                <w:color w:val="auto"/>
                <w:sz w:val="21"/>
                <w:szCs w:val="21"/>
                <w:highlight w:val="none"/>
                <w:lang w:val="en-US" w:eastAsia="zh-CN"/>
              </w:rPr>
              <w:t>。</w:t>
            </w:r>
          </w:p>
        </w:tc>
        <w:tc>
          <w:tcPr>
            <w:tcW w:w="530" w:type="dxa"/>
            <w:noWrap w:val="0"/>
            <w:vAlign w:val="center"/>
          </w:tcPr>
          <w:p w14:paraId="639C3B64">
            <w:pPr>
              <w:spacing w:line="360" w:lineRule="exact"/>
              <w:jc w:val="center"/>
              <w:rPr>
                <w:rFonts w:hint="default" w:ascii="Times New Roman" w:hAnsi="Times New Roman" w:eastAsia="方正仿宋_GBK" w:cs="Times New Roman"/>
                <w:b/>
                <w:bCs/>
                <w:color w:val="auto"/>
                <w:sz w:val="32"/>
                <w:szCs w:val="32"/>
                <w:highlight w:val="none"/>
              </w:rPr>
            </w:pPr>
          </w:p>
        </w:tc>
        <w:tc>
          <w:tcPr>
            <w:tcW w:w="623" w:type="dxa"/>
            <w:noWrap w:val="0"/>
            <w:vAlign w:val="center"/>
          </w:tcPr>
          <w:p w14:paraId="469FC433">
            <w:pPr>
              <w:spacing w:line="360" w:lineRule="exact"/>
              <w:jc w:val="center"/>
              <w:rPr>
                <w:rFonts w:hint="default" w:ascii="Times New Roman" w:hAnsi="Times New Roman" w:eastAsia="方正仿宋_GBK" w:cs="Times New Roman"/>
                <w:b/>
                <w:bCs/>
                <w:color w:val="auto"/>
                <w:sz w:val="32"/>
                <w:szCs w:val="32"/>
                <w:highlight w:val="none"/>
              </w:rPr>
            </w:pPr>
          </w:p>
        </w:tc>
      </w:tr>
      <w:tr w14:paraId="758F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blHeader/>
        </w:trPr>
        <w:tc>
          <w:tcPr>
            <w:tcW w:w="993" w:type="dxa"/>
            <w:vMerge w:val="continue"/>
            <w:noWrap w:val="0"/>
            <w:vAlign w:val="center"/>
          </w:tcPr>
          <w:p w14:paraId="6FE8AF4F">
            <w:pPr>
              <w:spacing w:line="400" w:lineRule="exact"/>
              <w:jc w:val="left"/>
              <w:rPr>
                <w:rFonts w:hint="default" w:ascii="Times New Roman" w:hAnsi="Times New Roman" w:eastAsia="方正仿宋_GBK" w:cs="Times New Roman"/>
                <w:b/>
                <w:bCs/>
                <w:color w:val="auto"/>
                <w:sz w:val="32"/>
                <w:szCs w:val="32"/>
                <w:highlight w:val="none"/>
              </w:rPr>
            </w:pPr>
          </w:p>
        </w:tc>
        <w:tc>
          <w:tcPr>
            <w:tcW w:w="1690" w:type="dxa"/>
            <w:noWrap w:val="0"/>
            <w:vAlign w:val="center"/>
          </w:tcPr>
          <w:p w14:paraId="63BD84A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楷体_GB2312" w:cs="Times New Roman"/>
                <w:b/>
                <w:bCs/>
                <w:color w:val="auto"/>
                <w:sz w:val="24"/>
                <w:szCs w:val="24"/>
                <w:highlight w:val="none"/>
                <w:lang w:val="en" w:eastAsia="zh-CN"/>
              </w:rPr>
            </w:pPr>
            <w:r>
              <w:rPr>
                <w:rFonts w:hint="default" w:ascii="Times New Roman" w:hAnsi="Times New Roman" w:eastAsia="楷体_GB2312" w:cs="Times New Roman"/>
                <w:b/>
                <w:bCs/>
                <w:color w:val="auto"/>
                <w:sz w:val="24"/>
                <w:szCs w:val="24"/>
                <w:highlight w:val="none"/>
                <w:lang w:eastAsia="zh-CN"/>
              </w:rPr>
              <w:t>（</w:t>
            </w:r>
            <w:r>
              <w:rPr>
                <w:rFonts w:hint="default" w:ascii="Times New Roman" w:hAnsi="Times New Roman" w:eastAsia="楷体_GB2312" w:cs="Times New Roman"/>
                <w:b/>
                <w:bCs/>
                <w:color w:val="auto"/>
                <w:sz w:val="24"/>
                <w:szCs w:val="24"/>
                <w:highlight w:val="none"/>
                <w:lang w:val="en-US" w:eastAsia="zh-CN"/>
              </w:rPr>
              <w:t>7</w:t>
            </w:r>
            <w:r>
              <w:rPr>
                <w:rFonts w:hint="default" w:ascii="Times New Roman" w:hAnsi="Times New Roman" w:eastAsia="楷体_GB2312" w:cs="Times New Roman"/>
                <w:b/>
                <w:bCs/>
                <w:color w:val="auto"/>
                <w:sz w:val="24"/>
                <w:szCs w:val="24"/>
                <w:highlight w:val="none"/>
                <w:lang w:eastAsia="zh-CN"/>
              </w:rPr>
              <w:t>）</w:t>
            </w:r>
            <w:r>
              <w:rPr>
                <w:rFonts w:hint="default" w:eastAsia="楷体_GB2312" w:cs="Times New Roman"/>
                <w:b/>
                <w:bCs/>
                <w:color w:val="auto"/>
                <w:sz w:val="24"/>
                <w:szCs w:val="24"/>
                <w:highlight w:val="none"/>
                <w:lang w:val="en" w:eastAsia="zh-CN"/>
              </w:rPr>
              <w:t>回归主业</w:t>
            </w:r>
          </w:p>
        </w:tc>
        <w:tc>
          <w:tcPr>
            <w:tcW w:w="491" w:type="dxa"/>
            <w:noWrap w:val="0"/>
            <w:vAlign w:val="center"/>
          </w:tcPr>
          <w:p w14:paraId="2FE9C2F2">
            <w:pPr>
              <w:spacing w:line="400" w:lineRule="exact"/>
              <w:jc w:val="center"/>
              <w:rPr>
                <w:rFonts w:hint="default" w:ascii="Times New Roman" w:hAnsi="Times New Roman" w:eastAsia="方正仿宋_GBK" w:cs="Times New Roman"/>
                <w:b/>
                <w:bCs/>
                <w:color w:val="auto"/>
                <w:sz w:val="24"/>
                <w:szCs w:val="24"/>
                <w:highlight w:val="none"/>
                <w:lang w:val="en-US" w:eastAsia="zh-CN"/>
              </w:rPr>
            </w:pPr>
            <w:r>
              <w:rPr>
                <w:rFonts w:hint="eastAsia" w:eastAsia="方正仿宋_GBK" w:cs="Times New Roman"/>
                <w:b/>
                <w:bCs/>
                <w:color w:val="auto"/>
                <w:sz w:val="24"/>
                <w:szCs w:val="24"/>
                <w:highlight w:val="none"/>
                <w:lang w:val="en-US" w:eastAsia="zh-CN"/>
              </w:rPr>
              <w:t>15</w:t>
            </w:r>
          </w:p>
        </w:tc>
        <w:tc>
          <w:tcPr>
            <w:tcW w:w="10293" w:type="dxa"/>
            <w:noWrap w:val="0"/>
            <w:vAlign w:val="center"/>
          </w:tcPr>
          <w:p w14:paraId="32A93491">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420" w:leftChars="0" w:right="0" w:rightChars="0"/>
              <w:jc w:val="both"/>
              <w:textAlignment w:val="auto"/>
              <w:outlineLvl w:val="9"/>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1.在监管部门核定</w:t>
            </w:r>
            <w:r>
              <w:rPr>
                <w:rFonts w:hint="default" w:ascii="仿宋_GB2312" w:hAnsi="仿宋_GB2312" w:cs="仿宋_GB2312"/>
                <w:color w:val="auto"/>
                <w:sz w:val="21"/>
                <w:szCs w:val="21"/>
                <w:highlight w:val="none"/>
                <w:lang w:val="en" w:eastAsia="zh-CN"/>
              </w:rPr>
              <w:t>和营业执照列明</w:t>
            </w:r>
            <w:r>
              <w:rPr>
                <w:rFonts w:hint="eastAsia" w:ascii="仿宋_GB2312" w:hAnsi="仿宋_GB2312" w:eastAsia="仿宋_GB2312" w:cs="仿宋_GB2312"/>
                <w:color w:val="auto"/>
                <w:sz w:val="21"/>
                <w:szCs w:val="21"/>
                <w:highlight w:val="none"/>
                <w:lang w:val="en-US" w:eastAsia="zh-CN"/>
              </w:rPr>
              <w:t>的</w:t>
            </w:r>
            <w:r>
              <w:rPr>
                <w:rFonts w:hint="default" w:ascii="仿宋_GB2312" w:hAnsi="仿宋_GB2312" w:cs="仿宋_GB2312"/>
                <w:color w:val="auto"/>
                <w:sz w:val="21"/>
                <w:szCs w:val="21"/>
                <w:highlight w:val="none"/>
                <w:lang w:val="en" w:eastAsia="zh-CN"/>
              </w:rPr>
              <w:t>经营</w:t>
            </w:r>
            <w:r>
              <w:rPr>
                <w:rFonts w:hint="eastAsia" w:ascii="仿宋_GB2312" w:hAnsi="仿宋_GB2312" w:eastAsia="仿宋_GB2312" w:cs="仿宋_GB2312"/>
                <w:color w:val="auto"/>
                <w:sz w:val="21"/>
                <w:szCs w:val="21"/>
                <w:highlight w:val="none"/>
                <w:lang w:val="en-US" w:eastAsia="zh-CN"/>
              </w:rPr>
              <w:t>范围内</w:t>
            </w:r>
            <w:r>
              <w:rPr>
                <w:rFonts w:hint="default" w:ascii="仿宋_GB2312" w:hAnsi="仿宋_GB2312" w:cs="仿宋_GB2312"/>
                <w:color w:val="auto"/>
                <w:sz w:val="21"/>
                <w:szCs w:val="21"/>
                <w:highlight w:val="none"/>
                <w:lang w:val="en" w:eastAsia="zh-CN"/>
              </w:rPr>
              <w:t>展业</w:t>
            </w:r>
            <w:r>
              <w:rPr>
                <w:rFonts w:hint="eastAsia" w:ascii="仿宋_GB2312" w:hAnsi="仿宋_GB2312" w:eastAsia="仿宋_GB2312" w:cs="仿宋_GB2312"/>
                <w:color w:val="auto"/>
                <w:sz w:val="21"/>
                <w:szCs w:val="21"/>
                <w:highlight w:val="none"/>
                <w:lang w:val="en-US" w:eastAsia="zh-CN"/>
              </w:rPr>
              <w:t xml:space="preserve">的得5分。  </w:t>
            </w:r>
          </w:p>
          <w:p w14:paraId="5B4EDFD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420" w:leftChars="0" w:right="0" w:rightChars="0"/>
              <w:jc w:val="both"/>
              <w:textAlignment w:val="auto"/>
              <w:outlineLvl w:val="9"/>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2.积极开展不良资产试点或创新业务的得2分。</w:t>
            </w:r>
          </w:p>
          <w:p w14:paraId="322D2AA3">
            <w:pPr>
              <w:pStyle w:val="2"/>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 xml:space="preserve">    3.立足</w:t>
            </w:r>
            <w:r>
              <w:rPr>
                <w:rFonts w:hint="eastAsia" w:cs="仿宋_GB2312"/>
                <w:color w:val="auto"/>
                <w:sz w:val="21"/>
                <w:szCs w:val="21"/>
                <w:highlight w:val="none"/>
                <w:lang w:val="en-US" w:eastAsia="zh-CN"/>
              </w:rPr>
              <w:t>本地</w:t>
            </w:r>
            <w:r>
              <w:rPr>
                <w:rFonts w:hint="eastAsia" w:ascii="仿宋_GB2312" w:hAnsi="仿宋_GB2312" w:eastAsia="仿宋_GB2312" w:cs="仿宋_GB2312"/>
                <w:color w:val="auto"/>
                <w:sz w:val="21"/>
                <w:szCs w:val="21"/>
                <w:highlight w:val="none"/>
                <w:lang w:val="en-US" w:eastAsia="zh-CN"/>
              </w:rPr>
              <w:t>，没有违规跨省展业</w:t>
            </w:r>
            <w:r>
              <w:rPr>
                <w:rFonts w:hint="eastAsia" w:cs="仿宋_GB2312"/>
                <w:color w:val="auto"/>
                <w:sz w:val="21"/>
                <w:szCs w:val="21"/>
                <w:highlight w:val="none"/>
                <w:lang w:val="en-US" w:eastAsia="zh-CN"/>
              </w:rPr>
              <w:t>行为</w:t>
            </w:r>
            <w:r>
              <w:rPr>
                <w:rFonts w:hint="eastAsia" w:ascii="仿宋_GB2312" w:hAnsi="仿宋_GB2312" w:eastAsia="仿宋_GB2312" w:cs="仿宋_GB2312"/>
                <w:color w:val="auto"/>
                <w:sz w:val="21"/>
                <w:szCs w:val="21"/>
                <w:highlight w:val="none"/>
                <w:lang w:val="en-US" w:eastAsia="zh-CN"/>
              </w:rPr>
              <w:t>的得3分。</w:t>
            </w:r>
          </w:p>
          <w:p w14:paraId="633398D0">
            <w:pPr>
              <w:pStyle w:val="2"/>
              <w:spacing w:line="280" w:lineRule="exact"/>
              <w:ind w:firstLine="420" w:firstLineChars="200"/>
              <w:rPr>
                <w:rFonts w:hint="default" w:ascii="Times New Roman" w:hAnsi="Times New Roman" w:eastAsia="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4.</w:t>
            </w:r>
            <w:r>
              <w:rPr>
                <w:rFonts w:hint="eastAsia" w:ascii="仿宋_GB2312" w:hAnsi="仿宋_GB2312" w:eastAsia="仿宋_GB2312" w:cs="仿宋_GB2312"/>
                <w:color w:val="auto"/>
                <w:sz w:val="21"/>
                <w:szCs w:val="21"/>
                <w:highlight w:val="none"/>
                <w:lang w:val="en-US" w:eastAsia="zh-CN"/>
              </w:rPr>
              <w:t>专注主业</w:t>
            </w:r>
            <w:r>
              <w:rPr>
                <w:rFonts w:hint="eastAsia" w:ascii="仿宋_GB2312" w:hAnsi="仿宋_GB2312" w:eastAsia="仿宋_GB2312" w:cs="仿宋_GB2312"/>
                <w:color w:val="auto"/>
                <w:kern w:val="2"/>
                <w:sz w:val="21"/>
                <w:szCs w:val="21"/>
                <w:highlight w:val="none"/>
                <w:lang w:val="en-US" w:eastAsia="zh-CN" w:bidi="ar-SA"/>
              </w:rPr>
              <w:t>，年度收购金融不良资产投资额占新增投资额的比重</w:t>
            </w:r>
            <w:r>
              <w:rPr>
                <w:rFonts w:hint="eastAsia" w:cs="仿宋_GB2312"/>
                <w:color w:val="auto"/>
                <w:kern w:val="2"/>
                <w:sz w:val="21"/>
                <w:szCs w:val="21"/>
                <w:highlight w:val="none"/>
                <w:lang w:val="en-US" w:eastAsia="zh-CN" w:bidi="ar-SA"/>
              </w:rPr>
              <w:t>，达到</w:t>
            </w:r>
            <w:r>
              <w:rPr>
                <w:rFonts w:hint="eastAsia" w:ascii="仿宋_GB2312" w:hAnsi="仿宋_GB2312" w:eastAsia="仿宋_GB2312" w:cs="仿宋_GB2312"/>
                <w:color w:val="auto"/>
                <w:kern w:val="2"/>
                <w:sz w:val="21"/>
                <w:szCs w:val="21"/>
                <w:highlight w:val="none"/>
                <w:lang w:val="en-US" w:eastAsia="zh-CN" w:bidi="ar-SA"/>
              </w:rPr>
              <w:t>35%（含）</w:t>
            </w:r>
            <w:r>
              <w:rPr>
                <w:rFonts w:hint="eastAsia" w:cs="仿宋_GB2312"/>
                <w:color w:val="auto"/>
                <w:kern w:val="2"/>
                <w:sz w:val="21"/>
                <w:szCs w:val="21"/>
                <w:highlight w:val="none"/>
                <w:lang w:val="en-US" w:eastAsia="zh-CN" w:bidi="ar-SA"/>
              </w:rPr>
              <w:t>以上</w:t>
            </w:r>
            <w:r>
              <w:rPr>
                <w:rFonts w:hint="eastAsia" w:ascii="仿宋_GB2312" w:hAnsi="仿宋_GB2312" w:eastAsia="仿宋_GB2312" w:cs="仿宋_GB2312"/>
                <w:color w:val="auto"/>
                <w:kern w:val="2"/>
                <w:sz w:val="21"/>
                <w:szCs w:val="21"/>
                <w:highlight w:val="none"/>
                <w:lang w:val="en-US" w:eastAsia="zh-CN" w:bidi="ar-SA"/>
              </w:rPr>
              <w:t>的得5分，35%</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30%（含）</w:t>
            </w:r>
            <w:r>
              <w:rPr>
                <w:rFonts w:hint="eastAsia" w:ascii="仿宋_GB2312" w:hAnsi="仿宋_GB2312" w:eastAsia="仿宋_GB2312" w:cs="仿宋_GB2312"/>
                <w:color w:val="auto"/>
                <w:kern w:val="2"/>
                <w:sz w:val="21"/>
                <w:szCs w:val="21"/>
                <w:highlight w:val="none"/>
                <w:lang w:val="en-US" w:eastAsia="zh-CN" w:bidi="ar-SA"/>
              </w:rPr>
              <w:t>的得</w:t>
            </w:r>
            <w:r>
              <w:rPr>
                <w:rFonts w:hint="eastAsia" w:cs="仿宋_GB2312"/>
                <w:color w:val="auto"/>
                <w:kern w:val="2"/>
                <w:sz w:val="21"/>
                <w:szCs w:val="21"/>
                <w:highlight w:val="none"/>
                <w:lang w:val="en-US" w:eastAsia="zh-CN" w:bidi="ar-SA"/>
              </w:rPr>
              <w:t>4</w:t>
            </w:r>
            <w:r>
              <w:rPr>
                <w:rFonts w:hint="eastAsia" w:ascii="仿宋_GB2312" w:hAnsi="仿宋_GB2312" w:eastAsia="仿宋_GB2312" w:cs="仿宋_GB2312"/>
                <w:color w:val="auto"/>
                <w:kern w:val="2"/>
                <w:sz w:val="21"/>
                <w:szCs w:val="21"/>
                <w:highlight w:val="none"/>
                <w:lang w:val="en-US" w:eastAsia="zh-CN" w:bidi="ar-SA"/>
              </w:rPr>
              <w:t>分，</w:t>
            </w:r>
            <w:r>
              <w:rPr>
                <w:rFonts w:hint="eastAsia" w:cs="仿宋_GB2312"/>
                <w:color w:val="auto"/>
                <w:kern w:val="2"/>
                <w:sz w:val="21"/>
                <w:szCs w:val="21"/>
                <w:highlight w:val="none"/>
                <w:lang w:val="en-US" w:eastAsia="zh-CN" w:bidi="ar-SA"/>
              </w:rPr>
              <w:t>30%</w:t>
            </w:r>
            <w:r>
              <w:rPr>
                <w:rFonts w:hint="eastAsia" w:ascii="仿宋_GB2312" w:hAnsi="仿宋_GB2312" w:eastAsia="仿宋_GB2312" w:cs="仿宋_GB2312"/>
                <w:color w:val="auto"/>
                <w:sz w:val="21"/>
                <w:szCs w:val="21"/>
                <w:highlight w:val="none"/>
              </w:rPr>
              <w:t>～</w:t>
            </w:r>
            <w:r>
              <w:rPr>
                <w:rFonts w:hint="eastAsia" w:cs="仿宋_GB2312"/>
                <w:color w:val="auto"/>
                <w:sz w:val="21"/>
                <w:szCs w:val="21"/>
                <w:highlight w:val="none"/>
                <w:lang w:val="en-US" w:eastAsia="zh-CN"/>
              </w:rPr>
              <w:t>25%（含）的得3分，25</w:t>
            </w:r>
            <w:r>
              <w:rPr>
                <w:rFonts w:hint="eastAsia" w:cs="仿宋_GB2312"/>
                <w:color w:val="auto"/>
                <w:kern w:val="2"/>
                <w:sz w:val="21"/>
                <w:szCs w:val="21"/>
                <w:highlight w:val="none"/>
                <w:lang w:val="en-US" w:eastAsia="zh-CN" w:bidi="ar-SA"/>
              </w:rPr>
              <w:t>%</w:t>
            </w:r>
            <w:r>
              <w:rPr>
                <w:rFonts w:hint="eastAsia" w:ascii="仿宋_GB2312" w:hAnsi="仿宋_GB2312" w:eastAsia="仿宋_GB2312" w:cs="仿宋_GB2312"/>
                <w:color w:val="auto"/>
                <w:sz w:val="21"/>
                <w:szCs w:val="21"/>
                <w:highlight w:val="none"/>
              </w:rPr>
              <w:t>～</w:t>
            </w:r>
            <w:r>
              <w:rPr>
                <w:rFonts w:hint="eastAsia" w:cs="仿宋_GB2312"/>
                <w:color w:val="auto"/>
                <w:sz w:val="21"/>
                <w:szCs w:val="21"/>
                <w:highlight w:val="none"/>
                <w:lang w:val="en-US" w:eastAsia="zh-CN"/>
              </w:rPr>
              <w:t>20%（含）的得2分，</w:t>
            </w:r>
            <w:r>
              <w:rPr>
                <w:rFonts w:hint="eastAsia" w:ascii="仿宋_GB2312" w:hAnsi="仿宋_GB2312" w:eastAsia="仿宋_GB2312" w:cs="仿宋_GB2312"/>
                <w:color w:val="auto"/>
                <w:kern w:val="2"/>
                <w:sz w:val="21"/>
                <w:szCs w:val="21"/>
                <w:highlight w:val="none"/>
                <w:lang w:val="en-US" w:eastAsia="zh-CN" w:bidi="ar-SA"/>
              </w:rPr>
              <w:t>低于</w:t>
            </w:r>
            <w:r>
              <w:rPr>
                <w:rFonts w:hint="eastAsia" w:cs="仿宋_GB2312"/>
                <w:color w:val="auto"/>
                <w:kern w:val="2"/>
                <w:sz w:val="21"/>
                <w:szCs w:val="21"/>
                <w:highlight w:val="none"/>
                <w:lang w:val="en-US" w:eastAsia="zh-CN" w:bidi="ar-SA"/>
              </w:rPr>
              <w:t>20</w:t>
            </w:r>
            <w:r>
              <w:rPr>
                <w:rFonts w:hint="eastAsia" w:ascii="仿宋_GB2312" w:hAnsi="仿宋_GB2312" w:eastAsia="仿宋_GB2312" w:cs="仿宋_GB2312"/>
                <w:color w:val="auto"/>
                <w:kern w:val="2"/>
                <w:sz w:val="21"/>
                <w:szCs w:val="21"/>
                <w:highlight w:val="none"/>
                <w:lang w:val="en-US" w:eastAsia="zh-CN" w:bidi="ar-SA"/>
              </w:rPr>
              <w:t>%的不得分。</w:t>
            </w:r>
          </w:p>
        </w:tc>
        <w:tc>
          <w:tcPr>
            <w:tcW w:w="530" w:type="dxa"/>
            <w:noWrap w:val="0"/>
            <w:vAlign w:val="center"/>
          </w:tcPr>
          <w:p w14:paraId="309B3AFB">
            <w:pPr>
              <w:spacing w:line="360" w:lineRule="exact"/>
              <w:jc w:val="center"/>
              <w:rPr>
                <w:rFonts w:hint="default" w:ascii="Times New Roman" w:hAnsi="Times New Roman" w:eastAsia="方正仿宋_GBK" w:cs="Times New Roman"/>
                <w:b/>
                <w:bCs/>
                <w:color w:val="auto"/>
                <w:sz w:val="32"/>
                <w:szCs w:val="32"/>
                <w:highlight w:val="none"/>
              </w:rPr>
            </w:pPr>
          </w:p>
        </w:tc>
        <w:tc>
          <w:tcPr>
            <w:tcW w:w="623" w:type="dxa"/>
            <w:noWrap w:val="0"/>
            <w:vAlign w:val="center"/>
          </w:tcPr>
          <w:p w14:paraId="31F33446">
            <w:pPr>
              <w:spacing w:line="360" w:lineRule="exact"/>
              <w:jc w:val="center"/>
              <w:rPr>
                <w:rFonts w:hint="default" w:ascii="Times New Roman" w:hAnsi="Times New Roman" w:eastAsia="方正仿宋_GBK" w:cs="Times New Roman"/>
                <w:b/>
                <w:bCs/>
                <w:color w:val="auto"/>
                <w:sz w:val="32"/>
                <w:szCs w:val="32"/>
                <w:highlight w:val="none"/>
              </w:rPr>
            </w:pPr>
          </w:p>
        </w:tc>
      </w:tr>
      <w:tr w14:paraId="173D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blHeader/>
        </w:trPr>
        <w:tc>
          <w:tcPr>
            <w:tcW w:w="993" w:type="dxa"/>
            <w:vMerge w:val="continue"/>
            <w:noWrap w:val="0"/>
            <w:vAlign w:val="center"/>
          </w:tcPr>
          <w:p w14:paraId="6D5001CB">
            <w:pPr>
              <w:spacing w:line="400" w:lineRule="exact"/>
              <w:jc w:val="left"/>
              <w:rPr>
                <w:rFonts w:hint="default" w:ascii="Times New Roman" w:hAnsi="Times New Roman" w:eastAsia="方正仿宋_GBK" w:cs="Times New Roman"/>
                <w:b/>
                <w:bCs/>
                <w:color w:val="auto"/>
                <w:sz w:val="32"/>
                <w:szCs w:val="32"/>
                <w:highlight w:val="none"/>
              </w:rPr>
            </w:pPr>
          </w:p>
        </w:tc>
        <w:tc>
          <w:tcPr>
            <w:tcW w:w="1690" w:type="dxa"/>
            <w:noWrap w:val="0"/>
            <w:vAlign w:val="center"/>
          </w:tcPr>
          <w:p w14:paraId="7868CD9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楷体_GB2312" w:cs="Times New Roman"/>
                <w:b/>
                <w:bCs/>
                <w:color w:val="auto"/>
                <w:sz w:val="24"/>
                <w:szCs w:val="24"/>
                <w:highlight w:val="none"/>
                <w:lang w:eastAsia="zh-CN"/>
              </w:rPr>
            </w:pPr>
            <w:r>
              <w:rPr>
                <w:rFonts w:hint="default" w:ascii="Times New Roman" w:hAnsi="Times New Roman" w:eastAsia="楷体_GB2312" w:cs="Times New Roman"/>
                <w:b/>
                <w:bCs/>
                <w:color w:val="auto"/>
                <w:sz w:val="24"/>
                <w:szCs w:val="24"/>
                <w:highlight w:val="none"/>
                <w:lang w:eastAsia="zh-CN"/>
              </w:rPr>
              <w:t>（</w:t>
            </w:r>
            <w:r>
              <w:rPr>
                <w:rFonts w:hint="default" w:ascii="Times New Roman" w:hAnsi="Times New Roman" w:eastAsia="楷体_GB2312" w:cs="Times New Roman"/>
                <w:b/>
                <w:bCs/>
                <w:color w:val="auto"/>
                <w:sz w:val="24"/>
                <w:szCs w:val="24"/>
                <w:highlight w:val="none"/>
                <w:lang w:val="en-US" w:eastAsia="zh-CN"/>
              </w:rPr>
              <w:t>8</w:t>
            </w:r>
            <w:r>
              <w:rPr>
                <w:rFonts w:hint="default" w:ascii="Times New Roman" w:hAnsi="Times New Roman" w:eastAsia="楷体_GB2312" w:cs="Times New Roman"/>
                <w:b/>
                <w:bCs/>
                <w:color w:val="auto"/>
                <w:sz w:val="24"/>
                <w:szCs w:val="24"/>
                <w:highlight w:val="none"/>
                <w:lang w:eastAsia="zh-CN"/>
              </w:rPr>
              <w:t>）信息披露</w:t>
            </w:r>
          </w:p>
        </w:tc>
        <w:tc>
          <w:tcPr>
            <w:tcW w:w="491" w:type="dxa"/>
            <w:noWrap w:val="0"/>
            <w:vAlign w:val="center"/>
          </w:tcPr>
          <w:p w14:paraId="3D0BDC1A">
            <w:pPr>
              <w:spacing w:line="400" w:lineRule="exact"/>
              <w:jc w:val="center"/>
              <w:rPr>
                <w:rFonts w:hint="default" w:ascii="Times New Roman" w:hAnsi="Times New Roman" w:eastAsia="方正仿宋_GBK" w:cs="Times New Roman"/>
                <w:b/>
                <w:bCs/>
                <w:color w:val="auto"/>
                <w:sz w:val="24"/>
                <w:szCs w:val="24"/>
                <w:highlight w:val="none"/>
                <w:lang w:val="en-US" w:eastAsia="zh-CN"/>
              </w:rPr>
            </w:pPr>
            <w:r>
              <w:rPr>
                <w:rFonts w:hint="eastAsia" w:eastAsia="方正仿宋_GBK" w:cs="Times New Roman"/>
                <w:b/>
                <w:bCs/>
                <w:color w:val="auto"/>
                <w:sz w:val="24"/>
                <w:szCs w:val="24"/>
                <w:highlight w:val="none"/>
                <w:lang w:val="en-US" w:eastAsia="zh-CN"/>
              </w:rPr>
              <w:t>3</w:t>
            </w:r>
          </w:p>
        </w:tc>
        <w:tc>
          <w:tcPr>
            <w:tcW w:w="10293" w:type="dxa"/>
            <w:noWrap w:val="0"/>
            <w:vAlign w:val="center"/>
          </w:tcPr>
          <w:p w14:paraId="55F4C639">
            <w:pPr>
              <w:pStyle w:val="2"/>
              <w:numPr>
                <w:ilvl w:val="0"/>
                <w:numId w:val="0"/>
              </w:numPr>
              <w:spacing w:line="280" w:lineRule="exact"/>
              <w:ind w:firstLine="420" w:firstLineChars="200"/>
              <w:rPr>
                <w:rFonts w:hint="eastAsia" w:ascii="Times New Roman" w:hAnsi="Times New Roman" w:eastAsia="仿宋_GB2312" w:cs="Times New Roman"/>
                <w:b w:val="0"/>
                <w:bCs w:val="0"/>
                <w:color w:val="auto"/>
                <w:kern w:val="2"/>
                <w:sz w:val="21"/>
                <w:szCs w:val="21"/>
                <w:highlight w:val="none"/>
                <w:lang w:val="en-US" w:eastAsia="zh-CN" w:bidi="ar-SA"/>
              </w:rPr>
            </w:pPr>
            <w:r>
              <w:rPr>
                <w:rFonts w:hint="eastAsia" w:ascii="Times New Roman" w:hAnsi="Times New Roman" w:eastAsia="仿宋_GB2312" w:cs="Times New Roman"/>
                <w:b w:val="0"/>
                <w:bCs w:val="0"/>
                <w:color w:val="auto"/>
                <w:kern w:val="2"/>
                <w:sz w:val="21"/>
                <w:szCs w:val="21"/>
                <w:highlight w:val="none"/>
                <w:lang w:val="en-US" w:eastAsia="zh-CN" w:bidi="ar-SA"/>
              </w:rPr>
              <w:t>1.建立并完善信息披露制度，明确内部管理职责，规范披露程序</w:t>
            </w:r>
            <w:r>
              <w:rPr>
                <w:rFonts w:hint="eastAsia" w:ascii="Times New Roman" w:hAnsi="Times New Roman" w:cs="Times New Roman"/>
                <w:b w:val="0"/>
                <w:bCs w:val="0"/>
                <w:color w:val="auto"/>
                <w:kern w:val="2"/>
                <w:sz w:val="21"/>
                <w:szCs w:val="21"/>
                <w:highlight w:val="none"/>
                <w:lang w:val="en-US" w:eastAsia="zh-CN" w:bidi="ar-SA"/>
              </w:rPr>
              <w:t>的</w:t>
            </w:r>
            <w:r>
              <w:rPr>
                <w:rFonts w:hint="eastAsia" w:ascii="Times New Roman" w:hAnsi="Times New Roman" w:eastAsia="仿宋_GB2312" w:cs="Times New Roman"/>
                <w:b w:val="0"/>
                <w:bCs w:val="0"/>
                <w:color w:val="auto"/>
                <w:kern w:val="2"/>
                <w:sz w:val="21"/>
                <w:szCs w:val="21"/>
                <w:highlight w:val="none"/>
                <w:lang w:val="en-US" w:eastAsia="zh-CN" w:bidi="ar-SA"/>
              </w:rPr>
              <w:t>得</w:t>
            </w:r>
            <w:r>
              <w:rPr>
                <w:rFonts w:hint="eastAsia" w:ascii="Times New Roman" w:hAnsi="Times New Roman" w:cs="Times New Roman"/>
                <w:b w:val="0"/>
                <w:bCs w:val="0"/>
                <w:color w:val="auto"/>
                <w:kern w:val="2"/>
                <w:sz w:val="21"/>
                <w:szCs w:val="21"/>
                <w:highlight w:val="none"/>
                <w:lang w:val="en-US" w:eastAsia="zh-CN" w:bidi="ar-SA"/>
              </w:rPr>
              <w:t>1</w:t>
            </w:r>
            <w:r>
              <w:rPr>
                <w:rFonts w:hint="eastAsia" w:ascii="Times New Roman" w:hAnsi="Times New Roman" w:eastAsia="仿宋_GB2312" w:cs="Times New Roman"/>
                <w:b w:val="0"/>
                <w:bCs w:val="0"/>
                <w:color w:val="auto"/>
                <w:kern w:val="2"/>
                <w:sz w:val="21"/>
                <w:szCs w:val="21"/>
                <w:highlight w:val="none"/>
                <w:lang w:val="en-US" w:eastAsia="zh-CN" w:bidi="ar-SA"/>
              </w:rPr>
              <w:t xml:space="preserve">分。 </w:t>
            </w:r>
          </w:p>
          <w:p w14:paraId="7CF5F7D1">
            <w:pPr>
              <w:pStyle w:val="2"/>
              <w:numPr>
                <w:ilvl w:val="0"/>
                <w:numId w:val="0"/>
              </w:numPr>
              <w:spacing w:line="280" w:lineRule="exact"/>
              <w:ind w:firstLine="420" w:firstLineChars="200"/>
              <w:rPr>
                <w:rFonts w:hint="default" w:eastAsia="仿宋"/>
                <w:color w:val="auto"/>
                <w:sz w:val="21"/>
                <w:szCs w:val="21"/>
                <w:highlight w:val="none"/>
                <w:lang w:val="en-US" w:eastAsia="zh-CN"/>
              </w:rPr>
            </w:pPr>
            <w:r>
              <w:rPr>
                <w:rFonts w:hint="eastAsia" w:ascii="Times New Roman" w:hAnsi="Times New Roman" w:eastAsia="仿宋_GB2312" w:cs="Times New Roman"/>
                <w:b w:val="0"/>
                <w:bCs w:val="0"/>
                <w:color w:val="auto"/>
                <w:kern w:val="2"/>
                <w:sz w:val="21"/>
                <w:szCs w:val="21"/>
                <w:highlight w:val="none"/>
                <w:lang w:val="en-US" w:eastAsia="zh-CN" w:bidi="ar-SA"/>
              </w:rPr>
              <w:t>2.在公司官网等媒体披露公司营业地址、联系</w:t>
            </w:r>
            <w:r>
              <w:rPr>
                <w:rFonts w:hint="eastAsia" w:ascii="Times New Roman" w:hAnsi="Times New Roman" w:cs="Times New Roman"/>
                <w:b w:val="0"/>
                <w:bCs w:val="0"/>
                <w:color w:val="auto"/>
                <w:kern w:val="2"/>
                <w:sz w:val="21"/>
                <w:szCs w:val="21"/>
                <w:highlight w:val="none"/>
                <w:lang w:val="en-US" w:eastAsia="zh-CN" w:bidi="ar-SA"/>
              </w:rPr>
              <w:t>电话</w:t>
            </w:r>
            <w:r>
              <w:rPr>
                <w:rFonts w:hint="eastAsia" w:ascii="Times New Roman" w:hAnsi="Times New Roman" w:eastAsia="仿宋_GB2312" w:cs="Times New Roman"/>
                <w:b w:val="0"/>
                <w:bCs w:val="0"/>
                <w:color w:val="auto"/>
                <w:kern w:val="2"/>
                <w:sz w:val="21"/>
                <w:szCs w:val="21"/>
                <w:highlight w:val="none"/>
                <w:lang w:val="en-US" w:eastAsia="zh-CN" w:bidi="ar-SA"/>
              </w:rPr>
              <w:t>、组织机构、监督投诉方式等，相关信息变更后在7</w:t>
            </w:r>
            <w:r>
              <w:rPr>
                <w:rFonts w:hint="eastAsia" w:ascii="Times New Roman" w:hAnsi="Times New Roman" w:cs="Times New Roman"/>
                <w:b w:val="0"/>
                <w:bCs w:val="0"/>
                <w:color w:val="auto"/>
                <w:kern w:val="2"/>
                <w:sz w:val="21"/>
                <w:szCs w:val="21"/>
                <w:highlight w:val="none"/>
                <w:lang w:val="en-US" w:eastAsia="zh-CN" w:bidi="ar-SA"/>
              </w:rPr>
              <w:t>个工作日</w:t>
            </w:r>
            <w:r>
              <w:rPr>
                <w:rFonts w:hint="eastAsia" w:ascii="Times New Roman" w:hAnsi="Times New Roman" w:eastAsia="仿宋_GB2312" w:cs="Times New Roman"/>
                <w:b w:val="0"/>
                <w:bCs w:val="0"/>
                <w:color w:val="auto"/>
                <w:kern w:val="2"/>
                <w:sz w:val="21"/>
                <w:szCs w:val="21"/>
                <w:highlight w:val="none"/>
                <w:lang w:val="en-US" w:eastAsia="zh-CN" w:bidi="ar-SA"/>
              </w:rPr>
              <w:t>内及时更新</w:t>
            </w:r>
            <w:r>
              <w:rPr>
                <w:rFonts w:hint="eastAsia" w:ascii="Times New Roman" w:hAnsi="Times New Roman" w:cs="Times New Roman"/>
                <w:b w:val="0"/>
                <w:bCs w:val="0"/>
                <w:color w:val="auto"/>
                <w:kern w:val="2"/>
                <w:sz w:val="21"/>
                <w:szCs w:val="21"/>
                <w:highlight w:val="none"/>
                <w:lang w:val="en-US" w:eastAsia="zh-CN" w:bidi="ar-SA"/>
              </w:rPr>
              <w:t>的</w:t>
            </w:r>
            <w:r>
              <w:rPr>
                <w:rFonts w:hint="eastAsia" w:ascii="Times New Roman" w:hAnsi="Times New Roman" w:eastAsia="仿宋_GB2312" w:cs="Times New Roman"/>
                <w:b w:val="0"/>
                <w:bCs w:val="0"/>
                <w:color w:val="auto"/>
                <w:kern w:val="2"/>
                <w:sz w:val="21"/>
                <w:szCs w:val="21"/>
                <w:highlight w:val="none"/>
                <w:lang w:val="en-US" w:eastAsia="zh-CN" w:bidi="ar-SA"/>
              </w:rPr>
              <w:t>得</w:t>
            </w:r>
            <w:r>
              <w:rPr>
                <w:rFonts w:hint="eastAsia" w:ascii="Times New Roman" w:hAnsi="Times New Roman" w:cs="Times New Roman"/>
                <w:b w:val="0"/>
                <w:bCs w:val="0"/>
                <w:color w:val="auto"/>
                <w:kern w:val="2"/>
                <w:sz w:val="21"/>
                <w:szCs w:val="21"/>
                <w:highlight w:val="none"/>
                <w:lang w:val="en-US" w:eastAsia="zh-CN" w:bidi="ar-SA"/>
              </w:rPr>
              <w:t>2</w:t>
            </w:r>
            <w:r>
              <w:rPr>
                <w:rFonts w:hint="eastAsia" w:ascii="Times New Roman" w:hAnsi="Times New Roman" w:eastAsia="仿宋_GB2312" w:cs="Times New Roman"/>
                <w:b w:val="0"/>
                <w:bCs w:val="0"/>
                <w:color w:val="auto"/>
                <w:kern w:val="2"/>
                <w:sz w:val="21"/>
                <w:szCs w:val="21"/>
                <w:highlight w:val="none"/>
                <w:lang w:val="en-US" w:eastAsia="zh-CN" w:bidi="ar-SA"/>
              </w:rPr>
              <w:t>分。</w:t>
            </w:r>
            <w:r>
              <w:rPr>
                <w:rFonts w:hint="eastAsia" w:ascii="Times New Roman" w:hAnsi="Times New Roman" w:cs="Times New Roman"/>
                <w:b w:val="0"/>
                <w:bCs w:val="0"/>
                <w:color w:val="auto"/>
                <w:kern w:val="2"/>
                <w:sz w:val="21"/>
                <w:szCs w:val="21"/>
                <w:highlight w:val="none"/>
                <w:lang w:val="en-US" w:eastAsia="zh-CN" w:bidi="ar-SA"/>
              </w:rPr>
              <w:t>披露内容不全或</w:t>
            </w:r>
            <w:r>
              <w:rPr>
                <w:rFonts w:hint="eastAsia" w:ascii="Times New Roman" w:hAnsi="Times New Roman" w:eastAsia="仿宋_GB2312" w:cs="Times New Roman"/>
                <w:b w:val="0"/>
                <w:bCs w:val="0"/>
                <w:color w:val="auto"/>
                <w:kern w:val="2"/>
                <w:sz w:val="21"/>
                <w:szCs w:val="21"/>
                <w:highlight w:val="none"/>
                <w:lang w:val="en-US" w:eastAsia="zh-CN" w:bidi="ar-SA"/>
              </w:rPr>
              <w:t>不及时更新的酌情扣1</w:t>
            </w:r>
            <w:r>
              <w:rPr>
                <w:rFonts w:hint="eastAsia" w:ascii="Times New Roman" w:hAnsi="Times New Roman" w:eastAsia="仿宋_GB2312" w:cs="Times New Roman"/>
                <w:color w:val="auto"/>
                <w:kern w:val="2"/>
                <w:sz w:val="21"/>
                <w:szCs w:val="21"/>
                <w:highlight w:val="none"/>
                <w:lang w:val="en-US" w:eastAsia="zh-CN" w:bidi="ar-SA"/>
              </w:rPr>
              <w:t>～</w:t>
            </w:r>
            <w:r>
              <w:rPr>
                <w:rFonts w:hint="eastAsia" w:ascii="Times New Roman" w:hAnsi="Times New Roman" w:cs="Times New Roman"/>
                <w:color w:val="auto"/>
                <w:kern w:val="2"/>
                <w:sz w:val="21"/>
                <w:szCs w:val="21"/>
                <w:highlight w:val="none"/>
                <w:lang w:val="en-US" w:eastAsia="zh-CN" w:bidi="ar-SA"/>
              </w:rPr>
              <w:t>2</w:t>
            </w:r>
            <w:r>
              <w:rPr>
                <w:rFonts w:hint="eastAsia" w:ascii="Times New Roman" w:hAnsi="Times New Roman" w:eastAsia="仿宋_GB2312" w:cs="Times New Roman"/>
                <w:b w:val="0"/>
                <w:bCs w:val="0"/>
                <w:color w:val="auto"/>
                <w:kern w:val="2"/>
                <w:sz w:val="21"/>
                <w:szCs w:val="21"/>
                <w:highlight w:val="none"/>
                <w:lang w:val="en-US" w:eastAsia="zh-CN" w:bidi="ar-SA"/>
              </w:rPr>
              <w:t>分。</w:t>
            </w:r>
          </w:p>
        </w:tc>
        <w:tc>
          <w:tcPr>
            <w:tcW w:w="530" w:type="dxa"/>
            <w:noWrap w:val="0"/>
            <w:vAlign w:val="center"/>
          </w:tcPr>
          <w:p w14:paraId="53E54B76">
            <w:pPr>
              <w:spacing w:line="360" w:lineRule="exact"/>
              <w:jc w:val="center"/>
              <w:rPr>
                <w:rFonts w:hint="default" w:ascii="Times New Roman" w:hAnsi="Times New Roman" w:eastAsia="方正仿宋_GBK" w:cs="Times New Roman"/>
                <w:b/>
                <w:bCs/>
                <w:color w:val="auto"/>
                <w:sz w:val="32"/>
                <w:szCs w:val="32"/>
                <w:highlight w:val="none"/>
              </w:rPr>
            </w:pPr>
          </w:p>
        </w:tc>
        <w:tc>
          <w:tcPr>
            <w:tcW w:w="623" w:type="dxa"/>
            <w:noWrap w:val="0"/>
            <w:vAlign w:val="center"/>
          </w:tcPr>
          <w:p w14:paraId="21C66F85">
            <w:pPr>
              <w:spacing w:line="360" w:lineRule="exact"/>
              <w:jc w:val="center"/>
              <w:rPr>
                <w:rFonts w:hint="default" w:ascii="Times New Roman" w:hAnsi="Times New Roman" w:eastAsia="方正仿宋_GBK" w:cs="Times New Roman"/>
                <w:b/>
                <w:bCs/>
                <w:color w:val="auto"/>
                <w:sz w:val="32"/>
                <w:szCs w:val="32"/>
                <w:highlight w:val="none"/>
              </w:rPr>
            </w:pPr>
          </w:p>
        </w:tc>
      </w:tr>
      <w:tr w14:paraId="1529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blHeader/>
        </w:trPr>
        <w:tc>
          <w:tcPr>
            <w:tcW w:w="993" w:type="dxa"/>
            <w:vMerge w:val="restart"/>
            <w:noWrap w:val="0"/>
            <w:vAlign w:val="center"/>
          </w:tcPr>
          <w:p w14:paraId="64826F01">
            <w:pPr>
              <w:spacing w:line="400" w:lineRule="exact"/>
              <w:jc w:val="center"/>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二、</w:t>
            </w:r>
          </w:p>
          <w:p w14:paraId="4B7CE734">
            <w:pPr>
              <w:spacing w:line="400" w:lineRule="exact"/>
              <w:jc w:val="center"/>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合规</w:t>
            </w:r>
          </w:p>
          <w:p w14:paraId="39E27CD9">
            <w:pPr>
              <w:spacing w:line="400" w:lineRule="exact"/>
              <w:jc w:val="center"/>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经营</w:t>
            </w:r>
          </w:p>
          <w:p w14:paraId="14F8D3EA">
            <w:pPr>
              <w:spacing w:line="400" w:lineRule="exact"/>
              <w:jc w:val="center"/>
              <w:rPr>
                <w:rFonts w:hint="default" w:ascii="Times New Roman" w:hAnsi="Times New Roman" w:eastAsia="方正仿宋_GBK" w:cs="Times New Roman"/>
                <w:b/>
                <w:bCs/>
                <w:color w:val="auto"/>
                <w:sz w:val="32"/>
                <w:szCs w:val="32"/>
                <w:highlight w:val="none"/>
              </w:rPr>
            </w:pPr>
            <w:r>
              <w:rPr>
                <w:rFonts w:hint="eastAsia" w:eastAsia="黑体" w:cs="Times New Roman"/>
                <w:color w:val="auto"/>
                <w:sz w:val="28"/>
                <w:szCs w:val="28"/>
                <w:highlight w:val="none"/>
                <w:lang w:val="en-US" w:eastAsia="zh-CN"/>
              </w:rPr>
              <w:t>（60</w:t>
            </w:r>
            <w:r>
              <w:rPr>
                <w:rFonts w:hint="default" w:ascii="Times New Roman" w:hAnsi="Times New Roman" w:eastAsia="黑体" w:cs="Times New Roman"/>
                <w:color w:val="auto"/>
                <w:sz w:val="28"/>
                <w:szCs w:val="28"/>
                <w:highlight w:val="none"/>
              </w:rPr>
              <w:t>分</w:t>
            </w:r>
            <w:r>
              <w:rPr>
                <w:rFonts w:hint="default" w:ascii="Times New Roman" w:hAnsi="Times New Roman" w:eastAsia="黑体" w:cs="Times New Roman"/>
                <w:color w:val="auto"/>
                <w:sz w:val="24"/>
                <w:szCs w:val="24"/>
                <w:highlight w:val="none"/>
              </w:rPr>
              <w:t>）</w:t>
            </w:r>
          </w:p>
        </w:tc>
        <w:tc>
          <w:tcPr>
            <w:tcW w:w="1690" w:type="dxa"/>
            <w:noWrap w:val="0"/>
            <w:vAlign w:val="center"/>
          </w:tcPr>
          <w:p w14:paraId="4DEA64E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楷体_GB2312" w:cs="Times New Roman"/>
                <w:b/>
                <w:bCs/>
                <w:color w:val="auto"/>
                <w:kern w:val="2"/>
                <w:sz w:val="24"/>
                <w:szCs w:val="24"/>
                <w:highlight w:val="none"/>
                <w:lang w:val="en-US" w:eastAsia="zh-CN" w:bidi="ar-SA"/>
              </w:rPr>
            </w:pPr>
            <w:r>
              <w:rPr>
                <w:rFonts w:hint="default" w:ascii="Times New Roman" w:hAnsi="Times New Roman" w:eastAsia="楷体_GB2312" w:cs="Times New Roman"/>
                <w:b/>
                <w:bCs/>
                <w:color w:val="auto"/>
                <w:sz w:val="24"/>
                <w:szCs w:val="24"/>
                <w:highlight w:val="none"/>
                <w:lang w:eastAsia="zh-CN"/>
              </w:rPr>
              <w:t>（</w:t>
            </w:r>
            <w:r>
              <w:rPr>
                <w:rFonts w:hint="default" w:ascii="Times New Roman" w:hAnsi="Times New Roman" w:eastAsia="楷体_GB2312" w:cs="Times New Roman"/>
                <w:b/>
                <w:bCs/>
                <w:color w:val="auto"/>
                <w:sz w:val="24"/>
                <w:szCs w:val="24"/>
                <w:highlight w:val="none"/>
                <w:lang w:val="en-US" w:eastAsia="zh-CN"/>
              </w:rPr>
              <w:t>9</w:t>
            </w:r>
            <w:r>
              <w:rPr>
                <w:rFonts w:hint="default" w:ascii="Times New Roman" w:hAnsi="Times New Roman" w:eastAsia="楷体_GB2312" w:cs="Times New Roman"/>
                <w:b/>
                <w:bCs/>
                <w:color w:val="auto"/>
                <w:sz w:val="24"/>
                <w:szCs w:val="24"/>
                <w:highlight w:val="none"/>
                <w:lang w:eastAsia="zh-CN"/>
              </w:rPr>
              <w:t>）纳税情况</w:t>
            </w:r>
          </w:p>
        </w:tc>
        <w:tc>
          <w:tcPr>
            <w:tcW w:w="491" w:type="dxa"/>
            <w:noWrap w:val="0"/>
            <w:vAlign w:val="center"/>
          </w:tcPr>
          <w:p w14:paraId="7D508D06">
            <w:pPr>
              <w:spacing w:line="400" w:lineRule="exact"/>
              <w:jc w:val="center"/>
              <w:rPr>
                <w:rFonts w:hint="default" w:ascii="Times New Roman" w:hAnsi="Times New Roman" w:eastAsia="方正仿宋_GBK" w:cs="Times New Roman"/>
                <w:b/>
                <w:bCs/>
                <w:color w:val="auto"/>
                <w:kern w:val="2"/>
                <w:sz w:val="24"/>
                <w:szCs w:val="24"/>
                <w:highlight w:val="none"/>
                <w:lang w:val="en-US" w:eastAsia="zh-CN" w:bidi="ar-SA"/>
              </w:rPr>
            </w:pPr>
            <w:r>
              <w:rPr>
                <w:rFonts w:hint="eastAsia" w:eastAsia="方正仿宋_GBK" w:cs="Times New Roman"/>
                <w:b/>
                <w:bCs/>
                <w:color w:val="auto"/>
                <w:kern w:val="2"/>
                <w:sz w:val="24"/>
                <w:szCs w:val="24"/>
                <w:highlight w:val="none"/>
                <w:lang w:val="en-US" w:eastAsia="zh-CN" w:bidi="ar-SA"/>
              </w:rPr>
              <w:t>2</w:t>
            </w:r>
          </w:p>
        </w:tc>
        <w:tc>
          <w:tcPr>
            <w:tcW w:w="10293" w:type="dxa"/>
            <w:noWrap w:val="0"/>
            <w:vAlign w:val="center"/>
          </w:tcPr>
          <w:p w14:paraId="03AC8E5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Times New Roman" w:hAnsi="Times New Roman" w:eastAsia="仿宋"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eastAsia="zh-CN"/>
              </w:rPr>
              <w:t>依法依规</w:t>
            </w:r>
            <w:r>
              <w:rPr>
                <w:rFonts w:hint="eastAsia" w:ascii="Times New Roman" w:hAnsi="Times New Roman" w:eastAsia="仿宋_GB2312" w:cs="Times New Roman"/>
                <w:b w:val="0"/>
                <w:bCs w:val="0"/>
                <w:color w:val="auto"/>
                <w:sz w:val="21"/>
                <w:szCs w:val="21"/>
                <w:highlight w:val="none"/>
              </w:rPr>
              <w:t>纳税</w:t>
            </w:r>
            <w:r>
              <w:rPr>
                <w:rFonts w:hint="eastAsia" w:cs="Times New Roman"/>
                <w:b w:val="0"/>
                <w:bCs w:val="0"/>
                <w:color w:val="auto"/>
                <w:sz w:val="21"/>
                <w:szCs w:val="21"/>
                <w:highlight w:val="none"/>
                <w:lang w:eastAsia="zh-CN"/>
              </w:rPr>
              <w:t>的</w:t>
            </w:r>
            <w:r>
              <w:rPr>
                <w:rFonts w:hint="eastAsia" w:eastAsia="仿宋_GB2312" w:cs="Times New Roman"/>
                <w:b w:val="0"/>
                <w:bCs w:val="0"/>
                <w:color w:val="auto"/>
                <w:sz w:val="21"/>
                <w:szCs w:val="21"/>
                <w:highlight w:val="none"/>
                <w:lang w:val="en-US" w:eastAsia="zh-CN"/>
              </w:rPr>
              <w:t>得</w:t>
            </w:r>
            <w:r>
              <w:rPr>
                <w:rFonts w:hint="eastAsia" w:cs="Times New Roman"/>
                <w:b w:val="0"/>
                <w:bCs w:val="0"/>
                <w:color w:val="auto"/>
                <w:sz w:val="21"/>
                <w:szCs w:val="21"/>
                <w:highlight w:val="none"/>
                <w:lang w:val="en-US" w:eastAsia="zh-CN"/>
              </w:rPr>
              <w:t>2</w:t>
            </w:r>
            <w:r>
              <w:rPr>
                <w:rFonts w:hint="eastAsia" w:ascii="Times New Roman" w:hAnsi="Times New Roman" w:eastAsia="仿宋_GB2312" w:cs="Times New Roman"/>
                <w:b w:val="0"/>
                <w:bCs w:val="0"/>
                <w:color w:val="auto"/>
                <w:sz w:val="21"/>
                <w:szCs w:val="21"/>
                <w:highlight w:val="none"/>
              </w:rPr>
              <w:t>分，</w:t>
            </w:r>
            <w:r>
              <w:rPr>
                <w:rFonts w:hint="eastAsia" w:ascii="Times New Roman" w:hAnsi="Times New Roman" w:eastAsia="仿宋_GB2312" w:cs="Times New Roman"/>
                <w:bCs w:val="0"/>
                <w:color w:val="auto"/>
                <w:sz w:val="21"/>
                <w:szCs w:val="21"/>
                <w:highlight w:val="none"/>
                <w:lang w:eastAsia="zh-CN"/>
              </w:rPr>
              <w:t>违反</w:t>
            </w:r>
            <w:r>
              <w:rPr>
                <w:rFonts w:hint="eastAsia" w:eastAsia="仿宋_GB2312" w:cs="Times New Roman"/>
                <w:bCs w:val="0"/>
                <w:color w:val="auto"/>
                <w:sz w:val="21"/>
                <w:szCs w:val="21"/>
                <w:highlight w:val="none"/>
                <w:lang w:eastAsia="zh-CN"/>
              </w:rPr>
              <w:t>规定</w:t>
            </w:r>
            <w:r>
              <w:rPr>
                <w:rFonts w:hint="eastAsia" w:ascii="Times New Roman" w:hAnsi="Times New Roman" w:eastAsia="仿宋_GB2312" w:cs="Times New Roman"/>
                <w:bCs w:val="0"/>
                <w:color w:val="auto"/>
                <w:sz w:val="21"/>
                <w:szCs w:val="21"/>
                <w:highlight w:val="none"/>
                <w:lang w:eastAsia="zh-CN"/>
              </w:rPr>
              <w:t>的</w:t>
            </w:r>
            <w:r>
              <w:rPr>
                <w:rFonts w:hint="eastAsia" w:eastAsia="仿宋_GB2312" w:cs="Times New Roman"/>
                <w:bCs w:val="0"/>
                <w:color w:val="auto"/>
                <w:sz w:val="21"/>
                <w:szCs w:val="21"/>
                <w:highlight w:val="none"/>
                <w:lang w:eastAsia="zh-CN"/>
              </w:rPr>
              <w:t>酌情扣</w:t>
            </w:r>
            <w:r>
              <w:rPr>
                <w:rFonts w:hint="eastAsia" w:eastAsia="仿宋_GB2312" w:cs="Times New Roman"/>
                <w:bCs w:val="0"/>
                <w:color w:val="auto"/>
                <w:sz w:val="21"/>
                <w:szCs w:val="21"/>
                <w:highlight w:val="none"/>
                <w:lang w:val="en-US" w:eastAsia="zh-CN"/>
              </w:rPr>
              <w:t>1</w:t>
            </w:r>
            <w:r>
              <w:rPr>
                <w:rFonts w:hint="eastAsia" w:ascii="Times New Roman" w:hAnsi="Times New Roman" w:eastAsia="仿宋_GB2312" w:cs="Times New Roman"/>
                <w:color w:val="auto"/>
                <w:sz w:val="21"/>
                <w:szCs w:val="21"/>
                <w:highlight w:val="none"/>
              </w:rPr>
              <w:t>～</w:t>
            </w:r>
            <w:r>
              <w:rPr>
                <w:rFonts w:hint="eastAsia" w:cs="Times New Roman"/>
                <w:color w:val="auto"/>
                <w:sz w:val="21"/>
                <w:szCs w:val="21"/>
                <w:highlight w:val="none"/>
                <w:lang w:val="en-US" w:eastAsia="zh-CN"/>
              </w:rPr>
              <w:t>2</w:t>
            </w:r>
            <w:r>
              <w:rPr>
                <w:rFonts w:hint="eastAsia" w:eastAsia="仿宋_GB2312" w:cs="Times New Roman"/>
                <w:bCs w:val="0"/>
                <w:color w:val="auto"/>
                <w:sz w:val="21"/>
                <w:szCs w:val="21"/>
                <w:highlight w:val="none"/>
                <w:lang w:eastAsia="zh-CN"/>
              </w:rPr>
              <w:t>分</w:t>
            </w:r>
            <w:r>
              <w:rPr>
                <w:rFonts w:hint="eastAsia" w:ascii="Times New Roman" w:hAnsi="Times New Roman" w:eastAsia="仿宋_GB2312" w:cs="Times New Roman"/>
                <w:bCs w:val="0"/>
                <w:color w:val="auto"/>
                <w:sz w:val="21"/>
                <w:szCs w:val="21"/>
                <w:highlight w:val="none"/>
                <w:lang w:val="en-US" w:eastAsia="zh-CN"/>
              </w:rPr>
              <w:t>。</w:t>
            </w:r>
            <w:r>
              <w:rPr>
                <w:rFonts w:hint="eastAsia" w:ascii="Times New Roman" w:hAnsi="Times New Roman" w:eastAsia="仿宋_GB2312" w:cs="Times New Roman"/>
                <w:color w:val="auto"/>
                <w:kern w:val="2"/>
                <w:sz w:val="21"/>
                <w:szCs w:val="21"/>
                <w:highlight w:val="none"/>
                <w:lang w:val="en-US" w:eastAsia="zh-CN" w:bidi="ar-SA"/>
              </w:rPr>
              <w:t>近6个月无纳税记录或“零申报”（享受国家税收优惠政策免税的除外）</w:t>
            </w:r>
            <w:r>
              <w:rPr>
                <w:rFonts w:hint="eastAsia" w:eastAsia="仿宋_GB2312" w:cs="Times New Roman"/>
                <w:color w:val="auto"/>
                <w:kern w:val="2"/>
                <w:sz w:val="21"/>
                <w:szCs w:val="21"/>
                <w:highlight w:val="none"/>
                <w:lang w:val="en-US" w:eastAsia="zh-CN" w:bidi="ar-SA"/>
              </w:rPr>
              <w:t>的，得0分。</w:t>
            </w:r>
          </w:p>
        </w:tc>
        <w:tc>
          <w:tcPr>
            <w:tcW w:w="530" w:type="dxa"/>
            <w:noWrap w:val="0"/>
            <w:vAlign w:val="center"/>
          </w:tcPr>
          <w:p w14:paraId="399927F9">
            <w:pPr>
              <w:spacing w:line="360" w:lineRule="exact"/>
              <w:jc w:val="center"/>
              <w:rPr>
                <w:rFonts w:hint="default" w:ascii="Times New Roman" w:hAnsi="Times New Roman" w:eastAsia="方正仿宋_GBK" w:cs="Times New Roman"/>
                <w:b/>
                <w:bCs/>
                <w:color w:val="auto"/>
                <w:sz w:val="32"/>
                <w:szCs w:val="32"/>
                <w:highlight w:val="none"/>
              </w:rPr>
            </w:pPr>
          </w:p>
        </w:tc>
        <w:tc>
          <w:tcPr>
            <w:tcW w:w="623" w:type="dxa"/>
            <w:noWrap w:val="0"/>
            <w:vAlign w:val="center"/>
          </w:tcPr>
          <w:p w14:paraId="746581DA">
            <w:pPr>
              <w:spacing w:line="360" w:lineRule="exact"/>
              <w:jc w:val="center"/>
              <w:rPr>
                <w:rFonts w:hint="default" w:ascii="Times New Roman" w:hAnsi="Times New Roman" w:eastAsia="方正仿宋_GBK" w:cs="Times New Roman"/>
                <w:b/>
                <w:bCs/>
                <w:color w:val="auto"/>
                <w:sz w:val="32"/>
                <w:szCs w:val="32"/>
                <w:highlight w:val="none"/>
              </w:rPr>
            </w:pPr>
          </w:p>
        </w:tc>
      </w:tr>
      <w:tr w14:paraId="60F5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tblHeader/>
        </w:trPr>
        <w:tc>
          <w:tcPr>
            <w:tcW w:w="993" w:type="dxa"/>
            <w:vMerge w:val="continue"/>
            <w:noWrap w:val="0"/>
            <w:vAlign w:val="center"/>
          </w:tcPr>
          <w:p w14:paraId="10D1F9F4">
            <w:pPr>
              <w:spacing w:line="400" w:lineRule="exact"/>
              <w:jc w:val="left"/>
              <w:rPr>
                <w:rFonts w:hint="default" w:ascii="Times New Roman" w:hAnsi="Times New Roman" w:eastAsia="方正仿宋_GBK" w:cs="Times New Roman"/>
                <w:b/>
                <w:bCs/>
                <w:color w:val="auto"/>
                <w:sz w:val="32"/>
                <w:szCs w:val="32"/>
                <w:highlight w:val="none"/>
              </w:rPr>
            </w:pPr>
          </w:p>
        </w:tc>
        <w:tc>
          <w:tcPr>
            <w:tcW w:w="1690" w:type="dxa"/>
            <w:noWrap w:val="0"/>
            <w:vAlign w:val="center"/>
          </w:tcPr>
          <w:p w14:paraId="235CAD44">
            <w:pPr>
              <w:spacing w:line="400" w:lineRule="exact"/>
              <w:jc w:val="left"/>
              <w:rPr>
                <w:rFonts w:hint="default" w:ascii="Times New Roman" w:hAnsi="Times New Roman" w:eastAsia="楷体_GB2312" w:cs="Times New Roman"/>
                <w:b/>
                <w:bCs/>
                <w:color w:val="auto"/>
                <w:kern w:val="2"/>
                <w:sz w:val="24"/>
                <w:szCs w:val="24"/>
                <w:highlight w:val="none"/>
                <w:lang w:val="en-US" w:eastAsia="zh-CN" w:bidi="ar-SA"/>
              </w:rPr>
            </w:pPr>
            <w:r>
              <w:rPr>
                <w:rFonts w:hint="default" w:ascii="Times New Roman" w:hAnsi="Times New Roman" w:eastAsia="楷体_GB2312" w:cs="Times New Roman"/>
                <w:b/>
                <w:bCs/>
                <w:color w:val="auto"/>
                <w:sz w:val="24"/>
                <w:szCs w:val="24"/>
                <w:highlight w:val="none"/>
                <w:lang w:eastAsia="zh-CN"/>
              </w:rPr>
              <w:t>（</w:t>
            </w:r>
            <w:r>
              <w:rPr>
                <w:rFonts w:hint="default" w:ascii="Times New Roman" w:hAnsi="Times New Roman" w:eastAsia="楷体_GB2312" w:cs="Times New Roman"/>
                <w:b/>
                <w:bCs/>
                <w:color w:val="auto"/>
                <w:sz w:val="24"/>
                <w:szCs w:val="24"/>
                <w:highlight w:val="none"/>
                <w:lang w:val="en-US" w:eastAsia="zh-CN"/>
              </w:rPr>
              <w:t>10</w:t>
            </w:r>
            <w:r>
              <w:rPr>
                <w:rFonts w:hint="default" w:ascii="Times New Roman" w:hAnsi="Times New Roman" w:eastAsia="楷体_GB2312" w:cs="Times New Roman"/>
                <w:b/>
                <w:bCs/>
                <w:color w:val="auto"/>
                <w:sz w:val="24"/>
                <w:szCs w:val="24"/>
                <w:highlight w:val="none"/>
                <w:lang w:eastAsia="zh-CN"/>
              </w:rPr>
              <w:t>）配合监管</w:t>
            </w:r>
          </w:p>
        </w:tc>
        <w:tc>
          <w:tcPr>
            <w:tcW w:w="491" w:type="dxa"/>
            <w:noWrap w:val="0"/>
            <w:vAlign w:val="center"/>
          </w:tcPr>
          <w:p w14:paraId="7C942367">
            <w:pPr>
              <w:spacing w:line="400" w:lineRule="exact"/>
              <w:jc w:val="center"/>
              <w:rPr>
                <w:rFonts w:hint="default" w:ascii="Times New Roman" w:hAnsi="Times New Roman" w:eastAsia="方正仿宋_GBK" w:cs="Times New Roman"/>
                <w:b/>
                <w:bCs/>
                <w:color w:val="auto"/>
                <w:kern w:val="2"/>
                <w:sz w:val="24"/>
                <w:szCs w:val="24"/>
                <w:highlight w:val="none"/>
                <w:lang w:val="en-US" w:eastAsia="zh-CN" w:bidi="ar-SA"/>
              </w:rPr>
            </w:pPr>
            <w:r>
              <w:rPr>
                <w:rFonts w:hint="eastAsia" w:eastAsia="方正仿宋_GBK" w:cs="Times New Roman"/>
                <w:b/>
                <w:bCs/>
                <w:color w:val="auto"/>
                <w:kern w:val="2"/>
                <w:sz w:val="24"/>
                <w:szCs w:val="24"/>
                <w:highlight w:val="none"/>
                <w:lang w:val="en-US" w:eastAsia="zh-CN" w:bidi="ar-SA"/>
              </w:rPr>
              <w:t>20</w:t>
            </w:r>
          </w:p>
        </w:tc>
        <w:tc>
          <w:tcPr>
            <w:tcW w:w="10293" w:type="dxa"/>
            <w:noWrap w:val="0"/>
            <w:vAlign w:val="center"/>
          </w:tcPr>
          <w:p w14:paraId="2D05A03F">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Lines="0" w:line="280" w:lineRule="exact"/>
              <w:ind w:right="0" w:rightChars="0"/>
              <w:jc w:val="both"/>
              <w:textAlignment w:val="auto"/>
              <w:outlineLvl w:val="9"/>
              <w:rPr>
                <w:rFonts w:hint="eastAsia" w:ascii="Times New Roman" w:hAnsi="Times New Roman" w:eastAsia="仿宋_GB2312" w:cs="Times New Roman"/>
                <w:bCs w:val="0"/>
                <w:color w:val="auto"/>
                <w:sz w:val="21"/>
                <w:szCs w:val="21"/>
                <w:highlight w:val="none"/>
                <w:lang w:val="en-US" w:eastAsia="zh-CN"/>
              </w:rPr>
            </w:pPr>
            <w:r>
              <w:rPr>
                <w:rFonts w:hint="eastAsia" w:cs="Times New Roman"/>
                <w:color w:val="auto"/>
                <w:sz w:val="21"/>
                <w:szCs w:val="21"/>
                <w:highlight w:val="none"/>
                <w:lang w:val="en-US" w:eastAsia="zh-CN"/>
              </w:rPr>
              <w:t xml:space="preserve">    1.</w:t>
            </w:r>
            <w:r>
              <w:rPr>
                <w:rFonts w:hint="eastAsia" w:eastAsia="仿宋_GB2312" w:cs="Times New Roman"/>
                <w:color w:val="auto"/>
                <w:sz w:val="21"/>
                <w:szCs w:val="21"/>
                <w:highlight w:val="none"/>
                <w:lang w:val="en-US" w:eastAsia="zh-CN"/>
              </w:rPr>
              <w:t>注册资本、业务范围、股权（股份）等事项</w:t>
            </w:r>
            <w:r>
              <w:rPr>
                <w:rFonts w:hint="eastAsia" w:cs="Times New Roman"/>
                <w:color w:val="auto"/>
                <w:sz w:val="21"/>
                <w:szCs w:val="21"/>
                <w:highlight w:val="none"/>
                <w:lang w:val="en-US" w:eastAsia="zh-CN"/>
              </w:rPr>
              <w:t>变更</w:t>
            </w:r>
            <w:r>
              <w:rPr>
                <w:rFonts w:hint="eastAsia" w:eastAsia="仿宋_GB2312" w:cs="Times New Roman"/>
                <w:color w:val="auto"/>
                <w:sz w:val="21"/>
                <w:szCs w:val="21"/>
                <w:highlight w:val="none"/>
                <w:lang w:val="en-US" w:eastAsia="zh-CN"/>
              </w:rPr>
              <w:t>事前</w:t>
            </w:r>
            <w:r>
              <w:rPr>
                <w:rFonts w:hint="eastAsia" w:cs="Times New Roman"/>
                <w:color w:val="auto"/>
                <w:sz w:val="21"/>
                <w:szCs w:val="21"/>
                <w:highlight w:val="none"/>
                <w:lang w:val="en-US" w:eastAsia="zh-CN"/>
              </w:rPr>
              <w:t>报经</w:t>
            </w:r>
            <w:r>
              <w:rPr>
                <w:rFonts w:hint="eastAsia" w:eastAsia="仿宋_GB2312" w:cs="Times New Roman"/>
                <w:color w:val="auto"/>
                <w:sz w:val="21"/>
                <w:szCs w:val="21"/>
                <w:highlight w:val="none"/>
                <w:lang w:val="en-US" w:eastAsia="zh-CN"/>
              </w:rPr>
              <w:t>监管部门</w:t>
            </w:r>
            <w:r>
              <w:rPr>
                <w:rFonts w:hint="eastAsia" w:cs="Times New Roman"/>
                <w:color w:val="auto"/>
                <w:sz w:val="21"/>
                <w:szCs w:val="21"/>
                <w:highlight w:val="none"/>
                <w:lang w:val="en-US" w:eastAsia="zh-CN"/>
              </w:rPr>
              <w:t>审批；</w:t>
            </w:r>
            <w:r>
              <w:rPr>
                <w:rFonts w:hint="eastAsia" w:ascii="Times New Roman" w:hAnsi="Times New Roman" w:eastAsia="仿宋_GB2312" w:cs="Times New Roman"/>
                <w:color w:val="auto"/>
                <w:sz w:val="21"/>
                <w:szCs w:val="21"/>
                <w:highlight w:val="none"/>
              </w:rPr>
              <w:t>名称、组织形式、</w:t>
            </w:r>
            <w:r>
              <w:rPr>
                <w:rFonts w:hint="eastAsia" w:eastAsia="仿宋_GB2312" w:cs="Times New Roman"/>
                <w:color w:val="auto"/>
                <w:sz w:val="21"/>
                <w:szCs w:val="21"/>
                <w:highlight w:val="none"/>
                <w:lang w:eastAsia="zh-CN"/>
              </w:rPr>
              <w:t>注册地址、章程、法定代表人及董监高等</w:t>
            </w:r>
            <w:r>
              <w:rPr>
                <w:rFonts w:hint="eastAsia" w:ascii="Times New Roman" w:hAnsi="Times New Roman" w:eastAsia="仿宋_GB2312" w:cs="Times New Roman"/>
                <w:color w:val="auto"/>
                <w:sz w:val="21"/>
                <w:szCs w:val="21"/>
                <w:highlight w:val="none"/>
              </w:rPr>
              <w:t>事项变更，</w:t>
            </w:r>
            <w:r>
              <w:rPr>
                <w:rFonts w:hint="eastAsia" w:eastAsia="仿宋_GB2312" w:cs="Times New Roman"/>
                <w:color w:val="auto"/>
                <w:sz w:val="21"/>
                <w:szCs w:val="21"/>
                <w:highlight w:val="none"/>
                <w:lang w:eastAsia="zh-CN"/>
              </w:rPr>
              <w:t>在变更完成后</w:t>
            </w:r>
            <w:r>
              <w:rPr>
                <w:rFonts w:hint="eastAsia" w:ascii="Times New Roman" w:hAnsi="Times New Roman" w:eastAsia="仿宋_GB2312" w:cs="Times New Roman"/>
                <w:color w:val="auto"/>
                <w:sz w:val="21"/>
                <w:szCs w:val="21"/>
                <w:highlight w:val="none"/>
                <w:lang w:val="en-US" w:eastAsia="zh-CN"/>
              </w:rPr>
              <w:t>20</w:t>
            </w:r>
            <w:r>
              <w:rPr>
                <w:rFonts w:hint="eastAsia" w:eastAsia="仿宋_GB2312" w:cs="Times New Roman"/>
                <w:color w:val="auto"/>
                <w:sz w:val="21"/>
                <w:szCs w:val="21"/>
                <w:highlight w:val="none"/>
                <w:lang w:val="en-US" w:eastAsia="zh-CN"/>
              </w:rPr>
              <w:t>个工作日内</w:t>
            </w:r>
            <w:r>
              <w:rPr>
                <w:rFonts w:hint="eastAsia" w:ascii="Times New Roman" w:hAnsi="Times New Roman" w:eastAsia="仿宋_GB2312" w:cs="Times New Roman"/>
                <w:color w:val="auto"/>
                <w:sz w:val="21"/>
                <w:szCs w:val="21"/>
                <w:highlight w:val="none"/>
              </w:rPr>
              <w:t>向监管部门</w:t>
            </w:r>
            <w:r>
              <w:rPr>
                <w:rFonts w:hint="eastAsia" w:eastAsia="仿宋_GB2312" w:cs="Times New Roman"/>
                <w:color w:val="auto"/>
                <w:sz w:val="21"/>
                <w:szCs w:val="21"/>
                <w:highlight w:val="none"/>
                <w:lang w:eastAsia="zh-CN"/>
              </w:rPr>
              <w:t>备案</w:t>
            </w:r>
            <w:r>
              <w:rPr>
                <w:rFonts w:hint="eastAsia" w:cs="Times New Roman"/>
                <w:color w:val="auto"/>
                <w:sz w:val="21"/>
                <w:szCs w:val="21"/>
                <w:highlight w:val="none"/>
                <w:lang w:eastAsia="zh-CN"/>
              </w:rPr>
              <w:t>的</w:t>
            </w:r>
            <w:r>
              <w:rPr>
                <w:rFonts w:hint="eastAsia" w:eastAsia="仿宋_GB2312" w:cs="Times New Roman"/>
                <w:b w:val="0"/>
                <w:bCs w:val="0"/>
                <w:color w:val="auto"/>
                <w:sz w:val="21"/>
                <w:szCs w:val="21"/>
                <w:highlight w:val="none"/>
                <w:lang w:val="en-US" w:eastAsia="zh-CN"/>
              </w:rPr>
              <w:t>得</w:t>
            </w:r>
            <w:r>
              <w:rPr>
                <w:rFonts w:hint="eastAsia" w:cs="Times New Roman"/>
                <w:b w:val="0"/>
                <w:bCs w:val="0"/>
                <w:color w:val="auto"/>
                <w:sz w:val="21"/>
                <w:szCs w:val="21"/>
                <w:highlight w:val="none"/>
                <w:lang w:val="en-US" w:eastAsia="zh-CN"/>
              </w:rPr>
              <w:t>5</w:t>
            </w:r>
            <w:r>
              <w:rPr>
                <w:rFonts w:hint="eastAsia" w:ascii="Times New Roman" w:hAnsi="Times New Roman" w:eastAsia="仿宋_GB2312" w:cs="Times New Roman"/>
                <w:bCs w:val="0"/>
                <w:color w:val="auto"/>
                <w:sz w:val="21"/>
                <w:szCs w:val="21"/>
                <w:highlight w:val="none"/>
              </w:rPr>
              <w:t>分</w:t>
            </w:r>
            <w:r>
              <w:rPr>
                <w:rFonts w:hint="eastAsia" w:ascii="Times New Roman" w:hAnsi="Times New Roman" w:cs="Times New Roman"/>
                <w:bCs w:val="0"/>
                <w:color w:val="auto"/>
                <w:sz w:val="21"/>
                <w:szCs w:val="21"/>
                <w:highlight w:val="none"/>
                <w:lang w:eastAsia="zh-CN"/>
              </w:rPr>
              <w:t>；</w:t>
            </w:r>
            <w:r>
              <w:rPr>
                <w:rFonts w:hint="eastAsia" w:eastAsia="仿宋_GB2312" w:cs="Times New Roman"/>
                <w:bCs w:val="0"/>
                <w:color w:val="auto"/>
                <w:sz w:val="21"/>
                <w:szCs w:val="21"/>
                <w:highlight w:val="none"/>
                <w:lang w:val="en-US" w:eastAsia="zh-CN"/>
              </w:rPr>
              <w:t>否则</w:t>
            </w:r>
            <w:r>
              <w:rPr>
                <w:rFonts w:hint="eastAsia" w:cs="Times New Roman"/>
                <w:bCs w:val="0"/>
                <w:color w:val="auto"/>
                <w:sz w:val="21"/>
                <w:szCs w:val="21"/>
                <w:highlight w:val="none"/>
                <w:lang w:val="en-US" w:eastAsia="zh-CN"/>
              </w:rPr>
              <w:t>酌情扣1</w:t>
            </w:r>
            <w:r>
              <w:rPr>
                <w:rFonts w:hint="eastAsia" w:ascii="Times New Roman" w:hAnsi="Times New Roman" w:eastAsia="仿宋_GB2312" w:cs="Times New Roman"/>
                <w:color w:val="auto"/>
                <w:kern w:val="2"/>
                <w:sz w:val="21"/>
                <w:szCs w:val="21"/>
                <w:highlight w:val="none"/>
                <w:lang w:val="en-US" w:eastAsia="zh-CN" w:bidi="ar-SA"/>
              </w:rPr>
              <w:t>～</w:t>
            </w:r>
            <w:r>
              <w:rPr>
                <w:rFonts w:hint="eastAsia" w:cs="Times New Roman"/>
                <w:bCs w:val="0"/>
                <w:color w:val="auto"/>
                <w:sz w:val="21"/>
                <w:szCs w:val="21"/>
                <w:highlight w:val="none"/>
                <w:lang w:val="en-US" w:eastAsia="zh-CN"/>
              </w:rPr>
              <w:t>5分</w:t>
            </w:r>
            <w:r>
              <w:rPr>
                <w:rFonts w:hint="eastAsia" w:ascii="Times New Roman" w:hAnsi="Times New Roman" w:eastAsia="仿宋_GB2312" w:cs="Times New Roman"/>
                <w:bCs w:val="0"/>
                <w:color w:val="auto"/>
                <w:sz w:val="21"/>
                <w:szCs w:val="21"/>
                <w:highlight w:val="none"/>
                <w:lang w:val="en-US" w:eastAsia="zh-CN"/>
              </w:rPr>
              <w:t>。</w:t>
            </w:r>
          </w:p>
          <w:p w14:paraId="6F4FF193">
            <w:pPr>
              <w:pStyle w:val="2"/>
              <w:keepNext w:val="0"/>
              <w:keepLines w:val="0"/>
              <w:pageBreakBefore w:val="0"/>
              <w:widowControl w:val="0"/>
              <w:kinsoku/>
              <w:wordWrap/>
              <w:overflowPunct/>
              <w:topLinePunct w:val="0"/>
              <w:autoSpaceDE/>
              <w:autoSpaceDN/>
              <w:bidi w:val="0"/>
              <w:adjustRightInd/>
              <w:snapToGrid/>
              <w:spacing w:beforeLines="0" w:afterLines="0" w:line="280" w:lineRule="exact"/>
              <w:ind w:right="0" w:rightChars="0" w:firstLine="420" w:firstLineChars="200"/>
              <w:jc w:val="both"/>
              <w:textAlignment w:val="auto"/>
              <w:outlineLvl w:val="9"/>
              <w:rPr>
                <w:rFonts w:hint="eastAsia" w:ascii="Times New Roman" w:hAnsi="Times New Roman" w:eastAsia="仿宋_GB2312" w:cs="Times New Roman"/>
                <w:bCs w:val="0"/>
                <w:color w:val="auto"/>
                <w:sz w:val="21"/>
                <w:szCs w:val="21"/>
                <w:highlight w:val="none"/>
                <w:lang w:val="en-US" w:eastAsia="zh-CN"/>
              </w:rPr>
            </w:pPr>
            <w:r>
              <w:rPr>
                <w:rFonts w:hint="eastAsia" w:ascii="Times New Roman" w:hAnsi="Times New Roman" w:cs="Times New Roman"/>
                <w:bCs w:val="0"/>
                <w:color w:val="auto"/>
                <w:kern w:val="2"/>
                <w:sz w:val="21"/>
                <w:szCs w:val="21"/>
                <w:highlight w:val="none"/>
                <w:lang w:val="en-US" w:eastAsia="zh-CN" w:bidi="ar-SA"/>
              </w:rPr>
              <w:t>2</w:t>
            </w:r>
            <w:r>
              <w:rPr>
                <w:rFonts w:hint="eastAsia" w:ascii="Times New Roman" w:hAnsi="Times New Roman" w:eastAsia="仿宋_GB2312" w:cs="Times New Roman"/>
                <w:bCs w:val="0"/>
                <w:color w:val="auto"/>
                <w:kern w:val="2"/>
                <w:sz w:val="21"/>
                <w:szCs w:val="21"/>
                <w:highlight w:val="none"/>
                <w:lang w:val="en-US" w:eastAsia="zh-CN" w:bidi="ar-SA"/>
              </w:rPr>
              <w:t>.对审计、检查</w:t>
            </w:r>
            <w:r>
              <w:rPr>
                <w:rFonts w:hint="eastAsia" w:ascii="Times New Roman" w:hAnsi="Times New Roman" w:cs="Times New Roman"/>
                <w:bCs w:val="0"/>
                <w:color w:val="auto"/>
                <w:kern w:val="2"/>
                <w:sz w:val="21"/>
                <w:szCs w:val="21"/>
                <w:highlight w:val="none"/>
                <w:lang w:val="en-US" w:eastAsia="zh-CN" w:bidi="ar-SA"/>
              </w:rPr>
              <w:t>中</w:t>
            </w:r>
            <w:r>
              <w:rPr>
                <w:rFonts w:hint="eastAsia" w:ascii="Times New Roman" w:hAnsi="Times New Roman" w:eastAsia="仿宋_GB2312" w:cs="Times New Roman"/>
                <w:bCs w:val="0"/>
                <w:color w:val="auto"/>
                <w:kern w:val="2"/>
                <w:sz w:val="21"/>
                <w:szCs w:val="21"/>
                <w:highlight w:val="none"/>
                <w:lang w:val="en-US" w:eastAsia="zh-CN" w:bidi="ar-SA"/>
              </w:rPr>
              <w:t>发现</w:t>
            </w:r>
            <w:r>
              <w:rPr>
                <w:rFonts w:hint="eastAsia" w:ascii="Times New Roman" w:hAnsi="Times New Roman" w:cs="Times New Roman"/>
                <w:bCs w:val="0"/>
                <w:color w:val="auto"/>
                <w:kern w:val="2"/>
                <w:sz w:val="21"/>
                <w:szCs w:val="21"/>
                <w:highlight w:val="none"/>
                <w:lang w:val="en-US" w:eastAsia="zh-CN" w:bidi="ar-SA"/>
              </w:rPr>
              <w:t>或</w:t>
            </w:r>
            <w:r>
              <w:rPr>
                <w:rFonts w:hint="eastAsia" w:eastAsia="仿宋_GB2312" w:cs="Times New Roman"/>
                <w:b w:val="0"/>
                <w:bCs w:val="0"/>
                <w:color w:val="auto"/>
                <w:sz w:val="21"/>
                <w:szCs w:val="21"/>
                <w:highlight w:val="none"/>
                <w:lang w:val="en-US" w:eastAsia="zh-CN"/>
              </w:rPr>
              <w:t>监管督办</w:t>
            </w:r>
            <w:r>
              <w:rPr>
                <w:rFonts w:hint="eastAsia" w:ascii="Times New Roman" w:hAnsi="Times New Roman" w:eastAsia="仿宋_GB2312" w:cs="Times New Roman"/>
                <w:b w:val="0"/>
                <w:bCs w:val="0"/>
                <w:color w:val="auto"/>
                <w:sz w:val="21"/>
                <w:szCs w:val="21"/>
                <w:highlight w:val="none"/>
              </w:rPr>
              <w:t>函</w:t>
            </w:r>
            <w:r>
              <w:rPr>
                <w:rFonts w:hint="eastAsia" w:ascii="Times New Roman" w:hAnsi="Times New Roman" w:cs="Times New Roman"/>
                <w:b w:val="0"/>
                <w:bCs w:val="0"/>
                <w:color w:val="auto"/>
                <w:sz w:val="21"/>
                <w:szCs w:val="21"/>
                <w:highlight w:val="none"/>
                <w:lang w:val="en-US" w:eastAsia="zh-CN"/>
              </w:rPr>
              <w:t>中指出</w:t>
            </w:r>
            <w:r>
              <w:rPr>
                <w:rFonts w:hint="eastAsia" w:ascii="Times New Roman" w:hAnsi="Times New Roman" w:eastAsia="仿宋_GB2312" w:cs="Times New Roman"/>
                <w:bCs w:val="0"/>
                <w:color w:val="auto"/>
                <w:kern w:val="2"/>
                <w:sz w:val="21"/>
                <w:szCs w:val="21"/>
                <w:highlight w:val="none"/>
                <w:lang w:val="en-US" w:eastAsia="zh-CN" w:bidi="ar-SA"/>
              </w:rPr>
              <w:t>的各项问题，</w:t>
            </w:r>
            <w:r>
              <w:rPr>
                <w:rFonts w:hint="eastAsia" w:ascii="Times New Roman" w:hAnsi="Times New Roman" w:cs="Times New Roman"/>
                <w:bCs w:val="0"/>
                <w:color w:val="auto"/>
                <w:kern w:val="2"/>
                <w:sz w:val="21"/>
                <w:szCs w:val="21"/>
                <w:highlight w:val="none"/>
                <w:lang w:val="en-US" w:eastAsia="zh-CN" w:bidi="ar-SA"/>
              </w:rPr>
              <w:t>在要求的</w:t>
            </w:r>
            <w:r>
              <w:rPr>
                <w:rFonts w:hint="eastAsia" w:ascii="Times New Roman" w:hAnsi="Times New Roman" w:eastAsia="仿宋_GB2312" w:cs="Times New Roman"/>
                <w:bCs w:val="0"/>
                <w:color w:val="auto"/>
                <w:kern w:val="2"/>
                <w:sz w:val="21"/>
                <w:szCs w:val="21"/>
                <w:highlight w:val="none"/>
                <w:lang w:val="en-US" w:eastAsia="zh-CN" w:bidi="ar-SA"/>
              </w:rPr>
              <w:t>整改时限内全部完成整改</w:t>
            </w:r>
            <w:r>
              <w:rPr>
                <w:rFonts w:hint="eastAsia" w:ascii="Times New Roman" w:hAnsi="Times New Roman" w:cs="Times New Roman"/>
                <w:bCs w:val="0"/>
                <w:color w:val="auto"/>
                <w:kern w:val="2"/>
                <w:sz w:val="21"/>
                <w:szCs w:val="21"/>
                <w:highlight w:val="none"/>
                <w:lang w:val="en-US" w:eastAsia="zh-CN" w:bidi="ar-SA"/>
              </w:rPr>
              <w:t>的</w:t>
            </w:r>
            <w:r>
              <w:rPr>
                <w:rFonts w:hint="eastAsia" w:ascii="Times New Roman" w:hAnsi="Times New Roman" w:eastAsia="仿宋_GB2312" w:cs="Times New Roman"/>
                <w:bCs w:val="0"/>
                <w:color w:val="auto"/>
                <w:kern w:val="2"/>
                <w:sz w:val="21"/>
                <w:szCs w:val="21"/>
                <w:highlight w:val="none"/>
                <w:lang w:val="en-US" w:eastAsia="zh-CN" w:bidi="ar-SA"/>
              </w:rPr>
              <w:t>得</w:t>
            </w:r>
            <w:r>
              <w:rPr>
                <w:rFonts w:hint="eastAsia" w:ascii="Times New Roman" w:hAnsi="Times New Roman" w:cs="Times New Roman"/>
                <w:bCs w:val="0"/>
                <w:color w:val="auto"/>
                <w:kern w:val="2"/>
                <w:sz w:val="21"/>
                <w:szCs w:val="21"/>
                <w:highlight w:val="none"/>
                <w:lang w:val="en-US" w:eastAsia="zh-CN" w:bidi="ar-SA"/>
              </w:rPr>
              <w:t>5</w:t>
            </w:r>
            <w:r>
              <w:rPr>
                <w:rFonts w:hint="eastAsia" w:ascii="Times New Roman" w:hAnsi="Times New Roman" w:eastAsia="仿宋_GB2312" w:cs="Times New Roman"/>
                <w:bCs w:val="0"/>
                <w:color w:val="auto"/>
                <w:kern w:val="2"/>
                <w:sz w:val="21"/>
                <w:szCs w:val="21"/>
                <w:highlight w:val="none"/>
                <w:lang w:val="en-US" w:eastAsia="zh-CN" w:bidi="ar-SA"/>
              </w:rPr>
              <w:t>分</w:t>
            </w:r>
            <w:r>
              <w:rPr>
                <w:rFonts w:hint="eastAsia" w:ascii="Times New Roman" w:hAnsi="Times New Roman" w:cs="Times New Roman"/>
                <w:bCs w:val="0"/>
                <w:color w:val="auto"/>
                <w:kern w:val="2"/>
                <w:sz w:val="21"/>
                <w:szCs w:val="21"/>
                <w:highlight w:val="none"/>
                <w:lang w:val="en-US" w:eastAsia="zh-CN" w:bidi="ar-SA"/>
              </w:rPr>
              <w:t>；</w:t>
            </w:r>
            <w:r>
              <w:rPr>
                <w:rFonts w:hint="eastAsia" w:ascii="Times New Roman" w:hAnsi="Times New Roman" w:eastAsia="仿宋_GB2312" w:cs="Times New Roman"/>
                <w:bCs w:val="0"/>
                <w:color w:val="auto"/>
                <w:kern w:val="2"/>
                <w:sz w:val="21"/>
                <w:szCs w:val="21"/>
                <w:highlight w:val="none"/>
                <w:lang w:val="en-US" w:eastAsia="zh-CN" w:bidi="ar-SA"/>
              </w:rPr>
              <w:t>持续整改并明确阶段性整改措施的得</w:t>
            </w:r>
            <w:r>
              <w:rPr>
                <w:rFonts w:hint="eastAsia" w:ascii="Times New Roman" w:hAnsi="Times New Roman" w:cs="Times New Roman"/>
                <w:bCs w:val="0"/>
                <w:color w:val="auto"/>
                <w:kern w:val="2"/>
                <w:sz w:val="21"/>
                <w:szCs w:val="21"/>
                <w:highlight w:val="none"/>
                <w:lang w:val="en-US" w:eastAsia="zh-CN" w:bidi="ar-SA"/>
              </w:rPr>
              <w:t>3</w:t>
            </w:r>
            <w:r>
              <w:rPr>
                <w:rFonts w:hint="eastAsia" w:ascii="Times New Roman" w:hAnsi="Times New Roman" w:eastAsia="仿宋_GB2312" w:cs="Times New Roman"/>
                <w:bCs w:val="0"/>
                <w:color w:val="auto"/>
                <w:kern w:val="2"/>
                <w:sz w:val="21"/>
                <w:szCs w:val="21"/>
                <w:highlight w:val="none"/>
                <w:lang w:val="en-US" w:eastAsia="zh-CN" w:bidi="ar-SA"/>
              </w:rPr>
              <w:t>分</w:t>
            </w:r>
            <w:r>
              <w:rPr>
                <w:rFonts w:hint="eastAsia" w:ascii="Times New Roman" w:hAnsi="Times New Roman" w:cs="Times New Roman"/>
                <w:bCs w:val="0"/>
                <w:color w:val="auto"/>
                <w:kern w:val="2"/>
                <w:sz w:val="21"/>
                <w:szCs w:val="21"/>
                <w:highlight w:val="none"/>
                <w:lang w:val="en-US" w:eastAsia="zh-CN" w:bidi="ar-SA"/>
              </w:rPr>
              <w:t>；</w:t>
            </w:r>
            <w:r>
              <w:rPr>
                <w:rFonts w:hint="eastAsia" w:ascii="Times New Roman" w:hAnsi="Times New Roman" w:eastAsia="仿宋_GB2312" w:cs="Times New Roman"/>
                <w:bCs w:val="0"/>
                <w:color w:val="auto"/>
                <w:kern w:val="2"/>
                <w:sz w:val="21"/>
                <w:szCs w:val="21"/>
                <w:highlight w:val="none"/>
                <w:lang w:val="en-US" w:eastAsia="zh-CN" w:bidi="ar-SA"/>
              </w:rPr>
              <w:t>未做整改</w:t>
            </w:r>
            <w:r>
              <w:rPr>
                <w:rFonts w:hint="eastAsia" w:ascii="Times New Roman" w:hAnsi="Times New Roman" w:cs="Times New Roman"/>
                <w:bCs w:val="0"/>
                <w:color w:val="auto"/>
                <w:kern w:val="2"/>
                <w:sz w:val="21"/>
                <w:szCs w:val="21"/>
                <w:highlight w:val="none"/>
                <w:lang w:val="en-US" w:eastAsia="zh-CN" w:bidi="ar-SA"/>
              </w:rPr>
              <w:t>，或者问题出现反弹、反复的不</w:t>
            </w:r>
            <w:r>
              <w:rPr>
                <w:rFonts w:hint="eastAsia" w:ascii="Times New Roman" w:hAnsi="Times New Roman" w:eastAsia="仿宋_GB2312" w:cs="Times New Roman"/>
                <w:bCs w:val="0"/>
                <w:color w:val="auto"/>
                <w:kern w:val="2"/>
                <w:sz w:val="21"/>
                <w:szCs w:val="21"/>
                <w:highlight w:val="none"/>
                <w:lang w:val="en-US" w:eastAsia="zh-CN" w:bidi="ar-SA"/>
              </w:rPr>
              <w:t>得分。</w:t>
            </w:r>
          </w:p>
          <w:p w14:paraId="597C73D5">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Lines="0" w:line="280" w:lineRule="exact"/>
              <w:ind w:left="0" w:leftChars="0" w:right="0" w:rightChars="0" w:firstLine="420" w:firstLineChars="200"/>
              <w:jc w:val="both"/>
              <w:textAlignment w:val="auto"/>
              <w:outlineLvl w:val="9"/>
              <w:rPr>
                <w:rFonts w:hint="eastAsia" w:ascii="Times New Roman" w:hAnsi="Times New Roman" w:eastAsia="仿宋_GB2312" w:cs="Times New Roman"/>
                <w:color w:val="auto"/>
                <w:sz w:val="21"/>
                <w:szCs w:val="21"/>
                <w:highlight w:val="none"/>
              </w:rPr>
            </w:pPr>
            <w:r>
              <w:rPr>
                <w:rFonts w:hint="eastAsia" w:ascii="Times New Roman" w:hAnsi="Times New Roman" w:cs="Times New Roman"/>
                <w:color w:val="auto"/>
                <w:sz w:val="21"/>
                <w:szCs w:val="21"/>
                <w:highlight w:val="none"/>
                <w:lang w:val="en-US" w:eastAsia="zh-CN"/>
              </w:rPr>
              <w:t>3</w:t>
            </w:r>
            <w:r>
              <w:rPr>
                <w:rFonts w:hint="eastAsia" w:ascii="Times New Roman" w:hAnsi="Times New Roman" w:eastAsia="仿宋_GB2312" w:cs="Times New Roman"/>
                <w:color w:val="auto"/>
                <w:sz w:val="21"/>
                <w:szCs w:val="21"/>
                <w:highlight w:val="none"/>
                <w:lang w:val="en-US" w:eastAsia="zh-CN"/>
              </w:rPr>
              <w:t>.</w:t>
            </w:r>
            <w:r>
              <w:rPr>
                <w:rFonts w:hint="eastAsia" w:ascii="Times New Roman" w:hAnsi="Times New Roman" w:eastAsia="仿宋_GB2312" w:cs="Times New Roman"/>
                <w:color w:val="auto"/>
                <w:sz w:val="21"/>
                <w:szCs w:val="21"/>
                <w:highlight w:val="none"/>
              </w:rPr>
              <w:t>严格执行重大事项</w:t>
            </w:r>
            <w:r>
              <w:rPr>
                <w:rFonts w:hint="eastAsia" w:ascii="Times New Roman" w:hAnsi="Times New Roman" w:cs="Times New Roman"/>
                <w:color w:val="auto"/>
                <w:sz w:val="21"/>
                <w:szCs w:val="21"/>
                <w:highlight w:val="none"/>
                <w:lang w:eastAsia="zh-CN"/>
              </w:rPr>
              <w:t>和突发事件</w:t>
            </w:r>
            <w:r>
              <w:rPr>
                <w:rFonts w:hint="eastAsia" w:ascii="Times New Roman" w:hAnsi="Times New Roman" w:eastAsia="仿宋_GB2312" w:cs="Times New Roman"/>
                <w:color w:val="auto"/>
                <w:sz w:val="21"/>
                <w:szCs w:val="21"/>
                <w:highlight w:val="none"/>
              </w:rPr>
              <w:t>报告制度，及时向监管部门报送重大事项信息</w:t>
            </w:r>
            <w:r>
              <w:rPr>
                <w:rFonts w:hint="eastAsia" w:ascii="Times New Roman" w:hAnsi="Times New Roman" w:cs="Times New Roman"/>
                <w:color w:val="auto"/>
                <w:sz w:val="21"/>
                <w:szCs w:val="21"/>
                <w:highlight w:val="none"/>
                <w:lang w:eastAsia="zh-CN"/>
              </w:rPr>
              <w:t>的</w:t>
            </w:r>
            <w:r>
              <w:rPr>
                <w:rFonts w:hint="default" w:ascii="Times New Roman" w:hAnsi="Times New Roman" w:eastAsia="仿宋_GB2312" w:cs="Times New Roman"/>
                <w:b w:val="0"/>
                <w:bCs w:val="0"/>
                <w:color w:val="auto"/>
                <w:sz w:val="21"/>
                <w:szCs w:val="21"/>
                <w:highlight w:val="none"/>
                <w:lang w:val="en-US" w:eastAsia="zh-CN"/>
              </w:rPr>
              <w:t>得</w:t>
            </w:r>
            <w:r>
              <w:rPr>
                <w:rFonts w:hint="default" w:ascii="Times New Roman" w:hAnsi="Times New Roman" w:cs="Times New Roman"/>
                <w:b w:val="0"/>
                <w:bCs w:val="0"/>
                <w:color w:val="auto"/>
                <w:sz w:val="21"/>
                <w:szCs w:val="21"/>
                <w:highlight w:val="none"/>
                <w:lang w:val="en-US" w:eastAsia="zh-CN"/>
              </w:rPr>
              <w:t>2</w:t>
            </w:r>
            <w:r>
              <w:rPr>
                <w:rFonts w:hint="default" w:ascii="Times New Roman" w:hAnsi="Times New Roman" w:eastAsia="仿宋_GB2312" w:cs="Times New Roman"/>
                <w:bCs w:val="0"/>
                <w:color w:val="auto"/>
                <w:sz w:val="21"/>
                <w:szCs w:val="21"/>
                <w:highlight w:val="none"/>
                <w:lang w:val="en-US" w:eastAsia="zh-CN"/>
              </w:rPr>
              <w:t>分</w:t>
            </w:r>
            <w:r>
              <w:rPr>
                <w:rFonts w:hint="eastAsia" w:eastAsia="仿宋_GB2312" w:cs="Times New Roman"/>
                <w:bCs w:val="0"/>
                <w:color w:val="auto"/>
                <w:sz w:val="21"/>
                <w:szCs w:val="21"/>
                <w:highlight w:val="none"/>
                <w:lang w:eastAsia="zh-CN"/>
              </w:rPr>
              <w:t>，</w:t>
            </w:r>
            <w:r>
              <w:rPr>
                <w:rFonts w:hint="eastAsia" w:eastAsia="仿宋_GB2312" w:cs="Times New Roman"/>
                <w:b w:val="0"/>
                <w:bCs w:val="0"/>
                <w:color w:val="auto"/>
                <w:sz w:val="21"/>
                <w:szCs w:val="21"/>
                <w:highlight w:val="none"/>
                <w:lang w:val="en-US" w:eastAsia="zh-CN"/>
              </w:rPr>
              <w:t>否则</w:t>
            </w:r>
            <w:r>
              <w:rPr>
                <w:rFonts w:hint="eastAsia" w:cs="Times New Roman"/>
                <w:b w:val="0"/>
                <w:bCs w:val="0"/>
                <w:color w:val="auto"/>
                <w:sz w:val="21"/>
                <w:szCs w:val="21"/>
                <w:highlight w:val="none"/>
                <w:lang w:val="en-US" w:eastAsia="zh-CN"/>
              </w:rPr>
              <w:t>此项</w:t>
            </w:r>
            <w:r>
              <w:rPr>
                <w:rFonts w:hint="eastAsia" w:ascii="Times New Roman" w:hAnsi="Times New Roman" w:eastAsia="仿宋_GB2312" w:cs="Times New Roman"/>
                <w:bCs w:val="0"/>
                <w:color w:val="auto"/>
                <w:sz w:val="21"/>
                <w:szCs w:val="21"/>
                <w:highlight w:val="none"/>
                <w:lang w:val="en-US" w:eastAsia="zh-CN"/>
              </w:rPr>
              <w:t>不得分。</w:t>
            </w:r>
          </w:p>
          <w:p w14:paraId="7D709D82">
            <w:pPr>
              <w:pStyle w:val="2"/>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420" w:firstLineChars="200"/>
              <w:jc w:val="both"/>
              <w:textAlignment w:val="auto"/>
              <w:outlineLvl w:val="9"/>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w:t>
            </w:r>
            <w:r>
              <w:rPr>
                <w:rFonts w:hint="eastAsia" w:ascii="Times New Roman" w:hAnsi="Times New Roman" w:eastAsia="仿宋_GB2312" w:cs="Times New Roman"/>
                <w:color w:val="auto"/>
                <w:kern w:val="2"/>
                <w:sz w:val="21"/>
                <w:szCs w:val="21"/>
                <w:highlight w:val="none"/>
                <w:lang w:val="en-US" w:eastAsia="zh-CN" w:bidi="ar-SA"/>
              </w:rPr>
              <w:t>.按月报送不良资产收购业务统计表，按</w:t>
            </w:r>
            <w:r>
              <w:rPr>
                <w:rFonts w:hint="eastAsia" w:ascii="Times New Roman" w:hAnsi="Times New Roman" w:cs="Times New Roman"/>
                <w:color w:val="auto"/>
                <w:kern w:val="2"/>
                <w:sz w:val="21"/>
                <w:szCs w:val="21"/>
                <w:highlight w:val="none"/>
                <w:lang w:val="en-US" w:eastAsia="zh-CN" w:bidi="ar-SA"/>
              </w:rPr>
              <w:t>季度</w:t>
            </w:r>
            <w:r>
              <w:rPr>
                <w:rFonts w:hint="eastAsia" w:ascii="Times New Roman" w:hAnsi="Times New Roman" w:eastAsia="仿宋_GB2312" w:cs="Times New Roman"/>
                <w:color w:val="auto"/>
                <w:kern w:val="2"/>
                <w:sz w:val="21"/>
                <w:szCs w:val="21"/>
                <w:highlight w:val="none"/>
                <w:lang w:val="en-US" w:eastAsia="zh-CN" w:bidi="ar-SA"/>
              </w:rPr>
              <w:t>报送财务报表</w:t>
            </w:r>
            <w:r>
              <w:rPr>
                <w:rFonts w:hint="eastAsia" w:ascii="Times New Roman" w:hAnsi="Times New Roman" w:cs="Times New Roman"/>
                <w:color w:val="auto"/>
                <w:kern w:val="2"/>
                <w:sz w:val="21"/>
                <w:szCs w:val="21"/>
                <w:highlight w:val="none"/>
                <w:lang w:val="en-US" w:eastAsia="zh-CN" w:bidi="ar-SA"/>
              </w:rPr>
              <w:t>、</w:t>
            </w:r>
            <w:r>
              <w:rPr>
                <w:rFonts w:hint="eastAsia" w:ascii="Times New Roman" w:hAnsi="Times New Roman" w:eastAsia="仿宋_GB2312"/>
                <w:color w:val="auto"/>
                <w:kern w:val="2"/>
                <w:sz w:val="21"/>
                <w:szCs w:val="21"/>
                <w:highlight w:val="none"/>
                <w:lang w:val="en-US" w:eastAsia="zh-CN" w:bidi="ar-SA"/>
              </w:rPr>
              <w:t>地方资产管理公司监管信息表</w:t>
            </w:r>
            <w:r>
              <w:rPr>
                <w:rFonts w:hint="eastAsia" w:ascii="Times New Roman" w:hAnsi="Times New Roman"/>
                <w:color w:val="auto"/>
                <w:kern w:val="2"/>
                <w:sz w:val="21"/>
                <w:szCs w:val="21"/>
                <w:highlight w:val="none"/>
                <w:lang w:val="en-US" w:eastAsia="zh-CN" w:bidi="ar-SA"/>
              </w:rPr>
              <w:t>和经营情况报告</w:t>
            </w:r>
            <w:r>
              <w:rPr>
                <w:rFonts w:hint="eastAsia" w:ascii="Times New Roman" w:hAnsi="Times New Roman" w:eastAsia="仿宋_GB2312" w:cs="Times New Roman"/>
                <w:color w:val="auto"/>
                <w:kern w:val="2"/>
                <w:sz w:val="21"/>
                <w:szCs w:val="21"/>
                <w:highlight w:val="none"/>
                <w:lang w:val="en-US" w:eastAsia="zh-CN" w:bidi="ar-SA"/>
              </w:rPr>
              <w:t>，按年报送上年度财务会计报告和审计报告</w:t>
            </w:r>
            <w:r>
              <w:rPr>
                <w:rFonts w:hint="eastAsia" w:ascii="Times New Roman" w:hAnsi="Times New Roman" w:cs="Times New Roman"/>
                <w:color w:val="auto"/>
                <w:kern w:val="2"/>
                <w:sz w:val="21"/>
                <w:szCs w:val="21"/>
                <w:highlight w:val="none"/>
                <w:lang w:val="en-US" w:eastAsia="zh-CN" w:bidi="ar-SA"/>
              </w:rPr>
              <w:t>的</w:t>
            </w:r>
            <w:r>
              <w:rPr>
                <w:rFonts w:hint="eastAsia" w:ascii="Times New Roman" w:hAnsi="Times New Roman" w:eastAsia="仿宋_GB2312" w:cs="Times New Roman"/>
                <w:color w:val="auto"/>
                <w:kern w:val="2"/>
                <w:sz w:val="21"/>
                <w:szCs w:val="21"/>
                <w:highlight w:val="none"/>
                <w:lang w:val="en-US" w:eastAsia="zh-CN" w:bidi="ar-SA"/>
              </w:rPr>
              <w:t>得</w:t>
            </w:r>
            <w:r>
              <w:rPr>
                <w:rFonts w:hint="eastAsia" w:ascii="Times New Roman" w:hAnsi="Times New Roman" w:cs="Times New Roman"/>
                <w:color w:val="auto"/>
                <w:kern w:val="2"/>
                <w:sz w:val="21"/>
                <w:szCs w:val="21"/>
                <w:highlight w:val="none"/>
                <w:lang w:val="en-US" w:eastAsia="zh-CN" w:bidi="ar-SA"/>
              </w:rPr>
              <w:t>2</w:t>
            </w:r>
            <w:r>
              <w:rPr>
                <w:rFonts w:hint="eastAsia" w:ascii="Times New Roman" w:hAnsi="Times New Roman" w:eastAsia="仿宋_GB2312" w:cs="Times New Roman"/>
                <w:color w:val="auto"/>
                <w:kern w:val="2"/>
                <w:sz w:val="21"/>
                <w:szCs w:val="21"/>
                <w:highlight w:val="none"/>
                <w:lang w:val="en-US" w:eastAsia="zh-CN" w:bidi="ar-SA"/>
              </w:rPr>
              <w:t>分，不按时报送或提供虚假的、隐瞒重要事实的报表、报告等文件资料的</w:t>
            </w:r>
            <w:r>
              <w:rPr>
                <w:rFonts w:hint="eastAsia" w:ascii="Times New Roman" w:hAnsi="Times New Roman" w:eastAsia="仿宋_GB2312" w:cs="Times New Roman"/>
                <w:bCs w:val="0"/>
                <w:color w:val="auto"/>
                <w:kern w:val="2"/>
                <w:sz w:val="21"/>
                <w:szCs w:val="21"/>
                <w:highlight w:val="none"/>
                <w:lang w:val="en-US" w:eastAsia="zh-CN" w:bidi="ar-SA"/>
              </w:rPr>
              <w:t>酌情扣1</w:t>
            </w:r>
            <w:r>
              <w:rPr>
                <w:rFonts w:hint="eastAsia" w:ascii="Times New Roman" w:hAnsi="Times New Roman" w:eastAsia="仿宋_GB2312" w:cs="Times New Roman"/>
                <w:color w:val="auto"/>
                <w:kern w:val="2"/>
                <w:sz w:val="21"/>
                <w:szCs w:val="21"/>
                <w:highlight w:val="none"/>
                <w:lang w:val="en-US" w:eastAsia="zh-CN" w:bidi="ar-SA"/>
              </w:rPr>
              <w:t>～</w:t>
            </w:r>
            <w:r>
              <w:rPr>
                <w:rFonts w:hint="eastAsia" w:ascii="Times New Roman" w:hAnsi="Times New Roman" w:cs="Times New Roman"/>
                <w:bCs w:val="0"/>
                <w:color w:val="auto"/>
                <w:kern w:val="2"/>
                <w:sz w:val="21"/>
                <w:szCs w:val="21"/>
                <w:highlight w:val="none"/>
                <w:lang w:val="en-US" w:eastAsia="zh-CN" w:bidi="ar-SA"/>
              </w:rPr>
              <w:t>2</w:t>
            </w:r>
            <w:r>
              <w:rPr>
                <w:rFonts w:hint="eastAsia" w:ascii="Times New Roman" w:hAnsi="Times New Roman" w:eastAsia="仿宋_GB2312" w:cs="Times New Roman"/>
                <w:bCs w:val="0"/>
                <w:color w:val="auto"/>
                <w:kern w:val="2"/>
                <w:sz w:val="21"/>
                <w:szCs w:val="21"/>
                <w:highlight w:val="none"/>
                <w:lang w:val="en-US" w:eastAsia="zh-CN" w:bidi="ar-SA"/>
              </w:rPr>
              <w:t>分。</w:t>
            </w:r>
          </w:p>
          <w:p w14:paraId="37DA197A">
            <w:pPr>
              <w:pStyle w:val="2"/>
              <w:keepNext w:val="0"/>
              <w:keepLines w:val="0"/>
              <w:pageBreakBefore w:val="0"/>
              <w:widowControl w:val="0"/>
              <w:kinsoku/>
              <w:wordWrap/>
              <w:overflowPunct/>
              <w:topLinePunct w:val="0"/>
              <w:autoSpaceDE/>
              <w:autoSpaceDN/>
              <w:bidi w:val="0"/>
              <w:adjustRightInd/>
              <w:snapToGrid/>
              <w:spacing w:beforeLines="0" w:afterLines="0" w:line="280" w:lineRule="exact"/>
              <w:ind w:right="0" w:rightChars="0" w:firstLine="420" w:firstLineChars="200"/>
              <w:jc w:val="both"/>
              <w:textAlignment w:val="auto"/>
              <w:outlineLvl w:val="9"/>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5</w:t>
            </w:r>
            <w:r>
              <w:rPr>
                <w:rFonts w:hint="eastAsia" w:ascii="Times New Roman" w:hAnsi="Times New Roman" w:eastAsia="仿宋_GB2312" w:cs="Times New Roman"/>
                <w:color w:val="auto"/>
                <w:kern w:val="2"/>
                <w:sz w:val="21"/>
                <w:szCs w:val="21"/>
                <w:highlight w:val="none"/>
                <w:lang w:val="en-US" w:eastAsia="zh-CN" w:bidi="ar-SA"/>
              </w:rPr>
              <w:t>.在每批次不良资产收购工作结束后30个工作日内向地方金融</w:t>
            </w:r>
            <w:r>
              <w:rPr>
                <w:rFonts w:hint="eastAsia" w:ascii="Times New Roman" w:hAnsi="Times New Roman" w:cs="Times New Roman"/>
                <w:color w:val="auto"/>
                <w:kern w:val="2"/>
                <w:sz w:val="21"/>
                <w:szCs w:val="21"/>
                <w:highlight w:val="none"/>
                <w:lang w:val="en-US" w:eastAsia="zh-CN" w:bidi="ar-SA"/>
              </w:rPr>
              <w:t>管理</w:t>
            </w:r>
            <w:r>
              <w:rPr>
                <w:rFonts w:hint="eastAsia" w:ascii="Times New Roman" w:hAnsi="Times New Roman" w:eastAsia="仿宋_GB2312" w:cs="Times New Roman"/>
                <w:color w:val="auto"/>
                <w:kern w:val="2"/>
                <w:sz w:val="21"/>
                <w:szCs w:val="21"/>
                <w:highlight w:val="none"/>
                <w:lang w:val="en-US" w:eastAsia="zh-CN" w:bidi="ar-SA"/>
              </w:rPr>
              <w:t>部门报告完整的不良资产收购情况</w:t>
            </w:r>
            <w:r>
              <w:rPr>
                <w:rFonts w:hint="eastAsia" w:ascii="Times New Roman" w:hAnsi="Times New Roman" w:cs="Times New Roman"/>
                <w:color w:val="auto"/>
                <w:kern w:val="2"/>
                <w:sz w:val="21"/>
                <w:szCs w:val="21"/>
                <w:highlight w:val="none"/>
                <w:lang w:val="en-US" w:eastAsia="zh-CN" w:bidi="ar-SA"/>
              </w:rPr>
              <w:t>的</w:t>
            </w:r>
            <w:r>
              <w:rPr>
                <w:rFonts w:hint="eastAsia" w:ascii="Times New Roman" w:hAnsi="Times New Roman" w:eastAsia="仿宋_GB2312" w:cs="Times New Roman"/>
                <w:color w:val="auto"/>
                <w:kern w:val="2"/>
                <w:sz w:val="21"/>
                <w:szCs w:val="21"/>
                <w:highlight w:val="none"/>
                <w:lang w:val="en-US" w:eastAsia="zh-CN" w:bidi="ar-SA"/>
              </w:rPr>
              <w:t>得</w:t>
            </w:r>
            <w:r>
              <w:rPr>
                <w:rFonts w:hint="eastAsia" w:ascii="Times New Roman" w:hAnsi="Times New Roman" w:cs="Times New Roman"/>
                <w:color w:val="auto"/>
                <w:kern w:val="2"/>
                <w:sz w:val="21"/>
                <w:szCs w:val="21"/>
                <w:highlight w:val="none"/>
                <w:lang w:val="en-US" w:eastAsia="zh-CN" w:bidi="ar-SA"/>
              </w:rPr>
              <w:t>2</w:t>
            </w:r>
            <w:r>
              <w:rPr>
                <w:rFonts w:hint="eastAsia" w:ascii="Times New Roman" w:hAnsi="Times New Roman" w:eastAsia="仿宋_GB2312" w:cs="Times New Roman"/>
                <w:color w:val="auto"/>
                <w:kern w:val="2"/>
                <w:sz w:val="21"/>
                <w:szCs w:val="21"/>
                <w:highlight w:val="none"/>
                <w:lang w:val="en-US" w:eastAsia="zh-CN" w:bidi="ar-SA"/>
              </w:rPr>
              <w:t>分，</w:t>
            </w:r>
            <w:r>
              <w:rPr>
                <w:rFonts w:hint="eastAsia" w:ascii="Times New Roman" w:hAnsi="Times New Roman" w:cs="Times New Roman"/>
                <w:color w:val="auto"/>
                <w:kern w:val="2"/>
                <w:sz w:val="21"/>
                <w:szCs w:val="21"/>
                <w:highlight w:val="none"/>
                <w:lang w:val="en-US" w:eastAsia="zh-CN" w:bidi="ar-SA"/>
              </w:rPr>
              <w:t>否则</w:t>
            </w:r>
            <w:r>
              <w:rPr>
                <w:rFonts w:hint="eastAsia" w:ascii="Times New Roman" w:hAnsi="Times New Roman" w:eastAsia="仿宋_GB2312" w:cs="Times New Roman"/>
                <w:bCs w:val="0"/>
                <w:color w:val="auto"/>
                <w:kern w:val="2"/>
                <w:sz w:val="21"/>
                <w:szCs w:val="21"/>
                <w:highlight w:val="none"/>
                <w:lang w:val="en-US" w:eastAsia="zh-CN" w:bidi="ar-SA"/>
              </w:rPr>
              <w:t>酌情扣1</w:t>
            </w:r>
            <w:r>
              <w:rPr>
                <w:rFonts w:hint="eastAsia" w:ascii="Times New Roman" w:hAnsi="Times New Roman" w:eastAsia="仿宋_GB2312" w:cs="Times New Roman"/>
                <w:color w:val="auto"/>
                <w:kern w:val="2"/>
                <w:sz w:val="21"/>
                <w:szCs w:val="21"/>
                <w:highlight w:val="none"/>
                <w:lang w:val="en-US" w:eastAsia="zh-CN" w:bidi="ar-SA"/>
              </w:rPr>
              <w:t>～</w:t>
            </w:r>
            <w:r>
              <w:rPr>
                <w:rFonts w:hint="eastAsia" w:ascii="Times New Roman" w:hAnsi="Times New Roman" w:cs="Times New Roman"/>
                <w:color w:val="auto"/>
                <w:kern w:val="2"/>
                <w:sz w:val="21"/>
                <w:szCs w:val="21"/>
                <w:highlight w:val="none"/>
                <w:lang w:val="en-US" w:eastAsia="zh-CN" w:bidi="ar-SA"/>
              </w:rPr>
              <w:t>2</w:t>
            </w:r>
            <w:r>
              <w:rPr>
                <w:rFonts w:hint="eastAsia" w:ascii="Times New Roman" w:hAnsi="Times New Roman" w:eastAsia="仿宋_GB2312" w:cs="Times New Roman"/>
                <w:bCs w:val="0"/>
                <w:color w:val="auto"/>
                <w:kern w:val="2"/>
                <w:sz w:val="21"/>
                <w:szCs w:val="21"/>
                <w:highlight w:val="none"/>
                <w:lang w:val="en-US" w:eastAsia="zh-CN" w:bidi="ar-SA"/>
              </w:rPr>
              <w:t>分。</w:t>
            </w:r>
          </w:p>
          <w:p w14:paraId="000306E9">
            <w:pPr>
              <w:pStyle w:val="2"/>
              <w:keepNext w:val="0"/>
              <w:keepLines w:val="0"/>
              <w:pageBreakBefore w:val="0"/>
              <w:widowControl w:val="0"/>
              <w:kinsoku/>
              <w:wordWrap/>
              <w:overflowPunct/>
              <w:topLinePunct w:val="0"/>
              <w:autoSpaceDE/>
              <w:autoSpaceDN/>
              <w:bidi w:val="0"/>
              <w:adjustRightInd/>
              <w:snapToGrid/>
              <w:spacing w:beforeLines="0" w:afterLines="0" w:line="280" w:lineRule="exact"/>
              <w:ind w:right="0" w:rightChars="0" w:firstLine="420" w:firstLineChars="200"/>
              <w:jc w:val="both"/>
              <w:textAlignment w:val="auto"/>
              <w:outlineLvl w:val="9"/>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6</w:t>
            </w:r>
            <w:r>
              <w:rPr>
                <w:rFonts w:hint="eastAsia" w:ascii="Times New Roman" w:hAnsi="Times New Roman" w:eastAsia="仿宋_GB2312" w:cs="Times New Roman"/>
                <w:color w:val="auto"/>
                <w:kern w:val="2"/>
                <w:sz w:val="21"/>
                <w:szCs w:val="21"/>
                <w:highlight w:val="none"/>
                <w:lang w:val="en-US" w:eastAsia="zh-CN" w:bidi="ar-SA"/>
              </w:rPr>
              <w:t>.公司股东会和董事会会议议题及相关内容提前2</w:t>
            </w:r>
            <w:r>
              <w:rPr>
                <w:rFonts w:hint="eastAsia" w:ascii="Times New Roman" w:hAnsi="Times New Roman" w:cs="Times New Roman"/>
                <w:color w:val="auto"/>
                <w:kern w:val="2"/>
                <w:sz w:val="21"/>
                <w:szCs w:val="21"/>
                <w:highlight w:val="none"/>
                <w:lang w:val="en-US" w:eastAsia="zh-CN" w:bidi="ar-SA"/>
              </w:rPr>
              <w:t>个工作日</w:t>
            </w:r>
            <w:r>
              <w:rPr>
                <w:rFonts w:hint="eastAsia" w:ascii="Times New Roman" w:hAnsi="Times New Roman" w:eastAsia="仿宋_GB2312" w:cs="Times New Roman"/>
                <w:color w:val="auto"/>
                <w:kern w:val="2"/>
                <w:sz w:val="21"/>
                <w:szCs w:val="21"/>
                <w:highlight w:val="none"/>
                <w:lang w:val="en-US" w:eastAsia="zh-CN" w:bidi="ar-SA"/>
              </w:rPr>
              <w:t>书面报告地方金融</w:t>
            </w:r>
            <w:r>
              <w:rPr>
                <w:rFonts w:hint="eastAsia" w:ascii="Times New Roman" w:hAnsi="Times New Roman" w:cs="Times New Roman"/>
                <w:color w:val="auto"/>
                <w:kern w:val="2"/>
                <w:sz w:val="21"/>
                <w:szCs w:val="21"/>
                <w:highlight w:val="none"/>
                <w:lang w:val="en-US" w:eastAsia="zh-CN" w:bidi="ar-SA"/>
              </w:rPr>
              <w:t>管理</w:t>
            </w:r>
            <w:r>
              <w:rPr>
                <w:rFonts w:hint="eastAsia" w:ascii="Times New Roman" w:hAnsi="Times New Roman" w:eastAsia="仿宋_GB2312" w:cs="Times New Roman"/>
                <w:color w:val="auto"/>
                <w:kern w:val="2"/>
                <w:sz w:val="21"/>
                <w:szCs w:val="21"/>
                <w:highlight w:val="none"/>
                <w:lang w:val="en-US" w:eastAsia="zh-CN" w:bidi="ar-SA"/>
              </w:rPr>
              <w:t>部门，在会议结束后10个工作日内将会议结果报自治区地方金融监管局备案</w:t>
            </w:r>
            <w:r>
              <w:rPr>
                <w:rFonts w:hint="eastAsia" w:ascii="Times New Roman" w:hAnsi="Times New Roman" w:cs="Times New Roman"/>
                <w:color w:val="auto"/>
                <w:kern w:val="2"/>
                <w:sz w:val="21"/>
                <w:szCs w:val="21"/>
                <w:highlight w:val="none"/>
                <w:lang w:val="en-US" w:eastAsia="zh-CN" w:bidi="ar-SA"/>
              </w:rPr>
              <w:t>的</w:t>
            </w:r>
            <w:r>
              <w:rPr>
                <w:rFonts w:hint="eastAsia" w:ascii="Times New Roman" w:hAnsi="Times New Roman" w:eastAsia="仿宋_GB2312" w:cs="Times New Roman"/>
                <w:color w:val="auto"/>
                <w:kern w:val="2"/>
                <w:sz w:val="21"/>
                <w:szCs w:val="21"/>
                <w:highlight w:val="none"/>
                <w:lang w:val="en-US" w:eastAsia="zh-CN" w:bidi="ar-SA"/>
              </w:rPr>
              <w:t>得</w:t>
            </w:r>
            <w:r>
              <w:rPr>
                <w:rFonts w:hint="eastAsia" w:ascii="Times New Roman" w:hAnsi="Times New Roman" w:cs="Times New Roman"/>
                <w:color w:val="auto"/>
                <w:kern w:val="2"/>
                <w:sz w:val="21"/>
                <w:szCs w:val="21"/>
                <w:highlight w:val="none"/>
                <w:lang w:val="en-US" w:eastAsia="zh-CN" w:bidi="ar-SA"/>
              </w:rPr>
              <w:t>2</w:t>
            </w:r>
            <w:r>
              <w:rPr>
                <w:rFonts w:hint="eastAsia" w:ascii="Times New Roman" w:hAnsi="Times New Roman" w:eastAsia="仿宋_GB2312" w:cs="Times New Roman"/>
                <w:color w:val="auto"/>
                <w:kern w:val="2"/>
                <w:sz w:val="21"/>
                <w:szCs w:val="21"/>
                <w:highlight w:val="none"/>
                <w:lang w:val="en-US" w:eastAsia="zh-CN" w:bidi="ar-SA"/>
              </w:rPr>
              <w:t>分，</w:t>
            </w:r>
            <w:r>
              <w:rPr>
                <w:rFonts w:hint="eastAsia" w:ascii="Times New Roman" w:hAnsi="Times New Roman" w:cs="Times New Roman"/>
                <w:color w:val="auto"/>
                <w:kern w:val="2"/>
                <w:sz w:val="21"/>
                <w:szCs w:val="21"/>
                <w:highlight w:val="none"/>
                <w:lang w:val="en-US" w:eastAsia="zh-CN" w:bidi="ar-SA"/>
              </w:rPr>
              <w:t>否则</w:t>
            </w:r>
            <w:r>
              <w:rPr>
                <w:rFonts w:hint="eastAsia" w:ascii="Times New Roman" w:hAnsi="Times New Roman" w:eastAsia="仿宋_GB2312" w:cs="Times New Roman"/>
                <w:bCs w:val="0"/>
                <w:color w:val="auto"/>
                <w:kern w:val="2"/>
                <w:sz w:val="21"/>
                <w:szCs w:val="21"/>
                <w:highlight w:val="none"/>
                <w:lang w:val="en-US" w:eastAsia="zh-CN" w:bidi="ar-SA"/>
              </w:rPr>
              <w:t>酌情扣</w:t>
            </w:r>
            <w:r>
              <w:rPr>
                <w:rFonts w:hint="eastAsia" w:ascii="Times New Roman" w:hAnsi="Times New Roman" w:cs="Times New Roman"/>
                <w:bCs w:val="0"/>
                <w:color w:val="auto"/>
                <w:kern w:val="2"/>
                <w:sz w:val="21"/>
                <w:szCs w:val="21"/>
                <w:highlight w:val="none"/>
                <w:lang w:val="en-US" w:eastAsia="zh-CN" w:bidi="ar-SA"/>
              </w:rPr>
              <w:t>1</w:t>
            </w:r>
            <w:r>
              <w:rPr>
                <w:rFonts w:hint="eastAsia" w:ascii="Times New Roman" w:hAnsi="Times New Roman" w:eastAsia="仿宋_GB2312" w:cs="Times New Roman"/>
                <w:color w:val="auto"/>
                <w:kern w:val="2"/>
                <w:sz w:val="21"/>
                <w:szCs w:val="21"/>
                <w:highlight w:val="none"/>
                <w:lang w:val="en-US" w:eastAsia="zh-CN" w:bidi="ar-SA"/>
              </w:rPr>
              <w:t>～</w:t>
            </w:r>
            <w:r>
              <w:rPr>
                <w:rFonts w:hint="eastAsia" w:ascii="Times New Roman" w:hAnsi="Times New Roman" w:cs="Times New Roman"/>
                <w:color w:val="auto"/>
                <w:kern w:val="2"/>
                <w:sz w:val="21"/>
                <w:szCs w:val="21"/>
                <w:highlight w:val="none"/>
                <w:lang w:val="en-US" w:eastAsia="zh-CN" w:bidi="ar-SA"/>
              </w:rPr>
              <w:t>2</w:t>
            </w:r>
            <w:r>
              <w:rPr>
                <w:rFonts w:hint="eastAsia" w:ascii="Times New Roman" w:hAnsi="Times New Roman" w:eastAsia="仿宋_GB2312" w:cs="Times New Roman"/>
                <w:bCs w:val="0"/>
                <w:color w:val="auto"/>
                <w:kern w:val="2"/>
                <w:sz w:val="21"/>
                <w:szCs w:val="21"/>
                <w:highlight w:val="none"/>
                <w:lang w:val="en-US" w:eastAsia="zh-CN" w:bidi="ar-SA"/>
              </w:rPr>
              <w:t>分。</w:t>
            </w:r>
          </w:p>
          <w:p w14:paraId="52FB276E">
            <w:pPr>
              <w:pStyle w:val="2"/>
              <w:keepNext w:val="0"/>
              <w:keepLines w:val="0"/>
              <w:pageBreakBefore w:val="0"/>
              <w:widowControl w:val="0"/>
              <w:kinsoku/>
              <w:wordWrap/>
              <w:overflowPunct/>
              <w:topLinePunct w:val="0"/>
              <w:autoSpaceDE/>
              <w:autoSpaceDN/>
              <w:bidi w:val="0"/>
              <w:adjustRightInd/>
              <w:snapToGrid/>
              <w:spacing w:beforeLines="0" w:afterLines="0" w:line="280" w:lineRule="exact"/>
              <w:ind w:right="0" w:rightChars="0" w:firstLine="420" w:firstLineChars="200"/>
              <w:jc w:val="both"/>
              <w:textAlignment w:val="auto"/>
              <w:outlineLvl w:val="9"/>
              <w:rPr>
                <w:rFonts w:hint="default" w:ascii="Times New Roman" w:hAnsi="Times New Roman" w:eastAsia="仿宋" w:cs="Times New Roman"/>
                <w:bCs/>
                <w:color w:val="auto"/>
                <w:sz w:val="21"/>
                <w:szCs w:val="21"/>
                <w:highlight w:val="none"/>
                <w:lang w:val="en-US" w:eastAsia="zh-CN"/>
              </w:rPr>
            </w:pPr>
            <w:r>
              <w:rPr>
                <w:rFonts w:hint="eastAsia" w:ascii="Times New Roman" w:hAnsi="Times New Roman" w:cs="Times New Roman"/>
                <w:bCs w:val="0"/>
                <w:color w:val="auto"/>
                <w:kern w:val="2"/>
                <w:sz w:val="21"/>
                <w:szCs w:val="21"/>
                <w:highlight w:val="none"/>
                <w:lang w:val="en-US" w:eastAsia="zh-CN" w:bidi="ar-SA"/>
              </w:rPr>
              <w:t>7.建立健全风险监测、研判和预警机制，及时向地方金融管理部门报告风险隐患，适时报告风险处置进展情况的得2分，否则不得分。</w:t>
            </w:r>
          </w:p>
        </w:tc>
        <w:tc>
          <w:tcPr>
            <w:tcW w:w="530" w:type="dxa"/>
            <w:noWrap w:val="0"/>
            <w:vAlign w:val="center"/>
          </w:tcPr>
          <w:p w14:paraId="3C850448">
            <w:pPr>
              <w:spacing w:line="360" w:lineRule="exact"/>
              <w:jc w:val="center"/>
              <w:rPr>
                <w:rFonts w:hint="default" w:ascii="Times New Roman" w:hAnsi="Times New Roman" w:eastAsia="方正仿宋_GBK" w:cs="Times New Roman"/>
                <w:b/>
                <w:bCs/>
                <w:color w:val="auto"/>
                <w:sz w:val="32"/>
                <w:szCs w:val="32"/>
                <w:highlight w:val="none"/>
              </w:rPr>
            </w:pPr>
          </w:p>
        </w:tc>
        <w:tc>
          <w:tcPr>
            <w:tcW w:w="623" w:type="dxa"/>
            <w:noWrap w:val="0"/>
            <w:vAlign w:val="center"/>
          </w:tcPr>
          <w:p w14:paraId="00755CA2">
            <w:pPr>
              <w:spacing w:line="360" w:lineRule="exact"/>
              <w:jc w:val="center"/>
              <w:rPr>
                <w:rFonts w:hint="default" w:ascii="Times New Roman" w:hAnsi="Times New Roman" w:eastAsia="方正仿宋_GBK" w:cs="Times New Roman"/>
                <w:b/>
                <w:bCs/>
                <w:color w:val="auto"/>
                <w:sz w:val="32"/>
                <w:szCs w:val="32"/>
                <w:highlight w:val="none"/>
              </w:rPr>
            </w:pPr>
          </w:p>
        </w:tc>
      </w:tr>
      <w:tr w14:paraId="54AB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blHeader/>
        </w:trPr>
        <w:tc>
          <w:tcPr>
            <w:tcW w:w="993" w:type="dxa"/>
            <w:vMerge w:val="restart"/>
            <w:noWrap w:val="0"/>
            <w:vAlign w:val="center"/>
          </w:tcPr>
          <w:p w14:paraId="559C8E64">
            <w:pPr>
              <w:spacing w:line="400" w:lineRule="exact"/>
              <w:jc w:val="center"/>
              <w:rPr>
                <w:rFonts w:hint="eastAsia" w:eastAsia="黑体" w:cs="Times New Roman"/>
                <w:color w:val="auto"/>
                <w:sz w:val="28"/>
                <w:szCs w:val="28"/>
                <w:highlight w:val="none"/>
                <w:lang w:val="en-US" w:eastAsia="zh-CN"/>
              </w:rPr>
            </w:pPr>
          </w:p>
          <w:p w14:paraId="2C86D79D">
            <w:pPr>
              <w:spacing w:line="400" w:lineRule="exact"/>
              <w:jc w:val="both"/>
              <w:rPr>
                <w:rFonts w:hint="default" w:ascii="Times New Roman" w:hAnsi="Times New Roman" w:eastAsia="黑体" w:cs="Times New Roman"/>
                <w:color w:val="auto"/>
                <w:sz w:val="28"/>
                <w:szCs w:val="28"/>
                <w:highlight w:val="none"/>
              </w:rPr>
            </w:pPr>
            <w:r>
              <w:rPr>
                <w:rFonts w:hint="eastAsia"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w:t>
            </w:r>
          </w:p>
          <w:p w14:paraId="33B254BD">
            <w:pPr>
              <w:spacing w:line="40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风险</w:t>
            </w:r>
          </w:p>
          <w:p w14:paraId="2D35BC84">
            <w:pPr>
              <w:spacing w:line="400" w:lineRule="exact"/>
              <w:jc w:val="center"/>
              <w:rPr>
                <w:rFonts w:hint="eastAsia" w:ascii="Times New Roman" w:hAnsi="Times New Roman" w:eastAsia="黑体" w:cs="Times New Roman"/>
                <w:color w:val="auto"/>
                <w:sz w:val="28"/>
                <w:szCs w:val="28"/>
                <w:highlight w:val="none"/>
                <w:lang w:eastAsia="zh-CN"/>
              </w:rPr>
            </w:pPr>
            <w:r>
              <w:rPr>
                <w:rFonts w:hint="eastAsia" w:eastAsia="黑体" w:cs="Times New Roman"/>
                <w:color w:val="auto"/>
                <w:sz w:val="28"/>
                <w:szCs w:val="28"/>
                <w:highlight w:val="none"/>
                <w:lang w:eastAsia="zh-CN"/>
              </w:rPr>
              <w:t>防控</w:t>
            </w:r>
          </w:p>
          <w:p w14:paraId="6291C514">
            <w:pPr>
              <w:spacing w:line="40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szCs w:val="24"/>
                <w:highlight w:val="none"/>
              </w:rPr>
              <w:t>(</w:t>
            </w:r>
            <w:r>
              <w:rPr>
                <w:rFonts w:hint="default" w:ascii="Times New Roman" w:hAnsi="Times New Roman" w:eastAsia="黑体" w:cs="Times New Roman"/>
                <w:color w:val="auto"/>
                <w:sz w:val="24"/>
                <w:szCs w:val="24"/>
                <w:highlight w:val="none"/>
                <w:lang w:val="en-US" w:eastAsia="zh-CN"/>
              </w:rPr>
              <w:t>1</w:t>
            </w:r>
            <w:r>
              <w:rPr>
                <w:rFonts w:hint="eastAsia" w:eastAsia="黑体" w:cs="Times New Roman"/>
                <w:color w:val="auto"/>
                <w:sz w:val="24"/>
                <w:szCs w:val="24"/>
                <w:highlight w:val="none"/>
                <w:lang w:val="en-US" w:eastAsia="zh-CN"/>
              </w:rPr>
              <w:t>5</w:t>
            </w:r>
            <w:r>
              <w:rPr>
                <w:rFonts w:hint="default" w:ascii="Times New Roman" w:hAnsi="Times New Roman" w:eastAsia="黑体" w:cs="Times New Roman"/>
                <w:color w:val="auto"/>
                <w:sz w:val="24"/>
                <w:szCs w:val="24"/>
                <w:highlight w:val="none"/>
              </w:rPr>
              <w:t>分）</w:t>
            </w:r>
          </w:p>
          <w:p w14:paraId="360AFE30">
            <w:pPr>
              <w:spacing w:line="400" w:lineRule="exact"/>
              <w:jc w:val="left"/>
              <w:rPr>
                <w:rFonts w:hint="default" w:ascii="Times New Roman" w:hAnsi="Times New Roman" w:eastAsia="方正仿宋_GBK" w:cs="Times New Roman"/>
                <w:b/>
                <w:bCs/>
                <w:color w:val="auto"/>
                <w:sz w:val="32"/>
                <w:szCs w:val="32"/>
                <w:highlight w:val="none"/>
              </w:rPr>
            </w:pPr>
          </w:p>
        </w:tc>
        <w:tc>
          <w:tcPr>
            <w:tcW w:w="1690" w:type="dxa"/>
            <w:noWrap w:val="0"/>
            <w:vAlign w:val="center"/>
          </w:tcPr>
          <w:p w14:paraId="6BD77438">
            <w:pPr>
              <w:spacing w:line="400" w:lineRule="exact"/>
              <w:jc w:val="left"/>
              <w:rPr>
                <w:rFonts w:hint="default" w:ascii="Times New Roman" w:hAnsi="Times New Roman" w:eastAsia="楷体_GB2312" w:cs="Times New Roman"/>
                <w:b/>
                <w:bCs/>
                <w:color w:val="auto"/>
                <w:sz w:val="24"/>
                <w:szCs w:val="24"/>
                <w:highlight w:val="none"/>
                <w:lang w:eastAsia="zh-CN"/>
              </w:rPr>
            </w:pPr>
            <w:r>
              <w:rPr>
                <w:rFonts w:hint="default" w:ascii="Times New Roman" w:hAnsi="Times New Roman" w:eastAsia="楷体_GB2312" w:cs="Times New Roman"/>
                <w:b/>
                <w:bCs/>
                <w:color w:val="auto"/>
                <w:sz w:val="24"/>
                <w:szCs w:val="24"/>
                <w:highlight w:val="none"/>
                <w:lang w:eastAsia="zh-CN"/>
              </w:rPr>
              <w:t>（</w:t>
            </w:r>
            <w:r>
              <w:rPr>
                <w:rFonts w:hint="default" w:ascii="Times New Roman" w:hAnsi="Times New Roman" w:eastAsia="楷体_GB2312" w:cs="Times New Roman"/>
                <w:b/>
                <w:bCs/>
                <w:color w:val="auto"/>
                <w:sz w:val="24"/>
                <w:szCs w:val="24"/>
                <w:highlight w:val="none"/>
                <w:lang w:val="en-US" w:eastAsia="zh-CN"/>
              </w:rPr>
              <w:t>11</w:t>
            </w:r>
            <w:r>
              <w:rPr>
                <w:rFonts w:hint="default" w:ascii="Times New Roman" w:hAnsi="Times New Roman" w:eastAsia="楷体_GB2312" w:cs="Times New Roman"/>
                <w:b/>
                <w:bCs/>
                <w:color w:val="auto"/>
                <w:sz w:val="24"/>
                <w:szCs w:val="24"/>
                <w:highlight w:val="none"/>
                <w:lang w:eastAsia="zh-CN"/>
              </w:rPr>
              <w:t>）风控</w:t>
            </w:r>
            <w:r>
              <w:rPr>
                <w:rFonts w:hint="eastAsia" w:eastAsia="楷体_GB2312" w:cs="Times New Roman"/>
                <w:b/>
                <w:bCs/>
                <w:color w:val="auto"/>
                <w:sz w:val="24"/>
                <w:szCs w:val="24"/>
                <w:highlight w:val="none"/>
                <w:lang w:eastAsia="zh-CN"/>
              </w:rPr>
              <w:t>管理</w:t>
            </w:r>
          </w:p>
        </w:tc>
        <w:tc>
          <w:tcPr>
            <w:tcW w:w="491" w:type="dxa"/>
            <w:noWrap w:val="0"/>
            <w:vAlign w:val="center"/>
          </w:tcPr>
          <w:p w14:paraId="46F27721">
            <w:pPr>
              <w:spacing w:line="400" w:lineRule="exact"/>
              <w:jc w:val="center"/>
              <w:rPr>
                <w:rFonts w:hint="default" w:ascii="Times New Roman" w:hAnsi="Times New Roman" w:eastAsia="方正仿宋_GBK" w:cs="Times New Roman"/>
                <w:b/>
                <w:bCs/>
                <w:color w:val="auto"/>
                <w:sz w:val="24"/>
                <w:szCs w:val="24"/>
                <w:highlight w:val="none"/>
                <w:lang w:val="en-US" w:eastAsia="zh-CN"/>
              </w:rPr>
            </w:pPr>
            <w:r>
              <w:rPr>
                <w:rFonts w:hint="eastAsia" w:eastAsia="方正仿宋_GBK" w:cs="Times New Roman"/>
                <w:b/>
                <w:bCs/>
                <w:color w:val="auto"/>
                <w:sz w:val="24"/>
                <w:szCs w:val="24"/>
                <w:highlight w:val="none"/>
                <w:lang w:val="en-US" w:eastAsia="zh-CN"/>
              </w:rPr>
              <w:t>5</w:t>
            </w:r>
          </w:p>
        </w:tc>
        <w:tc>
          <w:tcPr>
            <w:tcW w:w="10293" w:type="dxa"/>
            <w:noWrap w:val="0"/>
            <w:vAlign w:val="center"/>
          </w:tcPr>
          <w:p w14:paraId="2A5A2B52">
            <w:pPr>
              <w:pStyle w:val="2"/>
              <w:spacing w:line="280" w:lineRule="exact"/>
              <w:ind w:firstLine="420" w:firstLineChars="200"/>
              <w:rPr>
                <w:rFonts w:hint="default"/>
                <w:color w:val="auto"/>
                <w:highlight w:val="none"/>
              </w:rPr>
            </w:pPr>
            <w:r>
              <w:rPr>
                <w:rFonts w:hint="eastAsia" w:ascii="Times New Roman" w:hAnsi="Times New Roman" w:eastAsia="仿宋_GB2312" w:cs="Times New Roman"/>
                <w:b w:val="0"/>
                <w:bCs w:val="0"/>
                <w:color w:val="auto"/>
                <w:kern w:val="2"/>
                <w:sz w:val="21"/>
                <w:szCs w:val="21"/>
                <w:highlight w:val="none"/>
                <w:lang w:val="en-US" w:eastAsia="zh-CN" w:bidi="ar-SA"/>
              </w:rPr>
              <w:t>制定较为全面的风控管理制度，包括建立流动性风险管理制度、投资风险管理制度、集中度风险管理制度、内部审计制度、资本管理制度、关联交易管理制度等，并能有效执行</w:t>
            </w:r>
            <w:r>
              <w:rPr>
                <w:rFonts w:hint="eastAsia" w:ascii="Times New Roman" w:hAnsi="Times New Roman" w:cs="Times New Roman"/>
                <w:b w:val="0"/>
                <w:bCs w:val="0"/>
                <w:color w:val="auto"/>
                <w:kern w:val="2"/>
                <w:sz w:val="21"/>
                <w:szCs w:val="21"/>
                <w:highlight w:val="none"/>
                <w:lang w:val="en-US" w:eastAsia="zh-CN" w:bidi="ar-SA"/>
              </w:rPr>
              <w:t>的</w:t>
            </w:r>
            <w:r>
              <w:rPr>
                <w:rFonts w:hint="eastAsia" w:ascii="Times New Roman" w:hAnsi="Times New Roman" w:eastAsia="仿宋_GB2312" w:cs="Times New Roman"/>
                <w:b w:val="0"/>
                <w:bCs w:val="0"/>
                <w:color w:val="auto"/>
                <w:kern w:val="2"/>
                <w:sz w:val="21"/>
                <w:szCs w:val="21"/>
                <w:highlight w:val="none"/>
                <w:lang w:val="en-US" w:eastAsia="zh-CN" w:bidi="ar-SA"/>
              </w:rPr>
              <w:t>得</w:t>
            </w:r>
            <w:r>
              <w:rPr>
                <w:rFonts w:hint="eastAsia" w:ascii="Times New Roman" w:hAnsi="Times New Roman" w:cs="Times New Roman"/>
                <w:b w:val="0"/>
                <w:bCs w:val="0"/>
                <w:color w:val="auto"/>
                <w:kern w:val="2"/>
                <w:sz w:val="21"/>
                <w:szCs w:val="21"/>
                <w:highlight w:val="none"/>
                <w:lang w:val="en-US" w:eastAsia="zh-CN" w:bidi="ar-SA"/>
              </w:rPr>
              <w:t>5</w:t>
            </w:r>
            <w:r>
              <w:rPr>
                <w:rFonts w:hint="eastAsia" w:ascii="Times New Roman" w:hAnsi="Times New Roman" w:eastAsia="仿宋_GB2312" w:cs="Times New Roman"/>
                <w:b w:val="0"/>
                <w:bCs w:val="0"/>
                <w:color w:val="auto"/>
                <w:kern w:val="2"/>
                <w:sz w:val="21"/>
                <w:szCs w:val="21"/>
                <w:highlight w:val="none"/>
                <w:lang w:val="en-US" w:eastAsia="zh-CN" w:bidi="ar-SA"/>
              </w:rPr>
              <w:t>分</w:t>
            </w:r>
            <w:r>
              <w:rPr>
                <w:rFonts w:hint="eastAsia" w:ascii="Times New Roman" w:hAnsi="Times New Roman" w:cs="Times New Roman"/>
                <w:b w:val="0"/>
                <w:bCs w:val="0"/>
                <w:color w:val="auto"/>
                <w:kern w:val="2"/>
                <w:sz w:val="21"/>
                <w:szCs w:val="21"/>
                <w:highlight w:val="none"/>
                <w:lang w:val="en-US" w:eastAsia="zh-CN" w:bidi="ar-SA"/>
              </w:rPr>
              <w:t>；风控管理</w:t>
            </w:r>
            <w:r>
              <w:rPr>
                <w:rFonts w:hint="eastAsia" w:ascii="Times New Roman" w:hAnsi="Times New Roman" w:eastAsia="仿宋_GB2312" w:cs="Times New Roman"/>
                <w:b w:val="0"/>
                <w:bCs w:val="0"/>
                <w:color w:val="auto"/>
                <w:kern w:val="2"/>
                <w:sz w:val="21"/>
                <w:szCs w:val="21"/>
                <w:highlight w:val="none"/>
                <w:lang w:val="en-US" w:eastAsia="zh-CN" w:bidi="ar-SA"/>
              </w:rPr>
              <w:t>制度不健全或执行不力的酌情扣1</w:t>
            </w:r>
            <w:r>
              <w:rPr>
                <w:rFonts w:hint="eastAsia" w:ascii="Times New Roman" w:hAnsi="Times New Roman" w:eastAsia="仿宋_GB2312" w:cs="Times New Roman"/>
                <w:color w:val="auto"/>
                <w:kern w:val="2"/>
                <w:sz w:val="21"/>
                <w:szCs w:val="21"/>
                <w:highlight w:val="none"/>
                <w:lang w:val="en-US" w:eastAsia="zh-CN" w:bidi="ar-SA"/>
              </w:rPr>
              <w:t>～</w:t>
            </w:r>
            <w:r>
              <w:rPr>
                <w:rFonts w:hint="eastAsia" w:ascii="Times New Roman" w:hAnsi="Times New Roman" w:cs="Times New Roman"/>
                <w:color w:val="auto"/>
                <w:kern w:val="2"/>
                <w:sz w:val="21"/>
                <w:szCs w:val="21"/>
                <w:highlight w:val="none"/>
                <w:lang w:val="en-US" w:eastAsia="zh-CN" w:bidi="ar-SA"/>
              </w:rPr>
              <w:t>5</w:t>
            </w:r>
            <w:r>
              <w:rPr>
                <w:rFonts w:hint="eastAsia" w:ascii="Times New Roman" w:hAnsi="Times New Roman" w:eastAsia="仿宋_GB2312" w:cs="Times New Roman"/>
                <w:b w:val="0"/>
                <w:bCs w:val="0"/>
                <w:color w:val="auto"/>
                <w:kern w:val="2"/>
                <w:sz w:val="21"/>
                <w:szCs w:val="21"/>
                <w:highlight w:val="none"/>
                <w:lang w:val="en-US" w:eastAsia="zh-CN" w:bidi="ar-SA"/>
              </w:rPr>
              <w:t>分。</w:t>
            </w:r>
          </w:p>
        </w:tc>
        <w:tc>
          <w:tcPr>
            <w:tcW w:w="530" w:type="dxa"/>
            <w:noWrap w:val="0"/>
            <w:vAlign w:val="center"/>
          </w:tcPr>
          <w:p w14:paraId="1F0335BA">
            <w:pPr>
              <w:spacing w:line="360" w:lineRule="exact"/>
              <w:jc w:val="center"/>
              <w:rPr>
                <w:rFonts w:hint="default" w:ascii="Times New Roman" w:hAnsi="Times New Roman" w:eastAsia="方正仿宋_GBK" w:cs="Times New Roman"/>
                <w:b/>
                <w:bCs/>
                <w:color w:val="auto"/>
                <w:sz w:val="32"/>
                <w:szCs w:val="32"/>
                <w:highlight w:val="none"/>
              </w:rPr>
            </w:pPr>
          </w:p>
        </w:tc>
        <w:tc>
          <w:tcPr>
            <w:tcW w:w="623" w:type="dxa"/>
            <w:noWrap w:val="0"/>
            <w:vAlign w:val="center"/>
          </w:tcPr>
          <w:p w14:paraId="4B09A426">
            <w:pPr>
              <w:spacing w:line="360" w:lineRule="exact"/>
              <w:jc w:val="center"/>
              <w:rPr>
                <w:rFonts w:hint="default" w:ascii="Times New Roman" w:hAnsi="Times New Roman" w:eastAsia="方正仿宋_GBK" w:cs="Times New Roman"/>
                <w:b/>
                <w:bCs/>
                <w:color w:val="auto"/>
                <w:sz w:val="32"/>
                <w:szCs w:val="32"/>
                <w:highlight w:val="none"/>
              </w:rPr>
            </w:pPr>
          </w:p>
        </w:tc>
      </w:tr>
      <w:tr w14:paraId="4A77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blHeader/>
        </w:trPr>
        <w:tc>
          <w:tcPr>
            <w:tcW w:w="993" w:type="dxa"/>
            <w:vMerge w:val="continue"/>
            <w:noWrap w:val="0"/>
            <w:vAlign w:val="center"/>
          </w:tcPr>
          <w:p w14:paraId="6C5D4975">
            <w:pPr>
              <w:spacing w:line="400" w:lineRule="exact"/>
              <w:jc w:val="left"/>
              <w:rPr>
                <w:rFonts w:hint="default" w:ascii="Times New Roman" w:hAnsi="Times New Roman" w:eastAsia="方正仿宋_GBK" w:cs="Times New Roman"/>
                <w:b/>
                <w:bCs/>
                <w:color w:val="auto"/>
                <w:sz w:val="32"/>
                <w:szCs w:val="32"/>
                <w:highlight w:val="none"/>
              </w:rPr>
            </w:pPr>
          </w:p>
        </w:tc>
        <w:tc>
          <w:tcPr>
            <w:tcW w:w="1690" w:type="dxa"/>
            <w:noWrap w:val="0"/>
            <w:vAlign w:val="center"/>
          </w:tcPr>
          <w:p w14:paraId="1828E2B7">
            <w:pPr>
              <w:spacing w:line="400" w:lineRule="exact"/>
              <w:jc w:val="left"/>
              <w:rPr>
                <w:rFonts w:hint="default" w:ascii="Times New Roman" w:hAnsi="Times New Roman" w:eastAsia="楷体_GB2312" w:cs="Times New Roman"/>
                <w:b/>
                <w:bCs/>
                <w:color w:val="auto"/>
                <w:sz w:val="24"/>
                <w:szCs w:val="24"/>
                <w:highlight w:val="none"/>
                <w:lang w:eastAsia="zh-CN"/>
              </w:rPr>
            </w:pPr>
            <w:r>
              <w:rPr>
                <w:rFonts w:hint="default" w:ascii="Times New Roman" w:hAnsi="Times New Roman" w:eastAsia="楷体_GB2312" w:cs="Times New Roman"/>
                <w:b/>
                <w:bCs/>
                <w:color w:val="auto"/>
                <w:sz w:val="24"/>
                <w:szCs w:val="24"/>
                <w:highlight w:val="none"/>
                <w:lang w:eastAsia="zh-CN"/>
              </w:rPr>
              <w:t>（</w:t>
            </w:r>
            <w:r>
              <w:rPr>
                <w:rFonts w:hint="default" w:ascii="Times New Roman" w:hAnsi="Times New Roman" w:eastAsia="楷体_GB2312" w:cs="Times New Roman"/>
                <w:b/>
                <w:bCs/>
                <w:color w:val="auto"/>
                <w:sz w:val="24"/>
                <w:szCs w:val="24"/>
                <w:highlight w:val="none"/>
                <w:lang w:val="en-US" w:eastAsia="zh-CN"/>
              </w:rPr>
              <w:t>12</w:t>
            </w:r>
            <w:r>
              <w:rPr>
                <w:rFonts w:hint="default" w:ascii="Times New Roman" w:hAnsi="Times New Roman" w:eastAsia="楷体_GB2312" w:cs="Times New Roman"/>
                <w:b/>
                <w:bCs/>
                <w:color w:val="auto"/>
                <w:sz w:val="24"/>
                <w:szCs w:val="24"/>
                <w:highlight w:val="none"/>
                <w:lang w:eastAsia="zh-CN"/>
              </w:rPr>
              <w:t>）业务</w:t>
            </w:r>
            <w:r>
              <w:rPr>
                <w:rFonts w:hint="eastAsia" w:eastAsia="楷体_GB2312" w:cs="Times New Roman"/>
                <w:b/>
                <w:bCs/>
                <w:color w:val="auto"/>
                <w:sz w:val="24"/>
                <w:szCs w:val="24"/>
                <w:highlight w:val="none"/>
                <w:lang w:eastAsia="zh-CN"/>
              </w:rPr>
              <w:t>管理</w:t>
            </w:r>
          </w:p>
        </w:tc>
        <w:tc>
          <w:tcPr>
            <w:tcW w:w="491" w:type="dxa"/>
            <w:noWrap w:val="0"/>
            <w:vAlign w:val="center"/>
          </w:tcPr>
          <w:p w14:paraId="6C346846">
            <w:pPr>
              <w:spacing w:line="400" w:lineRule="exact"/>
              <w:jc w:val="center"/>
              <w:rPr>
                <w:rFonts w:hint="default" w:eastAsia="方正仿宋_GBK" w:cs="Times New Roman"/>
                <w:b/>
                <w:bCs/>
                <w:color w:val="auto"/>
                <w:sz w:val="24"/>
                <w:szCs w:val="24"/>
                <w:highlight w:val="none"/>
                <w:lang w:val="en-US" w:eastAsia="zh-CN"/>
              </w:rPr>
            </w:pPr>
            <w:r>
              <w:rPr>
                <w:rFonts w:hint="eastAsia" w:eastAsia="方正仿宋_GBK" w:cs="Times New Roman"/>
                <w:b/>
                <w:bCs/>
                <w:color w:val="auto"/>
                <w:sz w:val="24"/>
                <w:szCs w:val="24"/>
                <w:highlight w:val="none"/>
                <w:lang w:val="en-US" w:eastAsia="zh-CN"/>
              </w:rPr>
              <w:t>5</w:t>
            </w:r>
          </w:p>
        </w:tc>
        <w:tc>
          <w:tcPr>
            <w:tcW w:w="10293" w:type="dxa"/>
            <w:noWrap w:val="0"/>
            <w:vAlign w:val="center"/>
          </w:tcPr>
          <w:p w14:paraId="3485F665">
            <w:pPr>
              <w:pStyle w:val="2"/>
              <w:spacing w:line="280" w:lineRule="exact"/>
              <w:ind w:firstLine="420" w:firstLineChars="200"/>
              <w:rPr>
                <w:rFonts w:hint="default" w:ascii="Times New Roman" w:hAnsi="Times New Roman" w:eastAsia="仿宋" w:cs="Times New Roman"/>
                <w:b w:val="0"/>
                <w:bCs w:val="0"/>
                <w:color w:val="auto"/>
                <w:sz w:val="21"/>
                <w:szCs w:val="21"/>
                <w:highlight w:val="none"/>
              </w:rPr>
            </w:pPr>
            <w:r>
              <w:rPr>
                <w:rFonts w:hint="eastAsia" w:ascii="Times New Roman" w:hAnsi="Times New Roman" w:eastAsia="仿宋_GB2312" w:cs="Times New Roman"/>
                <w:b w:val="0"/>
                <w:bCs w:val="0"/>
                <w:color w:val="auto"/>
                <w:kern w:val="2"/>
                <w:sz w:val="21"/>
                <w:szCs w:val="21"/>
                <w:highlight w:val="none"/>
                <w:lang w:val="en-US" w:eastAsia="zh-CN" w:bidi="ar-SA"/>
              </w:rPr>
              <w:t>针对不良资产收购与处置等重要业务环节或板块，制定较为全面的业务管理制度，具有规范的操作规程，包括不良资产收购与处置管理制度、债务追偿制度和委托第三方机构追偿债务管理制度等，并能有效执行</w:t>
            </w:r>
            <w:r>
              <w:rPr>
                <w:rFonts w:hint="eastAsia" w:ascii="Times New Roman" w:hAnsi="Times New Roman" w:cs="Times New Roman"/>
                <w:b w:val="0"/>
                <w:bCs w:val="0"/>
                <w:color w:val="auto"/>
                <w:kern w:val="2"/>
                <w:sz w:val="21"/>
                <w:szCs w:val="21"/>
                <w:highlight w:val="none"/>
                <w:lang w:val="en-US" w:eastAsia="zh-CN" w:bidi="ar-SA"/>
              </w:rPr>
              <w:t>的</w:t>
            </w:r>
            <w:r>
              <w:rPr>
                <w:rFonts w:hint="eastAsia" w:ascii="Times New Roman" w:hAnsi="Times New Roman" w:eastAsia="仿宋_GB2312" w:cs="Times New Roman"/>
                <w:b w:val="0"/>
                <w:bCs w:val="0"/>
                <w:color w:val="auto"/>
                <w:kern w:val="2"/>
                <w:sz w:val="21"/>
                <w:szCs w:val="21"/>
                <w:highlight w:val="none"/>
                <w:lang w:val="en-US" w:eastAsia="zh-CN" w:bidi="ar-SA"/>
              </w:rPr>
              <w:t>得</w:t>
            </w:r>
            <w:r>
              <w:rPr>
                <w:rFonts w:hint="eastAsia" w:ascii="Times New Roman" w:hAnsi="Times New Roman" w:cs="Times New Roman"/>
                <w:b w:val="0"/>
                <w:bCs w:val="0"/>
                <w:color w:val="auto"/>
                <w:kern w:val="2"/>
                <w:sz w:val="21"/>
                <w:szCs w:val="21"/>
                <w:highlight w:val="none"/>
                <w:lang w:val="en-US" w:eastAsia="zh-CN" w:bidi="ar-SA"/>
              </w:rPr>
              <w:t>5</w:t>
            </w:r>
            <w:r>
              <w:rPr>
                <w:rFonts w:hint="eastAsia" w:ascii="Times New Roman" w:hAnsi="Times New Roman" w:eastAsia="仿宋_GB2312" w:cs="Times New Roman"/>
                <w:b w:val="0"/>
                <w:bCs w:val="0"/>
                <w:color w:val="auto"/>
                <w:kern w:val="2"/>
                <w:sz w:val="21"/>
                <w:szCs w:val="21"/>
                <w:highlight w:val="none"/>
                <w:lang w:val="en-US" w:eastAsia="zh-CN" w:bidi="ar-SA"/>
              </w:rPr>
              <w:t>分</w:t>
            </w:r>
            <w:r>
              <w:rPr>
                <w:rFonts w:hint="eastAsia" w:ascii="Times New Roman" w:hAnsi="Times New Roman" w:cs="Times New Roman"/>
                <w:b w:val="0"/>
                <w:bCs w:val="0"/>
                <w:color w:val="auto"/>
                <w:kern w:val="2"/>
                <w:sz w:val="21"/>
                <w:szCs w:val="21"/>
                <w:highlight w:val="none"/>
                <w:lang w:val="en-US" w:eastAsia="zh-CN" w:bidi="ar-SA"/>
              </w:rPr>
              <w:t>；业务管理</w:t>
            </w:r>
            <w:r>
              <w:rPr>
                <w:rFonts w:hint="eastAsia" w:ascii="Times New Roman" w:hAnsi="Times New Roman" w:eastAsia="仿宋_GB2312" w:cs="Times New Roman"/>
                <w:b w:val="0"/>
                <w:bCs w:val="0"/>
                <w:color w:val="auto"/>
                <w:kern w:val="2"/>
                <w:sz w:val="21"/>
                <w:szCs w:val="21"/>
                <w:highlight w:val="none"/>
                <w:lang w:val="en-US" w:eastAsia="zh-CN" w:bidi="ar-SA"/>
              </w:rPr>
              <w:t>制度不健全或执行不力的酌情扣1</w:t>
            </w:r>
            <w:r>
              <w:rPr>
                <w:rFonts w:hint="eastAsia" w:ascii="Times New Roman" w:hAnsi="Times New Roman" w:eastAsia="仿宋_GB2312" w:cs="Times New Roman"/>
                <w:color w:val="auto"/>
                <w:kern w:val="2"/>
                <w:sz w:val="21"/>
                <w:szCs w:val="21"/>
                <w:highlight w:val="none"/>
                <w:lang w:val="en-US" w:eastAsia="zh-CN" w:bidi="ar-SA"/>
              </w:rPr>
              <w:t>～</w:t>
            </w:r>
            <w:r>
              <w:rPr>
                <w:rFonts w:hint="eastAsia" w:ascii="Times New Roman" w:hAnsi="Times New Roman" w:cs="Times New Roman"/>
                <w:color w:val="auto"/>
                <w:kern w:val="2"/>
                <w:sz w:val="21"/>
                <w:szCs w:val="21"/>
                <w:highlight w:val="none"/>
                <w:lang w:val="en-US" w:eastAsia="zh-CN" w:bidi="ar-SA"/>
              </w:rPr>
              <w:t>5</w:t>
            </w:r>
            <w:r>
              <w:rPr>
                <w:rFonts w:hint="eastAsia" w:ascii="Times New Roman" w:hAnsi="Times New Roman" w:eastAsia="仿宋_GB2312" w:cs="Times New Roman"/>
                <w:b w:val="0"/>
                <w:bCs w:val="0"/>
                <w:color w:val="auto"/>
                <w:kern w:val="2"/>
                <w:sz w:val="21"/>
                <w:szCs w:val="21"/>
                <w:highlight w:val="none"/>
                <w:lang w:val="en-US" w:eastAsia="zh-CN" w:bidi="ar-SA"/>
              </w:rPr>
              <w:t>分。</w:t>
            </w:r>
          </w:p>
        </w:tc>
        <w:tc>
          <w:tcPr>
            <w:tcW w:w="530" w:type="dxa"/>
            <w:noWrap w:val="0"/>
            <w:vAlign w:val="center"/>
          </w:tcPr>
          <w:p w14:paraId="4B7F4BAE">
            <w:pPr>
              <w:spacing w:line="360" w:lineRule="exact"/>
              <w:jc w:val="center"/>
              <w:rPr>
                <w:rFonts w:hint="default" w:ascii="Times New Roman" w:hAnsi="Times New Roman" w:eastAsia="方正仿宋_GBK" w:cs="Times New Roman"/>
                <w:b/>
                <w:bCs/>
                <w:color w:val="auto"/>
                <w:sz w:val="32"/>
                <w:szCs w:val="32"/>
                <w:highlight w:val="none"/>
              </w:rPr>
            </w:pPr>
          </w:p>
        </w:tc>
        <w:tc>
          <w:tcPr>
            <w:tcW w:w="623" w:type="dxa"/>
            <w:noWrap w:val="0"/>
            <w:vAlign w:val="center"/>
          </w:tcPr>
          <w:p w14:paraId="2266250B">
            <w:pPr>
              <w:spacing w:line="360" w:lineRule="exact"/>
              <w:jc w:val="center"/>
              <w:rPr>
                <w:rFonts w:hint="default" w:ascii="Times New Roman" w:hAnsi="Times New Roman" w:eastAsia="方正仿宋_GBK" w:cs="Times New Roman"/>
                <w:b/>
                <w:bCs/>
                <w:color w:val="auto"/>
                <w:sz w:val="32"/>
                <w:szCs w:val="32"/>
                <w:highlight w:val="none"/>
              </w:rPr>
            </w:pPr>
          </w:p>
        </w:tc>
      </w:tr>
      <w:tr w14:paraId="2824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blHeader/>
        </w:trPr>
        <w:tc>
          <w:tcPr>
            <w:tcW w:w="993" w:type="dxa"/>
            <w:vMerge w:val="continue"/>
            <w:noWrap w:val="0"/>
            <w:vAlign w:val="center"/>
          </w:tcPr>
          <w:p w14:paraId="52ECE405">
            <w:pPr>
              <w:spacing w:line="400" w:lineRule="exact"/>
              <w:jc w:val="left"/>
              <w:rPr>
                <w:rFonts w:hint="default" w:ascii="Times New Roman" w:hAnsi="Times New Roman" w:eastAsia="方正仿宋_GBK" w:cs="Times New Roman"/>
                <w:b/>
                <w:bCs/>
                <w:color w:val="auto"/>
                <w:sz w:val="32"/>
                <w:szCs w:val="32"/>
                <w:highlight w:val="none"/>
              </w:rPr>
            </w:pPr>
          </w:p>
        </w:tc>
        <w:tc>
          <w:tcPr>
            <w:tcW w:w="1690" w:type="dxa"/>
            <w:noWrap w:val="0"/>
            <w:vAlign w:val="center"/>
          </w:tcPr>
          <w:p w14:paraId="14060DAB">
            <w:pPr>
              <w:spacing w:line="400" w:lineRule="exact"/>
              <w:jc w:val="left"/>
              <w:rPr>
                <w:rFonts w:hint="default" w:ascii="Times New Roman" w:hAnsi="Times New Roman" w:eastAsia="楷体_GB2312" w:cs="Times New Roman"/>
                <w:b/>
                <w:bCs/>
                <w:color w:val="auto"/>
                <w:sz w:val="24"/>
                <w:szCs w:val="24"/>
                <w:highlight w:val="none"/>
                <w:lang w:eastAsia="zh-CN"/>
              </w:rPr>
            </w:pPr>
            <w:r>
              <w:rPr>
                <w:rFonts w:hint="default" w:ascii="Times New Roman" w:hAnsi="Times New Roman" w:eastAsia="楷体_GB2312" w:cs="Times New Roman"/>
                <w:b/>
                <w:bCs/>
                <w:color w:val="auto"/>
                <w:sz w:val="24"/>
                <w:szCs w:val="24"/>
                <w:highlight w:val="none"/>
                <w:lang w:eastAsia="zh-CN"/>
              </w:rPr>
              <w:t>（</w:t>
            </w:r>
            <w:r>
              <w:rPr>
                <w:rFonts w:hint="default" w:ascii="Times New Roman" w:hAnsi="Times New Roman" w:eastAsia="楷体_GB2312" w:cs="Times New Roman"/>
                <w:b/>
                <w:bCs/>
                <w:color w:val="auto"/>
                <w:sz w:val="24"/>
                <w:szCs w:val="24"/>
                <w:highlight w:val="none"/>
                <w:lang w:val="en-US" w:eastAsia="zh-CN"/>
              </w:rPr>
              <w:t>13</w:t>
            </w:r>
            <w:r>
              <w:rPr>
                <w:rFonts w:hint="default" w:ascii="Times New Roman" w:hAnsi="Times New Roman" w:eastAsia="楷体_GB2312" w:cs="Times New Roman"/>
                <w:b/>
                <w:bCs/>
                <w:color w:val="auto"/>
                <w:sz w:val="24"/>
                <w:szCs w:val="24"/>
                <w:highlight w:val="none"/>
                <w:lang w:eastAsia="zh-CN"/>
              </w:rPr>
              <w:t>）资产风险分类和风险准备金</w:t>
            </w:r>
          </w:p>
        </w:tc>
        <w:tc>
          <w:tcPr>
            <w:tcW w:w="491" w:type="dxa"/>
            <w:noWrap w:val="0"/>
            <w:vAlign w:val="center"/>
          </w:tcPr>
          <w:p w14:paraId="235B2584">
            <w:pPr>
              <w:spacing w:line="400" w:lineRule="exact"/>
              <w:jc w:val="center"/>
              <w:rPr>
                <w:rFonts w:hint="default" w:ascii="Times New Roman" w:hAnsi="Times New Roman" w:eastAsia="方正仿宋_GBK" w:cs="Times New Roman"/>
                <w:b/>
                <w:bCs/>
                <w:color w:val="auto"/>
                <w:sz w:val="24"/>
                <w:szCs w:val="24"/>
                <w:highlight w:val="none"/>
                <w:lang w:val="en-US" w:eastAsia="zh-CN"/>
              </w:rPr>
            </w:pPr>
            <w:r>
              <w:rPr>
                <w:rFonts w:hint="eastAsia" w:eastAsia="方正仿宋_GBK" w:cs="Times New Roman"/>
                <w:b/>
                <w:bCs/>
                <w:color w:val="auto"/>
                <w:sz w:val="24"/>
                <w:szCs w:val="24"/>
                <w:highlight w:val="none"/>
                <w:lang w:val="en-US" w:eastAsia="zh-CN"/>
              </w:rPr>
              <w:t>5</w:t>
            </w:r>
          </w:p>
        </w:tc>
        <w:tc>
          <w:tcPr>
            <w:tcW w:w="10293" w:type="dxa"/>
            <w:noWrap w:val="0"/>
            <w:vAlign w:val="center"/>
          </w:tcPr>
          <w:p w14:paraId="080B2B98">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eastAsia="仿宋_GB2312" w:cs="Times New Roman"/>
                <w:b w:val="0"/>
                <w:bCs w:val="0"/>
                <w:color w:val="auto"/>
                <w:sz w:val="21"/>
                <w:szCs w:val="21"/>
                <w:highlight w:val="none"/>
                <w:lang w:eastAsia="zh-CN"/>
              </w:rPr>
            </w:pPr>
            <w:r>
              <w:rPr>
                <w:rFonts w:hint="eastAsia" w:cs="Times New Roman"/>
                <w:b w:val="0"/>
                <w:bCs w:val="0"/>
                <w:color w:val="auto"/>
                <w:sz w:val="21"/>
                <w:szCs w:val="21"/>
                <w:highlight w:val="none"/>
                <w:lang w:val="en-US" w:eastAsia="zh-CN"/>
              </w:rPr>
              <w:t>1.</w:t>
            </w:r>
            <w:r>
              <w:rPr>
                <w:rFonts w:hint="eastAsia" w:ascii="Times New Roman" w:hAnsi="Times New Roman" w:eastAsia="仿宋_GB2312" w:cs="Times New Roman"/>
                <w:b w:val="0"/>
                <w:bCs w:val="0"/>
                <w:color w:val="auto"/>
                <w:sz w:val="21"/>
                <w:szCs w:val="21"/>
                <w:highlight w:val="none"/>
              </w:rPr>
              <w:t>建立规范的资产风险分类制度</w:t>
            </w:r>
            <w:r>
              <w:rPr>
                <w:rFonts w:hint="eastAsia" w:eastAsia="仿宋_GB2312" w:cs="Times New Roman"/>
                <w:b w:val="0"/>
                <w:bCs w:val="0"/>
                <w:color w:val="auto"/>
                <w:sz w:val="21"/>
                <w:szCs w:val="21"/>
                <w:highlight w:val="none"/>
                <w:lang w:eastAsia="zh-CN"/>
              </w:rPr>
              <w:t>，制度应涵盖实物类、股权类、债权类资产，严格按照制度确定资产分类</w:t>
            </w:r>
            <w:r>
              <w:rPr>
                <w:rFonts w:hint="eastAsia" w:cs="Times New Roman"/>
                <w:b w:val="0"/>
                <w:bCs w:val="0"/>
                <w:color w:val="auto"/>
                <w:sz w:val="21"/>
                <w:szCs w:val="21"/>
                <w:highlight w:val="none"/>
                <w:lang w:eastAsia="zh-CN"/>
              </w:rPr>
              <w:t>的</w:t>
            </w:r>
            <w:r>
              <w:rPr>
                <w:rFonts w:hint="eastAsia" w:eastAsia="仿宋_GB2312" w:cs="Times New Roman"/>
                <w:b w:val="0"/>
                <w:bCs w:val="0"/>
                <w:color w:val="auto"/>
                <w:sz w:val="21"/>
                <w:szCs w:val="21"/>
                <w:highlight w:val="none"/>
                <w:lang w:val="en-US" w:eastAsia="zh-CN"/>
              </w:rPr>
              <w:t>得</w:t>
            </w:r>
            <w:r>
              <w:rPr>
                <w:rFonts w:hint="eastAsia" w:cs="Times New Roman"/>
                <w:b w:val="0"/>
                <w:bCs w:val="0"/>
                <w:color w:val="auto"/>
                <w:sz w:val="21"/>
                <w:szCs w:val="21"/>
                <w:highlight w:val="none"/>
                <w:lang w:val="en-US" w:eastAsia="zh-CN"/>
              </w:rPr>
              <w:t>2</w:t>
            </w:r>
            <w:r>
              <w:rPr>
                <w:rFonts w:hint="eastAsia" w:eastAsia="仿宋_GB2312" w:cs="Times New Roman"/>
                <w:b w:val="0"/>
                <w:bCs w:val="0"/>
                <w:color w:val="auto"/>
                <w:sz w:val="21"/>
                <w:szCs w:val="21"/>
                <w:highlight w:val="none"/>
                <w:lang w:val="en-US" w:eastAsia="zh-CN"/>
              </w:rPr>
              <w:t>分</w:t>
            </w:r>
            <w:r>
              <w:rPr>
                <w:rFonts w:hint="eastAsia" w:cs="Times New Roman"/>
                <w:b w:val="0"/>
                <w:bCs w:val="0"/>
                <w:color w:val="auto"/>
                <w:sz w:val="21"/>
                <w:szCs w:val="21"/>
                <w:highlight w:val="none"/>
                <w:lang w:val="en-US" w:eastAsia="zh-CN"/>
              </w:rPr>
              <w:t>，</w:t>
            </w:r>
            <w:r>
              <w:rPr>
                <w:rFonts w:hint="eastAsia" w:cs="Times New Roman"/>
                <w:b w:val="0"/>
                <w:bCs w:val="0"/>
                <w:color w:val="auto"/>
                <w:sz w:val="21"/>
                <w:szCs w:val="21"/>
                <w:highlight w:val="none"/>
                <w:lang w:eastAsia="zh-CN"/>
              </w:rPr>
              <w:t>否则</w:t>
            </w:r>
            <w:r>
              <w:rPr>
                <w:rFonts w:hint="eastAsia" w:eastAsia="仿宋_GB2312" w:cs="Times New Roman"/>
                <w:b w:val="0"/>
                <w:bCs w:val="0"/>
                <w:color w:val="auto"/>
                <w:sz w:val="21"/>
                <w:szCs w:val="21"/>
                <w:highlight w:val="none"/>
                <w:lang w:eastAsia="zh-CN"/>
              </w:rPr>
              <w:t>不得分</w:t>
            </w:r>
            <w:r>
              <w:rPr>
                <w:rFonts w:hint="eastAsia" w:ascii="Times New Roman" w:hAnsi="Times New Roman" w:eastAsia="仿宋_GB2312" w:cs="Times New Roman"/>
                <w:b w:val="0"/>
                <w:bCs w:val="0"/>
                <w:color w:val="auto"/>
                <w:sz w:val="21"/>
                <w:szCs w:val="21"/>
                <w:highlight w:val="none"/>
                <w:lang w:val="en-US" w:eastAsia="zh-CN"/>
              </w:rPr>
              <w:t>。</w:t>
            </w:r>
          </w:p>
          <w:p w14:paraId="1C5A03AC">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default" w:ascii="Times New Roman" w:hAnsi="Times New Roman" w:eastAsia="仿宋" w:cs="Times New Roman"/>
                <w:b w:val="0"/>
                <w:bCs w:val="0"/>
                <w:color w:val="auto"/>
                <w:sz w:val="21"/>
                <w:szCs w:val="21"/>
                <w:highlight w:val="none"/>
              </w:rPr>
            </w:pPr>
            <w:r>
              <w:rPr>
                <w:rFonts w:hint="eastAsia" w:cs="Times New Roman"/>
                <w:b w:val="0"/>
                <w:bCs w:val="0"/>
                <w:color w:val="auto"/>
                <w:sz w:val="21"/>
                <w:szCs w:val="21"/>
                <w:highlight w:val="none"/>
                <w:lang w:val="en-US" w:eastAsia="zh-CN"/>
              </w:rPr>
              <w:t>2.</w:t>
            </w:r>
            <w:r>
              <w:rPr>
                <w:rFonts w:hint="eastAsia" w:ascii="Times New Roman" w:hAnsi="Times New Roman" w:eastAsia="仿宋_GB2312" w:cs="Times New Roman"/>
                <w:b w:val="0"/>
                <w:bCs w:val="0"/>
                <w:color w:val="auto"/>
                <w:sz w:val="21"/>
                <w:szCs w:val="21"/>
                <w:highlight w:val="none"/>
              </w:rPr>
              <w:t>建立规范的风险准备金制度，</w:t>
            </w:r>
            <w:r>
              <w:rPr>
                <w:rFonts w:hint="eastAsia" w:eastAsia="仿宋_GB2312" w:cs="Times New Roman"/>
                <w:b w:val="0"/>
                <w:bCs w:val="0"/>
                <w:color w:val="auto"/>
                <w:sz w:val="21"/>
                <w:szCs w:val="21"/>
                <w:highlight w:val="none"/>
                <w:lang w:eastAsia="zh-CN"/>
              </w:rPr>
              <w:t>能够</w:t>
            </w:r>
            <w:r>
              <w:rPr>
                <w:rFonts w:hint="eastAsia" w:ascii="Times New Roman" w:hAnsi="Times New Roman" w:eastAsia="仿宋_GB2312" w:cs="Times New Roman"/>
                <w:b w:val="0"/>
                <w:bCs w:val="0"/>
                <w:color w:val="auto"/>
                <w:sz w:val="21"/>
                <w:szCs w:val="21"/>
                <w:highlight w:val="none"/>
              </w:rPr>
              <w:t>足额计提风险损失准备</w:t>
            </w:r>
            <w:r>
              <w:rPr>
                <w:rFonts w:hint="eastAsia" w:cs="Times New Roman"/>
                <w:b w:val="0"/>
                <w:bCs w:val="0"/>
                <w:color w:val="auto"/>
                <w:sz w:val="21"/>
                <w:szCs w:val="21"/>
                <w:highlight w:val="none"/>
                <w:lang w:eastAsia="zh-CN"/>
              </w:rPr>
              <w:t>的</w:t>
            </w:r>
            <w:r>
              <w:rPr>
                <w:rFonts w:hint="eastAsia" w:eastAsia="仿宋_GB2312" w:cs="Times New Roman"/>
                <w:b w:val="0"/>
                <w:bCs w:val="0"/>
                <w:color w:val="auto"/>
                <w:sz w:val="21"/>
                <w:szCs w:val="21"/>
                <w:highlight w:val="none"/>
                <w:lang w:eastAsia="zh-CN"/>
              </w:rPr>
              <w:t>得</w:t>
            </w:r>
            <w:r>
              <w:rPr>
                <w:rFonts w:hint="eastAsia" w:cs="Times New Roman"/>
                <w:b w:val="0"/>
                <w:bCs w:val="0"/>
                <w:color w:val="auto"/>
                <w:sz w:val="21"/>
                <w:szCs w:val="21"/>
                <w:highlight w:val="none"/>
                <w:lang w:val="en-US" w:eastAsia="zh-CN"/>
              </w:rPr>
              <w:t>3</w:t>
            </w:r>
            <w:r>
              <w:rPr>
                <w:rFonts w:hint="eastAsia" w:ascii="Times New Roman" w:hAnsi="Times New Roman" w:eastAsia="仿宋_GB2312" w:cs="Times New Roman"/>
                <w:b w:val="0"/>
                <w:bCs w:val="0"/>
                <w:color w:val="auto"/>
                <w:sz w:val="21"/>
                <w:szCs w:val="21"/>
                <w:highlight w:val="none"/>
                <w:lang w:val="en-US" w:eastAsia="zh-CN"/>
              </w:rPr>
              <w:t>分</w:t>
            </w:r>
            <w:r>
              <w:rPr>
                <w:rFonts w:hint="eastAsia" w:cs="Times New Roman"/>
                <w:b w:val="0"/>
                <w:bCs w:val="0"/>
                <w:color w:val="auto"/>
                <w:sz w:val="21"/>
                <w:szCs w:val="21"/>
                <w:highlight w:val="none"/>
                <w:lang w:val="en-US" w:eastAsia="zh-CN"/>
              </w:rPr>
              <w:t>，否则酌情扣</w:t>
            </w:r>
            <w:r>
              <w:rPr>
                <w:rFonts w:hint="eastAsia" w:ascii="Times New Roman" w:hAnsi="Times New Roman" w:eastAsia="仿宋_GB2312" w:cs="Times New Roman"/>
                <w:b w:val="0"/>
                <w:bCs w:val="0"/>
                <w:color w:val="auto"/>
                <w:sz w:val="21"/>
                <w:szCs w:val="21"/>
                <w:highlight w:val="none"/>
                <w:lang w:val="en-US" w:eastAsia="zh-CN"/>
              </w:rPr>
              <w:t>1</w:t>
            </w:r>
            <w:r>
              <w:rPr>
                <w:rFonts w:hint="eastAsia" w:ascii="Times New Roman" w:hAnsi="Times New Roman" w:eastAsia="仿宋_GB2312" w:cs="Times New Roman"/>
                <w:color w:val="auto"/>
                <w:sz w:val="21"/>
                <w:szCs w:val="21"/>
                <w:highlight w:val="none"/>
              </w:rPr>
              <w:t>～</w:t>
            </w:r>
            <w:r>
              <w:rPr>
                <w:rFonts w:hint="eastAsia" w:cs="Times New Roman"/>
                <w:color w:val="auto"/>
                <w:sz w:val="21"/>
                <w:szCs w:val="21"/>
                <w:highlight w:val="none"/>
                <w:lang w:val="en-US" w:eastAsia="zh-CN"/>
              </w:rPr>
              <w:t>3</w:t>
            </w:r>
            <w:r>
              <w:rPr>
                <w:rFonts w:hint="eastAsia" w:ascii="Times New Roman" w:hAnsi="Times New Roman" w:eastAsia="仿宋_GB2312" w:cs="Times New Roman"/>
                <w:b w:val="0"/>
                <w:bCs w:val="0"/>
                <w:color w:val="auto"/>
                <w:sz w:val="21"/>
                <w:szCs w:val="21"/>
                <w:highlight w:val="none"/>
                <w:lang w:val="en-US" w:eastAsia="zh-CN"/>
              </w:rPr>
              <w:t>分。</w:t>
            </w:r>
          </w:p>
        </w:tc>
        <w:tc>
          <w:tcPr>
            <w:tcW w:w="530" w:type="dxa"/>
            <w:noWrap w:val="0"/>
            <w:vAlign w:val="center"/>
          </w:tcPr>
          <w:p w14:paraId="268048BF">
            <w:pPr>
              <w:spacing w:line="360" w:lineRule="exact"/>
              <w:jc w:val="center"/>
              <w:rPr>
                <w:rFonts w:hint="default" w:ascii="Times New Roman" w:hAnsi="Times New Roman" w:eastAsia="方正仿宋_GBK" w:cs="Times New Roman"/>
                <w:b/>
                <w:bCs/>
                <w:color w:val="auto"/>
                <w:sz w:val="32"/>
                <w:szCs w:val="32"/>
                <w:highlight w:val="none"/>
              </w:rPr>
            </w:pPr>
          </w:p>
        </w:tc>
        <w:tc>
          <w:tcPr>
            <w:tcW w:w="623" w:type="dxa"/>
            <w:noWrap w:val="0"/>
            <w:vAlign w:val="center"/>
          </w:tcPr>
          <w:p w14:paraId="425CF61A">
            <w:pPr>
              <w:spacing w:line="360" w:lineRule="exact"/>
              <w:jc w:val="center"/>
              <w:rPr>
                <w:rFonts w:hint="default" w:ascii="Times New Roman" w:hAnsi="Times New Roman" w:eastAsia="方正仿宋_GBK" w:cs="Times New Roman"/>
                <w:b/>
                <w:bCs/>
                <w:color w:val="auto"/>
                <w:sz w:val="32"/>
                <w:szCs w:val="32"/>
                <w:highlight w:val="none"/>
              </w:rPr>
            </w:pPr>
          </w:p>
        </w:tc>
      </w:tr>
      <w:tr w14:paraId="0682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blHeader/>
        </w:trPr>
        <w:tc>
          <w:tcPr>
            <w:tcW w:w="993" w:type="dxa"/>
            <w:vMerge w:val="restart"/>
            <w:noWrap w:val="0"/>
            <w:vAlign w:val="center"/>
          </w:tcPr>
          <w:p w14:paraId="546FE703">
            <w:pPr>
              <w:spacing w:line="400" w:lineRule="exact"/>
              <w:jc w:val="center"/>
              <w:rPr>
                <w:rFonts w:hint="eastAsia"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eastAsia="zh-CN"/>
              </w:rPr>
              <w:t>四</w:t>
            </w:r>
            <w:r>
              <w:rPr>
                <w:rFonts w:hint="eastAsia" w:ascii="Times New Roman" w:hAnsi="Times New Roman" w:eastAsia="黑体" w:cs="Times New Roman"/>
                <w:color w:val="auto"/>
                <w:sz w:val="28"/>
                <w:szCs w:val="28"/>
                <w:highlight w:val="none"/>
              </w:rPr>
              <w:t>、</w:t>
            </w:r>
          </w:p>
          <w:p w14:paraId="4D42465F">
            <w:pPr>
              <w:spacing w:line="400" w:lineRule="exact"/>
              <w:jc w:val="center"/>
              <w:rPr>
                <w:rFonts w:hint="eastAsia"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rPr>
              <w:t>经营</w:t>
            </w:r>
          </w:p>
          <w:p w14:paraId="65327994">
            <w:pPr>
              <w:spacing w:line="400" w:lineRule="exact"/>
              <w:jc w:val="center"/>
              <w:rPr>
                <w:rFonts w:hint="eastAsia" w:ascii="Times New Roman" w:hAnsi="Times New Roman" w:eastAsia="黑体" w:cs="Times New Roman"/>
                <w:color w:val="auto"/>
                <w:sz w:val="28"/>
                <w:szCs w:val="28"/>
                <w:highlight w:val="none"/>
                <w:lang w:eastAsia="zh-CN"/>
              </w:rPr>
            </w:pPr>
            <w:r>
              <w:rPr>
                <w:rFonts w:hint="eastAsia" w:eastAsia="黑体" w:cs="Times New Roman"/>
                <w:color w:val="auto"/>
                <w:sz w:val="28"/>
                <w:szCs w:val="28"/>
                <w:highlight w:val="none"/>
                <w:lang w:eastAsia="zh-CN"/>
              </w:rPr>
              <w:t>能力</w:t>
            </w:r>
          </w:p>
          <w:p w14:paraId="6BA90AD4">
            <w:pPr>
              <w:spacing w:line="400" w:lineRule="exact"/>
              <w:jc w:val="center"/>
              <w:rPr>
                <w:rFonts w:hint="eastAsia" w:ascii="Times New Roman" w:hAnsi="Times New Roman" w:eastAsia="黑体" w:cs="Times New Roman"/>
                <w:b w:val="0"/>
                <w:bCs w:val="0"/>
                <w:color w:val="auto"/>
                <w:sz w:val="28"/>
                <w:szCs w:val="28"/>
                <w:highlight w:val="none"/>
                <w:lang w:eastAsia="zh-CN"/>
              </w:rPr>
            </w:pPr>
            <w:r>
              <w:rPr>
                <w:rFonts w:hint="eastAsia" w:ascii="Times New Roman" w:hAnsi="Times New Roman" w:eastAsia="黑体" w:cs="Times New Roman"/>
                <w:color w:val="auto"/>
                <w:sz w:val="24"/>
                <w:szCs w:val="24"/>
                <w:highlight w:val="none"/>
                <w:lang w:eastAsia="zh-CN"/>
              </w:rPr>
              <w:t>（</w:t>
            </w:r>
            <w:r>
              <w:rPr>
                <w:rFonts w:hint="eastAsia" w:eastAsia="黑体" w:cs="Times New Roman"/>
                <w:color w:val="auto"/>
                <w:sz w:val="24"/>
                <w:szCs w:val="24"/>
                <w:highlight w:val="none"/>
                <w:lang w:val="en-US" w:eastAsia="zh-CN"/>
              </w:rPr>
              <w:t>10</w:t>
            </w:r>
            <w:r>
              <w:rPr>
                <w:rFonts w:hint="eastAsia" w:ascii="Times New Roman" w:hAnsi="Times New Roman" w:eastAsia="黑体" w:cs="Times New Roman"/>
                <w:color w:val="auto"/>
                <w:sz w:val="24"/>
                <w:szCs w:val="24"/>
                <w:highlight w:val="none"/>
                <w:lang w:val="en-US" w:eastAsia="zh-CN"/>
              </w:rPr>
              <w:t>分</w:t>
            </w:r>
            <w:r>
              <w:rPr>
                <w:rFonts w:hint="eastAsia" w:ascii="Times New Roman" w:hAnsi="Times New Roman" w:eastAsia="黑体" w:cs="Times New Roman"/>
                <w:color w:val="auto"/>
                <w:sz w:val="24"/>
                <w:szCs w:val="24"/>
                <w:highlight w:val="none"/>
                <w:lang w:eastAsia="zh-CN"/>
              </w:rPr>
              <w:t>）</w:t>
            </w:r>
          </w:p>
        </w:tc>
        <w:tc>
          <w:tcPr>
            <w:tcW w:w="1690" w:type="dxa"/>
            <w:noWrap w:val="0"/>
            <w:vAlign w:val="center"/>
          </w:tcPr>
          <w:p w14:paraId="3A12B985">
            <w:pPr>
              <w:spacing w:line="400" w:lineRule="exact"/>
              <w:jc w:val="left"/>
              <w:rPr>
                <w:rFonts w:hint="default" w:ascii="Times New Roman" w:hAnsi="Times New Roman" w:eastAsia="楷体_GB2312" w:cs="Times New Roman"/>
                <w:b/>
                <w:bCs/>
                <w:color w:val="auto"/>
                <w:sz w:val="24"/>
                <w:szCs w:val="24"/>
                <w:highlight w:val="none"/>
                <w:lang w:eastAsia="zh-CN"/>
              </w:rPr>
            </w:pPr>
            <w:r>
              <w:rPr>
                <w:rFonts w:hint="default" w:ascii="Times New Roman" w:hAnsi="Times New Roman" w:eastAsia="楷体_GB2312" w:cs="Times New Roman"/>
                <w:b/>
                <w:bCs/>
                <w:color w:val="auto"/>
                <w:sz w:val="24"/>
                <w:szCs w:val="24"/>
                <w:highlight w:val="none"/>
                <w:lang w:eastAsia="zh-CN"/>
              </w:rPr>
              <w:t>（</w:t>
            </w:r>
            <w:r>
              <w:rPr>
                <w:rFonts w:hint="default" w:ascii="Times New Roman" w:hAnsi="Times New Roman" w:eastAsia="楷体_GB2312" w:cs="Times New Roman"/>
                <w:b/>
                <w:bCs/>
                <w:color w:val="auto"/>
                <w:sz w:val="24"/>
                <w:szCs w:val="24"/>
                <w:highlight w:val="none"/>
                <w:lang w:val="en-US" w:eastAsia="zh-CN"/>
              </w:rPr>
              <w:t>14</w:t>
            </w:r>
            <w:r>
              <w:rPr>
                <w:rFonts w:hint="default" w:ascii="Times New Roman" w:hAnsi="Times New Roman" w:eastAsia="楷体_GB2312" w:cs="Times New Roman"/>
                <w:b/>
                <w:bCs/>
                <w:color w:val="auto"/>
                <w:sz w:val="24"/>
                <w:szCs w:val="24"/>
                <w:highlight w:val="none"/>
                <w:lang w:eastAsia="zh-CN"/>
              </w:rPr>
              <w:t>）</w:t>
            </w:r>
            <w:r>
              <w:rPr>
                <w:rFonts w:hint="default" w:ascii="Times New Roman" w:hAnsi="Times New Roman" w:eastAsia="楷体_GB2312" w:cs="Times New Roman"/>
                <w:b/>
                <w:bCs/>
                <w:color w:val="auto"/>
                <w:sz w:val="24"/>
                <w:szCs w:val="24"/>
                <w:highlight w:val="none"/>
                <w:lang w:val="en-US" w:eastAsia="zh-CN"/>
              </w:rPr>
              <w:t>资本实力</w:t>
            </w:r>
          </w:p>
        </w:tc>
        <w:tc>
          <w:tcPr>
            <w:tcW w:w="491" w:type="dxa"/>
            <w:noWrap w:val="0"/>
            <w:vAlign w:val="center"/>
          </w:tcPr>
          <w:p w14:paraId="4553B2FB">
            <w:pPr>
              <w:spacing w:line="400" w:lineRule="exact"/>
              <w:jc w:val="center"/>
              <w:rPr>
                <w:rFonts w:hint="default" w:ascii="Times New Roman" w:hAnsi="Times New Roman" w:eastAsia="方正仿宋_GBK" w:cs="Times New Roman"/>
                <w:b/>
                <w:bCs/>
                <w:color w:val="auto"/>
                <w:sz w:val="24"/>
                <w:szCs w:val="24"/>
                <w:highlight w:val="none"/>
                <w:lang w:val="en-US" w:eastAsia="zh-CN"/>
              </w:rPr>
            </w:pPr>
            <w:r>
              <w:rPr>
                <w:rFonts w:hint="eastAsia" w:eastAsia="方正仿宋_GBK" w:cs="Times New Roman"/>
                <w:b/>
                <w:bCs/>
                <w:color w:val="auto"/>
                <w:sz w:val="24"/>
                <w:szCs w:val="24"/>
                <w:highlight w:val="none"/>
                <w:lang w:val="en-US" w:eastAsia="zh-CN"/>
              </w:rPr>
              <w:t>5</w:t>
            </w:r>
          </w:p>
        </w:tc>
        <w:tc>
          <w:tcPr>
            <w:tcW w:w="10293" w:type="dxa"/>
            <w:noWrap w:val="0"/>
            <w:vAlign w:val="center"/>
          </w:tcPr>
          <w:p w14:paraId="05C0A5E9">
            <w:pPr>
              <w:keepNext w:val="0"/>
              <w:keepLines w:val="0"/>
              <w:pageBreakBefore w:val="0"/>
              <w:widowControl w:val="0"/>
              <w:kinsoku/>
              <w:wordWrap/>
              <w:overflowPunct/>
              <w:topLinePunct w:val="0"/>
              <w:autoSpaceDE/>
              <w:autoSpaceDN/>
              <w:bidi w:val="0"/>
              <w:adjustRightInd/>
              <w:snapToGrid/>
              <w:spacing w:line="280" w:lineRule="exact"/>
              <w:ind w:right="0" w:rightChars="0" w:firstLine="420" w:firstLineChars="200"/>
              <w:jc w:val="both"/>
              <w:textAlignment w:val="auto"/>
              <w:outlineLvl w:val="9"/>
              <w:rPr>
                <w:rFonts w:hint="default" w:ascii="Times New Roman" w:hAnsi="Times New Roman" w:eastAsia="仿宋" w:cs="Times New Roman"/>
                <w:b w:val="0"/>
                <w:bCs w:val="0"/>
                <w:color w:val="auto"/>
                <w:sz w:val="21"/>
                <w:szCs w:val="21"/>
                <w:highlight w:val="none"/>
              </w:rPr>
            </w:pPr>
            <w:r>
              <w:rPr>
                <w:rFonts w:hint="eastAsia" w:ascii="Times New Roman" w:hAnsi="Times New Roman" w:eastAsia="仿宋_GB2312" w:cs="Times New Roman"/>
                <w:b w:val="0"/>
                <w:bCs w:val="0"/>
                <w:color w:val="auto"/>
                <w:sz w:val="21"/>
                <w:szCs w:val="21"/>
                <w:highlight w:val="none"/>
              </w:rPr>
              <w:t>注册资本最低限额为人民币</w:t>
            </w:r>
            <w:r>
              <w:rPr>
                <w:rFonts w:hint="eastAsia" w:eastAsia="仿宋_GB2312" w:cs="Times New Roman"/>
                <w:b w:val="0"/>
                <w:bCs w:val="0"/>
                <w:color w:val="auto"/>
                <w:sz w:val="21"/>
                <w:szCs w:val="21"/>
                <w:highlight w:val="none"/>
                <w:lang w:val="en-US" w:eastAsia="zh-CN"/>
              </w:rPr>
              <w:t>10</w:t>
            </w:r>
            <w:r>
              <w:rPr>
                <w:rFonts w:hint="eastAsia" w:ascii="Times New Roman" w:hAnsi="Times New Roman" w:eastAsia="仿宋_GB2312" w:cs="Times New Roman"/>
                <w:b w:val="0"/>
                <w:bCs w:val="0"/>
                <w:color w:val="auto"/>
                <w:sz w:val="21"/>
                <w:szCs w:val="21"/>
                <w:highlight w:val="none"/>
              </w:rPr>
              <w:t>亿元，且为实缴资本</w:t>
            </w:r>
            <w:r>
              <w:rPr>
                <w:rFonts w:hint="eastAsia" w:cs="Times New Roman"/>
                <w:b w:val="0"/>
                <w:bCs w:val="0"/>
                <w:color w:val="auto"/>
                <w:sz w:val="21"/>
                <w:szCs w:val="21"/>
                <w:highlight w:val="none"/>
                <w:lang w:eastAsia="zh-CN"/>
              </w:rPr>
              <w:t>的</w:t>
            </w:r>
            <w:r>
              <w:rPr>
                <w:rFonts w:hint="eastAsia" w:eastAsia="仿宋_GB2312" w:cs="Times New Roman"/>
                <w:b w:val="0"/>
                <w:bCs w:val="0"/>
                <w:color w:val="auto"/>
                <w:sz w:val="21"/>
                <w:szCs w:val="21"/>
                <w:highlight w:val="none"/>
                <w:lang w:val="en-US" w:eastAsia="zh-CN"/>
              </w:rPr>
              <w:t>得</w:t>
            </w:r>
            <w:r>
              <w:rPr>
                <w:rFonts w:hint="eastAsia" w:cs="Times New Roman"/>
                <w:b w:val="0"/>
                <w:bCs w:val="0"/>
                <w:color w:val="auto"/>
                <w:sz w:val="21"/>
                <w:szCs w:val="21"/>
                <w:highlight w:val="none"/>
                <w:lang w:val="en-US" w:eastAsia="zh-CN"/>
              </w:rPr>
              <w:t>5</w:t>
            </w:r>
            <w:r>
              <w:rPr>
                <w:rFonts w:hint="eastAsia" w:ascii="Times New Roman" w:hAnsi="Times New Roman" w:eastAsia="仿宋_GB2312" w:cs="Times New Roman"/>
                <w:bCs w:val="0"/>
                <w:color w:val="auto"/>
                <w:sz w:val="21"/>
                <w:szCs w:val="21"/>
                <w:highlight w:val="none"/>
              </w:rPr>
              <w:t>分</w:t>
            </w:r>
            <w:r>
              <w:rPr>
                <w:rFonts w:hint="eastAsia" w:cs="Times New Roman"/>
                <w:bCs w:val="0"/>
                <w:color w:val="auto"/>
                <w:sz w:val="21"/>
                <w:szCs w:val="21"/>
                <w:highlight w:val="none"/>
                <w:lang w:eastAsia="zh-CN"/>
              </w:rPr>
              <w:t>。</w:t>
            </w:r>
            <w:r>
              <w:rPr>
                <w:rFonts w:hint="eastAsia" w:ascii="Times New Roman" w:hAnsi="Times New Roman" w:eastAsia="仿宋_GB2312" w:cs="Times New Roman"/>
                <w:b w:val="0"/>
                <w:bCs w:val="0"/>
                <w:color w:val="auto"/>
                <w:sz w:val="21"/>
                <w:szCs w:val="21"/>
                <w:highlight w:val="none"/>
                <w:lang w:eastAsia="zh-CN"/>
              </w:rPr>
              <w:t>抽逃</w:t>
            </w:r>
            <w:r>
              <w:rPr>
                <w:rFonts w:hint="eastAsia" w:cs="Times New Roman"/>
                <w:b w:val="0"/>
                <w:bCs w:val="0"/>
                <w:color w:val="auto"/>
                <w:sz w:val="21"/>
                <w:szCs w:val="21"/>
                <w:highlight w:val="none"/>
                <w:lang w:eastAsia="zh-CN"/>
              </w:rPr>
              <w:t>或变相抽逃</w:t>
            </w:r>
            <w:r>
              <w:rPr>
                <w:rFonts w:hint="eastAsia" w:ascii="Times New Roman" w:hAnsi="Times New Roman" w:eastAsia="仿宋_GB2312" w:cs="Times New Roman"/>
                <w:b w:val="0"/>
                <w:bCs w:val="0"/>
                <w:color w:val="auto"/>
                <w:sz w:val="21"/>
                <w:szCs w:val="21"/>
                <w:highlight w:val="none"/>
                <w:lang w:eastAsia="zh-CN"/>
              </w:rPr>
              <w:t>注册资本</w:t>
            </w:r>
            <w:r>
              <w:rPr>
                <w:rFonts w:hint="eastAsia" w:eastAsia="仿宋_GB2312" w:cs="Times New Roman"/>
                <w:b w:val="0"/>
                <w:bCs w:val="0"/>
                <w:color w:val="auto"/>
                <w:sz w:val="21"/>
                <w:szCs w:val="21"/>
                <w:highlight w:val="none"/>
                <w:lang w:eastAsia="zh-CN"/>
              </w:rPr>
              <w:t>的</w:t>
            </w:r>
            <w:r>
              <w:rPr>
                <w:rFonts w:hint="eastAsia" w:eastAsia="仿宋_GB2312" w:cs="Times New Roman"/>
                <w:bCs w:val="0"/>
                <w:color w:val="auto"/>
                <w:sz w:val="21"/>
                <w:szCs w:val="21"/>
                <w:highlight w:val="none"/>
                <w:lang w:eastAsia="zh-CN"/>
              </w:rPr>
              <w:t>的</w:t>
            </w:r>
            <w:r>
              <w:rPr>
                <w:rFonts w:hint="eastAsia" w:eastAsia="仿宋_GB2312" w:cs="Times New Roman"/>
                <w:b w:val="0"/>
                <w:bCs w:val="0"/>
                <w:color w:val="auto"/>
                <w:sz w:val="21"/>
                <w:szCs w:val="21"/>
                <w:highlight w:val="none"/>
                <w:lang w:val="en-US" w:eastAsia="zh-CN"/>
              </w:rPr>
              <w:t>此项不得分</w:t>
            </w:r>
            <w:r>
              <w:rPr>
                <w:rFonts w:hint="eastAsia" w:ascii="Times New Roman" w:hAnsi="Times New Roman" w:eastAsia="仿宋_GB2312" w:cs="Times New Roman"/>
                <w:bCs w:val="0"/>
                <w:color w:val="auto"/>
                <w:sz w:val="21"/>
                <w:szCs w:val="21"/>
                <w:highlight w:val="none"/>
                <w:lang w:val="en-US" w:eastAsia="zh-CN"/>
              </w:rPr>
              <w:t>。</w:t>
            </w:r>
          </w:p>
        </w:tc>
        <w:tc>
          <w:tcPr>
            <w:tcW w:w="530" w:type="dxa"/>
            <w:noWrap w:val="0"/>
            <w:vAlign w:val="center"/>
          </w:tcPr>
          <w:p w14:paraId="5D354DFD">
            <w:pPr>
              <w:spacing w:line="360" w:lineRule="exact"/>
              <w:jc w:val="center"/>
              <w:rPr>
                <w:rFonts w:hint="default" w:ascii="Times New Roman" w:hAnsi="Times New Roman" w:eastAsia="方正仿宋_GBK" w:cs="Times New Roman"/>
                <w:b/>
                <w:bCs/>
                <w:color w:val="auto"/>
                <w:sz w:val="32"/>
                <w:szCs w:val="32"/>
                <w:highlight w:val="none"/>
              </w:rPr>
            </w:pPr>
          </w:p>
        </w:tc>
        <w:tc>
          <w:tcPr>
            <w:tcW w:w="623" w:type="dxa"/>
            <w:noWrap w:val="0"/>
            <w:vAlign w:val="center"/>
          </w:tcPr>
          <w:p w14:paraId="556C3D59">
            <w:pPr>
              <w:spacing w:line="360" w:lineRule="exact"/>
              <w:jc w:val="center"/>
              <w:rPr>
                <w:rFonts w:hint="default" w:ascii="Times New Roman" w:hAnsi="Times New Roman" w:eastAsia="方正仿宋_GBK" w:cs="Times New Roman"/>
                <w:b/>
                <w:bCs/>
                <w:color w:val="auto"/>
                <w:sz w:val="32"/>
                <w:szCs w:val="32"/>
                <w:highlight w:val="none"/>
              </w:rPr>
            </w:pPr>
          </w:p>
        </w:tc>
      </w:tr>
      <w:tr w14:paraId="77F8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blHeader/>
        </w:trPr>
        <w:tc>
          <w:tcPr>
            <w:tcW w:w="993" w:type="dxa"/>
            <w:vMerge w:val="continue"/>
            <w:noWrap w:val="0"/>
            <w:vAlign w:val="center"/>
          </w:tcPr>
          <w:p w14:paraId="53CD1368">
            <w:pPr>
              <w:spacing w:line="400" w:lineRule="exact"/>
              <w:jc w:val="left"/>
              <w:rPr>
                <w:rFonts w:hint="default" w:ascii="Times New Roman" w:hAnsi="Times New Roman" w:eastAsia="方正仿宋_GBK" w:cs="Times New Roman"/>
                <w:b/>
                <w:bCs/>
                <w:color w:val="auto"/>
                <w:sz w:val="32"/>
                <w:szCs w:val="32"/>
                <w:highlight w:val="none"/>
              </w:rPr>
            </w:pPr>
          </w:p>
        </w:tc>
        <w:tc>
          <w:tcPr>
            <w:tcW w:w="1690" w:type="dxa"/>
            <w:noWrap w:val="0"/>
            <w:vAlign w:val="center"/>
          </w:tcPr>
          <w:p w14:paraId="25F69C5D">
            <w:pPr>
              <w:spacing w:line="400" w:lineRule="exact"/>
              <w:jc w:val="left"/>
              <w:rPr>
                <w:rFonts w:hint="default" w:ascii="Times New Roman" w:hAnsi="Times New Roman" w:eastAsia="楷体_GB2312" w:cs="Times New Roman"/>
                <w:b/>
                <w:bCs/>
                <w:color w:val="auto"/>
                <w:sz w:val="24"/>
                <w:szCs w:val="24"/>
                <w:highlight w:val="none"/>
                <w:lang w:eastAsia="zh-CN"/>
              </w:rPr>
            </w:pPr>
            <w:r>
              <w:rPr>
                <w:rFonts w:hint="default" w:ascii="Times New Roman" w:hAnsi="Times New Roman" w:eastAsia="楷体_GB2312" w:cs="Times New Roman"/>
                <w:b/>
                <w:bCs/>
                <w:color w:val="auto"/>
                <w:sz w:val="24"/>
                <w:szCs w:val="24"/>
                <w:highlight w:val="none"/>
                <w:lang w:eastAsia="zh-CN"/>
              </w:rPr>
              <w:t>（</w:t>
            </w:r>
            <w:r>
              <w:rPr>
                <w:rFonts w:hint="default" w:ascii="Times New Roman" w:hAnsi="Times New Roman" w:eastAsia="楷体_GB2312" w:cs="Times New Roman"/>
                <w:b/>
                <w:bCs/>
                <w:color w:val="auto"/>
                <w:sz w:val="24"/>
                <w:szCs w:val="24"/>
                <w:highlight w:val="none"/>
                <w:lang w:val="en-US" w:eastAsia="zh-CN"/>
              </w:rPr>
              <w:t>15</w:t>
            </w:r>
            <w:r>
              <w:rPr>
                <w:rFonts w:hint="default" w:ascii="Times New Roman" w:hAnsi="Times New Roman" w:eastAsia="楷体_GB2312" w:cs="Times New Roman"/>
                <w:b/>
                <w:bCs/>
                <w:color w:val="auto"/>
                <w:sz w:val="24"/>
                <w:szCs w:val="24"/>
                <w:highlight w:val="none"/>
                <w:lang w:eastAsia="zh-CN"/>
              </w:rPr>
              <w:t>）盈利能力</w:t>
            </w:r>
          </w:p>
        </w:tc>
        <w:tc>
          <w:tcPr>
            <w:tcW w:w="491" w:type="dxa"/>
            <w:noWrap w:val="0"/>
            <w:vAlign w:val="center"/>
          </w:tcPr>
          <w:p w14:paraId="7998031B">
            <w:pPr>
              <w:spacing w:line="400" w:lineRule="exact"/>
              <w:jc w:val="center"/>
              <w:rPr>
                <w:rFonts w:hint="default" w:ascii="Times New Roman" w:hAnsi="Times New Roman" w:eastAsia="方正仿宋_GBK" w:cs="Times New Roman"/>
                <w:b/>
                <w:bCs/>
                <w:color w:val="auto"/>
                <w:sz w:val="24"/>
                <w:szCs w:val="24"/>
                <w:highlight w:val="none"/>
                <w:lang w:val="en-US" w:eastAsia="zh-CN"/>
              </w:rPr>
            </w:pPr>
            <w:r>
              <w:rPr>
                <w:rFonts w:hint="eastAsia" w:eastAsia="方正仿宋_GBK" w:cs="Times New Roman"/>
                <w:b/>
                <w:bCs/>
                <w:color w:val="auto"/>
                <w:sz w:val="24"/>
                <w:szCs w:val="24"/>
                <w:highlight w:val="none"/>
                <w:lang w:val="en-US" w:eastAsia="zh-CN"/>
              </w:rPr>
              <w:t>5</w:t>
            </w:r>
          </w:p>
        </w:tc>
        <w:tc>
          <w:tcPr>
            <w:tcW w:w="10293" w:type="dxa"/>
            <w:noWrap w:val="0"/>
            <w:vAlign w:val="center"/>
          </w:tcPr>
          <w:p w14:paraId="09C1F9DD">
            <w:pPr>
              <w:keepNext w:val="0"/>
              <w:keepLines w:val="0"/>
              <w:pageBreakBefore w:val="0"/>
              <w:widowControl w:val="0"/>
              <w:kinsoku/>
              <w:wordWrap/>
              <w:overflowPunct/>
              <w:topLinePunct w:val="0"/>
              <w:autoSpaceDE/>
              <w:autoSpaceDN/>
              <w:bidi w:val="0"/>
              <w:adjustRightInd/>
              <w:snapToGrid/>
              <w:spacing w:line="280" w:lineRule="exact"/>
              <w:ind w:right="0" w:rightChars="0" w:firstLine="420" w:firstLineChars="200"/>
              <w:jc w:val="both"/>
              <w:textAlignment w:val="auto"/>
              <w:outlineLvl w:val="9"/>
              <w:rPr>
                <w:rFonts w:hint="default" w:ascii="Times New Roman" w:hAnsi="Times New Roman" w:eastAsia="仿宋"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经营业绩良好，</w:t>
            </w:r>
            <w:r>
              <w:rPr>
                <w:rFonts w:hint="eastAsia" w:cs="Times New Roman"/>
                <w:b w:val="0"/>
                <w:bCs w:val="0"/>
                <w:color w:val="auto"/>
                <w:sz w:val="21"/>
                <w:szCs w:val="21"/>
                <w:highlight w:val="none"/>
                <w:lang w:eastAsia="zh-CN"/>
              </w:rPr>
              <w:t>当年实现</w:t>
            </w:r>
            <w:r>
              <w:rPr>
                <w:rFonts w:hint="default" w:ascii="Times New Roman" w:hAnsi="Times New Roman" w:eastAsia="仿宋_GB2312" w:cs="Times New Roman"/>
                <w:b w:val="0"/>
                <w:bCs w:val="0"/>
                <w:color w:val="auto"/>
                <w:sz w:val="21"/>
                <w:szCs w:val="21"/>
                <w:highlight w:val="none"/>
              </w:rPr>
              <w:t>盈利</w:t>
            </w:r>
            <w:r>
              <w:rPr>
                <w:rFonts w:hint="eastAsia" w:cs="Times New Roman"/>
                <w:b w:val="0"/>
                <w:bCs w:val="0"/>
                <w:color w:val="auto"/>
                <w:sz w:val="21"/>
                <w:szCs w:val="21"/>
                <w:highlight w:val="none"/>
                <w:lang w:eastAsia="zh-CN"/>
              </w:rPr>
              <w:t>的</w:t>
            </w:r>
            <w:r>
              <w:rPr>
                <w:rFonts w:hint="default" w:eastAsia="仿宋_GB2312" w:cs="Times New Roman"/>
                <w:b w:val="0"/>
                <w:bCs w:val="0"/>
                <w:color w:val="auto"/>
                <w:sz w:val="21"/>
                <w:szCs w:val="21"/>
                <w:highlight w:val="none"/>
                <w:lang w:val="en-US" w:eastAsia="zh-CN"/>
              </w:rPr>
              <w:t>得</w:t>
            </w:r>
            <w:r>
              <w:rPr>
                <w:rFonts w:hint="eastAsia" w:cs="Times New Roman"/>
                <w:b w:val="0"/>
                <w:bCs w:val="0"/>
                <w:color w:val="auto"/>
                <w:sz w:val="21"/>
                <w:szCs w:val="21"/>
                <w:highlight w:val="none"/>
                <w:lang w:val="en-US" w:eastAsia="zh-CN"/>
              </w:rPr>
              <w:t>5</w:t>
            </w:r>
            <w:r>
              <w:rPr>
                <w:rFonts w:hint="default" w:ascii="Times New Roman" w:hAnsi="Times New Roman" w:eastAsia="仿宋_GB2312" w:cs="Times New Roman"/>
                <w:b w:val="0"/>
                <w:bCs w:val="0"/>
                <w:color w:val="auto"/>
                <w:sz w:val="21"/>
                <w:szCs w:val="21"/>
                <w:highlight w:val="none"/>
                <w:lang w:val="en-US" w:eastAsia="zh-CN"/>
              </w:rPr>
              <w:t>分</w:t>
            </w:r>
            <w:r>
              <w:rPr>
                <w:rFonts w:hint="default" w:ascii="Times New Roman" w:hAnsi="Times New Roman" w:eastAsia="仿宋_GB2312" w:cs="Times New Roman"/>
                <w:b w:val="0"/>
                <w:bCs w:val="0"/>
                <w:color w:val="auto"/>
                <w:sz w:val="21"/>
                <w:szCs w:val="21"/>
                <w:highlight w:val="none"/>
                <w:lang w:eastAsia="zh-CN"/>
              </w:rPr>
              <w:t>。</w:t>
            </w:r>
          </w:p>
        </w:tc>
        <w:tc>
          <w:tcPr>
            <w:tcW w:w="530" w:type="dxa"/>
            <w:noWrap w:val="0"/>
            <w:vAlign w:val="center"/>
          </w:tcPr>
          <w:p w14:paraId="7E105710">
            <w:pPr>
              <w:spacing w:line="360" w:lineRule="exact"/>
              <w:jc w:val="center"/>
              <w:rPr>
                <w:rFonts w:hint="default" w:ascii="Times New Roman" w:hAnsi="Times New Roman" w:eastAsia="方正仿宋_GBK" w:cs="Times New Roman"/>
                <w:b/>
                <w:bCs/>
                <w:color w:val="auto"/>
                <w:sz w:val="32"/>
                <w:szCs w:val="32"/>
                <w:highlight w:val="none"/>
              </w:rPr>
            </w:pPr>
          </w:p>
        </w:tc>
        <w:tc>
          <w:tcPr>
            <w:tcW w:w="623" w:type="dxa"/>
            <w:noWrap w:val="0"/>
            <w:vAlign w:val="center"/>
          </w:tcPr>
          <w:p w14:paraId="0F1CABAB">
            <w:pPr>
              <w:spacing w:line="360" w:lineRule="exact"/>
              <w:jc w:val="center"/>
              <w:rPr>
                <w:rFonts w:hint="default" w:ascii="Times New Roman" w:hAnsi="Times New Roman" w:eastAsia="方正仿宋_GBK" w:cs="Times New Roman"/>
                <w:b/>
                <w:bCs/>
                <w:color w:val="auto"/>
                <w:sz w:val="32"/>
                <w:szCs w:val="32"/>
                <w:highlight w:val="none"/>
              </w:rPr>
            </w:pPr>
          </w:p>
        </w:tc>
      </w:tr>
      <w:tr w14:paraId="25E0A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blHeader/>
        </w:trPr>
        <w:tc>
          <w:tcPr>
            <w:tcW w:w="3174" w:type="dxa"/>
            <w:gridSpan w:val="3"/>
            <w:noWrap w:val="0"/>
            <w:vAlign w:val="center"/>
          </w:tcPr>
          <w:p w14:paraId="48A73AB4">
            <w:pPr>
              <w:spacing w:line="400" w:lineRule="exact"/>
              <w:jc w:val="center"/>
              <w:rPr>
                <w:rFonts w:hint="default" w:ascii="Times New Roman" w:hAnsi="Times New Roman" w:eastAsia="方正仿宋_GBK" w:cs="Times New Roman"/>
                <w:b/>
                <w:bCs/>
                <w:color w:val="auto"/>
                <w:sz w:val="32"/>
                <w:szCs w:val="32"/>
                <w:highlight w:val="none"/>
                <w:lang w:eastAsia="zh-CN"/>
              </w:rPr>
            </w:pPr>
            <w:r>
              <w:rPr>
                <w:rFonts w:eastAsia="仿宋"/>
                <w:b/>
                <w:bCs/>
                <w:color w:val="auto"/>
                <w:sz w:val="28"/>
                <w:szCs w:val="28"/>
                <w:highlight w:val="none"/>
              </w:rPr>
              <w:t>一票否决项</w:t>
            </w:r>
          </w:p>
        </w:tc>
        <w:tc>
          <w:tcPr>
            <w:tcW w:w="10293" w:type="dxa"/>
            <w:noWrap w:val="0"/>
            <w:vAlign w:val="center"/>
          </w:tcPr>
          <w:p w14:paraId="2DB0E1E0">
            <w:pPr>
              <w:numPr>
                <w:ilvl w:val="0"/>
                <w:numId w:val="0"/>
              </w:numPr>
              <w:spacing w:line="280" w:lineRule="exact"/>
              <w:rPr>
                <w:rFonts w:hint="eastAsia" w:ascii="仿宋_GB2312" w:hAnsi="仿宋_GB2312" w:eastAsia="仿宋_GB2312" w:cs="仿宋_GB2312"/>
                <w:color w:val="auto"/>
                <w:kern w:val="2"/>
                <w:sz w:val="21"/>
                <w:szCs w:val="21"/>
                <w:highlight w:val="none"/>
              </w:rPr>
            </w:pPr>
            <w:r>
              <w:rPr>
                <w:rFonts w:hint="eastAsia"/>
                <w:color w:val="auto"/>
                <w:kern w:val="2"/>
                <w:sz w:val="21"/>
                <w:szCs w:val="21"/>
                <w:highlight w:val="none"/>
                <w:lang w:val="en-US" w:eastAsia="zh-CN"/>
              </w:rPr>
              <w:t xml:space="preserve">    </w:t>
            </w:r>
            <w:r>
              <w:rPr>
                <w:rFonts w:hint="eastAsia" w:ascii="仿宋_GB2312" w:hAnsi="仿宋_GB2312" w:eastAsia="仿宋_GB2312" w:cs="仿宋_GB2312"/>
                <w:color w:val="auto"/>
                <w:kern w:val="2"/>
                <w:sz w:val="21"/>
                <w:szCs w:val="21"/>
                <w:highlight w:val="none"/>
                <w:lang w:val="en-US" w:eastAsia="zh-CN"/>
              </w:rPr>
              <w:t xml:space="preserve"> 地方资产管理公司</w:t>
            </w:r>
            <w:r>
              <w:rPr>
                <w:rFonts w:hint="eastAsia" w:ascii="仿宋_GB2312" w:hAnsi="仿宋_GB2312" w:eastAsia="仿宋_GB2312" w:cs="仿宋_GB2312"/>
                <w:color w:val="auto"/>
                <w:kern w:val="2"/>
                <w:sz w:val="21"/>
                <w:szCs w:val="21"/>
                <w:highlight w:val="none"/>
              </w:rPr>
              <w:t>存在以下</w:t>
            </w:r>
            <w:r>
              <w:rPr>
                <w:rFonts w:hint="eastAsia" w:ascii="仿宋_GB2312" w:hAnsi="仿宋_GB2312" w:eastAsia="仿宋_GB2312" w:cs="仿宋_GB2312"/>
                <w:color w:val="auto"/>
                <w:kern w:val="2"/>
                <w:sz w:val="21"/>
                <w:szCs w:val="21"/>
                <w:highlight w:val="none"/>
                <w:lang w:eastAsia="zh-CN"/>
              </w:rPr>
              <w:t>违法</w:t>
            </w:r>
            <w:r>
              <w:rPr>
                <w:rFonts w:hint="eastAsia" w:ascii="仿宋_GB2312" w:hAnsi="仿宋_GB2312" w:eastAsia="仿宋_GB2312" w:cs="仿宋_GB2312"/>
                <w:color w:val="auto"/>
                <w:kern w:val="2"/>
                <w:sz w:val="21"/>
                <w:szCs w:val="21"/>
                <w:highlight w:val="none"/>
              </w:rPr>
              <w:t>违规情形的，直接定为D级：</w:t>
            </w:r>
          </w:p>
          <w:p w14:paraId="6C4FFBF0">
            <w:pPr>
              <w:numPr>
                <w:ilvl w:val="0"/>
                <w:numId w:val="4"/>
              </w:numPr>
              <w:spacing w:line="280" w:lineRule="exact"/>
              <w:ind w:left="0" w:leftChars="0" w:firstLine="420" w:firstLineChars="200"/>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kern w:val="2"/>
                <w:sz w:val="21"/>
                <w:szCs w:val="21"/>
                <w:highlight w:val="none"/>
                <w:lang w:eastAsia="zh-CN"/>
              </w:rPr>
              <w:t>组织或参与</w:t>
            </w:r>
            <w:r>
              <w:rPr>
                <w:rFonts w:hint="eastAsia" w:ascii="仿宋_GB2312" w:hAnsi="仿宋_GB2312" w:eastAsia="仿宋_GB2312" w:cs="仿宋_GB2312"/>
                <w:color w:val="auto"/>
                <w:sz w:val="21"/>
                <w:szCs w:val="21"/>
                <w:highlight w:val="none"/>
              </w:rPr>
              <w:t>非法集资</w:t>
            </w:r>
            <w:r>
              <w:rPr>
                <w:rFonts w:hint="eastAsia" w:ascii="仿宋_GB2312" w:hAnsi="仿宋_GB2312" w:eastAsia="仿宋_GB2312" w:cs="仿宋_GB2312"/>
                <w:color w:val="auto"/>
                <w:sz w:val="21"/>
                <w:szCs w:val="21"/>
                <w:highlight w:val="none"/>
                <w:lang w:eastAsia="zh-CN"/>
              </w:rPr>
              <w:t>活动；</w:t>
            </w:r>
          </w:p>
          <w:p w14:paraId="429296A8">
            <w:pPr>
              <w:numPr>
                <w:ilvl w:val="0"/>
                <w:numId w:val="0"/>
              </w:numPr>
              <w:spacing w:line="280" w:lineRule="exact"/>
              <w:rPr>
                <w:rFonts w:hint="eastAsia"/>
                <w:color w:val="auto"/>
                <w:sz w:val="21"/>
                <w:szCs w:val="21"/>
                <w:highlight w:val="none"/>
                <w:lang w:eastAsia="zh-CN"/>
              </w:rPr>
            </w:pPr>
            <w:r>
              <w:rPr>
                <w:rFonts w:hint="default" w:ascii="仿宋_GB2312" w:hAnsi="仿宋_GB2312" w:cs="仿宋_GB2312"/>
                <w:color w:val="auto"/>
                <w:kern w:val="2"/>
                <w:sz w:val="21"/>
                <w:szCs w:val="21"/>
                <w:highlight w:val="none"/>
                <w:lang w:val="en"/>
              </w:rPr>
              <w:t xml:space="preserve">    （2）</w:t>
            </w:r>
            <w:r>
              <w:rPr>
                <w:rFonts w:hint="eastAsia" w:ascii="仿宋_GB2312" w:hAnsi="仿宋_GB2312" w:eastAsia="仿宋_GB2312" w:cs="仿宋_GB2312"/>
                <w:color w:val="auto"/>
                <w:kern w:val="2"/>
                <w:sz w:val="21"/>
                <w:szCs w:val="21"/>
                <w:highlight w:val="none"/>
              </w:rPr>
              <w:t>抽逃注册资本</w:t>
            </w:r>
            <w:r>
              <w:rPr>
                <w:rFonts w:hint="eastAsia" w:ascii="仿宋_GB2312" w:hAnsi="仿宋_GB2312" w:eastAsia="仿宋_GB2312" w:cs="仿宋_GB2312"/>
                <w:color w:val="auto"/>
                <w:kern w:val="2"/>
                <w:sz w:val="21"/>
                <w:szCs w:val="21"/>
                <w:highlight w:val="none"/>
                <w:lang w:eastAsia="zh-CN"/>
              </w:rPr>
              <w:t>且</w:t>
            </w:r>
            <w:r>
              <w:rPr>
                <w:rFonts w:hint="eastAsia" w:ascii="仿宋_GB2312" w:hAnsi="仿宋_GB2312" w:eastAsia="仿宋_GB2312" w:cs="仿宋_GB2312"/>
                <w:color w:val="auto"/>
                <w:kern w:val="2"/>
                <w:sz w:val="21"/>
                <w:szCs w:val="21"/>
                <w:highlight w:val="none"/>
              </w:rPr>
              <w:t>拒不回补</w:t>
            </w:r>
            <w:r>
              <w:rPr>
                <w:rFonts w:hint="eastAsia" w:ascii="仿宋_GB2312" w:hAnsi="仿宋_GB2312" w:cs="仿宋_GB2312"/>
                <w:color w:val="auto"/>
                <w:kern w:val="2"/>
                <w:sz w:val="21"/>
                <w:szCs w:val="21"/>
                <w:highlight w:val="none"/>
                <w:lang w:eastAsia="zh-CN"/>
              </w:rPr>
              <w:t>，</w:t>
            </w:r>
            <w:r>
              <w:rPr>
                <w:rFonts w:hint="eastAsia" w:ascii="仿宋_GB2312" w:hAnsi="仿宋_GB2312" w:eastAsia="仿宋_GB2312" w:cs="仿宋_GB2312"/>
                <w:color w:val="auto"/>
                <w:kern w:val="2"/>
                <w:sz w:val="21"/>
                <w:szCs w:val="21"/>
                <w:highlight w:val="none"/>
              </w:rPr>
              <w:t>账外经营或账证资料虚假</w:t>
            </w:r>
            <w:r>
              <w:rPr>
                <w:rFonts w:hint="eastAsia" w:ascii="仿宋_GB2312" w:hAnsi="仿宋_GB2312" w:cs="仿宋_GB2312"/>
                <w:color w:val="auto"/>
                <w:kern w:val="2"/>
                <w:sz w:val="21"/>
                <w:szCs w:val="21"/>
                <w:highlight w:val="none"/>
                <w:lang w:eastAsia="zh-CN"/>
              </w:rPr>
              <w:t>；</w:t>
            </w:r>
          </w:p>
          <w:p w14:paraId="06273ED6">
            <w:pPr>
              <w:pStyle w:val="2"/>
              <w:rPr>
                <w:rFonts w:hint="default"/>
                <w:color w:val="auto"/>
                <w:sz w:val="21"/>
                <w:szCs w:val="21"/>
                <w:highlight w:val="none"/>
                <w:lang w:val="en" w:eastAsia="zh-CN"/>
              </w:rPr>
            </w:pPr>
            <w:r>
              <w:rPr>
                <w:rFonts w:hint="default"/>
                <w:color w:val="auto"/>
                <w:sz w:val="21"/>
                <w:szCs w:val="21"/>
                <w:highlight w:val="none"/>
                <w:lang w:val="en" w:eastAsia="zh-CN"/>
              </w:rPr>
              <w:t xml:space="preserve">    （3）发生群体性上访投诉或重大负面舆情；</w:t>
            </w:r>
          </w:p>
          <w:p w14:paraId="74B49FDF">
            <w:pPr>
              <w:numPr>
                <w:ilvl w:val="0"/>
                <w:numId w:val="0"/>
              </w:numPr>
              <w:spacing w:line="280" w:lineRule="exact"/>
              <w:ind w:left="0" w:leftChars="0" w:firstLine="420" w:firstLineChars="200"/>
              <w:rPr>
                <w:rFonts w:hint="default" w:ascii="Times New Roman" w:hAnsi="Times New Roman" w:eastAsia="仿宋" w:cs="Times New Roman"/>
                <w:color w:val="auto"/>
                <w:sz w:val="21"/>
                <w:szCs w:val="21"/>
                <w:highlight w:val="none"/>
                <w:lang w:eastAsia="zh-CN"/>
              </w:rPr>
            </w:pPr>
            <w:r>
              <w:rPr>
                <w:rFonts w:hint="eastAsia" w:ascii="仿宋_GB2312" w:hAnsi="仿宋_GB2312" w:eastAsia="仿宋_GB2312" w:cs="仿宋_GB2312"/>
                <w:color w:val="auto"/>
                <w:kern w:val="2"/>
                <w:sz w:val="21"/>
                <w:szCs w:val="21"/>
                <w:highlight w:val="none"/>
                <w:lang w:eastAsia="zh-CN"/>
              </w:rPr>
              <w:t>（</w:t>
            </w:r>
            <w:r>
              <w:rPr>
                <w:rFonts w:hint="eastAsia" w:ascii="仿宋_GB2312" w:hAnsi="仿宋_GB2312" w:eastAsia="仿宋_GB2312" w:cs="仿宋_GB2312"/>
                <w:color w:val="auto"/>
                <w:kern w:val="2"/>
                <w:sz w:val="21"/>
                <w:szCs w:val="21"/>
                <w:highlight w:val="none"/>
                <w:lang w:val="en-US" w:eastAsia="zh-CN"/>
              </w:rPr>
              <w:t>4</w:t>
            </w:r>
            <w:r>
              <w:rPr>
                <w:rFonts w:hint="eastAsia" w:ascii="仿宋_GB2312" w:hAnsi="仿宋_GB2312" w:eastAsia="仿宋_GB2312" w:cs="仿宋_GB2312"/>
                <w:color w:val="auto"/>
                <w:kern w:val="2"/>
                <w:sz w:val="21"/>
                <w:szCs w:val="21"/>
                <w:highlight w:val="none"/>
                <w:lang w:eastAsia="zh-CN"/>
              </w:rPr>
              <w:t>）</w:t>
            </w:r>
            <w:r>
              <w:rPr>
                <w:rFonts w:hint="eastAsia" w:ascii="仿宋_GB2312" w:hAnsi="仿宋_GB2312" w:eastAsia="仿宋_GB2312" w:cs="仿宋_GB2312"/>
                <w:color w:val="auto"/>
                <w:kern w:val="2"/>
                <w:sz w:val="21"/>
                <w:szCs w:val="21"/>
                <w:highlight w:val="none"/>
              </w:rPr>
              <w:t>拒绝、阻挠或不配合</w:t>
            </w:r>
            <w:r>
              <w:rPr>
                <w:rFonts w:hint="eastAsia" w:ascii="仿宋_GB2312" w:hAnsi="仿宋_GB2312" w:eastAsia="仿宋_GB2312" w:cs="仿宋_GB2312"/>
                <w:color w:val="auto"/>
                <w:kern w:val="2"/>
                <w:sz w:val="21"/>
                <w:szCs w:val="21"/>
                <w:highlight w:val="none"/>
                <w:lang w:eastAsia="zh-CN"/>
              </w:rPr>
              <w:t>地方金融</w:t>
            </w:r>
            <w:r>
              <w:rPr>
                <w:rFonts w:hint="eastAsia" w:ascii="仿宋_GB2312" w:hAnsi="仿宋_GB2312" w:cs="仿宋_GB2312"/>
                <w:color w:val="auto"/>
                <w:kern w:val="2"/>
                <w:sz w:val="21"/>
                <w:szCs w:val="21"/>
                <w:highlight w:val="none"/>
                <w:lang w:eastAsia="zh-CN"/>
              </w:rPr>
              <w:t>管理</w:t>
            </w:r>
            <w:r>
              <w:rPr>
                <w:rFonts w:hint="eastAsia" w:ascii="仿宋_GB2312" w:hAnsi="仿宋_GB2312" w:eastAsia="仿宋_GB2312" w:cs="仿宋_GB2312"/>
                <w:color w:val="auto"/>
                <w:kern w:val="2"/>
                <w:sz w:val="21"/>
                <w:szCs w:val="21"/>
                <w:highlight w:val="none"/>
              </w:rPr>
              <w:t>部门</w:t>
            </w:r>
            <w:r>
              <w:rPr>
                <w:rFonts w:hint="default" w:ascii="仿宋_GB2312" w:hAnsi="仿宋_GB2312" w:cs="仿宋_GB2312"/>
                <w:color w:val="auto"/>
                <w:kern w:val="2"/>
                <w:sz w:val="21"/>
                <w:szCs w:val="21"/>
                <w:highlight w:val="none"/>
                <w:lang w:val="en"/>
              </w:rPr>
              <w:t>开展考核评价与</w:t>
            </w:r>
            <w:r>
              <w:rPr>
                <w:rFonts w:hint="eastAsia" w:ascii="仿宋_GB2312" w:hAnsi="仿宋_GB2312" w:eastAsia="仿宋_GB2312" w:cs="仿宋_GB2312"/>
                <w:color w:val="auto"/>
                <w:kern w:val="2"/>
                <w:sz w:val="21"/>
                <w:szCs w:val="21"/>
                <w:highlight w:val="none"/>
              </w:rPr>
              <w:t>现场检查</w:t>
            </w:r>
            <w:r>
              <w:rPr>
                <w:rFonts w:hint="eastAsia" w:ascii="仿宋_GB2312" w:hAnsi="仿宋_GB2312" w:eastAsia="仿宋_GB2312" w:cs="仿宋_GB2312"/>
                <w:color w:val="auto"/>
                <w:kern w:val="2"/>
                <w:sz w:val="21"/>
                <w:szCs w:val="21"/>
                <w:highlight w:val="none"/>
                <w:lang w:eastAsia="zh-CN"/>
              </w:rPr>
              <w:t>。</w:t>
            </w:r>
          </w:p>
        </w:tc>
        <w:tc>
          <w:tcPr>
            <w:tcW w:w="530" w:type="dxa"/>
            <w:noWrap w:val="0"/>
            <w:vAlign w:val="center"/>
          </w:tcPr>
          <w:p w14:paraId="727294D0">
            <w:pPr>
              <w:spacing w:line="360" w:lineRule="exact"/>
              <w:jc w:val="center"/>
              <w:rPr>
                <w:rFonts w:hint="default" w:ascii="Times New Roman" w:hAnsi="Times New Roman" w:eastAsia="方正仿宋_GBK" w:cs="Times New Roman"/>
                <w:b/>
                <w:bCs/>
                <w:color w:val="auto"/>
                <w:sz w:val="32"/>
                <w:szCs w:val="32"/>
                <w:highlight w:val="none"/>
              </w:rPr>
            </w:pPr>
          </w:p>
        </w:tc>
        <w:tc>
          <w:tcPr>
            <w:tcW w:w="623" w:type="dxa"/>
            <w:noWrap w:val="0"/>
            <w:vAlign w:val="center"/>
          </w:tcPr>
          <w:p w14:paraId="60472D24">
            <w:pPr>
              <w:spacing w:line="360" w:lineRule="exact"/>
              <w:jc w:val="center"/>
              <w:rPr>
                <w:rFonts w:hint="default" w:ascii="Times New Roman" w:hAnsi="Times New Roman" w:eastAsia="方正仿宋_GBK" w:cs="Times New Roman"/>
                <w:b/>
                <w:bCs/>
                <w:color w:val="auto"/>
                <w:sz w:val="32"/>
                <w:szCs w:val="32"/>
                <w:highlight w:val="none"/>
              </w:rPr>
            </w:pPr>
          </w:p>
        </w:tc>
      </w:tr>
      <w:tr w14:paraId="3D9B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blHeader/>
        </w:trPr>
        <w:tc>
          <w:tcPr>
            <w:tcW w:w="3174" w:type="dxa"/>
            <w:gridSpan w:val="3"/>
            <w:noWrap w:val="0"/>
            <w:vAlign w:val="center"/>
          </w:tcPr>
          <w:p w14:paraId="164DAA58">
            <w:pPr>
              <w:spacing w:line="400" w:lineRule="exact"/>
              <w:jc w:val="center"/>
              <w:rPr>
                <w:rFonts w:hint="default" w:ascii="Times New Roman" w:hAnsi="Times New Roman" w:eastAsia="方正仿宋_GBK" w:cs="Times New Roman"/>
                <w:b/>
                <w:bCs/>
                <w:color w:val="auto"/>
                <w:sz w:val="28"/>
                <w:szCs w:val="28"/>
                <w:highlight w:val="none"/>
                <w:lang w:eastAsia="zh-CN"/>
              </w:rPr>
            </w:pPr>
            <w:r>
              <w:rPr>
                <w:rFonts w:eastAsia="仿宋"/>
                <w:b/>
                <w:bCs/>
                <w:color w:val="auto"/>
                <w:sz w:val="28"/>
                <w:szCs w:val="28"/>
                <w:highlight w:val="none"/>
              </w:rPr>
              <w:t>专家调整项</w:t>
            </w:r>
          </w:p>
        </w:tc>
        <w:tc>
          <w:tcPr>
            <w:tcW w:w="10293" w:type="dxa"/>
            <w:noWrap w:val="0"/>
            <w:vAlign w:val="center"/>
          </w:tcPr>
          <w:p w14:paraId="266B373F">
            <w:pPr>
              <w:spacing w:line="280" w:lineRule="exact"/>
              <w:ind w:firstLine="420" w:firstLineChars="200"/>
              <w:rPr>
                <w:rFonts w:hint="eastAsia"/>
                <w:color w:val="auto"/>
                <w:sz w:val="21"/>
                <w:highlight w:val="none"/>
              </w:rPr>
            </w:pPr>
            <w:r>
              <w:rPr>
                <w:rFonts w:hint="eastAsia"/>
                <w:color w:val="auto"/>
                <w:sz w:val="21"/>
                <w:highlight w:val="none"/>
              </w:rPr>
              <w:t>1.</w:t>
            </w:r>
            <w:r>
              <w:rPr>
                <w:rFonts w:hint="eastAsia"/>
                <w:color w:val="auto"/>
                <w:sz w:val="21"/>
                <w:highlight w:val="none"/>
                <w:lang w:eastAsia="zh-CN"/>
              </w:rPr>
              <w:t>在创新业务模式、助企紓困解难、防范化解区域性金融风险等方面成效</w:t>
            </w:r>
            <w:r>
              <w:rPr>
                <w:rFonts w:hint="eastAsia"/>
                <w:color w:val="auto"/>
                <w:sz w:val="21"/>
                <w:highlight w:val="none"/>
              </w:rPr>
              <w:t>显著</w:t>
            </w:r>
            <w:r>
              <w:rPr>
                <w:rFonts w:hint="eastAsia"/>
                <w:color w:val="auto"/>
                <w:sz w:val="21"/>
                <w:highlight w:val="none"/>
                <w:lang w:eastAsia="zh-CN"/>
              </w:rPr>
              <w:t>的</w:t>
            </w:r>
            <w:r>
              <w:rPr>
                <w:rFonts w:hint="eastAsia"/>
                <w:color w:val="auto"/>
                <w:sz w:val="21"/>
                <w:highlight w:val="none"/>
              </w:rPr>
              <w:t>，</w:t>
            </w:r>
            <w:r>
              <w:rPr>
                <w:rFonts w:hint="eastAsia"/>
                <w:color w:val="auto"/>
                <w:sz w:val="21"/>
                <w:highlight w:val="none"/>
                <w:lang w:eastAsia="zh-CN"/>
              </w:rPr>
              <w:t>经</w:t>
            </w:r>
            <w:r>
              <w:rPr>
                <w:rFonts w:hint="eastAsia"/>
                <w:color w:val="auto"/>
                <w:sz w:val="21"/>
                <w:highlight w:val="none"/>
              </w:rPr>
              <w:t>专家</w:t>
            </w:r>
            <w:r>
              <w:rPr>
                <w:rFonts w:hint="eastAsia"/>
                <w:color w:val="auto"/>
                <w:sz w:val="21"/>
                <w:highlight w:val="none"/>
                <w:lang w:eastAsia="zh-CN"/>
              </w:rPr>
              <w:t>会商后可以适当增加评分或调高</w:t>
            </w:r>
            <w:r>
              <w:rPr>
                <w:rFonts w:hint="eastAsia"/>
                <w:color w:val="auto"/>
                <w:sz w:val="21"/>
                <w:highlight w:val="none"/>
              </w:rPr>
              <w:t>1个</w:t>
            </w:r>
            <w:r>
              <w:rPr>
                <w:rFonts w:hint="eastAsia"/>
                <w:color w:val="auto"/>
                <w:sz w:val="21"/>
                <w:highlight w:val="none"/>
                <w:lang w:eastAsia="zh-CN"/>
              </w:rPr>
              <w:t>评级</w:t>
            </w:r>
            <w:r>
              <w:rPr>
                <w:rFonts w:hint="eastAsia"/>
                <w:color w:val="auto"/>
                <w:sz w:val="21"/>
                <w:highlight w:val="none"/>
              </w:rPr>
              <w:t>。</w:t>
            </w:r>
          </w:p>
          <w:p w14:paraId="3EC9EF46">
            <w:pPr>
              <w:spacing w:line="280" w:lineRule="exact"/>
              <w:ind w:firstLine="420" w:firstLineChars="200"/>
              <w:rPr>
                <w:rFonts w:hint="default" w:ascii="Times New Roman" w:hAnsi="Times New Roman" w:eastAsia="仿宋" w:cs="Times New Roman"/>
                <w:color w:val="auto"/>
                <w:sz w:val="21"/>
                <w:szCs w:val="21"/>
                <w:highlight w:val="none"/>
                <w:lang w:eastAsia="zh-CN"/>
              </w:rPr>
            </w:pPr>
            <w:r>
              <w:rPr>
                <w:rFonts w:hint="eastAsia"/>
                <w:color w:val="auto"/>
                <w:sz w:val="21"/>
                <w:highlight w:val="none"/>
              </w:rPr>
              <w:t>2.有</w:t>
            </w:r>
            <w:r>
              <w:rPr>
                <w:rFonts w:hint="eastAsia"/>
                <w:color w:val="auto"/>
                <w:sz w:val="21"/>
                <w:highlight w:val="none"/>
                <w:lang w:eastAsia="zh-CN"/>
              </w:rPr>
              <w:t>违法</w:t>
            </w:r>
            <w:r>
              <w:rPr>
                <w:rFonts w:hint="eastAsia"/>
                <w:color w:val="auto"/>
                <w:sz w:val="21"/>
                <w:highlight w:val="none"/>
              </w:rPr>
              <w:t>违规</w:t>
            </w:r>
            <w:r>
              <w:rPr>
                <w:rFonts w:hint="eastAsia"/>
                <w:color w:val="auto"/>
                <w:sz w:val="21"/>
                <w:highlight w:val="none"/>
                <w:lang w:eastAsia="zh-CN"/>
              </w:rPr>
              <w:t>情形或负面舆情</w:t>
            </w:r>
            <w:r>
              <w:rPr>
                <w:rFonts w:hint="eastAsia"/>
                <w:color w:val="auto"/>
                <w:sz w:val="21"/>
                <w:highlight w:val="none"/>
              </w:rPr>
              <w:t>，且</w:t>
            </w:r>
            <w:r>
              <w:rPr>
                <w:rFonts w:hint="eastAsia"/>
                <w:color w:val="auto"/>
                <w:sz w:val="21"/>
                <w:highlight w:val="none"/>
                <w:lang w:eastAsia="zh-CN"/>
              </w:rPr>
              <w:t>评分</w:t>
            </w:r>
            <w:r>
              <w:rPr>
                <w:rFonts w:hint="eastAsia"/>
                <w:color w:val="auto"/>
                <w:sz w:val="21"/>
                <w:highlight w:val="none"/>
              </w:rPr>
              <w:t>偏高的，</w:t>
            </w:r>
            <w:r>
              <w:rPr>
                <w:rFonts w:hint="eastAsia"/>
                <w:color w:val="auto"/>
                <w:sz w:val="21"/>
                <w:highlight w:val="none"/>
                <w:lang w:eastAsia="zh-CN"/>
              </w:rPr>
              <w:t>经</w:t>
            </w:r>
            <w:r>
              <w:rPr>
                <w:rFonts w:hint="eastAsia"/>
                <w:color w:val="auto"/>
                <w:sz w:val="21"/>
                <w:highlight w:val="none"/>
              </w:rPr>
              <w:t>专家</w:t>
            </w:r>
            <w:r>
              <w:rPr>
                <w:rFonts w:hint="eastAsia"/>
                <w:color w:val="auto"/>
                <w:sz w:val="21"/>
                <w:highlight w:val="none"/>
                <w:lang w:eastAsia="zh-CN"/>
              </w:rPr>
              <w:t>会商后可以适当扣减评分或调低</w:t>
            </w:r>
            <w:r>
              <w:rPr>
                <w:rFonts w:hint="eastAsia"/>
                <w:color w:val="auto"/>
                <w:sz w:val="21"/>
                <w:highlight w:val="none"/>
                <w:lang w:val="en-US" w:eastAsia="zh-CN"/>
              </w:rPr>
              <w:t>1个评级</w:t>
            </w:r>
            <w:r>
              <w:rPr>
                <w:rFonts w:hint="eastAsia"/>
                <w:color w:val="auto"/>
                <w:sz w:val="21"/>
                <w:highlight w:val="none"/>
              </w:rPr>
              <w:t>。</w:t>
            </w:r>
            <w:r>
              <w:rPr>
                <w:color w:val="auto"/>
                <w:sz w:val="21"/>
                <w:highlight w:val="none"/>
              </w:rPr>
              <w:t xml:space="preserve"> </w:t>
            </w:r>
          </w:p>
        </w:tc>
        <w:tc>
          <w:tcPr>
            <w:tcW w:w="530" w:type="dxa"/>
            <w:noWrap w:val="0"/>
            <w:vAlign w:val="center"/>
          </w:tcPr>
          <w:p w14:paraId="6A695E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
                <w:bCs/>
                <w:color w:val="auto"/>
                <w:sz w:val="32"/>
                <w:szCs w:val="32"/>
                <w:highlight w:val="none"/>
              </w:rPr>
            </w:pPr>
          </w:p>
        </w:tc>
        <w:tc>
          <w:tcPr>
            <w:tcW w:w="623" w:type="dxa"/>
            <w:noWrap w:val="0"/>
            <w:vAlign w:val="center"/>
          </w:tcPr>
          <w:p w14:paraId="07B88C9B">
            <w:pPr>
              <w:spacing w:line="360" w:lineRule="exact"/>
              <w:jc w:val="center"/>
              <w:rPr>
                <w:rFonts w:hint="default" w:ascii="Times New Roman" w:hAnsi="Times New Roman" w:eastAsia="方正仿宋_GBK" w:cs="Times New Roman"/>
                <w:b/>
                <w:bCs/>
                <w:color w:val="auto"/>
                <w:sz w:val="32"/>
                <w:szCs w:val="32"/>
                <w:highlight w:val="none"/>
              </w:rPr>
            </w:pPr>
          </w:p>
        </w:tc>
      </w:tr>
      <w:tr w14:paraId="0FB2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trPr>
        <w:tc>
          <w:tcPr>
            <w:tcW w:w="3174" w:type="dxa"/>
            <w:gridSpan w:val="3"/>
            <w:noWrap w:val="0"/>
            <w:vAlign w:val="center"/>
          </w:tcPr>
          <w:p w14:paraId="0C480A41">
            <w:pPr>
              <w:spacing w:line="400" w:lineRule="exact"/>
              <w:jc w:val="center"/>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28"/>
                <w:szCs w:val="28"/>
                <w:highlight w:val="none"/>
                <w:lang w:eastAsia="zh-CN"/>
              </w:rPr>
              <w:t>合计</w:t>
            </w:r>
          </w:p>
        </w:tc>
        <w:tc>
          <w:tcPr>
            <w:tcW w:w="10293" w:type="dxa"/>
            <w:noWrap w:val="0"/>
            <w:vAlign w:val="center"/>
          </w:tcPr>
          <w:p w14:paraId="2E8B4DEA">
            <w:pPr>
              <w:spacing w:line="400" w:lineRule="exact"/>
              <w:jc w:val="center"/>
              <w:rPr>
                <w:rFonts w:hint="default" w:ascii="Times New Roman" w:hAnsi="Times New Roman" w:eastAsia="仿宋" w:cs="Times New Roman"/>
                <w:color w:val="auto"/>
                <w:sz w:val="21"/>
                <w:szCs w:val="21"/>
                <w:highlight w:val="none"/>
                <w:lang w:eastAsia="zh-CN"/>
              </w:rPr>
            </w:pPr>
          </w:p>
        </w:tc>
        <w:tc>
          <w:tcPr>
            <w:tcW w:w="530" w:type="dxa"/>
            <w:noWrap w:val="0"/>
            <w:vAlign w:val="center"/>
          </w:tcPr>
          <w:p w14:paraId="5F6555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
                <w:bCs/>
                <w:color w:val="auto"/>
                <w:sz w:val="32"/>
                <w:szCs w:val="32"/>
                <w:highlight w:val="none"/>
              </w:rPr>
            </w:pPr>
          </w:p>
        </w:tc>
        <w:tc>
          <w:tcPr>
            <w:tcW w:w="623" w:type="dxa"/>
            <w:noWrap w:val="0"/>
            <w:vAlign w:val="center"/>
          </w:tcPr>
          <w:p w14:paraId="31C561D4">
            <w:pPr>
              <w:spacing w:line="360" w:lineRule="exact"/>
              <w:jc w:val="center"/>
              <w:rPr>
                <w:rFonts w:hint="default" w:ascii="Times New Roman" w:hAnsi="Times New Roman" w:eastAsia="方正仿宋_GBK" w:cs="Times New Roman"/>
                <w:b/>
                <w:bCs/>
                <w:color w:val="auto"/>
                <w:sz w:val="32"/>
                <w:szCs w:val="32"/>
                <w:highlight w:val="none"/>
              </w:rPr>
            </w:pPr>
          </w:p>
        </w:tc>
      </w:tr>
    </w:tbl>
    <w:p w14:paraId="248BCB55">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outlineLvl w:val="9"/>
        <w:rPr>
          <w:rFonts w:hint="default" w:ascii="仿宋_GB2312" w:hAnsi="仿宋_GB2312" w:eastAsia="仿宋_GB2312" w:cs="仿宋_GB2312"/>
          <w:color w:val="auto"/>
          <w:sz w:val="28"/>
          <w:szCs w:val="28"/>
          <w:highlight w:val="none"/>
          <w:lang w:val="en-US" w:eastAsia="zh-CN"/>
        </w:rPr>
      </w:pPr>
    </w:p>
    <w:p w14:paraId="71FDC197">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14:paraId="52EA8B05">
      <w:pPr>
        <w:pStyle w:val="2"/>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4：</w:t>
      </w:r>
    </w:p>
    <w:p w14:paraId="242973D1">
      <w:pPr>
        <w:spacing w:line="540" w:lineRule="exact"/>
        <w:jc w:val="center"/>
        <w:rPr>
          <w:rFonts w:hint="default" w:ascii="Times New Roman" w:hAnsi="Times New Roman" w:eastAsia="方正小标宋_GBK" w:cs="Times New Roman"/>
          <w:b w:val="0"/>
          <w:bCs w:val="0"/>
          <w:color w:val="auto"/>
          <w:spacing w:val="0"/>
          <w:kern w:val="0"/>
          <w:sz w:val="36"/>
          <w:szCs w:val="36"/>
          <w:highlight w:val="none"/>
          <w:lang w:val="en-US" w:eastAsia="zh-CN" w:bidi="ar-SA"/>
        </w:rPr>
      </w:pPr>
      <w:r>
        <w:rPr>
          <w:rFonts w:hint="default" w:ascii="Times New Roman" w:hAnsi="Times New Roman" w:eastAsia="方正小标宋简体" w:cs="Times New Roman"/>
          <w:color w:val="auto"/>
          <w:sz w:val="44"/>
          <w:szCs w:val="44"/>
          <w:highlight w:val="none"/>
        </w:rPr>
        <w:t>广西壮族自治区</w:t>
      </w:r>
      <w:r>
        <w:rPr>
          <w:rFonts w:hint="default" w:ascii="Times New Roman" w:hAnsi="Times New Roman" w:eastAsia="方正小标宋简体" w:cs="Times New Roman"/>
          <w:color w:val="auto"/>
          <w:sz w:val="44"/>
          <w:szCs w:val="44"/>
          <w:highlight w:val="none"/>
          <w:lang w:val="en-US" w:eastAsia="zh-CN"/>
        </w:rPr>
        <w:t>融资担保公司</w:t>
      </w:r>
      <w:r>
        <w:rPr>
          <w:rFonts w:hint="default" w:ascii="Times New Roman" w:hAnsi="Times New Roman" w:eastAsia="方正小标宋简体" w:cs="Times New Roman"/>
          <w:color w:val="auto"/>
          <w:sz w:val="44"/>
          <w:szCs w:val="44"/>
          <w:highlight w:val="none"/>
          <w:lang w:eastAsia="zh-CN"/>
        </w:rPr>
        <w:t>202</w:t>
      </w:r>
      <w:r>
        <w:rPr>
          <w:rFonts w:hint="eastAsia" w:ascii="Times New Roman" w:hAnsi="Times New Roman" w:eastAsia="方正小标宋简体" w:cs="Times New Roman"/>
          <w:color w:val="auto"/>
          <w:sz w:val="44"/>
          <w:szCs w:val="44"/>
          <w:highlight w:val="none"/>
          <w:lang w:val="en-US" w:eastAsia="zh-CN"/>
        </w:rPr>
        <w:t>4</w:t>
      </w:r>
      <w:r>
        <w:rPr>
          <w:rFonts w:hint="default" w:ascii="Times New Roman" w:hAnsi="Times New Roman" w:eastAsia="方正小标宋简体" w:cs="Times New Roman"/>
          <w:color w:val="auto"/>
          <w:sz w:val="44"/>
          <w:szCs w:val="44"/>
          <w:highlight w:val="none"/>
          <w:lang w:eastAsia="zh-CN"/>
        </w:rPr>
        <w:t>年</w:t>
      </w:r>
      <w:r>
        <w:rPr>
          <w:rFonts w:hint="default" w:ascii="Times New Roman" w:hAnsi="Times New Roman" w:eastAsia="方正小标宋简体" w:cs="Times New Roman"/>
          <w:color w:val="auto"/>
          <w:sz w:val="44"/>
          <w:szCs w:val="44"/>
          <w:highlight w:val="none"/>
        </w:rPr>
        <w:t>度</w:t>
      </w:r>
      <w:r>
        <w:rPr>
          <w:rFonts w:hint="eastAsia" w:ascii="Times New Roman" w:hAnsi="Times New Roman" w:eastAsia="方正小标宋简体" w:cs="Times New Roman"/>
          <w:color w:val="auto"/>
          <w:sz w:val="44"/>
          <w:szCs w:val="44"/>
          <w:highlight w:val="none"/>
          <w:lang w:val="en-US" w:eastAsia="zh-CN"/>
        </w:rPr>
        <w:t>监管评级</w:t>
      </w:r>
      <w:r>
        <w:rPr>
          <w:rFonts w:hint="default" w:ascii="Times New Roman" w:hAnsi="Times New Roman" w:eastAsia="方正小标宋简体" w:cs="Times New Roman"/>
          <w:color w:val="auto"/>
          <w:sz w:val="44"/>
          <w:szCs w:val="44"/>
          <w:highlight w:val="none"/>
        </w:rPr>
        <w:t>评分表</w:t>
      </w:r>
    </w:p>
    <w:p w14:paraId="4EE98ED1">
      <w:pPr>
        <w:spacing w:line="540" w:lineRule="exact"/>
        <w:jc w:val="center"/>
        <w:rPr>
          <w:rFonts w:hint="default" w:ascii="Times New Roman" w:hAnsi="Times New Roman" w:eastAsia="方正小标宋简体" w:cs="Times New Roman"/>
          <w:color w:val="auto"/>
          <w:sz w:val="32"/>
          <w:szCs w:val="32"/>
          <w:highlight w:val="none"/>
          <w:lang w:val="en-US" w:eastAsia="zh-CN"/>
        </w:rPr>
      </w:pPr>
      <w:r>
        <w:rPr>
          <w:rFonts w:hint="default" w:ascii="Times New Roman" w:hAnsi="Times New Roman" w:eastAsia="方正小标宋简体" w:cs="Times New Roman"/>
          <w:color w:val="auto"/>
          <w:sz w:val="32"/>
          <w:szCs w:val="32"/>
          <w:highlight w:val="none"/>
          <w:lang w:val="en-US" w:eastAsia="zh-CN"/>
        </w:rPr>
        <w:t>（政府性融资担保公司）</w:t>
      </w:r>
    </w:p>
    <w:tbl>
      <w:tblPr>
        <w:tblStyle w:val="24"/>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09"/>
        <w:gridCol w:w="2114"/>
        <w:gridCol w:w="906"/>
        <w:gridCol w:w="4519"/>
        <w:gridCol w:w="4519"/>
        <w:gridCol w:w="906"/>
      </w:tblGrid>
      <w:tr w14:paraId="608F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3" w:hRule="atLeast"/>
          <w:jc w:val="center"/>
        </w:trPr>
        <w:tc>
          <w:tcPr>
            <w:tcW w:w="1209" w:type="dxa"/>
            <w:noWrap w:val="0"/>
            <w:vAlign w:val="center"/>
          </w:tcPr>
          <w:p w14:paraId="0AB82BE7">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一级</w:t>
            </w:r>
          </w:p>
          <w:p w14:paraId="7FEC2E5B">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指标</w:t>
            </w:r>
          </w:p>
        </w:tc>
        <w:tc>
          <w:tcPr>
            <w:tcW w:w="2114" w:type="dxa"/>
            <w:noWrap w:val="0"/>
            <w:vAlign w:val="center"/>
          </w:tcPr>
          <w:p w14:paraId="27AD8276">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二级</w:t>
            </w:r>
          </w:p>
          <w:p w14:paraId="00CA2D18">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指标</w:t>
            </w:r>
          </w:p>
        </w:tc>
        <w:tc>
          <w:tcPr>
            <w:tcW w:w="906" w:type="dxa"/>
            <w:noWrap w:val="0"/>
            <w:vAlign w:val="center"/>
          </w:tcPr>
          <w:p w14:paraId="28A3408A">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分值</w:t>
            </w:r>
          </w:p>
        </w:tc>
        <w:tc>
          <w:tcPr>
            <w:tcW w:w="4519" w:type="dxa"/>
            <w:noWrap w:val="0"/>
            <w:vAlign w:val="center"/>
          </w:tcPr>
          <w:p w14:paraId="289DD58D">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评价标准</w:t>
            </w:r>
          </w:p>
        </w:tc>
        <w:tc>
          <w:tcPr>
            <w:tcW w:w="4519" w:type="dxa"/>
            <w:noWrap w:val="0"/>
            <w:vAlign w:val="center"/>
          </w:tcPr>
          <w:p w14:paraId="0808EA88">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计分条件</w:t>
            </w:r>
          </w:p>
        </w:tc>
        <w:tc>
          <w:tcPr>
            <w:tcW w:w="906" w:type="dxa"/>
            <w:noWrap w:val="0"/>
            <w:vAlign w:val="center"/>
          </w:tcPr>
          <w:p w14:paraId="6FC18DCF">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自评得分</w:t>
            </w:r>
          </w:p>
        </w:tc>
      </w:tr>
      <w:tr w14:paraId="0278E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3" w:hRule="atLeast"/>
          <w:jc w:val="center"/>
        </w:trPr>
        <w:tc>
          <w:tcPr>
            <w:tcW w:w="1209" w:type="dxa"/>
            <w:vMerge w:val="restart"/>
            <w:noWrap w:val="0"/>
            <w:vAlign w:val="center"/>
          </w:tcPr>
          <w:p w14:paraId="16751B90">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基础</w:t>
            </w:r>
          </w:p>
          <w:p w14:paraId="38CCABF2">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管理</w:t>
            </w:r>
          </w:p>
          <w:p w14:paraId="4FCF0FBF">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cs="Times New Roman"/>
                <w:b/>
                <w:bCs/>
                <w:color w:val="auto"/>
                <w:kern w:val="0"/>
                <w:sz w:val="21"/>
                <w:szCs w:val="21"/>
                <w:highlight w:val="none"/>
                <w:lang w:val="en-US" w:eastAsia="zh-CN"/>
              </w:rPr>
              <w:t>（</w:t>
            </w:r>
            <w:r>
              <w:rPr>
                <w:rFonts w:hint="eastAsia" w:ascii="Times New Roman" w:hAnsi="Times New Roman" w:eastAsia="仿宋_GB2312" w:cs="Times New Roman"/>
                <w:b/>
                <w:bCs/>
                <w:color w:val="auto"/>
                <w:kern w:val="0"/>
                <w:sz w:val="21"/>
                <w:szCs w:val="21"/>
                <w:highlight w:val="none"/>
                <w:lang w:val="en-US" w:eastAsia="zh-CN"/>
              </w:rPr>
              <w:t>20</w:t>
            </w:r>
            <w:r>
              <w:rPr>
                <w:rFonts w:hint="default" w:ascii="Times New Roman" w:hAnsi="Times New Roman" w:eastAsia="仿宋_GB2312" w:cs="Times New Roman"/>
                <w:b/>
                <w:bCs/>
                <w:color w:val="auto"/>
                <w:kern w:val="0"/>
                <w:sz w:val="21"/>
                <w:szCs w:val="21"/>
                <w:highlight w:val="none"/>
                <w:lang w:val="en-US" w:eastAsia="zh-CN"/>
              </w:rPr>
              <w:t>分</w:t>
            </w:r>
            <w:r>
              <w:rPr>
                <w:rFonts w:hint="default" w:ascii="Times New Roman" w:hAnsi="Times New Roman" w:cs="Times New Roman"/>
                <w:b/>
                <w:bCs/>
                <w:color w:val="auto"/>
                <w:kern w:val="0"/>
                <w:sz w:val="21"/>
                <w:szCs w:val="21"/>
                <w:highlight w:val="none"/>
                <w:lang w:val="en-US" w:eastAsia="zh-CN"/>
              </w:rPr>
              <w:t>）</w:t>
            </w:r>
          </w:p>
        </w:tc>
        <w:tc>
          <w:tcPr>
            <w:tcW w:w="2114" w:type="dxa"/>
            <w:noWrap w:val="0"/>
            <w:vAlign w:val="center"/>
          </w:tcPr>
          <w:p w14:paraId="51E75CC0">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eastAsia" w:ascii="Times New Roman" w:hAnsi="Times New Roman" w:eastAsia="仿宋_GB2312" w:cs="Times New Roman"/>
                <w:b/>
                <w:bCs/>
                <w:color w:val="auto"/>
                <w:kern w:val="0"/>
                <w:sz w:val="21"/>
                <w:szCs w:val="21"/>
                <w:highlight w:val="none"/>
                <w:lang w:val="en-US" w:eastAsia="zh-CN"/>
              </w:rPr>
              <w:t>党建与业务融合</w:t>
            </w:r>
          </w:p>
        </w:tc>
        <w:tc>
          <w:tcPr>
            <w:tcW w:w="906" w:type="dxa"/>
            <w:noWrap w:val="0"/>
            <w:vAlign w:val="center"/>
          </w:tcPr>
          <w:p w14:paraId="16D7BC01">
            <w:pPr>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Lines="0" w:afterLines="0" w:line="260" w:lineRule="exact"/>
              <w:jc w:val="center"/>
              <w:rPr>
                <w:rFonts w:hint="default"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rPr>
              <w:t>1</w:t>
            </w:r>
          </w:p>
        </w:tc>
        <w:tc>
          <w:tcPr>
            <w:tcW w:w="4519" w:type="dxa"/>
            <w:noWrap w:val="0"/>
            <w:vAlign w:val="center"/>
          </w:tcPr>
          <w:p w14:paraId="3D3A4DFE">
            <w:pPr>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Lines="0" w:afterLines="0" w:line="260" w:lineRule="exact"/>
              <w:jc w:val="both"/>
              <w:rPr>
                <w:rFonts w:hint="default"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bidi="ar-SA"/>
              </w:rPr>
              <w:t>党建是否纳入章程规定；是否开展党建与业务融合。</w:t>
            </w:r>
          </w:p>
        </w:tc>
        <w:tc>
          <w:tcPr>
            <w:tcW w:w="4519" w:type="dxa"/>
            <w:noWrap w:val="0"/>
            <w:vAlign w:val="center"/>
          </w:tcPr>
          <w:p w14:paraId="788CA7F0">
            <w:pPr>
              <w:widowControl/>
              <w:spacing w:line="260" w:lineRule="exact"/>
              <w:jc w:val="both"/>
              <w:textAlignment w:val="center"/>
              <w:rPr>
                <w:rFonts w:hint="default" w:ascii="Times New Roman" w:hAnsi="Times New Roman" w:eastAsia="仿宋_GB2312" w:cs="Times New Roman"/>
                <w:b/>
                <w:bCs/>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党建入章程得0.5分，否则不得分；开展党建与业务融合得0.5分，否则不得分。</w:t>
            </w:r>
          </w:p>
        </w:tc>
        <w:tc>
          <w:tcPr>
            <w:tcW w:w="906" w:type="dxa"/>
            <w:noWrap w:val="0"/>
            <w:vAlign w:val="center"/>
          </w:tcPr>
          <w:p w14:paraId="6504A3AC">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r>
      <w:tr w14:paraId="1E00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09" w:type="dxa"/>
            <w:vMerge w:val="continue"/>
            <w:noWrap w:val="0"/>
            <w:vAlign w:val="center"/>
          </w:tcPr>
          <w:p w14:paraId="1DB10015">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2114" w:type="dxa"/>
            <w:noWrap w:val="0"/>
            <w:vAlign w:val="center"/>
          </w:tcPr>
          <w:p w14:paraId="7F8FFAF1">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“三会一层”</w:t>
            </w:r>
          </w:p>
        </w:tc>
        <w:tc>
          <w:tcPr>
            <w:tcW w:w="906" w:type="dxa"/>
            <w:noWrap w:val="0"/>
            <w:vAlign w:val="center"/>
          </w:tcPr>
          <w:p w14:paraId="008010A3">
            <w:pPr>
              <w:widowControl/>
              <w:spacing w:beforeLines="0" w:afterLines="0" w:line="260" w:lineRule="exact"/>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1</w:t>
            </w:r>
          </w:p>
        </w:tc>
        <w:tc>
          <w:tcPr>
            <w:tcW w:w="4519" w:type="dxa"/>
            <w:noWrap w:val="0"/>
            <w:vAlign w:val="center"/>
          </w:tcPr>
          <w:p w14:paraId="70008C26">
            <w:pPr>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Lines="0" w:afterLines="0" w:line="260" w:lineRule="exact"/>
              <w:jc w:val="both"/>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按公司章程建立以股东（大）会、董事会、监事会</w:t>
            </w:r>
            <w:r>
              <w:rPr>
                <w:rFonts w:hint="eastAsia" w:ascii="Times New Roman" w:hAnsi="Times New Roman" w:eastAsia="仿宋_GB2312" w:cs="Times New Roman"/>
                <w:color w:val="auto"/>
                <w:kern w:val="0"/>
                <w:sz w:val="21"/>
                <w:szCs w:val="21"/>
                <w:highlight w:val="none"/>
                <w:lang w:val="en-US" w:eastAsia="zh-CN" w:bidi="ar-SA"/>
              </w:rPr>
              <w:t>（审计委员会）</w:t>
            </w:r>
            <w:r>
              <w:rPr>
                <w:rFonts w:hint="default" w:ascii="Times New Roman" w:hAnsi="Times New Roman" w:eastAsia="仿宋_GB2312" w:cs="Times New Roman"/>
                <w:color w:val="auto"/>
                <w:kern w:val="0"/>
                <w:sz w:val="21"/>
                <w:szCs w:val="21"/>
                <w:highlight w:val="none"/>
                <w:lang w:val="en-US" w:eastAsia="zh-CN" w:bidi="ar-SA"/>
              </w:rPr>
              <w:t>、高级管理层为主体的组织机构，并对各主体之间相互制衡的责、权、利关系作出制度安排，公司章程明确不建立股东大会、董事会、监事会</w:t>
            </w:r>
            <w:r>
              <w:rPr>
                <w:rFonts w:hint="eastAsia" w:ascii="Times New Roman" w:hAnsi="Times New Roman" w:eastAsia="仿宋_GB2312" w:cs="Times New Roman"/>
                <w:color w:val="auto"/>
                <w:kern w:val="0"/>
                <w:sz w:val="21"/>
                <w:szCs w:val="21"/>
                <w:highlight w:val="none"/>
                <w:lang w:val="en-US" w:eastAsia="zh-CN" w:bidi="ar-SA"/>
              </w:rPr>
              <w:t>（审计委员会）</w:t>
            </w:r>
            <w:r>
              <w:rPr>
                <w:rFonts w:hint="default" w:ascii="Times New Roman" w:hAnsi="Times New Roman" w:eastAsia="仿宋_GB2312" w:cs="Times New Roman"/>
                <w:color w:val="auto"/>
                <w:kern w:val="0"/>
                <w:sz w:val="21"/>
                <w:szCs w:val="21"/>
                <w:highlight w:val="none"/>
                <w:lang w:val="en-US" w:eastAsia="zh-CN" w:bidi="ar-SA"/>
              </w:rPr>
              <w:t>的可不要求建立</w:t>
            </w:r>
            <w:r>
              <w:rPr>
                <w:rFonts w:hint="eastAsia" w:ascii="Times New Roman" w:hAnsi="Times New Roman" w:eastAsia="仿宋_GB2312" w:cs="Times New Roman"/>
                <w:color w:val="auto"/>
                <w:kern w:val="0"/>
                <w:sz w:val="21"/>
                <w:szCs w:val="21"/>
                <w:highlight w:val="none"/>
                <w:lang w:val="en-US" w:eastAsia="zh-CN" w:bidi="ar-SA"/>
              </w:rPr>
              <w:t>。</w:t>
            </w:r>
          </w:p>
        </w:tc>
        <w:tc>
          <w:tcPr>
            <w:tcW w:w="4519" w:type="dxa"/>
            <w:noWrap w:val="0"/>
            <w:vAlign w:val="center"/>
          </w:tcPr>
          <w:p w14:paraId="22754B1F">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按规定落实的得满分（如公司章程明确不建立股东大会、董事会、监事会</w:t>
            </w:r>
            <w:r>
              <w:rPr>
                <w:rFonts w:hint="eastAsia" w:ascii="Times New Roman" w:hAnsi="Times New Roman" w:eastAsia="仿宋_GB2312" w:cs="Times New Roman"/>
                <w:color w:val="auto"/>
                <w:kern w:val="0"/>
                <w:sz w:val="21"/>
                <w:szCs w:val="21"/>
                <w:highlight w:val="none"/>
                <w:lang w:val="en-US" w:eastAsia="zh-CN" w:bidi="ar-SA"/>
              </w:rPr>
              <w:t>（审计委员会）</w:t>
            </w:r>
            <w:r>
              <w:rPr>
                <w:rFonts w:hint="default" w:ascii="Times New Roman" w:hAnsi="Times New Roman" w:eastAsia="仿宋_GB2312" w:cs="Times New Roman"/>
                <w:color w:val="auto"/>
                <w:kern w:val="0"/>
                <w:sz w:val="21"/>
                <w:szCs w:val="21"/>
                <w:highlight w:val="none"/>
                <w:lang w:val="en-US" w:eastAsia="zh-CN"/>
              </w:rPr>
              <w:t>的视同得分），否则不得分。</w:t>
            </w:r>
          </w:p>
        </w:tc>
        <w:tc>
          <w:tcPr>
            <w:tcW w:w="906" w:type="dxa"/>
            <w:noWrap w:val="0"/>
            <w:vAlign w:val="center"/>
          </w:tcPr>
          <w:p w14:paraId="31744420">
            <w:pPr>
              <w:spacing w:beforeLines="0" w:afterLines="0" w:line="260" w:lineRule="exact"/>
              <w:jc w:val="left"/>
              <w:rPr>
                <w:rFonts w:hint="default" w:ascii="Times New Roman" w:hAnsi="Times New Roman" w:eastAsia="仿宋_GB2312" w:cs="Times New Roman"/>
                <w:color w:val="auto"/>
                <w:kern w:val="0"/>
                <w:sz w:val="21"/>
                <w:szCs w:val="21"/>
                <w:highlight w:val="none"/>
                <w:lang w:val="en-US" w:eastAsia="zh-CN"/>
              </w:rPr>
            </w:pPr>
          </w:p>
        </w:tc>
      </w:tr>
      <w:tr w14:paraId="111D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09" w:type="dxa"/>
            <w:vMerge w:val="continue"/>
            <w:noWrap w:val="0"/>
            <w:vAlign w:val="center"/>
          </w:tcPr>
          <w:p w14:paraId="3044B031">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2114" w:type="dxa"/>
            <w:noWrap w:val="0"/>
            <w:vAlign w:val="center"/>
          </w:tcPr>
          <w:p w14:paraId="1E6E051A">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定期组织“三会”</w:t>
            </w:r>
          </w:p>
        </w:tc>
        <w:tc>
          <w:tcPr>
            <w:tcW w:w="906" w:type="dxa"/>
            <w:noWrap w:val="0"/>
            <w:vAlign w:val="center"/>
          </w:tcPr>
          <w:p w14:paraId="7B4918C1">
            <w:pPr>
              <w:widowControl/>
              <w:spacing w:beforeLines="0" w:afterLines="0" w:line="260" w:lineRule="exact"/>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1</w:t>
            </w:r>
          </w:p>
        </w:tc>
        <w:tc>
          <w:tcPr>
            <w:tcW w:w="4519" w:type="dxa"/>
            <w:noWrap w:val="0"/>
            <w:vAlign w:val="center"/>
          </w:tcPr>
          <w:p w14:paraId="776DD407">
            <w:pPr>
              <w:spacing w:beforeLines="0" w:afterLines="0" w:line="260" w:lineRule="exact"/>
              <w:jc w:val="both"/>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按照公司章程及相关制度召开股东（大）会、董事会、监事会等会议，公司章程明确不设股东（大）会、董事会、监事会的，可不要求召开股东（大）会、董事会、监事会。</w:t>
            </w:r>
          </w:p>
        </w:tc>
        <w:tc>
          <w:tcPr>
            <w:tcW w:w="4519" w:type="dxa"/>
            <w:noWrap w:val="0"/>
            <w:vAlign w:val="center"/>
          </w:tcPr>
          <w:p w14:paraId="47BE975A">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按规定落实的得满分（如公司章程明确不建立股东大会、董事会、监事会的，不召开“三会”视同得分），否则不得分。</w:t>
            </w:r>
          </w:p>
        </w:tc>
        <w:tc>
          <w:tcPr>
            <w:tcW w:w="906" w:type="dxa"/>
            <w:noWrap w:val="0"/>
            <w:vAlign w:val="center"/>
          </w:tcPr>
          <w:p w14:paraId="124FDDF4">
            <w:pPr>
              <w:spacing w:beforeLines="0" w:afterLines="0" w:line="260" w:lineRule="exact"/>
              <w:jc w:val="left"/>
              <w:rPr>
                <w:rFonts w:hint="default" w:ascii="Times New Roman" w:hAnsi="Times New Roman" w:eastAsia="仿宋_GB2312" w:cs="Times New Roman"/>
                <w:color w:val="auto"/>
                <w:kern w:val="0"/>
                <w:sz w:val="21"/>
                <w:szCs w:val="21"/>
                <w:highlight w:val="none"/>
                <w:lang w:val="en-US" w:eastAsia="zh-CN"/>
              </w:rPr>
            </w:pPr>
          </w:p>
        </w:tc>
      </w:tr>
      <w:tr w14:paraId="2D5F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09" w:type="dxa"/>
            <w:vMerge w:val="continue"/>
            <w:noWrap w:val="0"/>
            <w:vAlign w:val="center"/>
          </w:tcPr>
          <w:p w14:paraId="602E2BA7">
            <w:pPr>
              <w:spacing w:line="260" w:lineRule="exact"/>
              <w:jc w:val="center"/>
              <w:rPr>
                <w:rFonts w:hint="default" w:ascii="Times New Roman" w:hAnsi="Times New Roman" w:eastAsia="仿宋_GB2312" w:cs="Times New Roman"/>
                <w:b/>
                <w:bCs/>
                <w:color w:val="auto"/>
                <w:sz w:val="21"/>
                <w:szCs w:val="21"/>
                <w:highlight w:val="none"/>
                <w:lang w:val="en-US" w:eastAsia="zh-CN"/>
              </w:rPr>
            </w:pPr>
          </w:p>
        </w:tc>
        <w:tc>
          <w:tcPr>
            <w:tcW w:w="2114" w:type="dxa"/>
            <w:noWrap w:val="0"/>
            <w:vAlign w:val="center"/>
          </w:tcPr>
          <w:p w14:paraId="56D38D18">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董事、监事、高级</w:t>
            </w:r>
          </w:p>
          <w:p w14:paraId="49245E36">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管理人员管理</w:t>
            </w:r>
          </w:p>
        </w:tc>
        <w:tc>
          <w:tcPr>
            <w:tcW w:w="906" w:type="dxa"/>
            <w:noWrap w:val="0"/>
            <w:vAlign w:val="center"/>
          </w:tcPr>
          <w:p w14:paraId="690646B8">
            <w:pPr>
              <w:widowControl/>
              <w:spacing w:beforeLines="0" w:afterLines="0" w:line="260" w:lineRule="exact"/>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w:t>
            </w:r>
          </w:p>
        </w:tc>
        <w:tc>
          <w:tcPr>
            <w:tcW w:w="4519" w:type="dxa"/>
            <w:noWrap w:val="0"/>
            <w:vAlign w:val="center"/>
          </w:tcPr>
          <w:p w14:paraId="79071472">
            <w:pPr>
              <w:widowControl/>
              <w:spacing w:beforeLines="0" w:afterLines="0" w:line="260" w:lineRule="exact"/>
              <w:jc w:val="both"/>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董事、监事、高级管理人员符合任职条件。</w:t>
            </w:r>
          </w:p>
        </w:tc>
        <w:tc>
          <w:tcPr>
            <w:tcW w:w="4519" w:type="dxa"/>
            <w:noWrap w:val="0"/>
            <w:vAlign w:val="center"/>
          </w:tcPr>
          <w:p w14:paraId="68E57075">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不按规定执行，不得分。作为公司法定代</w:t>
            </w:r>
            <w:r>
              <w:rPr>
                <w:rFonts w:hint="eastAsia" w:cs="Times New Roman"/>
                <w:color w:val="auto"/>
                <w:kern w:val="0"/>
                <w:sz w:val="21"/>
                <w:szCs w:val="21"/>
                <w:highlight w:val="none"/>
                <w:lang w:val="en-US" w:eastAsia="zh-CN"/>
              </w:rPr>
              <w:t>表</w:t>
            </w:r>
            <w:r>
              <w:rPr>
                <w:rFonts w:hint="default" w:ascii="Times New Roman" w:hAnsi="Times New Roman" w:eastAsia="仿宋_GB2312" w:cs="Times New Roman"/>
                <w:color w:val="auto"/>
                <w:kern w:val="0"/>
                <w:sz w:val="21"/>
                <w:szCs w:val="21"/>
                <w:highlight w:val="none"/>
                <w:lang w:val="en-US" w:eastAsia="zh-CN"/>
              </w:rPr>
              <w:t>人兼任党政机关职务，高级管理人员兼任党政机关职务或</w:t>
            </w:r>
            <w:r>
              <w:rPr>
                <w:rFonts w:hint="eastAsia" w:ascii="Times New Roman" w:hAnsi="Times New Roman" w:eastAsia="仿宋_GB2312" w:cs="Times New Roman"/>
                <w:color w:val="auto"/>
                <w:kern w:val="0"/>
                <w:sz w:val="21"/>
                <w:szCs w:val="21"/>
                <w:highlight w:val="none"/>
                <w:lang w:val="en-US" w:eastAsia="zh-CN"/>
              </w:rPr>
              <w:t>未经监管批准</w:t>
            </w:r>
            <w:r>
              <w:rPr>
                <w:rFonts w:hint="default" w:ascii="Times New Roman" w:hAnsi="Times New Roman" w:eastAsia="仿宋_GB2312" w:cs="Times New Roman"/>
                <w:color w:val="auto"/>
                <w:kern w:val="0"/>
                <w:sz w:val="21"/>
                <w:szCs w:val="21"/>
                <w:highlight w:val="none"/>
                <w:lang w:val="en-US" w:eastAsia="zh-CN"/>
              </w:rPr>
              <w:t>在其他经济组织兼职，每人扣1 分，扣完为止。</w:t>
            </w:r>
          </w:p>
        </w:tc>
        <w:tc>
          <w:tcPr>
            <w:tcW w:w="906" w:type="dxa"/>
            <w:noWrap w:val="0"/>
            <w:vAlign w:val="center"/>
          </w:tcPr>
          <w:p w14:paraId="199DB563">
            <w:pPr>
              <w:spacing w:beforeLines="0" w:afterLines="0" w:line="260" w:lineRule="exact"/>
              <w:jc w:val="left"/>
              <w:rPr>
                <w:rFonts w:hint="default" w:ascii="Times New Roman" w:hAnsi="Times New Roman" w:eastAsia="仿宋_GB2312" w:cs="Times New Roman"/>
                <w:color w:val="auto"/>
                <w:kern w:val="0"/>
                <w:sz w:val="21"/>
                <w:szCs w:val="21"/>
                <w:highlight w:val="none"/>
                <w:lang w:val="en-US" w:eastAsia="zh-CN"/>
              </w:rPr>
            </w:pPr>
          </w:p>
        </w:tc>
      </w:tr>
      <w:tr w14:paraId="3FAA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09" w:type="dxa"/>
            <w:vMerge w:val="continue"/>
            <w:noWrap w:val="0"/>
            <w:vAlign w:val="center"/>
          </w:tcPr>
          <w:p w14:paraId="11FD2086">
            <w:pPr>
              <w:spacing w:line="260" w:lineRule="exact"/>
              <w:jc w:val="center"/>
              <w:rPr>
                <w:rFonts w:hint="default" w:ascii="Times New Roman" w:hAnsi="Times New Roman" w:eastAsia="仿宋_GB2312" w:cs="Times New Roman"/>
                <w:b/>
                <w:bCs/>
                <w:color w:val="auto"/>
                <w:sz w:val="21"/>
                <w:szCs w:val="21"/>
                <w:highlight w:val="none"/>
                <w:lang w:val="en-US" w:eastAsia="zh-CN"/>
              </w:rPr>
            </w:pPr>
          </w:p>
        </w:tc>
        <w:tc>
          <w:tcPr>
            <w:tcW w:w="2114" w:type="dxa"/>
            <w:noWrap w:val="0"/>
            <w:vAlign w:val="center"/>
          </w:tcPr>
          <w:p w14:paraId="228D7387">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实现业务信息化</w:t>
            </w:r>
          </w:p>
        </w:tc>
        <w:tc>
          <w:tcPr>
            <w:tcW w:w="906" w:type="dxa"/>
            <w:noWrap w:val="0"/>
            <w:vAlign w:val="center"/>
          </w:tcPr>
          <w:p w14:paraId="26E2D545">
            <w:pPr>
              <w:widowControl/>
              <w:spacing w:beforeLines="0" w:afterLines="0" w:line="260" w:lineRule="exact"/>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10</w:t>
            </w:r>
          </w:p>
        </w:tc>
        <w:tc>
          <w:tcPr>
            <w:tcW w:w="4519" w:type="dxa"/>
            <w:noWrap w:val="0"/>
            <w:vAlign w:val="center"/>
          </w:tcPr>
          <w:p w14:paraId="2C3CC5D3">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接入广西融资担保行业监管信息系统并按时报送信息。</w:t>
            </w:r>
          </w:p>
        </w:tc>
        <w:tc>
          <w:tcPr>
            <w:tcW w:w="4519" w:type="dxa"/>
            <w:noWrap w:val="0"/>
            <w:vAlign w:val="center"/>
          </w:tcPr>
          <w:p w14:paraId="466B847F">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接入监管系统的得1分，及时、完整、准确报送数据的各得</w:t>
            </w:r>
            <w:r>
              <w:rPr>
                <w:rFonts w:hint="eastAsia" w:ascii="Times New Roman" w:hAnsi="Times New Roman" w:eastAsia="仿宋_GB2312" w:cs="Times New Roman"/>
                <w:color w:val="auto"/>
                <w:kern w:val="0"/>
                <w:sz w:val="21"/>
                <w:szCs w:val="21"/>
                <w:highlight w:val="none"/>
                <w:lang w:val="en-US" w:eastAsia="zh-CN"/>
              </w:rPr>
              <w:t>3</w:t>
            </w:r>
            <w:r>
              <w:rPr>
                <w:rFonts w:hint="default" w:ascii="Times New Roman" w:hAnsi="Times New Roman" w:eastAsia="仿宋_GB2312" w:cs="Times New Roman"/>
                <w:color w:val="auto"/>
                <w:kern w:val="0"/>
                <w:sz w:val="21"/>
                <w:szCs w:val="21"/>
                <w:highlight w:val="none"/>
                <w:lang w:val="en-US" w:eastAsia="zh-CN"/>
              </w:rPr>
              <w:t>分，一项不达标的扣相对应的分值，扣完为止</w:t>
            </w:r>
          </w:p>
        </w:tc>
        <w:tc>
          <w:tcPr>
            <w:tcW w:w="906" w:type="dxa"/>
            <w:noWrap w:val="0"/>
            <w:vAlign w:val="center"/>
          </w:tcPr>
          <w:p w14:paraId="44AD915F">
            <w:pPr>
              <w:widowControl/>
              <w:spacing w:beforeLines="0" w:afterLines="0" w:line="260" w:lineRule="exact"/>
              <w:jc w:val="left"/>
              <w:textAlignment w:val="center"/>
              <w:rPr>
                <w:rFonts w:hint="default" w:ascii="Times New Roman" w:hAnsi="Times New Roman" w:eastAsia="仿宋_GB2312" w:cs="Times New Roman"/>
                <w:color w:val="auto"/>
                <w:kern w:val="0"/>
                <w:sz w:val="21"/>
                <w:szCs w:val="21"/>
                <w:highlight w:val="none"/>
                <w:lang w:val="en-US" w:eastAsia="zh-CN"/>
              </w:rPr>
            </w:pPr>
          </w:p>
        </w:tc>
      </w:tr>
      <w:tr w14:paraId="72CC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09" w:type="dxa"/>
            <w:vMerge w:val="continue"/>
            <w:noWrap w:val="0"/>
            <w:vAlign w:val="center"/>
          </w:tcPr>
          <w:p w14:paraId="409071B9">
            <w:pPr>
              <w:spacing w:line="260" w:lineRule="exact"/>
              <w:jc w:val="center"/>
              <w:rPr>
                <w:rFonts w:hint="default" w:ascii="Times New Roman" w:hAnsi="Times New Roman" w:eastAsia="仿宋_GB2312" w:cs="Times New Roman"/>
                <w:b/>
                <w:bCs/>
                <w:color w:val="auto"/>
                <w:sz w:val="21"/>
                <w:szCs w:val="21"/>
                <w:highlight w:val="none"/>
                <w:lang w:val="en-US" w:eastAsia="zh-CN"/>
              </w:rPr>
            </w:pPr>
          </w:p>
        </w:tc>
        <w:tc>
          <w:tcPr>
            <w:tcW w:w="2114" w:type="dxa"/>
            <w:noWrap w:val="0"/>
            <w:vAlign w:val="center"/>
          </w:tcPr>
          <w:p w14:paraId="542F17F5">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eastAsia" w:ascii="Times New Roman" w:hAnsi="Times New Roman" w:eastAsia="仿宋_GB2312" w:cs="Times New Roman"/>
                <w:b/>
                <w:bCs/>
                <w:color w:val="auto"/>
                <w:kern w:val="0"/>
                <w:sz w:val="21"/>
                <w:szCs w:val="21"/>
                <w:highlight w:val="none"/>
                <w:lang w:val="en-US" w:eastAsia="zh-CN"/>
              </w:rPr>
              <w:t>建立并落实相关管理制度</w:t>
            </w:r>
          </w:p>
        </w:tc>
        <w:tc>
          <w:tcPr>
            <w:tcW w:w="906" w:type="dxa"/>
            <w:noWrap w:val="0"/>
            <w:vAlign w:val="center"/>
          </w:tcPr>
          <w:p w14:paraId="70C1BD93">
            <w:pPr>
              <w:widowControl/>
              <w:spacing w:beforeLines="0" w:afterLines="0" w:line="260" w:lineRule="exact"/>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4</w:t>
            </w:r>
          </w:p>
        </w:tc>
        <w:tc>
          <w:tcPr>
            <w:tcW w:w="4519" w:type="dxa"/>
            <w:noWrap w:val="0"/>
            <w:vAlign w:val="center"/>
          </w:tcPr>
          <w:p w14:paraId="248425C4">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建立并落实业务管理、风险控制管理、代偿及追偿管理、尽职免责、财务制度、内控管理、内审制度、信息披露制度等制度。</w:t>
            </w:r>
          </w:p>
        </w:tc>
        <w:tc>
          <w:tcPr>
            <w:tcW w:w="4519" w:type="dxa"/>
            <w:noWrap w:val="0"/>
            <w:vAlign w:val="center"/>
          </w:tcPr>
          <w:p w14:paraId="0F3C92C6">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建立并落实一项制度得0.5分，全部建立并落实得4分，未建立或已建立未落实每项制度扣0.5分。</w:t>
            </w:r>
          </w:p>
        </w:tc>
        <w:tc>
          <w:tcPr>
            <w:tcW w:w="906" w:type="dxa"/>
            <w:noWrap w:val="0"/>
            <w:vAlign w:val="center"/>
          </w:tcPr>
          <w:p w14:paraId="14E5D02A">
            <w:pPr>
              <w:widowControl/>
              <w:spacing w:beforeLines="0" w:afterLines="0" w:line="260" w:lineRule="exact"/>
              <w:jc w:val="left"/>
              <w:textAlignment w:val="center"/>
              <w:rPr>
                <w:rFonts w:hint="default" w:ascii="Times New Roman" w:hAnsi="Times New Roman" w:eastAsia="仿宋_GB2312" w:cs="Times New Roman"/>
                <w:color w:val="auto"/>
                <w:kern w:val="0"/>
                <w:sz w:val="21"/>
                <w:szCs w:val="21"/>
                <w:highlight w:val="none"/>
                <w:lang w:val="en-US" w:eastAsia="zh-CN"/>
              </w:rPr>
            </w:pPr>
          </w:p>
        </w:tc>
      </w:tr>
      <w:tr w14:paraId="6DCB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09" w:type="dxa"/>
            <w:vMerge w:val="continue"/>
            <w:noWrap w:val="0"/>
            <w:vAlign w:val="center"/>
          </w:tcPr>
          <w:p w14:paraId="17424A34">
            <w:pPr>
              <w:spacing w:line="260" w:lineRule="exact"/>
              <w:jc w:val="center"/>
              <w:rPr>
                <w:rFonts w:hint="default" w:ascii="Times New Roman" w:hAnsi="Times New Roman" w:eastAsia="仿宋_GB2312" w:cs="Times New Roman"/>
                <w:b/>
                <w:bCs/>
                <w:color w:val="auto"/>
                <w:sz w:val="21"/>
                <w:szCs w:val="21"/>
                <w:highlight w:val="none"/>
                <w:lang w:val="en-US" w:eastAsia="zh-CN"/>
              </w:rPr>
            </w:pPr>
          </w:p>
        </w:tc>
        <w:tc>
          <w:tcPr>
            <w:tcW w:w="2114" w:type="dxa"/>
            <w:noWrap w:val="0"/>
            <w:vAlign w:val="center"/>
          </w:tcPr>
          <w:p w14:paraId="088F0FC0">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理顺管理体制</w:t>
            </w:r>
          </w:p>
          <w:p w14:paraId="63FF0A68">
            <w:pPr>
              <w:widowControl/>
              <w:spacing w:beforeLines="0" w:afterLines="0" w:line="260" w:lineRule="exact"/>
              <w:jc w:val="center"/>
              <w:textAlignment w:val="center"/>
              <w:rPr>
                <w:rFonts w:hint="eastAsia"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仿宋_GB2312" w:cs="Times New Roman"/>
                <w:b/>
                <w:bCs/>
                <w:color w:val="auto"/>
                <w:kern w:val="0"/>
                <w:sz w:val="21"/>
                <w:szCs w:val="21"/>
                <w:highlight w:val="none"/>
                <w:lang w:val="en-US" w:eastAsia="zh-CN"/>
              </w:rPr>
              <w:t>实现“六独立”</w:t>
            </w:r>
          </w:p>
        </w:tc>
        <w:tc>
          <w:tcPr>
            <w:tcW w:w="906" w:type="dxa"/>
            <w:noWrap w:val="0"/>
            <w:vAlign w:val="center"/>
          </w:tcPr>
          <w:p w14:paraId="3D99DE1D">
            <w:pPr>
              <w:widowControl/>
              <w:spacing w:beforeLines="0" w:afterLines="0" w:line="260" w:lineRule="exact"/>
              <w:jc w:val="center"/>
              <w:textAlignment w:val="center"/>
              <w:rPr>
                <w:rFonts w:hint="default"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rPr>
              <w:t>1</w:t>
            </w:r>
          </w:p>
        </w:tc>
        <w:tc>
          <w:tcPr>
            <w:tcW w:w="4519" w:type="dxa"/>
            <w:noWrap w:val="0"/>
            <w:vAlign w:val="center"/>
          </w:tcPr>
          <w:p w14:paraId="04F94A2F">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实现法人独立、业务独立、财务独立、人员独立、考核独立、管理独立。</w:t>
            </w:r>
          </w:p>
        </w:tc>
        <w:tc>
          <w:tcPr>
            <w:tcW w:w="4519" w:type="dxa"/>
            <w:noWrap w:val="0"/>
            <w:vAlign w:val="center"/>
          </w:tcPr>
          <w:p w14:paraId="31619B33">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实现“六独立”的得满分，任何一项不达标，不得分。</w:t>
            </w:r>
          </w:p>
        </w:tc>
        <w:tc>
          <w:tcPr>
            <w:tcW w:w="906" w:type="dxa"/>
            <w:noWrap w:val="0"/>
            <w:vAlign w:val="center"/>
          </w:tcPr>
          <w:p w14:paraId="5A94E596">
            <w:pPr>
              <w:widowControl/>
              <w:spacing w:beforeLines="0" w:afterLines="0" w:line="260" w:lineRule="exact"/>
              <w:jc w:val="left"/>
              <w:textAlignment w:val="center"/>
              <w:rPr>
                <w:rFonts w:hint="default" w:ascii="Times New Roman" w:hAnsi="Times New Roman" w:eastAsia="仿宋_GB2312" w:cs="Times New Roman"/>
                <w:color w:val="auto"/>
                <w:kern w:val="0"/>
                <w:sz w:val="21"/>
                <w:szCs w:val="21"/>
                <w:highlight w:val="none"/>
                <w:lang w:val="en-US" w:eastAsia="zh-CN" w:bidi="ar-SA"/>
              </w:rPr>
            </w:pPr>
          </w:p>
        </w:tc>
      </w:tr>
      <w:tr w14:paraId="3237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09" w:type="dxa"/>
            <w:vMerge w:val="restart"/>
            <w:shd w:val="clear" w:color="auto" w:fill="auto"/>
            <w:noWrap w:val="0"/>
            <w:vAlign w:val="center"/>
          </w:tcPr>
          <w:p w14:paraId="72EEDE85">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经营</w:t>
            </w:r>
          </w:p>
          <w:p w14:paraId="1C740735">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管理</w:t>
            </w:r>
          </w:p>
          <w:p w14:paraId="3529BEBE">
            <w:pPr>
              <w:widowControl/>
              <w:spacing w:line="260" w:lineRule="exact"/>
              <w:jc w:val="center"/>
              <w:textAlignment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cs="Times New Roman"/>
                <w:b/>
                <w:bCs/>
                <w:color w:val="auto"/>
                <w:kern w:val="0"/>
                <w:sz w:val="21"/>
                <w:szCs w:val="21"/>
                <w:highlight w:val="none"/>
                <w:lang w:val="en-US" w:eastAsia="zh-CN"/>
              </w:rPr>
              <w:t>（</w:t>
            </w:r>
            <w:r>
              <w:rPr>
                <w:rFonts w:hint="eastAsia" w:ascii="Times New Roman" w:hAnsi="Times New Roman" w:eastAsia="仿宋_GB2312" w:cs="Times New Roman"/>
                <w:b/>
                <w:bCs/>
                <w:color w:val="auto"/>
                <w:kern w:val="0"/>
                <w:sz w:val="21"/>
                <w:szCs w:val="21"/>
                <w:highlight w:val="none"/>
                <w:lang w:val="en-US" w:eastAsia="zh-CN"/>
              </w:rPr>
              <w:t>30</w:t>
            </w:r>
            <w:r>
              <w:rPr>
                <w:rFonts w:hint="default" w:ascii="Times New Roman" w:hAnsi="Times New Roman" w:eastAsia="仿宋_GB2312" w:cs="Times New Roman"/>
                <w:b/>
                <w:bCs/>
                <w:color w:val="auto"/>
                <w:kern w:val="0"/>
                <w:sz w:val="21"/>
                <w:szCs w:val="21"/>
                <w:highlight w:val="none"/>
                <w:lang w:val="en-US" w:eastAsia="zh-CN"/>
              </w:rPr>
              <w:t>分</w:t>
            </w:r>
            <w:r>
              <w:rPr>
                <w:rFonts w:hint="default" w:ascii="Times New Roman" w:hAnsi="Times New Roman" w:cs="Times New Roman"/>
                <w:b/>
                <w:bCs/>
                <w:color w:val="auto"/>
                <w:kern w:val="0"/>
                <w:sz w:val="21"/>
                <w:szCs w:val="21"/>
                <w:highlight w:val="none"/>
                <w:lang w:val="en-US" w:eastAsia="zh-CN"/>
              </w:rPr>
              <w:t>）</w:t>
            </w:r>
          </w:p>
        </w:tc>
        <w:tc>
          <w:tcPr>
            <w:tcW w:w="2114" w:type="dxa"/>
            <w:shd w:val="clear" w:color="auto" w:fill="FFFFFF"/>
            <w:noWrap w:val="0"/>
            <w:vAlign w:val="center"/>
          </w:tcPr>
          <w:p w14:paraId="1B731F3B">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放大倍数达最低要求</w:t>
            </w:r>
          </w:p>
        </w:tc>
        <w:tc>
          <w:tcPr>
            <w:tcW w:w="906" w:type="dxa"/>
            <w:shd w:val="clear" w:color="auto" w:fill="FFFFFF"/>
            <w:noWrap w:val="0"/>
            <w:vAlign w:val="center"/>
          </w:tcPr>
          <w:p w14:paraId="2992F810">
            <w:pPr>
              <w:widowControl/>
              <w:spacing w:beforeLines="0" w:afterLines="0" w:line="260" w:lineRule="exact"/>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2</w:t>
            </w:r>
          </w:p>
        </w:tc>
        <w:tc>
          <w:tcPr>
            <w:tcW w:w="4519" w:type="dxa"/>
            <w:shd w:val="clear" w:color="auto" w:fill="FFFFFF"/>
            <w:noWrap w:val="0"/>
            <w:vAlign w:val="center"/>
          </w:tcPr>
          <w:p w14:paraId="782715D0">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政府性融资担保机构</w:t>
            </w:r>
            <w:r>
              <w:rPr>
                <w:rFonts w:hint="eastAsia" w:ascii="Times New Roman" w:hAnsi="Times New Roman" w:eastAsia="仿宋_GB2312" w:cs="Times New Roman"/>
                <w:color w:val="auto"/>
                <w:kern w:val="0"/>
                <w:sz w:val="21"/>
                <w:szCs w:val="21"/>
                <w:highlight w:val="none"/>
                <w:lang w:val="en-US" w:eastAsia="zh-CN"/>
              </w:rPr>
              <w:t>年末在保</w:t>
            </w:r>
            <w:r>
              <w:rPr>
                <w:rFonts w:hint="default" w:ascii="Times New Roman" w:hAnsi="Times New Roman" w:eastAsia="仿宋_GB2312" w:cs="Times New Roman"/>
                <w:color w:val="auto"/>
                <w:kern w:val="0"/>
                <w:sz w:val="21"/>
                <w:szCs w:val="21"/>
                <w:highlight w:val="none"/>
                <w:lang w:val="en-US" w:eastAsia="zh-CN"/>
              </w:rPr>
              <w:t>余额放大倍数达</w:t>
            </w:r>
            <w:r>
              <w:rPr>
                <w:rFonts w:hint="eastAsia" w:ascii="Times New Roman" w:hAnsi="Times New Roman" w:eastAsia="仿宋_GB2312" w:cs="Times New Roman"/>
                <w:color w:val="auto"/>
                <w:kern w:val="0"/>
                <w:sz w:val="21"/>
                <w:szCs w:val="21"/>
                <w:highlight w:val="none"/>
                <w:lang w:val="en-US" w:eastAsia="zh-CN"/>
              </w:rPr>
              <w:t>3</w:t>
            </w:r>
            <w:r>
              <w:rPr>
                <w:rFonts w:hint="default" w:ascii="Times New Roman" w:hAnsi="Times New Roman" w:eastAsia="仿宋_GB2312" w:cs="Times New Roman"/>
                <w:color w:val="auto"/>
                <w:kern w:val="0"/>
                <w:sz w:val="21"/>
                <w:szCs w:val="21"/>
                <w:highlight w:val="none"/>
                <w:lang w:val="en-US" w:eastAsia="zh-CN"/>
              </w:rPr>
              <w:t>倍以上，广西再担保公司</w:t>
            </w:r>
            <w:r>
              <w:rPr>
                <w:rFonts w:hint="eastAsia" w:ascii="Times New Roman" w:hAnsi="Times New Roman" w:eastAsia="仿宋_GB2312" w:cs="Times New Roman"/>
                <w:color w:val="auto"/>
                <w:kern w:val="0"/>
                <w:sz w:val="21"/>
                <w:szCs w:val="21"/>
                <w:highlight w:val="none"/>
                <w:lang w:val="en-US" w:eastAsia="zh-CN"/>
              </w:rPr>
              <w:t>年末在保</w:t>
            </w:r>
            <w:r>
              <w:rPr>
                <w:rFonts w:hint="default" w:ascii="Times New Roman" w:hAnsi="Times New Roman" w:eastAsia="仿宋_GB2312" w:cs="Times New Roman"/>
                <w:color w:val="auto"/>
                <w:kern w:val="0"/>
                <w:sz w:val="21"/>
                <w:szCs w:val="21"/>
                <w:highlight w:val="none"/>
                <w:lang w:val="en-US" w:eastAsia="zh-CN"/>
              </w:rPr>
              <w:t>余额放大倍数达</w:t>
            </w:r>
            <w:r>
              <w:rPr>
                <w:rFonts w:hint="eastAsia" w:ascii="Times New Roman" w:hAnsi="Times New Roman" w:eastAsia="仿宋_GB2312" w:cs="Times New Roman"/>
                <w:color w:val="auto"/>
                <w:kern w:val="0"/>
                <w:sz w:val="21"/>
                <w:szCs w:val="21"/>
                <w:highlight w:val="none"/>
                <w:lang w:val="en-US" w:eastAsia="zh-CN"/>
              </w:rPr>
              <w:t>5</w:t>
            </w:r>
            <w:r>
              <w:rPr>
                <w:rFonts w:hint="default" w:ascii="Times New Roman" w:hAnsi="Times New Roman" w:eastAsia="仿宋_GB2312" w:cs="Times New Roman"/>
                <w:color w:val="auto"/>
                <w:kern w:val="0"/>
                <w:sz w:val="21"/>
                <w:szCs w:val="21"/>
                <w:highlight w:val="none"/>
                <w:lang w:val="en-US" w:eastAsia="zh-CN"/>
              </w:rPr>
              <w:t>倍以上。</w:t>
            </w:r>
          </w:p>
        </w:tc>
        <w:tc>
          <w:tcPr>
            <w:tcW w:w="4519" w:type="dxa"/>
            <w:shd w:val="clear" w:color="auto" w:fill="FFFFFF"/>
            <w:noWrap w:val="0"/>
            <w:vAlign w:val="center"/>
          </w:tcPr>
          <w:p w14:paraId="0741D915">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符合要求的得满分，否则不得分。</w:t>
            </w:r>
          </w:p>
        </w:tc>
        <w:tc>
          <w:tcPr>
            <w:tcW w:w="906" w:type="dxa"/>
            <w:noWrap w:val="0"/>
            <w:vAlign w:val="center"/>
          </w:tcPr>
          <w:p w14:paraId="2792F681">
            <w:pPr>
              <w:widowControl/>
              <w:spacing w:beforeLines="0" w:afterLines="0" w:line="260" w:lineRule="exact"/>
              <w:jc w:val="left"/>
              <w:textAlignment w:val="center"/>
              <w:rPr>
                <w:rFonts w:hint="default" w:ascii="Times New Roman" w:hAnsi="Times New Roman" w:eastAsia="仿宋_GB2312" w:cs="Times New Roman"/>
                <w:color w:val="auto"/>
                <w:kern w:val="0"/>
                <w:sz w:val="21"/>
                <w:szCs w:val="21"/>
                <w:highlight w:val="none"/>
                <w:lang w:val="en-US" w:eastAsia="zh-CN"/>
              </w:rPr>
            </w:pPr>
          </w:p>
        </w:tc>
      </w:tr>
      <w:tr w14:paraId="5290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09" w:type="dxa"/>
            <w:vMerge w:val="continue"/>
            <w:noWrap w:val="0"/>
            <w:vAlign w:val="center"/>
          </w:tcPr>
          <w:p w14:paraId="6AD129EC">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2114" w:type="dxa"/>
            <w:vMerge w:val="restart"/>
            <w:noWrap w:val="0"/>
            <w:vAlign w:val="center"/>
          </w:tcPr>
          <w:p w14:paraId="1FF1EBA2">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符合支小支农要求</w:t>
            </w:r>
          </w:p>
          <w:p w14:paraId="6FF3A7EF">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落实降低担保费要求</w:t>
            </w:r>
          </w:p>
        </w:tc>
        <w:tc>
          <w:tcPr>
            <w:tcW w:w="906" w:type="dxa"/>
            <w:noWrap w:val="0"/>
            <w:vAlign w:val="center"/>
          </w:tcPr>
          <w:p w14:paraId="269C6A37">
            <w:pPr>
              <w:widowControl/>
              <w:spacing w:beforeLines="0" w:afterLines="0" w:line="260" w:lineRule="exact"/>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3</w:t>
            </w:r>
          </w:p>
        </w:tc>
        <w:tc>
          <w:tcPr>
            <w:tcW w:w="4519" w:type="dxa"/>
            <w:noWrap w:val="0"/>
            <w:vAlign w:val="center"/>
          </w:tcPr>
          <w:p w14:paraId="2A376C58">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小微企业和“三农”主体担保金额占全部担保金额的比例不低于80%，其中单户担保金额500万元及以下的占比不得低于60%。</w:t>
            </w:r>
            <w:r>
              <w:rPr>
                <w:rFonts w:hint="eastAsia" w:ascii="Times New Roman" w:hAnsi="Times New Roman" w:eastAsia="仿宋_GB2312" w:cs="Times New Roman"/>
                <w:color w:val="auto"/>
                <w:kern w:val="0"/>
                <w:sz w:val="21"/>
                <w:szCs w:val="21"/>
                <w:highlight w:val="none"/>
                <w:lang w:val="en-US" w:eastAsia="zh-CN"/>
              </w:rPr>
              <w:t>农担公司符合“双控”标准的担保额不得低于总担保额的70%。</w:t>
            </w:r>
          </w:p>
        </w:tc>
        <w:tc>
          <w:tcPr>
            <w:tcW w:w="4519" w:type="dxa"/>
            <w:noWrap w:val="0"/>
            <w:vAlign w:val="center"/>
          </w:tcPr>
          <w:p w14:paraId="6F8AAC31">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符合要求的得满分，否则不得分。</w:t>
            </w:r>
          </w:p>
        </w:tc>
        <w:tc>
          <w:tcPr>
            <w:tcW w:w="906" w:type="dxa"/>
            <w:noWrap w:val="0"/>
            <w:vAlign w:val="center"/>
          </w:tcPr>
          <w:p w14:paraId="6821D5DA">
            <w:pPr>
              <w:widowControl/>
              <w:spacing w:beforeLines="0" w:afterLines="0" w:line="260" w:lineRule="exact"/>
              <w:jc w:val="left"/>
              <w:textAlignment w:val="center"/>
              <w:rPr>
                <w:rFonts w:hint="default" w:ascii="Times New Roman" w:hAnsi="Times New Roman" w:eastAsia="仿宋_GB2312" w:cs="Times New Roman"/>
                <w:color w:val="auto"/>
                <w:kern w:val="0"/>
                <w:sz w:val="21"/>
                <w:szCs w:val="21"/>
                <w:highlight w:val="none"/>
                <w:lang w:val="en-US" w:eastAsia="zh-CN"/>
              </w:rPr>
            </w:pPr>
          </w:p>
        </w:tc>
      </w:tr>
      <w:tr w14:paraId="6E4E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09" w:type="dxa"/>
            <w:vMerge w:val="continue"/>
            <w:noWrap w:val="0"/>
            <w:vAlign w:val="center"/>
          </w:tcPr>
          <w:p w14:paraId="43CD9E34">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2114" w:type="dxa"/>
            <w:vMerge w:val="continue"/>
            <w:noWrap w:val="0"/>
            <w:vAlign w:val="center"/>
          </w:tcPr>
          <w:p w14:paraId="08E77EF5">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906" w:type="dxa"/>
            <w:noWrap w:val="0"/>
            <w:vAlign w:val="center"/>
          </w:tcPr>
          <w:p w14:paraId="6B03D872">
            <w:pPr>
              <w:widowControl/>
              <w:spacing w:beforeLines="0" w:afterLines="0" w:line="260" w:lineRule="exact"/>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3</w:t>
            </w:r>
          </w:p>
        </w:tc>
        <w:tc>
          <w:tcPr>
            <w:tcW w:w="4519" w:type="dxa"/>
            <w:noWrap w:val="0"/>
            <w:vAlign w:val="center"/>
          </w:tcPr>
          <w:p w14:paraId="27B1EE31">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对于单户担保金额在1000万元及以下的项目收取的年化担保费率（含再担保费）不得高于1%，广西再担保公司收取的年化再担保费率不得高于0.2%；对于单户担保金额在1000万元以上2000万元及以下的项目收取的年化担保费率（含再担保费）不得高于1.5%，广西再担保公司收取的年化再担保费不得高于0.5%。</w:t>
            </w:r>
          </w:p>
          <w:p w14:paraId="54971D86">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农担公司</w:t>
            </w:r>
            <w:r>
              <w:rPr>
                <w:rFonts w:hint="eastAsia" w:ascii="Times New Roman" w:hAnsi="Times New Roman" w:eastAsia="仿宋_GB2312" w:cs="Times New Roman"/>
                <w:color w:val="auto"/>
                <w:kern w:val="0"/>
                <w:sz w:val="21"/>
                <w:szCs w:val="21"/>
                <w:highlight w:val="none"/>
                <w:lang w:val="en-US" w:eastAsia="zh-CN"/>
              </w:rPr>
              <w:t>的政策性农担业务贷款主体实际负担的担保费率不超过0.8%。</w:t>
            </w:r>
          </w:p>
        </w:tc>
        <w:tc>
          <w:tcPr>
            <w:tcW w:w="4519" w:type="dxa"/>
            <w:noWrap w:val="0"/>
            <w:vAlign w:val="center"/>
          </w:tcPr>
          <w:p w14:paraId="209CE5F4">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担保费按规定收取的得满分</w:t>
            </w:r>
            <w:r>
              <w:rPr>
                <w:rFonts w:hint="eastAsia" w:ascii="Times New Roman" w:hAnsi="Times New Roman" w:eastAsia="仿宋_GB2312" w:cs="Times New Roman"/>
                <w:color w:val="auto"/>
                <w:kern w:val="0"/>
                <w:sz w:val="21"/>
                <w:szCs w:val="21"/>
                <w:highlight w:val="none"/>
                <w:lang w:val="en-US" w:eastAsia="zh-CN"/>
              </w:rPr>
              <w:t>，抽查发现未按规定收取担保费的，发现一笔扣1分，扣完为止。</w:t>
            </w:r>
          </w:p>
        </w:tc>
        <w:tc>
          <w:tcPr>
            <w:tcW w:w="906" w:type="dxa"/>
            <w:noWrap w:val="0"/>
            <w:vAlign w:val="center"/>
          </w:tcPr>
          <w:p w14:paraId="468B8547">
            <w:pPr>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Lines="0" w:afterLines="0" w:line="260" w:lineRule="exact"/>
              <w:ind w:firstLine="0" w:firstLineChars="0"/>
              <w:jc w:val="left"/>
              <w:rPr>
                <w:rFonts w:hint="default" w:ascii="Times New Roman" w:hAnsi="Times New Roman" w:eastAsia="仿宋_GB2312" w:cs="Times New Roman"/>
                <w:color w:val="auto"/>
                <w:kern w:val="0"/>
                <w:sz w:val="21"/>
                <w:szCs w:val="21"/>
                <w:highlight w:val="none"/>
                <w:lang w:val="en-US" w:eastAsia="zh-CN" w:bidi="ar-SA"/>
              </w:rPr>
            </w:pPr>
          </w:p>
        </w:tc>
      </w:tr>
      <w:tr w14:paraId="18EE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09" w:type="dxa"/>
            <w:vMerge w:val="continue"/>
            <w:noWrap w:val="0"/>
            <w:vAlign w:val="center"/>
          </w:tcPr>
          <w:p w14:paraId="564C338A">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2114" w:type="dxa"/>
            <w:noWrap w:val="0"/>
            <w:vAlign w:val="center"/>
          </w:tcPr>
          <w:p w14:paraId="64722203">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eastAsia" w:ascii="Times New Roman" w:hAnsi="Times New Roman" w:eastAsia="仿宋_GB2312" w:cs="Times New Roman"/>
                <w:b/>
                <w:bCs/>
                <w:color w:val="auto"/>
                <w:kern w:val="0"/>
                <w:sz w:val="21"/>
                <w:szCs w:val="21"/>
                <w:highlight w:val="none"/>
                <w:lang w:val="en-US" w:eastAsia="zh-CN"/>
              </w:rPr>
              <w:t>年度目标任务</w:t>
            </w:r>
          </w:p>
        </w:tc>
        <w:tc>
          <w:tcPr>
            <w:tcW w:w="906" w:type="dxa"/>
            <w:noWrap w:val="0"/>
            <w:vAlign w:val="center"/>
          </w:tcPr>
          <w:p w14:paraId="6C499358">
            <w:pPr>
              <w:widowControl/>
              <w:spacing w:beforeLines="0" w:afterLines="0" w:line="260" w:lineRule="exact"/>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12</w:t>
            </w:r>
          </w:p>
        </w:tc>
        <w:tc>
          <w:tcPr>
            <w:tcW w:w="4519" w:type="dxa"/>
            <w:noWrap w:val="0"/>
            <w:vAlign w:val="center"/>
          </w:tcPr>
          <w:p w14:paraId="38973B32">
            <w:pPr>
              <w:widowControl/>
              <w:spacing w:beforeLines="0" w:afterLines="0" w:line="260" w:lineRule="exact"/>
              <w:jc w:val="both"/>
              <w:textAlignment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1.设定年度目标任务情况（6分）；</w:t>
            </w:r>
          </w:p>
          <w:p w14:paraId="08AA7E82">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2.完成自治区推进政府性融资担保体系建设工作联席会议办公室下达的年度任务情况（6分）。</w:t>
            </w:r>
          </w:p>
        </w:tc>
        <w:tc>
          <w:tcPr>
            <w:tcW w:w="4519" w:type="dxa"/>
            <w:noWrap w:val="0"/>
            <w:vAlign w:val="center"/>
          </w:tcPr>
          <w:p w14:paraId="59754926">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1.当年设定年度发生额任务较上年度发生额任务一致得2分，设定年度发生额任务为上年度发生额任务100%（不含）-110%（含）的，设定年度发生额任务每增加1%，加0.2分；当年设定年度发生户数任务较上年度发生户数任务一致的，得1分，设定年度发生户数任务为上年度发生户数任务100%（不含）-110%（含）的，设定年度发生额任务每增加1%，加0.1分；（因特殊原因由当地市、县政府出具专项报告，该项仍可得分。）</w:t>
            </w:r>
          </w:p>
          <w:p w14:paraId="525EBCCF">
            <w:pPr>
              <w:widowControl/>
              <w:spacing w:beforeLines="0" w:afterLines="0" w:line="260" w:lineRule="exact"/>
              <w:jc w:val="both"/>
              <w:textAlignment w:val="center"/>
              <w:rPr>
                <w:rFonts w:hint="default"/>
                <w:color w:val="auto"/>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2.完成自治区推进政府性融资担保体系建设工作联席会议办公室下达年度发生额任务的，得2分，完成年度发生额任务100%（不含）-110%（含）的，完成率每增加1%，加0.2分；完成自治区推进政府性融资担保体系建设工作联席会议办公室下达年度发生</w:t>
            </w:r>
            <w:r>
              <w:rPr>
                <w:rFonts w:hint="eastAsia" w:ascii="Times New Roman" w:hAnsi="Times New Roman" w:cs="Times New Roman"/>
                <w:color w:val="auto"/>
                <w:kern w:val="0"/>
                <w:sz w:val="21"/>
                <w:szCs w:val="21"/>
                <w:highlight w:val="none"/>
                <w:lang w:val="en-US" w:eastAsia="zh-CN"/>
              </w:rPr>
              <w:t>户数</w:t>
            </w:r>
            <w:r>
              <w:rPr>
                <w:rFonts w:hint="eastAsia" w:ascii="Times New Roman" w:hAnsi="Times New Roman" w:eastAsia="仿宋_GB2312" w:cs="Times New Roman"/>
                <w:color w:val="auto"/>
                <w:kern w:val="0"/>
                <w:sz w:val="21"/>
                <w:szCs w:val="21"/>
                <w:highlight w:val="none"/>
                <w:lang w:val="en-US" w:eastAsia="zh-CN"/>
              </w:rPr>
              <w:t>任务的，得1分，完成年度发生户数任务100%（不含）-110%（含）的，完成率每增加1%，加0.1分。</w:t>
            </w:r>
          </w:p>
        </w:tc>
        <w:tc>
          <w:tcPr>
            <w:tcW w:w="906" w:type="dxa"/>
            <w:noWrap w:val="0"/>
            <w:vAlign w:val="center"/>
          </w:tcPr>
          <w:p w14:paraId="644A50A5">
            <w:pPr>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Lines="0" w:afterLines="0" w:line="260" w:lineRule="exact"/>
              <w:ind w:firstLine="0" w:firstLineChars="0"/>
              <w:jc w:val="left"/>
              <w:rPr>
                <w:rFonts w:hint="default" w:ascii="Times New Roman" w:hAnsi="Times New Roman" w:eastAsia="仿宋_GB2312" w:cs="Times New Roman"/>
                <w:color w:val="auto"/>
                <w:kern w:val="0"/>
                <w:sz w:val="21"/>
                <w:szCs w:val="21"/>
                <w:highlight w:val="none"/>
                <w:lang w:val="en-US" w:eastAsia="zh-CN" w:bidi="ar-SA"/>
              </w:rPr>
            </w:pPr>
          </w:p>
        </w:tc>
      </w:tr>
      <w:tr w14:paraId="7582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09" w:type="dxa"/>
            <w:vMerge w:val="continue"/>
            <w:noWrap w:val="0"/>
            <w:vAlign w:val="center"/>
          </w:tcPr>
          <w:p w14:paraId="53D7279F">
            <w:pPr>
              <w:widowControl/>
              <w:spacing w:line="260" w:lineRule="exact"/>
              <w:jc w:val="center"/>
              <w:textAlignment w:val="center"/>
              <w:rPr>
                <w:rFonts w:hint="default" w:ascii="Times New Roman" w:hAnsi="Times New Roman" w:eastAsia="宋体" w:cs="Times New Roman"/>
                <w:b/>
                <w:bCs/>
                <w:color w:val="auto"/>
                <w:sz w:val="21"/>
                <w:szCs w:val="21"/>
                <w:highlight w:val="none"/>
                <w:lang w:val="en-US" w:eastAsia="zh-CN"/>
              </w:rPr>
            </w:pPr>
          </w:p>
        </w:tc>
        <w:tc>
          <w:tcPr>
            <w:tcW w:w="2114" w:type="dxa"/>
            <w:noWrap w:val="0"/>
            <w:vAlign w:val="center"/>
          </w:tcPr>
          <w:p w14:paraId="3BDDFF50">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eastAsia" w:ascii="Times New Roman" w:hAnsi="Times New Roman" w:eastAsia="仿宋_GB2312" w:cs="Times New Roman"/>
                <w:b/>
                <w:bCs/>
                <w:color w:val="auto"/>
                <w:kern w:val="0"/>
                <w:sz w:val="21"/>
                <w:szCs w:val="21"/>
                <w:highlight w:val="none"/>
                <w:lang w:val="en-US" w:eastAsia="zh-CN"/>
              </w:rPr>
              <w:t>履行告知义务</w:t>
            </w:r>
          </w:p>
        </w:tc>
        <w:tc>
          <w:tcPr>
            <w:tcW w:w="906" w:type="dxa"/>
            <w:noWrap w:val="0"/>
            <w:vAlign w:val="center"/>
          </w:tcPr>
          <w:p w14:paraId="192649F4">
            <w:pPr>
              <w:widowControl/>
              <w:spacing w:beforeLines="0" w:afterLines="0" w:line="260" w:lineRule="exact"/>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1</w:t>
            </w:r>
          </w:p>
        </w:tc>
        <w:tc>
          <w:tcPr>
            <w:tcW w:w="4519" w:type="dxa"/>
            <w:noWrap w:val="0"/>
            <w:vAlign w:val="center"/>
          </w:tcPr>
          <w:p w14:paraId="0933092B">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直保机构</w:t>
            </w:r>
            <w:r>
              <w:rPr>
                <w:rFonts w:hint="default" w:ascii="Times New Roman" w:hAnsi="Times New Roman" w:eastAsia="仿宋_GB2312" w:cs="Times New Roman"/>
                <w:color w:val="auto"/>
                <w:kern w:val="0"/>
                <w:sz w:val="21"/>
                <w:szCs w:val="21"/>
                <w:highlight w:val="none"/>
                <w:lang w:val="en-US" w:eastAsia="zh-CN"/>
              </w:rPr>
              <w:t>履行告知义务，客户签收《担保客户告知书》。</w:t>
            </w:r>
          </w:p>
        </w:tc>
        <w:tc>
          <w:tcPr>
            <w:tcW w:w="4519" w:type="dxa"/>
            <w:noWrap w:val="0"/>
            <w:vAlign w:val="center"/>
          </w:tcPr>
          <w:p w14:paraId="382D59EF">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未签署《担保客户告知书》的不得分。</w:t>
            </w:r>
          </w:p>
        </w:tc>
        <w:tc>
          <w:tcPr>
            <w:tcW w:w="906" w:type="dxa"/>
            <w:noWrap w:val="0"/>
            <w:vAlign w:val="center"/>
          </w:tcPr>
          <w:p w14:paraId="52CB0B36">
            <w:pPr>
              <w:widowControl/>
              <w:spacing w:beforeLines="0" w:afterLines="0" w:line="260" w:lineRule="exact"/>
              <w:jc w:val="left"/>
              <w:textAlignment w:val="center"/>
              <w:rPr>
                <w:rFonts w:hint="default" w:ascii="Times New Roman" w:hAnsi="Times New Roman" w:eastAsia="仿宋_GB2312" w:cs="Times New Roman"/>
                <w:color w:val="auto"/>
                <w:kern w:val="0"/>
                <w:sz w:val="21"/>
                <w:szCs w:val="21"/>
                <w:highlight w:val="none"/>
                <w:lang w:val="en-US" w:eastAsia="zh-CN"/>
              </w:rPr>
            </w:pPr>
          </w:p>
        </w:tc>
      </w:tr>
      <w:tr w14:paraId="4504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09" w:type="dxa"/>
            <w:vMerge w:val="continue"/>
            <w:noWrap w:val="0"/>
            <w:vAlign w:val="center"/>
          </w:tcPr>
          <w:p w14:paraId="53383CB9">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2114" w:type="dxa"/>
            <w:noWrap w:val="0"/>
            <w:vAlign w:val="center"/>
          </w:tcPr>
          <w:p w14:paraId="396C17DF">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资本金落实到位</w:t>
            </w:r>
          </w:p>
        </w:tc>
        <w:tc>
          <w:tcPr>
            <w:tcW w:w="906" w:type="dxa"/>
            <w:noWrap w:val="0"/>
            <w:vAlign w:val="center"/>
          </w:tcPr>
          <w:p w14:paraId="2F7DE773">
            <w:pPr>
              <w:widowControl/>
              <w:spacing w:beforeLines="0" w:afterLines="0" w:line="260" w:lineRule="exact"/>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2</w:t>
            </w:r>
          </w:p>
        </w:tc>
        <w:tc>
          <w:tcPr>
            <w:tcW w:w="4519" w:type="dxa"/>
            <w:noWrap w:val="0"/>
            <w:vAlign w:val="center"/>
          </w:tcPr>
          <w:p w14:paraId="590EFF26">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南宁、柳州、桂林等设区市的市级政府性融资担保机构注册资本金规模原则上不低于5亿元，其他设区市的市级政府性融资担保机构注册资本金规模原则上不低于3亿元等，广西再担保公司应按规定参股比例落实资本金。</w:t>
            </w:r>
          </w:p>
        </w:tc>
        <w:tc>
          <w:tcPr>
            <w:tcW w:w="4519" w:type="dxa"/>
            <w:noWrap w:val="0"/>
            <w:vAlign w:val="center"/>
          </w:tcPr>
          <w:p w14:paraId="13B3642A">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资本金按规定落实到位得</w:t>
            </w:r>
            <w:r>
              <w:rPr>
                <w:rFonts w:hint="eastAsia" w:ascii="Times New Roman" w:hAnsi="Times New Roman" w:eastAsia="仿宋_GB2312" w:cs="Times New Roman"/>
                <w:color w:val="auto"/>
                <w:kern w:val="0"/>
                <w:sz w:val="21"/>
                <w:szCs w:val="21"/>
                <w:highlight w:val="none"/>
                <w:lang w:val="en-US" w:eastAsia="zh-CN"/>
              </w:rPr>
              <w:t>2</w:t>
            </w:r>
            <w:r>
              <w:rPr>
                <w:rFonts w:hint="default" w:ascii="Times New Roman" w:hAnsi="Times New Roman" w:eastAsia="仿宋_GB2312" w:cs="Times New Roman"/>
                <w:color w:val="auto"/>
                <w:kern w:val="0"/>
                <w:sz w:val="21"/>
                <w:szCs w:val="21"/>
                <w:highlight w:val="none"/>
                <w:lang w:val="en-US" w:eastAsia="zh-CN"/>
              </w:rPr>
              <w:t>分，否则不得分。</w:t>
            </w:r>
          </w:p>
        </w:tc>
        <w:tc>
          <w:tcPr>
            <w:tcW w:w="906" w:type="dxa"/>
            <w:noWrap w:val="0"/>
            <w:vAlign w:val="center"/>
          </w:tcPr>
          <w:p w14:paraId="2F8DC30D">
            <w:pPr>
              <w:widowControl/>
              <w:spacing w:beforeLines="0" w:afterLines="0" w:line="260" w:lineRule="exact"/>
              <w:jc w:val="left"/>
              <w:textAlignment w:val="center"/>
              <w:rPr>
                <w:rFonts w:hint="default" w:ascii="Times New Roman" w:hAnsi="Times New Roman" w:eastAsia="仿宋_GB2312" w:cs="Times New Roman"/>
                <w:color w:val="auto"/>
                <w:kern w:val="0"/>
                <w:sz w:val="21"/>
                <w:szCs w:val="21"/>
                <w:highlight w:val="none"/>
                <w:lang w:val="en-US" w:eastAsia="zh-CN"/>
              </w:rPr>
            </w:pPr>
          </w:p>
          <w:p w14:paraId="21C6F399">
            <w:pPr>
              <w:pStyle w:val="2"/>
              <w:rPr>
                <w:rFonts w:hint="default"/>
                <w:color w:val="auto"/>
                <w:highlight w:val="none"/>
                <w:lang w:val="en-US" w:eastAsia="zh-CN"/>
              </w:rPr>
            </w:pPr>
          </w:p>
        </w:tc>
      </w:tr>
      <w:tr w14:paraId="3E2E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09" w:type="dxa"/>
            <w:vMerge w:val="continue"/>
            <w:noWrap w:val="0"/>
            <w:vAlign w:val="center"/>
          </w:tcPr>
          <w:p w14:paraId="6476B37D">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2114" w:type="dxa"/>
            <w:noWrap w:val="0"/>
            <w:vAlign w:val="center"/>
          </w:tcPr>
          <w:p w14:paraId="52BCA470">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eastAsia" w:ascii="Times New Roman" w:hAnsi="Times New Roman" w:eastAsia="仿宋_GB2312" w:cs="Times New Roman"/>
                <w:b/>
                <w:bCs/>
                <w:color w:val="auto"/>
                <w:kern w:val="0"/>
                <w:sz w:val="21"/>
                <w:szCs w:val="21"/>
                <w:highlight w:val="none"/>
                <w:lang w:val="en-US" w:eastAsia="zh-CN"/>
              </w:rPr>
              <w:t>按规定托管注册资本金</w:t>
            </w:r>
          </w:p>
        </w:tc>
        <w:tc>
          <w:tcPr>
            <w:tcW w:w="906" w:type="dxa"/>
            <w:noWrap w:val="0"/>
            <w:vAlign w:val="center"/>
          </w:tcPr>
          <w:p w14:paraId="6E9CE9A9">
            <w:pPr>
              <w:widowControl/>
              <w:spacing w:beforeLines="0" w:afterLines="0" w:line="260" w:lineRule="exact"/>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2</w:t>
            </w:r>
          </w:p>
        </w:tc>
        <w:tc>
          <w:tcPr>
            <w:tcW w:w="4519" w:type="dxa"/>
            <w:noWrap w:val="0"/>
            <w:vAlign w:val="center"/>
          </w:tcPr>
          <w:p w14:paraId="0CCE57EE">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按规定比例托管注册资本金。</w:t>
            </w:r>
          </w:p>
        </w:tc>
        <w:tc>
          <w:tcPr>
            <w:tcW w:w="4519" w:type="dxa"/>
            <w:noWrap w:val="0"/>
            <w:vAlign w:val="center"/>
          </w:tcPr>
          <w:p w14:paraId="01BAA19F">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按规定比例托管注册资本金得满分，否则不得分。</w:t>
            </w:r>
          </w:p>
        </w:tc>
        <w:tc>
          <w:tcPr>
            <w:tcW w:w="906" w:type="dxa"/>
            <w:noWrap w:val="0"/>
            <w:vAlign w:val="center"/>
          </w:tcPr>
          <w:p w14:paraId="13D47BB3">
            <w:pPr>
              <w:pStyle w:val="2"/>
              <w:rPr>
                <w:rFonts w:hint="default"/>
                <w:color w:val="auto"/>
                <w:highlight w:val="none"/>
                <w:lang w:val="en-US" w:eastAsia="zh-CN"/>
              </w:rPr>
            </w:pPr>
          </w:p>
        </w:tc>
      </w:tr>
      <w:tr w14:paraId="0303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09" w:type="dxa"/>
            <w:vMerge w:val="continue"/>
            <w:noWrap w:val="0"/>
            <w:vAlign w:val="center"/>
          </w:tcPr>
          <w:p w14:paraId="5470E97D">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2114" w:type="dxa"/>
            <w:noWrap w:val="0"/>
            <w:vAlign w:val="center"/>
          </w:tcPr>
          <w:p w14:paraId="7527854A">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eastAsia" w:ascii="Times New Roman" w:hAnsi="Times New Roman" w:eastAsia="仿宋_GB2312" w:cs="Times New Roman"/>
                <w:b/>
                <w:bCs/>
                <w:color w:val="auto"/>
                <w:kern w:val="0"/>
                <w:sz w:val="21"/>
                <w:szCs w:val="21"/>
                <w:highlight w:val="none"/>
                <w:lang w:val="en-US" w:eastAsia="zh-CN"/>
              </w:rPr>
              <w:t>按规定使用托管资本金</w:t>
            </w:r>
          </w:p>
        </w:tc>
        <w:tc>
          <w:tcPr>
            <w:tcW w:w="906" w:type="dxa"/>
            <w:noWrap w:val="0"/>
            <w:vAlign w:val="center"/>
          </w:tcPr>
          <w:p w14:paraId="4B849F04">
            <w:pPr>
              <w:widowControl/>
              <w:spacing w:beforeLines="0" w:afterLines="0" w:line="260" w:lineRule="exact"/>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2</w:t>
            </w:r>
          </w:p>
        </w:tc>
        <w:tc>
          <w:tcPr>
            <w:tcW w:w="4519" w:type="dxa"/>
            <w:noWrap w:val="0"/>
            <w:vAlign w:val="center"/>
          </w:tcPr>
          <w:p w14:paraId="2296AB7C">
            <w:pPr>
              <w:widowControl/>
              <w:spacing w:beforeLines="0" w:afterLines="0" w:line="260" w:lineRule="exact"/>
              <w:jc w:val="both"/>
              <w:textAlignment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托管资金的使用范围：</w:t>
            </w:r>
          </w:p>
          <w:p w14:paraId="1BACF1F7">
            <w:pPr>
              <w:pStyle w:val="2"/>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1.融资性担保业务基础保证金（或固定保证金）、业务保证金（或浮动保证金）；</w:t>
            </w:r>
          </w:p>
          <w:p w14:paraId="0938B0A2">
            <w:pPr>
              <w:pStyle w:val="2"/>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2.代偿支付；</w:t>
            </w:r>
          </w:p>
          <w:p w14:paraId="76194A04">
            <w:pPr>
              <w:pStyle w:val="2"/>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3.监管部门允许的其他用途。</w:t>
            </w:r>
          </w:p>
        </w:tc>
        <w:tc>
          <w:tcPr>
            <w:tcW w:w="4519" w:type="dxa"/>
            <w:noWrap w:val="0"/>
            <w:vAlign w:val="center"/>
          </w:tcPr>
          <w:p w14:paraId="42EB13ED">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按规定使用托管资金得满分，否则不得分。</w:t>
            </w:r>
          </w:p>
        </w:tc>
        <w:tc>
          <w:tcPr>
            <w:tcW w:w="906" w:type="dxa"/>
            <w:noWrap w:val="0"/>
            <w:vAlign w:val="center"/>
          </w:tcPr>
          <w:p w14:paraId="3C915ED7">
            <w:pPr>
              <w:pStyle w:val="2"/>
              <w:rPr>
                <w:rFonts w:hint="default"/>
                <w:color w:val="auto"/>
                <w:highlight w:val="none"/>
                <w:lang w:val="en-US" w:eastAsia="zh-CN"/>
              </w:rPr>
            </w:pPr>
          </w:p>
        </w:tc>
      </w:tr>
      <w:tr w14:paraId="6AC2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09" w:type="dxa"/>
            <w:vMerge w:val="continue"/>
            <w:noWrap w:val="0"/>
            <w:vAlign w:val="center"/>
          </w:tcPr>
          <w:p w14:paraId="4E6EEF70">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2114" w:type="dxa"/>
            <w:noWrap w:val="0"/>
            <w:vAlign w:val="center"/>
          </w:tcPr>
          <w:p w14:paraId="00CBCBDD">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建立可持续发展机制</w:t>
            </w:r>
          </w:p>
        </w:tc>
        <w:tc>
          <w:tcPr>
            <w:tcW w:w="906" w:type="dxa"/>
            <w:noWrap w:val="0"/>
            <w:vAlign w:val="center"/>
          </w:tcPr>
          <w:p w14:paraId="461A4BDC">
            <w:pPr>
              <w:widowControl/>
              <w:spacing w:beforeLines="0" w:afterLines="0" w:line="260" w:lineRule="exact"/>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3</w:t>
            </w:r>
          </w:p>
        </w:tc>
        <w:tc>
          <w:tcPr>
            <w:tcW w:w="4519" w:type="dxa"/>
            <w:noWrap w:val="0"/>
            <w:vAlign w:val="center"/>
          </w:tcPr>
          <w:p w14:paraId="1EE72461">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推动</w:t>
            </w:r>
            <w:r>
              <w:rPr>
                <w:rFonts w:hint="default" w:ascii="Times New Roman" w:hAnsi="Times New Roman" w:eastAsia="仿宋_GB2312" w:cs="Times New Roman"/>
                <w:color w:val="auto"/>
                <w:kern w:val="0"/>
                <w:sz w:val="21"/>
                <w:szCs w:val="21"/>
                <w:highlight w:val="none"/>
                <w:lang w:val="en-US" w:eastAsia="zh-CN"/>
              </w:rPr>
              <w:t>当地政府或财政部门建立</w:t>
            </w:r>
            <w:r>
              <w:rPr>
                <w:rFonts w:hint="eastAsia" w:ascii="Times New Roman" w:hAnsi="Times New Roman" w:eastAsia="仿宋_GB2312" w:cs="Times New Roman"/>
                <w:color w:val="auto"/>
                <w:kern w:val="0"/>
                <w:sz w:val="21"/>
                <w:szCs w:val="21"/>
                <w:highlight w:val="none"/>
                <w:lang w:val="en-US" w:eastAsia="zh-CN"/>
              </w:rPr>
              <w:t>并落实</w:t>
            </w:r>
            <w:r>
              <w:rPr>
                <w:rFonts w:hint="default" w:ascii="Times New Roman" w:hAnsi="Times New Roman" w:eastAsia="仿宋_GB2312" w:cs="Times New Roman"/>
                <w:color w:val="auto"/>
                <w:kern w:val="0"/>
                <w:sz w:val="21"/>
                <w:szCs w:val="21"/>
                <w:highlight w:val="none"/>
                <w:lang w:val="en-US" w:eastAsia="zh-CN"/>
              </w:rPr>
              <w:t>资本金补充机制、代偿补偿机制、担保费补贴机制。</w:t>
            </w:r>
          </w:p>
        </w:tc>
        <w:tc>
          <w:tcPr>
            <w:tcW w:w="4519" w:type="dxa"/>
            <w:noWrap w:val="0"/>
            <w:vAlign w:val="center"/>
          </w:tcPr>
          <w:p w14:paraId="130D1E39">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推动建立</w:t>
            </w:r>
            <w:r>
              <w:rPr>
                <w:rFonts w:hint="default" w:ascii="Times New Roman" w:hAnsi="Times New Roman" w:eastAsia="仿宋_GB2312" w:cs="Times New Roman"/>
                <w:color w:val="auto"/>
                <w:kern w:val="0"/>
                <w:sz w:val="21"/>
                <w:szCs w:val="21"/>
                <w:highlight w:val="none"/>
                <w:lang w:val="en-US" w:eastAsia="zh-CN"/>
              </w:rPr>
              <w:t>健全</w:t>
            </w:r>
            <w:r>
              <w:rPr>
                <w:rFonts w:hint="eastAsia" w:ascii="Times New Roman" w:hAnsi="Times New Roman" w:eastAsia="仿宋_GB2312" w:cs="Times New Roman"/>
                <w:color w:val="auto"/>
                <w:kern w:val="0"/>
                <w:sz w:val="21"/>
                <w:szCs w:val="21"/>
                <w:highlight w:val="none"/>
                <w:lang w:val="en-US" w:eastAsia="zh-CN"/>
              </w:rPr>
              <w:t>机制并落实</w:t>
            </w:r>
            <w:r>
              <w:rPr>
                <w:rFonts w:hint="default" w:ascii="Times New Roman" w:hAnsi="Times New Roman" w:eastAsia="仿宋_GB2312" w:cs="Times New Roman"/>
                <w:color w:val="auto"/>
                <w:kern w:val="0"/>
                <w:sz w:val="21"/>
                <w:szCs w:val="21"/>
                <w:highlight w:val="none"/>
                <w:lang w:val="en-US" w:eastAsia="zh-CN"/>
              </w:rPr>
              <w:t>得满分</w:t>
            </w:r>
            <w:r>
              <w:rPr>
                <w:rFonts w:hint="eastAsia" w:ascii="Times New Roman" w:hAnsi="Times New Roman" w:eastAsia="仿宋_GB2312" w:cs="Times New Roman"/>
                <w:color w:val="auto"/>
                <w:kern w:val="0"/>
                <w:sz w:val="21"/>
                <w:szCs w:val="21"/>
                <w:highlight w:val="none"/>
                <w:lang w:val="en-US" w:eastAsia="zh-CN"/>
              </w:rPr>
              <w:t>；已推动建立健全机制但未落实得1分；未建立健全机制</w:t>
            </w:r>
            <w:r>
              <w:rPr>
                <w:rFonts w:hint="default" w:ascii="Times New Roman" w:hAnsi="Times New Roman" w:eastAsia="仿宋_GB2312" w:cs="Times New Roman"/>
                <w:color w:val="auto"/>
                <w:kern w:val="0"/>
                <w:sz w:val="21"/>
                <w:szCs w:val="21"/>
                <w:highlight w:val="none"/>
                <w:lang w:val="en-US" w:eastAsia="zh-CN"/>
              </w:rPr>
              <w:t>不得分。</w:t>
            </w:r>
          </w:p>
        </w:tc>
        <w:tc>
          <w:tcPr>
            <w:tcW w:w="906" w:type="dxa"/>
            <w:noWrap w:val="0"/>
            <w:vAlign w:val="center"/>
          </w:tcPr>
          <w:p w14:paraId="630E813A">
            <w:pPr>
              <w:widowControl/>
              <w:spacing w:beforeLines="0" w:afterLines="0" w:line="260" w:lineRule="exact"/>
              <w:jc w:val="left"/>
              <w:textAlignment w:val="center"/>
              <w:rPr>
                <w:rFonts w:hint="default" w:ascii="Times New Roman" w:hAnsi="Times New Roman" w:eastAsia="仿宋_GB2312" w:cs="Times New Roman"/>
                <w:color w:val="auto"/>
                <w:kern w:val="0"/>
                <w:sz w:val="21"/>
                <w:szCs w:val="21"/>
                <w:highlight w:val="none"/>
                <w:lang w:val="en-US" w:eastAsia="zh-CN"/>
              </w:rPr>
            </w:pPr>
          </w:p>
        </w:tc>
      </w:tr>
      <w:tr w14:paraId="1D0A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09" w:type="dxa"/>
            <w:vMerge w:val="restart"/>
            <w:noWrap w:val="0"/>
            <w:vAlign w:val="center"/>
          </w:tcPr>
          <w:p w14:paraId="18B86CDA">
            <w:pPr>
              <w:widowControl/>
              <w:spacing w:line="260" w:lineRule="exact"/>
              <w:jc w:val="both"/>
              <w:textAlignment w:val="center"/>
              <w:rPr>
                <w:rFonts w:hint="default" w:ascii="Times New Roman" w:hAnsi="Times New Roman" w:eastAsia="宋体" w:cs="Times New Roman"/>
                <w:b/>
                <w:bCs/>
                <w:color w:val="auto"/>
                <w:sz w:val="21"/>
                <w:szCs w:val="21"/>
                <w:highlight w:val="none"/>
                <w:lang w:val="en-US" w:eastAsia="zh-CN"/>
              </w:rPr>
            </w:pPr>
          </w:p>
          <w:p w14:paraId="31C89F3D">
            <w:pPr>
              <w:widowControl/>
              <w:spacing w:line="260" w:lineRule="exact"/>
              <w:jc w:val="both"/>
              <w:textAlignment w:val="center"/>
              <w:rPr>
                <w:rFonts w:hint="default" w:ascii="Times New Roman" w:hAnsi="Times New Roman" w:eastAsia="仿宋_GB2312" w:cs="Times New Roman"/>
                <w:b/>
                <w:bCs/>
                <w:color w:val="auto"/>
                <w:sz w:val="21"/>
                <w:szCs w:val="21"/>
                <w:highlight w:val="none"/>
                <w:lang w:val="en-US" w:eastAsia="zh-CN"/>
              </w:rPr>
            </w:pPr>
          </w:p>
          <w:p w14:paraId="153AFBF8">
            <w:pPr>
              <w:widowControl/>
              <w:spacing w:line="260" w:lineRule="exact"/>
              <w:ind w:firstLine="0" w:firstLineChars="0"/>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风险</w:t>
            </w:r>
          </w:p>
          <w:p w14:paraId="67B35437">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管理</w:t>
            </w:r>
          </w:p>
          <w:p w14:paraId="1E971D10">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cs="Times New Roman"/>
                <w:b/>
                <w:bCs/>
                <w:color w:val="auto"/>
                <w:kern w:val="0"/>
                <w:sz w:val="21"/>
                <w:szCs w:val="21"/>
                <w:highlight w:val="none"/>
                <w:lang w:val="en-US" w:eastAsia="zh-CN"/>
              </w:rPr>
              <w:t>（</w:t>
            </w:r>
            <w:r>
              <w:rPr>
                <w:rFonts w:hint="eastAsia" w:ascii="Times New Roman" w:hAnsi="Times New Roman" w:eastAsia="仿宋_GB2312" w:cs="Times New Roman"/>
                <w:b/>
                <w:bCs/>
                <w:color w:val="auto"/>
                <w:kern w:val="0"/>
                <w:sz w:val="21"/>
                <w:szCs w:val="21"/>
                <w:highlight w:val="none"/>
                <w:lang w:val="en-US" w:eastAsia="zh-CN"/>
              </w:rPr>
              <w:t>30</w:t>
            </w:r>
            <w:r>
              <w:rPr>
                <w:rFonts w:hint="default" w:ascii="Times New Roman" w:hAnsi="Times New Roman" w:eastAsia="仿宋_GB2312" w:cs="Times New Roman"/>
                <w:b/>
                <w:bCs/>
                <w:color w:val="auto"/>
                <w:kern w:val="0"/>
                <w:sz w:val="21"/>
                <w:szCs w:val="21"/>
                <w:highlight w:val="none"/>
                <w:lang w:val="en-US" w:eastAsia="zh-CN"/>
              </w:rPr>
              <w:t>分</w:t>
            </w:r>
            <w:r>
              <w:rPr>
                <w:rFonts w:hint="default" w:ascii="Times New Roman" w:hAnsi="Times New Roman" w:cs="Times New Roman"/>
                <w:b/>
                <w:bCs/>
                <w:color w:val="auto"/>
                <w:kern w:val="0"/>
                <w:sz w:val="21"/>
                <w:szCs w:val="21"/>
                <w:highlight w:val="none"/>
                <w:lang w:val="en-US" w:eastAsia="zh-CN"/>
              </w:rPr>
              <w:t>）</w:t>
            </w:r>
          </w:p>
          <w:p w14:paraId="30CF849E">
            <w:pPr>
              <w:widowControl w:val="0"/>
              <w:pBdr>
                <w:top w:val="none" w:color="auto" w:sz="0" w:space="0"/>
                <w:left w:val="none" w:color="auto" w:sz="0" w:space="0"/>
                <w:bottom w:val="none" w:color="auto" w:sz="0" w:space="0"/>
                <w:right w:val="none" w:color="auto" w:sz="0" w:space="0"/>
                <w:between w:val="none" w:color="auto" w:sz="0" w:space="0"/>
              </w:pBdr>
              <w:shd w:val="clear" w:color="auto" w:fill="auto"/>
              <w:spacing w:line="260" w:lineRule="exact"/>
              <w:ind w:left="0" w:leftChars="0" w:firstLine="0" w:firstLineChars="0"/>
              <w:jc w:val="left"/>
              <w:rPr>
                <w:rFonts w:hint="default" w:ascii="Times New Roman" w:hAnsi="Times New Roman" w:eastAsia="宋体" w:cs="Times New Roman"/>
                <w:b/>
                <w:bCs/>
                <w:color w:val="auto"/>
                <w:kern w:val="2"/>
                <w:sz w:val="21"/>
                <w:szCs w:val="21"/>
                <w:highlight w:val="none"/>
                <w:lang w:val="en-US" w:eastAsia="zh-CN" w:bidi="ar-SA"/>
              </w:rPr>
            </w:pPr>
          </w:p>
        </w:tc>
        <w:tc>
          <w:tcPr>
            <w:tcW w:w="2114" w:type="dxa"/>
            <w:noWrap w:val="0"/>
            <w:vAlign w:val="center"/>
          </w:tcPr>
          <w:p w14:paraId="3A840B6D">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bidi="ar-SA"/>
              </w:rPr>
            </w:pPr>
            <w:r>
              <w:rPr>
                <w:rFonts w:hint="eastAsia" w:ascii="Times New Roman" w:hAnsi="Times New Roman" w:eastAsia="仿宋_GB2312" w:cs="Times New Roman"/>
                <w:b/>
                <w:bCs/>
                <w:color w:val="auto"/>
                <w:kern w:val="0"/>
                <w:sz w:val="21"/>
                <w:szCs w:val="21"/>
                <w:highlight w:val="none"/>
                <w:lang w:val="en-US" w:eastAsia="zh-CN"/>
              </w:rPr>
              <w:t>经营范围内展业</w:t>
            </w:r>
          </w:p>
        </w:tc>
        <w:tc>
          <w:tcPr>
            <w:tcW w:w="906" w:type="dxa"/>
            <w:noWrap w:val="0"/>
            <w:vAlign w:val="center"/>
          </w:tcPr>
          <w:p w14:paraId="70D92BDC">
            <w:pPr>
              <w:widowControl/>
              <w:spacing w:beforeLines="0" w:afterLines="0" w:line="260" w:lineRule="exact"/>
              <w:jc w:val="center"/>
              <w:textAlignment w:val="center"/>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rPr>
              <w:t>2</w:t>
            </w:r>
          </w:p>
        </w:tc>
        <w:tc>
          <w:tcPr>
            <w:tcW w:w="4519" w:type="dxa"/>
            <w:noWrap w:val="0"/>
            <w:vAlign w:val="center"/>
          </w:tcPr>
          <w:p w14:paraId="6FA9FA7E">
            <w:pPr>
              <w:widowControl/>
              <w:spacing w:beforeLines="0" w:afterLines="0" w:line="260" w:lineRule="exact"/>
              <w:jc w:val="both"/>
              <w:textAlignment w:val="center"/>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rPr>
              <w:t>政府性融资担保机构应在批准的经营范围内经营。</w:t>
            </w:r>
          </w:p>
        </w:tc>
        <w:tc>
          <w:tcPr>
            <w:tcW w:w="4519" w:type="dxa"/>
            <w:noWrap w:val="0"/>
            <w:vAlign w:val="center"/>
          </w:tcPr>
          <w:p w14:paraId="6EF72C2B">
            <w:pPr>
              <w:widowControl/>
              <w:spacing w:beforeLines="0" w:afterLines="0" w:line="260" w:lineRule="exact"/>
              <w:jc w:val="both"/>
              <w:textAlignment w:val="center"/>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rPr>
              <w:t>按规定在经营范围内展业得满分，出现超经营范围展业的不得分。</w:t>
            </w:r>
          </w:p>
        </w:tc>
        <w:tc>
          <w:tcPr>
            <w:tcW w:w="906" w:type="dxa"/>
            <w:noWrap w:val="0"/>
            <w:vAlign w:val="center"/>
          </w:tcPr>
          <w:p w14:paraId="14ED2121">
            <w:pPr>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Lines="0" w:afterLines="0" w:line="260" w:lineRule="exact"/>
              <w:ind w:firstLine="0" w:firstLineChars="0"/>
              <w:jc w:val="left"/>
              <w:rPr>
                <w:rFonts w:hint="default" w:ascii="Times New Roman" w:hAnsi="Times New Roman" w:eastAsia="仿宋_GB2312" w:cs="Times New Roman"/>
                <w:color w:val="auto"/>
                <w:kern w:val="0"/>
                <w:sz w:val="21"/>
                <w:szCs w:val="21"/>
                <w:highlight w:val="none"/>
                <w:lang w:val="en-US" w:eastAsia="zh-CN" w:bidi="ar-SA"/>
              </w:rPr>
            </w:pPr>
          </w:p>
        </w:tc>
      </w:tr>
      <w:tr w14:paraId="1D3C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09" w:type="dxa"/>
            <w:vMerge w:val="continue"/>
            <w:noWrap w:val="0"/>
            <w:vAlign w:val="center"/>
          </w:tcPr>
          <w:p w14:paraId="20E0EBFB">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2114" w:type="dxa"/>
            <w:noWrap w:val="0"/>
            <w:vAlign w:val="center"/>
          </w:tcPr>
          <w:p w14:paraId="690DF267">
            <w:pPr>
              <w:widowControl/>
              <w:spacing w:beforeLines="0" w:afterLines="0" w:line="260" w:lineRule="exact"/>
              <w:jc w:val="both"/>
              <w:textAlignment w:val="center"/>
              <w:rPr>
                <w:rFonts w:hint="default" w:ascii="Times New Roman" w:hAnsi="Times New Roman" w:eastAsia="仿宋_GB2312" w:cs="Times New Roman"/>
                <w:b/>
                <w:bCs/>
                <w:color w:val="auto"/>
                <w:kern w:val="0"/>
                <w:sz w:val="21"/>
                <w:szCs w:val="21"/>
                <w:highlight w:val="none"/>
                <w:lang w:val="en-US" w:eastAsia="zh-CN" w:bidi="ar-SA"/>
              </w:rPr>
            </w:pPr>
            <w:r>
              <w:rPr>
                <w:rFonts w:hint="eastAsia" w:ascii="Times New Roman" w:hAnsi="Times New Roman" w:eastAsia="仿宋_GB2312" w:cs="Times New Roman"/>
                <w:b/>
                <w:bCs/>
                <w:color w:val="auto"/>
                <w:kern w:val="0"/>
                <w:sz w:val="21"/>
                <w:szCs w:val="21"/>
                <w:highlight w:val="none"/>
                <w:lang w:val="en-US" w:eastAsia="zh-CN"/>
              </w:rPr>
              <w:t>担保额度在规定范围内</w:t>
            </w:r>
          </w:p>
        </w:tc>
        <w:tc>
          <w:tcPr>
            <w:tcW w:w="906" w:type="dxa"/>
            <w:noWrap w:val="0"/>
            <w:vAlign w:val="center"/>
          </w:tcPr>
          <w:p w14:paraId="6BE82CA0">
            <w:pPr>
              <w:widowControl/>
              <w:spacing w:beforeLines="0" w:afterLines="0" w:line="260" w:lineRule="exact"/>
              <w:jc w:val="center"/>
              <w:textAlignment w:val="center"/>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rPr>
              <w:t>2</w:t>
            </w:r>
          </w:p>
        </w:tc>
        <w:tc>
          <w:tcPr>
            <w:tcW w:w="4519" w:type="dxa"/>
            <w:noWrap w:val="0"/>
            <w:vAlign w:val="center"/>
          </w:tcPr>
          <w:p w14:paraId="0B022E87">
            <w:pPr>
              <w:widowControl/>
              <w:spacing w:beforeLines="0" w:afterLines="0" w:line="260" w:lineRule="exact"/>
              <w:jc w:val="both"/>
              <w:textAlignment w:val="center"/>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rPr>
              <w:t>政府性融资担保机构开展的新增贷款担保业务，单户在保余额一般不超过500万元（含），最高不超过2000万元（含）。双新、专精特新、科技创新类项目最高不超过3000万元（含）。</w:t>
            </w:r>
          </w:p>
        </w:tc>
        <w:tc>
          <w:tcPr>
            <w:tcW w:w="4519" w:type="dxa"/>
            <w:noWrap w:val="0"/>
            <w:vAlign w:val="center"/>
          </w:tcPr>
          <w:p w14:paraId="23A56009">
            <w:pPr>
              <w:widowControl/>
              <w:spacing w:beforeLines="0" w:afterLines="0" w:line="260" w:lineRule="exact"/>
              <w:jc w:val="both"/>
              <w:textAlignment w:val="center"/>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rPr>
              <w:t>按规定在限额内担保得满分，出现超限额担保的，发现一笔扣1分，扣完为止。</w:t>
            </w:r>
          </w:p>
        </w:tc>
        <w:tc>
          <w:tcPr>
            <w:tcW w:w="906" w:type="dxa"/>
            <w:noWrap w:val="0"/>
            <w:vAlign w:val="center"/>
          </w:tcPr>
          <w:p w14:paraId="672FCCF3">
            <w:pPr>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Lines="0" w:afterLines="0" w:line="260" w:lineRule="exact"/>
              <w:ind w:firstLine="0" w:firstLineChars="0"/>
              <w:jc w:val="left"/>
              <w:rPr>
                <w:rFonts w:hint="default" w:ascii="Times New Roman" w:hAnsi="Times New Roman" w:eastAsia="仿宋_GB2312" w:cs="Times New Roman"/>
                <w:color w:val="auto"/>
                <w:kern w:val="0"/>
                <w:sz w:val="21"/>
                <w:szCs w:val="21"/>
                <w:highlight w:val="none"/>
                <w:lang w:val="en-US" w:eastAsia="zh-CN" w:bidi="ar-SA"/>
              </w:rPr>
            </w:pPr>
          </w:p>
        </w:tc>
      </w:tr>
      <w:tr w14:paraId="29D7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09" w:type="dxa"/>
            <w:vMerge w:val="continue"/>
            <w:noWrap w:val="0"/>
            <w:vAlign w:val="center"/>
          </w:tcPr>
          <w:p w14:paraId="178BB7E7">
            <w:pPr>
              <w:widowControl w:val="0"/>
              <w:pBdr>
                <w:top w:val="none" w:color="auto" w:sz="0" w:space="0"/>
                <w:left w:val="none" w:color="auto" w:sz="0" w:space="0"/>
                <w:bottom w:val="none" w:color="auto" w:sz="0" w:space="0"/>
                <w:right w:val="none" w:color="auto" w:sz="0" w:space="0"/>
                <w:between w:val="none" w:color="auto" w:sz="0" w:space="0"/>
              </w:pBdr>
              <w:shd w:val="clear" w:color="auto" w:fill="auto"/>
              <w:spacing w:line="260" w:lineRule="exact"/>
              <w:ind w:left="0" w:leftChars="0" w:firstLine="0" w:firstLineChars="0"/>
              <w:jc w:val="left"/>
              <w:rPr>
                <w:rFonts w:hint="default" w:ascii="Times New Roman" w:hAnsi="Times New Roman" w:eastAsia="宋体" w:cs="Times New Roman"/>
                <w:b/>
                <w:bCs/>
                <w:color w:val="auto"/>
                <w:kern w:val="2"/>
                <w:sz w:val="21"/>
                <w:szCs w:val="21"/>
                <w:highlight w:val="none"/>
                <w:lang w:val="en-US" w:eastAsia="zh-CN" w:bidi="ar-SA"/>
              </w:rPr>
            </w:pPr>
          </w:p>
        </w:tc>
        <w:tc>
          <w:tcPr>
            <w:tcW w:w="2114" w:type="dxa"/>
            <w:noWrap w:val="0"/>
            <w:vAlign w:val="center"/>
          </w:tcPr>
          <w:p w14:paraId="5E377FFF">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足额计提准备金</w:t>
            </w:r>
          </w:p>
        </w:tc>
        <w:tc>
          <w:tcPr>
            <w:tcW w:w="906" w:type="dxa"/>
            <w:noWrap w:val="0"/>
            <w:vAlign w:val="center"/>
          </w:tcPr>
          <w:p w14:paraId="76914D2A">
            <w:pPr>
              <w:widowControl/>
              <w:spacing w:beforeLines="0" w:afterLines="0" w:line="260" w:lineRule="exact"/>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4</w:t>
            </w:r>
          </w:p>
        </w:tc>
        <w:tc>
          <w:tcPr>
            <w:tcW w:w="4519" w:type="dxa"/>
            <w:noWrap w:val="0"/>
            <w:vAlign w:val="center"/>
          </w:tcPr>
          <w:p w14:paraId="1E898BCB">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应按当年担保费收入的50%提取未到期责任准备金</w:t>
            </w:r>
            <w:r>
              <w:rPr>
                <w:rFonts w:hint="eastAsia" w:ascii="Times New Roman" w:hAnsi="Times New Roman" w:eastAsia="仿宋_GB2312" w:cs="Times New Roman"/>
                <w:color w:val="auto"/>
                <w:kern w:val="0"/>
                <w:sz w:val="21"/>
                <w:szCs w:val="21"/>
                <w:highlight w:val="none"/>
                <w:lang w:val="en-US" w:eastAsia="zh-CN"/>
              </w:rPr>
              <w:t>；</w:t>
            </w:r>
            <w:r>
              <w:rPr>
                <w:rFonts w:hint="default" w:ascii="Times New Roman" w:hAnsi="Times New Roman" w:eastAsia="仿宋_GB2312" w:cs="Times New Roman"/>
                <w:color w:val="auto"/>
                <w:kern w:val="0"/>
                <w:sz w:val="21"/>
                <w:szCs w:val="21"/>
                <w:highlight w:val="none"/>
                <w:lang w:val="en-US" w:eastAsia="zh-CN"/>
              </w:rPr>
              <w:t>按不低于当年年末担保责任余额1%的比例提取担保赔偿准备金。担保赔偿准备金累计达到当年担保责任余额10%的，实行差额提取。</w:t>
            </w:r>
          </w:p>
        </w:tc>
        <w:tc>
          <w:tcPr>
            <w:tcW w:w="4519" w:type="dxa"/>
            <w:noWrap w:val="0"/>
            <w:vAlign w:val="center"/>
          </w:tcPr>
          <w:p w14:paraId="762952F7">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符合要求得满分，</w:t>
            </w:r>
            <w:r>
              <w:rPr>
                <w:rFonts w:hint="eastAsia" w:ascii="Times New Roman" w:hAnsi="Times New Roman" w:eastAsia="仿宋_GB2312" w:cs="Times New Roman"/>
                <w:color w:val="auto"/>
                <w:kern w:val="0"/>
                <w:sz w:val="21"/>
                <w:szCs w:val="21"/>
                <w:highlight w:val="none"/>
                <w:lang w:val="en-US" w:eastAsia="zh-CN"/>
              </w:rPr>
              <w:t>其中一项指标不符合扣2分，均不符合要求不得分</w:t>
            </w:r>
            <w:r>
              <w:rPr>
                <w:rFonts w:hint="default" w:ascii="Times New Roman" w:hAnsi="Times New Roman" w:eastAsia="仿宋_GB2312" w:cs="Times New Roman"/>
                <w:color w:val="auto"/>
                <w:kern w:val="0"/>
                <w:sz w:val="21"/>
                <w:szCs w:val="21"/>
                <w:highlight w:val="none"/>
                <w:lang w:val="en-US" w:eastAsia="zh-CN"/>
              </w:rPr>
              <w:t>。</w:t>
            </w:r>
          </w:p>
        </w:tc>
        <w:tc>
          <w:tcPr>
            <w:tcW w:w="906" w:type="dxa"/>
            <w:noWrap w:val="0"/>
            <w:vAlign w:val="center"/>
          </w:tcPr>
          <w:p w14:paraId="2077D2D1">
            <w:pPr>
              <w:widowControl/>
              <w:spacing w:beforeLines="0" w:afterLines="0" w:line="260" w:lineRule="exact"/>
              <w:jc w:val="left"/>
              <w:textAlignment w:val="center"/>
              <w:rPr>
                <w:rFonts w:hint="default" w:ascii="Times New Roman" w:hAnsi="Times New Roman" w:eastAsia="仿宋_GB2312" w:cs="Times New Roman"/>
                <w:color w:val="auto"/>
                <w:kern w:val="0"/>
                <w:sz w:val="21"/>
                <w:szCs w:val="21"/>
                <w:highlight w:val="none"/>
                <w:lang w:val="en-US" w:eastAsia="zh-CN"/>
              </w:rPr>
            </w:pPr>
          </w:p>
        </w:tc>
      </w:tr>
      <w:tr w14:paraId="7A01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09" w:type="dxa"/>
            <w:vMerge w:val="continue"/>
            <w:noWrap w:val="0"/>
            <w:vAlign w:val="center"/>
          </w:tcPr>
          <w:p w14:paraId="14B24825">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2114" w:type="dxa"/>
            <w:vMerge w:val="restart"/>
            <w:noWrap w:val="0"/>
            <w:vAlign w:val="center"/>
          </w:tcPr>
          <w:p w14:paraId="62AC0892">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业务集中度</w:t>
            </w:r>
          </w:p>
        </w:tc>
        <w:tc>
          <w:tcPr>
            <w:tcW w:w="906" w:type="dxa"/>
            <w:noWrap w:val="0"/>
            <w:vAlign w:val="center"/>
          </w:tcPr>
          <w:p w14:paraId="58F17ED0">
            <w:pPr>
              <w:widowControl/>
              <w:spacing w:beforeLines="0" w:afterLines="0" w:line="260" w:lineRule="exact"/>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2</w:t>
            </w:r>
          </w:p>
        </w:tc>
        <w:tc>
          <w:tcPr>
            <w:tcW w:w="4519" w:type="dxa"/>
            <w:noWrap w:val="0"/>
            <w:vAlign w:val="center"/>
          </w:tcPr>
          <w:p w14:paraId="6A0A69CE">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单个被担保人的融资担保责任余额不得超过净资产10%。</w:t>
            </w:r>
          </w:p>
        </w:tc>
        <w:tc>
          <w:tcPr>
            <w:tcW w:w="4519" w:type="dxa"/>
            <w:noWrap w:val="0"/>
            <w:vAlign w:val="center"/>
          </w:tcPr>
          <w:p w14:paraId="01D5C633">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符合要求得满分，否则不得分。</w:t>
            </w:r>
          </w:p>
        </w:tc>
        <w:tc>
          <w:tcPr>
            <w:tcW w:w="906" w:type="dxa"/>
            <w:noWrap w:val="0"/>
            <w:vAlign w:val="center"/>
          </w:tcPr>
          <w:p w14:paraId="20A6B67E">
            <w:pPr>
              <w:widowControl/>
              <w:spacing w:beforeLines="0" w:afterLines="0" w:line="260" w:lineRule="exact"/>
              <w:jc w:val="left"/>
              <w:textAlignment w:val="center"/>
              <w:rPr>
                <w:rFonts w:hint="default" w:ascii="Times New Roman" w:hAnsi="Times New Roman" w:eastAsia="仿宋_GB2312" w:cs="Times New Roman"/>
                <w:color w:val="auto"/>
                <w:kern w:val="0"/>
                <w:sz w:val="21"/>
                <w:szCs w:val="21"/>
                <w:highlight w:val="none"/>
                <w:lang w:val="en-US" w:eastAsia="zh-CN"/>
              </w:rPr>
            </w:pPr>
          </w:p>
        </w:tc>
      </w:tr>
      <w:tr w14:paraId="3043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09" w:type="dxa"/>
            <w:vMerge w:val="continue"/>
            <w:noWrap w:val="0"/>
            <w:vAlign w:val="center"/>
          </w:tcPr>
          <w:p w14:paraId="50A8C09B">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2114" w:type="dxa"/>
            <w:vMerge w:val="continue"/>
            <w:noWrap w:val="0"/>
            <w:vAlign w:val="center"/>
          </w:tcPr>
          <w:p w14:paraId="5DC8AE23">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906" w:type="dxa"/>
            <w:noWrap w:val="0"/>
            <w:vAlign w:val="center"/>
          </w:tcPr>
          <w:p w14:paraId="69DB384B">
            <w:pPr>
              <w:widowControl/>
              <w:spacing w:beforeLines="0" w:afterLines="0" w:line="260" w:lineRule="exact"/>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2</w:t>
            </w:r>
          </w:p>
        </w:tc>
        <w:tc>
          <w:tcPr>
            <w:tcW w:w="4519" w:type="dxa"/>
            <w:noWrap w:val="0"/>
            <w:vAlign w:val="center"/>
          </w:tcPr>
          <w:p w14:paraId="5A5F6202">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单个被担保人及其关联方的融资担保责任余额不得超过净资产15%。</w:t>
            </w:r>
          </w:p>
        </w:tc>
        <w:tc>
          <w:tcPr>
            <w:tcW w:w="4519" w:type="dxa"/>
            <w:noWrap w:val="0"/>
            <w:vAlign w:val="center"/>
          </w:tcPr>
          <w:p w14:paraId="05574563">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符合要求得满分，否则不得分。</w:t>
            </w:r>
          </w:p>
        </w:tc>
        <w:tc>
          <w:tcPr>
            <w:tcW w:w="906" w:type="dxa"/>
            <w:noWrap w:val="0"/>
            <w:vAlign w:val="center"/>
          </w:tcPr>
          <w:p w14:paraId="3E34B673">
            <w:pPr>
              <w:widowControl/>
              <w:spacing w:beforeLines="0" w:afterLines="0" w:line="260" w:lineRule="exact"/>
              <w:jc w:val="left"/>
              <w:textAlignment w:val="center"/>
              <w:rPr>
                <w:rFonts w:hint="default" w:ascii="Times New Roman" w:hAnsi="Times New Roman" w:eastAsia="仿宋_GB2312" w:cs="Times New Roman"/>
                <w:color w:val="auto"/>
                <w:kern w:val="0"/>
                <w:sz w:val="21"/>
                <w:szCs w:val="21"/>
                <w:highlight w:val="none"/>
                <w:lang w:val="en-US" w:eastAsia="zh-CN"/>
              </w:rPr>
            </w:pPr>
          </w:p>
        </w:tc>
      </w:tr>
      <w:tr w14:paraId="0EF8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09" w:type="dxa"/>
            <w:vMerge w:val="continue"/>
            <w:noWrap w:val="0"/>
            <w:vAlign w:val="center"/>
          </w:tcPr>
          <w:p w14:paraId="6D225B08">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2114" w:type="dxa"/>
            <w:noWrap w:val="0"/>
            <w:vAlign w:val="center"/>
          </w:tcPr>
          <w:p w14:paraId="775F8D40">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各级资产符合</w:t>
            </w:r>
          </w:p>
          <w:p w14:paraId="5EB84D31">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监管要求</w:t>
            </w:r>
          </w:p>
        </w:tc>
        <w:tc>
          <w:tcPr>
            <w:tcW w:w="906" w:type="dxa"/>
            <w:noWrap w:val="0"/>
            <w:vAlign w:val="center"/>
          </w:tcPr>
          <w:p w14:paraId="3001F358">
            <w:pPr>
              <w:widowControl/>
              <w:spacing w:beforeLines="0" w:afterLines="0" w:line="260" w:lineRule="exact"/>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8</w:t>
            </w:r>
          </w:p>
        </w:tc>
        <w:tc>
          <w:tcPr>
            <w:tcW w:w="4519" w:type="dxa"/>
            <w:noWrap w:val="0"/>
            <w:vAlign w:val="center"/>
          </w:tcPr>
          <w:p w14:paraId="1D5246AC">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满足《融资担保公司资产比例管理办法》规定的各</w:t>
            </w:r>
            <w:r>
              <w:rPr>
                <w:rFonts w:hint="eastAsia" w:ascii="Times New Roman" w:hAnsi="Times New Roman" w:eastAsia="仿宋_GB2312" w:cs="Times New Roman"/>
                <w:color w:val="auto"/>
                <w:kern w:val="0"/>
                <w:sz w:val="21"/>
                <w:szCs w:val="21"/>
                <w:highlight w:val="none"/>
                <w:lang w:val="en-US" w:eastAsia="zh-CN"/>
              </w:rPr>
              <w:t>项</w:t>
            </w:r>
            <w:r>
              <w:rPr>
                <w:rFonts w:hint="default" w:ascii="Times New Roman" w:hAnsi="Times New Roman" w:eastAsia="仿宋_GB2312" w:cs="Times New Roman"/>
                <w:color w:val="auto"/>
                <w:kern w:val="0"/>
                <w:sz w:val="21"/>
                <w:szCs w:val="21"/>
                <w:highlight w:val="none"/>
                <w:lang w:val="en-US" w:eastAsia="zh-CN"/>
              </w:rPr>
              <w:t>资产占比要求，即净资产与未到期责任准备金、担保赔偿准备金之和不低于资产总额的60%</w:t>
            </w:r>
            <w:r>
              <w:rPr>
                <w:rFonts w:hint="eastAsia" w:ascii="Times New Roman" w:hAnsi="Times New Roman" w:eastAsia="仿宋_GB2312" w:cs="Times New Roman"/>
                <w:color w:val="auto"/>
                <w:kern w:val="0"/>
                <w:sz w:val="21"/>
                <w:szCs w:val="21"/>
                <w:highlight w:val="none"/>
                <w:lang w:val="en-US" w:eastAsia="zh-CN"/>
              </w:rPr>
              <w:t>；</w:t>
            </w:r>
            <w:r>
              <w:rPr>
                <w:rFonts w:hint="default" w:ascii="Times New Roman" w:hAnsi="Times New Roman" w:eastAsia="仿宋_GB2312" w:cs="Times New Roman"/>
                <w:color w:val="auto"/>
                <w:kern w:val="0"/>
                <w:sz w:val="21"/>
                <w:szCs w:val="21"/>
                <w:highlight w:val="none"/>
                <w:lang w:val="en-US" w:eastAsia="zh-CN"/>
              </w:rPr>
              <w:t>融资担保公司Ⅰ级资产、Ⅱ级资产之和不得低于资产总额扣除应收代偿款后的70%；Ⅰ级资产不得低于资产总额扣除应收代偿款后的20%；Ⅲ级资产不得高于资产总额扣除应收代偿款后的30%。</w:t>
            </w:r>
          </w:p>
        </w:tc>
        <w:tc>
          <w:tcPr>
            <w:tcW w:w="4519" w:type="dxa"/>
            <w:noWrap w:val="0"/>
            <w:vAlign w:val="center"/>
          </w:tcPr>
          <w:p w14:paraId="329CF246">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四</w:t>
            </w:r>
            <w:r>
              <w:rPr>
                <w:rFonts w:hint="default" w:ascii="Times New Roman" w:hAnsi="Times New Roman" w:eastAsia="仿宋_GB2312" w:cs="Times New Roman"/>
                <w:color w:val="auto"/>
                <w:kern w:val="0"/>
                <w:sz w:val="21"/>
                <w:szCs w:val="21"/>
                <w:highlight w:val="none"/>
                <w:lang w:val="en-US" w:eastAsia="zh-CN"/>
              </w:rPr>
              <w:t>项比例均符合的得满分，一项比例不达标的扣</w:t>
            </w:r>
            <w:r>
              <w:rPr>
                <w:rFonts w:hint="eastAsia" w:ascii="Times New Roman" w:hAnsi="Times New Roman" w:eastAsia="仿宋_GB2312" w:cs="Times New Roman"/>
                <w:color w:val="auto"/>
                <w:kern w:val="0"/>
                <w:sz w:val="21"/>
                <w:szCs w:val="21"/>
                <w:highlight w:val="none"/>
                <w:lang w:val="en-US" w:eastAsia="zh-CN"/>
              </w:rPr>
              <w:t>2</w:t>
            </w:r>
            <w:r>
              <w:rPr>
                <w:rFonts w:hint="default" w:ascii="Times New Roman" w:hAnsi="Times New Roman" w:eastAsia="仿宋_GB2312" w:cs="Times New Roman"/>
                <w:color w:val="auto"/>
                <w:kern w:val="0"/>
                <w:sz w:val="21"/>
                <w:szCs w:val="21"/>
                <w:highlight w:val="none"/>
                <w:lang w:val="en-US" w:eastAsia="zh-CN"/>
              </w:rPr>
              <w:t>分，扣完为止。</w:t>
            </w:r>
          </w:p>
        </w:tc>
        <w:tc>
          <w:tcPr>
            <w:tcW w:w="906" w:type="dxa"/>
            <w:noWrap w:val="0"/>
            <w:vAlign w:val="center"/>
          </w:tcPr>
          <w:p w14:paraId="4F0AAFED">
            <w:pPr>
              <w:widowControl/>
              <w:spacing w:beforeLines="0" w:afterLines="0" w:line="260" w:lineRule="exact"/>
              <w:jc w:val="left"/>
              <w:textAlignment w:val="center"/>
              <w:rPr>
                <w:rFonts w:hint="default" w:ascii="Times New Roman" w:hAnsi="Times New Roman" w:eastAsia="仿宋_GB2312" w:cs="Times New Roman"/>
                <w:color w:val="auto"/>
                <w:kern w:val="0"/>
                <w:sz w:val="21"/>
                <w:szCs w:val="21"/>
                <w:highlight w:val="none"/>
                <w:lang w:val="en-US" w:eastAsia="zh-CN"/>
              </w:rPr>
            </w:pPr>
          </w:p>
        </w:tc>
      </w:tr>
      <w:tr w14:paraId="0E0C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09" w:type="dxa"/>
            <w:vMerge w:val="continue"/>
            <w:noWrap w:val="0"/>
            <w:vAlign w:val="center"/>
          </w:tcPr>
          <w:p w14:paraId="76459616">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eastAsia" w:ascii="Times New Roman" w:hAnsi="Times New Roman" w:eastAsia="仿宋_GB2312" w:cs="Times New Roman"/>
                <w:b/>
                <w:bCs/>
                <w:color w:val="auto"/>
                <w:kern w:val="0"/>
                <w:sz w:val="21"/>
                <w:szCs w:val="21"/>
                <w:highlight w:val="none"/>
                <w:lang w:val="en-US" w:eastAsia="zh-CN"/>
              </w:rPr>
              <w:t>拨备</w:t>
            </w:r>
          </w:p>
        </w:tc>
        <w:tc>
          <w:tcPr>
            <w:tcW w:w="2114" w:type="dxa"/>
            <w:noWrap w:val="0"/>
            <w:vAlign w:val="center"/>
          </w:tcPr>
          <w:p w14:paraId="5443A0DB">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eastAsia" w:ascii="Times New Roman" w:hAnsi="Times New Roman" w:eastAsia="仿宋_GB2312" w:cs="Times New Roman"/>
                <w:b/>
                <w:bCs/>
                <w:color w:val="auto"/>
                <w:kern w:val="0"/>
                <w:sz w:val="21"/>
                <w:szCs w:val="21"/>
                <w:highlight w:val="none"/>
                <w:lang w:val="en-US" w:eastAsia="zh-CN"/>
              </w:rPr>
              <w:t>拨备覆盖率</w:t>
            </w:r>
          </w:p>
        </w:tc>
        <w:tc>
          <w:tcPr>
            <w:tcW w:w="906" w:type="dxa"/>
            <w:noWrap w:val="0"/>
            <w:vAlign w:val="center"/>
          </w:tcPr>
          <w:p w14:paraId="60ED1A30">
            <w:pPr>
              <w:widowControl/>
              <w:spacing w:beforeLines="0" w:afterLines="0" w:line="260" w:lineRule="exact"/>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2</w:t>
            </w:r>
          </w:p>
        </w:tc>
        <w:tc>
          <w:tcPr>
            <w:tcW w:w="4519" w:type="dxa"/>
            <w:noWrap w:val="0"/>
            <w:vAlign w:val="center"/>
          </w:tcPr>
          <w:p w14:paraId="5EF6378C">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拨备覆盖率达到80%以上。</w:t>
            </w:r>
          </w:p>
        </w:tc>
        <w:tc>
          <w:tcPr>
            <w:tcW w:w="4519" w:type="dxa"/>
            <w:noWrap w:val="0"/>
            <w:vAlign w:val="center"/>
          </w:tcPr>
          <w:p w14:paraId="122D1AB1">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拨备覆盖率达到80%（含）以上得1分，达到100%（含）以上得2分。</w:t>
            </w:r>
          </w:p>
        </w:tc>
        <w:tc>
          <w:tcPr>
            <w:tcW w:w="906" w:type="dxa"/>
            <w:noWrap w:val="0"/>
            <w:vAlign w:val="center"/>
          </w:tcPr>
          <w:p w14:paraId="7B72287D">
            <w:pPr>
              <w:widowControl/>
              <w:spacing w:beforeLines="0" w:afterLines="0" w:line="260" w:lineRule="exact"/>
              <w:jc w:val="left"/>
              <w:textAlignment w:val="center"/>
              <w:rPr>
                <w:rFonts w:hint="default" w:ascii="Times New Roman" w:hAnsi="Times New Roman" w:eastAsia="仿宋_GB2312" w:cs="Times New Roman"/>
                <w:color w:val="auto"/>
                <w:kern w:val="0"/>
                <w:sz w:val="21"/>
                <w:szCs w:val="21"/>
                <w:highlight w:val="none"/>
                <w:lang w:val="en-US" w:eastAsia="zh-CN"/>
              </w:rPr>
            </w:pPr>
          </w:p>
        </w:tc>
      </w:tr>
      <w:tr w14:paraId="1735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09" w:type="dxa"/>
            <w:vMerge w:val="continue"/>
            <w:noWrap w:val="0"/>
            <w:vAlign w:val="center"/>
          </w:tcPr>
          <w:p w14:paraId="1E97BBDF">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2114" w:type="dxa"/>
            <w:noWrap w:val="0"/>
            <w:vAlign w:val="center"/>
          </w:tcPr>
          <w:p w14:paraId="1BEFAA6E">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eastAsia" w:ascii="Times New Roman" w:hAnsi="Times New Roman" w:eastAsia="仿宋_GB2312" w:cs="Times New Roman"/>
                <w:b/>
                <w:bCs/>
                <w:color w:val="auto"/>
                <w:kern w:val="0"/>
                <w:sz w:val="21"/>
                <w:szCs w:val="21"/>
                <w:highlight w:val="none"/>
                <w:lang w:val="en-US" w:eastAsia="zh-CN"/>
              </w:rPr>
              <w:t>业务流程合规</w:t>
            </w:r>
          </w:p>
        </w:tc>
        <w:tc>
          <w:tcPr>
            <w:tcW w:w="906" w:type="dxa"/>
            <w:noWrap w:val="0"/>
            <w:vAlign w:val="center"/>
          </w:tcPr>
          <w:p w14:paraId="1107D096">
            <w:pPr>
              <w:widowControl/>
              <w:spacing w:beforeLines="0" w:afterLines="0" w:line="260" w:lineRule="exact"/>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2</w:t>
            </w:r>
          </w:p>
        </w:tc>
        <w:tc>
          <w:tcPr>
            <w:tcW w:w="4519" w:type="dxa"/>
            <w:noWrap w:val="0"/>
            <w:vAlign w:val="center"/>
          </w:tcPr>
          <w:p w14:paraId="7C4F71F9">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按公司相关制度开展业务保前调查、保中审查、保后管理、代偿审批及追偿管理。</w:t>
            </w:r>
          </w:p>
        </w:tc>
        <w:tc>
          <w:tcPr>
            <w:tcW w:w="4519" w:type="dxa"/>
            <w:noWrap w:val="0"/>
            <w:vAlign w:val="center"/>
          </w:tcPr>
          <w:p w14:paraId="126B3D6B">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符合要求得满分，未符合要求发现一笔扣1分，扣完为止。</w:t>
            </w:r>
          </w:p>
        </w:tc>
        <w:tc>
          <w:tcPr>
            <w:tcW w:w="906" w:type="dxa"/>
            <w:noWrap w:val="0"/>
            <w:vAlign w:val="center"/>
          </w:tcPr>
          <w:p w14:paraId="78EB8226">
            <w:pPr>
              <w:widowControl/>
              <w:spacing w:beforeLines="0" w:afterLines="0" w:line="260" w:lineRule="exact"/>
              <w:jc w:val="left"/>
              <w:textAlignment w:val="center"/>
              <w:rPr>
                <w:rFonts w:hint="default" w:ascii="Times New Roman" w:hAnsi="Times New Roman" w:eastAsia="仿宋_GB2312" w:cs="Times New Roman"/>
                <w:color w:val="auto"/>
                <w:kern w:val="0"/>
                <w:sz w:val="21"/>
                <w:szCs w:val="21"/>
                <w:highlight w:val="none"/>
                <w:lang w:val="en-US" w:eastAsia="zh-CN"/>
              </w:rPr>
            </w:pPr>
          </w:p>
        </w:tc>
      </w:tr>
      <w:tr w14:paraId="1C73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09" w:type="dxa"/>
            <w:vMerge w:val="continue"/>
            <w:noWrap w:val="0"/>
            <w:vAlign w:val="center"/>
          </w:tcPr>
          <w:p w14:paraId="183ACF0A">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2114" w:type="dxa"/>
            <w:noWrap w:val="0"/>
            <w:vAlign w:val="center"/>
          </w:tcPr>
          <w:p w14:paraId="0E6D4D0B">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代偿率</w:t>
            </w:r>
            <w:r>
              <w:rPr>
                <w:rFonts w:hint="eastAsia" w:ascii="Times New Roman" w:hAnsi="Times New Roman" w:eastAsia="仿宋_GB2312" w:cs="Times New Roman"/>
                <w:b/>
                <w:bCs/>
                <w:color w:val="auto"/>
                <w:kern w:val="0"/>
                <w:sz w:val="21"/>
                <w:szCs w:val="21"/>
                <w:highlight w:val="none"/>
                <w:lang w:val="en-US" w:eastAsia="zh-CN"/>
              </w:rPr>
              <w:t>控制</w:t>
            </w:r>
          </w:p>
        </w:tc>
        <w:tc>
          <w:tcPr>
            <w:tcW w:w="906" w:type="dxa"/>
            <w:noWrap w:val="0"/>
            <w:vAlign w:val="center"/>
          </w:tcPr>
          <w:p w14:paraId="1B875FDC">
            <w:pPr>
              <w:widowControl/>
              <w:spacing w:beforeLines="0" w:afterLines="0" w:line="260" w:lineRule="exact"/>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6</w:t>
            </w:r>
          </w:p>
        </w:tc>
        <w:tc>
          <w:tcPr>
            <w:tcW w:w="4519" w:type="dxa"/>
            <w:noWrap w:val="0"/>
            <w:vAlign w:val="center"/>
          </w:tcPr>
          <w:p w14:paraId="0E03C7AE">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根据当年不同代偿率区间计分。</w:t>
            </w:r>
          </w:p>
        </w:tc>
        <w:tc>
          <w:tcPr>
            <w:tcW w:w="4519" w:type="dxa"/>
            <w:noWrap w:val="0"/>
            <w:vAlign w:val="center"/>
          </w:tcPr>
          <w:p w14:paraId="484575AB">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代偿率为</w:t>
            </w:r>
            <w:r>
              <w:rPr>
                <w:rFonts w:hint="eastAsia" w:ascii="Times New Roman" w:hAnsi="Times New Roman" w:eastAsia="仿宋_GB2312" w:cs="Times New Roman"/>
                <w:color w:val="auto"/>
                <w:kern w:val="0"/>
                <w:sz w:val="21"/>
                <w:szCs w:val="21"/>
                <w:highlight w:val="none"/>
                <w:lang w:val="en-US" w:eastAsia="zh-CN"/>
              </w:rPr>
              <w:t>3</w:t>
            </w:r>
            <w:r>
              <w:rPr>
                <w:rFonts w:hint="default" w:ascii="Times New Roman" w:hAnsi="Times New Roman" w:eastAsia="仿宋_GB2312" w:cs="Times New Roman"/>
                <w:color w:val="auto"/>
                <w:kern w:val="0"/>
                <w:sz w:val="21"/>
                <w:szCs w:val="21"/>
                <w:highlight w:val="none"/>
                <w:lang w:val="en-US" w:eastAsia="zh-CN"/>
              </w:rPr>
              <w:t>%以下、</w:t>
            </w:r>
            <w:r>
              <w:rPr>
                <w:rFonts w:hint="eastAsia" w:ascii="Times New Roman" w:hAnsi="Times New Roman" w:eastAsia="仿宋_GB2312" w:cs="Times New Roman"/>
                <w:color w:val="auto"/>
                <w:kern w:val="0"/>
                <w:sz w:val="21"/>
                <w:szCs w:val="21"/>
                <w:highlight w:val="none"/>
                <w:lang w:val="en-US" w:eastAsia="zh-CN"/>
              </w:rPr>
              <w:t>3</w:t>
            </w:r>
            <w:r>
              <w:rPr>
                <w:rFonts w:hint="default" w:ascii="Times New Roman" w:hAnsi="Times New Roman" w:eastAsia="仿宋_GB2312" w:cs="Times New Roman"/>
                <w:color w:val="auto"/>
                <w:kern w:val="0"/>
                <w:sz w:val="21"/>
                <w:szCs w:val="21"/>
                <w:highlight w:val="none"/>
                <w:lang w:val="en-US" w:eastAsia="zh-CN"/>
              </w:rPr>
              <w:t>%-</w:t>
            </w:r>
            <w:r>
              <w:rPr>
                <w:rFonts w:hint="eastAsia" w:ascii="Times New Roman" w:hAnsi="Times New Roman" w:eastAsia="仿宋_GB2312" w:cs="Times New Roman"/>
                <w:color w:val="auto"/>
                <w:kern w:val="0"/>
                <w:sz w:val="21"/>
                <w:szCs w:val="21"/>
                <w:highlight w:val="none"/>
                <w:lang w:val="en-US" w:eastAsia="zh-CN"/>
              </w:rPr>
              <w:t>4</w:t>
            </w:r>
            <w:r>
              <w:rPr>
                <w:rFonts w:hint="default" w:ascii="Times New Roman" w:hAnsi="Times New Roman" w:eastAsia="仿宋_GB2312" w:cs="Times New Roman"/>
                <w:color w:val="auto"/>
                <w:kern w:val="0"/>
                <w:sz w:val="21"/>
                <w:szCs w:val="21"/>
                <w:highlight w:val="none"/>
                <w:lang w:val="en-US" w:eastAsia="zh-CN"/>
              </w:rPr>
              <w:t>%（含）、</w:t>
            </w:r>
            <w:r>
              <w:rPr>
                <w:rFonts w:hint="eastAsia" w:ascii="Times New Roman" w:hAnsi="Times New Roman" w:eastAsia="仿宋_GB2312" w:cs="Times New Roman"/>
                <w:color w:val="auto"/>
                <w:kern w:val="0"/>
                <w:sz w:val="21"/>
                <w:szCs w:val="21"/>
                <w:highlight w:val="none"/>
                <w:lang w:val="en-US" w:eastAsia="zh-CN"/>
              </w:rPr>
              <w:t>4</w:t>
            </w:r>
            <w:r>
              <w:rPr>
                <w:rFonts w:hint="default" w:ascii="Times New Roman" w:hAnsi="Times New Roman" w:eastAsia="仿宋_GB2312" w:cs="Times New Roman"/>
                <w:color w:val="auto"/>
                <w:kern w:val="0"/>
                <w:sz w:val="21"/>
                <w:szCs w:val="21"/>
                <w:highlight w:val="none"/>
                <w:lang w:val="en-US" w:eastAsia="zh-CN"/>
              </w:rPr>
              <w:t>%-5%（含）的，分别得6分、4分、</w:t>
            </w:r>
            <w:r>
              <w:rPr>
                <w:rFonts w:hint="eastAsia" w:ascii="Times New Roman" w:hAnsi="Times New Roman" w:eastAsia="仿宋_GB2312" w:cs="Times New Roman"/>
                <w:color w:val="auto"/>
                <w:kern w:val="0"/>
                <w:sz w:val="21"/>
                <w:szCs w:val="21"/>
                <w:highlight w:val="none"/>
                <w:lang w:val="en-US" w:eastAsia="zh-CN"/>
              </w:rPr>
              <w:t>2</w:t>
            </w:r>
            <w:r>
              <w:rPr>
                <w:rFonts w:hint="default" w:ascii="Times New Roman" w:hAnsi="Times New Roman" w:eastAsia="仿宋_GB2312" w:cs="Times New Roman"/>
                <w:color w:val="auto"/>
                <w:kern w:val="0"/>
                <w:sz w:val="21"/>
                <w:szCs w:val="21"/>
                <w:highlight w:val="none"/>
                <w:lang w:val="en-US" w:eastAsia="zh-CN"/>
              </w:rPr>
              <w:t>分；代偿率超过</w:t>
            </w:r>
            <w:r>
              <w:rPr>
                <w:rFonts w:hint="eastAsia" w:ascii="Times New Roman" w:hAnsi="Times New Roman" w:eastAsia="仿宋_GB2312" w:cs="Times New Roman"/>
                <w:color w:val="auto"/>
                <w:kern w:val="0"/>
                <w:sz w:val="21"/>
                <w:szCs w:val="21"/>
                <w:highlight w:val="none"/>
                <w:lang w:val="en-US" w:eastAsia="zh-CN"/>
              </w:rPr>
              <w:t>5</w:t>
            </w:r>
            <w:r>
              <w:rPr>
                <w:rFonts w:hint="default" w:ascii="Times New Roman" w:hAnsi="Times New Roman" w:eastAsia="仿宋_GB2312" w:cs="Times New Roman"/>
                <w:color w:val="auto"/>
                <w:kern w:val="0"/>
                <w:sz w:val="21"/>
                <w:szCs w:val="21"/>
                <w:highlight w:val="none"/>
                <w:lang w:val="en-US" w:eastAsia="zh-CN"/>
              </w:rPr>
              <w:t>%的，不得分。</w:t>
            </w:r>
          </w:p>
        </w:tc>
        <w:tc>
          <w:tcPr>
            <w:tcW w:w="906" w:type="dxa"/>
            <w:noWrap w:val="0"/>
            <w:vAlign w:val="center"/>
          </w:tcPr>
          <w:p w14:paraId="1308E9E2">
            <w:pPr>
              <w:widowControl/>
              <w:spacing w:beforeLines="0" w:afterLines="0" w:line="260" w:lineRule="exact"/>
              <w:jc w:val="left"/>
              <w:textAlignment w:val="center"/>
              <w:rPr>
                <w:rFonts w:hint="default" w:ascii="Times New Roman" w:hAnsi="Times New Roman" w:eastAsia="仿宋_GB2312" w:cs="Times New Roman"/>
                <w:color w:val="auto"/>
                <w:kern w:val="0"/>
                <w:sz w:val="21"/>
                <w:szCs w:val="21"/>
                <w:highlight w:val="none"/>
                <w:lang w:val="en-US" w:eastAsia="zh-CN"/>
              </w:rPr>
            </w:pPr>
          </w:p>
        </w:tc>
      </w:tr>
      <w:tr w14:paraId="3074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09" w:type="dxa"/>
            <w:vMerge w:val="restart"/>
            <w:noWrap w:val="0"/>
            <w:vAlign w:val="center"/>
          </w:tcPr>
          <w:p w14:paraId="44D69196">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p w14:paraId="33383318">
            <w:pPr>
              <w:widowControl w:val="0"/>
              <w:pBdr>
                <w:top w:val="none" w:color="auto" w:sz="0" w:space="0"/>
                <w:left w:val="none" w:color="auto" w:sz="0" w:space="0"/>
                <w:bottom w:val="none" w:color="auto" w:sz="0" w:space="0"/>
                <w:right w:val="none" w:color="auto" w:sz="0" w:space="0"/>
                <w:between w:val="none" w:color="auto" w:sz="0" w:space="0"/>
              </w:pBdr>
              <w:shd w:val="clear" w:color="auto" w:fill="auto"/>
              <w:spacing w:line="260" w:lineRule="exact"/>
              <w:ind w:firstLine="0" w:firstLineChars="0"/>
              <w:jc w:val="left"/>
              <w:rPr>
                <w:rFonts w:hint="default" w:ascii="Times New Roman" w:hAnsi="Times New Roman" w:eastAsia="仿宋_GB2312" w:cs="Times New Roman"/>
                <w:b/>
                <w:bCs/>
                <w:color w:val="auto"/>
                <w:kern w:val="0"/>
                <w:sz w:val="21"/>
                <w:szCs w:val="21"/>
                <w:highlight w:val="none"/>
                <w:lang w:val="en-US" w:eastAsia="zh-CN" w:bidi="ar-SA"/>
              </w:rPr>
            </w:pPr>
          </w:p>
          <w:p w14:paraId="41B35F59">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监督</w:t>
            </w:r>
          </w:p>
          <w:p w14:paraId="1E4209F8">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管理</w:t>
            </w:r>
          </w:p>
          <w:p w14:paraId="32685D4E">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cs="Times New Roman"/>
                <w:b/>
                <w:bCs/>
                <w:color w:val="auto"/>
                <w:kern w:val="0"/>
                <w:sz w:val="21"/>
                <w:szCs w:val="21"/>
                <w:highlight w:val="none"/>
                <w:lang w:val="en-US" w:eastAsia="zh-CN"/>
              </w:rPr>
              <w:t>（</w:t>
            </w:r>
            <w:r>
              <w:rPr>
                <w:rFonts w:hint="eastAsia" w:ascii="Times New Roman" w:hAnsi="Times New Roman" w:eastAsia="仿宋_GB2312" w:cs="Times New Roman"/>
                <w:b/>
                <w:bCs/>
                <w:color w:val="auto"/>
                <w:kern w:val="0"/>
                <w:sz w:val="21"/>
                <w:szCs w:val="21"/>
                <w:highlight w:val="none"/>
                <w:lang w:val="en-US" w:eastAsia="zh-CN"/>
              </w:rPr>
              <w:t>20</w:t>
            </w:r>
            <w:r>
              <w:rPr>
                <w:rFonts w:hint="default" w:ascii="Times New Roman" w:hAnsi="Times New Roman" w:eastAsia="仿宋_GB2312" w:cs="Times New Roman"/>
                <w:b/>
                <w:bCs/>
                <w:color w:val="auto"/>
                <w:kern w:val="0"/>
                <w:sz w:val="21"/>
                <w:szCs w:val="21"/>
                <w:highlight w:val="none"/>
                <w:lang w:val="en-US" w:eastAsia="zh-CN"/>
              </w:rPr>
              <w:t>分</w:t>
            </w:r>
            <w:r>
              <w:rPr>
                <w:rFonts w:hint="default" w:ascii="Times New Roman" w:hAnsi="Times New Roman" w:cs="Times New Roman"/>
                <w:b/>
                <w:bCs/>
                <w:color w:val="auto"/>
                <w:kern w:val="0"/>
                <w:sz w:val="21"/>
                <w:szCs w:val="21"/>
                <w:highlight w:val="none"/>
                <w:lang w:val="en-US" w:eastAsia="zh-CN"/>
              </w:rPr>
              <w:t>）</w:t>
            </w:r>
          </w:p>
          <w:p w14:paraId="7626E6E9">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p w14:paraId="11F553C8">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2114" w:type="dxa"/>
            <w:noWrap w:val="0"/>
            <w:vAlign w:val="center"/>
          </w:tcPr>
          <w:p w14:paraId="2C67A1A0">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bidi="ar-SA"/>
              </w:rPr>
            </w:pPr>
            <w:r>
              <w:rPr>
                <w:rFonts w:hint="default" w:ascii="Times New Roman" w:hAnsi="Times New Roman" w:eastAsia="仿宋_GB2312" w:cs="Times New Roman"/>
                <w:b/>
                <w:bCs/>
                <w:color w:val="auto"/>
                <w:kern w:val="0"/>
                <w:sz w:val="21"/>
                <w:szCs w:val="21"/>
                <w:highlight w:val="none"/>
                <w:lang w:val="en-US" w:eastAsia="zh-CN"/>
              </w:rPr>
              <w:t>配合监管</w:t>
            </w:r>
          </w:p>
        </w:tc>
        <w:tc>
          <w:tcPr>
            <w:tcW w:w="906" w:type="dxa"/>
            <w:noWrap w:val="0"/>
            <w:vAlign w:val="center"/>
          </w:tcPr>
          <w:p w14:paraId="552ED2EE">
            <w:pPr>
              <w:widowControl/>
              <w:spacing w:beforeLines="0" w:afterLines="0" w:line="260" w:lineRule="exact"/>
              <w:jc w:val="center"/>
              <w:textAlignment w:val="center"/>
              <w:rPr>
                <w:rFonts w:hint="default"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rPr>
              <w:t>10</w:t>
            </w:r>
          </w:p>
        </w:tc>
        <w:tc>
          <w:tcPr>
            <w:tcW w:w="4519" w:type="dxa"/>
            <w:noWrap w:val="0"/>
            <w:vAlign w:val="center"/>
          </w:tcPr>
          <w:p w14:paraId="631D07C5">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对积极主动配合监管工作</w:t>
            </w:r>
            <w:r>
              <w:rPr>
                <w:rFonts w:hint="eastAsia" w:ascii="Times New Roman" w:hAnsi="Times New Roman" w:eastAsia="仿宋_GB2312" w:cs="Times New Roman"/>
                <w:color w:val="auto"/>
                <w:kern w:val="0"/>
                <w:sz w:val="21"/>
                <w:szCs w:val="21"/>
                <w:highlight w:val="none"/>
                <w:lang w:val="en-US" w:eastAsia="zh-CN"/>
              </w:rPr>
              <w:t>、按要求参加监管部门组织的监管会议及培训</w:t>
            </w:r>
            <w:r>
              <w:rPr>
                <w:rFonts w:hint="default" w:ascii="Times New Roman" w:hAnsi="Times New Roman" w:eastAsia="仿宋_GB2312" w:cs="Times New Roman"/>
                <w:color w:val="auto"/>
                <w:kern w:val="0"/>
                <w:sz w:val="21"/>
                <w:szCs w:val="21"/>
                <w:highlight w:val="none"/>
                <w:lang w:val="en-US" w:eastAsia="zh-CN"/>
              </w:rPr>
              <w:t>等方面进行评价。</w:t>
            </w:r>
          </w:p>
        </w:tc>
        <w:tc>
          <w:tcPr>
            <w:tcW w:w="4519" w:type="dxa"/>
            <w:noWrap w:val="0"/>
            <w:vAlign w:val="center"/>
          </w:tcPr>
          <w:p w14:paraId="57414387">
            <w:pPr>
              <w:widowControl/>
              <w:spacing w:beforeLines="0" w:afterLines="0" w:line="260" w:lineRule="exact"/>
              <w:jc w:val="left"/>
              <w:textAlignment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根据配合监管情况酌情打分。</w:t>
            </w:r>
          </w:p>
        </w:tc>
        <w:tc>
          <w:tcPr>
            <w:tcW w:w="906" w:type="dxa"/>
            <w:noWrap w:val="0"/>
            <w:vAlign w:val="center"/>
          </w:tcPr>
          <w:p w14:paraId="112B82D9">
            <w:pPr>
              <w:widowControl/>
              <w:spacing w:beforeLines="0" w:afterLines="0" w:line="260" w:lineRule="exact"/>
              <w:jc w:val="left"/>
              <w:textAlignment w:val="center"/>
              <w:rPr>
                <w:rFonts w:hint="default" w:ascii="Times New Roman" w:hAnsi="Times New Roman" w:eastAsia="仿宋_GB2312" w:cs="Times New Roman"/>
                <w:color w:val="auto"/>
                <w:kern w:val="0"/>
                <w:sz w:val="21"/>
                <w:szCs w:val="21"/>
                <w:highlight w:val="none"/>
                <w:lang w:val="en-US" w:eastAsia="zh-CN" w:bidi="ar-SA"/>
              </w:rPr>
            </w:pPr>
          </w:p>
        </w:tc>
      </w:tr>
      <w:tr w14:paraId="2D23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09" w:type="dxa"/>
            <w:vMerge w:val="continue"/>
            <w:noWrap w:val="0"/>
            <w:vAlign w:val="center"/>
          </w:tcPr>
          <w:p w14:paraId="11E9341D">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2114" w:type="dxa"/>
            <w:noWrap w:val="0"/>
            <w:vAlign w:val="center"/>
          </w:tcPr>
          <w:p w14:paraId="1B5C4126">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信息</w:t>
            </w:r>
            <w:r>
              <w:rPr>
                <w:rFonts w:hint="eastAsia" w:ascii="Times New Roman" w:hAnsi="Times New Roman" w:eastAsia="仿宋_GB2312" w:cs="Times New Roman"/>
                <w:b/>
                <w:bCs/>
                <w:color w:val="auto"/>
                <w:kern w:val="0"/>
                <w:sz w:val="21"/>
                <w:szCs w:val="21"/>
                <w:highlight w:val="none"/>
                <w:lang w:val="en-US" w:eastAsia="zh-CN"/>
              </w:rPr>
              <w:t>报送</w:t>
            </w:r>
            <w:r>
              <w:rPr>
                <w:rFonts w:hint="default" w:ascii="Times New Roman" w:hAnsi="Times New Roman" w:eastAsia="仿宋_GB2312" w:cs="Times New Roman"/>
                <w:b/>
                <w:bCs/>
                <w:color w:val="auto"/>
                <w:kern w:val="0"/>
                <w:sz w:val="21"/>
                <w:szCs w:val="21"/>
                <w:highlight w:val="none"/>
                <w:lang w:val="en-US" w:eastAsia="zh-CN"/>
              </w:rPr>
              <w:t>机制</w:t>
            </w:r>
          </w:p>
        </w:tc>
        <w:tc>
          <w:tcPr>
            <w:tcW w:w="906" w:type="dxa"/>
            <w:noWrap w:val="0"/>
            <w:vAlign w:val="center"/>
          </w:tcPr>
          <w:p w14:paraId="1E258624">
            <w:pPr>
              <w:widowControl/>
              <w:spacing w:beforeLines="0" w:afterLines="0" w:line="260" w:lineRule="exact"/>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3</w:t>
            </w:r>
          </w:p>
        </w:tc>
        <w:tc>
          <w:tcPr>
            <w:tcW w:w="4519" w:type="dxa"/>
            <w:noWrap w:val="0"/>
            <w:vAlign w:val="center"/>
          </w:tcPr>
          <w:p w14:paraId="26C2679C">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明确信息报送人员，并按监管要求报送经营报告、财务报告和年度审计报告</w:t>
            </w:r>
            <w:r>
              <w:rPr>
                <w:rFonts w:hint="eastAsia" w:ascii="Times New Roman" w:hAnsi="Times New Roman" w:eastAsia="仿宋_GB2312" w:cs="Times New Roman"/>
                <w:color w:val="auto"/>
                <w:kern w:val="0"/>
                <w:sz w:val="21"/>
                <w:szCs w:val="21"/>
                <w:highlight w:val="none"/>
                <w:lang w:val="en-US" w:eastAsia="zh-CN"/>
              </w:rPr>
              <w:t>等文件和材料</w:t>
            </w:r>
            <w:r>
              <w:rPr>
                <w:rFonts w:hint="default" w:ascii="Times New Roman" w:hAnsi="Times New Roman" w:eastAsia="仿宋_GB2312" w:cs="Times New Roman"/>
                <w:color w:val="auto"/>
                <w:kern w:val="0"/>
                <w:sz w:val="21"/>
                <w:szCs w:val="21"/>
                <w:highlight w:val="none"/>
                <w:lang w:val="en-US" w:eastAsia="zh-CN"/>
              </w:rPr>
              <w:t>。</w:t>
            </w:r>
          </w:p>
        </w:tc>
        <w:tc>
          <w:tcPr>
            <w:tcW w:w="4519" w:type="dxa"/>
            <w:noWrap w:val="0"/>
            <w:vAlign w:val="center"/>
          </w:tcPr>
          <w:p w14:paraId="7F1E9DCF">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落实到位得满分，否则不得分。</w:t>
            </w:r>
          </w:p>
        </w:tc>
        <w:tc>
          <w:tcPr>
            <w:tcW w:w="906" w:type="dxa"/>
            <w:noWrap w:val="0"/>
            <w:vAlign w:val="center"/>
          </w:tcPr>
          <w:p w14:paraId="49A3406E">
            <w:pPr>
              <w:widowControl/>
              <w:spacing w:beforeLines="0" w:afterLines="0" w:line="260" w:lineRule="exact"/>
              <w:jc w:val="left"/>
              <w:textAlignment w:val="center"/>
              <w:rPr>
                <w:rFonts w:hint="default" w:ascii="Times New Roman" w:hAnsi="Times New Roman" w:eastAsia="仿宋_GB2312" w:cs="Times New Roman"/>
                <w:color w:val="auto"/>
                <w:kern w:val="0"/>
                <w:sz w:val="21"/>
                <w:szCs w:val="21"/>
                <w:highlight w:val="none"/>
                <w:lang w:val="en-US" w:eastAsia="zh-CN"/>
              </w:rPr>
            </w:pPr>
          </w:p>
        </w:tc>
      </w:tr>
      <w:tr w14:paraId="08EF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09" w:type="dxa"/>
            <w:vMerge w:val="continue"/>
            <w:noWrap w:val="0"/>
            <w:vAlign w:val="center"/>
          </w:tcPr>
          <w:p w14:paraId="77794701">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2114" w:type="dxa"/>
            <w:noWrap w:val="0"/>
            <w:vAlign w:val="center"/>
          </w:tcPr>
          <w:p w14:paraId="3FA18B4A">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行政许可、备案</w:t>
            </w:r>
          </w:p>
        </w:tc>
        <w:tc>
          <w:tcPr>
            <w:tcW w:w="906" w:type="dxa"/>
            <w:noWrap w:val="0"/>
            <w:vAlign w:val="center"/>
          </w:tcPr>
          <w:p w14:paraId="2957DFBA">
            <w:pPr>
              <w:widowControl/>
              <w:spacing w:beforeLines="0" w:afterLines="0" w:line="260" w:lineRule="exact"/>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2</w:t>
            </w:r>
          </w:p>
        </w:tc>
        <w:tc>
          <w:tcPr>
            <w:tcW w:w="4519" w:type="dxa"/>
            <w:noWrap w:val="0"/>
            <w:vAlign w:val="center"/>
          </w:tcPr>
          <w:p w14:paraId="3CA95E49">
            <w:pPr>
              <w:widowControl/>
              <w:spacing w:beforeLines="0" w:afterLines="0" w:line="260" w:lineRule="exact"/>
              <w:jc w:val="both"/>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按规定要求办理行政审批和备案手续。</w:t>
            </w:r>
          </w:p>
        </w:tc>
        <w:tc>
          <w:tcPr>
            <w:tcW w:w="4519" w:type="dxa"/>
            <w:noWrap w:val="0"/>
            <w:vAlign w:val="center"/>
          </w:tcPr>
          <w:p w14:paraId="44FDB024">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落实到位得满分，否则不得分。</w:t>
            </w:r>
          </w:p>
        </w:tc>
        <w:tc>
          <w:tcPr>
            <w:tcW w:w="906" w:type="dxa"/>
            <w:noWrap w:val="0"/>
            <w:vAlign w:val="center"/>
          </w:tcPr>
          <w:p w14:paraId="1B5FD977">
            <w:pPr>
              <w:widowControl/>
              <w:spacing w:beforeLines="0" w:afterLines="0" w:line="260" w:lineRule="exact"/>
              <w:jc w:val="left"/>
              <w:textAlignment w:val="center"/>
              <w:rPr>
                <w:rFonts w:hint="default" w:ascii="Times New Roman" w:hAnsi="Times New Roman" w:eastAsia="仿宋_GB2312" w:cs="Times New Roman"/>
                <w:color w:val="auto"/>
                <w:kern w:val="0"/>
                <w:sz w:val="21"/>
                <w:szCs w:val="21"/>
                <w:highlight w:val="none"/>
                <w:lang w:val="en-US" w:eastAsia="zh-CN"/>
              </w:rPr>
            </w:pPr>
          </w:p>
        </w:tc>
      </w:tr>
      <w:tr w14:paraId="44DD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09" w:type="dxa"/>
            <w:vMerge w:val="continue"/>
            <w:noWrap w:val="0"/>
            <w:vAlign w:val="center"/>
          </w:tcPr>
          <w:p w14:paraId="346C9F33">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2114" w:type="dxa"/>
            <w:noWrap w:val="0"/>
            <w:vAlign w:val="center"/>
          </w:tcPr>
          <w:p w14:paraId="5936F054">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落实重大风险事件</w:t>
            </w:r>
          </w:p>
          <w:p w14:paraId="6DBAD3BA">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报告制度</w:t>
            </w:r>
          </w:p>
        </w:tc>
        <w:tc>
          <w:tcPr>
            <w:tcW w:w="906" w:type="dxa"/>
            <w:noWrap w:val="0"/>
            <w:vAlign w:val="center"/>
          </w:tcPr>
          <w:p w14:paraId="732515A0">
            <w:pPr>
              <w:widowControl/>
              <w:spacing w:beforeLines="0" w:afterLines="0" w:line="260" w:lineRule="exact"/>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2</w:t>
            </w:r>
          </w:p>
        </w:tc>
        <w:tc>
          <w:tcPr>
            <w:tcW w:w="4519" w:type="dxa"/>
            <w:noWrap w:val="0"/>
            <w:vAlign w:val="center"/>
          </w:tcPr>
          <w:p w14:paraId="2263D0C9">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按银监发〔2010〕75号和桂金办发〔2011〕31号文件要求，落实重大风险事件报告制度。</w:t>
            </w:r>
          </w:p>
        </w:tc>
        <w:tc>
          <w:tcPr>
            <w:tcW w:w="4519" w:type="dxa"/>
            <w:noWrap w:val="0"/>
            <w:vAlign w:val="center"/>
          </w:tcPr>
          <w:p w14:paraId="7A5212E3">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落实到位得满分，否则不得分。</w:t>
            </w:r>
          </w:p>
        </w:tc>
        <w:tc>
          <w:tcPr>
            <w:tcW w:w="906" w:type="dxa"/>
            <w:noWrap w:val="0"/>
            <w:vAlign w:val="center"/>
          </w:tcPr>
          <w:p w14:paraId="7D826783">
            <w:pPr>
              <w:widowControl/>
              <w:spacing w:beforeLines="0" w:afterLines="0" w:line="260" w:lineRule="exact"/>
              <w:jc w:val="left"/>
              <w:textAlignment w:val="center"/>
              <w:rPr>
                <w:rFonts w:hint="default" w:ascii="Times New Roman" w:hAnsi="Times New Roman" w:eastAsia="仿宋_GB2312" w:cs="Times New Roman"/>
                <w:color w:val="auto"/>
                <w:kern w:val="0"/>
                <w:sz w:val="21"/>
                <w:szCs w:val="21"/>
                <w:highlight w:val="none"/>
                <w:lang w:val="en-US" w:eastAsia="zh-CN"/>
              </w:rPr>
            </w:pPr>
          </w:p>
        </w:tc>
      </w:tr>
      <w:tr w14:paraId="6ADD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09" w:type="dxa"/>
            <w:vMerge w:val="continue"/>
            <w:noWrap w:val="0"/>
            <w:vAlign w:val="center"/>
          </w:tcPr>
          <w:p w14:paraId="2FB82A06">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2114" w:type="dxa"/>
            <w:noWrap w:val="0"/>
            <w:vAlign w:val="center"/>
          </w:tcPr>
          <w:p w14:paraId="1E938CDC">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消费者权益保护</w:t>
            </w:r>
          </w:p>
        </w:tc>
        <w:tc>
          <w:tcPr>
            <w:tcW w:w="906" w:type="dxa"/>
            <w:noWrap w:val="0"/>
            <w:vAlign w:val="center"/>
          </w:tcPr>
          <w:p w14:paraId="1B16AC16">
            <w:pPr>
              <w:widowControl/>
              <w:spacing w:beforeLines="0" w:afterLines="0" w:line="260" w:lineRule="exact"/>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3</w:t>
            </w:r>
          </w:p>
        </w:tc>
        <w:tc>
          <w:tcPr>
            <w:tcW w:w="4519" w:type="dxa"/>
            <w:noWrap w:val="0"/>
            <w:vAlign w:val="center"/>
          </w:tcPr>
          <w:p w14:paraId="03B4826C">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客户投诉案件数量及处理效果。</w:t>
            </w:r>
          </w:p>
        </w:tc>
        <w:tc>
          <w:tcPr>
            <w:tcW w:w="4519" w:type="dxa"/>
            <w:noWrap w:val="0"/>
            <w:vAlign w:val="center"/>
          </w:tcPr>
          <w:p w14:paraId="3F6279D3">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年内监管部门接到客户投诉案件核查属实超过</w:t>
            </w:r>
            <w:r>
              <w:rPr>
                <w:rFonts w:hint="eastAsia" w:ascii="Times New Roman" w:hAnsi="Times New Roman" w:eastAsia="仿宋_GB2312" w:cs="Times New Roman"/>
                <w:color w:val="auto"/>
                <w:kern w:val="0"/>
                <w:sz w:val="21"/>
                <w:szCs w:val="21"/>
                <w:highlight w:val="none"/>
                <w:lang w:val="en-US" w:eastAsia="zh-CN"/>
              </w:rPr>
              <w:t>1</w:t>
            </w:r>
            <w:r>
              <w:rPr>
                <w:rFonts w:hint="default" w:ascii="Times New Roman" w:hAnsi="Times New Roman" w:eastAsia="仿宋_GB2312" w:cs="Times New Roman"/>
                <w:color w:val="auto"/>
                <w:kern w:val="0"/>
                <w:sz w:val="21"/>
                <w:szCs w:val="21"/>
                <w:highlight w:val="none"/>
                <w:lang w:val="en-US" w:eastAsia="zh-CN"/>
              </w:rPr>
              <w:t>件的，</w:t>
            </w:r>
            <w:r>
              <w:rPr>
                <w:rFonts w:hint="eastAsia" w:ascii="Times New Roman" w:hAnsi="Times New Roman" w:eastAsia="仿宋_GB2312" w:cs="Times New Roman"/>
                <w:color w:val="auto"/>
                <w:kern w:val="0"/>
                <w:sz w:val="21"/>
                <w:szCs w:val="21"/>
                <w:highlight w:val="none"/>
                <w:lang w:val="en-US" w:eastAsia="zh-CN"/>
              </w:rPr>
              <w:t>每核查属实1件</w:t>
            </w:r>
            <w:r>
              <w:rPr>
                <w:rFonts w:hint="default" w:ascii="Times New Roman" w:hAnsi="Times New Roman" w:eastAsia="仿宋_GB2312" w:cs="Times New Roman"/>
                <w:color w:val="auto"/>
                <w:kern w:val="0"/>
                <w:sz w:val="21"/>
                <w:szCs w:val="21"/>
                <w:highlight w:val="none"/>
                <w:lang w:val="en-US" w:eastAsia="zh-CN"/>
              </w:rPr>
              <w:t>扣1分，扣完为止。</w:t>
            </w:r>
          </w:p>
        </w:tc>
        <w:tc>
          <w:tcPr>
            <w:tcW w:w="906" w:type="dxa"/>
            <w:noWrap w:val="0"/>
            <w:vAlign w:val="center"/>
          </w:tcPr>
          <w:p w14:paraId="0484F480">
            <w:pPr>
              <w:widowControl/>
              <w:spacing w:beforeLines="0" w:afterLines="0" w:line="260" w:lineRule="exact"/>
              <w:jc w:val="left"/>
              <w:textAlignment w:val="center"/>
              <w:rPr>
                <w:rFonts w:hint="default" w:ascii="Times New Roman" w:hAnsi="Times New Roman" w:eastAsia="仿宋_GB2312" w:cs="Times New Roman"/>
                <w:color w:val="auto"/>
                <w:kern w:val="0"/>
                <w:sz w:val="21"/>
                <w:szCs w:val="21"/>
                <w:highlight w:val="none"/>
                <w:lang w:val="en-US" w:eastAsia="zh-CN"/>
              </w:rPr>
            </w:pPr>
          </w:p>
        </w:tc>
      </w:tr>
      <w:tr w14:paraId="6874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09" w:type="dxa"/>
            <w:vMerge w:val="restart"/>
            <w:noWrap w:val="0"/>
            <w:vAlign w:val="center"/>
          </w:tcPr>
          <w:p w14:paraId="078E625E">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扣分事项</w:t>
            </w:r>
          </w:p>
        </w:tc>
        <w:tc>
          <w:tcPr>
            <w:tcW w:w="2114" w:type="dxa"/>
            <w:vMerge w:val="restart"/>
            <w:noWrap w:val="0"/>
            <w:vAlign w:val="center"/>
          </w:tcPr>
          <w:p w14:paraId="16383960">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业务违规问题</w:t>
            </w:r>
          </w:p>
          <w:p w14:paraId="636B132D">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eastAsia" w:ascii="Times New Roman" w:hAnsi="Times New Roman" w:eastAsia="仿宋_GB2312" w:cs="Times New Roman"/>
                <w:b/>
                <w:bCs/>
                <w:color w:val="auto"/>
                <w:kern w:val="0"/>
                <w:sz w:val="21"/>
                <w:szCs w:val="21"/>
                <w:highlight w:val="none"/>
                <w:lang w:val="en-US" w:eastAsia="zh-CN"/>
              </w:rPr>
              <w:t>（检查年度内）</w:t>
            </w:r>
          </w:p>
        </w:tc>
        <w:tc>
          <w:tcPr>
            <w:tcW w:w="906" w:type="dxa"/>
            <w:noWrap w:val="0"/>
            <w:vAlign w:val="center"/>
          </w:tcPr>
          <w:p w14:paraId="072F1647">
            <w:pPr>
              <w:widowControl/>
              <w:spacing w:beforeLines="0" w:afterLines="0" w:line="260" w:lineRule="exact"/>
              <w:jc w:val="center"/>
              <w:textAlignment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w:t>
            </w:r>
            <w:r>
              <w:rPr>
                <w:rFonts w:hint="eastAsia" w:ascii="Times New Roman" w:hAnsi="Times New Roman" w:eastAsia="仿宋_GB2312" w:cs="Times New Roman"/>
                <w:color w:val="auto"/>
                <w:kern w:val="0"/>
                <w:sz w:val="21"/>
                <w:szCs w:val="21"/>
                <w:highlight w:val="none"/>
                <w:lang w:val="en-US" w:eastAsia="zh-CN"/>
              </w:rPr>
              <w:t>2</w:t>
            </w:r>
            <w:r>
              <w:rPr>
                <w:rFonts w:hint="default" w:ascii="Times New Roman" w:hAnsi="Times New Roman" w:eastAsia="仿宋_GB2312" w:cs="Times New Roman"/>
                <w:color w:val="auto"/>
                <w:kern w:val="0"/>
                <w:sz w:val="21"/>
                <w:szCs w:val="21"/>
                <w:highlight w:val="none"/>
                <w:lang w:val="en-US" w:eastAsia="zh-CN"/>
              </w:rPr>
              <w:t>0</w:t>
            </w:r>
          </w:p>
        </w:tc>
        <w:tc>
          <w:tcPr>
            <w:tcW w:w="4519" w:type="dxa"/>
            <w:noWrap w:val="0"/>
            <w:vAlign w:val="center"/>
          </w:tcPr>
          <w:p w14:paraId="0AF026D2">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吸收存款或者变相吸收存款。</w:t>
            </w:r>
          </w:p>
        </w:tc>
        <w:tc>
          <w:tcPr>
            <w:tcW w:w="4519" w:type="dxa"/>
            <w:noWrap w:val="0"/>
            <w:vAlign w:val="top"/>
          </w:tcPr>
          <w:p w14:paraId="1C2067EB">
            <w:pPr>
              <w:spacing w:beforeLines="0" w:afterLines="0" w:line="260" w:lineRule="exact"/>
              <w:jc w:val="both"/>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发现的扣</w:t>
            </w:r>
            <w:r>
              <w:rPr>
                <w:rFonts w:hint="eastAsia" w:ascii="Times New Roman" w:hAnsi="Times New Roman" w:eastAsia="仿宋_GB2312" w:cs="Times New Roman"/>
                <w:color w:val="auto"/>
                <w:kern w:val="0"/>
                <w:sz w:val="21"/>
                <w:szCs w:val="21"/>
                <w:highlight w:val="none"/>
                <w:lang w:val="en-US" w:eastAsia="zh-CN"/>
              </w:rPr>
              <w:t>2</w:t>
            </w:r>
            <w:r>
              <w:rPr>
                <w:rFonts w:hint="default" w:ascii="Times New Roman" w:hAnsi="Times New Roman" w:eastAsia="仿宋_GB2312" w:cs="Times New Roman"/>
                <w:color w:val="auto"/>
                <w:kern w:val="0"/>
                <w:sz w:val="21"/>
                <w:szCs w:val="21"/>
                <w:highlight w:val="none"/>
                <w:lang w:val="en-US" w:eastAsia="zh-CN"/>
              </w:rPr>
              <w:t>0分。</w:t>
            </w:r>
          </w:p>
        </w:tc>
        <w:tc>
          <w:tcPr>
            <w:tcW w:w="906" w:type="dxa"/>
            <w:noWrap w:val="0"/>
            <w:vAlign w:val="center"/>
          </w:tcPr>
          <w:p w14:paraId="66493807">
            <w:pPr>
              <w:widowControl/>
              <w:spacing w:beforeLines="0" w:afterLines="0" w:line="260" w:lineRule="exact"/>
              <w:jc w:val="left"/>
              <w:textAlignment w:val="center"/>
              <w:rPr>
                <w:rFonts w:hint="default" w:ascii="Times New Roman" w:hAnsi="Times New Roman" w:eastAsia="仿宋_GB2312" w:cs="Times New Roman"/>
                <w:color w:val="auto"/>
                <w:kern w:val="0"/>
                <w:sz w:val="21"/>
                <w:szCs w:val="21"/>
                <w:highlight w:val="none"/>
                <w:lang w:val="en-US" w:eastAsia="zh-CN" w:bidi="ar-SA"/>
              </w:rPr>
            </w:pPr>
          </w:p>
        </w:tc>
      </w:tr>
      <w:tr w14:paraId="68E83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09" w:type="dxa"/>
            <w:vMerge w:val="continue"/>
            <w:noWrap w:val="0"/>
            <w:vAlign w:val="center"/>
          </w:tcPr>
          <w:p w14:paraId="7CEB752B">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2114" w:type="dxa"/>
            <w:vMerge w:val="continue"/>
            <w:noWrap w:val="0"/>
            <w:vAlign w:val="center"/>
          </w:tcPr>
          <w:p w14:paraId="447C3B16">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906" w:type="dxa"/>
            <w:noWrap w:val="0"/>
            <w:vAlign w:val="center"/>
          </w:tcPr>
          <w:p w14:paraId="07506686">
            <w:pPr>
              <w:widowControl/>
              <w:spacing w:beforeLines="0" w:afterLines="0" w:line="260" w:lineRule="exact"/>
              <w:jc w:val="center"/>
              <w:textAlignment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w:t>
            </w:r>
            <w:r>
              <w:rPr>
                <w:rFonts w:hint="eastAsia" w:ascii="Times New Roman" w:hAnsi="Times New Roman" w:eastAsia="仿宋_GB2312" w:cs="Times New Roman"/>
                <w:color w:val="auto"/>
                <w:kern w:val="0"/>
                <w:sz w:val="21"/>
                <w:szCs w:val="21"/>
                <w:highlight w:val="none"/>
                <w:lang w:val="en-US" w:eastAsia="zh-CN"/>
              </w:rPr>
              <w:t>2</w:t>
            </w:r>
            <w:r>
              <w:rPr>
                <w:rFonts w:hint="default" w:ascii="Times New Roman" w:hAnsi="Times New Roman" w:eastAsia="仿宋_GB2312" w:cs="Times New Roman"/>
                <w:color w:val="auto"/>
                <w:kern w:val="0"/>
                <w:sz w:val="21"/>
                <w:szCs w:val="21"/>
                <w:highlight w:val="none"/>
                <w:lang w:val="en-US" w:eastAsia="zh-CN"/>
              </w:rPr>
              <w:t>0</w:t>
            </w:r>
          </w:p>
        </w:tc>
        <w:tc>
          <w:tcPr>
            <w:tcW w:w="4519" w:type="dxa"/>
            <w:noWrap w:val="0"/>
            <w:vAlign w:val="center"/>
          </w:tcPr>
          <w:p w14:paraId="1DD6372E">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自营贷款或者受托贷款。</w:t>
            </w:r>
          </w:p>
        </w:tc>
        <w:tc>
          <w:tcPr>
            <w:tcW w:w="4519" w:type="dxa"/>
            <w:noWrap w:val="0"/>
            <w:vAlign w:val="top"/>
          </w:tcPr>
          <w:p w14:paraId="5F065C58">
            <w:pPr>
              <w:spacing w:beforeLines="0" w:afterLines="0" w:line="260" w:lineRule="exact"/>
              <w:jc w:val="both"/>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发现的扣</w:t>
            </w:r>
            <w:r>
              <w:rPr>
                <w:rFonts w:hint="eastAsia" w:ascii="Times New Roman" w:hAnsi="Times New Roman" w:eastAsia="仿宋_GB2312" w:cs="Times New Roman"/>
                <w:color w:val="auto"/>
                <w:kern w:val="0"/>
                <w:sz w:val="21"/>
                <w:szCs w:val="21"/>
                <w:highlight w:val="none"/>
                <w:lang w:val="en-US" w:eastAsia="zh-CN"/>
              </w:rPr>
              <w:t>2</w:t>
            </w:r>
            <w:r>
              <w:rPr>
                <w:rFonts w:hint="default" w:ascii="Times New Roman" w:hAnsi="Times New Roman" w:eastAsia="仿宋_GB2312" w:cs="Times New Roman"/>
                <w:color w:val="auto"/>
                <w:kern w:val="0"/>
                <w:sz w:val="21"/>
                <w:szCs w:val="21"/>
                <w:highlight w:val="none"/>
                <w:lang w:val="en-US" w:eastAsia="zh-CN"/>
              </w:rPr>
              <w:t>0分。</w:t>
            </w:r>
          </w:p>
        </w:tc>
        <w:tc>
          <w:tcPr>
            <w:tcW w:w="906" w:type="dxa"/>
            <w:noWrap w:val="0"/>
            <w:vAlign w:val="top"/>
          </w:tcPr>
          <w:p w14:paraId="451946BF">
            <w:pPr>
              <w:spacing w:beforeLines="0" w:afterLines="0" w:line="260" w:lineRule="exact"/>
              <w:jc w:val="left"/>
              <w:rPr>
                <w:rFonts w:hint="default" w:ascii="Times New Roman" w:hAnsi="Times New Roman" w:eastAsia="宋体" w:cs="Times New Roman"/>
                <w:color w:val="auto"/>
                <w:kern w:val="2"/>
                <w:sz w:val="21"/>
                <w:szCs w:val="21"/>
                <w:highlight w:val="none"/>
                <w:lang w:val="en-US" w:eastAsia="zh-CN" w:bidi="ar-SA"/>
              </w:rPr>
            </w:pPr>
          </w:p>
        </w:tc>
      </w:tr>
      <w:tr w14:paraId="6162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09" w:type="dxa"/>
            <w:vMerge w:val="continue"/>
            <w:noWrap w:val="0"/>
            <w:vAlign w:val="center"/>
          </w:tcPr>
          <w:p w14:paraId="419ED588">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2114" w:type="dxa"/>
            <w:vMerge w:val="continue"/>
            <w:noWrap w:val="0"/>
            <w:vAlign w:val="center"/>
          </w:tcPr>
          <w:p w14:paraId="218C0131">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906" w:type="dxa"/>
            <w:noWrap w:val="0"/>
            <w:vAlign w:val="center"/>
          </w:tcPr>
          <w:p w14:paraId="29457319">
            <w:pPr>
              <w:widowControl/>
              <w:spacing w:beforeLines="0" w:afterLines="0" w:line="260" w:lineRule="exact"/>
              <w:jc w:val="center"/>
              <w:textAlignment w:val="center"/>
              <w:rPr>
                <w:rFonts w:hint="default"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rPr>
              <w:t>-20</w:t>
            </w:r>
          </w:p>
        </w:tc>
        <w:tc>
          <w:tcPr>
            <w:tcW w:w="4519" w:type="dxa"/>
            <w:noWrap w:val="0"/>
            <w:vAlign w:val="center"/>
          </w:tcPr>
          <w:p w14:paraId="4F10A690">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rPr>
              <w:t>受托投资。</w:t>
            </w:r>
          </w:p>
        </w:tc>
        <w:tc>
          <w:tcPr>
            <w:tcW w:w="4519" w:type="dxa"/>
            <w:noWrap w:val="0"/>
            <w:vAlign w:val="top"/>
          </w:tcPr>
          <w:p w14:paraId="2D2334EB">
            <w:pPr>
              <w:spacing w:beforeLines="0" w:afterLines="0" w:line="260" w:lineRule="exact"/>
              <w:jc w:val="both"/>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发现的扣</w:t>
            </w:r>
            <w:r>
              <w:rPr>
                <w:rFonts w:hint="eastAsia" w:ascii="Times New Roman" w:hAnsi="Times New Roman" w:eastAsia="仿宋_GB2312" w:cs="Times New Roman"/>
                <w:color w:val="auto"/>
                <w:kern w:val="0"/>
                <w:sz w:val="21"/>
                <w:szCs w:val="21"/>
                <w:highlight w:val="none"/>
                <w:lang w:val="en-US" w:eastAsia="zh-CN"/>
              </w:rPr>
              <w:t>2</w:t>
            </w:r>
            <w:r>
              <w:rPr>
                <w:rFonts w:hint="default" w:ascii="Times New Roman" w:hAnsi="Times New Roman" w:eastAsia="仿宋_GB2312" w:cs="Times New Roman"/>
                <w:color w:val="auto"/>
                <w:kern w:val="0"/>
                <w:sz w:val="21"/>
                <w:szCs w:val="21"/>
                <w:highlight w:val="none"/>
                <w:lang w:val="en-US" w:eastAsia="zh-CN"/>
              </w:rPr>
              <w:t>0分。</w:t>
            </w:r>
          </w:p>
        </w:tc>
        <w:tc>
          <w:tcPr>
            <w:tcW w:w="906" w:type="dxa"/>
            <w:noWrap w:val="0"/>
            <w:vAlign w:val="top"/>
          </w:tcPr>
          <w:p w14:paraId="445066DB">
            <w:pPr>
              <w:spacing w:beforeLines="0" w:afterLines="0" w:line="260" w:lineRule="exact"/>
              <w:jc w:val="left"/>
              <w:rPr>
                <w:rFonts w:hint="default" w:ascii="Times New Roman" w:hAnsi="Times New Roman" w:eastAsia="宋体" w:cs="Times New Roman"/>
                <w:color w:val="auto"/>
                <w:kern w:val="2"/>
                <w:sz w:val="21"/>
                <w:szCs w:val="21"/>
                <w:highlight w:val="none"/>
                <w:lang w:val="en-US" w:eastAsia="zh-CN" w:bidi="ar-SA"/>
              </w:rPr>
            </w:pPr>
          </w:p>
        </w:tc>
      </w:tr>
      <w:tr w14:paraId="66EC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09" w:type="dxa"/>
            <w:vMerge w:val="continue"/>
            <w:noWrap w:val="0"/>
            <w:vAlign w:val="center"/>
          </w:tcPr>
          <w:p w14:paraId="0508A9E6">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2114" w:type="dxa"/>
            <w:vMerge w:val="continue"/>
            <w:noWrap w:val="0"/>
            <w:vAlign w:val="center"/>
          </w:tcPr>
          <w:p w14:paraId="3ED19718">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906" w:type="dxa"/>
            <w:noWrap w:val="0"/>
            <w:vAlign w:val="center"/>
          </w:tcPr>
          <w:p w14:paraId="7A77259A">
            <w:pPr>
              <w:widowControl/>
              <w:spacing w:beforeLines="0" w:afterLines="0" w:line="260" w:lineRule="exact"/>
              <w:jc w:val="center"/>
              <w:textAlignment w:val="center"/>
              <w:rPr>
                <w:rFonts w:hint="default"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rPr>
              <w:t>-10</w:t>
            </w:r>
          </w:p>
        </w:tc>
        <w:tc>
          <w:tcPr>
            <w:tcW w:w="4519" w:type="dxa"/>
            <w:noWrap w:val="0"/>
            <w:vAlign w:val="center"/>
          </w:tcPr>
          <w:p w14:paraId="6C694012">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rPr>
              <w:t>偏离主业盲目扩大业务范围。</w:t>
            </w:r>
          </w:p>
        </w:tc>
        <w:tc>
          <w:tcPr>
            <w:tcW w:w="4519" w:type="dxa"/>
            <w:noWrap w:val="0"/>
            <w:vAlign w:val="top"/>
          </w:tcPr>
          <w:p w14:paraId="7F2D3D4A">
            <w:pPr>
              <w:spacing w:beforeLines="0" w:afterLines="0" w:line="260" w:lineRule="exact"/>
              <w:jc w:val="both"/>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发现的扣</w:t>
            </w:r>
            <w:r>
              <w:rPr>
                <w:rFonts w:hint="eastAsia" w:ascii="Times New Roman" w:hAnsi="Times New Roman" w:eastAsia="仿宋_GB2312" w:cs="Times New Roman"/>
                <w:color w:val="auto"/>
                <w:kern w:val="0"/>
                <w:sz w:val="21"/>
                <w:szCs w:val="21"/>
                <w:highlight w:val="none"/>
                <w:lang w:val="en-US" w:eastAsia="zh-CN"/>
              </w:rPr>
              <w:t>1</w:t>
            </w:r>
            <w:r>
              <w:rPr>
                <w:rFonts w:hint="default" w:ascii="Times New Roman" w:hAnsi="Times New Roman" w:eastAsia="仿宋_GB2312" w:cs="Times New Roman"/>
                <w:color w:val="auto"/>
                <w:kern w:val="0"/>
                <w:sz w:val="21"/>
                <w:szCs w:val="21"/>
                <w:highlight w:val="none"/>
                <w:lang w:val="en-US" w:eastAsia="zh-CN"/>
              </w:rPr>
              <w:t>0分。</w:t>
            </w:r>
          </w:p>
        </w:tc>
        <w:tc>
          <w:tcPr>
            <w:tcW w:w="906" w:type="dxa"/>
            <w:noWrap w:val="0"/>
            <w:vAlign w:val="top"/>
          </w:tcPr>
          <w:p w14:paraId="4CEF43C2">
            <w:pPr>
              <w:spacing w:beforeLines="0" w:afterLines="0" w:line="260" w:lineRule="exact"/>
              <w:jc w:val="left"/>
              <w:rPr>
                <w:rFonts w:hint="default" w:ascii="Times New Roman" w:hAnsi="Times New Roman" w:eastAsia="宋体" w:cs="Times New Roman"/>
                <w:color w:val="auto"/>
                <w:kern w:val="2"/>
                <w:sz w:val="21"/>
                <w:szCs w:val="21"/>
                <w:highlight w:val="none"/>
                <w:lang w:val="en-US" w:eastAsia="zh-CN" w:bidi="ar-SA"/>
              </w:rPr>
            </w:pPr>
          </w:p>
        </w:tc>
      </w:tr>
      <w:tr w14:paraId="6C71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09" w:type="dxa"/>
            <w:vMerge w:val="continue"/>
            <w:noWrap w:val="0"/>
            <w:vAlign w:val="center"/>
          </w:tcPr>
          <w:p w14:paraId="23D494E6">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2114" w:type="dxa"/>
            <w:vMerge w:val="continue"/>
            <w:noWrap w:val="0"/>
            <w:vAlign w:val="center"/>
          </w:tcPr>
          <w:p w14:paraId="0CE7B358">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906" w:type="dxa"/>
            <w:noWrap w:val="0"/>
            <w:vAlign w:val="center"/>
          </w:tcPr>
          <w:p w14:paraId="2894C056">
            <w:pPr>
              <w:widowControl/>
              <w:spacing w:beforeLines="0" w:afterLines="0" w:line="260" w:lineRule="exact"/>
              <w:jc w:val="center"/>
              <w:textAlignment w:val="center"/>
              <w:rPr>
                <w:rFonts w:hint="default"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rPr>
              <w:t>-10</w:t>
            </w:r>
          </w:p>
        </w:tc>
        <w:tc>
          <w:tcPr>
            <w:tcW w:w="4519" w:type="dxa"/>
            <w:noWrap w:val="0"/>
            <w:vAlign w:val="center"/>
          </w:tcPr>
          <w:p w14:paraId="100BB5CE">
            <w:pPr>
              <w:widowControl/>
              <w:spacing w:beforeLines="0" w:afterLines="0" w:line="260" w:lineRule="exact"/>
              <w:jc w:val="both"/>
              <w:textAlignment w:val="center"/>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rPr>
              <w:t>为政府债券发行担保。</w:t>
            </w:r>
          </w:p>
        </w:tc>
        <w:tc>
          <w:tcPr>
            <w:tcW w:w="4519" w:type="dxa"/>
            <w:noWrap w:val="0"/>
            <w:vAlign w:val="top"/>
          </w:tcPr>
          <w:p w14:paraId="1C2C1D29">
            <w:pPr>
              <w:spacing w:beforeLines="0" w:afterLines="0" w:line="260" w:lineRule="exact"/>
              <w:jc w:val="both"/>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发现的扣</w:t>
            </w:r>
            <w:r>
              <w:rPr>
                <w:rFonts w:hint="eastAsia" w:ascii="Times New Roman" w:hAnsi="Times New Roman" w:eastAsia="仿宋_GB2312" w:cs="Times New Roman"/>
                <w:color w:val="auto"/>
                <w:kern w:val="0"/>
                <w:sz w:val="21"/>
                <w:szCs w:val="21"/>
                <w:highlight w:val="none"/>
                <w:lang w:val="en-US" w:eastAsia="zh-CN"/>
              </w:rPr>
              <w:t>1</w:t>
            </w:r>
            <w:r>
              <w:rPr>
                <w:rFonts w:hint="default" w:ascii="Times New Roman" w:hAnsi="Times New Roman" w:eastAsia="仿宋_GB2312" w:cs="Times New Roman"/>
                <w:color w:val="auto"/>
                <w:kern w:val="0"/>
                <w:sz w:val="21"/>
                <w:szCs w:val="21"/>
                <w:highlight w:val="none"/>
                <w:lang w:val="en-US" w:eastAsia="zh-CN"/>
              </w:rPr>
              <w:t>0分。</w:t>
            </w:r>
          </w:p>
        </w:tc>
        <w:tc>
          <w:tcPr>
            <w:tcW w:w="906" w:type="dxa"/>
            <w:noWrap w:val="0"/>
            <w:vAlign w:val="top"/>
          </w:tcPr>
          <w:p w14:paraId="075E916E">
            <w:pPr>
              <w:spacing w:beforeLines="0" w:afterLines="0" w:line="260" w:lineRule="exact"/>
              <w:jc w:val="left"/>
              <w:rPr>
                <w:rFonts w:hint="default" w:ascii="Times New Roman" w:hAnsi="Times New Roman" w:eastAsia="宋体" w:cs="Times New Roman"/>
                <w:color w:val="auto"/>
                <w:kern w:val="2"/>
                <w:sz w:val="21"/>
                <w:szCs w:val="21"/>
                <w:highlight w:val="none"/>
                <w:lang w:val="en-US" w:eastAsia="zh-CN" w:bidi="ar-SA"/>
              </w:rPr>
            </w:pPr>
          </w:p>
        </w:tc>
      </w:tr>
      <w:tr w14:paraId="3770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09" w:type="dxa"/>
            <w:vMerge w:val="continue"/>
            <w:noWrap w:val="0"/>
            <w:vAlign w:val="center"/>
          </w:tcPr>
          <w:p w14:paraId="08ECD841">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2114" w:type="dxa"/>
            <w:vMerge w:val="continue"/>
            <w:noWrap w:val="0"/>
            <w:vAlign w:val="center"/>
          </w:tcPr>
          <w:p w14:paraId="1906C0B0">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906" w:type="dxa"/>
            <w:noWrap w:val="0"/>
            <w:vAlign w:val="center"/>
          </w:tcPr>
          <w:p w14:paraId="5D841B2B">
            <w:pPr>
              <w:widowControl/>
              <w:spacing w:beforeLines="0" w:afterLines="0" w:line="260" w:lineRule="exact"/>
              <w:jc w:val="center"/>
              <w:textAlignment w:val="center"/>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rPr>
              <w:t>-10</w:t>
            </w:r>
          </w:p>
        </w:tc>
        <w:tc>
          <w:tcPr>
            <w:tcW w:w="4519" w:type="dxa"/>
            <w:noWrap w:val="0"/>
            <w:vAlign w:val="center"/>
          </w:tcPr>
          <w:p w14:paraId="220B0CDF">
            <w:pPr>
              <w:widowControl/>
              <w:spacing w:beforeLines="0" w:afterLines="0" w:line="260" w:lineRule="exact"/>
              <w:jc w:val="both"/>
              <w:textAlignment w:val="center"/>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rPr>
              <w:t>为政府融资平台新增担保。</w:t>
            </w:r>
          </w:p>
        </w:tc>
        <w:tc>
          <w:tcPr>
            <w:tcW w:w="4519" w:type="dxa"/>
            <w:noWrap w:val="0"/>
            <w:vAlign w:val="top"/>
          </w:tcPr>
          <w:p w14:paraId="52A2236C">
            <w:pPr>
              <w:spacing w:beforeLines="0" w:afterLines="0" w:line="260" w:lineRule="exact"/>
              <w:jc w:val="both"/>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发现的扣</w:t>
            </w:r>
            <w:r>
              <w:rPr>
                <w:rFonts w:hint="eastAsia" w:ascii="Times New Roman" w:hAnsi="Times New Roman" w:eastAsia="仿宋_GB2312" w:cs="Times New Roman"/>
                <w:color w:val="auto"/>
                <w:kern w:val="0"/>
                <w:sz w:val="21"/>
                <w:szCs w:val="21"/>
                <w:highlight w:val="none"/>
                <w:lang w:val="en-US" w:eastAsia="zh-CN"/>
              </w:rPr>
              <w:t>1</w:t>
            </w:r>
            <w:r>
              <w:rPr>
                <w:rFonts w:hint="default" w:ascii="Times New Roman" w:hAnsi="Times New Roman" w:eastAsia="仿宋_GB2312" w:cs="Times New Roman"/>
                <w:color w:val="auto"/>
                <w:kern w:val="0"/>
                <w:sz w:val="21"/>
                <w:szCs w:val="21"/>
                <w:highlight w:val="none"/>
                <w:lang w:val="en-US" w:eastAsia="zh-CN"/>
              </w:rPr>
              <w:t>0分。</w:t>
            </w:r>
          </w:p>
        </w:tc>
        <w:tc>
          <w:tcPr>
            <w:tcW w:w="906" w:type="dxa"/>
            <w:noWrap w:val="0"/>
            <w:vAlign w:val="top"/>
          </w:tcPr>
          <w:p w14:paraId="56ED8857">
            <w:pPr>
              <w:spacing w:beforeLines="0" w:afterLines="0" w:line="260" w:lineRule="exact"/>
              <w:jc w:val="left"/>
              <w:rPr>
                <w:rFonts w:hint="default" w:ascii="Times New Roman" w:hAnsi="Times New Roman" w:eastAsia="宋体" w:cs="Times New Roman"/>
                <w:color w:val="auto"/>
                <w:kern w:val="2"/>
                <w:sz w:val="21"/>
                <w:szCs w:val="21"/>
                <w:highlight w:val="none"/>
                <w:lang w:val="en-US" w:eastAsia="zh-CN" w:bidi="ar-SA"/>
              </w:rPr>
            </w:pPr>
          </w:p>
        </w:tc>
      </w:tr>
      <w:tr w14:paraId="084C9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09" w:type="dxa"/>
            <w:vMerge w:val="continue"/>
            <w:noWrap w:val="0"/>
            <w:vAlign w:val="center"/>
          </w:tcPr>
          <w:p w14:paraId="496D15CA">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2114" w:type="dxa"/>
            <w:vMerge w:val="continue"/>
            <w:noWrap w:val="0"/>
            <w:vAlign w:val="center"/>
          </w:tcPr>
          <w:p w14:paraId="15A62A55">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906" w:type="dxa"/>
            <w:noWrap w:val="0"/>
            <w:vAlign w:val="center"/>
          </w:tcPr>
          <w:p w14:paraId="01BE5886">
            <w:pPr>
              <w:widowControl/>
              <w:spacing w:beforeLines="0" w:afterLines="0" w:line="260" w:lineRule="exact"/>
              <w:jc w:val="center"/>
              <w:textAlignment w:val="center"/>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rPr>
              <w:t>-10</w:t>
            </w:r>
          </w:p>
        </w:tc>
        <w:tc>
          <w:tcPr>
            <w:tcW w:w="4519" w:type="dxa"/>
            <w:noWrap w:val="0"/>
            <w:vAlign w:val="center"/>
          </w:tcPr>
          <w:p w14:paraId="019036EC">
            <w:pPr>
              <w:widowControl/>
              <w:spacing w:beforeLines="0" w:afterLines="0" w:line="260" w:lineRule="exact"/>
              <w:jc w:val="both"/>
              <w:textAlignment w:val="center"/>
              <w:rPr>
                <w:rFonts w:hint="eastAsia"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rPr>
              <w:t>向非融资担保机构进行股权投资。</w:t>
            </w:r>
          </w:p>
        </w:tc>
        <w:tc>
          <w:tcPr>
            <w:tcW w:w="4519" w:type="dxa"/>
            <w:noWrap w:val="0"/>
            <w:vAlign w:val="top"/>
          </w:tcPr>
          <w:p w14:paraId="339797C7">
            <w:pPr>
              <w:spacing w:beforeLines="0" w:afterLines="0" w:line="260" w:lineRule="exact"/>
              <w:jc w:val="both"/>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发现的扣</w:t>
            </w:r>
            <w:r>
              <w:rPr>
                <w:rFonts w:hint="eastAsia" w:ascii="Times New Roman" w:hAnsi="Times New Roman" w:eastAsia="仿宋_GB2312" w:cs="Times New Roman"/>
                <w:color w:val="auto"/>
                <w:kern w:val="0"/>
                <w:sz w:val="21"/>
                <w:szCs w:val="21"/>
                <w:highlight w:val="none"/>
                <w:lang w:val="en-US" w:eastAsia="zh-CN"/>
              </w:rPr>
              <w:t>1</w:t>
            </w:r>
            <w:r>
              <w:rPr>
                <w:rFonts w:hint="default" w:ascii="Times New Roman" w:hAnsi="Times New Roman" w:eastAsia="仿宋_GB2312" w:cs="Times New Roman"/>
                <w:color w:val="auto"/>
                <w:kern w:val="0"/>
                <w:sz w:val="21"/>
                <w:szCs w:val="21"/>
                <w:highlight w:val="none"/>
                <w:lang w:val="en-US" w:eastAsia="zh-CN"/>
              </w:rPr>
              <w:t>0分。</w:t>
            </w:r>
          </w:p>
        </w:tc>
        <w:tc>
          <w:tcPr>
            <w:tcW w:w="906" w:type="dxa"/>
            <w:noWrap w:val="0"/>
            <w:vAlign w:val="top"/>
          </w:tcPr>
          <w:p w14:paraId="2DB95117">
            <w:pPr>
              <w:spacing w:beforeLines="0" w:afterLines="0" w:line="260" w:lineRule="exact"/>
              <w:jc w:val="left"/>
              <w:rPr>
                <w:rFonts w:hint="default" w:ascii="Times New Roman" w:hAnsi="Times New Roman" w:eastAsia="宋体" w:cs="Times New Roman"/>
                <w:color w:val="auto"/>
                <w:kern w:val="2"/>
                <w:sz w:val="21"/>
                <w:szCs w:val="21"/>
                <w:highlight w:val="none"/>
                <w:lang w:val="en-US" w:eastAsia="zh-CN" w:bidi="ar-SA"/>
              </w:rPr>
            </w:pPr>
          </w:p>
        </w:tc>
      </w:tr>
      <w:tr w14:paraId="33B6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09" w:type="dxa"/>
            <w:vMerge w:val="continue"/>
            <w:noWrap w:val="0"/>
            <w:vAlign w:val="center"/>
          </w:tcPr>
          <w:p w14:paraId="14870021">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2114" w:type="dxa"/>
            <w:vMerge w:val="continue"/>
            <w:noWrap w:val="0"/>
            <w:vAlign w:val="center"/>
          </w:tcPr>
          <w:p w14:paraId="3A99B765">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906" w:type="dxa"/>
            <w:noWrap w:val="0"/>
            <w:vAlign w:val="center"/>
          </w:tcPr>
          <w:p w14:paraId="18848575">
            <w:pPr>
              <w:widowControl/>
              <w:spacing w:beforeLines="0" w:afterLines="0" w:line="260" w:lineRule="exact"/>
              <w:jc w:val="center"/>
              <w:textAlignment w:val="center"/>
              <w:rPr>
                <w:rFonts w:hint="eastAsia"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w:t>
            </w:r>
            <w:r>
              <w:rPr>
                <w:rFonts w:hint="eastAsia" w:ascii="Times New Roman" w:hAnsi="Times New Roman" w:eastAsia="仿宋_GB2312" w:cs="Times New Roman"/>
                <w:color w:val="auto"/>
                <w:kern w:val="0"/>
                <w:sz w:val="21"/>
                <w:szCs w:val="21"/>
                <w:highlight w:val="none"/>
                <w:lang w:val="en-US" w:eastAsia="zh-CN"/>
              </w:rPr>
              <w:t>1</w:t>
            </w:r>
            <w:r>
              <w:rPr>
                <w:rFonts w:hint="default" w:ascii="Times New Roman" w:hAnsi="Times New Roman" w:eastAsia="仿宋_GB2312" w:cs="Times New Roman"/>
                <w:color w:val="auto"/>
                <w:kern w:val="0"/>
                <w:sz w:val="21"/>
                <w:szCs w:val="21"/>
                <w:highlight w:val="none"/>
                <w:lang w:val="en-US" w:eastAsia="zh-CN"/>
              </w:rPr>
              <w:t>0</w:t>
            </w:r>
          </w:p>
        </w:tc>
        <w:tc>
          <w:tcPr>
            <w:tcW w:w="4519" w:type="dxa"/>
            <w:noWrap w:val="0"/>
            <w:vAlign w:val="center"/>
          </w:tcPr>
          <w:p w14:paraId="6A896737">
            <w:pPr>
              <w:widowControl/>
              <w:spacing w:beforeLines="0" w:afterLines="0" w:line="260" w:lineRule="exact"/>
              <w:jc w:val="both"/>
              <w:textAlignment w:val="center"/>
              <w:rPr>
                <w:rFonts w:hint="eastAsia"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注册资本金</w:t>
            </w:r>
            <w:r>
              <w:rPr>
                <w:rFonts w:hint="eastAsia" w:ascii="Times New Roman" w:hAnsi="Times New Roman" w:eastAsia="仿宋_GB2312" w:cs="Times New Roman"/>
                <w:color w:val="auto"/>
                <w:kern w:val="0"/>
                <w:sz w:val="21"/>
                <w:szCs w:val="21"/>
                <w:highlight w:val="none"/>
                <w:lang w:val="en-US" w:eastAsia="zh-CN"/>
              </w:rPr>
              <w:t>被抽逃或占用</w:t>
            </w:r>
            <w:r>
              <w:rPr>
                <w:rFonts w:hint="default" w:ascii="Times New Roman" w:hAnsi="Times New Roman" w:eastAsia="仿宋_GB2312" w:cs="Times New Roman"/>
                <w:color w:val="auto"/>
                <w:kern w:val="0"/>
                <w:sz w:val="21"/>
                <w:szCs w:val="21"/>
                <w:highlight w:val="none"/>
                <w:lang w:val="en-US" w:eastAsia="zh-CN"/>
              </w:rPr>
              <w:t>。</w:t>
            </w:r>
          </w:p>
        </w:tc>
        <w:tc>
          <w:tcPr>
            <w:tcW w:w="4519" w:type="dxa"/>
            <w:noWrap w:val="0"/>
            <w:vAlign w:val="center"/>
          </w:tcPr>
          <w:p w14:paraId="51B6E883">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发现的扣</w:t>
            </w:r>
            <w:r>
              <w:rPr>
                <w:rFonts w:hint="eastAsia" w:ascii="Times New Roman" w:hAnsi="Times New Roman" w:eastAsia="仿宋_GB2312" w:cs="Times New Roman"/>
                <w:color w:val="auto"/>
                <w:kern w:val="0"/>
                <w:sz w:val="21"/>
                <w:szCs w:val="21"/>
                <w:highlight w:val="none"/>
                <w:lang w:val="en-US" w:eastAsia="zh-CN"/>
              </w:rPr>
              <w:t>1</w:t>
            </w:r>
            <w:r>
              <w:rPr>
                <w:rFonts w:hint="default" w:ascii="Times New Roman" w:hAnsi="Times New Roman" w:eastAsia="仿宋_GB2312" w:cs="Times New Roman"/>
                <w:color w:val="auto"/>
                <w:kern w:val="0"/>
                <w:sz w:val="21"/>
                <w:szCs w:val="21"/>
                <w:highlight w:val="none"/>
                <w:lang w:val="en-US" w:eastAsia="zh-CN"/>
              </w:rPr>
              <w:t>0分。</w:t>
            </w:r>
          </w:p>
        </w:tc>
        <w:tc>
          <w:tcPr>
            <w:tcW w:w="906" w:type="dxa"/>
            <w:noWrap w:val="0"/>
            <w:vAlign w:val="top"/>
          </w:tcPr>
          <w:p w14:paraId="58FDC6B2">
            <w:pPr>
              <w:spacing w:beforeLines="0" w:afterLines="0" w:line="260" w:lineRule="exact"/>
              <w:jc w:val="left"/>
              <w:rPr>
                <w:rFonts w:hint="default" w:ascii="Times New Roman" w:hAnsi="Times New Roman" w:eastAsia="宋体" w:cs="Times New Roman"/>
                <w:color w:val="auto"/>
                <w:kern w:val="2"/>
                <w:sz w:val="21"/>
                <w:szCs w:val="21"/>
                <w:highlight w:val="none"/>
                <w:lang w:val="en-US" w:eastAsia="zh-CN" w:bidi="ar-SA"/>
              </w:rPr>
            </w:pPr>
          </w:p>
        </w:tc>
      </w:tr>
      <w:tr w14:paraId="346E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09" w:type="dxa"/>
            <w:vMerge w:val="continue"/>
            <w:noWrap w:val="0"/>
            <w:vAlign w:val="center"/>
          </w:tcPr>
          <w:p w14:paraId="2D25B095">
            <w:pPr>
              <w:widowControl/>
              <w:spacing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2114" w:type="dxa"/>
            <w:noWrap w:val="0"/>
            <w:vAlign w:val="center"/>
          </w:tcPr>
          <w:p w14:paraId="502AD983">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未落实整改</w:t>
            </w:r>
          </w:p>
        </w:tc>
        <w:tc>
          <w:tcPr>
            <w:tcW w:w="906" w:type="dxa"/>
            <w:noWrap w:val="0"/>
            <w:vAlign w:val="center"/>
          </w:tcPr>
          <w:p w14:paraId="562D04C6">
            <w:pPr>
              <w:widowControl/>
              <w:spacing w:beforeLines="0" w:afterLines="0" w:line="260" w:lineRule="exact"/>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-20</w:t>
            </w:r>
          </w:p>
        </w:tc>
        <w:tc>
          <w:tcPr>
            <w:tcW w:w="4519" w:type="dxa"/>
            <w:noWrap w:val="0"/>
            <w:vAlign w:val="center"/>
          </w:tcPr>
          <w:p w14:paraId="1CE2DED9">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对审计部门、监督管理部门提出的整改事项未在规定期限内落实整改。</w:t>
            </w:r>
          </w:p>
        </w:tc>
        <w:tc>
          <w:tcPr>
            <w:tcW w:w="4519" w:type="dxa"/>
            <w:noWrap w:val="0"/>
            <w:vAlign w:val="center"/>
          </w:tcPr>
          <w:p w14:paraId="50680ABF">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监管部门根据未完成整改情况进行扣分。（重复事项不重复扣分）</w:t>
            </w:r>
          </w:p>
        </w:tc>
        <w:tc>
          <w:tcPr>
            <w:tcW w:w="906" w:type="dxa"/>
            <w:noWrap w:val="0"/>
            <w:vAlign w:val="top"/>
          </w:tcPr>
          <w:p w14:paraId="2880B8B3">
            <w:pPr>
              <w:spacing w:beforeLines="0" w:afterLines="0" w:line="260" w:lineRule="exact"/>
              <w:jc w:val="left"/>
              <w:rPr>
                <w:rFonts w:hint="default" w:ascii="Times New Roman" w:hAnsi="Times New Roman" w:eastAsia="宋体" w:cs="Times New Roman"/>
                <w:color w:val="auto"/>
                <w:sz w:val="21"/>
                <w:szCs w:val="21"/>
                <w:highlight w:val="none"/>
                <w:lang w:val="en-US" w:eastAsia="zh-CN"/>
              </w:rPr>
            </w:pPr>
          </w:p>
        </w:tc>
      </w:tr>
      <w:tr w14:paraId="7C83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jc w:val="center"/>
        </w:trPr>
        <w:tc>
          <w:tcPr>
            <w:tcW w:w="1209" w:type="dxa"/>
            <w:noWrap w:val="0"/>
            <w:vAlign w:val="center"/>
          </w:tcPr>
          <w:p w14:paraId="5849966B">
            <w:pPr>
              <w:widowControl/>
              <w:spacing w:line="260" w:lineRule="exact"/>
              <w:jc w:val="center"/>
              <w:textAlignment w:val="center"/>
              <w:rPr>
                <w:rFonts w:hint="default" w:ascii="Times New Roman" w:hAnsi="Times New Roman" w:eastAsia="黑体" w:cs="Times New Roman"/>
                <w:color w:val="auto"/>
                <w:kern w:val="0"/>
                <w:sz w:val="21"/>
                <w:szCs w:val="21"/>
                <w:highlight w:val="none"/>
                <w:lang w:val="en-US" w:eastAsia="zh-CN"/>
              </w:rPr>
            </w:pPr>
            <w:r>
              <w:rPr>
                <w:rFonts w:hint="default" w:ascii="Times New Roman" w:hAnsi="Times New Roman" w:eastAsia="黑体" w:cs="Times New Roman"/>
                <w:color w:val="auto"/>
                <w:kern w:val="0"/>
                <w:sz w:val="21"/>
                <w:szCs w:val="21"/>
                <w:highlight w:val="none"/>
                <w:lang w:val="en-US" w:eastAsia="zh-CN"/>
              </w:rPr>
              <w:t>加分</w:t>
            </w:r>
          </w:p>
        </w:tc>
        <w:tc>
          <w:tcPr>
            <w:tcW w:w="12964" w:type="dxa"/>
            <w:gridSpan w:val="5"/>
            <w:noWrap w:val="0"/>
            <w:vAlign w:val="center"/>
          </w:tcPr>
          <w:p w14:paraId="75379C29">
            <w:pPr>
              <w:widowControl/>
              <w:spacing w:line="260" w:lineRule="exact"/>
              <w:jc w:val="both"/>
              <w:textAlignment w:val="center"/>
              <w:rPr>
                <w:rFonts w:hint="default" w:ascii="Times New Roman" w:hAnsi="Times New Roman" w:eastAsia="黑体" w:cs="Times New Roman"/>
                <w:color w:val="auto"/>
                <w:kern w:val="0"/>
                <w:sz w:val="21"/>
                <w:szCs w:val="21"/>
                <w:highlight w:val="none"/>
                <w:lang w:val="en-US" w:eastAsia="zh-CN"/>
              </w:rPr>
            </w:pPr>
          </w:p>
        </w:tc>
      </w:tr>
      <w:tr w14:paraId="6243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jc w:val="center"/>
        </w:trPr>
        <w:tc>
          <w:tcPr>
            <w:tcW w:w="1209" w:type="dxa"/>
            <w:noWrap w:val="0"/>
            <w:vAlign w:val="center"/>
          </w:tcPr>
          <w:p w14:paraId="50ABE162">
            <w:pPr>
              <w:widowControl/>
              <w:spacing w:line="260" w:lineRule="exact"/>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黑体" w:cs="Times New Roman"/>
                <w:color w:val="auto"/>
                <w:kern w:val="0"/>
                <w:sz w:val="21"/>
                <w:szCs w:val="21"/>
                <w:highlight w:val="none"/>
                <w:lang w:val="en-US" w:eastAsia="zh-CN"/>
              </w:rPr>
              <w:t>综合得分</w:t>
            </w:r>
          </w:p>
        </w:tc>
        <w:tc>
          <w:tcPr>
            <w:tcW w:w="12964" w:type="dxa"/>
            <w:gridSpan w:val="5"/>
            <w:noWrap w:val="0"/>
            <w:vAlign w:val="center"/>
          </w:tcPr>
          <w:p w14:paraId="097E2B22">
            <w:pPr>
              <w:widowControl/>
              <w:spacing w:line="260" w:lineRule="exact"/>
              <w:jc w:val="both"/>
              <w:textAlignment w:val="center"/>
              <w:rPr>
                <w:rFonts w:hint="default" w:ascii="Times New Roman" w:hAnsi="Times New Roman" w:eastAsia="黑体" w:cs="Times New Roman"/>
                <w:color w:val="auto"/>
                <w:kern w:val="0"/>
                <w:sz w:val="21"/>
                <w:szCs w:val="21"/>
                <w:highlight w:val="none"/>
                <w:lang w:val="en-US" w:eastAsia="zh-CN"/>
              </w:rPr>
            </w:pPr>
          </w:p>
        </w:tc>
      </w:tr>
      <w:tr w14:paraId="34B6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4173" w:type="dxa"/>
            <w:gridSpan w:val="6"/>
            <w:noWrap w:val="0"/>
            <w:vAlign w:val="center"/>
          </w:tcPr>
          <w:p w14:paraId="4FA4399B">
            <w:pPr>
              <w:widowControl/>
              <w:spacing w:line="260" w:lineRule="exact"/>
              <w:jc w:val="both"/>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备注：1.本调查评分表基础分为100分。</w:t>
            </w:r>
          </w:p>
          <w:p w14:paraId="3529C3D3">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60" w:lineRule="exact"/>
              <w:ind w:right="0" w:rightChars="0" w:firstLine="630" w:firstLineChars="300"/>
              <w:textAlignment w:val="center"/>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2.最终得分作为评价融资担保公司依法合规经营的重要指标，其中：85（含）-100分值</w:t>
            </w:r>
            <w:r>
              <w:rPr>
                <w:rFonts w:hint="eastAsia" w:ascii="Times New Roman" w:hAnsi="Times New Roman" w:eastAsia="仿宋_GB2312" w:cs="Times New Roman"/>
                <w:color w:val="auto"/>
                <w:kern w:val="0"/>
                <w:sz w:val="21"/>
                <w:szCs w:val="21"/>
                <w:highlight w:val="none"/>
                <w:lang w:val="en-US" w:eastAsia="zh-CN"/>
              </w:rPr>
              <w:t>评级结果为优秀，等级为A级，</w:t>
            </w:r>
            <w:r>
              <w:rPr>
                <w:rFonts w:hint="default" w:ascii="Times New Roman" w:hAnsi="Times New Roman" w:eastAsia="仿宋_GB2312" w:cs="Times New Roman"/>
                <w:color w:val="auto"/>
                <w:kern w:val="0"/>
                <w:sz w:val="21"/>
                <w:szCs w:val="21"/>
                <w:highlight w:val="none"/>
                <w:lang w:val="en-US" w:eastAsia="zh-CN"/>
              </w:rPr>
              <w:t>代表公司经营稳健，内控制度执行较好，合规经营与风险管理较强，市场开发与成本控制能力较强，担保能力处于区内行业领先水平；75（含）-85分值</w:t>
            </w:r>
            <w:r>
              <w:rPr>
                <w:rFonts w:hint="eastAsia" w:ascii="Times New Roman" w:hAnsi="Times New Roman" w:eastAsia="仿宋_GB2312" w:cs="Times New Roman"/>
                <w:color w:val="auto"/>
                <w:kern w:val="0"/>
                <w:sz w:val="21"/>
                <w:szCs w:val="21"/>
                <w:highlight w:val="none"/>
                <w:lang w:val="en-US" w:eastAsia="zh-CN"/>
              </w:rPr>
              <w:t>评级结果为良好，等级为B级，</w:t>
            </w:r>
            <w:r>
              <w:rPr>
                <w:rFonts w:hint="default" w:ascii="Times New Roman" w:hAnsi="Times New Roman" w:eastAsia="仿宋_GB2312" w:cs="Times New Roman"/>
                <w:color w:val="auto"/>
                <w:kern w:val="0"/>
                <w:sz w:val="21"/>
                <w:szCs w:val="21"/>
                <w:highlight w:val="none"/>
                <w:lang w:val="en-US" w:eastAsia="zh-CN"/>
              </w:rPr>
              <w:t>代表公司经营平稳，内控制度与业务发展基本匹配。合规经营与风险管控良好；60（含）-75分值</w:t>
            </w:r>
            <w:r>
              <w:rPr>
                <w:rFonts w:hint="eastAsia" w:ascii="Times New Roman" w:hAnsi="Times New Roman" w:eastAsia="仿宋_GB2312" w:cs="Times New Roman"/>
                <w:color w:val="auto"/>
                <w:kern w:val="0"/>
                <w:sz w:val="21"/>
                <w:szCs w:val="21"/>
                <w:highlight w:val="none"/>
                <w:lang w:val="en-US" w:eastAsia="zh-CN"/>
              </w:rPr>
              <w:t>评级结果为合格，等级为C级，</w:t>
            </w:r>
            <w:r>
              <w:rPr>
                <w:rFonts w:hint="default" w:ascii="Times New Roman" w:hAnsi="Times New Roman" w:eastAsia="仿宋_GB2312" w:cs="Times New Roman"/>
                <w:color w:val="auto"/>
                <w:kern w:val="0"/>
                <w:sz w:val="21"/>
                <w:szCs w:val="21"/>
                <w:highlight w:val="none"/>
                <w:lang w:val="en-US" w:eastAsia="zh-CN"/>
              </w:rPr>
              <w:t>代表公司治理结构或内控制度的执行存在薄弱环节，风险管控能力一般；60以下分值</w:t>
            </w:r>
            <w:r>
              <w:rPr>
                <w:rFonts w:hint="eastAsia" w:ascii="Times New Roman" w:hAnsi="Times New Roman" w:eastAsia="仿宋_GB2312" w:cs="Times New Roman"/>
                <w:color w:val="auto"/>
                <w:kern w:val="0"/>
                <w:sz w:val="21"/>
                <w:szCs w:val="21"/>
                <w:highlight w:val="none"/>
                <w:lang w:val="en-US" w:eastAsia="zh-CN"/>
              </w:rPr>
              <w:t>评级结果为不合格，等级为D级，</w:t>
            </w:r>
            <w:r>
              <w:rPr>
                <w:rFonts w:hint="default" w:ascii="Times New Roman" w:hAnsi="Times New Roman" w:eastAsia="仿宋_GB2312" w:cs="Times New Roman"/>
                <w:color w:val="auto"/>
                <w:kern w:val="0"/>
                <w:sz w:val="21"/>
                <w:szCs w:val="21"/>
                <w:highlight w:val="none"/>
                <w:lang w:val="en-US" w:eastAsia="zh-CN"/>
              </w:rPr>
              <w:t>代表公司经营存在较大风险隐患，风险管控能力较弱。</w:t>
            </w:r>
          </w:p>
          <w:p w14:paraId="31BA2FF1">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60" w:lineRule="exact"/>
              <w:ind w:right="0" w:rightChars="0" w:firstLine="630" w:firstLineChars="300"/>
              <w:textAlignment w:val="center"/>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3.</w:t>
            </w:r>
            <w:r>
              <w:rPr>
                <w:rFonts w:hint="default" w:ascii="Times New Roman" w:hAnsi="Times New Roman" w:eastAsia="仿宋_GB2312" w:cs="Times New Roman"/>
                <w:color w:val="auto"/>
                <w:kern w:val="0"/>
                <w:sz w:val="21"/>
                <w:szCs w:val="21"/>
                <w:highlight w:val="none"/>
              </w:rPr>
              <w:t>附加分（上限为</w:t>
            </w:r>
            <w:r>
              <w:rPr>
                <w:rFonts w:hint="eastAsia" w:ascii="Times New Roman" w:hAnsi="Times New Roman" w:eastAsia="仿宋_GB2312" w:cs="Times New Roman"/>
                <w:color w:val="auto"/>
                <w:kern w:val="0"/>
                <w:sz w:val="21"/>
                <w:szCs w:val="21"/>
                <w:highlight w:val="none"/>
                <w:lang w:val="en-US" w:eastAsia="zh-CN"/>
              </w:rPr>
              <w:t>10</w:t>
            </w:r>
            <w:r>
              <w:rPr>
                <w:rFonts w:hint="default" w:ascii="Times New Roman" w:hAnsi="Times New Roman" w:eastAsia="仿宋_GB2312" w:cs="Times New Roman"/>
                <w:color w:val="auto"/>
                <w:kern w:val="0"/>
                <w:sz w:val="21"/>
                <w:szCs w:val="21"/>
                <w:highlight w:val="none"/>
              </w:rPr>
              <w:t>分）：融资担保公司出现以下情形的，可加分：</w:t>
            </w:r>
          </w:p>
          <w:p w14:paraId="5089E2D1">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60" w:lineRule="exact"/>
              <w:ind w:right="0" w:rightChars="0" w:firstLine="630" w:firstLineChars="300"/>
              <w:textAlignment w:val="center"/>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（1）政府性融资担保机构</w:t>
            </w:r>
            <w:r>
              <w:rPr>
                <w:rFonts w:hint="eastAsia" w:ascii="Times New Roman" w:hAnsi="Times New Roman" w:eastAsia="仿宋_GB2312" w:cs="Times New Roman"/>
                <w:color w:val="auto"/>
                <w:kern w:val="0"/>
                <w:sz w:val="21"/>
                <w:szCs w:val="21"/>
                <w:highlight w:val="none"/>
                <w:lang w:val="en-US" w:eastAsia="zh-CN"/>
              </w:rPr>
              <w:t>当年</w:t>
            </w:r>
            <w:r>
              <w:rPr>
                <w:rFonts w:hint="default" w:ascii="Times New Roman" w:hAnsi="Times New Roman" w:eastAsia="仿宋_GB2312" w:cs="Times New Roman"/>
                <w:color w:val="auto"/>
                <w:kern w:val="0"/>
                <w:sz w:val="21"/>
                <w:szCs w:val="21"/>
                <w:highlight w:val="none"/>
              </w:rPr>
              <w:t>获得</w:t>
            </w:r>
            <w:r>
              <w:rPr>
                <w:rFonts w:hint="eastAsia" w:ascii="Times New Roman" w:hAnsi="Times New Roman" w:eastAsia="仿宋_GB2312" w:cs="Times New Roman"/>
                <w:color w:val="auto"/>
                <w:kern w:val="0"/>
                <w:sz w:val="21"/>
                <w:szCs w:val="21"/>
                <w:highlight w:val="none"/>
                <w:lang w:eastAsia="zh-CN"/>
              </w:rPr>
              <w:t>国家融资担保基金</w:t>
            </w:r>
            <w:r>
              <w:rPr>
                <w:rFonts w:hint="default" w:ascii="Times New Roman" w:hAnsi="Times New Roman" w:eastAsia="仿宋_GB2312" w:cs="Times New Roman"/>
                <w:color w:val="auto"/>
                <w:kern w:val="0"/>
                <w:sz w:val="21"/>
                <w:szCs w:val="21"/>
                <w:highlight w:val="none"/>
              </w:rPr>
              <w:t>股权投资的，加</w:t>
            </w:r>
            <w:r>
              <w:rPr>
                <w:rFonts w:hint="eastAsia" w:ascii="Times New Roman" w:hAnsi="Times New Roman" w:eastAsia="仿宋_GB2312" w:cs="Times New Roman"/>
                <w:color w:val="auto"/>
                <w:kern w:val="0"/>
                <w:sz w:val="21"/>
                <w:szCs w:val="21"/>
                <w:highlight w:val="none"/>
                <w:lang w:val="en-US" w:eastAsia="zh-CN"/>
              </w:rPr>
              <w:t>1</w:t>
            </w:r>
            <w:r>
              <w:rPr>
                <w:rFonts w:hint="default" w:ascii="Times New Roman" w:hAnsi="Times New Roman" w:eastAsia="仿宋_GB2312" w:cs="Times New Roman"/>
                <w:color w:val="auto"/>
                <w:kern w:val="0"/>
                <w:sz w:val="21"/>
                <w:szCs w:val="21"/>
                <w:highlight w:val="none"/>
              </w:rPr>
              <w:t>分</w:t>
            </w:r>
            <w:r>
              <w:rPr>
                <w:rFonts w:hint="eastAsia" w:ascii="Times New Roman" w:hAnsi="Times New Roman" w:eastAsia="仿宋_GB2312" w:cs="Times New Roman"/>
                <w:color w:val="auto"/>
                <w:kern w:val="0"/>
                <w:sz w:val="21"/>
                <w:szCs w:val="21"/>
                <w:highlight w:val="none"/>
                <w:lang w:eastAsia="zh-CN"/>
              </w:rPr>
              <w:t>，</w:t>
            </w:r>
            <w:r>
              <w:rPr>
                <w:rFonts w:hint="eastAsia" w:ascii="Times New Roman" w:hAnsi="Times New Roman" w:eastAsia="仿宋_GB2312" w:cs="Times New Roman"/>
                <w:color w:val="auto"/>
                <w:kern w:val="0"/>
                <w:sz w:val="21"/>
                <w:szCs w:val="21"/>
                <w:highlight w:val="none"/>
                <w:lang w:val="en-US" w:eastAsia="zh-CN"/>
              </w:rPr>
              <w:t>上限为1分</w:t>
            </w:r>
            <w:r>
              <w:rPr>
                <w:rFonts w:hint="default" w:ascii="Times New Roman" w:hAnsi="Times New Roman" w:eastAsia="仿宋_GB2312" w:cs="Times New Roman"/>
                <w:color w:val="auto"/>
                <w:kern w:val="0"/>
                <w:sz w:val="21"/>
                <w:szCs w:val="21"/>
                <w:highlight w:val="none"/>
              </w:rPr>
              <w:t>；</w:t>
            </w:r>
          </w:p>
          <w:p w14:paraId="57744A92">
            <w:pPr>
              <w:widowControl/>
              <w:numPr>
                <w:ilvl w:val="0"/>
                <w:numId w:val="0"/>
              </w:numPr>
              <w:spacing w:line="260" w:lineRule="exact"/>
              <w:ind w:firstLine="630" w:firstLineChars="300"/>
              <w:jc w:val="both"/>
              <w:textAlignment w:val="center"/>
              <w:rPr>
                <w:rFonts w:hint="eastAsia"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rPr>
              <w:t>（2）向</w:t>
            </w:r>
            <w:r>
              <w:rPr>
                <w:rFonts w:hint="eastAsia" w:ascii="Times New Roman" w:hAnsi="Times New Roman" w:eastAsia="仿宋_GB2312" w:cs="Times New Roman"/>
                <w:color w:val="auto"/>
                <w:kern w:val="0"/>
                <w:sz w:val="21"/>
                <w:szCs w:val="21"/>
                <w:highlight w:val="none"/>
                <w:lang w:val="en-US" w:eastAsia="zh-CN"/>
              </w:rPr>
              <w:t>自治区党委金融办报送信息稿并经采纳的，每篇加0.5分，向</w:t>
            </w:r>
            <w:r>
              <w:rPr>
                <w:rFonts w:hint="default" w:ascii="Times New Roman" w:hAnsi="Times New Roman" w:eastAsia="仿宋_GB2312" w:cs="Times New Roman"/>
                <w:color w:val="auto"/>
                <w:kern w:val="0"/>
                <w:sz w:val="21"/>
                <w:szCs w:val="21"/>
                <w:highlight w:val="none"/>
              </w:rPr>
              <w:t>广西融资性担保业协会报送信息稿并经采纳的，每篇</w:t>
            </w:r>
            <w:r>
              <w:rPr>
                <w:rFonts w:hint="eastAsia" w:ascii="Times New Roman" w:hAnsi="Times New Roman" w:eastAsia="仿宋_GB2312" w:cs="Times New Roman"/>
                <w:color w:val="auto"/>
                <w:kern w:val="0"/>
                <w:sz w:val="21"/>
                <w:szCs w:val="21"/>
                <w:highlight w:val="none"/>
                <w:lang w:val="en-US" w:eastAsia="zh-CN"/>
              </w:rPr>
              <w:t>加</w:t>
            </w:r>
            <w:r>
              <w:rPr>
                <w:rFonts w:hint="default" w:ascii="Times New Roman" w:hAnsi="Times New Roman" w:eastAsia="仿宋_GB2312" w:cs="Times New Roman"/>
                <w:color w:val="auto"/>
                <w:kern w:val="0"/>
                <w:sz w:val="21"/>
                <w:szCs w:val="21"/>
                <w:highlight w:val="none"/>
              </w:rPr>
              <w:t>0.</w:t>
            </w:r>
            <w:r>
              <w:rPr>
                <w:rFonts w:hint="eastAsia" w:ascii="Times New Roman" w:hAnsi="Times New Roman" w:eastAsia="仿宋_GB2312" w:cs="Times New Roman"/>
                <w:color w:val="auto"/>
                <w:kern w:val="0"/>
                <w:sz w:val="21"/>
                <w:szCs w:val="21"/>
                <w:highlight w:val="none"/>
                <w:lang w:val="en-US" w:eastAsia="zh-CN"/>
              </w:rPr>
              <w:t>2</w:t>
            </w:r>
            <w:r>
              <w:rPr>
                <w:rFonts w:hint="default" w:ascii="Times New Roman" w:hAnsi="Times New Roman" w:eastAsia="仿宋_GB2312" w:cs="Times New Roman"/>
                <w:color w:val="auto"/>
                <w:kern w:val="0"/>
                <w:sz w:val="21"/>
                <w:szCs w:val="21"/>
                <w:highlight w:val="none"/>
              </w:rPr>
              <w:t>分</w:t>
            </w:r>
            <w:r>
              <w:rPr>
                <w:rFonts w:hint="eastAsia" w:ascii="Times New Roman" w:hAnsi="Times New Roman" w:eastAsia="仿宋_GB2312" w:cs="Times New Roman"/>
                <w:color w:val="auto"/>
                <w:kern w:val="0"/>
                <w:sz w:val="21"/>
                <w:szCs w:val="21"/>
                <w:highlight w:val="none"/>
                <w:lang w:eastAsia="zh-CN"/>
              </w:rPr>
              <w:t>。</w:t>
            </w:r>
            <w:r>
              <w:rPr>
                <w:rFonts w:hint="eastAsia" w:ascii="Times New Roman" w:hAnsi="Times New Roman" w:eastAsia="仿宋_GB2312" w:cs="Times New Roman"/>
                <w:color w:val="auto"/>
                <w:kern w:val="0"/>
                <w:sz w:val="21"/>
                <w:szCs w:val="21"/>
                <w:highlight w:val="none"/>
                <w:lang w:val="en-US" w:eastAsia="zh-CN"/>
              </w:rPr>
              <w:t>该项</w:t>
            </w:r>
            <w:r>
              <w:rPr>
                <w:rFonts w:hint="default" w:ascii="Times New Roman" w:hAnsi="Times New Roman" w:eastAsia="仿宋_GB2312" w:cs="Times New Roman"/>
                <w:color w:val="auto"/>
                <w:kern w:val="0"/>
                <w:sz w:val="21"/>
                <w:szCs w:val="21"/>
                <w:highlight w:val="none"/>
              </w:rPr>
              <w:t>上限为</w:t>
            </w:r>
            <w:r>
              <w:rPr>
                <w:rFonts w:hint="eastAsia" w:ascii="Times New Roman" w:hAnsi="Times New Roman" w:eastAsia="仿宋_GB2312" w:cs="Times New Roman"/>
                <w:color w:val="auto"/>
                <w:kern w:val="0"/>
                <w:sz w:val="21"/>
                <w:szCs w:val="21"/>
                <w:highlight w:val="none"/>
                <w:lang w:val="en-US" w:eastAsia="zh-CN"/>
              </w:rPr>
              <w:t>2</w:t>
            </w:r>
            <w:r>
              <w:rPr>
                <w:rFonts w:hint="default" w:ascii="Times New Roman" w:hAnsi="Times New Roman" w:eastAsia="仿宋_GB2312" w:cs="Times New Roman"/>
                <w:color w:val="auto"/>
                <w:kern w:val="0"/>
                <w:sz w:val="21"/>
                <w:szCs w:val="21"/>
                <w:highlight w:val="none"/>
              </w:rPr>
              <w:t>分</w:t>
            </w:r>
            <w:r>
              <w:rPr>
                <w:rFonts w:hint="eastAsia" w:ascii="Times New Roman" w:hAnsi="Times New Roman" w:eastAsia="仿宋_GB2312" w:cs="Times New Roman"/>
                <w:color w:val="auto"/>
                <w:kern w:val="0"/>
                <w:sz w:val="21"/>
                <w:szCs w:val="21"/>
                <w:highlight w:val="none"/>
                <w:lang w:eastAsia="zh-CN"/>
              </w:rPr>
              <w:t>；</w:t>
            </w:r>
          </w:p>
          <w:p w14:paraId="3181BCCC">
            <w:pPr>
              <w:widowControl/>
              <w:numPr>
                <w:ilvl w:val="0"/>
                <w:numId w:val="0"/>
              </w:numPr>
              <w:spacing w:line="260" w:lineRule="exact"/>
              <w:ind w:firstLine="630" w:firstLineChars="300"/>
              <w:jc w:val="both"/>
              <w:textAlignment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eastAsia="zh-CN"/>
              </w:rPr>
              <w:t>（</w:t>
            </w:r>
            <w:r>
              <w:rPr>
                <w:rFonts w:hint="eastAsia" w:ascii="Times New Roman" w:hAnsi="Times New Roman" w:eastAsia="仿宋_GB2312" w:cs="Times New Roman"/>
                <w:color w:val="auto"/>
                <w:kern w:val="0"/>
                <w:sz w:val="21"/>
                <w:szCs w:val="21"/>
                <w:highlight w:val="none"/>
                <w:lang w:val="en-US" w:eastAsia="zh-CN"/>
              </w:rPr>
              <w:t>3</w:t>
            </w:r>
            <w:r>
              <w:rPr>
                <w:rFonts w:hint="eastAsia" w:ascii="Times New Roman" w:hAnsi="Times New Roman" w:eastAsia="仿宋_GB2312" w:cs="Times New Roman"/>
                <w:color w:val="auto"/>
                <w:kern w:val="0"/>
                <w:sz w:val="21"/>
                <w:szCs w:val="21"/>
                <w:highlight w:val="none"/>
                <w:lang w:eastAsia="zh-CN"/>
              </w:rPr>
              <w:t>）</w:t>
            </w:r>
            <w:r>
              <w:rPr>
                <w:rFonts w:hint="eastAsia" w:ascii="Times New Roman" w:hAnsi="Times New Roman" w:eastAsia="仿宋_GB2312" w:cs="Times New Roman"/>
                <w:color w:val="auto"/>
                <w:kern w:val="0"/>
                <w:sz w:val="21"/>
                <w:szCs w:val="21"/>
                <w:highlight w:val="none"/>
                <w:lang w:val="en-US" w:eastAsia="zh-CN"/>
              </w:rPr>
              <w:t>当年追偿率达10%以上的，加1分。当年追偿率达20%以上的，加2分（当年追偿率=当年追偿金额/去年代偿金额）；</w:t>
            </w:r>
          </w:p>
          <w:p w14:paraId="58FD138E">
            <w:pPr>
              <w:widowControl/>
              <w:numPr>
                <w:ilvl w:val="0"/>
                <w:numId w:val="0"/>
              </w:numPr>
              <w:spacing w:line="260" w:lineRule="exact"/>
              <w:ind w:firstLine="630" w:firstLineChars="300"/>
              <w:jc w:val="both"/>
              <w:textAlignment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（4）当年获得自治区级相关单位表彰的，每获得1次表彰加1分，当年获得国家级相关单位表彰的，加2分。该项上限为2分；</w:t>
            </w:r>
          </w:p>
          <w:p w14:paraId="5DB5ED52">
            <w:pPr>
              <w:widowControl/>
              <w:numPr>
                <w:ilvl w:val="0"/>
                <w:numId w:val="0"/>
              </w:numPr>
              <w:spacing w:line="260" w:lineRule="exact"/>
              <w:ind w:firstLine="630" w:firstLineChars="300"/>
              <w:jc w:val="both"/>
              <w:textAlignment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（5）当年度发生额及发生户数超上年度发生额及发生户数的，发生额为上年度同比100%（不含）-105%（含）的，加1分，发生额为上年度同比105%（不含）以上的，加2分；发生户数较上年度同比110%（含）加1分。</w:t>
            </w:r>
          </w:p>
        </w:tc>
      </w:tr>
    </w:tbl>
    <w:p w14:paraId="4C9CA904">
      <w:pPr>
        <w:rPr>
          <w:color w:val="auto"/>
          <w:highlight w:val="none"/>
        </w:rPr>
        <w:sectPr>
          <w:pgSz w:w="16838" w:h="11906" w:orient="landscape"/>
          <w:pgMar w:top="1800" w:right="1440" w:bottom="1800" w:left="1440" w:header="851" w:footer="992" w:gutter="0"/>
          <w:cols w:space="720" w:num="1"/>
          <w:docGrid w:type="lines" w:linePitch="312" w:charSpace="0"/>
        </w:sectPr>
      </w:pPr>
    </w:p>
    <w:p w14:paraId="6DB780AE">
      <w:pPr>
        <w:pStyle w:val="22"/>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广西壮族自治区</w:t>
      </w:r>
      <w:r>
        <w:rPr>
          <w:rFonts w:hint="default" w:ascii="Times New Roman" w:hAnsi="Times New Roman" w:eastAsia="方正小标宋简体" w:cs="Times New Roman"/>
          <w:color w:val="auto"/>
          <w:sz w:val="44"/>
          <w:szCs w:val="44"/>
          <w:highlight w:val="none"/>
          <w:lang w:val="en-US" w:eastAsia="zh-CN"/>
        </w:rPr>
        <w:t>融资担保公司</w:t>
      </w:r>
      <w:r>
        <w:rPr>
          <w:rFonts w:hint="eastAsia" w:ascii="Times New Roman" w:hAnsi="Times New Roman" w:eastAsia="方正小标宋简体" w:cs="Times New Roman"/>
          <w:color w:val="auto"/>
          <w:sz w:val="44"/>
          <w:szCs w:val="44"/>
          <w:highlight w:val="none"/>
          <w:lang w:val="en-US" w:eastAsia="zh-CN"/>
        </w:rPr>
        <w:t>2024</w:t>
      </w:r>
      <w:r>
        <w:rPr>
          <w:rFonts w:hint="default" w:ascii="Times New Roman" w:hAnsi="Times New Roman" w:eastAsia="方正小标宋简体" w:cs="Times New Roman"/>
          <w:color w:val="auto"/>
          <w:sz w:val="44"/>
          <w:szCs w:val="44"/>
          <w:highlight w:val="none"/>
          <w:lang w:eastAsia="zh-CN"/>
        </w:rPr>
        <w:t>年</w:t>
      </w:r>
      <w:r>
        <w:rPr>
          <w:rFonts w:hint="default" w:ascii="Times New Roman" w:hAnsi="Times New Roman" w:eastAsia="方正小标宋简体" w:cs="Times New Roman"/>
          <w:color w:val="auto"/>
          <w:sz w:val="44"/>
          <w:szCs w:val="44"/>
          <w:highlight w:val="none"/>
        </w:rPr>
        <w:t>度考核评价评分表</w:t>
      </w:r>
    </w:p>
    <w:p w14:paraId="08C00D8C">
      <w:pPr>
        <w:pStyle w:val="22"/>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color w:val="auto"/>
          <w:sz w:val="32"/>
          <w:szCs w:val="32"/>
          <w:highlight w:val="none"/>
          <w:lang w:eastAsia="zh-CN"/>
        </w:rPr>
      </w:pPr>
      <w:r>
        <w:rPr>
          <w:rFonts w:hint="default" w:ascii="Times New Roman" w:hAnsi="Times New Roman" w:eastAsia="方正小标宋简体" w:cs="Times New Roman"/>
          <w:color w:val="auto"/>
          <w:sz w:val="32"/>
          <w:szCs w:val="32"/>
          <w:highlight w:val="none"/>
          <w:lang w:eastAsia="zh-CN"/>
        </w:rPr>
        <w:t>（商业性融资担保公司）</w:t>
      </w:r>
    </w:p>
    <w:tbl>
      <w:tblPr>
        <w:tblStyle w:val="24"/>
        <w:tblpPr w:leftFromText="180" w:rightFromText="180" w:vertAnchor="text" w:horzAnchor="page" w:tblpX="1268" w:tblpY="182"/>
        <w:tblOverlap w:val="never"/>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92"/>
        <w:gridCol w:w="2085"/>
        <w:gridCol w:w="893"/>
        <w:gridCol w:w="4554"/>
        <w:gridCol w:w="4555"/>
        <w:gridCol w:w="894"/>
      </w:tblGrid>
      <w:tr w14:paraId="5D12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192" w:type="dxa"/>
            <w:tcBorders>
              <w:tl2br w:val="nil"/>
              <w:tr2bl w:val="nil"/>
            </w:tcBorders>
            <w:noWrap w:val="0"/>
            <w:vAlign w:val="center"/>
          </w:tcPr>
          <w:p w14:paraId="4DA61E1D">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一级</w:t>
            </w:r>
          </w:p>
          <w:p w14:paraId="6F0BC759">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指标</w:t>
            </w:r>
          </w:p>
        </w:tc>
        <w:tc>
          <w:tcPr>
            <w:tcW w:w="2085" w:type="dxa"/>
            <w:tcBorders>
              <w:tl2br w:val="nil"/>
              <w:tr2bl w:val="nil"/>
            </w:tcBorders>
            <w:noWrap w:val="0"/>
            <w:vAlign w:val="center"/>
          </w:tcPr>
          <w:p w14:paraId="73CE8483">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二级</w:t>
            </w:r>
          </w:p>
          <w:p w14:paraId="1362D8C8">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指标</w:t>
            </w:r>
          </w:p>
        </w:tc>
        <w:tc>
          <w:tcPr>
            <w:tcW w:w="893" w:type="dxa"/>
            <w:tcBorders>
              <w:tl2br w:val="nil"/>
              <w:tr2bl w:val="nil"/>
            </w:tcBorders>
            <w:noWrap w:val="0"/>
            <w:vAlign w:val="center"/>
          </w:tcPr>
          <w:p w14:paraId="6AA8EBF8">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分值</w:t>
            </w:r>
          </w:p>
        </w:tc>
        <w:tc>
          <w:tcPr>
            <w:tcW w:w="4554" w:type="dxa"/>
            <w:tcBorders>
              <w:tl2br w:val="nil"/>
              <w:tr2bl w:val="nil"/>
            </w:tcBorders>
            <w:noWrap w:val="0"/>
            <w:vAlign w:val="center"/>
          </w:tcPr>
          <w:p w14:paraId="1433CC9F">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评价内容</w:t>
            </w:r>
          </w:p>
        </w:tc>
        <w:tc>
          <w:tcPr>
            <w:tcW w:w="4555" w:type="dxa"/>
            <w:tcBorders>
              <w:tl2br w:val="nil"/>
              <w:tr2bl w:val="nil"/>
            </w:tcBorders>
            <w:noWrap w:val="0"/>
            <w:vAlign w:val="center"/>
          </w:tcPr>
          <w:p w14:paraId="47FB3A75">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计分条件</w:t>
            </w:r>
          </w:p>
        </w:tc>
        <w:tc>
          <w:tcPr>
            <w:tcW w:w="894" w:type="dxa"/>
            <w:tcBorders>
              <w:tl2br w:val="nil"/>
              <w:tr2bl w:val="nil"/>
            </w:tcBorders>
            <w:noWrap w:val="0"/>
            <w:vAlign w:val="center"/>
          </w:tcPr>
          <w:p w14:paraId="7704B799">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自评得分</w:t>
            </w:r>
          </w:p>
        </w:tc>
      </w:tr>
      <w:tr w14:paraId="211B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92" w:type="dxa"/>
            <w:vMerge w:val="restart"/>
            <w:tcBorders>
              <w:tl2br w:val="nil"/>
              <w:tr2bl w:val="nil"/>
            </w:tcBorders>
            <w:noWrap w:val="0"/>
            <w:vAlign w:val="center"/>
          </w:tcPr>
          <w:p w14:paraId="1011AD97">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基础</w:t>
            </w:r>
          </w:p>
          <w:p w14:paraId="2C44AC28">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管理</w:t>
            </w:r>
          </w:p>
          <w:p w14:paraId="388BD994">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cs="Times New Roman"/>
                <w:b/>
                <w:bCs/>
                <w:color w:val="auto"/>
                <w:kern w:val="0"/>
                <w:sz w:val="21"/>
                <w:szCs w:val="21"/>
                <w:highlight w:val="none"/>
                <w:lang w:val="en-US" w:eastAsia="zh-CN"/>
              </w:rPr>
              <w:t>（</w:t>
            </w:r>
            <w:r>
              <w:rPr>
                <w:rFonts w:hint="eastAsia" w:ascii="Times New Roman" w:hAnsi="Times New Roman" w:cs="Times New Roman"/>
                <w:b/>
                <w:bCs/>
                <w:color w:val="auto"/>
                <w:kern w:val="0"/>
                <w:sz w:val="21"/>
                <w:szCs w:val="21"/>
                <w:highlight w:val="none"/>
                <w:lang w:val="en-US" w:eastAsia="zh-CN"/>
              </w:rPr>
              <w:t>20</w:t>
            </w:r>
            <w:r>
              <w:rPr>
                <w:rFonts w:hint="default" w:ascii="Times New Roman" w:hAnsi="Times New Roman" w:eastAsia="仿宋_GB2312" w:cs="Times New Roman"/>
                <w:b/>
                <w:bCs/>
                <w:color w:val="auto"/>
                <w:kern w:val="0"/>
                <w:sz w:val="21"/>
                <w:szCs w:val="21"/>
                <w:highlight w:val="none"/>
                <w:lang w:val="en-US" w:eastAsia="zh-CN"/>
              </w:rPr>
              <w:t>分</w:t>
            </w:r>
            <w:r>
              <w:rPr>
                <w:rFonts w:hint="default" w:ascii="Times New Roman" w:hAnsi="Times New Roman" w:cs="Times New Roman"/>
                <w:b/>
                <w:bCs/>
                <w:color w:val="auto"/>
                <w:kern w:val="0"/>
                <w:sz w:val="21"/>
                <w:szCs w:val="21"/>
                <w:highlight w:val="none"/>
                <w:lang w:val="en-US" w:eastAsia="zh-CN"/>
              </w:rPr>
              <w:t>）</w:t>
            </w:r>
          </w:p>
        </w:tc>
        <w:tc>
          <w:tcPr>
            <w:tcW w:w="2085" w:type="dxa"/>
            <w:tcBorders>
              <w:tl2br w:val="nil"/>
              <w:tr2bl w:val="nil"/>
            </w:tcBorders>
            <w:noWrap w:val="0"/>
            <w:vAlign w:val="center"/>
          </w:tcPr>
          <w:p w14:paraId="21423696">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“三会一层”</w:t>
            </w:r>
          </w:p>
        </w:tc>
        <w:tc>
          <w:tcPr>
            <w:tcW w:w="893" w:type="dxa"/>
            <w:tcBorders>
              <w:tl2br w:val="nil"/>
              <w:tr2bl w:val="nil"/>
            </w:tcBorders>
            <w:noWrap w:val="0"/>
            <w:vAlign w:val="center"/>
          </w:tcPr>
          <w:p w14:paraId="6CB2643E">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w:t>
            </w:r>
          </w:p>
        </w:tc>
        <w:tc>
          <w:tcPr>
            <w:tcW w:w="4554" w:type="dxa"/>
            <w:tcBorders>
              <w:tl2br w:val="nil"/>
              <w:tr2bl w:val="nil"/>
            </w:tcBorders>
            <w:noWrap w:val="0"/>
            <w:vAlign w:val="center"/>
          </w:tcPr>
          <w:p w14:paraId="275B3287">
            <w:pPr>
              <w:widowControl w:val="0"/>
              <w:pBdr>
                <w:top w:val="none" w:color="auto" w:sz="0" w:space="0"/>
                <w:left w:val="none" w:color="auto" w:sz="0" w:space="0"/>
                <w:bottom w:val="none" w:color="auto" w:sz="0" w:space="0"/>
                <w:right w:val="none" w:color="auto" w:sz="0" w:space="0"/>
                <w:between w:val="none" w:color="auto" w:sz="0" w:space="0"/>
              </w:pBdr>
              <w:shd w:val="clear" w:color="auto" w:fill="auto"/>
              <w:spacing w:beforeLines="0" w:afterLines="0" w:line="260" w:lineRule="exact"/>
              <w:jc w:val="both"/>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按公司章程建立以股东（大）会、董事会、监事会</w:t>
            </w:r>
            <w:r>
              <w:rPr>
                <w:rFonts w:hint="eastAsia" w:ascii="Times New Roman" w:hAnsi="Times New Roman" w:eastAsia="仿宋_GB2312" w:cs="Times New Roman"/>
                <w:color w:val="auto"/>
                <w:kern w:val="0"/>
                <w:sz w:val="21"/>
                <w:szCs w:val="21"/>
                <w:highlight w:val="none"/>
                <w:lang w:val="en-US" w:eastAsia="zh-CN" w:bidi="ar-SA"/>
              </w:rPr>
              <w:t>（审计委员会）</w:t>
            </w:r>
            <w:r>
              <w:rPr>
                <w:rFonts w:hint="default" w:ascii="Times New Roman" w:hAnsi="Times New Roman" w:eastAsia="仿宋_GB2312" w:cs="Times New Roman"/>
                <w:color w:val="auto"/>
                <w:kern w:val="0"/>
                <w:sz w:val="21"/>
                <w:szCs w:val="21"/>
                <w:highlight w:val="none"/>
                <w:lang w:val="en-US" w:eastAsia="zh-CN" w:bidi="ar-SA"/>
              </w:rPr>
              <w:t>、高级管理层为主体的组织机构，并对各主体之间相互制衡的责、权、利关系作出制度安排，公司章程明确不建立股东大会、董事会、监事会</w:t>
            </w:r>
            <w:r>
              <w:rPr>
                <w:rFonts w:hint="eastAsia" w:ascii="Times New Roman" w:hAnsi="Times New Roman" w:eastAsia="仿宋_GB2312" w:cs="Times New Roman"/>
                <w:color w:val="auto"/>
                <w:kern w:val="0"/>
                <w:sz w:val="21"/>
                <w:szCs w:val="21"/>
                <w:highlight w:val="none"/>
                <w:lang w:val="en-US" w:eastAsia="zh-CN" w:bidi="ar-SA"/>
              </w:rPr>
              <w:t>（审计委员会）</w:t>
            </w:r>
            <w:r>
              <w:rPr>
                <w:rFonts w:hint="default" w:ascii="Times New Roman" w:hAnsi="Times New Roman" w:eastAsia="仿宋_GB2312" w:cs="Times New Roman"/>
                <w:color w:val="auto"/>
                <w:kern w:val="0"/>
                <w:sz w:val="21"/>
                <w:szCs w:val="21"/>
                <w:highlight w:val="none"/>
                <w:lang w:val="en-US" w:eastAsia="zh-CN" w:bidi="ar-SA"/>
              </w:rPr>
              <w:t>的可不要求建立</w:t>
            </w:r>
            <w:r>
              <w:rPr>
                <w:rFonts w:hint="eastAsia" w:ascii="Times New Roman" w:hAnsi="Times New Roman" w:eastAsia="仿宋_GB2312" w:cs="Times New Roman"/>
                <w:color w:val="auto"/>
                <w:kern w:val="0"/>
                <w:sz w:val="21"/>
                <w:szCs w:val="21"/>
                <w:highlight w:val="none"/>
                <w:lang w:val="en-US" w:eastAsia="zh-CN" w:bidi="ar-SA"/>
              </w:rPr>
              <w:t>。</w:t>
            </w:r>
          </w:p>
        </w:tc>
        <w:tc>
          <w:tcPr>
            <w:tcW w:w="4555" w:type="dxa"/>
            <w:tcBorders>
              <w:tl2br w:val="nil"/>
              <w:tr2bl w:val="nil"/>
            </w:tcBorders>
            <w:noWrap w:val="0"/>
            <w:vAlign w:val="center"/>
          </w:tcPr>
          <w:p w14:paraId="5BA8B158">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按规定落实的得满分（如公司章程明确不建立股东大会、董事会、监事会</w:t>
            </w:r>
            <w:r>
              <w:rPr>
                <w:rFonts w:hint="eastAsia" w:ascii="Times New Roman" w:hAnsi="Times New Roman" w:eastAsia="仿宋_GB2312" w:cs="Times New Roman"/>
                <w:color w:val="auto"/>
                <w:kern w:val="0"/>
                <w:sz w:val="21"/>
                <w:szCs w:val="21"/>
                <w:highlight w:val="none"/>
                <w:lang w:val="en-US" w:eastAsia="zh-CN" w:bidi="ar-SA"/>
              </w:rPr>
              <w:t>（审计委员会）</w:t>
            </w:r>
            <w:r>
              <w:rPr>
                <w:rFonts w:hint="default" w:ascii="Times New Roman" w:hAnsi="Times New Roman" w:eastAsia="仿宋_GB2312" w:cs="Times New Roman"/>
                <w:color w:val="auto"/>
                <w:kern w:val="0"/>
                <w:sz w:val="21"/>
                <w:szCs w:val="21"/>
                <w:highlight w:val="none"/>
                <w:lang w:val="en-US" w:eastAsia="zh-CN"/>
              </w:rPr>
              <w:t>的视同得分），否则不得分。</w:t>
            </w:r>
          </w:p>
        </w:tc>
        <w:tc>
          <w:tcPr>
            <w:tcW w:w="894" w:type="dxa"/>
            <w:tcBorders>
              <w:tl2br w:val="nil"/>
              <w:tr2bl w:val="nil"/>
            </w:tcBorders>
            <w:noWrap w:val="0"/>
            <w:vAlign w:val="center"/>
          </w:tcPr>
          <w:p w14:paraId="5F4B2014">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left"/>
              <w:textAlignment w:val="center"/>
              <w:outlineLvl w:val="9"/>
              <w:rPr>
                <w:rFonts w:hint="default" w:ascii="Times New Roman" w:hAnsi="Times New Roman" w:eastAsia="仿宋_GB2312" w:cs="Times New Roman"/>
                <w:bCs/>
                <w:color w:val="auto"/>
                <w:kern w:val="0"/>
                <w:sz w:val="21"/>
                <w:szCs w:val="21"/>
                <w:highlight w:val="none"/>
                <w:lang w:val="en-US" w:eastAsia="zh-CN"/>
              </w:rPr>
            </w:pPr>
          </w:p>
        </w:tc>
      </w:tr>
      <w:tr w14:paraId="7F59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192" w:type="dxa"/>
            <w:vMerge w:val="continue"/>
            <w:tcBorders>
              <w:tl2br w:val="nil"/>
              <w:tr2bl w:val="nil"/>
            </w:tcBorders>
            <w:noWrap w:val="0"/>
            <w:vAlign w:val="center"/>
          </w:tcPr>
          <w:p w14:paraId="72D6D314">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tc>
        <w:tc>
          <w:tcPr>
            <w:tcW w:w="2085" w:type="dxa"/>
            <w:tcBorders>
              <w:tl2br w:val="nil"/>
              <w:tr2bl w:val="nil"/>
            </w:tcBorders>
            <w:noWrap w:val="0"/>
            <w:vAlign w:val="center"/>
          </w:tcPr>
          <w:p w14:paraId="11B033FE">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定期组织“三会”</w:t>
            </w:r>
          </w:p>
        </w:tc>
        <w:tc>
          <w:tcPr>
            <w:tcW w:w="893" w:type="dxa"/>
            <w:tcBorders>
              <w:tl2br w:val="nil"/>
              <w:tr2bl w:val="nil"/>
            </w:tcBorders>
            <w:noWrap w:val="0"/>
            <w:vAlign w:val="center"/>
          </w:tcPr>
          <w:p w14:paraId="2BCEE9A4">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w:t>
            </w:r>
          </w:p>
        </w:tc>
        <w:tc>
          <w:tcPr>
            <w:tcW w:w="4554" w:type="dxa"/>
            <w:tcBorders>
              <w:tl2br w:val="nil"/>
              <w:tr2bl w:val="nil"/>
            </w:tcBorders>
            <w:noWrap w:val="0"/>
            <w:vAlign w:val="center"/>
          </w:tcPr>
          <w:p w14:paraId="3AC5C340">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按照公司章程及相关制度召开股东会、董事会、监事会等会议，公司章程明确不设股东会、董事会、监事会的，可不要求召开股东（大）会、董事会、监事会。</w:t>
            </w:r>
          </w:p>
        </w:tc>
        <w:tc>
          <w:tcPr>
            <w:tcW w:w="4555" w:type="dxa"/>
            <w:tcBorders>
              <w:tl2br w:val="nil"/>
              <w:tr2bl w:val="nil"/>
            </w:tcBorders>
            <w:noWrap w:val="0"/>
            <w:vAlign w:val="center"/>
          </w:tcPr>
          <w:p w14:paraId="097F47E1">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按规定落实的得满分（如公司章程明确不建立股东大会、董事会、监事会的，不召开“三会”视同得分），否则不得分。</w:t>
            </w:r>
          </w:p>
        </w:tc>
        <w:tc>
          <w:tcPr>
            <w:tcW w:w="894" w:type="dxa"/>
            <w:tcBorders>
              <w:tl2br w:val="nil"/>
              <w:tr2bl w:val="nil"/>
            </w:tcBorders>
            <w:noWrap w:val="0"/>
            <w:vAlign w:val="center"/>
          </w:tcPr>
          <w:p w14:paraId="747CDB41">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left"/>
              <w:textAlignment w:val="center"/>
              <w:outlineLvl w:val="9"/>
              <w:rPr>
                <w:rFonts w:hint="default" w:ascii="Times New Roman" w:hAnsi="Times New Roman" w:eastAsia="仿宋_GB2312" w:cs="Times New Roman"/>
                <w:bCs/>
                <w:color w:val="auto"/>
                <w:kern w:val="0"/>
                <w:sz w:val="21"/>
                <w:szCs w:val="21"/>
                <w:highlight w:val="none"/>
                <w:lang w:val="en-US" w:eastAsia="zh-CN"/>
              </w:rPr>
            </w:pPr>
          </w:p>
        </w:tc>
      </w:tr>
      <w:tr w14:paraId="6857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192" w:type="dxa"/>
            <w:vMerge w:val="continue"/>
            <w:tcBorders>
              <w:tl2br w:val="nil"/>
              <w:tr2bl w:val="nil"/>
            </w:tcBorders>
            <w:noWrap w:val="0"/>
            <w:vAlign w:val="center"/>
          </w:tcPr>
          <w:p w14:paraId="299C4AA6">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tc>
        <w:tc>
          <w:tcPr>
            <w:tcW w:w="2085" w:type="dxa"/>
            <w:tcBorders>
              <w:tl2br w:val="nil"/>
              <w:tr2bl w:val="nil"/>
            </w:tcBorders>
            <w:noWrap w:val="0"/>
            <w:vAlign w:val="center"/>
          </w:tcPr>
          <w:p w14:paraId="784C3B09">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董事、监事、高级</w:t>
            </w:r>
          </w:p>
          <w:p w14:paraId="3599B921">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管理人员管理</w:t>
            </w:r>
          </w:p>
        </w:tc>
        <w:tc>
          <w:tcPr>
            <w:tcW w:w="893" w:type="dxa"/>
            <w:tcBorders>
              <w:tl2br w:val="nil"/>
              <w:tr2bl w:val="nil"/>
            </w:tcBorders>
            <w:noWrap w:val="0"/>
            <w:vAlign w:val="center"/>
          </w:tcPr>
          <w:p w14:paraId="7D4FC702">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2</w:t>
            </w:r>
          </w:p>
        </w:tc>
        <w:tc>
          <w:tcPr>
            <w:tcW w:w="4554" w:type="dxa"/>
            <w:tcBorders>
              <w:tl2br w:val="nil"/>
              <w:tr2bl w:val="nil"/>
            </w:tcBorders>
            <w:noWrap w:val="0"/>
            <w:vAlign w:val="center"/>
          </w:tcPr>
          <w:p w14:paraId="77071A16">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董事、监事、高级管理人员符合任职条件。</w:t>
            </w:r>
          </w:p>
        </w:tc>
        <w:tc>
          <w:tcPr>
            <w:tcW w:w="4555" w:type="dxa"/>
            <w:tcBorders>
              <w:tl2br w:val="nil"/>
              <w:tr2bl w:val="nil"/>
            </w:tcBorders>
            <w:noWrap w:val="0"/>
            <w:vAlign w:val="center"/>
          </w:tcPr>
          <w:p w14:paraId="28C864C2">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不按规定执行，不得分。作为公司法定代表人兼任党政机关职务，高级管理人员兼任党政机关职务或未经监管批准在其他经济组织兼职，每人扣1分，扣完为止。</w:t>
            </w:r>
          </w:p>
        </w:tc>
        <w:tc>
          <w:tcPr>
            <w:tcW w:w="894" w:type="dxa"/>
            <w:tcBorders>
              <w:tl2br w:val="nil"/>
              <w:tr2bl w:val="nil"/>
            </w:tcBorders>
            <w:noWrap w:val="0"/>
            <w:vAlign w:val="center"/>
          </w:tcPr>
          <w:p w14:paraId="4E7967CC">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left"/>
              <w:textAlignment w:val="center"/>
              <w:outlineLvl w:val="9"/>
              <w:rPr>
                <w:rFonts w:hint="default" w:ascii="Times New Roman" w:hAnsi="Times New Roman" w:eastAsia="仿宋_GB2312" w:cs="Times New Roman"/>
                <w:bCs/>
                <w:color w:val="auto"/>
                <w:kern w:val="0"/>
                <w:sz w:val="21"/>
                <w:szCs w:val="21"/>
                <w:highlight w:val="none"/>
                <w:lang w:val="en-US" w:eastAsia="zh-CN"/>
              </w:rPr>
            </w:pPr>
          </w:p>
        </w:tc>
      </w:tr>
      <w:tr w14:paraId="6D6E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92" w:type="dxa"/>
            <w:vMerge w:val="continue"/>
            <w:tcBorders>
              <w:tl2br w:val="nil"/>
              <w:tr2bl w:val="nil"/>
            </w:tcBorders>
            <w:noWrap w:val="0"/>
            <w:vAlign w:val="center"/>
          </w:tcPr>
          <w:p w14:paraId="68C3FE43">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tc>
        <w:tc>
          <w:tcPr>
            <w:tcW w:w="2085" w:type="dxa"/>
            <w:tcBorders>
              <w:tl2br w:val="nil"/>
              <w:tr2bl w:val="nil"/>
            </w:tcBorders>
            <w:noWrap w:val="0"/>
            <w:vAlign w:val="center"/>
          </w:tcPr>
          <w:p w14:paraId="4D51E064">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建立内控制度</w:t>
            </w:r>
          </w:p>
        </w:tc>
        <w:tc>
          <w:tcPr>
            <w:tcW w:w="893" w:type="dxa"/>
            <w:tcBorders>
              <w:tl2br w:val="nil"/>
              <w:tr2bl w:val="nil"/>
            </w:tcBorders>
            <w:noWrap w:val="0"/>
            <w:vAlign w:val="center"/>
          </w:tcPr>
          <w:p w14:paraId="573A2C23">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2</w:t>
            </w:r>
          </w:p>
        </w:tc>
        <w:tc>
          <w:tcPr>
            <w:tcW w:w="4554" w:type="dxa"/>
            <w:tcBorders>
              <w:tl2br w:val="nil"/>
              <w:tr2bl w:val="nil"/>
            </w:tcBorders>
            <w:noWrap w:val="0"/>
            <w:vAlign w:val="center"/>
          </w:tcPr>
          <w:p w14:paraId="6282CD53">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明确董事（会）、监事（会）、高级管理层相关职责、独立的内控及项目审批机制，代偿责任认定和责任追究制度。</w:t>
            </w:r>
          </w:p>
        </w:tc>
        <w:tc>
          <w:tcPr>
            <w:tcW w:w="4555" w:type="dxa"/>
            <w:tcBorders>
              <w:tl2br w:val="nil"/>
              <w:tr2bl w:val="nil"/>
            </w:tcBorders>
            <w:noWrap w:val="0"/>
            <w:vAlign w:val="center"/>
          </w:tcPr>
          <w:p w14:paraId="339A578D">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建立制度并执行到位的，得满分，否则不得分；制度不健全的，每少1项制度扣2分，扣完为止。</w:t>
            </w:r>
          </w:p>
        </w:tc>
        <w:tc>
          <w:tcPr>
            <w:tcW w:w="894" w:type="dxa"/>
            <w:tcBorders>
              <w:tl2br w:val="nil"/>
              <w:tr2bl w:val="nil"/>
            </w:tcBorders>
            <w:noWrap w:val="0"/>
            <w:vAlign w:val="center"/>
          </w:tcPr>
          <w:p w14:paraId="4C40A436">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left"/>
              <w:textAlignment w:val="center"/>
              <w:outlineLvl w:val="9"/>
              <w:rPr>
                <w:rFonts w:hint="default" w:ascii="Times New Roman" w:hAnsi="Times New Roman" w:eastAsia="仿宋_GB2312" w:cs="Times New Roman"/>
                <w:bCs/>
                <w:color w:val="auto"/>
                <w:kern w:val="0"/>
                <w:sz w:val="21"/>
                <w:szCs w:val="21"/>
                <w:highlight w:val="none"/>
                <w:lang w:val="en-US" w:eastAsia="zh-CN"/>
              </w:rPr>
            </w:pPr>
          </w:p>
        </w:tc>
      </w:tr>
      <w:tr w14:paraId="4140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192" w:type="dxa"/>
            <w:vMerge w:val="continue"/>
            <w:tcBorders>
              <w:tl2br w:val="nil"/>
              <w:tr2bl w:val="nil"/>
            </w:tcBorders>
            <w:noWrap w:val="0"/>
            <w:vAlign w:val="center"/>
          </w:tcPr>
          <w:p w14:paraId="58AEEEFF">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tc>
        <w:tc>
          <w:tcPr>
            <w:tcW w:w="2085" w:type="dxa"/>
            <w:vMerge w:val="restart"/>
            <w:tcBorders>
              <w:tl2br w:val="nil"/>
              <w:tr2bl w:val="nil"/>
            </w:tcBorders>
            <w:noWrap w:val="0"/>
            <w:vAlign w:val="center"/>
          </w:tcPr>
          <w:p w14:paraId="530784D9">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实现业务信息化</w:t>
            </w:r>
          </w:p>
        </w:tc>
        <w:tc>
          <w:tcPr>
            <w:tcW w:w="893" w:type="dxa"/>
            <w:tcBorders>
              <w:tl2br w:val="nil"/>
              <w:tr2bl w:val="nil"/>
            </w:tcBorders>
            <w:noWrap w:val="0"/>
            <w:vAlign w:val="center"/>
          </w:tcPr>
          <w:p w14:paraId="142A601D">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2</w:t>
            </w:r>
          </w:p>
        </w:tc>
        <w:tc>
          <w:tcPr>
            <w:tcW w:w="4554" w:type="dxa"/>
            <w:tcBorders>
              <w:tl2br w:val="nil"/>
              <w:tr2bl w:val="nil"/>
            </w:tcBorders>
            <w:noWrap w:val="0"/>
            <w:vAlign w:val="center"/>
          </w:tcPr>
          <w:p w14:paraId="773854EE">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建立并使用业务信息系统。</w:t>
            </w:r>
          </w:p>
        </w:tc>
        <w:tc>
          <w:tcPr>
            <w:tcW w:w="4555" w:type="dxa"/>
            <w:tcBorders>
              <w:tl2br w:val="nil"/>
              <w:tr2bl w:val="nil"/>
            </w:tcBorders>
            <w:noWrap w:val="0"/>
            <w:vAlign w:val="center"/>
          </w:tcPr>
          <w:p w14:paraId="623C9199">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建立并使用的得满分，否则不得分。</w:t>
            </w:r>
          </w:p>
        </w:tc>
        <w:tc>
          <w:tcPr>
            <w:tcW w:w="894" w:type="dxa"/>
            <w:tcBorders>
              <w:tl2br w:val="nil"/>
              <w:tr2bl w:val="nil"/>
            </w:tcBorders>
            <w:noWrap w:val="0"/>
            <w:vAlign w:val="center"/>
          </w:tcPr>
          <w:p w14:paraId="634BD1E4">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left"/>
              <w:textAlignment w:val="center"/>
              <w:outlineLvl w:val="9"/>
              <w:rPr>
                <w:rFonts w:hint="default" w:ascii="Times New Roman" w:hAnsi="Times New Roman" w:eastAsia="仿宋_GB2312" w:cs="Times New Roman"/>
                <w:bCs/>
                <w:color w:val="auto"/>
                <w:kern w:val="0"/>
                <w:sz w:val="21"/>
                <w:szCs w:val="21"/>
                <w:highlight w:val="none"/>
                <w:lang w:val="en-US" w:eastAsia="zh-CN"/>
              </w:rPr>
            </w:pPr>
          </w:p>
        </w:tc>
      </w:tr>
      <w:tr w14:paraId="1AA2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192" w:type="dxa"/>
            <w:vMerge w:val="continue"/>
            <w:tcBorders>
              <w:tl2br w:val="nil"/>
              <w:tr2bl w:val="nil"/>
            </w:tcBorders>
            <w:noWrap w:val="0"/>
            <w:vAlign w:val="center"/>
          </w:tcPr>
          <w:p w14:paraId="0ED6BD7C">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tc>
        <w:tc>
          <w:tcPr>
            <w:tcW w:w="2085" w:type="dxa"/>
            <w:vMerge w:val="continue"/>
            <w:tcBorders>
              <w:tl2br w:val="nil"/>
              <w:tr2bl w:val="nil"/>
            </w:tcBorders>
            <w:noWrap w:val="0"/>
            <w:vAlign w:val="center"/>
          </w:tcPr>
          <w:p w14:paraId="442337D9">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893" w:type="dxa"/>
            <w:tcBorders>
              <w:tl2br w:val="nil"/>
              <w:tr2bl w:val="nil"/>
            </w:tcBorders>
            <w:noWrap w:val="0"/>
            <w:vAlign w:val="center"/>
          </w:tcPr>
          <w:p w14:paraId="0D33CE6D">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10</w:t>
            </w:r>
          </w:p>
        </w:tc>
        <w:tc>
          <w:tcPr>
            <w:tcW w:w="4554" w:type="dxa"/>
            <w:tcBorders>
              <w:tl2br w:val="nil"/>
              <w:tr2bl w:val="nil"/>
            </w:tcBorders>
            <w:noWrap w:val="0"/>
            <w:vAlign w:val="center"/>
          </w:tcPr>
          <w:p w14:paraId="74CE073D">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接入广西融资担保行业监管信息系统</w:t>
            </w:r>
            <w:r>
              <w:rPr>
                <w:rFonts w:hint="eastAsia" w:ascii="Times New Roman" w:hAnsi="Times New Roman" w:eastAsia="仿宋_GB2312" w:cs="Times New Roman"/>
                <w:color w:val="auto"/>
                <w:kern w:val="0"/>
                <w:sz w:val="21"/>
                <w:szCs w:val="21"/>
                <w:highlight w:val="none"/>
                <w:lang w:val="en-US" w:eastAsia="zh-CN"/>
              </w:rPr>
              <w:t>并报送数据</w:t>
            </w:r>
            <w:r>
              <w:rPr>
                <w:rFonts w:hint="default" w:ascii="Times New Roman" w:hAnsi="Times New Roman" w:eastAsia="仿宋_GB2312" w:cs="Times New Roman"/>
                <w:color w:val="auto"/>
                <w:kern w:val="0"/>
                <w:sz w:val="21"/>
                <w:szCs w:val="21"/>
                <w:highlight w:val="none"/>
                <w:lang w:val="en-US" w:eastAsia="zh-CN"/>
              </w:rPr>
              <w:t>。</w:t>
            </w:r>
          </w:p>
        </w:tc>
        <w:tc>
          <w:tcPr>
            <w:tcW w:w="4555" w:type="dxa"/>
            <w:tcBorders>
              <w:tl2br w:val="nil"/>
              <w:tr2bl w:val="nil"/>
            </w:tcBorders>
            <w:noWrap w:val="0"/>
            <w:vAlign w:val="center"/>
          </w:tcPr>
          <w:p w14:paraId="4BEEC48D">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接入监管系统的得</w:t>
            </w:r>
            <w:r>
              <w:rPr>
                <w:rFonts w:hint="eastAsia" w:ascii="Times New Roman" w:hAnsi="Times New Roman" w:eastAsia="仿宋_GB2312" w:cs="Times New Roman"/>
                <w:color w:val="auto"/>
                <w:kern w:val="0"/>
                <w:sz w:val="21"/>
                <w:szCs w:val="21"/>
                <w:highlight w:val="none"/>
                <w:lang w:val="en-US" w:eastAsia="zh-CN"/>
              </w:rPr>
              <w:t>1</w:t>
            </w:r>
            <w:r>
              <w:rPr>
                <w:rFonts w:hint="default" w:ascii="Times New Roman" w:hAnsi="Times New Roman" w:eastAsia="仿宋_GB2312" w:cs="Times New Roman"/>
                <w:color w:val="auto"/>
                <w:kern w:val="0"/>
                <w:sz w:val="21"/>
                <w:szCs w:val="21"/>
                <w:highlight w:val="none"/>
                <w:lang w:val="en-US" w:eastAsia="zh-CN"/>
              </w:rPr>
              <w:t>分，及时、完整、准确报送数据的各得</w:t>
            </w:r>
            <w:r>
              <w:rPr>
                <w:rFonts w:hint="eastAsia" w:ascii="Times New Roman" w:hAnsi="Times New Roman" w:eastAsia="仿宋_GB2312" w:cs="Times New Roman"/>
                <w:color w:val="auto"/>
                <w:kern w:val="0"/>
                <w:sz w:val="21"/>
                <w:szCs w:val="21"/>
                <w:highlight w:val="none"/>
                <w:lang w:val="en-US" w:eastAsia="zh-CN"/>
              </w:rPr>
              <w:t>3</w:t>
            </w:r>
            <w:r>
              <w:rPr>
                <w:rFonts w:hint="default" w:ascii="Times New Roman" w:hAnsi="Times New Roman" w:eastAsia="仿宋_GB2312" w:cs="Times New Roman"/>
                <w:color w:val="auto"/>
                <w:kern w:val="0"/>
                <w:sz w:val="21"/>
                <w:szCs w:val="21"/>
                <w:highlight w:val="none"/>
                <w:lang w:val="en-US" w:eastAsia="zh-CN"/>
              </w:rPr>
              <w:t>分，一项不达标的扣相对应的分值，扣完为止。</w:t>
            </w:r>
          </w:p>
        </w:tc>
        <w:tc>
          <w:tcPr>
            <w:tcW w:w="894" w:type="dxa"/>
            <w:tcBorders>
              <w:tl2br w:val="nil"/>
              <w:tr2bl w:val="nil"/>
            </w:tcBorders>
            <w:noWrap w:val="0"/>
            <w:vAlign w:val="center"/>
          </w:tcPr>
          <w:p w14:paraId="105C8757">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left"/>
              <w:textAlignment w:val="center"/>
              <w:outlineLvl w:val="9"/>
              <w:rPr>
                <w:rFonts w:hint="default" w:ascii="Times New Roman" w:hAnsi="Times New Roman" w:eastAsia="仿宋_GB2312" w:cs="Times New Roman"/>
                <w:bCs/>
                <w:color w:val="auto"/>
                <w:kern w:val="0"/>
                <w:sz w:val="21"/>
                <w:szCs w:val="21"/>
                <w:highlight w:val="none"/>
                <w:lang w:val="en-US" w:eastAsia="zh-CN"/>
              </w:rPr>
            </w:pPr>
          </w:p>
        </w:tc>
      </w:tr>
      <w:tr w14:paraId="0D99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92" w:type="dxa"/>
            <w:vMerge w:val="restart"/>
            <w:tcBorders>
              <w:tl2br w:val="nil"/>
              <w:tr2bl w:val="nil"/>
            </w:tcBorders>
            <w:noWrap w:val="0"/>
            <w:vAlign w:val="center"/>
          </w:tcPr>
          <w:p w14:paraId="6676718C">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p w14:paraId="24838D4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val="0"/>
              <w:snapToGrid w:val="0"/>
              <w:spacing w:line="200" w:lineRule="atLeast"/>
              <w:ind w:left="0" w:leftChars="0" w:right="0" w:rightChars="0" w:firstLine="0" w:firstLineChars="0"/>
              <w:jc w:val="center"/>
              <w:outlineLvl w:val="9"/>
              <w:rPr>
                <w:rFonts w:hint="default" w:ascii="Times New Roman" w:hAnsi="Times New Roman" w:eastAsia="仿宋_GB2312" w:cs="Times New Roman"/>
                <w:b/>
                <w:bCs/>
                <w:color w:val="auto"/>
                <w:kern w:val="2"/>
                <w:sz w:val="21"/>
                <w:szCs w:val="21"/>
                <w:highlight w:val="none"/>
                <w:lang w:val="en-US" w:eastAsia="zh-CN" w:bidi="ar-SA"/>
              </w:rPr>
            </w:pPr>
          </w:p>
          <w:p w14:paraId="5A2C223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val="0"/>
              <w:snapToGrid w:val="0"/>
              <w:spacing w:line="200" w:lineRule="atLeast"/>
              <w:ind w:left="0" w:leftChars="0" w:right="0" w:rightChars="0" w:firstLine="0" w:firstLineChars="0"/>
              <w:jc w:val="center"/>
              <w:outlineLvl w:val="9"/>
              <w:rPr>
                <w:rFonts w:hint="default" w:ascii="Times New Roman" w:hAnsi="Times New Roman" w:eastAsia="仿宋_GB2312" w:cs="Times New Roman"/>
                <w:b/>
                <w:bCs/>
                <w:color w:val="auto"/>
                <w:kern w:val="2"/>
                <w:sz w:val="21"/>
                <w:szCs w:val="21"/>
                <w:highlight w:val="none"/>
                <w:lang w:val="en-US" w:eastAsia="zh-CN" w:bidi="ar-SA"/>
              </w:rPr>
            </w:pPr>
          </w:p>
          <w:p w14:paraId="6768A63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val="0"/>
              <w:snapToGrid w:val="0"/>
              <w:spacing w:line="200" w:lineRule="atLeast"/>
              <w:ind w:left="0" w:leftChars="0" w:right="0" w:rightChars="0" w:firstLine="0" w:firstLineChars="0"/>
              <w:jc w:val="center"/>
              <w:outlineLvl w:val="9"/>
              <w:rPr>
                <w:rFonts w:hint="default" w:ascii="Times New Roman" w:hAnsi="Times New Roman" w:eastAsia="仿宋_GB2312" w:cs="Times New Roman"/>
                <w:b/>
                <w:bCs/>
                <w:color w:val="auto"/>
                <w:kern w:val="2"/>
                <w:sz w:val="21"/>
                <w:szCs w:val="21"/>
                <w:highlight w:val="none"/>
                <w:lang w:val="en-US" w:eastAsia="zh-CN" w:bidi="ar-SA"/>
              </w:rPr>
            </w:pPr>
          </w:p>
          <w:p w14:paraId="1668E03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val="0"/>
              <w:snapToGrid w:val="0"/>
              <w:spacing w:line="200" w:lineRule="atLeast"/>
              <w:ind w:left="0" w:leftChars="0" w:right="0" w:rightChars="0" w:firstLine="0" w:firstLineChars="0"/>
              <w:jc w:val="center"/>
              <w:outlineLvl w:val="9"/>
              <w:rPr>
                <w:rFonts w:hint="default" w:ascii="Times New Roman" w:hAnsi="Times New Roman" w:eastAsia="仿宋_GB2312" w:cs="Times New Roman"/>
                <w:b/>
                <w:bCs/>
                <w:color w:val="auto"/>
                <w:kern w:val="2"/>
                <w:sz w:val="21"/>
                <w:szCs w:val="21"/>
                <w:highlight w:val="none"/>
                <w:lang w:val="en-US" w:eastAsia="zh-CN" w:bidi="ar-SA"/>
              </w:rPr>
            </w:pPr>
          </w:p>
          <w:p w14:paraId="50423214">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经营</w:t>
            </w:r>
          </w:p>
          <w:p w14:paraId="495346BA">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管理</w:t>
            </w:r>
          </w:p>
          <w:p w14:paraId="45C7FBD1">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cs="Times New Roman"/>
                <w:b/>
                <w:bCs/>
                <w:color w:val="auto"/>
                <w:kern w:val="0"/>
                <w:sz w:val="21"/>
                <w:szCs w:val="21"/>
                <w:highlight w:val="none"/>
                <w:lang w:val="en-US" w:eastAsia="zh-CN"/>
              </w:rPr>
              <w:t>（</w:t>
            </w:r>
            <w:r>
              <w:rPr>
                <w:rFonts w:hint="eastAsia" w:ascii="Times New Roman" w:hAnsi="Times New Roman" w:cs="Times New Roman"/>
                <w:b/>
                <w:bCs/>
                <w:color w:val="auto"/>
                <w:kern w:val="0"/>
                <w:sz w:val="21"/>
                <w:szCs w:val="21"/>
                <w:highlight w:val="none"/>
                <w:lang w:val="en-US" w:eastAsia="zh-CN"/>
              </w:rPr>
              <w:t>25</w:t>
            </w:r>
            <w:r>
              <w:rPr>
                <w:rFonts w:hint="default" w:ascii="Times New Roman" w:hAnsi="Times New Roman" w:eastAsia="仿宋_GB2312" w:cs="Times New Roman"/>
                <w:b/>
                <w:bCs/>
                <w:color w:val="auto"/>
                <w:kern w:val="0"/>
                <w:sz w:val="21"/>
                <w:szCs w:val="21"/>
                <w:highlight w:val="none"/>
                <w:lang w:val="en-US" w:eastAsia="zh-CN"/>
              </w:rPr>
              <w:t>分</w:t>
            </w:r>
            <w:r>
              <w:rPr>
                <w:rFonts w:hint="default" w:ascii="Times New Roman" w:hAnsi="Times New Roman" w:cs="Times New Roman"/>
                <w:b/>
                <w:bCs/>
                <w:color w:val="auto"/>
                <w:kern w:val="0"/>
                <w:sz w:val="21"/>
                <w:szCs w:val="21"/>
                <w:highlight w:val="none"/>
                <w:lang w:val="en-US" w:eastAsia="zh-CN"/>
              </w:rPr>
              <w:t>）</w:t>
            </w:r>
          </w:p>
          <w:p w14:paraId="4BE1D993">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p w14:paraId="38AA324B">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p w14:paraId="64887238">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tc>
        <w:tc>
          <w:tcPr>
            <w:tcW w:w="2085" w:type="dxa"/>
            <w:tcBorders>
              <w:tl2br w:val="nil"/>
              <w:tr2bl w:val="nil"/>
            </w:tcBorders>
            <w:noWrap w:val="0"/>
            <w:vAlign w:val="center"/>
          </w:tcPr>
          <w:p w14:paraId="718D82C9">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eastAsia" w:ascii="Times New Roman" w:hAnsi="Times New Roman" w:eastAsia="仿宋_GB2312" w:cs="Times New Roman"/>
                <w:b/>
                <w:bCs/>
                <w:color w:val="auto"/>
                <w:kern w:val="0"/>
                <w:sz w:val="21"/>
                <w:szCs w:val="21"/>
                <w:highlight w:val="none"/>
                <w:lang w:val="en-US" w:eastAsia="zh-CN"/>
              </w:rPr>
              <w:t>经营范围内展业</w:t>
            </w:r>
          </w:p>
        </w:tc>
        <w:tc>
          <w:tcPr>
            <w:tcW w:w="893" w:type="dxa"/>
            <w:tcBorders>
              <w:tl2br w:val="nil"/>
              <w:tr2bl w:val="nil"/>
            </w:tcBorders>
            <w:noWrap w:val="0"/>
            <w:vAlign w:val="center"/>
          </w:tcPr>
          <w:p w14:paraId="1D17BA44">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5</w:t>
            </w:r>
          </w:p>
        </w:tc>
        <w:tc>
          <w:tcPr>
            <w:tcW w:w="4554" w:type="dxa"/>
            <w:tcBorders>
              <w:tl2br w:val="nil"/>
              <w:tr2bl w:val="nil"/>
            </w:tcBorders>
            <w:noWrap w:val="0"/>
            <w:vAlign w:val="center"/>
          </w:tcPr>
          <w:p w14:paraId="7D9E8F7F">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按监管部门批准的经营范围开展业务。</w:t>
            </w:r>
          </w:p>
        </w:tc>
        <w:tc>
          <w:tcPr>
            <w:tcW w:w="4555" w:type="dxa"/>
            <w:tcBorders>
              <w:tl2br w:val="nil"/>
              <w:tr2bl w:val="nil"/>
            </w:tcBorders>
            <w:noWrap w:val="0"/>
            <w:vAlign w:val="center"/>
          </w:tcPr>
          <w:p w14:paraId="1E7DE20F">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按规定执行的得满分，否则不得分。</w:t>
            </w:r>
          </w:p>
        </w:tc>
        <w:tc>
          <w:tcPr>
            <w:tcW w:w="894" w:type="dxa"/>
            <w:tcBorders>
              <w:tl2br w:val="nil"/>
              <w:tr2bl w:val="nil"/>
            </w:tcBorders>
            <w:noWrap w:val="0"/>
            <w:vAlign w:val="center"/>
          </w:tcPr>
          <w:p w14:paraId="4AB85125">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left"/>
              <w:textAlignment w:val="center"/>
              <w:outlineLvl w:val="9"/>
              <w:rPr>
                <w:rFonts w:hint="default" w:ascii="Times New Roman" w:hAnsi="Times New Roman" w:eastAsia="仿宋_GB2312" w:cs="Times New Roman"/>
                <w:bCs/>
                <w:color w:val="auto"/>
                <w:kern w:val="0"/>
                <w:sz w:val="21"/>
                <w:szCs w:val="21"/>
                <w:highlight w:val="none"/>
                <w:lang w:val="en-US" w:eastAsia="zh-CN"/>
              </w:rPr>
            </w:pPr>
          </w:p>
        </w:tc>
      </w:tr>
      <w:tr w14:paraId="1265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4" w:hRule="atLeast"/>
        </w:trPr>
        <w:tc>
          <w:tcPr>
            <w:tcW w:w="1192" w:type="dxa"/>
            <w:vMerge w:val="continue"/>
            <w:tcBorders>
              <w:tl2br w:val="nil"/>
              <w:tr2bl w:val="nil"/>
            </w:tcBorders>
            <w:noWrap w:val="0"/>
            <w:vAlign w:val="center"/>
          </w:tcPr>
          <w:p w14:paraId="1139B945">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tc>
        <w:tc>
          <w:tcPr>
            <w:tcW w:w="2085" w:type="dxa"/>
            <w:tcBorders>
              <w:tl2br w:val="nil"/>
              <w:tr2bl w:val="nil"/>
            </w:tcBorders>
            <w:noWrap w:val="0"/>
            <w:vAlign w:val="center"/>
          </w:tcPr>
          <w:p w14:paraId="6CA9BC9B">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履行告知义务</w:t>
            </w:r>
          </w:p>
        </w:tc>
        <w:tc>
          <w:tcPr>
            <w:tcW w:w="893" w:type="dxa"/>
            <w:tcBorders>
              <w:tl2br w:val="nil"/>
              <w:tr2bl w:val="nil"/>
            </w:tcBorders>
            <w:noWrap w:val="0"/>
            <w:vAlign w:val="center"/>
          </w:tcPr>
          <w:p w14:paraId="4A80A9D0">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3</w:t>
            </w:r>
          </w:p>
        </w:tc>
        <w:tc>
          <w:tcPr>
            <w:tcW w:w="4554" w:type="dxa"/>
            <w:tcBorders>
              <w:tl2br w:val="nil"/>
              <w:tr2bl w:val="nil"/>
            </w:tcBorders>
            <w:noWrap w:val="0"/>
            <w:vAlign w:val="center"/>
          </w:tcPr>
          <w:p w14:paraId="4988B72D">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履行告知义务，客户签收《担保客户告知书》。</w:t>
            </w:r>
          </w:p>
        </w:tc>
        <w:tc>
          <w:tcPr>
            <w:tcW w:w="4555" w:type="dxa"/>
            <w:tcBorders>
              <w:tl2br w:val="nil"/>
              <w:tr2bl w:val="nil"/>
            </w:tcBorders>
            <w:noWrap w:val="0"/>
            <w:vAlign w:val="center"/>
          </w:tcPr>
          <w:p w14:paraId="3B6A4B82">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无《担保客户告知书》回执的，不得分。</w:t>
            </w:r>
          </w:p>
        </w:tc>
        <w:tc>
          <w:tcPr>
            <w:tcW w:w="894" w:type="dxa"/>
            <w:tcBorders>
              <w:tl2br w:val="nil"/>
              <w:tr2bl w:val="nil"/>
            </w:tcBorders>
            <w:noWrap w:val="0"/>
            <w:vAlign w:val="center"/>
          </w:tcPr>
          <w:p w14:paraId="6CEB4748">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left"/>
              <w:textAlignment w:val="center"/>
              <w:outlineLvl w:val="9"/>
              <w:rPr>
                <w:rFonts w:hint="default" w:ascii="Times New Roman" w:hAnsi="Times New Roman" w:eastAsia="仿宋_GB2312" w:cs="Times New Roman"/>
                <w:bCs/>
                <w:color w:val="auto"/>
                <w:kern w:val="0"/>
                <w:sz w:val="21"/>
                <w:szCs w:val="21"/>
                <w:highlight w:val="none"/>
                <w:lang w:val="en-US" w:eastAsia="zh-CN"/>
              </w:rPr>
            </w:pPr>
          </w:p>
        </w:tc>
      </w:tr>
      <w:tr w14:paraId="344D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192" w:type="dxa"/>
            <w:vMerge w:val="continue"/>
            <w:tcBorders>
              <w:tl2br w:val="nil"/>
              <w:tr2bl w:val="nil"/>
            </w:tcBorders>
            <w:noWrap w:val="0"/>
            <w:vAlign w:val="center"/>
          </w:tcPr>
          <w:p w14:paraId="2E802758">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tc>
        <w:tc>
          <w:tcPr>
            <w:tcW w:w="2085" w:type="dxa"/>
            <w:vMerge w:val="restart"/>
            <w:tcBorders>
              <w:tl2br w:val="nil"/>
              <w:tr2bl w:val="nil"/>
            </w:tcBorders>
            <w:noWrap w:val="0"/>
            <w:vAlign w:val="center"/>
          </w:tcPr>
          <w:p w14:paraId="1797026B">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客户保证金管理</w:t>
            </w:r>
          </w:p>
          <w:p w14:paraId="74CD80DE">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p w14:paraId="1352113E">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893" w:type="dxa"/>
            <w:tcBorders>
              <w:tl2br w:val="nil"/>
              <w:tr2bl w:val="nil"/>
            </w:tcBorders>
            <w:noWrap w:val="0"/>
            <w:vAlign w:val="center"/>
          </w:tcPr>
          <w:p w14:paraId="5F145162">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3</w:t>
            </w:r>
          </w:p>
        </w:tc>
        <w:tc>
          <w:tcPr>
            <w:tcW w:w="4554" w:type="dxa"/>
            <w:tcBorders>
              <w:tl2br w:val="nil"/>
              <w:tr2bl w:val="nil"/>
            </w:tcBorders>
            <w:noWrap w:val="0"/>
            <w:vAlign w:val="center"/>
          </w:tcPr>
          <w:p w14:paraId="05F2917F">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实行专户管理。</w:t>
            </w:r>
          </w:p>
        </w:tc>
        <w:tc>
          <w:tcPr>
            <w:tcW w:w="4555" w:type="dxa"/>
            <w:tcBorders>
              <w:tl2br w:val="nil"/>
              <w:tr2bl w:val="nil"/>
            </w:tcBorders>
            <w:noWrap w:val="0"/>
            <w:vAlign w:val="center"/>
          </w:tcPr>
          <w:p w14:paraId="093FF673">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未实行专户管理的，不得分。</w:t>
            </w:r>
          </w:p>
        </w:tc>
        <w:tc>
          <w:tcPr>
            <w:tcW w:w="894" w:type="dxa"/>
            <w:tcBorders>
              <w:tl2br w:val="nil"/>
              <w:tr2bl w:val="nil"/>
            </w:tcBorders>
            <w:noWrap w:val="0"/>
            <w:vAlign w:val="center"/>
          </w:tcPr>
          <w:p w14:paraId="6A39F60C">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1"/>
                <w:szCs w:val="21"/>
                <w:highlight w:val="none"/>
                <w:lang w:val="en-US" w:eastAsia="zh-CN"/>
              </w:rPr>
            </w:pPr>
          </w:p>
        </w:tc>
      </w:tr>
      <w:tr w14:paraId="36AD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192" w:type="dxa"/>
            <w:vMerge w:val="continue"/>
            <w:tcBorders>
              <w:tl2br w:val="nil"/>
              <w:tr2bl w:val="nil"/>
            </w:tcBorders>
            <w:noWrap w:val="0"/>
            <w:vAlign w:val="center"/>
          </w:tcPr>
          <w:p w14:paraId="54FFBE4C">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tc>
        <w:tc>
          <w:tcPr>
            <w:tcW w:w="2085" w:type="dxa"/>
            <w:vMerge w:val="continue"/>
            <w:tcBorders>
              <w:tl2br w:val="nil"/>
              <w:tr2bl w:val="nil"/>
            </w:tcBorders>
            <w:noWrap w:val="0"/>
            <w:vAlign w:val="center"/>
          </w:tcPr>
          <w:p w14:paraId="1537FFB5">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893" w:type="dxa"/>
            <w:tcBorders>
              <w:tl2br w:val="nil"/>
              <w:tr2bl w:val="nil"/>
            </w:tcBorders>
            <w:noWrap w:val="0"/>
            <w:vAlign w:val="center"/>
          </w:tcPr>
          <w:p w14:paraId="18D47905">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3</w:t>
            </w:r>
          </w:p>
        </w:tc>
        <w:tc>
          <w:tcPr>
            <w:tcW w:w="4554" w:type="dxa"/>
            <w:tcBorders>
              <w:tl2br w:val="nil"/>
              <w:tr2bl w:val="nil"/>
            </w:tcBorders>
            <w:noWrap w:val="0"/>
            <w:vAlign w:val="center"/>
          </w:tcPr>
          <w:p w14:paraId="2DA5CED6">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用于代偿。</w:t>
            </w:r>
          </w:p>
        </w:tc>
        <w:tc>
          <w:tcPr>
            <w:tcW w:w="4555" w:type="dxa"/>
            <w:tcBorders>
              <w:tl2br w:val="nil"/>
              <w:tr2bl w:val="nil"/>
            </w:tcBorders>
            <w:noWrap w:val="0"/>
            <w:vAlign w:val="center"/>
          </w:tcPr>
          <w:p w14:paraId="349D4AE4">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用于违约代偿以外的，不得分。</w:t>
            </w:r>
          </w:p>
        </w:tc>
        <w:tc>
          <w:tcPr>
            <w:tcW w:w="894" w:type="dxa"/>
            <w:tcBorders>
              <w:tl2br w:val="nil"/>
              <w:tr2bl w:val="nil"/>
            </w:tcBorders>
            <w:noWrap w:val="0"/>
            <w:vAlign w:val="center"/>
          </w:tcPr>
          <w:p w14:paraId="2B87BD1E">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1"/>
                <w:szCs w:val="21"/>
                <w:highlight w:val="none"/>
                <w:lang w:val="en-US" w:eastAsia="zh-CN"/>
              </w:rPr>
            </w:pPr>
          </w:p>
        </w:tc>
      </w:tr>
      <w:tr w14:paraId="6E2A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192" w:type="dxa"/>
            <w:vMerge w:val="continue"/>
            <w:tcBorders>
              <w:tl2br w:val="nil"/>
              <w:tr2bl w:val="nil"/>
            </w:tcBorders>
            <w:noWrap w:val="0"/>
            <w:vAlign w:val="center"/>
          </w:tcPr>
          <w:p w14:paraId="520E7079">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tc>
        <w:tc>
          <w:tcPr>
            <w:tcW w:w="2085" w:type="dxa"/>
            <w:vMerge w:val="continue"/>
            <w:tcBorders>
              <w:tl2br w:val="nil"/>
              <w:tr2bl w:val="nil"/>
            </w:tcBorders>
            <w:noWrap w:val="0"/>
            <w:vAlign w:val="center"/>
          </w:tcPr>
          <w:p w14:paraId="37F7599E">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893" w:type="dxa"/>
            <w:tcBorders>
              <w:tl2br w:val="nil"/>
              <w:tr2bl w:val="nil"/>
            </w:tcBorders>
            <w:noWrap w:val="0"/>
            <w:vAlign w:val="center"/>
          </w:tcPr>
          <w:p w14:paraId="07F7718E">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5</w:t>
            </w:r>
          </w:p>
        </w:tc>
        <w:tc>
          <w:tcPr>
            <w:tcW w:w="4554" w:type="dxa"/>
            <w:tcBorders>
              <w:tl2br w:val="nil"/>
              <w:tr2bl w:val="nil"/>
            </w:tcBorders>
            <w:noWrap w:val="0"/>
            <w:vAlign w:val="center"/>
          </w:tcPr>
          <w:p w14:paraId="6BB25D8D">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按月向监管部门报送客户保证金余额及明细。</w:t>
            </w:r>
          </w:p>
        </w:tc>
        <w:tc>
          <w:tcPr>
            <w:tcW w:w="4555" w:type="dxa"/>
            <w:tcBorders>
              <w:tl2br w:val="nil"/>
              <w:tr2bl w:val="nil"/>
            </w:tcBorders>
            <w:noWrap w:val="0"/>
            <w:vAlign w:val="center"/>
          </w:tcPr>
          <w:p w14:paraId="0FE0067B">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按规定执行得3分，否则不得分。</w:t>
            </w:r>
          </w:p>
        </w:tc>
        <w:tc>
          <w:tcPr>
            <w:tcW w:w="894" w:type="dxa"/>
            <w:tcBorders>
              <w:tl2br w:val="nil"/>
              <w:tr2bl w:val="nil"/>
            </w:tcBorders>
            <w:noWrap w:val="0"/>
            <w:vAlign w:val="center"/>
          </w:tcPr>
          <w:p w14:paraId="19820665">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1"/>
                <w:szCs w:val="21"/>
                <w:highlight w:val="none"/>
                <w:lang w:val="en-US" w:eastAsia="zh-CN"/>
              </w:rPr>
            </w:pPr>
          </w:p>
        </w:tc>
      </w:tr>
      <w:tr w14:paraId="6A92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192" w:type="dxa"/>
            <w:vMerge w:val="continue"/>
            <w:tcBorders>
              <w:tl2br w:val="nil"/>
              <w:tr2bl w:val="nil"/>
            </w:tcBorders>
            <w:noWrap w:val="0"/>
            <w:vAlign w:val="center"/>
          </w:tcPr>
          <w:p w14:paraId="5272AE98">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tc>
        <w:tc>
          <w:tcPr>
            <w:tcW w:w="2085" w:type="dxa"/>
            <w:vMerge w:val="continue"/>
            <w:tcBorders>
              <w:tl2br w:val="nil"/>
              <w:tr2bl w:val="nil"/>
            </w:tcBorders>
            <w:noWrap w:val="0"/>
            <w:vAlign w:val="center"/>
          </w:tcPr>
          <w:p w14:paraId="01FCDD9D">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893" w:type="dxa"/>
            <w:tcBorders>
              <w:tl2br w:val="nil"/>
              <w:tr2bl w:val="nil"/>
            </w:tcBorders>
            <w:noWrap w:val="0"/>
            <w:vAlign w:val="center"/>
          </w:tcPr>
          <w:p w14:paraId="47A3840F">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3</w:t>
            </w:r>
          </w:p>
        </w:tc>
        <w:tc>
          <w:tcPr>
            <w:tcW w:w="4554" w:type="dxa"/>
            <w:tcBorders>
              <w:tl2br w:val="nil"/>
              <w:tr2bl w:val="nil"/>
            </w:tcBorders>
            <w:noWrap w:val="0"/>
            <w:vAlign w:val="center"/>
          </w:tcPr>
          <w:p w14:paraId="7EACADBF">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存入保证金不能大于存出保证金。</w:t>
            </w:r>
          </w:p>
        </w:tc>
        <w:tc>
          <w:tcPr>
            <w:tcW w:w="4555" w:type="dxa"/>
            <w:tcBorders>
              <w:tl2br w:val="nil"/>
              <w:tr2bl w:val="nil"/>
            </w:tcBorders>
            <w:noWrap w:val="0"/>
            <w:vAlign w:val="center"/>
          </w:tcPr>
          <w:p w14:paraId="6C637CC6">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存入保证金超出存出保证金的，每超出1个百分点扣1分，扣完为止。</w:t>
            </w:r>
            <w:r>
              <w:rPr>
                <w:rFonts w:hint="eastAsia" w:ascii="Times New Roman" w:hAnsi="Times New Roman" w:eastAsia="仿宋_GB2312" w:cs="Times New Roman"/>
                <w:color w:val="auto"/>
                <w:kern w:val="0"/>
                <w:sz w:val="21"/>
                <w:szCs w:val="21"/>
                <w:highlight w:val="none"/>
                <w:lang w:val="en-US" w:eastAsia="zh-CN"/>
              </w:rPr>
              <w:t>账</w:t>
            </w:r>
            <w:r>
              <w:rPr>
                <w:rFonts w:hint="default" w:ascii="Times New Roman" w:hAnsi="Times New Roman" w:eastAsia="仿宋_GB2312" w:cs="Times New Roman"/>
                <w:color w:val="auto"/>
                <w:kern w:val="0"/>
                <w:sz w:val="21"/>
                <w:szCs w:val="21"/>
                <w:highlight w:val="none"/>
                <w:lang w:val="en-US" w:eastAsia="zh-CN"/>
              </w:rPr>
              <w:t>外收取的不得分。</w:t>
            </w:r>
          </w:p>
        </w:tc>
        <w:tc>
          <w:tcPr>
            <w:tcW w:w="894" w:type="dxa"/>
            <w:tcBorders>
              <w:tl2br w:val="nil"/>
              <w:tr2bl w:val="nil"/>
            </w:tcBorders>
            <w:noWrap w:val="0"/>
            <w:vAlign w:val="center"/>
          </w:tcPr>
          <w:p w14:paraId="075F3043">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1"/>
                <w:szCs w:val="21"/>
                <w:highlight w:val="none"/>
                <w:lang w:val="en-US" w:eastAsia="zh-CN"/>
              </w:rPr>
            </w:pPr>
          </w:p>
        </w:tc>
      </w:tr>
      <w:tr w14:paraId="5001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192" w:type="dxa"/>
            <w:vMerge w:val="continue"/>
            <w:tcBorders>
              <w:tl2br w:val="nil"/>
              <w:tr2bl w:val="nil"/>
            </w:tcBorders>
            <w:noWrap w:val="0"/>
            <w:vAlign w:val="center"/>
          </w:tcPr>
          <w:p w14:paraId="30C56AAB">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tc>
        <w:tc>
          <w:tcPr>
            <w:tcW w:w="2085" w:type="dxa"/>
            <w:vMerge w:val="continue"/>
            <w:tcBorders>
              <w:tl2br w:val="nil"/>
              <w:tr2bl w:val="nil"/>
            </w:tcBorders>
            <w:noWrap w:val="0"/>
            <w:vAlign w:val="center"/>
          </w:tcPr>
          <w:p w14:paraId="14430EEE">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893" w:type="dxa"/>
            <w:tcBorders>
              <w:tl2br w:val="nil"/>
              <w:tr2bl w:val="nil"/>
            </w:tcBorders>
            <w:noWrap w:val="0"/>
            <w:vAlign w:val="center"/>
          </w:tcPr>
          <w:p w14:paraId="5643C4F4">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3</w:t>
            </w:r>
          </w:p>
        </w:tc>
        <w:tc>
          <w:tcPr>
            <w:tcW w:w="4554" w:type="dxa"/>
            <w:tcBorders>
              <w:tl2br w:val="nil"/>
              <w:tr2bl w:val="nil"/>
            </w:tcBorders>
            <w:noWrap w:val="0"/>
            <w:vAlign w:val="center"/>
          </w:tcPr>
          <w:p w14:paraId="78A2082E">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解保后及时退还保证金。</w:t>
            </w:r>
          </w:p>
        </w:tc>
        <w:tc>
          <w:tcPr>
            <w:tcW w:w="4555" w:type="dxa"/>
            <w:tcBorders>
              <w:tl2br w:val="nil"/>
              <w:tr2bl w:val="nil"/>
            </w:tcBorders>
            <w:noWrap w:val="0"/>
            <w:vAlign w:val="center"/>
          </w:tcPr>
          <w:p w14:paraId="2DD2D6D2">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按规定执行得3分，否则不得分。</w:t>
            </w:r>
          </w:p>
        </w:tc>
        <w:tc>
          <w:tcPr>
            <w:tcW w:w="894" w:type="dxa"/>
            <w:tcBorders>
              <w:tl2br w:val="nil"/>
              <w:tr2bl w:val="nil"/>
            </w:tcBorders>
            <w:noWrap w:val="0"/>
            <w:vAlign w:val="center"/>
          </w:tcPr>
          <w:p w14:paraId="336CEB5B">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1"/>
                <w:szCs w:val="21"/>
                <w:highlight w:val="none"/>
                <w:lang w:val="en-US" w:eastAsia="zh-CN"/>
              </w:rPr>
            </w:pPr>
          </w:p>
        </w:tc>
      </w:tr>
      <w:tr w14:paraId="0193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192" w:type="dxa"/>
            <w:vMerge w:val="restart"/>
            <w:tcBorders>
              <w:tl2br w:val="nil"/>
              <w:tr2bl w:val="nil"/>
            </w:tcBorders>
            <w:noWrap w:val="0"/>
            <w:vAlign w:val="center"/>
          </w:tcPr>
          <w:p w14:paraId="2A3C901E">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p w14:paraId="4F37B810">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p w14:paraId="25B53492">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p w14:paraId="077C26BA">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p w14:paraId="3606D3B9">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p w14:paraId="4AD43B29">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p w14:paraId="623023C3">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p w14:paraId="101022A2">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p w14:paraId="120324B2">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p w14:paraId="22DFEF15">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p w14:paraId="538B551B">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p w14:paraId="5AAA23EE">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风险</w:t>
            </w:r>
          </w:p>
          <w:p w14:paraId="3CEA4694">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管理</w:t>
            </w:r>
          </w:p>
          <w:p w14:paraId="1E65B788">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cs="Times New Roman"/>
                <w:b/>
                <w:bCs/>
                <w:color w:val="auto"/>
                <w:kern w:val="0"/>
                <w:sz w:val="21"/>
                <w:szCs w:val="21"/>
                <w:highlight w:val="none"/>
                <w:lang w:val="en-US" w:eastAsia="zh-CN"/>
              </w:rPr>
              <w:t>（</w:t>
            </w:r>
            <w:r>
              <w:rPr>
                <w:rFonts w:hint="eastAsia" w:ascii="Times New Roman" w:hAnsi="Times New Roman" w:cs="Times New Roman"/>
                <w:b/>
                <w:bCs/>
                <w:color w:val="auto"/>
                <w:kern w:val="0"/>
                <w:sz w:val="21"/>
                <w:szCs w:val="21"/>
                <w:highlight w:val="none"/>
                <w:lang w:val="en-US" w:eastAsia="zh-CN"/>
              </w:rPr>
              <w:t>35</w:t>
            </w:r>
            <w:r>
              <w:rPr>
                <w:rFonts w:hint="default" w:ascii="Times New Roman" w:hAnsi="Times New Roman" w:eastAsia="仿宋_GB2312" w:cs="Times New Roman"/>
                <w:b/>
                <w:bCs/>
                <w:color w:val="auto"/>
                <w:kern w:val="0"/>
                <w:sz w:val="21"/>
                <w:szCs w:val="21"/>
                <w:highlight w:val="none"/>
                <w:lang w:val="en-US" w:eastAsia="zh-CN"/>
              </w:rPr>
              <w:t>分</w:t>
            </w:r>
            <w:r>
              <w:rPr>
                <w:rFonts w:hint="default" w:ascii="Times New Roman" w:hAnsi="Times New Roman" w:cs="Times New Roman"/>
                <w:b/>
                <w:bCs/>
                <w:color w:val="auto"/>
                <w:kern w:val="0"/>
                <w:sz w:val="21"/>
                <w:szCs w:val="21"/>
                <w:highlight w:val="none"/>
                <w:lang w:val="en-US" w:eastAsia="zh-CN"/>
              </w:rPr>
              <w:t>）</w:t>
            </w:r>
          </w:p>
        </w:tc>
        <w:tc>
          <w:tcPr>
            <w:tcW w:w="2085" w:type="dxa"/>
            <w:tcBorders>
              <w:tl2br w:val="nil"/>
              <w:tr2bl w:val="nil"/>
            </w:tcBorders>
            <w:noWrap w:val="0"/>
            <w:vAlign w:val="center"/>
          </w:tcPr>
          <w:p w14:paraId="1D948D1D">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足额</w:t>
            </w:r>
            <w:r>
              <w:rPr>
                <w:rFonts w:hint="eastAsia" w:ascii="Times New Roman" w:hAnsi="Times New Roman" w:eastAsia="仿宋_GB2312" w:cs="Times New Roman"/>
                <w:b/>
                <w:bCs/>
                <w:color w:val="auto"/>
                <w:kern w:val="0"/>
                <w:sz w:val="21"/>
                <w:szCs w:val="21"/>
                <w:highlight w:val="none"/>
                <w:lang w:val="en-US" w:eastAsia="zh-CN"/>
              </w:rPr>
              <w:t>计提</w:t>
            </w:r>
            <w:r>
              <w:rPr>
                <w:rFonts w:hint="default" w:ascii="Times New Roman" w:hAnsi="Times New Roman" w:eastAsia="仿宋_GB2312" w:cs="Times New Roman"/>
                <w:b/>
                <w:bCs/>
                <w:color w:val="auto"/>
                <w:kern w:val="0"/>
                <w:sz w:val="21"/>
                <w:szCs w:val="21"/>
                <w:highlight w:val="none"/>
                <w:lang w:val="en-US" w:eastAsia="zh-CN"/>
              </w:rPr>
              <w:t>准备金</w:t>
            </w:r>
          </w:p>
        </w:tc>
        <w:tc>
          <w:tcPr>
            <w:tcW w:w="893" w:type="dxa"/>
            <w:tcBorders>
              <w:tl2br w:val="nil"/>
              <w:tr2bl w:val="nil"/>
            </w:tcBorders>
            <w:noWrap w:val="0"/>
            <w:vAlign w:val="center"/>
          </w:tcPr>
          <w:p w14:paraId="0C39DC41">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3</w:t>
            </w:r>
          </w:p>
        </w:tc>
        <w:tc>
          <w:tcPr>
            <w:tcW w:w="4554" w:type="dxa"/>
            <w:tcBorders>
              <w:tl2br w:val="nil"/>
              <w:tr2bl w:val="nil"/>
            </w:tcBorders>
            <w:noWrap w:val="0"/>
            <w:vAlign w:val="center"/>
          </w:tcPr>
          <w:p w14:paraId="0541352E">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按当年担保费收入的50%提取未到期责任准备金，并按不低于当年年末担保责任余额1%的比例提取担保赔偿准备金。担保赔偿准备金累计达到当年担保责任余额10%的，实行差额提取。</w:t>
            </w:r>
          </w:p>
        </w:tc>
        <w:tc>
          <w:tcPr>
            <w:tcW w:w="4555" w:type="dxa"/>
            <w:tcBorders>
              <w:tl2br w:val="nil"/>
              <w:tr2bl w:val="nil"/>
            </w:tcBorders>
            <w:noWrap w:val="0"/>
            <w:vAlign w:val="center"/>
          </w:tcPr>
          <w:p w14:paraId="4412DBE0">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符合要求得满分，否则不得分。</w:t>
            </w:r>
          </w:p>
        </w:tc>
        <w:tc>
          <w:tcPr>
            <w:tcW w:w="894" w:type="dxa"/>
            <w:tcBorders>
              <w:tl2br w:val="nil"/>
              <w:tr2bl w:val="nil"/>
            </w:tcBorders>
            <w:noWrap w:val="0"/>
            <w:vAlign w:val="center"/>
          </w:tcPr>
          <w:p w14:paraId="653D9192">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1"/>
                <w:szCs w:val="21"/>
                <w:highlight w:val="none"/>
                <w:lang w:val="en-US" w:eastAsia="zh-CN"/>
              </w:rPr>
            </w:pPr>
          </w:p>
        </w:tc>
      </w:tr>
      <w:tr w14:paraId="04CD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192" w:type="dxa"/>
            <w:vMerge w:val="continue"/>
            <w:tcBorders>
              <w:tl2br w:val="nil"/>
              <w:tr2bl w:val="nil"/>
            </w:tcBorders>
            <w:noWrap w:val="0"/>
            <w:vAlign w:val="center"/>
          </w:tcPr>
          <w:p w14:paraId="3507FF23">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tc>
        <w:tc>
          <w:tcPr>
            <w:tcW w:w="2085" w:type="dxa"/>
            <w:vMerge w:val="restart"/>
            <w:tcBorders>
              <w:tl2br w:val="nil"/>
              <w:tr2bl w:val="nil"/>
            </w:tcBorders>
            <w:noWrap w:val="0"/>
            <w:vAlign w:val="center"/>
          </w:tcPr>
          <w:p w14:paraId="0A06DF77">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满足业务集中度要求</w:t>
            </w:r>
          </w:p>
        </w:tc>
        <w:tc>
          <w:tcPr>
            <w:tcW w:w="893" w:type="dxa"/>
            <w:tcBorders>
              <w:tl2br w:val="nil"/>
              <w:tr2bl w:val="nil"/>
            </w:tcBorders>
            <w:noWrap w:val="0"/>
            <w:vAlign w:val="center"/>
          </w:tcPr>
          <w:p w14:paraId="351B4590">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3</w:t>
            </w:r>
          </w:p>
        </w:tc>
        <w:tc>
          <w:tcPr>
            <w:tcW w:w="4554" w:type="dxa"/>
            <w:tcBorders>
              <w:tl2br w:val="nil"/>
              <w:tr2bl w:val="nil"/>
            </w:tcBorders>
            <w:noWrap w:val="0"/>
            <w:vAlign w:val="center"/>
          </w:tcPr>
          <w:p w14:paraId="5E8CE867">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单个被担保人的融资担保责任余额不得超过净资产10%。</w:t>
            </w:r>
          </w:p>
        </w:tc>
        <w:tc>
          <w:tcPr>
            <w:tcW w:w="4555" w:type="dxa"/>
            <w:tcBorders>
              <w:tl2br w:val="nil"/>
              <w:tr2bl w:val="nil"/>
            </w:tcBorders>
            <w:noWrap w:val="0"/>
            <w:vAlign w:val="center"/>
          </w:tcPr>
          <w:p w14:paraId="467346F4">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符合要求得满分，否则不得分。</w:t>
            </w:r>
          </w:p>
        </w:tc>
        <w:tc>
          <w:tcPr>
            <w:tcW w:w="894" w:type="dxa"/>
            <w:tcBorders>
              <w:tl2br w:val="nil"/>
              <w:tr2bl w:val="nil"/>
            </w:tcBorders>
            <w:noWrap w:val="0"/>
            <w:vAlign w:val="center"/>
          </w:tcPr>
          <w:p w14:paraId="5E61195D">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1"/>
                <w:szCs w:val="21"/>
                <w:highlight w:val="none"/>
                <w:lang w:val="en-US" w:eastAsia="zh-CN"/>
              </w:rPr>
            </w:pPr>
          </w:p>
        </w:tc>
      </w:tr>
      <w:tr w14:paraId="7B3A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192" w:type="dxa"/>
            <w:vMerge w:val="continue"/>
            <w:tcBorders>
              <w:tl2br w:val="nil"/>
              <w:tr2bl w:val="nil"/>
            </w:tcBorders>
            <w:noWrap w:val="0"/>
            <w:vAlign w:val="center"/>
          </w:tcPr>
          <w:p w14:paraId="0E7DDCB8">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tc>
        <w:tc>
          <w:tcPr>
            <w:tcW w:w="2085" w:type="dxa"/>
            <w:vMerge w:val="continue"/>
            <w:tcBorders>
              <w:tl2br w:val="nil"/>
              <w:tr2bl w:val="nil"/>
            </w:tcBorders>
            <w:noWrap w:val="0"/>
            <w:vAlign w:val="center"/>
          </w:tcPr>
          <w:p w14:paraId="48166DA0">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893" w:type="dxa"/>
            <w:tcBorders>
              <w:tl2br w:val="nil"/>
              <w:tr2bl w:val="nil"/>
            </w:tcBorders>
            <w:noWrap w:val="0"/>
            <w:vAlign w:val="center"/>
          </w:tcPr>
          <w:p w14:paraId="3D3C9B81">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3</w:t>
            </w:r>
          </w:p>
        </w:tc>
        <w:tc>
          <w:tcPr>
            <w:tcW w:w="4554" w:type="dxa"/>
            <w:tcBorders>
              <w:tl2br w:val="nil"/>
              <w:tr2bl w:val="nil"/>
            </w:tcBorders>
            <w:noWrap w:val="0"/>
            <w:vAlign w:val="center"/>
          </w:tcPr>
          <w:p w14:paraId="7CA273AD">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单个被担保人及其关联方的融资担保责任余额不得超过净资产15%。</w:t>
            </w:r>
          </w:p>
        </w:tc>
        <w:tc>
          <w:tcPr>
            <w:tcW w:w="4555" w:type="dxa"/>
            <w:tcBorders>
              <w:tl2br w:val="nil"/>
              <w:tr2bl w:val="nil"/>
            </w:tcBorders>
            <w:noWrap w:val="0"/>
            <w:vAlign w:val="center"/>
          </w:tcPr>
          <w:p w14:paraId="7DE34167">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符合要求得满分，否则不得分。</w:t>
            </w:r>
          </w:p>
        </w:tc>
        <w:tc>
          <w:tcPr>
            <w:tcW w:w="894" w:type="dxa"/>
            <w:tcBorders>
              <w:tl2br w:val="nil"/>
              <w:tr2bl w:val="nil"/>
            </w:tcBorders>
            <w:noWrap w:val="0"/>
            <w:vAlign w:val="center"/>
          </w:tcPr>
          <w:p w14:paraId="7022C07A">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1"/>
                <w:szCs w:val="21"/>
                <w:highlight w:val="none"/>
                <w:lang w:val="en-US" w:eastAsia="zh-CN"/>
              </w:rPr>
            </w:pPr>
          </w:p>
        </w:tc>
      </w:tr>
      <w:tr w14:paraId="7DBF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92" w:type="dxa"/>
            <w:vMerge w:val="continue"/>
            <w:tcBorders>
              <w:tl2br w:val="nil"/>
              <w:tr2bl w:val="nil"/>
            </w:tcBorders>
            <w:noWrap w:val="0"/>
            <w:vAlign w:val="center"/>
          </w:tcPr>
          <w:p w14:paraId="5B9C833F">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tc>
        <w:tc>
          <w:tcPr>
            <w:tcW w:w="2085" w:type="dxa"/>
            <w:vMerge w:val="continue"/>
            <w:tcBorders>
              <w:tl2br w:val="nil"/>
              <w:tr2bl w:val="nil"/>
            </w:tcBorders>
            <w:noWrap w:val="0"/>
            <w:vAlign w:val="center"/>
          </w:tcPr>
          <w:p w14:paraId="20456C04">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893" w:type="dxa"/>
            <w:tcBorders>
              <w:tl2br w:val="nil"/>
              <w:tr2bl w:val="nil"/>
            </w:tcBorders>
            <w:noWrap w:val="0"/>
            <w:vAlign w:val="center"/>
          </w:tcPr>
          <w:p w14:paraId="42E022DE">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3</w:t>
            </w:r>
          </w:p>
        </w:tc>
        <w:tc>
          <w:tcPr>
            <w:tcW w:w="4554" w:type="dxa"/>
            <w:tcBorders>
              <w:tl2br w:val="nil"/>
              <w:tr2bl w:val="nil"/>
            </w:tcBorders>
            <w:noWrap w:val="0"/>
            <w:vAlign w:val="center"/>
          </w:tcPr>
          <w:p w14:paraId="38407624">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单个被担保人的发行债券担保责任余额不得超过净资产30%。</w:t>
            </w:r>
          </w:p>
        </w:tc>
        <w:tc>
          <w:tcPr>
            <w:tcW w:w="4555" w:type="dxa"/>
            <w:tcBorders>
              <w:tl2br w:val="nil"/>
              <w:tr2bl w:val="nil"/>
            </w:tcBorders>
            <w:noWrap w:val="0"/>
            <w:vAlign w:val="center"/>
          </w:tcPr>
          <w:p w14:paraId="1E30B2CB">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符合要求得满分，否则不得分。</w:t>
            </w:r>
          </w:p>
        </w:tc>
        <w:tc>
          <w:tcPr>
            <w:tcW w:w="894" w:type="dxa"/>
            <w:tcBorders>
              <w:tl2br w:val="nil"/>
              <w:tr2bl w:val="nil"/>
            </w:tcBorders>
            <w:noWrap w:val="0"/>
            <w:vAlign w:val="center"/>
          </w:tcPr>
          <w:p w14:paraId="32F709D0">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1"/>
                <w:szCs w:val="21"/>
                <w:highlight w:val="none"/>
                <w:lang w:val="en-US" w:eastAsia="zh-CN"/>
              </w:rPr>
            </w:pPr>
          </w:p>
        </w:tc>
      </w:tr>
      <w:tr w14:paraId="00A1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3" w:hRule="atLeast"/>
        </w:trPr>
        <w:tc>
          <w:tcPr>
            <w:tcW w:w="1192" w:type="dxa"/>
            <w:vMerge w:val="continue"/>
            <w:tcBorders>
              <w:tl2br w:val="nil"/>
              <w:tr2bl w:val="nil"/>
            </w:tcBorders>
            <w:noWrap w:val="0"/>
            <w:vAlign w:val="center"/>
          </w:tcPr>
          <w:p w14:paraId="5476C38C">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tc>
        <w:tc>
          <w:tcPr>
            <w:tcW w:w="2085" w:type="dxa"/>
            <w:vMerge w:val="restart"/>
            <w:tcBorders>
              <w:tl2br w:val="nil"/>
              <w:tr2bl w:val="nil"/>
            </w:tcBorders>
            <w:noWrap w:val="0"/>
            <w:vAlign w:val="center"/>
          </w:tcPr>
          <w:p w14:paraId="789C5DBF">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eastAsia" w:ascii="Times New Roman" w:hAnsi="Times New Roman" w:eastAsia="仿宋_GB2312" w:cs="Times New Roman"/>
                <w:b/>
                <w:bCs/>
                <w:color w:val="auto"/>
                <w:kern w:val="0"/>
                <w:sz w:val="21"/>
                <w:szCs w:val="21"/>
                <w:highlight w:val="none"/>
                <w:lang w:val="en-US" w:eastAsia="zh-CN"/>
              </w:rPr>
              <w:t>注册资本管理</w:t>
            </w:r>
          </w:p>
        </w:tc>
        <w:tc>
          <w:tcPr>
            <w:tcW w:w="893" w:type="dxa"/>
            <w:tcBorders>
              <w:tl2br w:val="nil"/>
              <w:tr2bl w:val="nil"/>
            </w:tcBorders>
            <w:noWrap w:val="0"/>
            <w:vAlign w:val="center"/>
          </w:tcPr>
          <w:p w14:paraId="5068ECFC">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4</w:t>
            </w:r>
          </w:p>
        </w:tc>
        <w:tc>
          <w:tcPr>
            <w:tcW w:w="4554" w:type="dxa"/>
            <w:tcBorders>
              <w:tl2br w:val="nil"/>
              <w:tr2bl w:val="nil"/>
            </w:tcBorders>
            <w:noWrap w:val="0"/>
            <w:vAlign w:val="center"/>
          </w:tcPr>
          <w:p w14:paraId="6A38B94C">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rPr>
              <w:t>按规定比例托管注册资本金。</w:t>
            </w:r>
          </w:p>
        </w:tc>
        <w:tc>
          <w:tcPr>
            <w:tcW w:w="4555" w:type="dxa"/>
            <w:tcBorders>
              <w:tl2br w:val="nil"/>
              <w:tr2bl w:val="nil"/>
            </w:tcBorders>
            <w:noWrap w:val="0"/>
            <w:vAlign w:val="center"/>
          </w:tcPr>
          <w:p w14:paraId="20C26E35">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rPr>
              <w:t>按规定比例托管注册资本金得满分，否则不得分。</w:t>
            </w:r>
          </w:p>
        </w:tc>
        <w:tc>
          <w:tcPr>
            <w:tcW w:w="894" w:type="dxa"/>
            <w:tcBorders>
              <w:tl2br w:val="nil"/>
              <w:tr2bl w:val="nil"/>
            </w:tcBorders>
            <w:noWrap w:val="0"/>
            <w:vAlign w:val="center"/>
          </w:tcPr>
          <w:p w14:paraId="064D170D">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1"/>
                <w:szCs w:val="21"/>
                <w:highlight w:val="none"/>
                <w:lang w:val="en-US" w:eastAsia="zh-CN"/>
              </w:rPr>
            </w:pPr>
          </w:p>
        </w:tc>
      </w:tr>
      <w:tr w14:paraId="66EA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14" w:hRule="atLeast"/>
        </w:trPr>
        <w:tc>
          <w:tcPr>
            <w:tcW w:w="1192" w:type="dxa"/>
            <w:vMerge w:val="continue"/>
            <w:tcBorders>
              <w:tl2br w:val="nil"/>
              <w:tr2bl w:val="nil"/>
            </w:tcBorders>
            <w:noWrap w:val="0"/>
            <w:vAlign w:val="center"/>
          </w:tcPr>
          <w:p w14:paraId="0C1F1340">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tc>
        <w:tc>
          <w:tcPr>
            <w:tcW w:w="2085" w:type="dxa"/>
            <w:vMerge w:val="continue"/>
            <w:tcBorders>
              <w:tl2br w:val="nil"/>
              <w:tr2bl w:val="nil"/>
            </w:tcBorders>
            <w:noWrap w:val="0"/>
            <w:vAlign w:val="center"/>
          </w:tcPr>
          <w:p w14:paraId="0BFCC9F9">
            <w:pPr>
              <w:widowControl/>
              <w:spacing w:beforeLines="0" w:afterLines="0" w:line="260" w:lineRule="exact"/>
              <w:jc w:val="center"/>
              <w:textAlignment w:val="center"/>
              <w:rPr>
                <w:rFonts w:hint="eastAsia" w:ascii="Times New Roman" w:hAnsi="Times New Roman" w:eastAsia="仿宋_GB2312" w:cs="Times New Roman"/>
                <w:b/>
                <w:bCs/>
                <w:color w:val="auto"/>
                <w:kern w:val="0"/>
                <w:sz w:val="21"/>
                <w:szCs w:val="21"/>
                <w:highlight w:val="none"/>
                <w:lang w:val="en-US" w:eastAsia="zh-CN"/>
              </w:rPr>
            </w:pPr>
          </w:p>
        </w:tc>
        <w:tc>
          <w:tcPr>
            <w:tcW w:w="893" w:type="dxa"/>
            <w:tcBorders>
              <w:tl2br w:val="nil"/>
              <w:tr2bl w:val="nil"/>
            </w:tcBorders>
            <w:noWrap w:val="0"/>
            <w:vAlign w:val="center"/>
          </w:tcPr>
          <w:p w14:paraId="56297439">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3</w:t>
            </w:r>
          </w:p>
        </w:tc>
        <w:tc>
          <w:tcPr>
            <w:tcW w:w="4554" w:type="dxa"/>
            <w:tcBorders>
              <w:tl2br w:val="nil"/>
              <w:tr2bl w:val="nil"/>
            </w:tcBorders>
            <w:noWrap w:val="0"/>
            <w:vAlign w:val="center"/>
          </w:tcPr>
          <w:p w14:paraId="1780A4FB">
            <w:pPr>
              <w:widowControl/>
              <w:spacing w:beforeLines="0" w:afterLines="0" w:line="260" w:lineRule="exact"/>
              <w:jc w:val="both"/>
              <w:textAlignment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托管资金的使用范围：</w:t>
            </w:r>
          </w:p>
          <w:p w14:paraId="484F57C0">
            <w:pPr>
              <w:pStyle w:val="2"/>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1.融资性担保业务基础保证金（或固定保证金）、业务保证金（或浮动保证金）；</w:t>
            </w:r>
          </w:p>
          <w:p w14:paraId="31F644AB">
            <w:pPr>
              <w:pStyle w:val="2"/>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2.代偿支付；</w:t>
            </w:r>
          </w:p>
          <w:p w14:paraId="1B577D3F">
            <w:pPr>
              <w:pStyle w:val="2"/>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3.监管部门允许的其他用途。</w:t>
            </w:r>
          </w:p>
        </w:tc>
        <w:tc>
          <w:tcPr>
            <w:tcW w:w="4555" w:type="dxa"/>
            <w:tcBorders>
              <w:tl2br w:val="nil"/>
              <w:tr2bl w:val="nil"/>
            </w:tcBorders>
            <w:noWrap w:val="0"/>
            <w:vAlign w:val="center"/>
          </w:tcPr>
          <w:p w14:paraId="30547841">
            <w:pPr>
              <w:widowControl/>
              <w:spacing w:beforeLines="0" w:afterLines="0" w:line="260" w:lineRule="exact"/>
              <w:jc w:val="both"/>
              <w:textAlignment w:val="center"/>
              <w:rPr>
                <w:rFonts w:hint="default"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21"/>
                <w:szCs w:val="21"/>
                <w:highlight w:val="none"/>
                <w:lang w:val="en-US" w:eastAsia="zh-CN"/>
              </w:rPr>
              <w:t>按规定使用托管资金得满分，否则不得分。</w:t>
            </w:r>
          </w:p>
        </w:tc>
        <w:tc>
          <w:tcPr>
            <w:tcW w:w="894" w:type="dxa"/>
            <w:tcBorders>
              <w:tl2br w:val="nil"/>
              <w:tr2bl w:val="nil"/>
            </w:tcBorders>
            <w:noWrap w:val="0"/>
            <w:vAlign w:val="center"/>
          </w:tcPr>
          <w:p w14:paraId="38CF277D">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1"/>
                <w:szCs w:val="21"/>
                <w:highlight w:val="none"/>
                <w:lang w:val="en-US" w:eastAsia="zh-CN"/>
              </w:rPr>
            </w:pPr>
          </w:p>
        </w:tc>
      </w:tr>
      <w:tr w14:paraId="0E983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192" w:type="dxa"/>
            <w:vMerge w:val="continue"/>
            <w:tcBorders>
              <w:tl2br w:val="nil"/>
              <w:tr2bl w:val="nil"/>
            </w:tcBorders>
            <w:noWrap w:val="0"/>
            <w:vAlign w:val="center"/>
          </w:tcPr>
          <w:p w14:paraId="5302769C">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tc>
        <w:tc>
          <w:tcPr>
            <w:tcW w:w="2085" w:type="dxa"/>
            <w:tcBorders>
              <w:tl2br w:val="nil"/>
              <w:tr2bl w:val="nil"/>
            </w:tcBorders>
            <w:noWrap w:val="0"/>
            <w:vAlign w:val="center"/>
          </w:tcPr>
          <w:p w14:paraId="4DCD242B">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各级资产符合监管要求</w:t>
            </w:r>
          </w:p>
        </w:tc>
        <w:tc>
          <w:tcPr>
            <w:tcW w:w="893" w:type="dxa"/>
            <w:tcBorders>
              <w:tl2br w:val="nil"/>
              <w:tr2bl w:val="nil"/>
            </w:tcBorders>
            <w:noWrap w:val="0"/>
            <w:vAlign w:val="center"/>
          </w:tcPr>
          <w:p w14:paraId="4877E0E6">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12</w:t>
            </w:r>
          </w:p>
        </w:tc>
        <w:tc>
          <w:tcPr>
            <w:tcW w:w="4554" w:type="dxa"/>
            <w:tcBorders>
              <w:tl2br w:val="nil"/>
              <w:tr2bl w:val="nil"/>
            </w:tcBorders>
            <w:noWrap w:val="0"/>
            <w:vAlign w:val="center"/>
          </w:tcPr>
          <w:p w14:paraId="0202F224">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满足《融资担保公司资产比例管理办法》规定的各</w:t>
            </w:r>
            <w:r>
              <w:rPr>
                <w:rFonts w:hint="eastAsia" w:ascii="Times New Roman" w:hAnsi="Times New Roman" w:eastAsia="仿宋_GB2312" w:cs="Times New Roman"/>
                <w:color w:val="auto"/>
                <w:kern w:val="0"/>
                <w:sz w:val="21"/>
                <w:szCs w:val="21"/>
                <w:highlight w:val="none"/>
                <w:lang w:val="en-US" w:eastAsia="zh-CN"/>
              </w:rPr>
              <w:t>项</w:t>
            </w:r>
            <w:r>
              <w:rPr>
                <w:rFonts w:hint="default" w:ascii="Times New Roman" w:hAnsi="Times New Roman" w:eastAsia="仿宋_GB2312" w:cs="Times New Roman"/>
                <w:color w:val="auto"/>
                <w:kern w:val="0"/>
                <w:sz w:val="21"/>
                <w:szCs w:val="21"/>
                <w:highlight w:val="none"/>
                <w:lang w:val="en-US" w:eastAsia="zh-CN"/>
              </w:rPr>
              <w:t>资产占比要求，即净资产与未到期责任准备金、担保赔偿准备金之和不低于资产总额的60%</w:t>
            </w:r>
            <w:r>
              <w:rPr>
                <w:rFonts w:hint="eastAsia" w:ascii="Times New Roman" w:hAnsi="Times New Roman" w:eastAsia="仿宋_GB2312" w:cs="Times New Roman"/>
                <w:color w:val="auto"/>
                <w:kern w:val="0"/>
                <w:sz w:val="21"/>
                <w:szCs w:val="21"/>
                <w:highlight w:val="none"/>
                <w:lang w:val="en-US" w:eastAsia="zh-CN"/>
              </w:rPr>
              <w:t>；</w:t>
            </w:r>
            <w:r>
              <w:rPr>
                <w:rFonts w:hint="default" w:ascii="Times New Roman" w:hAnsi="Times New Roman" w:eastAsia="仿宋_GB2312" w:cs="Times New Roman"/>
                <w:color w:val="auto"/>
                <w:kern w:val="0"/>
                <w:sz w:val="21"/>
                <w:szCs w:val="21"/>
                <w:highlight w:val="none"/>
                <w:lang w:val="en-US" w:eastAsia="zh-CN"/>
              </w:rPr>
              <w:t>融资担保公司Ⅰ级资产、Ⅱ级资产之和不得低于资产总额扣除应收代偿款后的70%；Ⅰ级资产不得低于资产总额扣除应收代偿款后的20%；Ⅲ级资产不得高于资产总额扣除应收代偿款后的30%。</w:t>
            </w:r>
          </w:p>
        </w:tc>
        <w:tc>
          <w:tcPr>
            <w:tcW w:w="4555" w:type="dxa"/>
            <w:tcBorders>
              <w:tl2br w:val="nil"/>
              <w:tr2bl w:val="nil"/>
            </w:tcBorders>
            <w:noWrap w:val="0"/>
            <w:vAlign w:val="center"/>
          </w:tcPr>
          <w:p w14:paraId="0751ECFE">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四</w:t>
            </w:r>
            <w:r>
              <w:rPr>
                <w:rFonts w:hint="default" w:ascii="Times New Roman" w:hAnsi="Times New Roman" w:eastAsia="仿宋_GB2312" w:cs="Times New Roman"/>
                <w:color w:val="auto"/>
                <w:kern w:val="0"/>
                <w:sz w:val="21"/>
                <w:szCs w:val="21"/>
                <w:highlight w:val="none"/>
                <w:lang w:val="en-US" w:eastAsia="zh-CN"/>
              </w:rPr>
              <w:t>项比例均符合的得满分，一项比例不达标的扣</w:t>
            </w:r>
            <w:r>
              <w:rPr>
                <w:rFonts w:hint="eastAsia" w:ascii="Times New Roman" w:hAnsi="Times New Roman" w:eastAsia="仿宋_GB2312" w:cs="Times New Roman"/>
                <w:color w:val="auto"/>
                <w:kern w:val="0"/>
                <w:sz w:val="21"/>
                <w:szCs w:val="21"/>
                <w:highlight w:val="none"/>
                <w:lang w:val="en-US" w:eastAsia="zh-CN"/>
              </w:rPr>
              <w:t>3</w:t>
            </w:r>
            <w:r>
              <w:rPr>
                <w:rFonts w:hint="default" w:ascii="Times New Roman" w:hAnsi="Times New Roman" w:eastAsia="仿宋_GB2312" w:cs="Times New Roman"/>
                <w:color w:val="auto"/>
                <w:kern w:val="0"/>
                <w:sz w:val="21"/>
                <w:szCs w:val="21"/>
                <w:highlight w:val="none"/>
                <w:lang w:val="en-US" w:eastAsia="zh-CN"/>
              </w:rPr>
              <w:t>分，扣完为止。</w:t>
            </w:r>
          </w:p>
        </w:tc>
        <w:tc>
          <w:tcPr>
            <w:tcW w:w="894" w:type="dxa"/>
            <w:tcBorders>
              <w:tl2br w:val="nil"/>
              <w:tr2bl w:val="nil"/>
            </w:tcBorders>
            <w:noWrap w:val="0"/>
            <w:vAlign w:val="center"/>
          </w:tcPr>
          <w:p w14:paraId="1E9E97C2">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1"/>
                <w:szCs w:val="21"/>
                <w:highlight w:val="none"/>
                <w:lang w:val="en-US" w:eastAsia="zh-CN"/>
              </w:rPr>
            </w:pPr>
          </w:p>
        </w:tc>
      </w:tr>
      <w:tr w14:paraId="326F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192" w:type="dxa"/>
            <w:vMerge w:val="continue"/>
            <w:tcBorders>
              <w:tl2br w:val="nil"/>
              <w:tr2bl w:val="nil"/>
            </w:tcBorders>
            <w:noWrap w:val="0"/>
            <w:vAlign w:val="center"/>
          </w:tcPr>
          <w:p w14:paraId="0AA9BA75">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tc>
        <w:tc>
          <w:tcPr>
            <w:tcW w:w="2085" w:type="dxa"/>
            <w:tcBorders>
              <w:tl2br w:val="nil"/>
              <w:tr2bl w:val="nil"/>
            </w:tcBorders>
            <w:noWrap w:val="0"/>
            <w:vAlign w:val="center"/>
          </w:tcPr>
          <w:p w14:paraId="5B3F8031">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eastAsia" w:ascii="Times New Roman" w:hAnsi="Times New Roman" w:eastAsia="仿宋_GB2312" w:cs="Times New Roman"/>
                <w:b/>
                <w:bCs/>
                <w:color w:val="auto"/>
                <w:kern w:val="0"/>
                <w:sz w:val="21"/>
                <w:szCs w:val="21"/>
                <w:highlight w:val="none"/>
                <w:lang w:val="en-US" w:eastAsia="zh-CN"/>
              </w:rPr>
              <w:t>代偿率管理</w:t>
            </w:r>
          </w:p>
        </w:tc>
        <w:tc>
          <w:tcPr>
            <w:tcW w:w="893" w:type="dxa"/>
            <w:tcBorders>
              <w:tl2br w:val="nil"/>
              <w:tr2bl w:val="nil"/>
            </w:tcBorders>
            <w:noWrap w:val="0"/>
            <w:vAlign w:val="center"/>
          </w:tcPr>
          <w:p w14:paraId="0E902C69">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4</w:t>
            </w:r>
          </w:p>
        </w:tc>
        <w:tc>
          <w:tcPr>
            <w:tcW w:w="4554" w:type="dxa"/>
            <w:tcBorders>
              <w:tl2br w:val="nil"/>
              <w:tr2bl w:val="nil"/>
            </w:tcBorders>
            <w:noWrap w:val="0"/>
            <w:vAlign w:val="center"/>
          </w:tcPr>
          <w:p w14:paraId="1BC53BC9">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根据当年不同代偿率区间计分。</w:t>
            </w:r>
          </w:p>
        </w:tc>
        <w:tc>
          <w:tcPr>
            <w:tcW w:w="4555" w:type="dxa"/>
            <w:tcBorders>
              <w:tl2br w:val="nil"/>
              <w:tr2bl w:val="nil"/>
            </w:tcBorders>
            <w:noWrap w:val="0"/>
            <w:vAlign w:val="center"/>
          </w:tcPr>
          <w:p w14:paraId="11F44FA2">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代偿率为</w:t>
            </w:r>
            <w:r>
              <w:rPr>
                <w:rFonts w:hint="eastAsia" w:ascii="Times New Roman" w:hAnsi="Times New Roman" w:eastAsia="仿宋_GB2312" w:cs="Times New Roman"/>
                <w:color w:val="auto"/>
                <w:kern w:val="0"/>
                <w:sz w:val="21"/>
                <w:szCs w:val="21"/>
                <w:highlight w:val="none"/>
                <w:lang w:val="en-US" w:eastAsia="zh-CN"/>
              </w:rPr>
              <w:t>5</w:t>
            </w:r>
            <w:r>
              <w:rPr>
                <w:rFonts w:hint="default" w:ascii="Times New Roman" w:hAnsi="Times New Roman" w:eastAsia="仿宋_GB2312" w:cs="Times New Roman"/>
                <w:color w:val="auto"/>
                <w:kern w:val="0"/>
                <w:sz w:val="21"/>
                <w:szCs w:val="21"/>
                <w:highlight w:val="none"/>
                <w:lang w:val="en-US" w:eastAsia="zh-CN"/>
              </w:rPr>
              <w:t>%以下、</w:t>
            </w:r>
            <w:r>
              <w:rPr>
                <w:rFonts w:hint="eastAsia" w:ascii="Times New Roman" w:hAnsi="Times New Roman" w:eastAsia="仿宋_GB2312" w:cs="Times New Roman"/>
                <w:color w:val="auto"/>
                <w:kern w:val="0"/>
                <w:sz w:val="21"/>
                <w:szCs w:val="21"/>
                <w:highlight w:val="none"/>
                <w:lang w:val="en-US" w:eastAsia="zh-CN"/>
              </w:rPr>
              <w:t>5</w:t>
            </w:r>
            <w:r>
              <w:rPr>
                <w:rFonts w:hint="default" w:ascii="Times New Roman" w:hAnsi="Times New Roman" w:eastAsia="仿宋_GB2312" w:cs="Times New Roman"/>
                <w:color w:val="auto"/>
                <w:kern w:val="0"/>
                <w:sz w:val="21"/>
                <w:szCs w:val="21"/>
                <w:highlight w:val="none"/>
                <w:lang w:val="en-US" w:eastAsia="zh-CN"/>
              </w:rPr>
              <w:t>%-</w:t>
            </w:r>
            <w:r>
              <w:rPr>
                <w:rFonts w:hint="eastAsia" w:ascii="Times New Roman" w:hAnsi="Times New Roman" w:eastAsia="仿宋_GB2312" w:cs="Times New Roman"/>
                <w:color w:val="auto"/>
                <w:kern w:val="0"/>
                <w:sz w:val="21"/>
                <w:szCs w:val="21"/>
                <w:highlight w:val="none"/>
                <w:lang w:val="en-US" w:eastAsia="zh-CN"/>
              </w:rPr>
              <w:t>10</w:t>
            </w:r>
            <w:r>
              <w:rPr>
                <w:rFonts w:hint="default" w:ascii="Times New Roman" w:hAnsi="Times New Roman" w:eastAsia="仿宋_GB2312" w:cs="Times New Roman"/>
                <w:color w:val="auto"/>
                <w:kern w:val="0"/>
                <w:sz w:val="21"/>
                <w:szCs w:val="21"/>
                <w:highlight w:val="none"/>
                <w:lang w:val="en-US" w:eastAsia="zh-CN"/>
              </w:rPr>
              <w:t>%（含）、</w:t>
            </w:r>
            <w:r>
              <w:rPr>
                <w:rFonts w:hint="eastAsia" w:ascii="Times New Roman" w:hAnsi="Times New Roman" w:eastAsia="仿宋_GB2312" w:cs="Times New Roman"/>
                <w:color w:val="auto"/>
                <w:kern w:val="0"/>
                <w:sz w:val="21"/>
                <w:szCs w:val="21"/>
                <w:highlight w:val="none"/>
                <w:lang w:val="en-US" w:eastAsia="zh-CN"/>
              </w:rPr>
              <w:t>4</w:t>
            </w:r>
            <w:r>
              <w:rPr>
                <w:rFonts w:hint="default" w:ascii="Times New Roman" w:hAnsi="Times New Roman" w:eastAsia="仿宋_GB2312" w:cs="Times New Roman"/>
                <w:color w:val="auto"/>
                <w:kern w:val="0"/>
                <w:sz w:val="21"/>
                <w:szCs w:val="21"/>
                <w:highlight w:val="none"/>
                <w:lang w:val="en-US" w:eastAsia="zh-CN"/>
              </w:rPr>
              <w:t>%-5%（含）的，分别得</w:t>
            </w:r>
            <w:r>
              <w:rPr>
                <w:rFonts w:hint="eastAsia" w:ascii="Times New Roman" w:hAnsi="Times New Roman" w:eastAsia="仿宋_GB2312" w:cs="Times New Roman"/>
                <w:color w:val="auto"/>
                <w:kern w:val="0"/>
                <w:sz w:val="21"/>
                <w:szCs w:val="21"/>
                <w:highlight w:val="none"/>
                <w:lang w:val="en-US" w:eastAsia="zh-CN"/>
              </w:rPr>
              <w:t>4</w:t>
            </w:r>
            <w:r>
              <w:rPr>
                <w:rFonts w:hint="default" w:ascii="Times New Roman" w:hAnsi="Times New Roman" w:eastAsia="仿宋_GB2312" w:cs="Times New Roman"/>
                <w:color w:val="auto"/>
                <w:kern w:val="0"/>
                <w:sz w:val="21"/>
                <w:szCs w:val="21"/>
                <w:highlight w:val="none"/>
                <w:lang w:val="en-US" w:eastAsia="zh-CN"/>
              </w:rPr>
              <w:t>分、</w:t>
            </w:r>
            <w:r>
              <w:rPr>
                <w:rFonts w:hint="eastAsia" w:ascii="Times New Roman" w:hAnsi="Times New Roman" w:eastAsia="仿宋_GB2312" w:cs="Times New Roman"/>
                <w:color w:val="auto"/>
                <w:kern w:val="0"/>
                <w:sz w:val="21"/>
                <w:szCs w:val="21"/>
                <w:highlight w:val="none"/>
                <w:lang w:val="en-US" w:eastAsia="zh-CN"/>
              </w:rPr>
              <w:t>2</w:t>
            </w:r>
            <w:r>
              <w:rPr>
                <w:rFonts w:hint="default" w:ascii="Times New Roman" w:hAnsi="Times New Roman" w:eastAsia="仿宋_GB2312" w:cs="Times New Roman"/>
                <w:color w:val="auto"/>
                <w:kern w:val="0"/>
                <w:sz w:val="21"/>
                <w:szCs w:val="21"/>
                <w:highlight w:val="none"/>
                <w:lang w:val="en-US" w:eastAsia="zh-CN"/>
              </w:rPr>
              <w:t>分；代偿率超过</w:t>
            </w:r>
            <w:r>
              <w:rPr>
                <w:rFonts w:hint="eastAsia" w:ascii="Times New Roman" w:hAnsi="Times New Roman" w:eastAsia="仿宋_GB2312" w:cs="Times New Roman"/>
                <w:color w:val="auto"/>
                <w:kern w:val="0"/>
                <w:sz w:val="21"/>
                <w:szCs w:val="21"/>
                <w:highlight w:val="none"/>
                <w:lang w:val="en-US" w:eastAsia="zh-CN"/>
              </w:rPr>
              <w:t>10</w:t>
            </w:r>
            <w:r>
              <w:rPr>
                <w:rFonts w:hint="default" w:ascii="Times New Roman" w:hAnsi="Times New Roman" w:eastAsia="仿宋_GB2312" w:cs="Times New Roman"/>
                <w:color w:val="auto"/>
                <w:kern w:val="0"/>
                <w:sz w:val="21"/>
                <w:szCs w:val="21"/>
                <w:highlight w:val="none"/>
                <w:lang w:val="en-US" w:eastAsia="zh-CN"/>
              </w:rPr>
              <w:t>%的，不得分。</w:t>
            </w:r>
          </w:p>
        </w:tc>
        <w:tc>
          <w:tcPr>
            <w:tcW w:w="894" w:type="dxa"/>
            <w:tcBorders>
              <w:tl2br w:val="nil"/>
              <w:tr2bl w:val="nil"/>
            </w:tcBorders>
            <w:noWrap w:val="0"/>
            <w:vAlign w:val="center"/>
          </w:tcPr>
          <w:p w14:paraId="112BE6E7">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1"/>
                <w:szCs w:val="21"/>
                <w:highlight w:val="none"/>
                <w:lang w:val="en-US" w:eastAsia="zh-CN"/>
              </w:rPr>
            </w:pPr>
          </w:p>
        </w:tc>
      </w:tr>
      <w:tr w14:paraId="57B1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192" w:type="dxa"/>
            <w:vMerge w:val="restart"/>
            <w:tcBorders>
              <w:tl2br w:val="nil"/>
              <w:tr2bl w:val="nil"/>
            </w:tcBorders>
            <w:noWrap w:val="0"/>
            <w:vAlign w:val="center"/>
          </w:tcPr>
          <w:p w14:paraId="3E40BBD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val="0"/>
              <w:snapToGrid w:val="0"/>
              <w:spacing w:line="200" w:lineRule="atLeast"/>
              <w:ind w:left="0" w:leftChars="0" w:right="0" w:rightChars="0" w:firstLine="0" w:firstLineChars="0"/>
              <w:jc w:val="left"/>
              <w:outlineLvl w:val="9"/>
              <w:rPr>
                <w:rFonts w:hint="default" w:ascii="Times New Roman" w:hAnsi="Times New Roman" w:eastAsia="仿宋_GB2312" w:cs="Times New Roman"/>
                <w:b/>
                <w:bCs/>
                <w:color w:val="auto"/>
                <w:kern w:val="0"/>
                <w:sz w:val="21"/>
                <w:szCs w:val="21"/>
                <w:highlight w:val="none"/>
                <w:lang w:val="en-US" w:eastAsia="zh-CN" w:bidi="ar-SA"/>
              </w:rPr>
            </w:pPr>
          </w:p>
          <w:p w14:paraId="16C81F1E">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p w14:paraId="37150B4E">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p w14:paraId="759E37C1">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监督</w:t>
            </w:r>
          </w:p>
          <w:p w14:paraId="5D15185E">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管理</w:t>
            </w:r>
          </w:p>
          <w:p w14:paraId="7A470D04">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cs="Times New Roman"/>
                <w:b/>
                <w:bCs/>
                <w:color w:val="auto"/>
                <w:kern w:val="0"/>
                <w:sz w:val="21"/>
                <w:szCs w:val="21"/>
                <w:highlight w:val="none"/>
                <w:lang w:val="en-US" w:eastAsia="zh-CN"/>
              </w:rPr>
              <w:t>（</w:t>
            </w:r>
            <w:r>
              <w:rPr>
                <w:rFonts w:hint="default" w:ascii="Times New Roman" w:hAnsi="Times New Roman" w:eastAsia="仿宋_GB2312" w:cs="Times New Roman"/>
                <w:b/>
                <w:bCs/>
                <w:color w:val="auto"/>
                <w:kern w:val="0"/>
                <w:sz w:val="21"/>
                <w:szCs w:val="21"/>
                <w:highlight w:val="none"/>
                <w:lang w:val="en-US" w:eastAsia="zh-CN"/>
              </w:rPr>
              <w:t>20分</w:t>
            </w:r>
            <w:r>
              <w:rPr>
                <w:rFonts w:hint="default" w:ascii="Times New Roman" w:hAnsi="Times New Roman" w:cs="Times New Roman"/>
                <w:b/>
                <w:bCs/>
                <w:color w:val="auto"/>
                <w:kern w:val="0"/>
                <w:sz w:val="21"/>
                <w:szCs w:val="21"/>
                <w:highlight w:val="none"/>
                <w:lang w:val="en-US" w:eastAsia="zh-CN"/>
              </w:rPr>
              <w:t>）</w:t>
            </w:r>
          </w:p>
          <w:p w14:paraId="5A254BEC">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tc>
        <w:tc>
          <w:tcPr>
            <w:tcW w:w="2085" w:type="dxa"/>
            <w:tcBorders>
              <w:tl2br w:val="nil"/>
              <w:tr2bl w:val="nil"/>
            </w:tcBorders>
            <w:noWrap w:val="0"/>
            <w:vAlign w:val="center"/>
          </w:tcPr>
          <w:p w14:paraId="3FF1ED0B">
            <w:pPr>
              <w:widowControl/>
              <w:spacing w:beforeLines="0" w:afterLines="0" w:line="260" w:lineRule="exact"/>
              <w:jc w:val="center"/>
              <w:textAlignment w:val="center"/>
              <w:rPr>
                <w:rFonts w:hint="eastAsia"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配合监管</w:t>
            </w:r>
          </w:p>
        </w:tc>
        <w:tc>
          <w:tcPr>
            <w:tcW w:w="893" w:type="dxa"/>
            <w:tcBorders>
              <w:tl2br w:val="nil"/>
              <w:tr2bl w:val="nil"/>
            </w:tcBorders>
            <w:noWrap w:val="0"/>
            <w:vAlign w:val="center"/>
          </w:tcPr>
          <w:p w14:paraId="650B4886">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10</w:t>
            </w:r>
          </w:p>
        </w:tc>
        <w:tc>
          <w:tcPr>
            <w:tcW w:w="4554" w:type="dxa"/>
            <w:tcBorders>
              <w:tl2br w:val="nil"/>
              <w:tr2bl w:val="nil"/>
            </w:tcBorders>
            <w:noWrap w:val="0"/>
            <w:vAlign w:val="center"/>
          </w:tcPr>
          <w:p w14:paraId="6E2110F0">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eastAsia"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对积极主动配合监管工作</w:t>
            </w:r>
            <w:r>
              <w:rPr>
                <w:rFonts w:hint="eastAsia" w:ascii="Times New Roman" w:hAnsi="Times New Roman" w:eastAsia="仿宋_GB2312" w:cs="Times New Roman"/>
                <w:color w:val="auto"/>
                <w:kern w:val="0"/>
                <w:sz w:val="21"/>
                <w:szCs w:val="21"/>
                <w:highlight w:val="none"/>
                <w:lang w:val="en-US" w:eastAsia="zh-CN"/>
              </w:rPr>
              <w:t>、按要求参加监管部门组织的监管会议及培训</w:t>
            </w:r>
            <w:r>
              <w:rPr>
                <w:rFonts w:hint="default" w:ascii="Times New Roman" w:hAnsi="Times New Roman" w:eastAsia="仿宋_GB2312" w:cs="Times New Roman"/>
                <w:color w:val="auto"/>
                <w:kern w:val="0"/>
                <w:sz w:val="21"/>
                <w:szCs w:val="21"/>
                <w:highlight w:val="none"/>
                <w:lang w:val="en-US" w:eastAsia="zh-CN"/>
              </w:rPr>
              <w:t>等方面进行评价。</w:t>
            </w:r>
          </w:p>
        </w:tc>
        <w:tc>
          <w:tcPr>
            <w:tcW w:w="4555" w:type="dxa"/>
            <w:tcBorders>
              <w:tl2br w:val="nil"/>
              <w:tr2bl w:val="nil"/>
            </w:tcBorders>
            <w:noWrap w:val="0"/>
            <w:vAlign w:val="center"/>
          </w:tcPr>
          <w:p w14:paraId="5CFA2024">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eastAsia"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根据配合监管情况酌情打分。</w:t>
            </w:r>
          </w:p>
        </w:tc>
        <w:tc>
          <w:tcPr>
            <w:tcW w:w="894" w:type="dxa"/>
            <w:tcBorders>
              <w:tl2br w:val="nil"/>
              <w:tr2bl w:val="nil"/>
            </w:tcBorders>
            <w:noWrap w:val="0"/>
            <w:vAlign w:val="center"/>
          </w:tcPr>
          <w:p w14:paraId="36DC859C">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1"/>
                <w:szCs w:val="21"/>
                <w:highlight w:val="none"/>
                <w:lang w:val="en-US" w:eastAsia="zh-CN"/>
              </w:rPr>
            </w:pPr>
          </w:p>
        </w:tc>
      </w:tr>
      <w:tr w14:paraId="5D0E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192" w:type="dxa"/>
            <w:vMerge w:val="continue"/>
            <w:tcBorders>
              <w:tl2br w:val="nil"/>
              <w:tr2bl w:val="nil"/>
            </w:tcBorders>
            <w:noWrap w:val="0"/>
            <w:vAlign w:val="center"/>
          </w:tcPr>
          <w:p w14:paraId="087044DC">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tc>
        <w:tc>
          <w:tcPr>
            <w:tcW w:w="2085" w:type="dxa"/>
            <w:tcBorders>
              <w:tl2br w:val="nil"/>
              <w:tr2bl w:val="nil"/>
            </w:tcBorders>
            <w:noWrap w:val="0"/>
            <w:vAlign w:val="center"/>
          </w:tcPr>
          <w:p w14:paraId="0844067D">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信息</w:t>
            </w:r>
            <w:r>
              <w:rPr>
                <w:rFonts w:hint="eastAsia" w:ascii="Times New Roman" w:hAnsi="Times New Roman" w:eastAsia="仿宋_GB2312" w:cs="Times New Roman"/>
                <w:b/>
                <w:bCs/>
                <w:color w:val="auto"/>
                <w:kern w:val="0"/>
                <w:sz w:val="21"/>
                <w:szCs w:val="21"/>
                <w:highlight w:val="none"/>
                <w:lang w:val="en-US" w:eastAsia="zh-CN"/>
              </w:rPr>
              <w:t>报送</w:t>
            </w:r>
            <w:r>
              <w:rPr>
                <w:rFonts w:hint="default" w:ascii="Times New Roman" w:hAnsi="Times New Roman" w:eastAsia="仿宋_GB2312" w:cs="Times New Roman"/>
                <w:b/>
                <w:bCs/>
                <w:color w:val="auto"/>
                <w:kern w:val="0"/>
                <w:sz w:val="21"/>
                <w:szCs w:val="21"/>
                <w:highlight w:val="none"/>
                <w:lang w:val="en-US" w:eastAsia="zh-CN"/>
              </w:rPr>
              <w:t>机制</w:t>
            </w:r>
          </w:p>
        </w:tc>
        <w:tc>
          <w:tcPr>
            <w:tcW w:w="893" w:type="dxa"/>
            <w:tcBorders>
              <w:tl2br w:val="nil"/>
              <w:tr2bl w:val="nil"/>
            </w:tcBorders>
            <w:noWrap w:val="0"/>
            <w:vAlign w:val="center"/>
          </w:tcPr>
          <w:p w14:paraId="173E72BF">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3</w:t>
            </w:r>
          </w:p>
        </w:tc>
        <w:tc>
          <w:tcPr>
            <w:tcW w:w="4554" w:type="dxa"/>
            <w:tcBorders>
              <w:tl2br w:val="nil"/>
              <w:tr2bl w:val="nil"/>
            </w:tcBorders>
            <w:noWrap w:val="0"/>
            <w:vAlign w:val="center"/>
          </w:tcPr>
          <w:p w14:paraId="45B5AF6B">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明确信息报送人员，并按监管要求报送经营报告、财务报告和年度审计报告。</w:t>
            </w:r>
          </w:p>
        </w:tc>
        <w:tc>
          <w:tcPr>
            <w:tcW w:w="4555" w:type="dxa"/>
            <w:tcBorders>
              <w:tl2br w:val="nil"/>
              <w:tr2bl w:val="nil"/>
            </w:tcBorders>
            <w:noWrap w:val="0"/>
            <w:vAlign w:val="center"/>
          </w:tcPr>
          <w:p w14:paraId="53C44013">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落实不到位，不得分。</w:t>
            </w:r>
          </w:p>
        </w:tc>
        <w:tc>
          <w:tcPr>
            <w:tcW w:w="894" w:type="dxa"/>
            <w:tcBorders>
              <w:tl2br w:val="nil"/>
              <w:tr2bl w:val="nil"/>
            </w:tcBorders>
            <w:noWrap w:val="0"/>
            <w:vAlign w:val="center"/>
          </w:tcPr>
          <w:p w14:paraId="781B2BE7">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1"/>
                <w:szCs w:val="21"/>
                <w:highlight w:val="none"/>
                <w:lang w:val="en-US" w:eastAsia="zh-CN"/>
              </w:rPr>
            </w:pPr>
          </w:p>
        </w:tc>
      </w:tr>
      <w:tr w14:paraId="503A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192" w:type="dxa"/>
            <w:vMerge w:val="continue"/>
            <w:tcBorders>
              <w:tl2br w:val="nil"/>
              <w:tr2bl w:val="nil"/>
            </w:tcBorders>
            <w:noWrap w:val="0"/>
            <w:vAlign w:val="center"/>
          </w:tcPr>
          <w:p w14:paraId="466BAC37">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tc>
        <w:tc>
          <w:tcPr>
            <w:tcW w:w="2085" w:type="dxa"/>
            <w:tcBorders>
              <w:tl2br w:val="nil"/>
              <w:tr2bl w:val="nil"/>
            </w:tcBorders>
            <w:noWrap w:val="0"/>
            <w:vAlign w:val="center"/>
          </w:tcPr>
          <w:p w14:paraId="27C5E70A">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行政许可、备案</w:t>
            </w:r>
          </w:p>
        </w:tc>
        <w:tc>
          <w:tcPr>
            <w:tcW w:w="893" w:type="dxa"/>
            <w:tcBorders>
              <w:tl2br w:val="nil"/>
              <w:tr2bl w:val="nil"/>
            </w:tcBorders>
            <w:noWrap w:val="0"/>
            <w:vAlign w:val="center"/>
          </w:tcPr>
          <w:p w14:paraId="02724673">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2</w:t>
            </w:r>
          </w:p>
        </w:tc>
        <w:tc>
          <w:tcPr>
            <w:tcW w:w="4554" w:type="dxa"/>
            <w:tcBorders>
              <w:tl2br w:val="nil"/>
              <w:tr2bl w:val="nil"/>
            </w:tcBorders>
            <w:noWrap w:val="0"/>
            <w:vAlign w:val="center"/>
          </w:tcPr>
          <w:p w14:paraId="1F0A4D9A">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按规定要求办理行政审批和备案手续。</w:t>
            </w:r>
          </w:p>
        </w:tc>
        <w:tc>
          <w:tcPr>
            <w:tcW w:w="4555" w:type="dxa"/>
            <w:tcBorders>
              <w:tl2br w:val="nil"/>
              <w:tr2bl w:val="nil"/>
            </w:tcBorders>
            <w:noWrap w:val="0"/>
            <w:vAlign w:val="center"/>
          </w:tcPr>
          <w:p w14:paraId="0D8AE55B">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未按规定要求办理，不得分。</w:t>
            </w:r>
          </w:p>
        </w:tc>
        <w:tc>
          <w:tcPr>
            <w:tcW w:w="894" w:type="dxa"/>
            <w:tcBorders>
              <w:tl2br w:val="nil"/>
              <w:tr2bl w:val="nil"/>
            </w:tcBorders>
            <w:noWrap w:val="0"/>
            <w:vAlign w:val="center"/>
          </w:tcPr>
          <w:p w14:paraId="3E74DFE5">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1"/>
                <w:szCs w:val="21"/>
                <w:highlight w:val="none"/>
                <w:lang w:val="en-US" w:eastAsia="zh-CN"/>
              </w:rPr>
            </w:pPr>
          </w:p>
        </w:tc>
      </w:tr>
      <w:tr w14:paraId="01FE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192" w:type="dxa"/>
            <w:vMerge w:val="continue"/>
            <w:tcBorders>
              <w:tl2br w:val="nil"/>
              <w:tr2bl w:val="nil"/>
            </w:tcBorders>
            <w:noWrap w:val="0"/>
            <w:vAlign w:val="center"/>
          </w:tcPr>
          <w:p w14:paraId="7559D0E3">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tc>
        <w:tc>
          <w:tcPr>
            <w:tcW w:w="2085" w:type="dxa"/>
            <w:tcBorders>
              <w:tl2br w:val="nil"/>
              <w:tr2bl w:val="nil"/>
            </w:tcBorders>
            <w:noWrap w:val="0"/>
            <w:vAlign w:val="center"/>
          </w:tcPr>
          <w:p w14:paraId="79C940D8">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落实重大风险事件报告制度</w:t>
            </w:r>
          </w:p>
        </w:tc>
        <w:tc>
          <w:tcPr>
            <w:tcW w:w="893" w:type="dxa"/>
            <w:tcBorders>
              <w:tl2br w:val="nil"/>
              <w:tr2bl w:val="nil"/>
            </w:tcBorders>
            <w:noWrap w:val="0"/>
            <w:vAlign w:val="center"/>
          </w:tcPr>
          <w:p w14:paraId="78AA7892">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2</w:t>
            </w:r>
          </w:p>
        </w:tc>
        <w:tc>
          <w:tcPr>
            <w:tcW w:w="4554" w:type="dxa"/>
            <w:tcBorders>
              <w:tl2br w:val="nil"/>
              <w:tr2bl w:val="nil"/>
            </w:tcBorders>
            <w:noWrap w:val="0"/>
            <w:vAlign w:val="center"/>
          </w:tcPr>
          <w:p w14:paraId="150915A8">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按银监发〔2010〕75号和桂金办发〔2011〕31号文件要求，落实重大风险事件报告制度。</w:t>
            </w:r>
          </w:p>
        </w:tc>
        <w:tc>
          <w:tcPr>
            <w:tcW w:w="4555" w:type="dxa"/>
            <w:tcBorders>
              <w:tl2br w:val="nil"/>
              <w:tr2bl w:val="nil"/>
            </w:tcBorders>
            <w:noWrap w:val="0"/>
            <w:vAlign w:val="center"/>
          </w:tcPr>
          <w:p w14:paraId="4A14D266">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落实不到位，不得分。</w:t>
            </w:r>
          </w:p>
        </w:tc>
        <w:tc>
          <w:tcPr>
            <w:tcW w:w="894" w:type="dxa"/>
            <w:tcBorders>
              <w:tl2br w:val="nil"/>
              <w:tr2bl w:val="nil"/>
            </w:tcBorders>
            <w:noWrap w:val="0"/>
            <w:vAlign w:val="center"/>
          </w:tcPr>
          <w:p w14:paraId="2D12664A">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1"/>
                <w:szCs w:val="21"/>
                <w:highlight w:val="none"/>
                <w:lang w:val="en-US" w:eastAsia="zh-CN"/>
              </w:rPr>
            </w:pPr>
          </w:p>
        </w:tc>
      </w:tr>
      <w:tr w14:paraId="5743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192" w:type="dxa"/>
            <w:vMerge w:val="continue"/>
            <w:tcBorders>
              <w:tl2br w:val="nil"/>
              <w:tr2bl w:val="nil"/>
            </w:tcBorders>
            <w:noWrap w:val="0"/>
            <w:vAlign w:val="center"/>
          </w:tcPr>
          <w:p w14:paraId="6CE2E8C3">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tc>
        <w:tc>
          <w:tcPr>
            <w:tcW w:w="2085" w:type="dxa"/>
            <w:tcBorders>
              <w:tl2br w:val="nil"/>
              <w:tr2bl w:val="nil"/>
            </w:tcBorders>
            <w:noWrap w:val="0"/>
            <w:vAlign w:val="center"/>
          </w:tcPr>
          <w:p w14:paraId="467928C3">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消费者权益保护</w:t>
            </w:r>
          </w:p>
        </w:tc>
        <w:tc>
          <w:tcPr>
            <w:tcW w:w="893" w:type="dxa"/>
            <w:tcBorders>
              <w:tl2br w:val="nil"/>
              <w:tr2bl w:val="nil"/>
            </w:tcBorders>
            <w:noWrap w:val="0"/>
            <w:vAlign w:val="center"/>
          </w:tcPr>
          <w:p w14:paraId="69595D27">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3</w:t>
            </w:r>
          </w:p>
        </w:tc>
        <w:tc>
          <w:tcPr>
            <w:tcW w:w="4554" w:type="dxa"/>
            <w:tcBorders>
              <w:tl2br w:val="nil"/>
              <w:tr2bl w:val="nil"/>
            </w:tcBorders>
            <w:noWrap w:val="0"/>
            <w:vAlign w:val="center"/>
          </w:tcPr>
          <w:p w14:paraId="6CB9892F">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客户投诉案件数量及处理效果。</w:t>
            </w:r>
          </w:p>
        </w:tc>
        <w:tc>
          <w:tcPr>
            <w:tcW w:w="4555" w:type="dxa"/>
            <w:tcBorders>
              <w:tl2br w:val="nil"/>
              <w:tr2bl w:val="nil"/>
            </w:tcBorders>
            <w:noWrap w:val="0"/>
            <w:vAlign w:val="center"/>
          </w:tcPr>
          <w:p w14:paraId="233B555B">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年内监管部门接到客户投诉案件核查属实超过</w:t>
            </w:r>
            <w:r>
              <w:rPr>
                <w:rFonts w:hint="eastAsia" w:ascii="Times New Roman" w:hAnsi="Times New Roman" w:eastAsia="仿宋_GB2312" w:cs="Times New Roman"/>
                <w:color w:val="auto"/>
                <w:kern w:val="0"/>
                <w:sz w:val="21"/>
                <w:szCs w:val="21"/>
                <w:highlight w:val="none"/>
                <w:lang w:val="en-US" w:eastAsia="zh-CN"/>
              </w:rPr>
              <w:t>1</w:t>
            </w:r>
            <w:r>
              <w:rPr>
                <w:rFonts w:hint="default" w:ascii="Times New Roman" w:hAnsi="Times New Roman" w:eastAsia="仿宋_GB2312" w:cs="Times New Roman"/>
                <w:color w:val="auto"/>
                <w:kern w:val="0"/>
                <w:sz w:val="21"/>
                <w:szCs w:val="21"/>
                <w:highlight w:val="none"/>
                <w:lang w:val="en-US" w:eastAsia="zh-CN"/>
              </w:rPr>
              <w:t>件的，</w:t>
            </w:r>
            <w:r>
              <w:rPr>
                <w:rFonts w:hint="eastAsia" w:ascii="Times New Roman" w:hAnsi="Times New Roman" w:eastAsia="仿宋_GB2312" w:cs="Times New Roman"/>
                <w:color w:val="auto"/>
                <w:kern w:val="0"/>
                <w:sz w:val="21"/>
                <w:szCs w:val="21"/>
                <w:highlight w:val="none"/>
                <w:lang w:val="en-US" w:eastAsia="zh-CN"/>
              </w:rPr>
              <w:t>每核查属实1件</w:t>
            </w:r>
            <w:r>
              <w:rPr>
                <w:rFonts w:hint="default" w:ascii="Times New Roman" w:hAnsi="Times New Roman" w:eastAsia="仿宋_GB2312" w:cs="Times New Roman"/>
                <w:color w:val="auto"/>
                <w:kern w:val="0"/>
                <w:sz w:val="21"/>
                <w:szCs w:val="21"/>
                <w:highlight w:val="none"/>
                <w:lang w:val="en-US" w:eastAsia="zh-CN"/>
              </w:rPr>
              <w:t>扣1分，扣完为止。</w:t>
            </w:r>
          </w:p>
        </w:tc>
        <w:tc>
          <w:tcPr>
            <w:tcW w:w="894" w:type="dxa"/>
            <w:tcBorders>
              <w:tl2br w:val="nil"/>
              <w:tr2bl w:val="nil"/>
            </w:tcBorders>
            <w:noWrap w:val="0"/>
            <w:vAlign w:val="center"/>
          </w:tcPr>
          <w:p w14:paraId="32322292">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1"/>
                <w:szCs w:val="21"/>
                <w:highlight w:val="none"/>
                <w:lang w:val="en-US" w:eastAsia="zh-CN"/>
              </w:rPr>
            </w:pPr>
          </w:p>
        </w:tc>
      </w:tr>
      <w:tr w14:paraId="2347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192" w:type="dxa"/>
            <w:vMerge w:val="restart"/>
            <w:tcBorders>
              <w:tl2br w:val="nil"/>
              <w:tr2bl w:val="nil"/>
            </w:tcBorders>
            <w:noWrap w:val="0"/>
            <w:vAlign w:val="center"/>
          </w:tcPr>
          <w:p w14:paraId="1A51EAE2">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扣分</w:t>
            </w:r>
          </w:p>
          <w:p w14:paraId="79607476">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事项</w:t>
            </w:r>
          </w:p>
        </w:tc>
        <w:tc>
          <w:tcPr>
            <w:tcW w:w="2085" w:type="dxa"/>
            <w:vMerge w:val="restart"/>
            <w:tcBorders>
              <w:tl2br w:val="nil"/>
              <w:tr2bl w:val="nil"/>
            </w:tcBorders>
            <w:noWrap w:val="0"/>
            <w:vAlign w:val="center"/>
          </w:tcPr>
          <w:p w14:paraId="061C0605">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p w14:paraId="659B82F3">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p w14:paraId="19EA321B">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业务违规问题</w:t>
            </w:r>
          </w:p>
          <w:p w14:paraId="3464BF61">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eastAsia" w:ascii="Times New Roman" w:hAnsi="Times New Roman" w:eastAsia="仿宋_GB2312" w:cs="Times New Roman"/>
                <w:b/>
                <w:bCs/>
                <w:color w:val="auto"/>
                <w:kern w:val="0"/>
                <w:sz w:val="21"/>
                <w:szCs w:val="21"/>
                <w:highlight w:val="none"/>
                <w:lang w:val="en-US" w:eastAsia="zh-CN"/>
              </w:rPr>
              <w:t>（检查年度内）</w:t>
            </w:r>
          </w:p>
        </w:tc>
        <w:tc>
          <w:tcPr>
            <w:tcW w:w="893" w:type="dxa"/>
            <w:tcBorders>
              <w:tl2br w:val="nil"/>
              <w:tr2bl w:val="nil"/>
            </w:tcBorders>
            <w:noWrap w:val="0"/>
            <w:vAlign w:val="center"/>
          </w:tcPr>
          <w:p w14:paraId="68AAEB34">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-20</w:t>
            </w:r>
          </w:p>
        </w:tc>
        <w:tc>
          <w:tcPr>
            <w:tcW w:w="4554" w:type="dxa"/>
            <w:tcBorders>
              <w:tl2br w:val="nil"/>
              <w:tr2bl w:val="nil"/>
            </w:tcBorders>
            <w:noWrap w:val="0"/>
            <w:vAlign w:val="center"/>
          </w:tcPr>
          <w:p w14:paraId="1186D83C">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吸收存款或者变相吸收存款。</w:t>
            </w:r>
          </w:p>
        </w:tc>
        <w:tc>
          <w:tcPr>
            <w:tcW w:w="4555" w:type="dxa"/>
            <w:tcBorders>
              <w:tl2br w:val="nil"/>
              <w:tr2bl w:val="nil"/>
            </w:tcBorders>
            <w:noWrap w:val="0"/>
            <w:vAlign w:val="center"/>
          </w:tcPr>
          <w:p w14:paraId="6EB9E67F">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发现的扣20分。</w:t>
            </w:r>
          </w:p>
        </w:tc>
        <w:tc>
          <w:tcPr>
            <w:tcW w:w="894" w:type="dxa"/>
            <w:vMerge w:val="restart"/>
            <w:tcBorders>
              <w:tl2br w:val="nil"/>
              <w:tr2bl w:val="nil"/>
            </w:tcBorders>
            <w:noWrap w:val="0"/>
            <w:vAlign w:val="center"/>
          </w:tcPr>
          <w:p w14:paraId="0577DFB6">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1"/>
                <w:szCs w:val="21"/>
                <w:highlight w:val="none"/>
                <w:lang w:val="en-US" w:eastAsia="zh-CN"/>
              </w:rPr>
            </w:pPr>
          </w:p>
        </w:tc>
      </w:tr>
      <w:tr w14:paraId="5F1D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192" w:type="dxa"/>
            <w:vMerge w:val="continue"/>
            <w:tcBorders>
              <w:tl2br w:val="nil"/>
              <w:tr2bl w:val="nil"/>
            </w:tcBorders>
            <w:noWrap w:val="0"/>
            <w:vAlign w:val="center"/>
          </w:tcPr>
          <w:p w14:paraId="329861C6">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tc>
        <w:tc>
          <w:tcPr>
            <w:tcW w:w="2085" w:type="dxa"/>
            <w:vMerge w:val="continue"/>
            <w:tcBorders>
              <w:tl2br w:val="nil"/>
              <w:tr2bl w:val="nil"/>
            </w:tcBorders>
            <w:noWrap w:val="0"/>
            <w:vAlign w:val="center"/>
          </w:tcPr>
          <w:p w14:paraId="440E9346">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893" w:type="dxa"/>
            <w:tcBorders>
              <w:tl2br w:val="nil"/>
              <w:tr2bl w:val="nil"/>
            </w:tcBorders>
            <w:noWrap w:val="0"/>
            <w:vAlign w:val="center"/>
          </w:tcPr>
          <w:p w14:paraId="43C5922C">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-20</w:t>
            </w:r>
          </w:p>
        </w:tc>
        <w:tc>
          <w:tcPr>
            <w:tcW w:w="4554" w:type="dxa"/>
            <w:tcBorders>
              <w:tl2br w:val="nil"/>
              <w:tr2bl w:val="nil"/>
            </w:tcBorders>
            <w:noWrap w:val="0"/>
            <w:vAlign w:val="center"/>
          </w:tcPr>
          <w:p w14:paraId="0AB36F1E">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自营贷款或者受托贷款。</w:t>
            </w:r>
          </w:p>
        </w:tc>
        <w:tc>
          <w:tcPr>
            <w:tcW w:w="4555" w:type="dxa"/>
            <w:tcBorders>
              <w:tl2br w:val="nil"/>
              <w:tr2bl w:val="nil"/>
            </w:tcBorders>
            <w:noWrap w:val="0"/>
            <w:vAlign w:val="center"/>
          </w:tcPr>
          <w:p w14:paraId="31A50AA9">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发现的扣20分。</w:t>
            </w:r>
          </w:p>
        </w:tc>
        <w:tc>
          <w:tcPr>
            <w:tcW w:w="894" w:type="dxa"/>
            <w:vMerge w:val="continue"/>
            <w:tcBorders>
              <w:tl2br w:val="nil"/>
              <w:tr2bl w:val="nil"/>
            </w:tcBorders>
            <w:noWrap w:val="0"/>
            <w:vAlign w:val="center"/>
          </w:tcPr>
          <w:p w14:paraId="4CE3A48F">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p>
        </w:tc>
      </w:tr>
      <w:tr w14:paraId="47055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192" w:type="dxa"/>
            <w:vMerge w:val="continue"/>
            <w:tcBorders>
              <w:tl2br w:val="nil"/>
              <w:tr2bl w:val="nil"/>
            </w:tcBorders>
            <w:noWrap w:val="0"/>
            <w:vAlign w:val="center"/>
          </w:tcPr>
          <w:p w14:paraId="7C5A75E5">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tc>
        <w:tc>
          <w:tcPr>
            <w:tcW w:w="2085" w:type="dxa"/>
            <w:vMerge w:val="continue"/>
            <w:tcBorders>
              <w:tl2br w:val="nil"/>
              <w:tr2bl w:val="nil"/>
            </w:tcBorders>
            <w:noWrap w:val="0"/>
            <w:vAlign w:val="center"/>
          </w:tcPr>
          <w:p w14:paraId="2EBD3825">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893" w:type="dxa"/>
            <w:tcBorders>
              <w:tl2br w:val="nil"/>
              <w:tr2bl w:val="nil"/>
            </w:tcBorders>
            <w:noWrap w:val="0"/>
            <w:vAlign w:val="center"/>
          </w:tcPr>
          <w:p w14:paraId="138D722B">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-20</w:t>
            </w:r>
          </w:p>
        </w:tc>
        <w:tc>
          <w:tcPr>
            <w:tcW w:w="4554" w:type="dxa"/>
            <w:tcBorders>
              <w:tl2br w:val="nil"/>
              <w:tr2bl w:val="nil"/>
            </w:tcBorders>
            <w:noWrap w:val="0"/>
            <w:vAlign w:val="center"/>
          </w:tcPr>
          <w:p w14:paraId="44751475">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受托投资。</w:t>
            </w:r>
          </w:p>
        </w:tc>
        <w:tc>
          <w:tcPr>
            <w:tcW w:w="4555" w:type="dxa"/>
            <w:tcBorders>
              <w:tl2br w:val="nil"/>
              <w:tr2bl w:val="nil"/>
            </w:tcBorders>
            <w:noWrap w:val="0"/>
            <w:vAlign w:val="center"/>
          </w:tcPr>
          <w:p w14:paraId="4E850045">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发现的扣20分。</w:t>
            </w:r>
          </w:p>
        </w:tc>
        <w:tc>
          <w:tcPr>
            <w:tcW w:w="894" w:type="dxa"/>
            <w:vMerge w:val="continue"/>
            <w:tcBorders>
              <w:tl2br w:val="nil"/>
              <w:tr2bl w:val="nil"/>
            </w:tcBorders>
            <w:noWrap w:val="0"/>
            <w:vAlign w:val="center"/>
          </w:tcPr>
          <w:p w14:paraId="0B760CC2">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p>
        </w:tc>
      </w:tr>
      <w:tr w14:paraId="2F7E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192" w:type="dxa"/>
            <w:vMerge w:val="continue"/>
            <w:tcBorders>
              <w:tl2br w:val="nil"/>
              <w:tr2bl w:val="nil"/>
            </w:tcBorders>
            <w:noWrap w:val="0"/>
            <w:vAlign w:val="center"/>
          </w:tcPr>
          <w:p w14:paraId="2BED4F66">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tc>
        <w:tc>
          <w:tcPr>
            <w:tcW w:w="2085" w:type="dxa"/>
            <w:vMerge w:val="continue"/>
            <w:tcBorders>
              <w:tl2br w:val="nil"/>
              <w:tr2bl w:val="nil"/>
            </w:tcBorders>
            <w:noWrap w:val="0"/>
            <w:vAlign w:val="center"/>
          </w:tcPr>
          <w:p w14:paraId="51C1780C">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p>
        </w:tc>
        <w:tc>
          <w:tcPr>
            <w:tcW w:w="893" w:type="dxa"/>
            <w:tcBorders>
              <w:tl2br w:val="nil"/>
              <w:tr2bl w:val="nil"/>
            </w:tcBorders>
            <w:noWrap w:val="0"/>
            <w:vAlign w:val="center"/>
          </w:tcPr>
          <w:p w14:paraId="61F57085">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w:t>
            </w:r>
            <w:r>
              <w:rPr>
                <w:rFonts w:hint="eastAsia" w:ascii="Times New Roman" w:hAnsi="Times New Roman" w:eastAsia="仿宋_GB2312" w:cs="Times New Roman"/>
                <w:color w:val="auto"/>
                <w:kern w:val="0"/>
                <w:sz w:val="21"/>
                <w:szCs w:val="21"/>
                <w:highlight w:val="none"/>
                <w:lang w:val="en-US" w:eastAsia="zh-CN"/>
              </w:rPr>
              <w:t>1</w:t>
            </w:r>
            <w:r>
              <w:rPr>
                <w:rFonts w:hint="default" w:ascii="Times New Roman" w:hAnsi="Times New Roman" w:eastAsia="仿宋_GB2312" w:cs="Times New Roman"/>
                <w:color w:val="auto"/>
                <w:kern w:val="0"/>
                <w:sz w:val="21"/>
                <w:szCs w:val="21"/>
                <w:highlight w:val="none"/>
                <w:lang w:val="en-US" w:eastAsia="zh-CN"/>
              </w:rPr>
              <w:t>0</w:t>
            </w:r>
          </w:p>
        </w:tc>
        <w:tc>
          <w:tcPr>
            <w:tcW w:w="4554" w:type="dxa"/>
            <w:tcBorders>
              <w:tl2br w:val="nil"/>
              <w:tr2bl w:val="nil"/>
            </w:tcBorders>
            <w:noWrap w:val="0"/>
            <w:vAlign w:val="center"/>
          </w:tcPr>
          <w:p w14:paraId="4EBEDD95">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注册资本</w:t>
            </w:r>
            <w:r>
              <w:rPr>
                <w:rFonts w:hint="eastAsia" w:ascii="Times New Roman" w:hAnsi="Times New Roman" w:eastAsia="仿宋_GB2312" w:cs="Times New Roman"/>
                <w:color w:val="auto"/>
                <w:kern w:val="0"/>
                <w:sz w:val="21"/>
                <w:szCs w:val="21"/>
                <w:highlight w:val="none"/>
                <w:lang w:val="en-US" w:eastAsia="zh-CN"/>
              </w:rPr>
              <w:t>被抽逃或占用</w:t>
            </w:r>
            <w:r>
              <w:rPr>
                <w:rFonts w:hint="default" w:ascii="Times New Roman" w:hAnsi="Times New Roman" w:eastAsia="仿宋_GB2312" w:cs="Times New Roman"/>
                <w:color w:val="auto"/>
                <w:kern w:val="0"/>
                <w:sz w:val="21"/>
                <w:szCs w:val="21"/>
                <w:highlight w:val="none"/>
                <w:lang w:val="en-US" w:eastAsia="zh-CN"/>
              </w:rPr>
              <w:t>。</w:t>
            </w:r>
          </w:p>
        </w:tc>
        <w:tc>
          <w:tcPr>
            <w:tcW w:w="4555" w:type="dxa"/>
            <w:tcBorders>
              <w:tl2br w:val="nil"/>
              <w:tr2bl w:val="nil"/>
            </w:tcBorders>
            <w:noWrap w:val="0"/>
            <w:vAlign w:val="center"/>
          </w:tcPr>
          <w:p w14:paraId="5BB03FF7">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发现的扣20分。</w:t>
            </w:r>
          </w:p>
        </w:tc>
        <w:tc>
          <w:tcPr>
            <w:tcW w:w="894" w:type="dxa"/>
            <w:vMerge w:val="continue"/>
            <w:tcBorders>
              <w:tl2br w:val="nil"/>
              <w:tr2bl w:val="nil"/>
            </w:tcBorders>
            <w:noWrap w:val="0"/>
            <w:vAlign w:val="center"/>
          </w:tcPr>
          <w:p w14:paraId="29AA1C8F">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p>
        </w:tc>
      </w:tr>
      <w:tr w14:paraId="7D5E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192" w:type="dxa"/>
            <w:vMerge w:val="continue"/>
            <w:tcBorders>
              <w:tl2br w:val="nil"/>
              <w:tr2bl w:val="nil"/>
            </w:tcBorders>
            <w:noWrap w:val="0"/>
            <w:vAlign w:val="center"/>
          </w:tcPr>
          <w:p w14:paraId="78F7DDDA">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b/>
                <w:bCs/>
                <w:color w:val="auto"/>
                <w:kern w:val="0"/>
                <w:sz w:val="21"/>
                <w:szCs w:val="21"/>
                <w:highlight w:val="none"/>
                <w:lang w:val="en-US" w:eastAsia="zh-CN"/>
              </w:rPr>
            </w:pPr>
          </w:p>
        </w:tc>
        <w:tc>
          <w:tcPr>
            <w:tcW w:w="2085" w:type="dxa"/>
            <w:tcBorders>
              <w:tl2br w:val="nil"/>
              <w:tr2bl w:val="nil"/>
            </w:tcBorders>
            <w:noWrap w:val="0"/>
            <w:vAlign w:val="center"/>
          </w:tcPr>
          <w:p w14:paraId="330F011B">
            <w:pPr>
              <w:widowControl/>
              <w:spacing w:beforeLines="0" w:afterLines="0" w:line="260" w:lineRule="exact"/>
              <w:jc w:val="center"/>
              <w:textAlignment w:val="center"/>
              <w:rPr>
                <w:rFonts w:hint="default" w:ascii="Times New Roman" w:hAnsi="Times New Roman" w:eastAsia="仿宋_GB2312" w:cs="Times New Roman"/>
                <w:b/>
                <w:bCs/>
                <w:color w:val="auto"/>
                <w:kern w:val="0"/>
                <w:sz w:val="21"/>
                <w:szCs w:val="21"/>
                <w:highlight w:val="none"/>
                <w:lang w:val="en-US" w:eastAsia="zh-CN"/>
              </w:rPr>
            </w:pPr>
            <w:r>
              <w:rPr>
                <w:rFonts w:hint="default" w:ascii="Times New Roman" w:hAnsi="Times New Roman" w:eastAsia="仿宋_GB2312" w:cs="Times New Roman"/>
                <w:b/>
                <w:bCs/>
                <w:color w:val="auto"/>
                <w:kern w:val="0"/>
                <w:sz w:val="21"/>
                <w:szCs w:val="21"/>
                <w:highlight w:val="none"/>
                <w:lang w:val="en-US" w:eastAsia="zh-CN"/>
              </w:rPr>
              <w:t>未落实整改</w:t>
            </w:r>
          </w:p>
        </w:tc>
        <w:tc>
          <w:tcPr>
            <w:tcW w:w="893" w:type="dxa"/>
            <w:tcBorders>
              <w:tl2br w:val="nil"/>
              <w:tr2bl w:val="nil"/>
            </w:tcBorders>
            <w:noWrap w:val="0"/>
            <w:vAlign w:val="center"/>
          </w:tcPr>
          <w:p w14:paraId="2B0EF143">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-20</w:t>
            </w:r>
          </w:p>
        </w:tc>
        <w:tc>
          <w:tcPr>
            <w:tcW w:w="4554" w:type="dxa"/>
            <w:tcBorders>
              <w:tl2br w:val="nil"/>
              <w:tr2bl w:val="nil"/>
            </w:tcBorders>
            <w:noWrap w:val="0"/>
            <w:vAlign w:val="center"/>
          </w:tcPr>
          <w:p w14:paraId="6E66C064">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对审计部门、监督管理部门提出的整改事项未在规定期限内落实整改。</w:t>
            </w:r>
          </w:p>
        </w:tc>
        <w:tc>
          <w:tcPr>
            <w:tcW w:w="4555" w:type="dxa"/>
            <w:tcBorders>
              <w:tl2br w:val="nil"/>
              <w:tr2bl w:val="nil"/>
            </w:tcBorders>
            <w:noWrap w:val="0"/>
            <w:vAlign w:val="center"/>
          </w:tcPr>
          <w:p w14:paraId="32B3CBC1">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both"/>
              <w:outlineLvl w:val="9"/>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监管部门根据未完成整改情况进行扣分。（重复事项不重复扣分）</w:t>
            </w:r>
          </w:p>
        </w:tc>
        <w:tc>
          <w:tcPr>
            <w:tcW w:w="894" w:type="dxa"/>
            <w:vMerge w:val="continue"/>
            <w:tcBorders>
              <w:tl2br w:val="nil"/>
              <w:tr2bl w:val="nil"/>
            </w:tcBorders>
            <w:noWrap w:val="0"/>
            <w:vAlign w:val="center"/>
          </w:tcPr>
          <w:p w14:paraId="1F567ED4">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1"/>
                <w:szCs w:val="21"/>
                <w:highlight w:val="none"/>
                <w:lang w:val="en-US" w:eastAsia="zh-CN"/>
              </w:rPr>
            </w:pPr>
          </w:p>
        </w:tc>
      </w:tr>
      <w:tr w14:paraId="018A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3" w:hRule="atLeast"/>
        </w:trPr>
        <w:tc>
          <w:tcPr>
            <w:tcW w:w="1192" w:type="dxa"/>
            <w:tcBorders>
              <w:tl2br w:val="nil"/>
              <w:tr2bl w:val="nil"/>
            </w:tcBorders>
            <w:noWrap w:val="0"/>
            <w:vAlign w:val="center"/>
          </w:tcPr>
          <w:p w14:paraId="20E12651">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黑体" w:cs="Times New Roman"/>
                <w:color w:val="auto"/>
                <w:kern w:val="0"/>
                <w:sz w:val="21"/>
                <w:szCs w:val="21"/>
                <w:highlight w:val="none"/>
                <w:lang w:val="en-US" w:eastAsia="zh-CN"/>
              </w:rPr>
            </w:pPr>
            <w:r>
              <w:rPr>
                <w:rFonts w:hint="default" w:ascii="Times New Roman" w:hAnsi="Times New Roman" w:eastAsia="黑体" w:cs="Times New Roman"/>
                <w:color w:val="auto"/>
                <w:kern w:val="0"/>
                <w:sz w:val="21"/>
                <w:szCs w:val="21"/>
                <w:highlight w:val="none"/>
                <w:lang w:val="en-US" w:eastAsia="zh-CN"/>
              </w:rPr>
              <w:t>加分</w:t>
            </w:r>
          </w:p>
        </w:tc>
        <w:tc>
          <w:tcPr>
            <w:tcW w:w="12981" w:type="dxa"/>
            <w:gridSpan w:val="5"/>
            <w:tcBorders>
              <w:tl2br w:val="nil"/>
              <w:tr2bl w:val="nil"/>
            </w:tcBorders>
            <w:noWrap w:val="0"/>
            <w:vAlign w:val="center"/>
          </w:tcPr>
          <w:p w14:paraId="6E19050E">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黑体" w:cs="Times New Roman"/>
                <w:color w:val="auto"/>
                <w:kern w:val="0"/>
                <w:sz w:val="21"/>
                <w:szCs w:val="21"/>
                <w:highlight w:val="none"/>
                <w:lang w:val="en-US" w:eastAsia="zh-CN"/>
              </w:rPr>
            </w:pPr>
          </w:p>
        </w:tc>
      </w:tr>
      <w:tr w14:paraId="7621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3" w:hRule="atLeast"/>
        </w:trPr>
        <w:tc>
          <w:tcPr>
            <w:tcW w:w="1192" w:type="dxa"/>
            <w:tcBorders>
              <w:tl2br w:val="nil"/>
              <w:tr2bl w:val="nil"/>
            </w:tcBorders>
            <w:noWrap w:val="0"/>
            <w:vAlign w:val="center"/>
          </w:tcPr>
          <w:p w14:paraId="44B77A5F">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黑体" w:cs="Times New Roman"/>
                <w:color w:val="auto"/>
                <w:kern w:val="0"/>
                <w:sz w:val="21"/>
                <w:szCs w:val="21"/>
                <w:highlight w:val="none"/>
                <w:lang w:val="en-US" w:eastAsia="zh-CN"/>
              </w:rPr>
            </w:pPr>
            <w:r>
              <w:rPr>
                <w:rFonts w:hint="default" w:ascii="Times New Roman" w:hAnsi="Times New Roman" w:eastAsia="黑体" w:cs="Times New Roman"/>
                <w:color w:val="auto"/>
                <w:kern w:val="0"/>
                <w:sz w:val="21"/>
                <w:szCs w:val="21"/>
                <w:highlight w:val="none"/>
                <w:lang w:val="en-US" w:eastAsia="zh-CN"/>
              </w:rPr>
              <w:t>综合得分</w:t>
            </w:r>
          </w:p>
        </w:tc>
        <w:tc>
          <w:tcPr>
            <w:tcW w:w="12981" w:type="dxa"/>
            <w:gridSpan w:val="5"/>
            <w:tcBorders>
              <w:tl2br w:val="nil"/>
              <w:tr2bl w:val="nil"/>
            </w:tcBorders>
            <w:noWrap w:val="0"/>
            <w:vAlign w:val="center"/>
          </w:tcPr>
          <w:p w14:paraId="1A3504D1">
            <w:pPr>
              <w:keepNext w:val="0"/>
              <w:keepLines w:val="0"/>
              <w:pageBreakBefore w:val="0"/>
              <w:widowControl/>
              <w:kinsoku/>
              <w:wordWrap/>
              <w:overflowPunct/>
              <w:topLinePunct w:val="0"/>
              <w:autoSpaceDE w:val="0"/>
              <w:autoSpaceDN w:val="0"/>
              <w:bidi w:val="0"/>
              <w:adjustRightInd w:val="0"/>
              <w:snapToGrid w:val="0"/>
              <w:spacing w:line="200" w:lineRule="atLeast"/>
              <w:ind w:left="0" w:leftChars="0" w:right="0" w:rightChars="0" w:firstLine="0" w:firstLineChars="0"/>
              <w:jc w:val="center"/>
              <w:textAlignment w:val="center"/>
              <w:outlineLvl w:val="9"/>
              <w:rPr>
                <w:rFonts w:hint="default" w:ascii="Times New Roman" w:hAnsi="Times New Roman" w:eastAsia="黑体" w:cs="Times New Roman"/>
                <w:color w:val="auto"/>
                <w:kern w:val="0"/>
                <w:sz w:val="21"/>
                <w:szCs w:val="21"/>
                <w:highlight w:val="none"/>
                <w:lang w:val="en-US" w:eastAsia="zh-CN"/>
              </w:rPr>
            </w:pPr>
          </w:p>
        </w:tc>
      </w:tr>
      <w:tr w14:paraId="204D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2" w:hRule="atLeast"/>
        </w:trPr>
        <w:tc>
          <w:tcPr>
            <w:tcW w:w="14173" w:type="dxa"/>
            <w:gridSpan w:val="6"/>
            <w:tcBorders>
              <w:tl2br w:val="nil"/>
              <w:tr2bl w:val="nil"/>
            </w:tcBorders>
            <w:noWrap w:val="0"/>
            <w:vAlign w:val="center"/>
          </w:tcPr>
          <w:p w14:paraId="027AE83E">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60" w:lineRule="exact"/>
              <w:ind w:right="0" w:rightChars="0" w:firstLine="630" w:firstLineChars="300"/>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备注：1.本调查评分表满分100。</w:t>
            </w:r>
          </w:p>
          <w:p w14:paraId="22DD9FFE">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60" w:lineRule="exact"/>
              <w:ind w:right="0" w:rightChars="0" w:firstLine="630" w:firstLineChars="300"/>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2.最终得分作为评价融资担保公司依法合规经营的重要指标，其中：85（含）</w:t>
            </w:r>
            <w:r>
              <w:rPr>
                <w:rFonts w:hint="eastAsia" w:ascii="Times New Roman" w:hAnsi="Times New Roman" w:eastAsia="仿宋_GB2312" w:cs="Times New Roman"/>
                <w:color w:val="auto"/>
                <w:kern w:val="0"/>
                <w:sz w:val="21"/>
                <w:szCs w:val="21"/>
                <w:highlight w:val="none"/>
                <w:lang w:val="en-US" w:eastAsia="zh-CN"/>
              </w:rPr>
              <w:t>以上评级结果为优秀，等级为A级，</w:t>
            </w:r>
            <w:r>
              <w:rPr>
                <w:rFonts w:hint="default" w:ascii="Times New Roman" w:hAnsi="Times New Roman" w:eastAsia="仿宋_GB2312" w:cs="Times New Roman"/>
                <w:color w:val="auto"/>
                <w:kern w:val="0"/>
                <w:sz w:val="21"/>
                <w:szCs w:val="21"/>
                <w:highlight w:val="none"/>
                <w:lang w:val="en-US" w:eastAsia="zh-CN"/>
              </w:rPr>
              <w:t>代表公司经营稳健，内控制度执行较好，合规经营与风险管理较强，市场开发与成本控制能力较强，担保能力处于区内行业领先水平；75（含）-85分值</w:t>
            </w:r>
            <w:r>
              <w:rPr>
                <w:rFonts w:hint="eastAsia" w:ascii="Times New Roman" w:hAnsi="Times New Roman" w:eastAsia="仿宋_GB2312" w:cs="Times New Roman"/>
                <w:color w:val="auto"/>
                <w:kern w:val="0"/>
                <w:sz w:val="21"/>
                <w:szCs w:val="21"/>
                <w:highlight w:val="none"/>
                <w:lang w:val="en-US" w:eastAsia="zh-CN"/>
              </w:rPr>
              <w:t>评级结果为良好，等级为B级，</w:t>
            </w:r>
            <w:r>
              <w:rPr>
                <w:rFonts w:hint="default" w:ascii="Times New Roman" w:hAnsi="Times New Roman" w:eastAsia="仿宋_GB2312" w:cs="Times New Roman"/>
                <w:color w:val="auto"/>
                <w:kern w:val="0"/>
                <w:sz w:val="21"/>
                <w:szCs w:val="21"/>
                <w:highlight w:val="none"/>
                <w:lang w:val="en-US" w:eastAsia="zh-CN"/>
              </w:rPr>
              <w:t>代表公司经营平稳，内控制度与业务发展基本匹配。合规经营与风险管控良好；60（含）-75分值</w:t>
            </w:r>
            <w:r>
              <w:rPr>
                <w:rFonts w:hint="eastAsia" w:ascii="Times New Roman" w:hAnsi="Times New Roman" w:eastAsia="仿宋_GB2312" w:cs="Times New Roman"/>
                <w:color w:val="auto"/>
                <w:kern w:val="0"/>
                <w:sz w:val="21"/>
                <w:szCs w:val="21"/>
                <w:highlight w:val="none"/>
                <w:lang w:val="en-US" w:eastAsia="zh-CN"/>
              </w:rPr>
              <w:t>评级结果为合格，等级为C级，</w:t>
            </w:r>
            <w:r>
              <w:rPr>
                <w:rFonts w:hint="default" w:ascii="Times New Roman" w:hAnsi="Times New Roman" w:eastAsia="仿宋_GB2312" w:cs="Times New Roman"/>
                <w:color w:val="auto"/>
                <w:kern w:val="0"/>
                <w:sz w:val="21"/>
                <w:szCs w:val="21"/>
                <w:highlight w:val="none"/>
                <w:lang w:val="en-US" w:eastAsia="zh-CN"/>
              </w:rPr>
              <w:t>代表公司治理结构或内控制度的执行存在薄弱环节，风险管控能力一般；60以下分值</w:t>
            </w:r>
            <w:r>
              <w:rPr>
                <w:rFonts w:hint="eastAsia" w:ascii="Times New Roman" w:hAnsi="Times New Roman" w:eastAsia="仿宋_GB2312" w:cs="Times New Roman"/>
                <w:color w:val="auto"/>
                <w:kern w:val="0"/>
                <w:sz w:val="21"/>
                <w:szCs w:val="21"/>
                <w:highlight w:val="none"/>
                <w:lang w:val="en-US" w:eastAsia="zh-CN"/>
              </w:rPr>
              <w:t>评级结果为不合格，等级为D级，</w:t>
            </w:r>
            <w:r>
              <w:rPr>
                <w:rFonts w:hint="default" w:ascii="Times New Roman" w:hAnsi="Times New Roman" w:eastAsia="仿宋_GB2312" w:cs="Times New Roman"/>
                <w:color w:val="auto"/>
                <w:kern w:val="0"/>
                <w:sz w:val="21"/>
                <w:szCs w:val="21"/>
                <w:highlight w:val="none"/>
                <w:lang w:val="en-US" w:eastAsia="zh-CN"/>
              </w:rPr>
              <w:t>代表公司经营存在较大风险隐患，风险管控能力较弱。</w:t>
            </w:r>
          </w:p>
          <w:p w14:paraId="599F8ACD">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60" w:lineRule="exact"/>
              <w:ind w:right="0" w:rightChars="0" w:firstLine="630" w:firstLineChars="300"/>
              <w:textAlignment w:val="center"/>
              <w:outlineLvl w:val="9"/>
              <w:rPr>
                <w:rFonts w:hint="eastAsia"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3.附加分（上限为</w:t>
            </w:r>
            <w:r>
              <w:rPr>
                <w:rFonts w:hint="eastAsia" w:ascii="Times New Roman" w:hAnsi="Times New Roman" w:eastAsia="仿宋_GB2312" w:cs="Times New Roman"/>
                <w:color w:val="auto"/>
                <w:kern w:val="0"/>
                <w:sz w:val="21"/>
                <w:szCs w:val="21"/>
                <w:highlight w:val="none"/>
                <w:lang w:val="en-US" w:eastAsia="zh-CN"/>
              </w:rPr>
              <w:t>6</w:t>
            </w:r>
            <w:r>
              <w:rPr>
                <w:rFonts w:hint="default" w:ascii="Times New Roman" w:hAnsi="Times New Roman" w:eastAsia="仿宋_GB2312" w:cs="Times New Roman"/>
                <w:color w:val="auto"/>
                <w:kern w:val="0"/>
                <w:sz w:val="21"/>
                <w:szCs w:val="21"/>
                <w:highlight w:val="none"/>
                <w:lang w:val="en-US" w:eastAsia="zh-CN"/>
              </w:rPr>
              <w:t>分）：融资担保公司出现以下情形的，可加分：</w:t>
            </w:r>
          </w:p>
          <w:p w14:paraId="527D9934">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60" w:lineRule="exact"/>
              <w:ind w:right="0" w:rightChars="0" w:firstLine="630" w:firstLineChars="300"/>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（1）</w:t>
            </w:r>
            <w:r>
              <w:rPr>
                <w:rFonts w:hint="default" w:ascii="Times New Roman" w:hAnsi="Times New Roman" w:eastAsia="仿宋_GB2312" w:cs="Times New Roman"/>
                <w:color w:val="auto"/>
                <w:kern w:val="0"/>
                <w:sz w:val="21"/>
                <w:szCs w:val="21"/>
                <w:highlight w:val="none"/>
                <w:lang w:val="en-US" w:eastAsia="zh-CN"/>
              </w:rPr>
              <w:t>当年向自治区党委金融办报送信息稿并经采纳的、</w:t>
            </w:r>
            <w:r>
              <w:rPr>
                <w:rFonts w:hint="eastAsia" w:ascii="Times New Roman" w:hAnsi="Times New Roman" w:eastAsia="仿宋_GB2312" w:cs="Times New Roman"/>
                <w:color w:val="auto"/>
                <w:kern w:val="0"/>
                <w:sz w:val="21"/>
                <w:szCs w:val="21"/>
                <w:highlight w:val="none"/>
                <w:lang w:val="en-US" w:eastAsia="zh-CN"/>
              </w:rPr>
              <w:t>每篇加0.5分，向</w:t>
            </w:r>
            <w:r>
              <w:rPr>
                <w:rFonts w:hint="default" w:ascii="Times New Roman" w:hAnsi="Times New Roman" w:eastAsia="仿宋_GB2312" w:cs="Times New Roman"/>
                <w:color w:val="auto"/>
                <w:kern w:val="0"/>
                <w:sz w:val="21"/>
                <w:szCs w:val="21"/>
                <w:highlight w:val="none"/>
                <w:lang w:val="en-US" w:eastAsia="zh-CN"/>
              </w:rPr>
              <w:t>广西融资性担保业协会报送信息稿并经采纳的，每篇</w:t>
            </w:r>
            <w:r>
              <w:rPr>
                <w:rFonts w:hint="eastAsia" w:ascii="Times New Roman" w:hAnsi="Times New Roman" w:eastAsia="仿宋_GB2312" w:cs="Times New Roman"/>
                <w:color w:val="auto"/>
                <w:kern w:val="0"/>
                <w:sz w:val="21"/>
                <w:szCs w:val="21"/>
                <w:highlight w:val="none"/>
                <w:lang w:val="en-US" w:eastAsia="zh-CN"/>
              </w:rPr>
              <w:t>加</w:t>
            </w:r>
            <w:r>
              <w:rPr>
                <w:rFonts w:hint="default" w:ascii="Times New Roman" w:hAnsi="Times New Roman" w:eastAsia="仿宋_GB2312" w:cs="Times New Roman"/>
                <w:color w:val="auto"/>
                <w:kern w:val="0"/>
                <w:sz w:val="21"/>
                <w:szCs w:val="21"/>
                <w:highlight w:val="none"/>
                <w:lang w:val="en-US" w:eastAsia="zh-CN"/>
              </w:rPr>
              <w:t>0.</w:t>
            </w:r>
            <w:r>
              <w:rPr>
                <w:rFonts w:hint="eastAsia" w:ascii="Times New Roman" w:hAnsi="Times New Roman" w:eastAsia="仿宋_GB2312" w:cs="Times New Roman"/>
                <w:color w:val="auto"/>
                <w:kern w:val="0"/>
                <w:sz w:val="21"/>
                <w:szCs w:val="21"/>
                <w:highlight w:val="none"/>
                <w:lang w:val="en-US" w:eastAsia="zh-CN"/>
              </w:rPr>
              <w:t>2</w:t>
            </w:r>
            <w:r>
              <w:rPr>
                <w:rFonts w:hint="default" w:ascii="Times New Roman" w:hAnsi="Times New Roman" w:eastAsia="仿宋_GB2312" w:cs="Times New Roman"/>
                <w:color w:val="auto"/>
                <w:kern w:val="0"/>
                <w:sz w:val="21"/>
                <w:szCs w:val="21"/>
                <w:highlight w:val="none"/>
                <w:lang w:val="en-US" w:eastAsia="zh-CN"/>
              </w:rPr>
              <w:t>分，</w:t>
            </w:r>
            <w:r>
              <w:rPr>
                <w:rFonts w:hint="eastAsia" w:ascii="Times New Roman" w:hAnsi="Times New Roman" w:eastAsia="仿宋_GB2312" w:cs="Times New Roman"/>
                <w:color w:val="auto"/>
                <w:kern w:val="0"/>
                <w:sz w:val="21"/>
                <w:szCs w:val="21"/>
                <w:highlight w:val="none"/>
                <w:lang w:val="en-US" w:eastAsia="zh-CN"/>
              </w:rPr>
              <w:t>该项</w:t>
            </w:r>
            <w:r>
              <w:rPr>
                <w:rFonts w:hint="default" w:ascii="Times New Roman" w:hAnsi="Times New Roman" w:eastAsia="仿宋_GB2312" w:cs="Times New Roman"/>
                <w:color w:val="auto"/>
                <w:kern w:val="0"/>
                <w:sz w:val="21"/>
                <w:szCs w:val="21"/>
                <w:highlight w:val="none"/>
                <w:lang w:val="en-US" w:eastAsia="zh-CN"/>
              </w:rPr>
              <w:t>上限为</w:t>
            </w:r>
            <w:r>
              <w:rPr>
                <w:rFonts w:hint="eastAsia" w:ascii="Times New Roman" w:hAnsi="Times New Roman" w:eastAsia="仿宋_GB2312" w:cs="Times New Roman"/>
                <w:color w:val="auto"/>
                <w:kern w:val="0"/>
                <w:sz w:val="21"/>
                <w:szCs w:val="21"/>
                <w:highlight w:val="none"/>
                <w:lang w:val="en-US" w:eastAsia="zh-CN"/>
              </w:rPr>
              <w:t>2</w:t>
            </w:r>
            <w:r>
              <w:rPr>
                <w:rFonts w:hint="default" w:ascii="Times New Roman" w:hAnsi="Times New Roman" w:eastAsia="仿宋_GB2312" w:cs="Times New Roman"/>
                <w:color w:val="auto"/>
                <w:kern w:val="0"/>
                <w:sz w:val="21"/>
                <w:szCs w:val="21"/>
                <w:highlight w:val="none"/>
                <w:lang w:val="en-US" w:eastAsia="zh-CN"/>
              </w:rPr>
              <w:t>分；</w:t>
            </w:r>
          </w:p>
          <w:p w14:paraId="589A1067">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60" w:lineRule="exact"/>
              <w:ind w:right="0" w:rightChars="0" w:firstLine="630" w:firstLineChars="300"/>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（2）</w:t>
            </w:r>
            <w:r>
              <w:rPr>
                <w:rFonts w:hint="default" w:ascii="Times New Roman" w:hAnsi="Times New Roman" w:eastAsia="仿宋_GB2312" w:cs="Times New Roman"/>
                <w:color w:val="auto"/>
                <w:kern w:val="0"/>
                <w:sz w:val="21"/>
                <w:szCs w:val="21"/>
                <w:highlight w:val="none"/>
                <w:lang w:val="en-US" w:eastAsia="zh-CN"/>
              </w:rPr>
              <w:t>当年获得自治区级相关单位表彰的，每获得1次表彰</w:t>
            </w:r>
            <w:r>
              <w:rPr>
                <w:rFonts w:hint="eastAsia" w:ascii="Times New Roman" w:hAnsi="Times New Roman" w:eastAsia="仿宋_GB2312" w:cs="Times New Roman"/>
                <w:color w:val="auto"/>
                <w:kern w:val="0"/>
                <w:sz w:val="21"/>
                <w:szCs w:val="21"/>
                <w:highlight w:val="none"/>
                <w:lang w:val="en-US" w:eastAsia="zh-CN"/>
              </w:rPr>
              <w:t>加</w:t>
            </w:r>
            <w:r>
              <w:rPr>
                <w:rFonts w:hint="default" w:ascii="Times New Roman" w:hAnsi="Times New Roman" w:eastAsia="仿宋_GB2312" w:cs="Times New Roman"/>
                <w:color w:val="auto"/>
                <w:kern w:val="0"/>
                <w:sz w:val="21"/>
                <w:szCs w:val="21"/>
                <w:highlight w:val="none"/>
                <w:lang w:val="en-US" w:eastAsia="zh-CN"/>
              </w:rPr>
              <w:t>1分，当年获国家级相关单位表彰的，</w:t>
            </w:r>
            <w:r>
              <w:rPr>
                <w:rFonts w:hint="eastAsia" w:ascii="Times New Roman" w:hAnsi="Times New Roman" w:eastAsia="仿宋_GB2312" w:cs="Times New Roman"/>
                <w:color w:val="auto"/>
                <w:kern w:val="0"/>
                <w:sz w:val="21"/>
                <w:szCs w:val="21"/>
                <w:highlight w:val="none"/>
                <w:lang w:val="en-US" w:eastAsia="zh-CN"/>
              </w:rPr>
              <w:t>加</w:t>
            </w:r>
            <w:r>
              <w:rPr>
                <w:rFonts w:hint="default" w:ascii="Times New Roman" w:hAnsi="Times New Roman" w:eastAsia="仿宋_GB2312" w:cs="Times New Roman"/>
                <w:color w:val="auto"/>
                <w:kern w:val="0"/>
                <w:sz w:val="21"/>
                <w:szCs w:val="21"/>
                <w:highlight w:val="none"/>
                <w:lang w:val="en-US" w:eastAsia="zh-CN"/>
              </w:rPr>
              <w:t>2分，</w:t>
            </w:r>
            <w:r>
              <w:rPr>
                <w:rFonts w:hint="eastAsia" w:ascii="Times New Roman" w:hAnsi="Times New Roman" w:eastAsia="仿宋_GB2312" w:cs="Times New Roman"/>
                <w:color w:val="auto"/>
                <w:kern w:val="0"/>
                <w:sz w:val="21"/>
                <w:szCs w:val="21"/>
                <w:highlight w:val="none"/>
                <w:lang w:val="en-US" w:eastAsia="zh-CN"/>
              </w:rPr>
              <w:t>该项</w:t>
            </w:r>
            <w:r>
              <w:rPr>
                <w:rFonts w:hint="default" w:ascii="Times New Roman" w:hAnsi="Times New Roman" w:eastAsia="仿宋_GB2312" w:cs="Times New Roman"/>
                <w:color w:val="auto"/>
                <w:kern w:val="0"/>
                <w:sz w:val="21"/>
                <w:szCs w:val="21"/>
                <w:highlight w:val="none"/>
                <w:lang w:val="en-US" w:eastAsia="zh-CN"/>
              </w:rPr>
              <w:t>上限为2分；</w:t>
            </w:r>
          </w:p>
          <w:p w14:paraId="55B1F27D">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60" w:lineRule="exact"/>
              <w:ind w:right="0" w:rightChars="0" w:firstLine="630" w:firstLineChars="300"/>
              <w:textAlignment w:val="center"/>
              <w:outlineLvl w:val="9"/>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（3）</w:t>
            </w:r>
            <w:r>
              <w:rPr>
                <w:rFonts w:hint="default" w:ascii="Times New Roman" w:hAnsi="Times New Roman" w:eastAsia="仿宋_GB2312" w:cs="Times New Roman"/>
                <w:color w:val="auto"/>
                <w:kern w:val="0"/>
                <w:sz w:val="21"/>
                <w:szCs w:val="21"/>
                <w:highlight w:val="none"/>
                <w:lang w:val="en-US" w:eastAsia="zh-CN"/>
              </w:rPr>
              <w:t>当年</w:t>
            </w:r>
            <w:r>
              <w:rPr>
                <w:rFonts w:hint="eastAsia" w:ascii="Times New Roman" w:hAnsi="Times New Roman" w:eastAsia="仿宋_GB2312" w:cs="Times New Roman"/>
                <w:color w:val="auto"/>
                <w:kern w:val="0"/>
                <w:sz w:val="21"/>
                <w:szCs w:val="21"/>
                <w:highlight w:val="none"/>
                <w:lang w:val="en-US" w:eastAsia="zh-CN"/>
              </w:rPr>
              <w:t>追偿率</w:t>
            </w:r>
            <w:r>
              <w:rPr>
                <w:rFonts w:hint="default" w:ascii="Times New Roman" w:hAnsi="Times New Roman" w:eastAsia="仿宋_GB2312" w:cs="Times New Roman"/>
                <w:color w:val="auto"/>
                <w:kern w:val="0"/>
                <w:sz w:val="21"/>
                <w:szCs w:val="21"/>
                <w:highlight w:val="none"/>
                <w:lang w:val="en-US" w:eastAsia="zh-CN"/>
              </w:rPr>
              <w:t>达10%的加1分，达5%但不到10%的加0.5分；</w:t>
            </w:r>
            <w:r>
              <w:rPr>
                <w:rFonts w:hint="eastAsia" w:ascii="Times New Roman" w:hAnsi="Times New Roman" w:eastAsia="仿宋_GB2312" w:cs="Times New Roman"/>
                <w:color w:val="auto"/>
                <w:kern w:val="0"/>
                <w:sz w:val="21"/>
                <w:szCs w:val="21"/>
                <w:highlight w:val="none"/>
                <w:lang w:val="en-US" w:eastAsia="zh-CN"/>
              </w:rPr>
              <w:t>（当年追偿率=当年追偿金额/去年代偿金额）</w:t>
            </w:r>
          </w:p>
          <w:p w14:paraId="03A529DD">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60" w:lineRule="exact"/>
              <w:ind w:right="0" w:rightChars="0" w:firstLine="630" w:firstLineChars="300"/>
              <w:textAlignment w:val="center"/>
              <w:outlineLvl w:val="9"/>
              <w:rPr>
                <w:rFonts w:hint="default"/>
                <w:color w:val="auto"/>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（4）</w:t>
            </w:r>
            <w:r>
              <w:rPr>
                <w:rFonts w:hint="default" w:ascii="Times New Roman" w:hAnsi="Times New Roman" w:eastAsia="仿宋_GB2312" w:cs="Times New Roman"/>
                <w:color w:val="auto"/>
                <w:kern w:val="0"/>
                <w:sz w:val="21"/>
                <w:szCs w:val="21"/>
                <w:highlight w:val="none"/>
                <w:lang w:val="en-US" w:eastAsia="zh-CN"/>
              </w:rPr>
              <w:t>上一年度末在保余额放大倍数达5倍，加1分。</w:t>
            </w:r>
          </w:p>
        </w:tc>
      </w:tr>
    </w:tbl>
    <w:p w14:paraId="19D67EAC">
      <w:pPr>
        <w:pStyle w:val="2"/>
        <w:rPr>
          <w:color w:val="auto"/>
          <w:highlight w:val="none"/>
        </w:rPr>
      </w:pPr>
    </w:p>
    <w:p w14:paraId="6E9C70B2">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14:paraId="56440A9B">
      <w:pPr>
        <w:pStyle w:val="2"/>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5：</w:t>
      </w:r>
    </w:p>
    <w:p w14:paraId="369113A6">
      <w:pPr>
        <w:keepNext w:val="0"/>
        <w:keepLines w:val="0"/>
        <w:pageBreakBefore w:val="0"/>
        <w:numPr>
          <w:ilvl w:val="0"/>
          <w:numId w:val="0"/>
        </w:numPr>
        <w:kinsoku/>
        <w:overflowPunct/>
        <w:topLinePunct w:val="0"/>
        <w:autoSpaceDE w:val="0"/>
        <w:autoSpaceDN w:val="0"/>
        <w:bidi w:val="0"/>
        <w:adjustRightInd w:val="0"/>
        <w:snapToGrid/>
        <w:spacing w:beforeLines="0" w:afterLines="0" w:line="560" w:lineRule="exact"/>
        <w:ind w:left="0" w:leftChars="0" w:right="0" w:rightChars="0"/>
        <w:jc w:val="center"/>
        <w:textAlignment w:val="auto"/>
        <w:outlineLvl w:val="9"/>
        <w:rPr>
          <w:rFonts w:hint="default" w:ascii="Times New Roman" w:hAnsi="Times New Roman" w:cs="Times New Roman"/>
          <w:color w:val="auto"/>
          <w:highlight w:val="none"/>
        </w:rPr>
      </w:pPr>
      <w:r>
        <w:rPr>
          <w:rFonts w:hint="eastAsia" w:eastAsia="方正小标宋简体" w:cs="Times New Roman"/>
          <w:color w:val="auto"/>
          <w:sz w:val="44"/>
          <w:szCs w:val="44"/>
          <w:highlight w:val="none"/>
          <w:lang w:eastAsia="zh-CN"/>
        </w:rPr>
        <w:t>广</w:t>
      </w:r>
      <w:r>
        <w:rPr>
          <w:rFonts w:hint="default" w:ascii="Times New Roman" w:hAnsi="Times New Roman" w:eastAsia="方正小标宋简体" w:cs="Times New Roman"/>
          <w:color w:val="auto"/>
          <w:sz w:val="44"/>
          <w:szCs w:val="44"/>
          <w:highlight w:val="none"/>
        </w:rPr>
        <w:t>西壮族自治区</w:t>
      </w:r>
      <w:r>
        <w:rPr>
          <w:rFonts w:hint="default" w:ascii="Times New Roman" w:hAnsi="Times New Roman" w:eastAsia="方正小标宋简体" w:cs="Times New Roman"/>
          <w:color w:val="auto"/>
          <w:sz w:val="44"/>
          <w:szCs w:val="44"/>
          <w:highlight w:val="none"/>
          <w:lang w:val="en-US" w:eastAsia="zh-CN"/>
        </w:rPr>
        <w:t>融资租赁公司</w:t>
      </w:r>
      <w:r>
        <w:rPr>
          <w:rFonts w:hint="default" w:ascii="Times New Roman" w:hAnsi="Times New Roman" w:eastAsia="方正小标宋简体" w:cs="Times New Roman"/>
          <w:color w:val="auto"/>
          <w:sz w:val="44"/>
          <w:szCs w:val="44"/>
          <w:highlight w:val="none"/>
          <w:lang w:eastAsia="zh-CN"/>
        </w:rPr>
        <w:t>202</w:t>
      </w:r>
      <w:r>
        <w:rPr>
          <w:rFonts w:hint="default" w:ascii="Times New Roman" w:hAnsi="Times New Roman" w:eastAsia="方正小标宋简体" w:cs="Times New Roman"/>
          <w:color w:val="auto"/>
          <w:sz w:val="44"/>
          <w:szCs w:val="44"/>
          <w:highlight w:val="none"/>
          <w:lang w:val="en-US" w:eastAsia="zh-CN"/>
        </w:rPr>
        <w:t>4</w:t>
      </w:r>
      <w:r>
        <w:rPr>
          <w:rFonts w:hint="default" w:ascii="Times New Roman" w:hAnsi="Times New Roman" w:eastAsia="方正小标宋简体" w:cs="Times New Roman"/>
          <w:color w:val="auto"/>
          <w:sz w:val="44"/>
          <w:szCs w:val="44"/>
          <w:highlight w:val="none"/>
          <w:lang w:eastAsia="zh-CN"/>
        </w:rPr>
        <w:t>年</w:t>
      </w:r>
      <w:r>
        <w:rPr>
          <w:rFonts w:hint="default" w:ascii="Times New Roman" w:hAnsi="Times New Roman" w:eastAsia="方正小标宋简体" w:cs="Times New Roman"/>
          <w:color w:val="auto"/>
          <w:sz w:val="44"/>
          <w:szCs w:val="44"/>
          <w:highlight w:val="none"/>
        </w:rPr>
        <w:t>度</w:t>
      </w:r>
      <w:r>
        <w:rPr>
          <w:rFonts w:hint="eastAsia" w:eastAsia="方正小标宋简体" w:cs="Times New Roman"/>
          <w:color w:val="auto"/>
          <w:sz w:val="44"/>
          <w:szCs w:val="44"/>
          <w:highlight w:val="none"/>
          <w:lang w:eastAsia="zh-CN"/>
        </w:rPr>
        <w:t>监管评级</w:t>
      </w:r>
      <w:r>
        <w:rPr>
          <w:rFonts w:hint="default" w:ascii="Times New Roman" w:hAnsi="Times New Roman" w:eastAsia="方正小标宋简体" w:cs="Times New Roman"/>
          <w:color w:val="auto"/>
          <w:sz w:val="44"/>
          <w:szCs w:val="44"/>
          <w:highlight w:val="none"/>
        </w:rPr>
        <w:t>评分表</w:t>
      </w:r>
    </w:p>
    <w:tbl>
      <w:tblPr>
        <w:tblStyle w:val="24"/>
        <w:tblW w:w="13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536"/>
        <w:gridCol w:w="504"/>
        <w:gridCol w:w="8992"/>
        <w:gridCol w:w="705"/>
        <w:gridCol w:w="680"/>
      </w:tblGrid>
      <w:tr w14:paraId="6409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blHeader/>
          <w:jc w:val="center"/>
        </w:trPr>
        <w:tc>
          <w:tcPr>
            <w:tcW w:w="2669" w:type="dxa"/>
            <w:gridSpan w:val="2"/>
            <w:noWrap w:val="0"/>
            <w:vAlign w:val="center"/>
          </w:tcPr>
          <w:p w14:paraId="7C4CF5E3">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方正仿宋_GBK" w:cs="Times New Roman"/>
                <w:b/>
                <w:bCs/>
                <w:color w:val="auto"/>
                <w:szCs w:val="32"/>
                <w:highlight w:val="none"/>
              </w:rPr>
            </w:pPr>
            <w:r>
              <w:rPr>
                <w:rFonts w:hint="default" w:ascii="Times New Roman" w:hAnsi="Times New Roman" w:eastAsia="方正仿宋_GBK" w:cs="Times New Roman"/>
                <w:b/>
                <w:bCs/>
                <w:color w:val="auto"/>
                <w:szCs w:val="32"/>
                <w:highlight w:val="none"/>
              </w:rPr>
              <w:t>考评内容</w:t>
            </w:r>
          </w:p>
        </w:tc>
        <w:tc>
          <w:tcPr>
            <w:tcW w:w="504" w:type="dxa"/>
            <w:noWrap w:val="0"/>
            <w:vAlign w:val="center"/>
          </w:tcPr>
          <w:p w14:paraId="71033BAE">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方正仿宋_GBK" w:cs="Times New Roman"/>
                <w:b/>
                <w:bCs/>
                <w:color w:val="auto"/>
                <w:szCs w:val="32"/>
                <w:highlight w:val="none"/>
              </w:rPr>
            </w:pPr>
            <w:r>
              <w:rPr>
                <w:rFonts w:hint="default" w:ascii="Times New Roman" w:hAnsi="Times New Roman" w:eastAsia="方正仿宋_GBK" w:cs="Times New Roman"/>
                <w:b/>
                <w:bCs/>
                <w:color w:val="auto"/>
                <w:szCs w:val="32"/>
                <w:highlight w:val="none"/>
              </w:rPr>
              <w:t>分值</w:t>
            </w:r>
          </w:p>
        </w:tc>
        <w:tc>
          <w:tcPr>
            <w:tcW w:w="8992" w:type="dxa"/>
            <w:noWrap w:val="0"/>
            <w:vAlign w:val="center"/>
          </w:tcPr>
          <w:p w14:paraId="2185C54D">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方正仿宋_GBK" w:cs="Times New Roman"/>
                <w:b/>
                <w:bCs/>
                <w:color w:val="auto"/>
                <w:szCs w:val="32"/>
                <w:highlight w:val="none"/>
              </w:rPr>
            </w:pPr>
            <w:r>
              <w:rPr>
                <w:rFonts w:hint="default" w:ascii="Times New Roman" w:hAnsi="Times New Roman" w:eastAsia="方正仿宋_GBK" w:cs="Times New Roman"/>
                <w:b/>
                <w:bCs/>
                <w:color w:val="auto"/>
                <w:szCs w:val="32"/>
                <w:highlight w:val="none"/>
              </w:rPr>
              <w:t>评分标准</w:t>
            </w:r>
          </w:p>
        </w:tc>
        <w:tc>
          <w:tcPr>
            <w:tcW w:w="705" w:type="dxa"/>
            <w:noWrap w:val="0"/>
            <w:vAlign w:val="center"/>
          </w:tcPr>
          <w:p w14:paraId="07CA5C33">
            <w:pPr>
              <w:keepNext w:val="0"/>
              <w:keepLines w:val="0"/>
              <w:pageBreakBefore w:val="0"/>
              <w:kinsoku/>
              <w:overflowPunct/>
              <w:topLinePunct w:val="0"/>
              <w:bidi w:val="0"/>
              <w:snapToGrid w:val="0"/>
              <w:spacing w:line="360" w:lineRule="exact"/>
              <w:ind w:left="0" w:leftChars="0" w:right="0" w:rightChars="0"/>
              <w:jc w:val="center"/>
              <w:textAlignment w:val="auto"/>
              <w:outlineLvl w:val="9"/>
              <w:rPr>
                <w:rFonts w:hint="default" w:ascii="Times New Roman" w:hAnsi="Times New Roman" w:eastAsia="方正仿宋_GBK" w:cs="Times New Roman"/>
                <w:b/>
                <w:bCs/>
                <w:color w:val="auto"/>
                <w:szCs w:val="32"/>
                <w:highlight w:val="none"/>
              </w:rPr>
            </w:pPr>
            <w:r>
              <w:rPr>
                <w:rFonts w:hint="default" w:ascii="Times New Roman" w:hAnsi="Times New Roman" w:eastAsia="方正仿宋_GBK" w:cs="Times New Roman"/>
                <w:b/>
                <w:bCs/>
                <w:color w:val="auto"/>
                <w:szCs w:val="32"/>
                <w:highlight w:val="none"/>
              </w:rPr>
              <w:t>得分</w:t>
            </w:r>
          </w:p>
        </w:tc>
        <w:tc>
          <w:tcPr>
            <w:tcW w:w="680" w:type="dxa"/>
            <w:noWrap w:val="0"/>
            <w:vAlign w:val="center"/>
          </w:tcPr>
          <w:p w14:paraId="70E6A362">
            <w:pPr>
              <w:keepNext w:val="0"/>
              <w:keepLines w:val="0"/>
              <w:pageBreakBefore w:val="0"/>
              <w:kinsoku/>
              <w:overflowPunct/>
              <w:topLinePunct w:val="0"/>
              <w:bidi w:val="0"/>
              <w:snapToGrid w:val="0"/>
              <w:spacing w:line="360" w:lineRule="exact"/>
              <w:ind w:left="0" w:leftChars="0" w:right="0" w:rightChars="0"/>
              <w:jc w:val="center"/>
              <w:textAlignment w:val="auto"/>
              <w:outlineLvl w:val="9"/>
              <w:rPr>
                <w:rFonts w:hint="default" w:ascii="Times New Roman" w:hAnsi="Times New Roman" w:eastAsia="方正仿宋_GBK" w:cs="Times New Roman"/>
                <w:b/>
                <w:bCs/>
                <w:color w:val="auto"/>
                <w:szCs w:val="32"/>
                <w:highlight w:val="none"/>
              </w:rPr>
            </w:pPr>
            <w:r>
              <w:rPr>
                <w:rFonts w:hint="default" w:ascii="Times New Roman" w:hAnsi="Times New Roman" w:eastAsia="方正仿宋_GBK" w:cs="Times New Roman"/>
                <w:b/>
                <w:bCs/>
                <w:color w:val="auto"/>
                <w:szCs w:val="32"/>
                <w:highlight w:val="none"/>
              </w:rPr>
              <w:t>备注</w:t>
            </w:r>
          </w:p>
        </w:tc>
      </w:tr>
      <w:tr w14:paraId="2586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3" w:hRule="atLeast"/>
          <w:jc w:val="center"/>
        </w:trPr>
        <w:tc>
          <w:tcPr>
            <w:tcW w:w="1133" w:type="dxa"/>
            <w:vMerge w:val="restart"/>
            <w:noWrap w:val="0"/>
            <w:vAlign w:val="center"/>
          </w:tcPr>
          <w:p w14:paraId="0CC38764">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一、</w:t>
            </w:r>
          </w:p>
          <w:p w14:paraId="19311D6C">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公司</w:t>
            </w:r>
          </w:p>
          <w:p w14:paraId="2E590566">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治理</w:t>
            </w:r>
          </w:p>
          <w:p w14:paraId="257AE135">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eastAsia" w:eastAsia="黑体" w:cs="Times New Roman"/>
                <w:color w:val="auto"/>
                <w:sz w:val="24"/>
                <w:szCs w:val="24"/>
                <w:highlight w:val="none"/>
                <w:lang w:eastAsia="zh-CN"/>
              </w:rPr>
              <w:t>（</w:t>
            </w:r>
            <w:r>
              <w:rPr>
                <w:rFonts w:hint="default" w:ascii="Times New Roman" w:hAnsi="Times New Roman" w:eastAsia="黑体" w:cs="Times New Roman"/>
                <w:color w:val="auto"/>
                <w:sz w:val="24"/>
                <w:szCs w:val="24"/>
                <w:highlight w:val="none"/>
                <w:lang w:val="en-US" w:eastAsia="zh-CN"/>
              </w:rPr>
              <w:t>15</w:t>
            </w:r>
            <w:r>
              <w:rPr>
                <w:rFonts w:hint="default" w:ascii="Times New Roman" w:hAnsi="Times New Roman" w:eastAsia="黑体" w:cs="Times New Roman"/>
                <w:color w:val="auto"/>
                <w:sz w:val="24"/>
                <w:szCs w:val="24"/>
                <w:highlight w:val="none"/>
              </w:rPr>
              <w:t>分）</w:t>
            </w:r>
          </w:p>
        </w:tc>
        <w:tc>
          <w:tcPr>
            <w:tcW w:w="1536" w:type="dxa"/>
            <w:noWrap w:val="0"/>
            <w:vAlign w:val="center"/>
          </w:tcPr>
          <w:p w14:paraId="3864CC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eastAsia" w:cs="Times New Roman"/>
                <w:b/>
                <w:bCs/>
                <w:i w:val="0"/>
                <w:iCs w:val="0"/>
                <w:color w:val="auto"/>
                <w:kern w:val="0"/>
                <w:sz w:val="24"/>
                <w:szCs w:val="24"/>
                <w:highlight w:val="none"/>
                <w:u w:val="none"/>
                <w:lang w:val="en-US" w:eastAsia="zh-CN" w:bidi="ar"/>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t>1</w:t>
            </w:r>
            <w:r>
              <w:rPr>
                <w:rFonts w:hint="eastAsia" w:cs="Times New Roman"/>
                <w:b/>
                <w:bCs/>
                <w:i w:val="0"/>
                <w:iCs w:val="0"/>
                <w:color w:val="auto"/>
                <w:kern w:val="0"/>
                <w:sz w:val="24"/>
                <w:szCs w:val="24"/>
                <w:highlight w:val="none"/>
                <w:u w:val="none"/>
                <w:lang w:val="en-US" w:eastAsia="zh-CN" w:bidi="ar"/>
              </w:rPr>
              <w:t>）</w:t>
            </w:r>
          </w:p>
          <w:p w14:paraId="2E52EE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4"/>
                <w:szCs w:val="24"/>
                <w:highlight w:val="none"/>
                <w:u w:val="none"/>
                <w:lang w:val="en-US" w:eastAsia="zh-CN" w:bidi="ar-SA"/>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党建工作</w:t>
            </w:r>
          </w:p>
        </w:tc>
        <w:tc>
          <w:tcPr>
            <w:tcW w:w="504" w:type="dxa"/>
            <w:noWrap w:val="0"/>
            <w:vAlign w:val="center"/>
          </w:tcPr>
          <w:p w14:paraId="3120F9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kern w:val="2"/>
                <w:sz w:val="22"/>
                <w:szCs w:val="22"/>
                <w:highlight w:val="none"/>
                <w:u w:val="none"/>
                <w:lang w:val="en-US" w:eastAsia="zh-CN" w:bidi="ar-SA"/>
              </w:rPr>
            </w:pPr>
            <w:r>
              <w:rPr>
                <w:rFonts w:hint="default" w:ascii="Times New Roman" w:hAnsi="Times New Roman" w:cs="Times New Roman"/>
                <w:b/>
                <w:bCs/>
                <w:i w:val="0"/>
                <w:iCs w:val="0"/>
                <w:color w:val="auto"/>
                <w:kern w:val="0"/>
                <w:sz w:val="22"/>
                <w:szCs w:val="22"/>
                <w:highlight w:val="none"/>
                <w:u w:val="none"/>
                <w:lang w:val="en-US" w:eastAsia="zh-CN" w:bidi="ar"/>
              </w:rPr>
              <w:t>3</w:t>
            </w:r>
          </w:p>
        </w:tc>
        <w:tc>
          <w:tcPr>
            <w:tcW w:w="8992" w:type="dxa"/>
            <w:noWrap w:val="0"/>
            <w:vAlign w:val="center"/>
          </w:tcPr>
          <w:p w14:paraId="7CBCFC9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1.党建工作纳入公司章程，公司员工有3名以上党员且按规定成立党支部，能按党章规定规范组织开展党组织活动（包括但不限于“三会一课”）的，得3分；</w:t>
            </w:r>
          </w:p>
          <w:p w14:paraId="7B09507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2.党建工作纳入公司章程，公司员工中不足3名党员未成立党支部，但党员能在其他联建党支部中参加党组织活动的，得2分；</w:t>
            </w:r>
          </w:p>
          <w:p w14:paraId="7C28F60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3.党建工作未纳入公司章程，但党员能在其他联建党支部中参加党组织活动的，得1分；</w:t>
            </w:r>
          </w:p>
          <w:p w14:paraId="05F463F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4.党建工作未纳入公司章程，且公司职工党员未参加党组织活动的，得0分。</w:t>
            </w:r>
          </w:p>
        </w:tc>
        <w:tc>
          <w:tcPr>
            <w:tcW w:w="705" w:type="dxa"/>
            <w:noWrap w:val="0"/>
            <w:vAlign w:val="top"/>
          </w:tcPr>
          <w:p w14:paraId="3F17A86D">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689868D2">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5D8A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5" w:hRule="atLeast"/>
          <w:jc w:val="center"/>
        </w:trPr>
        <w:tc>
          <w:tcPr>
            <w:tcW w:w="1133" w:type="dxa"/>
            <w:vMerge w:val="continue"/>
            <w:noWrap w:val="0"/>
            <w:vAlign w:val="top"/>
          </w:tcPr>
          <w:p w14:paraId="7355CF8D">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p>
        </w:tc>
        <w:tc>
          <w:tcPr>
            <w:tcW w:w="1536" w:type="dxa"/>
            <w:noWrap w:val="0"/>
            <w:vAlign w:val="center"/>
          </w:tcPr>
          <w:p w14:paraId="12C4B3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4"/>
                <w:szCs w:val="24"/>
                <w:highlight w:val="none"/>
                <w:u w:val="none"/>
                <w:lang w:val="en-US" w:eastAsia="zh-CN" w:bidi="ar-SA"/>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（2）</w:t>
            </w:r>
            <w:r>
              <w:rPr>
                <w:rFonts w:hint="default" w:ascii="Times New Roman" w:hAnsi="Times New Roman" w:eastAsia="仿宋_GB2312" w:cs="Times New Roman"/>
                <w:b/>
                <w:bCs/>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b/>
                <w:bCs/>
                <w:i w:val="0"/>
                <w:iCs w:val="0"/>
                <w:color w:val="auto"/>
                <w:kern w:val="0"/>
                <w:sz w:val="24"/>
                <w:szCs w:val="24"/>
                <w:highlight w:val="none"/>
                <w:u w:val="none"/>
                <w:lang w:val="en-US" w:eastAsia="zh-CN" w:bidi="ar"/>
              </w:rPr>
              <w:t>治理结构</w:t>
            </w:r>
          </w:p>
        </w:tc>
        <w:tc>
          <w:tcPr>
            <w:tcW w:w="504" w:type="dxa"/>
            <w:noWrap w:val="0"/>
            <w:vAlign w:val="center"/>
          </w:tcPr>
          <w:p w14:paraId="181DD2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1"/>
                <w:szCs w:val="21"/>
                <w:highlight w:val="none"/>
                <w:u w:val="none"/>
                <w:lang w:val="en-US" w:eastAsia="zh-CN" w:bidi="ar-SA"/>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2</w:t>
            </w:r>
          </w:p>
        </w:tc>
        <w:tc>
          <w:tcPr>
            <w:tcW w:w="8992" w:type="dxa"/>
            <w:noWrap w:val="0"/>
            <w:vAlign w:val="center"/>
          </w:tcPr>
          <w:p w14:paraId="3972345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1.公司治理结构健全，股东会（股东）、董事会（董事）、监事会（监事）和高级管理层之间的权责关系明确，议事规则、决策程序有效的得2分；</w:t>
            </w:r>
          </w:p>
          <w:p w14:paraId="3051B4F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2.公司治理结构有待完善，股东会（股东）、董事会（董事）、监事会（监事）和高级管理层之间的权责关系基本明确，议事规则、决策程序较为合理的得1分；</w:t>
            </w:r>
          </w:p>
          <w:p w14:paraId="4FB20DC9">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3.公司治理结构不健全，股东会（股东）、董事会（董事）、监事会（监事）和高级管理层之间的权责关系不明确，议事规则、决策程序混乱的得0分。</w:t>
            </w:r>
          </w:p>
        </w:tc>
        <w:tc>
          <w:tcPr>
            <w:tcW w:w="705" w:type="dxa"/>
            <w:noWrap w:val="0"/>
            <w:vAlign w:val="top"/>
          </w:tcPr>
          <w:p w14:paraId="002999F4">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7237B05B">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67AC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1" w:hRule="atLeast"/>
          <w:jc w:val="center"/>
        </w:trPr>
        <w:tc>
          <w:tcPr>
            <w:tcW w:w="1133" w:type="dxa"/>
            <w:vMerge w:val="continue"/>
            <w:noWrap w:val="0"/>
            <w:vAlign w:val="top"/>
          </w:tcPr>
          <w:p w14:paraId="6F38D003">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p>
        </w:tc>
        <w:tc>
          <w:tcPr>
            <w:tcW w:w="1536" w:type="dxa"/>
            <w:noWrap w:val="0"/>
            <w:vAlign w:val="center"/>
          </w:tcPr>
          <w:p w14:paraId="6F632A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4"/>
                <w:szCs w:val="24"/>
                <w:highlight w:val="none"/>
                <w:u w:val="none"/>
                <w:lang w:val="en-US" w:eastAsia="zh-CN" w:bidi="ar-SA"/>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（3）</w:t>
            </w:r>
            <w:r>
              <w:rPr>
                <w:rFonts w:hint="default" w:ascii="Times New Roman" w:hAnsi="Times New Roman" w:eastAsia="仿宋_GB2312" w:cs="Times New Roman"/>
                <w:b/>
                <w:bCs/>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b/>
                <w:bCs/>
                <w:i w:val="0"/>
                <w:iCs w:val="0"/>
                <w:color w:val="auto"/>
                <w:kern w:val="0"/>
                <w:sz w:val="24"/>
                <w:szCs w:val="24"/>
                <w:highlight w:val="none"/>
                <w:u w:val="none"/>
                <w:lang w:val="en-US" w:eastAsia="zh-CN" w:bidi="ar"/>
              </w:rPr>
              <w:t>运营体系</w:t>
            </w:r>
          </w:p>
        </w:tc>
        <w:tc>
          <w:tcPr>
            <w:tcW w:w="504" w:type="dxa"/>
            <w:noWrap w:val="0"/>
            <w:vAlign w:val="center"/>
          </w:tcPr>
          <w:p w14:paraId="11F1DE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1"/>
                <w:szCs w:val="21"/>
                <w:highlight w:val="none"/>
                <w:u w:val="none"/>
                <w:lang w:val="en-US" w:eastAsia="zh-CN" w:bidi="ar-SA"/>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2</w:t>
            </w:r>
          </w:p>
        </w:tc>
        <w:tc>
          <w:tcPr>
            <w:tcW w:w="8992" w:type="dxa"/>
            <w:noWrap w:val="0"/>
            <w:vAlign w:val="center"/>
          </w:tcPr>
          <w:p w14:paraId="5792CE93">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1.</w:t>
            </w:r>
            <w:r>
              <w:rPr>
                <w:rFonts w:hint="default" w:ascii="Times New Roman" w:hAnsi="Times New Roman" w:eastAsia="仿宋_GB2312" w:cs="Times New Roman"/>
                <w:color w:val="auto"/>
                <w:kern w:val="0"/>
                <w:sz w:val="21"/>
                <w:szCs w:val="21"/>
                <w:highlight w:val="none"/>
                <w:lang w:val="en-US" w:eastAsia="zh-CN" w:bidi="ar"/>
              </w:rPr>
              <w:t>具有完善的公司章程，建立了严格的责任制度、清晰的决策权限，具有完善的财务管理制度、业务管理制度、运营管理制度等，并完全参照执行的，得</w:t>
            </w:r>
            <w:r>
              <w:rPr>
                <w:rFonts w:hint="default" w:ascii="Times New Roman" w:hAnsi="Times New Roman" w:eastAsia="仿宋_GB2312" w:cs="Times New Roman"/>
                <w:i w:val="0"/>
                <w:iCs w:val="0"/>
                <w:color w:val="auto"/>
                <w:kern w:val="0"/>
                <w:sz w:val="21"/>
                <w:szCs w:val="21"/>
                <w:highlight w:val="none"/>
                <w:u w:val="none"/>
                <w:lang w:val="en-US" w:eastAsia="zh-CN" w:bidi="ar"/>
              </w:rPr>
              <w:t>2</w:t>
            </w:r>
            <w:r>
              <w:rPr>
                <w:rFonts w:hint="default" w:ascii="Times New Roman" w:hAnsi="Times New Roman" w:eastAsia="仿宋_GB2312" w:cs="Times New Roman"/>
                <w:color w:val="auto"/>
                <w:kern w:val="0"/>
                <w:sz w:val="21"/>
                <w:szCs w:val="21"/>
                <w:highlight w:val="none"/>
                <w:lang w:val="en-US" w:eastAsia="zh-CN" w:bidi="ar"/>
              </w:rPr>
              <w:t>分；</w:t>
            </w:r>
            <w:r>
              <w:rPr>
                <w:rFonts w:hint="default" w:ascii="Times New Roman" w:hAnsi="Times New Roman" w:eastAsia="仿宋_GB2312" w:cs="Times New Roman"/>
                <w:i w:val="0"/>
                <w:iCs w:val="0"/>
                <w:color w:val="auto"/>
                <w:kern w:val="0"/>
                <w:sz w:val="21"/>
                <w:szCs w:val="21"/>
                <w:highlight w:val="none"/>
                <w:u w:val="none"/>
                <w:lang w:val="en-US" w:eastAsia="zh-CN" w:bidi="ar"/>
              </w:rPr>
              <w:br w:type="textWrapping"/>
            </w:r>
            <w:r>
              <w:rPr>
                <w:rFonts w:hint="default" w:ascii="Times New Roman" w:hAnsi="Times New Roman" w:eastAsia="仿宋_GB2312" w:cs="Times New Roman"/>
                <w:i w:val="0"/>
                <w:iCs w:val="0"/>
                <w:color w:val="auto"/>
                <w:kern w:val="0"/>
                <w:sz w:val="21"/>
                <w:szCs w:val="21"/>
                <w:highlight w:val="none"/>
                <w:u w:val="none"/>
                <w:lang w:val="en-US" w:eastAsia="zh-CN" w:bidi="ar"/>
              </w:rPr>
              <w:t>2.</w:t>
            </w:r>
            <w:r>
              <w:rPr>
                <w:rFonts w:hint="default" w:ascii="Times New Roman" w:hAnsi="Times New Roman" w:eastAsia="仿宋_GB2312" w:cs="Times New Roman"/>
                <w:color w:val="auto"/>
                <w:kern w:val="0"/>
                <w:sz w:val="21"/>
                <w:szCs w:val="21"/>
                <w:highlight w:val="none"/>
                <w:lang w:val="en-US" w:eastAsia="zh-CN" w:bidi="ar"/>
              </w:rPr>
              <w:t>公司章程较为完善，责任制度、决策权限较为严格清晰，财务管理制度、业务管理制度、运营管理制度等设置有待完善，或执行不全面的，得</w:t>
            </w:r>
            <w:r>
              <w:rPr>
                <w:rFonts w:hint="default" w:ascii="Times New Roman" w:hAnsi="Times New Roman" w:eastAsia="仿宋_GB2312" w:cs="Times New Roman"/>
                <w:i w:val="0"/>
                <w:iCs w:val="0"/>
                <w:color w:val="auto"/>
                <w:kern w:val="0"/>
                <w:sz w:val="21"/>
                <w:szCs w:val="21"/>
                <w:highlight w:val="none"/>
                <w:u w:val="none"/>
                <w:lang w:val="en-US" w:eastAsia="zh-CN" w:bidi="ar"/>
              </w:rPr>
              <w:t>1</w:t>
            </w:r>
            <w:r>
              <w:rPr>
                <w:rFonts w:hint="default" w:ascii="Times New Roman" w:hAnsi="Times New Roman" w:eastAsia="仿宋_GB2312" w:cs="Times New Roman"/>
                <w:color w:val="auto"/>
                <w:kern w:val="0"/>
                <w:sz w:val="21"/>
                <w:szCs w:val="21"/>
                <w:highlight w:val="none"/>
                <w:lang w:val="en-US" w:eastAsia="zh-CN" w:bidi="ar"/>
              </w:rPr>
              <w:t>分；</w:t>
            </w:r>
            <w:r>
              <w:rPr>
                <w:rFonts w:hint="default" w:ascii="Times New Roman" w:hAnsi="Times New Roman" w:eastAsia="仿宋_GB2312" w:cs="Times New Roman"/>
                <w:i w:val="0"/>
                <w:iCs w:val="0"/>
                <w:color w:val="auto"/>
                <w:kern w:val="0"/>
                <w:sz w:val="21"/>
                <w:szCs w:val="21"/>
                <w:highlight w:val="none"/>
                <w:u w:val="none"/>
                <w:lang w:val="en-US" w:eastAsia="zh-CN" w:bidi="ar"/>
              </w:rPr>
              <w:br w:type="textWrapping"/>
            </w:r>
            <w:r>
              <w:rPr>
                <w:rFonts w:hint="default" w:ascii="Times New Roman" w:hAnsi="Times New Roman" w:eastAsia="仿宋_GB2312" w:cs="Times New Roman"/>
                <w:i w:val="0"/>
                <w:iCs w:val="0"/>
                <w:color w:val="auto"/>
                <w:kern w:val="0"/>
                <w:sz w:val="21"/>
                <w:szCs w:val="21"/>
                <w:highlight w:val="none"/>
                <w:u w:val="none"/>
                <w:lang w:val="en-US" w:eastAsia="zh-CN" w:bidi="ar"/>
              </w:rPr>
              <w:t>3.</w:t>
            </w:r>
            <w:r>
              <w:rPr>
                <w:rFonts w:hint="default" w:ascii="Times New Roman" w:hAnsi="Times New Roman" w:eastAsia="仿宋_GB2312" w:cs="Times New Roman"/>
                <w:color w:val="auto"/>
                <w:kern w:val="0"/>
                <w:sz w:val="21"/>
                <w:szCs w:val="21"/>
                <w:highlight w:val="none"/>
                <w:lang w:val="en-US" w:eastAsia="zh-CN" w:bidi="ar"/>
              </w:rPr>
              <w:t>未能有明确的公司章程或公司章程不符合现有监管制度要求的，未设置责任制度和决策权限，未制定财务管理制度、业务管理制度、运营管理制度等，未能参照相关制度执行的，得</w:t>
            </w:r>
            <w:r>
              <w:rPr>
                <w:rFonts w:hint="default" w:ascii="Times New Roman" w:hAnsi="Times New Roman" w:eastAsia="仿宋_GB2312" w:cs="Times New Roman"/>
                <w:i w:val="0"/>
                <w:iCs w:val="0"/>
                <w:color w:val="auto"/>
                <w:kern w:val="0"/>
                <w:sz w:val="21"/>
                <w:szCs w:val="21"/>
                <w:highlight w:val="none"/>
                <w:u w:val="none"/>
                <w:lang w:val="en-US" w:eastAsia="zh-CN" w:bidi="ar"/>
              </w:rPr>
              <w:t>0</w:t>
            </w:r>
            <w:r>
              <w:rPr>
                <w:rFonts w:hint="default" w:ascii="Times New Roman" w:hAnsi="Times New Roman" w:eastAsia="仿宋_GB2312" w:cs="Times New Roman"/>
                <w:color w:val="auto"/>
                <w:kern w:val="0"/>
                <w:sz w:val="21"/>
                <w:szCs w:val="21"/>
                <w:highlight w:val="none"/>
                <w:lang w:val="en-US" w:eastAsia="zh-CN" w:bidi="ar"/>
              </w:rPr>
              <w:t>分。</w:t>
            </w:r>
          </w:p>
        </w:tc>
        <w:tc>
          <w:tcPr>
            <w:tcW w:w="705" w:type="dxa"/>
            <w:noWrap w:val="0"/>
            <w:vAlign w:val="top"/>
          </w:tcPr>
          <w:p w14:paraId="3C7A07FE">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281AE1C0">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1729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133" w:type="dxa"/>
            <w:vMerge w:val="restart"/>
            <w:noWrap w:val="0"/>
            <w:vAlign w:val="center"/>
          </w:tcPr>
          <w:p w14:paraId="66F4B21C">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一、</w:t>
            </w:r>
          </w:p>
          <w:p w14:paraId="71F5810D">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公司</w:t>
            </w:r>
          </w:p>
          <w:p w14:paraId="4B0D902E">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治理</w:t>
            </w:r>
          </w:p>
          <w:p w14:paraId="694A2F9E">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eastAsia" w:eastAsia="黑体" w:cs="Times New Roman"/>
                <w:color w:val="auto"/>
                <w:sz w:val="24"/>
                <w:szCs w:val="24"/>
                <w:highlight w:val="none"/>
                <w:lang w:eastAsia="zh-CN"/>
              </w:rPr>
              <w:t>（</w:t>
            </w:r>
            <w:r>
              <w:rPr>
                <w:rFonts w:hint="default" w:ascii="Times New Roman" w:hAnsi="Times New Roman" w:eastAsia="黑体" w:cs="Times New Roman"/>
                <w:color w:val="auto"/>
                <w:sz w:val="24"/>
                <w:szCs w:val="24"/>
                <w:highlight w:val="none"/>
                <w:lang w:val="en-US" w:eastAsia="zh-CN"/>
              </w:rPr>
              <w:t>15</w:t>
            </w:r>
            <w:r>
              <w:rPr>
                <w:rFonts w:hint="default" w:ascii="Times New Roman" w:hAnsi="Times New Roman" w:eastAsia="黑体" w:cs="Times New Roman"/>
                <w:color w:val="auto"/>
                <w:sz w:val="24"/>
                <w:szCs w:val="24"/>
                <w:highlight w:val="none"/>
              </w:rPr>
              <w:t>分）</w:t>
            </w:r>
          </w:p>
        </w:tc>
        <w:tc>
          <w:tcPr>
            <w:tcW w:w="1536" w:type="dxa"/>
            <w:noWrap w:val="0"/>
            <w:vAlign w:val="center"/>
          </w:tcPr>
          <w:p w14:paraId="5496B1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4"/>
                <w:szCs w:val="24"/>
                <w:highlight w:val="none"/>
                <w:u w:val="none"/>
                <w:lang w:val="en-US" w:eastAsia="zh-CN" w:bidi="ar-SA"/>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cs="Times New Roman"/>
                <w:b/>
                <w:bCs/>
                <w:i w:val="0"/>
                <w:iCs w:val="0"/>
                <w:color w:val="auto"/>
                <w:kern w:val="0"/>
                <w:sz w:val="24"/>
                <w:szCs w:val="24"/>
                <w:highlight w:val="none"/>
                <w:u w:val="none"/>
                <w:lang w:val="en-US" w:eastAsia="zh-CN" w:bidi="ar"/>
              </w:rPr>
              <w:t>4</w:t>
            </w: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b/>
                <w:bCs/>
                <w:i w:val="0"/>
                <w:iCs w:val="0"/>
                <w:color w:val="auto"/>
                <w:kern w:val="0"/>
                <w:sz w:val="24"/>
                <w:szCs w:val="24"/>
                <w:highlight w:val="none"/>
                <w:u w:val="none"/>
                <w:lang w:val="en-US" w:eastAsia="zh-CN" w:bidi="ar"/>
              </w:rPr>
              <w:t>内控制度</w:t>
            </w:r>
          </w:p>
        </w:tc>
        <w:tc>
          <w:tcPr>
            <w:tcW w:w="504" w:type="dxa"/>
            <w:noWrap w:val="0"/>
            <w:vAlign w:val="center"/>
          </w:tcPr>
          <w:p w14:paraId="393EE5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1"/>
                <w:szCs w:val="21"/>
                <w:highlight w:val="none"/>
                <w:u w:val="none"/>
                <w:lang w:val="en-US" w:eastAsia="zh-CN" w:bidi="ar-SA"/>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2</w:t>
            </w:r>
          </w:p>
        </w:tc>
        <w:tc>
          <w:tcPr>
            <w:tcW w:w="8992" w:type="dxa"/>
            <w:noWrap w:val="0"/>
            <w:vAlign w:val="center"/>
          </w:tcPr>
          <w:p w14:paraId="6C924A2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1.建立了完善的内部控制体系及风险控制制度、内部审计制度，并严格参照相关制度执行的得2分；</w:t>
            </w:r>
          </w:p>
          <w:p w14:paraId="3544303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2.内部控制体系及风险控制制度、内部审计制度建立相对完整，或基本能参照相关制度执行的得1分；</w:t>
            </w:r>
          </w:p>
          <w:p w14:paraId="78FB9A3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3.未建立内部控制体系及风险控制制度、内部审计制度，或未参照相关制度执行的得0分。</w:t>
            </w:r>
          </w:p>
        </w:tc>
        <w:tc>
          <w:tcPr>
            <w:tcW w:w="705" w:type="dxa"/>
            <w:noWrap w:val="0"/>
            <w:vAlign w:val="top"/>
          </w:tcPr>
          <w:p w14:paraId="5E5B4A4D">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008ECB45">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76EE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5" w:hRule="atLeast"/>
          <w:jc w:val="center"/>
        </w:trPr>
        <w:tc>
          <w:tcPr>
            <w:tcW w:w="1133" w:type="dxa"/>
            <w:vMerge w:val="continue"/>
            <w:noWrap w:val="0"/>
            <w:vAlign w:val="center"/>
          </w:tcPr>
          <w:p w14:paraId="67029487">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p>
        </w:tc>
        <w:tc>
          <w:tcPr>
            <w:tcW w:w="1536" w:type="dxa"/>
            <w:noWrap w:val="0"/>
            <w:vAlign w:val="center"/>
          </w:tcPr>
          <w:p w14:paraId="2EE962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4"/>
                <w:szCs w:val="24"/>
                <w:highlight w:val="none"/>
                <w:u w:val="none"/>
                <w:lang w:val="en-US" w:eastAsia="zh-CN" w:bidi="ar-SA"/>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cs="Times New Roman"/>
                <w:b/>
                <w:bCs/>
                <w:i w:val="0"/>
                <w:iCs w:val="0"/>
                <w:color w:val="auto"/>
                <w:kern w:val="0"/>
                <w:sz w:val="24"/>
                <w:szCs w:val="24"/>
                <w:highlight w:val="none"/>
                <w:u w:val="none"/>
                <w:lang w:val="en-US" w:eastAsia="zh-CN" w:bidi="ar"/>
              </w:rPr>
              <w:t>5</w:t>
            </w: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b/>
                <w:bCs/>
                <w:i w:val="0"/>
                <w:iCs w:val="0"/>
                <w:color w:val="auto"/>
                <w:kern w:val="0"/>
                <w:sz w:val="24"/>
                <w:szCs w:val="24"/>
                <w:highlight w:val="none"/>
                <w:u w:val="none"/>
                <w:lang w:val="en-US" w:eastAsia="zh-CN" w:bidi="ar"/>
              </w:rPr>
              <w:t>部门构成</w:t>
            </w:r>
          </w:p>
        </w:tc>
        <w:tc>
          <w:tcPr>
            <w:tcW w:w="504" w:type="dxa"/>
            <w:noWrap w:val="0"/>
            <w:vAlign w:val="center"/>
          </w:tcPr>
          <w:p w14:paraId="1475BA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1"/>
                <w:szCs w:val="21"/>
                <w:highlight w:val="none"/>
                <w:u w:val="none"/>
                <w:lang w:val="en-US" w:eastAsia="zh-CN" w:bidi="ar-SA"/>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2</w:t>
            </w:r>
          </w:p>
        </w:tc>
        <w:tc>
          <w:tcPr>
            <w:tcW w:w="8992" w:type="dxa"/>
            <w:noWrap w:val="0"/>
            <w:vAlign w:val="center"/>
          </w:tcPr>
          <w:p w14:paraId="56FE3DB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1.部门和岗位设置合理，至少设立了业务、财务、风险等部门，且各部门之间职责分工明确、专人专岗，部门及岗位不存在职责交叉情况的得1分；</w:t>
            </w:r>
          </w:p>
          <w:p w14:paraId="09B86F7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2.部门和岗位设置基本合理，至少设立了业务、财务、风险等部门，且各部门之间职责分工基本明确，部门及岗位存在一定程度职责交叉情况的得0.5分；</w:t>
            </w:r>
          </w:p>
          <w:p w14:paraId="3058123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3.部门和岗位设置不够合理，未设置公司正常运营所需的部门，且各部门之间职责分工不明确，部门及岗位职责交叉较为严重的得0分。</w:t>
            </w:r>
          </w:p>
        </w:tc>
        <w:tc>
          <w:tcPr>
            <w:tcW w:w="705" w:type="dxa"/>
            <w:noWrap w:val="0"/>
            <w:vAlign w:val="top"/>
          </w:tcPr>
          <w:p w14:paraId="389E5F7C">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1A11D459">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p w14:paraId="64721F7F">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5BDA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1133" w:type="dxa"/>
            <w:vMerge w:val="continue"/>
            <w:noWrap w:val="0"/>
            <w:vAlign w:val="center"/>
          </w:tcPr>
          <w:p w14:paraId="604A1154">
            <w:pPr>
              <w:keepNext w:val="0"/>
              <w:keepLines w:val="0"/>
              <w:pageBreakBefore w:val="0"/>
              <w:kinsoku/>
              <w:overflowPunct/>
              <w:topLinePunct w:val="0"/>
              <w:bidi w:val="0"/>
              <w:snapToGrid w:val="0"/>
              <w:spacing w:line="540" w:lineRule="exact"/>
              <w:ind w:left="0" w:leftChars="0" w:right="0" w:rightChars="0"/>
              <w:jc w:val="center"/>
              <w:textAlignment w:val="auto"/>
              <w:outlineLvl w:val="9"/>
              <w:rPr>
                <w:rFonts w:hint="default" w:ascii="Times New Roman" w:hAnsi="Times New Roman" w:cs="Times New Roman"/>
                <w:color w:val="auto"/>
                <w:sz w:val="28"/>
                <w:szCs w:val="28"/>
                <w:highlight w:val="none"/>
              </w:rPr>
            </w:pPr>
          </w:p>
        </w:tc>
        <w:tc>
          <w:tcPr>
            <w:tcW w:w="1536" w:type="dxa"/>
            <w:noWrap w:val="0"/>
            <w:vAlign w:val="center"/>
          </w:tcPr>
          <w:p w14:paraId="702F9F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4"/>
                <w:szCs w:val="24"/>
                <w:highlight w:val="none"/>
                <w:u w:val="none"/>
                <w:lang w:val="en-US" w:eastAsia="zh-CN" w:bidi="ar-SA"/>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cs="Times New Roman"/>
                <w:b/>
                <w:bCs/>
                <w:i w:val="0"/>
                <w:iCs w:val="0"/>
                <w:color w:val="auto"/>
                <w:kern w:val="0"/>
                <w:sz w:val="24"/>
                <w:szCs w:val="24"/>
                <w:highlight w:val="none"/>
                <w:u w:val="none"/>
                <w:lang w:val="en-US" w:eastAsia="zh-CN" w:bidi="ar"/>
              </w:rPr>
              <w:t>6</w:t>
            </w: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b/>
                <w:bCs/>
                <w:i w:val="0"/>
                <w:iCs w:val="0"/>
                <w:color w:val="auto"/>
                <w:kern w:val="0"/>
                <w:sz w:val="24"/>
                <w:szCs w:val="24"/>
                <w:highlight w:val="none"/>
                <w:u w:val="none"/>
                <w:lang w:val="en-US" w:eastAsia="zh-CN" w:bidi="ar"/>
              </w:rPr>
              <w:t>人员配备</w:t>
            </w:r>
          </w:p>
        </w:tc>
        <w:tc>
          <w:tcPr>
            <w:tcW w:w="504" w:type="dxa"/>
            <w:noWrap w:val="0"/>
            <w:vAlign w:val="center"/>
          </w:tcPr>
          <w:p w14:paraId="7892B4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1"/>
                <w:szCs w:val="21"/>
                <w:highlight w:val="none"/>
                <w:u w:val="none"/>
                <w:lang w:val="en-US" w:eastAsia="zh-CN" w:bidi="ar-SA"/>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2</w:t>
            </w:r>
          </w:p>
        </w:tc>
        <w:tc>
          <w:tcPr>
            <w:tcW w:w="8992" w:type="dxa"/>
            <w:noWrap w:val="0"/>
            <w:vAlign w:val="center"/>
          </w:tcPr>
          <w:p w14:paraId="175F591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1.员工数量30人及以上且具备足够的专业知识、从业经验和业务素质，能够对各类业务的开展实现有效支撑的得2分；</w:t>
            </w:r>
          </w:p>
          <w:p w14:paraId="05A0171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2.员工数量10人（含）至30人且具备必要的专业知识、从业经验和业务素质，能够满足和维持现有业务的日常运作的得1.5分；</w:t>
            </w:r>
          </w:p>
          <w:p w14:paraId="1CAF736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3.员工数量5人（含）至10人且具备必要的专业知识、从业经验和业务素质，能够满足和维持现有业务的日常运作的得1分；</w:t>
            </w:r>
          </w:p>
          <w:p w14:paraId="2183290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4.员工数量不足5人或专业知识、从业经验和业务素质难以满足和维持现有业务的日常运作的得0分。</w:t>
            </w:r>
          </w:p>
        </w:tc>
        <w:tc>
          <w:tcPr>
            <w:tcW w:w="705" w:type="dxa"/>
            <w:noWrap w:val="0"/>
            <w:vAlign w:val="top"/>
          </w:tcPr>
          <w:p w14:paraId="79C78616">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仿宋" w:cs="Times New Roman"/>
                <w:b/>
                <w:bCs/>
                <w:color w:val="auto"/>
                <w:sz w:val="28"/>
                <w:szCs w:val="28"/>
                <w:highlight w:val="none"/>
              </w:rPr>
            </w:pPr>
          </w:p>
        </w:tc>
        <w:tc>
          <w:tcPr>
            <w:tcW w:w="680" w:type="dxa"/>
            <w:noWrap w:val="0"/>
            <w:vAlign w:val="top"/>
          </w:tcPr>
          <w:p w14:paraId="4525F6DE">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仿宋" w:cs="Times New Roman"/>
                <w:b/>
                <w:bCs/>
                <w:color w:val="auto"/>
                <w:sz w:val="28"/>
                <w:szCs w:val="28"/>
                <w:highlight w:val="none"/>
              </w:rPr>
            </w:pPr>
          </w:p>
        </w:tc>
      </w:tr>
      <w:tr w14:paraId="4A8E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1133" w:type="dxa"/>
            <w:vMerge w:val="continue"/>
            <w:noWrap w:val="0"/>
            <w:vAlign w:val="top"/>
          </w:tcPr>
          <w:p w14:paraId="632B5065">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p>
        </w:tc>
        <w:tc>
          <w:tcPr>
            <w:tcW w:w="1536" w:type="dxa"/>
            <w:noWrap w:val="0"/>
            <w:vAlign w:val="center"/>
          </w:tcPr>
          <w:p w14:paraId="68EF37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4"/>
                <w:szCs w:val="24"/>
                <w:highlight w:val="none"/>
                <w:u w:val="none"/>
                <w:lang w:val="en-US" w:eastAsia="zh-CN" w:bidi="ar-SA"/>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cs="Times New Roman"/>
                <w:b/>
                <w:bCs/>
                <w:i w:val="0"/>
                <w:iCs w:val="0"/>
                <w:color w:val="auto"/>
                <w:kern w:val="0"/>
                <w:sz w:val="24"/>
                <w:szCs w:val="24"/>
                <w:highlight w:val="none"/>
                <w:u w:val="none"/>
                <w:lang w:val="en-US" w:eastAsia="zh-CN" w:bidi="ar"/>
              </w:rPr>
              <w:t>7</w:t>
            </w: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b/>
                <w:bCs/>
                <w:i w:val="0"/>
                <w:iCs w:val="0"/>
                <w:color w:val="auto"/>
                <w:kern w:val="0"/>
                <w:sz w:val="24"/>
                <w:szCs w:val="24"/>
                <w:highlight w:val="none"/>
                <w:u w:val="none"/>
                <w:lang w:val="en-US" w:eastAsia="zh-CN" w:bidi="ar"/>
              </w:rPr>
              <w:t>人员发展</w:t>
            </w:r>
          </w:p>
        </w:tc>
        <w:tc>
          <w:tcPr>
            <w:tcW w:w="504" w:type="dxa"/>
            <w:noWrap w:val="0"/>
            <w:vAlign w:val="center"/>
          </w:tcPr>
          <w:p w14:paraId="58B85D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1"/>
                <w:szCs w:val="21"/>
                <w:highlight w:val="none"/>
                <w:u w:val="none"/>
                <w:lang w:val="en-US" w:eastAsia="zh-CN" w:bidi="ar-SA"/>
              </w:rPr>
            </w:pPr>
            <w:r>
              <w:rPr>
                <w:rFonts w:hint="default" w:ascii="Times New Roman" w:hAnsi="Times New Roman" w:cs="Times New Roman"/>
                <w:b/>
                <w:bCs/>
                <w:i w:val="0"/>
                <w:iCs w:val="0"/>
                <w:color w:val="auto"/>
                <w:kern w:val="0"/>
                <w:sz w:val="21"/>
                <w:szCs w:val="21"/>
                <w:highlight w:val="none"/>
                <w:u w:val="none"/>
                <w:lang w:val="en-US" w:eastAsia="zh-CN" w:bidi="ar"/>
              </w:rPr>
              <w:t>2</w:t>
            </w:r>
          </w:p>
        </w:tc>
        <w:tc>
          <w:tcPr>
            <w:tcW w:w="8992" w:type="dxa"/>
            <w:noWrap w:val="0"/>
            <w:vAlign w:val="center"/>
          </w:tcPr>
          <w:p w14:paraId="618E9BC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1.建立了完整的员工培训体系，并参照执行的得</w:t>
            </w:r>
            <w:r>
              <w:rPr>
                <w:rFonts w:hint="default" w:ascii="Times New Roman" w:hAnsi="Times New Roman" w:cs="Times New Roman"/>
                <w:i w:val="0"/>
                <w:iCs w:val="0"/>
                <w:color w:val="auto"/>
                <w:kern w:val="0"/>
                <w:sz w:val="21"/>
                <w:szCs w:val="21"/>
                <w:highlight w:val="none"/>
                <w:u w:val="none"/>
                <w:lang w:val="en-US" w:eastAsia="zh-CN" w:bidi="ar"/>
              </w:rPr>
              <w:t>2</w:t>
            </w:r>
            <w:r>
              <w:rPr>
                <w:rFonts w:hint="default" w:ascii="Times New Roman" w:hAnsi="Times New Roman" w:eastAsia="仿宋_GB2312" w:cs="Times New Roman"/>
                <w:i w:val="0"/>
                <w:iCs w:val="0"/>
                <w:color w:val="auto"/>
                <w:kern w:val="0"/>
                <w:sz w:val="21"/>
                <w:szCs w:val="21"/>
                <w:highlight w:val="none"/>
                <w:u w:val="none"/>
                <w:lang w:val="en-US" w:eastAsia="zh-CN" w:bidi="ar"/>
              </w:rPr>
              <w:t>分；</w:t>
            </w:r>
          </w:p>
          <w:p w14:paraId="6675281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2.未建立完善的员工培训体系，或建立了员工培训体系但并未参照执行的得0分。</w:t>
            </w:r>
          </w:p>
        </w:tc>
        <w:tc>
          <w:tcPr>
            <w:tcW w:w="705" w:type="dxa"/>
            <w:noWrap w:val="0"/>
            <w:vAlign w:val="top"/>
          </w:tcPr>
          <w:p w14:paraId="7331E784">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 w:val="24"/>
                <w:highlight w:val="none"/>
              </w:rPr>
            </w:pPr>
          </w:p>
        </w:tc>
        <w:tc>
          <w:tcPr>
            <w:tcW w:w="680" w:type="dxa"/>
            <w:noWrap w:val="0"/>
            <w:vAlign w:val="top"/>
          </w:tcPr>
          <w:p w14:paraId="7DA3DD39">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272D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3" w:type="dxa"/>
            <w:vMerge w:val="restart"/>
            <w:noWrap w:val="0"/>
            <w:vAlign w:val="center"/>
          </w:tcPr>
          <w:p w14:paraId="57067D35">
            <w:pPr>
              <w:keepNext w:val="0"/>
              <w:keepLines w:val="0"/>
              <w:pageBreakBefore w:val="0"/>
              <w:kinsoku/>
              <w:overflowPunct/>
              <w:topLinePunct w:val="0"/>
              <w:bidi w:val="0"/>
              <w:snapToGrid w:val="0"/>
              <w:spacing w:line="240" w:lineRule="auto"/>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二、</w:t>
            </w:r>
          </w:p>
          <w:p w14:paraId="20F07FAC">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cs="Times New Roman"/>
                <w:color w:val="auto"/>
                <w:sz w:val="28"/>
                <w:szCs w:val="28"/>
                <w:highlight w:val="none"/>
              </w:rPr>
            </w:pPr>
            <w:r>
              <w:rPr>
                <w:rFonts w:hint="default" w:ascii="Times New Roman" w:hAnsi="Times New Roman" w:eastAsia="黑体" w:cs="Times New Roman"/>
                <w:color w:val="auto"/>
                <w:sz w:val="28"/>
                <w:szCs w:val="28"/>
                <w:highlight w:val="none"/>
              </w:rPr>
              <w:t>合规</w:t>
            </w:r>
          </w:p>
          <w:p w14:paraId="57834D0C">
            <w:pPr>
              <w:keepNext w:val="0"/>
              <w:keepLines w:val="0"/>
              <w:pageBreakBefore w:val="0"/>
              <w:kinsoku/>
              <w:overflowPunct/>
              <w:topLinePunct w:val="0"/>
              <w:bidi w:val="0"/>
              <w:snapToGrid w:val="0"/>
              <w:spacing w:line="240" w:lineRule="auto"/>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经营</w:t>
            </w:r>
          </w:p>
          <w:p w14:paraId="76D36166">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szCs w:val="24"/>
                <w:highlight w:val="none"/>
                <w:lang w:eastAsia="zh-CN"/>
              </w:rPr>
              <w:t>（</w:t>
            </w:r>
            <w:r>
              <w:rPr>
                <w:rFonts w:hint="default" w:ascii="Times New Roman" w:hAnsi="Times New Roman" w:eastAsia="黑体" w:cs="Times New Roman"/>
                <w:color w:val="auto"/>
                <w:sz w:val="24"/>
                <w:szCs w:val="24"/>
                <w:highlight w:val="none"/>
                <w:lang w:val="en-US" w:eastAsia="zh-CN"/>
              </w:rPr>
              <w:t>30</w:t>
            </w:r>
            <w:r>
              <w:rPr>
                <w:rFonts w:hint="default" w:ascii="Times New Roman" w:hAnsi="Times New Roman" w:eastAsia="黑体" w:cs="Times New Roman"/>
                <w:color w:val="auto"/>
                <w:sz w:val="24"/>
                <w:szCs w:val="24"/>
                <w:highlight w:val="none"/>
              </w:rPr>
              <w:t>分</w:t>
            </w:r>
            <w:r>
              <w:rPr>
                <w:rFonts w:hint="default" w:ascii="Times New Roman" w:hAnsi="Times New Roman" w:eastAsia="黑体" w:cs="Times New Roman"/>
                <w:color w:val="auto"/>
                <w:sz w:val="24"/>
                <w:szCs w:val="24"/>
                <w:highlight w:val="none"/>
                <w:lang w:eastAsia="zh-CN"/>
              </w:rPr>
              <w:t>）</w:t>
            </w:r>
          </w:p>
        </w:tc>
        <w:tc>
          <w:tcPr>
            <w:tcW w:w="1536" w:type="dxa"/>
            <w:noWrap w:val="0"/>
            <w:vAlign w:val="center"/>
          </w:tcPr>
          <w:p w14:paraId="7AB2BF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4"/>
                <w:szCs w:val="24"/>
                <w:highlight w:val="none"/>
                <w:u w:val="none"/>
                <w:lang w:val="en-US" w:eastAsia="zh-CN" w:bidi="ar-SA"/>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（8）</w:t>
            </w:r>
            <w:r>
              <w:rPr>
                <w:rFonts w:hint="default" w:ascii="Times New Roman" w:hAnsi="Times New Roman" w:eastAsia="仿宋_GB2312" w:cs="Times New Roman"/>
                <w:b/>
                <w:bCs/>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b/>
                <w:bCs/>
                <w:i w:val="0"/>
                <w:iCs w:val="0"/>
                <w:color w:val="auto"/>
                <w:kern w:val="0"/>
                <w:sz w:val="24"/>
                <w:szCs w:val="24"/>
                <w:highlight w:val="none"/>
                <w:u w:val="none"/>
                <w:lang w:val="en-US" w:eastAsia="zh-CN" w:bidi="ar"/>
              </w:rPr>
              <w:t>业务操作</w:t>
            </w:r>
          </w:p>
        </w:tc>
        <w:tc>
          <w:tcPr>
            <w:tcW w:w="504" w:type="dxa"/>
            <w:noWrap w:val="0"/>
            <w:vAlign w:val="center"/>
          </w:tcPr>
          <w:p w14:paraId="534BA3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1"/>
                <w:szCs w:val="21"/>
                <w:highlight w:val="none"/>
                <w:u w:val="none"/>
                <w:lang w:val="en-US" w:eastAsia="zh-CN" w:bidi="ar-SA"/>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3</w:t>
            </w:r>
          </w:p>
        </w:tc>
        <w:tc>
          <w:tcPr>
            <w:tcW w:w="8992" w:type="dxa"/>
            <w:noWrap w:val="0"/>
            <w:vAlign w:val="center"/>
          </w:tcPr>
          <w:p w14:paraId="45107F6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72"/>
                <w:rFonts w:hint="default" w:ascii="Times New Roman" w:hAnsi="Times New Roman" w:cs="Times New Roman"/>
                <w:color w:val="auto"/>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1.租赁业务操作规程科学严谨，建立分级审批制度、定期检查监督机制和内部问责制度，各项制度具有可操作性且得到有效执行，能够有效防范和控制业务风险的</w:t>
            </w:r>
            <w:r>
              <w:rPr>
                <w:rStyle w:val="71"/>
                <w:rFonts w:hint="default" w:ascii="Times New Roman" w:hAnsi="Times New Roman" w:cs="Times New Roman"/>
                <w:color w:val="auto"/>
                <w:highlight w:val="none"/>
                <w:lang w:val="en-US" w:eastAsia="zh-CN" w:bidi="ar"/>
              </w:rPr>
              <w:t>得3分</w:t>
            </w:r>
            <w:r>
              <w:rPr>
                <w:rStyle w:val="72"/>
                <w:rFonts w:hint="default" w:ascii="Times New Roman" w:hAnsi="Times New Roman" w:cs="Times New Roman"/>
                <w:color w:val="auto"/>
                <w:highlight w:val="none"/>
                <w:lang w:val="en-US" w:eastAsia="zh-CN" w:bidi="ar"/>
              </w:rPr>
              <w:t>；</w:t>
            </w:r>
          </w:p>
          <w:p w14:paraId="07D100F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72"/>
                <w:rFonts w:hint="default" w:ascii="Times New Roman" w:hAnsi="Times New Roman" w:cs="Times New Roman"/>
                <w:color w:val="auto"/>
                <w:highlight w:val="none"/>
                <w:lang w:val="en-US" w:eastAsia="zh-CN" w:bidi="ar"/>
              </w:rPr>
            </w:pPr>
            <w:r>
              <w:rPr>
                <w:rStyle w:val="72"/>
                <w:rFonts w:hint="default" w:ascii="Times New Roman" w:hAnsi="Times New Roman" w:cs="Times New Roman"/>
                <w:color w:val="auto"/>
                <w:highlight w:val="none"/>
                <w:lang w:val="en-US" w:eastAsia="zh-CN" w:bidi="ar"/>
              </w:rPr>
              <w:t>2.租赁业务操作规程较为合理，建立分级审批制度、定期检查监督机制和内部问责制度，但部分制度未得到有效执行，能在一定程度上防范和控制业务风险的得1.5分；</w:t>
            </w:r>
          </w:p>
          <w:p w14:paraId="3B4061F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Style w:val="72"/>
                <w:rFonts w:hint="default" w:ascii="Times New Roman" w:hAnsi="Times New Roman" w:cs="Times New Roman"/>
                <w:color w:val="auto"/>
                <w:highlight w:val="none"/>
                <w:lang w:val="en-US" w:eastAsia="zh-CN" w:bidi="ar"/>
              </w:rPr>
              <w:t>3.未建立租赁业务操作规程、分级审批制度、定期检查监督机制和内部问责制度，或部分制度存在明显瑕疵、执行情况较差，未能实现对业务风险的防范和控制的得0分。</w:t>
            </w:r>
          </w:p>
        </w:tc>
        <w:tc>
          <w:tcPr>
            <w:tcW w:w="705" w:type="dxa"/>
            <w:noWrap w:val="0"/>
            <w:vAlign w:val="top"/>
          </w:tcPr>
          <w:p w14:paraId="09001F92">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 w:val="24"/>
                <w:highlight w:val="none"/>
              </w:rPr>
            </w:pPr>
          </w:p>
        </w:tc>
        <w:tc>
          <w:tcPr>
            <w:tcW w:w="680" w:type="dxa"/>
            <w:noWrap w:val="0"/>
            <w:vAlign w:val="top"/>
          </w:tcPr>
          <w:p w14:paraId="481D7991">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5701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1133" w:type="dxa"/>
            <w:vMerge w:val="continue"/>
            <w:noWrap w:val="0"/>
            <w:vAlign w:val="center"/>
          </w:tcPr>
          <w:p w14:paraId="5C2D8F51">
            <w:pPr>
              <w:keepNext w:val="0"/>
              <w:keepLines w:val="0"/>
              <w:pageBreakBefore w:val="0"/>
              <w:kinsoku/>
              <w:overflowPunct/>
              <w:topLinePunct w:val="0"/>
              <w:bidi w:val="0"/>
              <w:snapToGrid w:val="0"/>
              <w:spacing w:line="240" w:lineRule="auto"/>
              <w:ind w:left="0" w:leftChars="0" w:right="0" w:rightChars="0"/>
              <w:jc w:val="center"/>
              <w:textAlignment w:val="auto"/>
              <w:outlineLvl w:val="9"/>
              <w:rPr>
                <w:rFonts w:hint="default" w:ascii="Times New Roman" w:hAnsi="Times New Roman" w:cs="Times New Roman"/>
                <w:color w:val="auto"/>
                <w:sz w:val="28"/>
                <w:szCs w:val="28"/>
                <w:highlight w:val="none"/>
              </w:rPr>
            </w:pPr>
          </w:p>
        </w:tc>
        <w:tc>
          <w:tcPr>
            <w:tcW w:w="1536" w:type="dxa"/>
            <w:noWrap w:val="0"/>
            <w:vAlign w:val="center"/>
          </w:tcPr>
          <w:p w14:paraId="45DD27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4"/>
                <w:szCs w:val="24"/>
                <w:highlight w:val="none"/>
                <w:u w:val="none"/>
                <w:lang w:val="en-US" w:eastAsia="zh-CN" w:bidi="ar-SA"/>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cs="Times New Roman"/>
                <w:b/>
                <w:bCs/>
                <w:i w:val="0"/>
                <w:iCs w:val="0"/>
                <w:color w:val="auto"/>
                <w:kern w:val="0"/>
                <w:sz w:val="24"/>
                <w:szCs w:val="24"/>
                <w:highlight w:val="none"/>
                <w:u w:val="none"/>
                <w:lang w:val="en-US" w:eastAsia="zh-CN" w:bidi="ar"/>
              </w:rPr>
              <w:t>9</w:t>
            </w: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b/>
                <w:bCs/>
                <w:i w:val="0"/>
                <w:iCs w:val="0"/>
                <w:color w:val="auto"/>
                <w:kern w:val="0"/>
                <w:sz w:val="24"/>
                <w:szCs w:val="24"/>
                <w:highlight w:val="none"/>
                <w:u w:val="none"/>
                <w:lang w:val="en-US" w:eastAsia="zh-CN" w:bidi="ar"/>
              </w:rPr>
              <w:t>登记制度</w:t>
            </w:r>
          </w:p>
        </w:tc>
        <w:tc>
          <w:tcPr>
            <w:tcW w:w="504" w:type="dxa"/>
            <w:noWrap w:val="0"/>
            <w:vAlign w:val="center"/>
          </w:tcPr>
          <w:p w14:paraId="19D7B2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1"/>
                <w:szCs w:val="21"/>
                <w:highlight w:val="none"/>
                <w:u w:val="none"/>
                <w:lang w:val="en-US" w:eastAsia="zh-CN" w:bidi="ar-SA"/>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4</w:t>
            </w:r>
          </w:p>
        </w:tc>
        <w:tc>
          <w:tcPr>
            <w:tcW w:w="8992" w:type="dxa"/>
            <w:noWrap w:val="0"/>
            <w:vAlign w:val="center"/>
          </w:tcPr>
          <w:p w14:paraId="6402352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1.按照规定，对相应业务在中国人民银行征信中心的动产融资统一登记公示系统办理相关权属登记，并按照相关法律法规规定及时办理有关权属登记得4分；</w:t>
            </w:r>
          </w:p>
          <w:p w14:paraId="43F1335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2.按照规定，未能完全在中国人民银行征信中心的动产融资统一登记公示系统办理相关权属登记，并按照相关法律法规规定及时办理有关权属登记得2分；</w:t>
            </w:r>
          </w:p>
          <w:p w14:paraId="16FF88F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3.大部分业务未按照规定，办理有关权属登记得0分。</w:t>
            </w:r>
          </w:p>
        </w:tc>
        <w:tc>
          <w:tcPr>
            <w:tcW w:w="705" w:type="dxa"/>
            <w:noWrap w:val="0"/>
            <w:vAlign w:val="top"/>
          </w:tcPr>
          <w:p w14:paraId="4AF74A01">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仿宋" w:cs="Times New Roman"/>
                <w:b/>
                <w:bCs/>
                <w:color w:val="auto"/>
                <w:sz w:val="28"/>
                <w:szCs w:val="28"/>
                <w:highlight w:val="none"/>
              </w:rPr>
            </w:pPr>
          </w:p>
        </w:tc>
        <w:tc>
          <w:tcPr>
            <w:tcW w:w="680" w:type="dxa"/>
            <w:noWrap w:val="0"/>
            <w:vAlign w:val="top"/>
          </w:tcPr>
          <w:p w14:paraId="57AC4330">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仿宋" w:cs="Times New Roman"/>
                <w:b/>
                <w:bCs/>
                <w:color w:val="auto"/>
                <w:sz w:val="28"/>
                <w:szCs w:val="28"/>
                <w:highlight w:val="none"/>
              </w:rPr>
            </w:pPr>
          </w:p>
        </w:tc>
      </w:tr>
      <w:tr w14:paraId="3D47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1133" w:type="dxa"/>
            <w:vMerge w:val="continue"/>
            <w:noWrap w:val="0"/>
            <w:vAlign w:val="center"/>
          </w:tcPr>
          <w:p w14:paraId="647F445C">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p>
        </w:tc>
        <w:tc>
          <w:tcPr>
            <w:tcW w:w="1536" w:type="dxa"/>
            <w:noWrap w:val="0"/>
            <w:vAlign w:val="center"/>
          </w:tcPr>
          <w:p w14:paraId="3A7DF05B">
            <w:pPr>
              <w:keepNext w:val="0"/>
              <w:keepLines w:val="0"/>
              <w:pageBreakBefore w:val="0"/>
              <w:widowControl/>
              <w:suppressLineNumbers w:val="0"/>
              <w:kinsoku/>
              <w:wordWrap/>
              <w:overflowPunct/>
              <w:topLinePunct w:val="0"/>
              <w:autoSpaceDE/>
              <w:autoSpaceDN/>
              <w:bidi w:val="0"/>
              <w:spacing w:line="320" w:lineRule="exact"/>
              <w:jc w:val="center"/>
              <w:textAlignment w:val="auto"/>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Style w:val="73"/>
                <w:rFonts w:hint="eastAsia" w:cs="Times New Roman"/>
                <w:b/>
                <w:bCs/>
                <w:color w:val="auto"/>
                <w:sz w:val="24"/>
                <w:szCs w:val="24"/>
                <w:highlight w:val="none"/>
                <w:lang w:val="en-US" w:eastAsia="zh-CN" w:bidi="ar"/>
              </w:rPr>
              <w:t>(</w:t>
            </w:r>
            <w:r>
              <w:rPr>
                <w:rFonts w:hint="default" w:ascii="Times New Roman" w:hAnsi="Times New Roman" w:cs="Times New Roman"/>
                <w:b/>
                <w:bCs/>
                <w:i w:val="0"/>
                <w:iCs w:val="0"/>
                <w:color w:val="auto"/>
                <w:kern w:val="0"/>
                <w:sz w:val="24"/>
                <w:szCs w:val="24"/>
                <w:highlight w:val="none"/>
                <w:u w:val="none"/>
                <w:lang w:val="en-US" w:eastAsia="zh-CN" w:bidi="ar"/>
              </w:rPr>
              <w:t>10</w:t>
            </w:r>
            <w:r>
              <w:rPr>
                <w:rFonts w:hint="eastAsia" w:cs="Times New Roman"/>
                <w:b/>
                <w:bCs/>
                <w:i w:val="0"/>
                <w:iCs w:val="0"/>
                <w:color w:val="auto"/>
                <w:kern w:val="0"/>
                <w:sz w:val="24"/>
                <w:szCs w:val="24"/>
                <w:highlight w:val="none"/>
                <w:u w:val="none"/>
                <w:lang w:val="en-US" w:eastAsia="zh-CN" w:bidi="ar"/>
              </w:rPr>
              <w:t>)</w:t>
            </w:r>
          </w:p>
          <w:p w14:paraId="6E12163A">
            <w:pPr>
              <w:keepNext w:val="0"/>
              <w:keepLines w:val="0"/>
              <w:pageBreakBefore w:val="0"/>
              <w:widowControl/>
              <w:suppressLineNumbers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auto"/>
                <w:kern w:val="2"/>
                <w:sz w:val="21"/>
                <w:szCs w:val="24"/>
                <w:highlight w:val="none"/>
                <w:u w:val="none"/>
                <w:lang w:val="en-US" w:eastAsia="zh-CN" w:bidi="ar"/>
              </w:rPr>
            </w:pPr>
            <w:r>
              <w:rPr>
                <w:rStyle w:val="73"/>
                <w:rFonts w:hint="default" w:ascii="Times New Roman" w:hAnsi="Times New Roman" w:eastAsia="仿宋_GB2312" w:cs="Times New Roman"/>
                <w:b/>
                <w:bCs/>
                <w:color w:val="auto"/>
                <w:sz w:val="24"/>
                <w:szCs w:val="24"/>
                <w:highlight w:val="none"/>
                <w:lang w:val="en-US" w:eastAsia="zh-CN" w:bidi="ar"/>
              </w:rPr>
              <w:t>财务管理</w:t>
            </w:r>
          </w:p>
        </w:tc>
        <w:tc>
          <w:tcPr>
            <w:tcW w:w="504" w:type="dxa"/>
            <w:noWrap w:val="0"/>
            <w:vAlign w:val="center"/>
          </w:tcPr>
          <w:p w14:paraId="58B21D72">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snapToGrid w:val="0"/>
                <w:color w:val="auto"/>
                <w:kern w:val="2"/>
                <w:sz w:val="24"/>
                <w:szCs w:val="24"/>
                <w:highlight w:val="none"/>
                <w:lang w:val="en-US" w:eastAsia="zh-CN" w:bidi="ar-SA"/>
              </w:rPr>
            </w:pPr>
            <w:r>
              <w:rPr>
                <w:rFonts w:hint="default" w:ascii="Times New Roman" w:hAnsi="Times New Roman" w:eastAsia="方正仿宋_GBK" w:cs="Times New Roman"/>
                <w:snapToGrid w:val="0"/>
                <w:color w:val="auto"/>
                <w:kern w:val="2"/>
                <w:sz w:val="24"/>
                <w:szCs w:val="24"/>
                <w:highlight w:val="none"/>
                <w:lang w:val="en-US" w:eastAsia="zh-CN" w:bidi="ar-SA"/>
              </w:rPr>
              <w:t>2</w:t>
            </w:r>
          </w:p>
        </w:tc>
        <w:tc>
          <w:tcPr>
            <w:tcW w:w="8992" w:type="dxa"/>
            <w:noWrap w:val="0"/>
            <w:vAlign w:val="center"/>
          </w:tcPr>
          <w:p w14:paraId="22ABE197">
            <w:pPr>
              <w:keepNext w:val="0"/>
              <w:keepLines w:val="0"/>
              <w:pageBreakBefore w:val="0"/>
              <w:kinsoku/>
              <w:wordWrap/>
              <w:overflowPunct/>
              <w:topLinePunct w:val="0"/>
              <w:autoSpaceDE/>
              <w:autoSpaceDN/>
              <w:bidi w:val="0"/>
              <w:adjustRightInd w:val="0"/>
              <w:snapToGrid w:val="0"/>
              <w:spacing w:line="320" w:lineRule="exact"/>
              <w:rPr>
                <w:rFonts w:hint="default" w:ascii="Times New Roman" w:hAnsi="Times New Roman" w:eastAsia="仿宋_GB2312" w:cs="Times New Roman"/>
                <w:snapToGrid/>
                <w:color w:val="auto"/>
                <w:kern w:val="0"/>
                <w:sz w:val="21"/>
                <w:szCs w:val="21"/>
                <w:highlight w:val="none"/>
                <w:lang w:val="en-US" w:eastAsia="zh-CN" w:bidi="ar"/>
              </w:rPr>
            </w:pPr>
            <w:r>
              <w:rPr>
                <w:rFonts w:hint="default" w:ascii="Times New Roman" w:hAnsi="Times New Roman" w:eastAsia="仿宋_GB2312" w:cs="Times New Roman"/>
                <w:snapToGrid/>
                <w:color w:val="auto"/>
                <w:kern w:val="0"/>
                <w:sz w:val="21"/>
                <w:szCs w:val="21"/>
                <w:highlight w:val="none"/>
                <w:lang w:val="en-US" w:eastAsia="zh-CN" w:bidi="ar"/>
              </w:rPr>
              <w:t>建立</w:t>
            </w:r>
            <w:r>
              <w:rPr>
                <w:rFonts w:hint="default" w:ascii="Times New Roman" w:hAnsi="Times New Roman" w:eastAsia="仿宋_GB2312" w:cs="Times New Roman"/>
                <w:i w:val="0"/>
                <w:snapToGrid/>
                <w:color w:val="auto"/>
                <w:kern w:val="0"/>
                <w:sz w:val="21"/>
                <w:szCs w:val="21"/>
                <w:highlight w:val="none"/>
                <w:u w:val="none"/>
                <w:lang w:val="en-US" w:eastAsia="zh-CN" w:bidi="ar"/>
              </w:rPr>
              <w:t>财务管理相关制度，具有适合经营要求的业务、财务信息系统的；按月</w:t>
            </w:r>
            <w:r>
              <w:rPr>
                <w:rFonts w:hint="default" w:ascii="Times New Roman" w:hAnsi="Times New Roman" w:eastAsia="仿宋_GB2312" w:cs="Times New Roman"/>
                <w:snapToGrid/>
                <w:color w:val="auto"/>
                <w:kern w:val="0"/>
                <w:sz w:val="21"/>
                <w:szCs w:val="21"/>
                <w:highlight w:val="none"/>
                <w:lang w:bidi="ar"/>
              </w:rPr>
              <w:t>编制财务会计</w:t>
            </w:r>
            <w:r>
              <w:rPr>
                <w:rFonts w:hint="default" w:ascii="Times New Roman" w:hAnsi="Times New Roman" w:eastAsia="仿宋_GB2312" w:cs="Times New Roman"/>
                <w:snapToGrid/>
                <w:color w:val="auto"/>
                <w:kern w:val="0"/>
                <w:sz w:val="21"/>
                <w:szCs w:val="21"/>
                <w:highlight w:val="none"/>
                <w:lang w:eastAsia="zh-CN" w:bidi="ar"/>
              </w:rPr>
              <w:t>报表，</w:t>
            </w:r>
            <w:r>
              <w:rPr>
                <w:rFonts w:hint="default" w:ascii="Times New Roman" w:hAnsi="Times New Roman" w:eastAsia="仿宋_GB2312" w:cs="Times New Roman"/>
                <w:snapToGrid/>
                <w:color w:val="auto"/>
                <w:kern w:val="0"/>
                <w:sz w:val="21"/>
                <w:szCs w:val="21"/>
                <w:highlight w:val="none"/>
                <w:lang w:bidi="ar"/>
              </w:rPr>
              <w:t>真实记录并全面反映企业的财务状况、经营成果和现金流量</w:t>
            </w:r>
            <w:r>
              <w:rPr>
                <w:rFonts w:hint="default" w:ascii="Times New Roman" w:hAnsi="Times New Roman" w:eastAsia="仿宋_GB2312" w:cs="Times New Roman"/>
                <w:snapToGrid/>
                <w:color w:val="auto"/>
                <w:kern w:val="0"/>
                <w:sz w:val="21"/>
                <w:szCs w:val="21"/>
                <w:highlight w:val="none"/>
                <w:lang w:eastAsia="zh-CN" w:bidi="ar"/>
              </w:rPr>
              <w:t>的</w:t>
            </w:r>
            <w:r>
              <w:rPr>
                <w:rFonts w:hint="default" w:ascii="Times New Roman" w:hAnsi="Times New Roman" w:eastAsia="仿宋_GB2312" w:cs="Times New Roman"/>
                <w:snapToGrid/>
                <w:color w:val="auto"/>
                <w:kern w:val="0"/>
                <w:sz w:val="21"/>
                <w:szCs w:val="21"/>
                <w:highlight w:val="none"/>
                <w:lang w:bidi="ar"/>
              </w:rPr>
              <w:t>；年度财务会计</w:t>
            </w:r>
            <w:r>
              <w:rPr>
                <w:rFonts w:hint="default" w:ascii="Times New Roman" w:hAnsi="Times New Roman" w:eastAsia="仿宋_GB2312" w:cs="Times New Roman"/>
                <w:snapToGrid/>
                <w:color w:val="auto"/>
                <w:kern w:val="0"/>
                <w:sz w:val="21"/>
                <w:szCs w:val="21"/>
                <w:highlight w:val="none"/>
                <w:lang w:eastAsia="zh-CN" w:bidi="ar"/>
              </w:rPr>
              <w:t>报表</w:t>
            </w:r>
            <w:r>
              <w:rPr>
                <w:rFonts w:hint="default" w:ascii="Times New Roman" w:hAnsi="Times New Roman" w:eastAsia="仿宋_GB2312" w:cs="Times New Roman"/>
                <w:snapToGrid/>
                <w:color w:val="auto"/>
                <w:kern w:val="0"/>
                <w:sz w:val="21"/>
                <w:szCs w:val="21"/>
                <w:highlight w:val="none"/>
                <w:lang w:bidi="ar"/>
              </w:rPr>
              <w:t>经具有相应资质的会计师事务所审计</w:t>
            </w:r>
            <w:r>
              <w:rPr>
                <w:rFonts w:hint="default" w:ascii="Times New Roman" w:hAnsi="Times New Roman" w:eastAsia="仿宋_GB2312" w:cs="Times New Roman"/>
                <w:snapToGrid/>
                <w:color w:val="auto"/>
                <w:kern w:val="0"/>
                <w:sz w:val="21"/>
                <w:szCs w:val="21"/>
                <w:highlight w:val="none"/>
                <w:lang w:eastAsia="zh-CN" w:bidi="ar"/>
              </w:rPr>
              <w:t>的，</w:t>
            </w:r>
            <w:r>
              <w:rPr>
                <w:rFonts w:hint="default" w:ascii="Times New Roman" w:hAnsi="Times New Roman" w:eastAsia="仿宋_GB2312" w:cs="Times New Roman"/>
                <w:snapToGrid/>
                <w:color w:val="auto"/>
                <w:kern w:val="0"/>
                <w:sz w:val="21"/>
                <w:szCs w:val="21"/>
                <w:highlight w:val="none"/>
                <w:lang w:val="en-US" w:eastAsia="zh-CN" w:bidi="ar"/>
              </w:rPr>
              <w:t>得2分</w:t>
            </w:r>
            <w:r>
              <w:rPr>
                <w:rFonts w:hint="default" w:ascii="Times New Roman" w:hAnsi="Times New Roman" w:eastAsia="仿宋_GB2312" w:cs="Times New Roman"/>
                <w:snapToGrid/>
                <w:color w:val="auto"/>
                <w:kern w:val="0"/>
                <w:sz w:val="21"/>
                <w:szCs w:val="21"/>
                <w:highlight w:val="none"/>
                <w:lang w:bidi="ar"/>
              </w:rPr>
              <w:t>。</w:t>
            </w:r>
          </w:p>
        </w:tc>
        <w:tc>
          <w:tcPr>
            <w:tcW w:w="705" w:type="dxa"/>
            <w:noWrap w:val="0"/>
            <w:vAlign w:val="top"/>
          </w:tcPr>
          <w:p w14:paraId="754039B5">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11334E2F">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5921F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1133" w:type="dxa"/>
            <w:vMerge w:val="continue"/>
            <w:noWrap w:val="0"/>
            <w:vAlign w:val="center"/>
          </w:tcPr>
          <w:p w14:paraId="0E639519">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p>
        </w:tc>
        <w:tc>
          <w:tcPr>
            <w:tcW w:w="1536" w:type="dxa"/>
            <w:noWrap w:val="0"/>
            <w:vAlign w:val="center"/>
          </w:tcPr>
          <w:p w14:paraId="51194B9E">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b/>
                <w:bCs/>
                <w:i w:val="0"/>
                <w:iCs w:val="0"/>
                <w:color w:val="auto"/>
                <w:kern w:val="2"/>
                <w:sz w:val="24"/>
                <w:szCs w:val="24"/>
                <w:highlight w:val="none"/>
                <w:u w:val="none"/>
                <w:lang w:val="en-US" w:eastAsia="zh-CN" w:bidi="ar-SA"/>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cs="Times New Roman"/>
                <w:b/>
                <w:bCs/>
                <w:i w:val="0"/>
                <w:iCs w:val="0"/>
                <w:color w:val="auto"/>
                <w:kern w:val="0"/>
                <w:sz w:val="24"/>
                <w:szCs w:val="24"/>
                <w:highlight w:val="none"/>
                <w:u w:val="none"/>
                <w:lang w:val="en-US" w:eastAsia="zh-CN" w:bidi="ar"/>
              </w:rPr>
              <w:t>11</w:t>
            </w: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b/>
                <w:bCs/>
                <w:i w:val="0"/>
                <w:iCs w:val="0"/>
                <w:color w:val="auto"/>
                <w:kern w:val="0"/>
                <w:sz w:val="24"/>
                <w:szCs w:val="24"/>
                <w:highlight w:val="none"/>
                <w:u w:val="none"/>
                <w:lang w:val="en-US" w:eastAsia="zh-CN" w:bidi="ar"/>
              </w:rPr>
              <w:t>数据报送</w:t>
            </w:r>
          </w:p>
        </w:tc>
        <w:tc>
          <w:tcPr>
            <w:tcW w:w="504" w:type="dxa"/>
            <w:noWrap w:val="0"/>
            <w:vAlign w:val="center"/>
          </w:tcPr>
          <w:p w14:paraId="7945C2B5">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b/>
                <w:bCs/>
                <w:i w:val="0"/>
                <w:iCs w:val="0"/>
                <w:color w:val="auto"/>
                <w:kern w:val="2"/>
                <w:sz w:val="21"/>
                <w:szCs w:val="21"/>
                <w:highlight w:val="none"/>
                <w:u w:val="none"/>
                <w:lang w:val="en-US" w:eastAsia="zh-CN" w:bidi="ar-SA"/>
              </w:rPr>
            </w:pPr>
            <w:r>
              <w:rPr>
                <w:rFonts w:hint="default" w:ascii="Times New Roman" w:hAnsi="Times New Roman" w:cs="Times New Roman"/>
                <w:b/>
                <w:bCs/>
                <w:i w:val="0"/>
                <w:iCs w:val="0"/>
                <w:color w:val="auto"/>
                <w:kern w:val="0"/>
                <w:sz w:val="21"/>
                <w:szCs w:val="21"/>
                <w:highlight w:val="none"/>
                <w:u w:val="none"/>
                <w:lang w:val="en-US" w:eastAsia="zh-CN" w:bidi="ar"/>
              </w:rPr>
              <w:t>8</w:t>
            </w:r>
          </w:p>
        </w:tc>
        <w:tc>
          <w:tcPr>
            <w:tcW w:w="8992" w:type="dxa"/>
            <w:noWrap w:val="0"/>
            <w:vAlign w:val="center"/>
          </w:tcPr>
          <w:p w14:paraId="7B3B9D33">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2"/>
                <w:sz w:val="21"/>
                <w:szCs w:val="21"/>
                <w:highlight w:val="none"/>
                <w:u w:val="none"/>
                <w:lang w:val="en-US" w:eastAsia="zh-CN" w:bidi="ar-SA"/>
              </w:rPr>
              <w:t>1.考评年度内及时、完整、准确报送月、季、年度数据信息，不存在更正情况的，不存在虚报、瞒报、谎报、误报、漏报情况的，得8分；</w:t>
            </w:r>
          </w:p>
          <w:p w14:paraId="52457048">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2"/>
                <w:sz w:val="21"/>
                <w:szCs w:val="21"/>
                <w:highlight w:val="none"/>
                <w:u w:val="none"/>
                <w:lang w:val="en-US" w:eastAsia="zh-CN" w:bidi="ar-SA"/>
              </w:rPr>
              <w:t>2.考评年度内基本及时、完整、准确报送月、季、年度数据信息，于上报截止日内对误报、漏报情况及时完成更正的，不存在虚报、瞒报、谎报、情况的，得6分；</w:t>
            </w:r>
          </w:p>
          <w:p w14:paraId="4DB91026">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2"/>
                <w:sz w:val="21"/>
                <w:szCs w:val="21"/>
                <w:highlight w:val="none"/>
                <w:u w:val="none"/>
                <w:lang w:val="en-US" w:eastAsia="zh-CN" w:bidi="ar-SA"/>
              </w:rPr>
              <w:t>3.考评年度内基本及时、完整报送月、季、年度数据信息，超出上报截止日但在5个工作日内对误报、漏报情况完成更正的，不存在虚报、瞒报、谎报情况的，得3分；</w:t>
            </w:r>
          </w:p>
          <w:p w14:paraId="7D16DC85">
            <w:pPr>
              <w:keepNext w:val="0"/>
              <w:keepLines w:val="0"/>
              <w:pageBreakBefore w:val="0"/>
              <w:widowControl/>
              <w:suppressLineNumbers w:val="0"/>
              <w:kinsoku/>
              <w:wordWrap/>
              <w:overflowPunct/>
              <w:topLinePunct w:val="0"/>
              <w:autoSpaceDE/>
              <w:autoSpaceDN/>
              <w:bidi w:val="0"/>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2"/>
                <w:sz w:val="21"/>
                <w:szCs w:val="21"/>
                <w:highlight w:val="none"/>
                <w:u w:val="none"/>
                <w:lang w:val="en-US" w:eastAsia="zh-CN" w:bidi="ar-SA"/>
              </w:rPr>
              <w:t>4.考评年度内未能及时、完整报送月、季、年度数据信息，或超出上报截止日5个工作日未能对误报情况完成更正的，或存在虚报、瞒报、谎报及不配合更正情况的，得0分。</w:t>
            </w:r>
          </w:p>
        </w:tc>
        <w:tc>
          <w:tcPr>
            <w:tcW w:w="705" w:type="dxa"/>
            <w:noWrap w:val="0"/>
            <w:vAlign w:val="top"/>
          </w:tcPr>
          <w:p w14:paraId="2A923240">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01B26581">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3E40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3" w:type="dxa"/>
            <w:vMerge w:val="continue"/>
            <w:noWrap w:val="0"/>
            <w:vAlign w:val="center"/>
          </w:tcPr>
          <w:p w14:paraId="11729317">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p>
        </w:tc>
        <w:tc>
          <w:tcPr>
            <w:tcW w:w="1536" w:type="dxa"/>
            <w:noWrap w:val="0"/>
            <w:vAlign w:val="center"/>
          </w:tcPr>
          <w:p w14:paraId="3A3EB6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4"/>
                <w:szCs w:val="24"/>
                <w:highlight w:val="none"/>
                <w:u w:val="none"/>
                <w:lang w:val="en-US" w:eastAsia="zh-CN" w:bidi="ar-SA"/>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cs="Times New Roman"/>
                <w:b/>
                <w:bCs/>
                <w:i w:val="0"/>
                <w:iCs w:val="0"/>
                <w:color w:val="auto"/>
                <w:kern w:val="0"/>
                <w:sz w:val="24"/>
                <w:szCs w:val="24"/>
                <w:highlight w:val="none"/>
                <w:u w:val="none"/>
                <w:lang w:val="en-US" w:eastAsia="zh-CN" w:bidi="ar"/>
              </w:rPr>
              <w:t>12</w:t>
            </w: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b/>
                <w:bCs/>
                <w:i w:val="0"/>
                <w:iCs w:val="0"/>
                <w:color w:val="auto"/>
                <w:kern w:val="0"/>
                <w:sz w:val="24"/>
                <w:szCs w:val="24"/>
                <w:highlight w:val="none"/>
                <w:u w:val="none"/>
                <w:lang w:val="en-US" w:eastAsia="zh-CN" w:bidi="ar"/>
              </w:rPr>
              <w:t>监管配合</w:t>
            </w:r>
          </w:p>
        </w:tc>
        <w:tc>
          <w:tcPr>
            <w:tcW w:w="504" w:type="dxa"/>
            <w:noWrap w:val="0"/>
            <w:vAlign w:val="center"/>
          </w:tcPr>
          <w:p w14:paraId="5D2672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1"/>
                <w:szCs w:val="21"/>
                <w:highlight w:val="none"/>
                <w:u w:val="none"/>
                <w:lang w:val="en-US" w:eastAsia="zh-CN" w:bidi="ar-SA"/>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8</w:t>
            </w:r>
          </w:p>
        </w:tc>
        <w:tc>
          <w:tcPr>
            <w:tcW w:w="8992" w:type="dxa"/>
            <w:noWrap w:val="0"/>
            <w:vAlign w:val="center"/>
          </w:tcPr>
          <w:p w14:paraId="445B461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1.主动、积极配合监管部门开展相关约谈、调查、现场检查得4分。</w:t>
            </w:r>
          </w:p>
          <w:p w14:paraId="0F25B79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2.积极落实监管部门要求及时整改违规问题，缓释相关风险的得4分。</w:t>
            </w:r>
          </w:p>
        </w:tc>
        <w:tc>
          <w:tcPr>
            <w:tcW w:w="705" w:type="dxa"/>
            <w:noWrap w:val="0"/>
            <w:vAlign w:val="top"/>
          </w:tcPr>
          <w:p w14:paraId="5DFE8B74">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53CC0F76">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0DB5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133" w:type="dxa"/>
            <w:vMerge w:val="restart"/>
            <w:noWrap w:val="0"/>
            <w:vAlign w:val="center"/>
          </w:tcPr>
          <w:p w14:paraId="60976120">
            <w:pPr>
              <w:keepNext w:val="0"/>
              <w:keepLines w:val="0"/>
              <w:pageBreakBefore w:val="0"/>
              <w:kinsoku/>
              <w:overflowPunct/>
              <w:topLinePunct w:val="0"/>
              <w:bidi w:val="0"/>
              <w:snapToGrid w:val="0"/>
              <w:spacing w:line="240" w:lineRule="auto"/>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二、</w:t>
            </w:r>
          </w:p>
          <w:p w14:paraId="26A58201">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cs="Times New Roman"/>
                <w:color w:val="auto"/>
                <w:sz w:val="28"/>
                <w:szCs w:val="28"/>
                <w:highlight w:val="none"/>
              </w:rPr>
            </w:pPr>
            <w:r>
              <w:rPr>
                <w:rFonts w:hint="default" w:ascii="Times New Roman" w:hAnsi="Times New Roman" w:eastAsia="黑体" w:cs="Times New Roman"/>
                <w:color w:val="auto"/>
                <w:sz w:val="28"/>
                <w:szCs w:val="28"/>
                <w:highlight w:val="none"/>
              </w:rPr>
              <w:t>合规</w:t>
            </w:r>
          </w:p>
          <w:p w14:paraId="5F67A3C4">
            <w:pPr>
              <w:keepNext w:val="0"/>
              <w:keepLines w:val="0"/>
              <w:pageBreakBefore w:val="0"/>
              <w:kinsoku/>
              <w:overflowPunct/>
              <w:topLinePunct w:val="0"/>
              <w:bidi w:val="0"/>
              <w:snapToGrid w:val="0"/>
              <w:spacing w:line="240" w:lineRule="auto"/>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经营</w:t>
            </w:r>
          </w:p>
          <w:p w14:paraId="66AB703E">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szCs w:val="24"/>
                <w:highlight w:val="none"/>
                <w:lang w:eastAsia="zh-CN"/>
              </w:rPr>
              <w:t>（</w:t>
            </w:r>
            <w:r>
              <w:rPr>
                <w:rFonts w:hint="default" w:ascii="Times New Roman" w:hAnsi="Times New Roman" w:eastAsia="黑体" w:cs="Times New Roman"/>
                <w:color w:val="auto"/>
                <w:sz w:val="24"/>
                <w:szCs w:val="24"/>
                <w:highlight w:val="none"/>
                <w:lang w:val="en-US" w:eastAsia="zh-CN"/>
              </w:rPr>
              <w:t>30</w:t>
            </w:r>
            <w:r>
              <w:rPr>
                <w:rFonts w:hint="default" w:ascii="Times New Roman" w:hAnsi="Times New Roman" w:eastAsia="黑体" w:cs="Times New Roman"/>
                <w:color w:val="auto"/>
                <w:sz w:val="24"/>
                <w:szCs w:val="24"/>
                <w:highlight w:val="none"/>
              </w:rPr>
              <w:t>分</w:t>
            </w:r>
            <w:r>
              <w:rPr>
                <w:rFonts w:hint="default" w:ascii="Times New Roman" w:hAnsi="Times New Roman" w:eastAsia="黑体" w:cs="Times New Roman"/>
                <w:color w:val="auto"/>
                <w:sz w:val="24"/>
                <w:szCs w:val="24"/>
                <w:highlight w:val="none"/>
                <w:lang w:eastAsia="zh-CN"/>
              </w:rPr>
              <w:t>）</w:t>
            </w:r>
          </w:p>
        </w:tc>
        <w:tc>
          <w:tcPr>
            <w:tcW w:w="1536" w:type="dxa"/>
            <w:noWrap w:val="0"/>
            <w:vAlign w:val="center"/>
          </w:tcPr>
          <w:p w14:paraId="78C72A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4"/>
                <w:szCs w:val="24"/>
                <w:highlight w:val="none"/>
                <w:u w:val="none"/>
                <w:lang w:val="en-US" w:eastAsia="zh-CN" w:bidi="ar-SA"/>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cs="Times New Roman"/>
                <w:b/>
                <w:bCs/>
                <w:i w:val="0"/>
                <w:iCs w:val="0"/>
                <w:color w:val="auto"/>
                <w:kern w:val="0"/>
                <w:sz w:val="24"/>
                <w:szCs w:val="24"/>
                <w:highlight w:val="none"/>
                <w:u w:val="none"/>
                <w:lang w:val="en-US" w:eastAsia="zh-CN" w:bidi="ar"/>
              </w:rPr>
              <w:t>13</w:t>
            </w: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b/>
                <w:bCs/>
                <w:i w:val="0"/>
                <w:iCs w:val="0"/>
                <w:color w:val="auto"/>
                <w:kern w:val="0"/>
                <w:sz w:val="24"/>
                <w:szCs w:val="24"/>
                <w:highlight w:val="none"/>
                <w:u w:val="none"/>
                <w:lang w:val="en-US" w:eastAsia="zh-CN" w:bidi="ar"/>
              </w:rPr>
              <w:t>办公场所</w:t>
            </w:r>
          </w:p>
        </w:tc>
        <w:tc>
          <w:tcPr>
            <w:tcW w:w="504" w:type="dxa"/>
            <w:noWrap w:val="0"/>
            <w:vAlign w:val="center"/>
          </w:tcPr>
          <w:p w14:paraId="2A7D0A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1"/>
                <w:szCs w:val="21"/>
                <w:highlight w:val="none"/>
                <w:u w:val="none"/>
                <w:lang w:val="en-US" w:eastAsia="zh-CN" w:bidi="ar-SA"/>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3</w:t>
            </w:r>
          </w:p>
        </w:tc>
        <w:tc>
          <w:tcPr>
            <w:tcW w:w="8992" w:type="dxa"/>
            <w:noWrap w:val="0"/>
            <w:vAlign w:val="center"/>
          </w:tcPr>
          <w:p w14:paraId="1A169E6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1.在广西有实际经营场所且与注册地保持一致的得</w:t>
            </w:r>
            <w:r>
              <w:rPr>
                <w:rFonts w:hint="default" w:ascii="Times New Roman" w:hAnsi="Times New Roman" w:cs="Times New Roman"/>
                <w:i w:val="0"/>
                <w:iCs w:val="0"/>
                <w:color w:val="auto"/>
                <w:kern w:val="0"/>
                <w:sz w:val="21"/>
                <w:szCs w:val="21"/>
                <w:highlight w:val="none"/>
                <w:u w:val="none"/>
                <w:lang w:val="en-US" w:eastAsia="zh-CN" w:bidi="ar"/>
              </w:rPr>
              <w:t>3</w:t>
            </w:r>
            <w:r>
              <w:rPr>
                <w:rFonts w:hint="default" w:ascii="Times New Roman" w:hAnsi="Times New Roman" w:eastAsia="仿宋_GB2312" w:cs="Times New Roman"/>
                <w:i w:val="0"/>
                <w:iCs w:val="0"/>
                <w:color w:val="auto"/>
                <w:kern w:val="0"/>
                <w:sz w:val="21"/>
                <w:szCs w:val="21"/>
                <w:highlight w:val="none"/>
                <w:u w:val="none"/>
                <w:lang w:val="en-US" w:eastAsia="zh-CN" w:bidi="ar"/>
              </w:rPr>
              <w:t>分；</w:t>
            </w:r>
          </w:p>
          <w:p w14:paraId="7D087B5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2.在广西有实际经营场所但与注册地不一致的得0分。</w:t>
            </w:r>
          </w:p>
        </w:tc>
        <w:tc>
          <w:tcPr>
            <w:tcW w:w="705" w:type="dxa"/>
            <w:noWrap w:val="0"/>
            <w:vAlign w:val="top"/>
          </w:tcPr>
          <w:p w14:paraId="09BDD6C4">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0F7ACABC">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3A1A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133" w:type="dxa"/>
            <w:vMerge w:val="continue"/>
            <w:noWrap w:val="0"/>
            <w:vAlign w:val="top"/>
          </w:tcPr>
          <w:p w14:paraId="3AF170F1">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p>
        </w:tc>
        <w:tc>
          <w:tcPr>
            <w:tcW w:w="1536" w:type="dxa"/>
            <w:noWrap w:val="0"/>
            <w:vAlign w:val="center"/>
          </w:tcPr>
          <w:p w14:paraId="2136FC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4"/>
                <w:szCs w:val="24"/>
                <w:highlight w:val="none"/>
                <w:u w:val="none"/>
                <w:lang w:val="en-US" w:eastAsia="zh-CN" w:bidi="ar-SA"/>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cs="Times New Roman"/>
                <w:b/>
                <w:bCs/>
                <w:i w:val="0"/>
                <w:iCs w:val="0"/>
                <w:color w:val="auto"/>
                <w:kern w:val="0"/>
                <w:sz w:val="24"/>
                <w:szCs w:val="24"/>
                <w:highlight w:val="none"/>
                <w:u w:val="none"/>
                <w:lang w:val="en-US" w:eastAsia="zh-CN" w:bidi="ar"/>
              </w:rPr>
              <w:t>14</w:t>
            </w: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b/>
                <w:bCs/>
                <w:i w:val="0"/>
                <w:iCs w:val="0"/>
                <w:color w:val="auto"/>
                <w:kern w:val="0"/>
                <w:sz w:val="24"/>
                <w:szCs w:val="24"/>
                <w:highlight w:val="none"/>
                <w:u w:val="none"/>
                <w:lang w:val="en-US" w:eastAsia="zh-CN" w:bidi="ar"/>
              </w:rPr>
              <w:t>客户投诉</w:t>
            </w:r>
          </w:p>
        </w:tc>
        <w:tc>
          <w:tcPr>
            <w:tcW w:w="504" w:type="dxa"/>
            <w:noWrap w:val="0"/>
            <w:vAlign w:val="center"/>
          </w:tcPr>
          <w:p w14:paraId="6CE860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1"/>
                <w:szCs w:val="21"/>
                <w:highlight w:val="none"/>
                <w:u w:val="none"/>
                <w:lang w:val="en-US" w:eastAsia="zh-CN" w:bidi="ar-SA"/>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2</w:t>
            </w:r>
          </w:p>
        </w:tc>
        <w:tc>
          <w:tcPr>
            <w:tcW w:w="8992" w:type="dxa"/>
            <w:noWrap w:val="0"/>
            <w:vAlign w:val="center"/>
          </w:tcPr>
          <w:p w14:paraId="0449645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1.建立方便快捷的投诉受理及争议处理机制，完善投诉处理程序，并能及时妥善处理争议得2分；</w:t>
            </w:r>
          </w:p>
          <w:p w14:paraId="7107B1E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2.建立较为高效的投诉受理及争议处理机制，比较完善投诉处理程序，并能快速的妥善处理争议1分；</w:t>
            </w:r>
          </w:p>
          <w:p w14:paraId="0964EFE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3.未建立投诉受理及争议处理机制及投诉处理程序，不能快速的妥善处理争议得0分。</w:t>
            </w:r>
          </w:p>
        </w:tc>
        <w:tc>
          <w:tcPr>
            <w:tcW w:w="705" w:type="dxa"/>
            <w:noWrap w:val="0"/>
            <w:vAlign w:val="top"/>
          </w:tcPr>
          <w:p w14:paraId="278C5586">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4FC61080">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7073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133" w:type="dxa"/>
            <w:vMerge w:val="restart"/>
            <w:noWrap w:val="0"/>
            <w:vAlign w:val="center"/>
          </w:tcPr>
          <w:p w14:paraId="5F588B93">
            <w:pPr>
              <w:keepNext w:val="0"/>
              <w:keepLines w:val="0"/>
              <w:pageBreakBefore w:val="0"/>
              <w:kinsoku/>
              <w:overflowPunct/>
              <w:topLinePunct w:val="0"/>
              <w:bidi w:val="0"/>
              <w:snapToGrid w:val="0"/>
              <w:spacing w:line="240" w:lineRule="auto"/>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三、</w:t>
            </w:r>
          </w:p>
          <w:p w14:paraId="77EF69E3">
            <w:pPr>
              <w:keepNext w:val="0"/>
              <w:keepLines w:val="0"/>
              <w:pageBreakBefore w:val="0"/>
              <w:kinsoku/>
              <w:overflowPunct/>
              <w:topLinePunct w:val="0"/>
              <w:bidi w:val="0"/>
              <w:snapToGrid w:val="0"/>
              <w:spacing w:line="240" w:lineRule="auto"/>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风险</w:t>
            </w:r>
          </w:p>
          <w:p w14:paraId="562A2591">
            <w:pPr>
              <w:keepNext w:val="0"/>
              <w:keepLines w:val="0"/>
              <w:pageBreakBefore w:val="0"/>
              <w:kinsoku/>
              <w:overflowPunct/>
              <w:topLinePunct w:val="0"/>
              <w:bidi w:val="0"/>
              <w:snapToGrid w:val="0"/>
              <w:spacing w:line="240" w:lineRule="auto"/>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控制</w:t>
            </w:r>
          </w:p>
          <w:p w14:paraId="51552F2B">
            <w:pPr>
              <w:keepNext w:val="0"/>
              <w:keepLines w:val="0"/>
              <w:pageBreakBefore w:val="0"/>
              <w:kinsoku/>
              <w:overflowPunct/>
              <w:topLinePunct w:val="0"/>
              <w:bidi w:val="0"/>
              <w:snapToGrid w:val="0"/>
              <w:spacing w:line="240" w:lineRule="auto"/>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szCs w:val="24"/>
                <w:highlight w:val="none"/>
              </w:rPr>
              <w:t>（</w:t>
            </w:r>
            <w:r>
              <w:rPr>
                <w:rFonts w:hint="default" w:ascii="Times New Roman" w:hAnsi="Times New Roman" w:eastAsia="黑体" w:cs="Times New Roman"/>
                <w:color w:val="auto"/>
                <w:sz w:val="24"/>
                <w:szCs w:val="24"/>
                <w:highlight w:val="none"/>
                <w:lang w:val="en-US" w:eastAsia="zh-CN"/>
              </w:rPr>
              <w:t>30</w:t>
            </w:r>
            <w:r>
              <w:rPr>
                <w:rFonts w:hint="default" w:ascii="Times New Roman" w:hAnsi="Times New Roman" w:eastAsia="黑体" w:cs="Times New Roman"/>
                <w:color w:val="auto"/>
                <w:sz w:val="24"/>
                <w:szCs w:val="24"/>
                <w:highlight w:val="none"/>
              </w:rPr>
              <w:t>分）</w:t>
            </w:r>
          </w:p>
        </w:tc>
        <w:tc>
          <w:tcPr>
            <w:tcW w:w="1536" w:type="dxa"/>
            <w:noWrap w:val="0"/>
            <w:vAlign w:val="center"/>
          </w:tcPr>
          <w:p w14:paraId="0558E1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4"/>
                <w:szCs w:val="24"/>
                <w:highlight w:val="none"/>
                <w:u w:val="none"/>
                <w:lang w:val="en-US" w:eastAsia="zh-CN" w:bidi="ar-SA"/>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cs="Times New Roman"/>
                <w:b/>
                <w:bCs/>
                <w:i w:val="0"/>
                <w:iCs w:val="0"/>
                <w:color w:val="auto"/>
                <w:kern w:val="0"/>
                <w:sz w:val="24"/>
                <w:szCs w:val="24"/>
                <w:highlight w:val="none"/>
                <w:u w:val="none"/>
                <w:lang w:val="en-US" w:eastAsia="zh-CN" w:bidi="ar"/>
              </w:rPr>
              <w:t>15</w:t>
            </w: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b/>
                <w:bCs/>
                <w:i w:val="0"/>
                <w:iCs w:val="0"/>
                <w:color w:val="auto"/>
                <w:kern w:val="0"/>
                <w:sz w:val="24"/>
                <w:szCs w:val="24"/>
                <w:highlight w:val="none"/>
                <w:u w:val="none"/>
                <w:lang w:val="en-US" w:eastAsia="zh-CN" w:bidi="ar"/>
              </w:rPr>
              <w:t>资产分类</w:t>
            </w:r>
          </w:p>
        </w:tc>
        <w:tc>
          <w:tcPr>
            <w:tcW w:w="504" w:type="dxa"/>
            <w:noWrap w:val="0"/>
            <w:vAlign w:val="center"/>
          </w:tcPr>
          <w:p w14:paraId="5634B8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1"/>
                <w:szCs w:val="21"/>
                <w:highlight w:val="none"/>
                <w:u w:val="none"/>
                <w:lang w:val="en-US" w:eastAsia="zh-CN" w:bidi="ar-SA"/>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3</w:t>
            </w:r>
          </w:p>
        </w:tc>
        <w:tc>
          <w:tcPr>
            <w:tcW w:w="8992" w:type="dxa"/>
            <w:noWrap w:val="0"/>
            <w:vAlign w:val="center"/>
          </w:tcPr>
          <w:p w14:paraId="50EC59D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72"/>
                <w:rFonts w:hint="default" w:ascii="Times New Roman" w:hAnsi="Times New Roman" w:cs="Times New Roman"/>
                <w:color w:val="auto"/>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1.制定了审慎规范的融资租赁资产分类制度，能够根据租赁资产分类标准及时准确认定业务风险类别，分类结果连续、稳定的</w:t>
            </w:r>
            <w:r>
              <w:rPr>
                <w:rStyle w:val="71"/>
                <w:rFonts w:hint="default" w:ascii="Times New Roman" w:hAnsi="Times New Roman" w:cs="Times New Roman"/>
                <w:color w:val="auto"/>
                <w:highlight w:val="none"/>
                <w:lang w:val="en-US" w:eastAsia="zh-CN" w:bidi="ar"/>
              </w:rPr>
              <w:t>得3分</w:t>
            </w:r>
            <w:r>
              <w:rPr>
                <w:rStyle w:val="72"/>
                <w:rFonts w:hint="default" w:ascii="Times New Roman" w:hAnsi="Times New Roman" w:cs="Times New Roman"/>
                <w:color w:val="auto"/>
                <w:highlight w:val="none"/>
                <w:lang w:val="en-US" w:eastAsia="zh-CN" w:bidi="ar"/>
              </w:rPr>
              <w:t>；</w:t>
            </w:r>
          </w:p>
          <w:p w14:paraId="5809536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72"/>
                <w:rFonts w:hint="default" w:ascii="Times New Roman" w:hAnsi="Times New Roman" w:cs="Times New Roman"/>
                <w:color w:val="auto"/>
                <w:highlight w:val="none"/>
                <w:lang w:val="en-US" w:eastAsia="zh-CN" w:bidi="ar"/>
              </w:rPr>
            </w:pPr>
            <w:r>
              <w:rPr>
                <w:rStyle w:val="72"/>
                <w:rFonts w:hint="default" w:ascii="Times New Roman" w:hAnsi="Times New Roman" w:cs="Times New Roman"/>
                <w:color w:val="auto"/>
                <w:highlight w:val="none"/>
                <w:lang w:val="en-US" w:eastAsia="zh-CN" w:bidi="ar"/>
              </w:rPr>
              <w:t>2.制定了租赁资产分类标准，能够根据分类标准认定业务风险类别，分类结果相对连续、稳定的得1.5分；</w:t>
            </w:r>
          </w:p>
          <w:p w14:paraId="7EADE4A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Style w:val="72"/>
                <w:rFonts w:hint="default" w:ascii="Times New Roman" w:hAnsi="Times New Roman" w:cs="Times New Roman"/>
                <w:color w:val="auto"/>
                <w:highlight w:val="none"/>
                <w:lang w:val="en-US" w:eastAsia="zh-CN" w:bidi="ar"/>
              </w:rPr>
              <w:t>3.未制定明确的租赁资产分类制度，或未能按照租赁资产分类制度认定业务风险类别，或分类结果缺乏连续性和稳定性的得0分。</w:t>
            </w:r>
          </w:p>
        </w:tc>
        <w:tc>
          <w:tcPr>
            <w:tcW w:w="705" w:type="dxa"/>
            <w:noWrap w:val="0"/>
            <w:vAlign w:val="top"/>
          </w:tcPr>
          <w:p w14:paraId="0278CE0F">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4435F027">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57B7A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3" w:type="dxa"/>
            <w:vMerge w:val="continue"/>
            <w:noWrap w:val="0"/>
            <w:vAlign w:val="center"/>
          </w:tcPr>
          <w:p w14:paraId="614D4B17">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p>
        </w:tc>
        <w:tc>
          <w:tcPr>
            <w:tcW w:w="1536" w:type="dxa"/>
            <w:noWrap w:val="0"/>
            <w:vAlign w:val="center"/>
          </w:tcPr>
          <w:p w14:paraId="7C9803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4"/>
                <w:szCs w:val="24"/>
                <w:highlight w:val="none"/>
                <w:u w:val="none"/>
                <w:lang w:val="en-US" w:eastAsia="zh-CN" w:bidi="ar-SA"/>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（1</w:t>
            </w:r>
            <w:r>
              <w:rPr>
                <w:rFonts w:hint="default" w:ascii="Times New Roman" w:hAnsi="Times New Roman" w:cs="Times New Roman"/>
                <w:b/>
                <w:bCs/>
                <w:i w:val="0"/>
                <w:iCs w:val="0"/>
                <w:color w:val="auto"/>
                <w:kern w:val="0"/>
                <w:sz w:val="24"/>
                <w:szCs w:val="24"/>
                <w:highlight w:val="none"/>
                <w:u w:val="none"/>
                <w:lang w:val="en-US" w:eastAsia="zh-CN" w:bidi="ar"/>
              </w:rPr>
              <w:t>6</w:t>
            </w: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b/>
                <w:bCs/>
                <w:i w:val="0"/>
                <w:iCs w:val="0"/>
                <w:color w:val="auto"/>
                <w:kern w:val="0"/>
                <w:sz w:val="24"/>
                <w:szCs w:val="24"/>
                <w:highlight w:val="none"/>
                <w:u w:val="none"/>
                <w:lang w:val="en-US" w:eastAsia="zh-CN" w:bidi="ar"/>
              </w:rPr>
              <w:t>客户信用</w:t>
            </w:r>
          </w:p>
        </w:tc>
        <w:tc>
          <w:tcPr>
            <w:tcW w:w="504" w:type="dxa"/>
            <w:noWrap w:val="0"/>
            <w:vAlign w:val="center"/>
          </w:tcPr>
          <w:p w14:paraId="1E2A32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1"/>
                <w:szCs w:val="21"/>
                <w:highlight w:val="none"/>
                <w:u w:val="none"/>
                <w:lang w:val="en-US" w:eastAsia="zh-CN" w:bidi="ar-SA"/>
              </w:rPr>
            </w:pPr>
            <w:r>
              <w:rPr>
                <w:rFonts w:hint="default" w:ascii="Times New Roman" w:hAnsi="Times New Roman" w:cs="Times New Roman"/>
                <w:b/>
                <w:bCs/>
                <w:i w:val="0"/>
                <w:iCs w:val="0"/>
                <w:color w:val="auto"/>
                <w:kern w:val="0"/>
                <w:sz w:val="21"/>
                <w:szCs w:val="21"/>
                <w:highlight w:val="none"/>
                <w:u w:val="none"/>
                <w:lang w:val="en-US" w:eastAsia="zh-CN" w:bidi="ar"/>
              </w:rPr>
              <w:t>3</w:t>
            </w:r>
          </w:p>
        </w:tc>
        <w:tc>
          <w:tcPr>
            <w:tcW w:w="8992" w:type="dxa"/>
            <w:noWrap w:val="0"/>
            <w:vAlign w:val="center"/>
          </w:tcPr>
          <w:p w14:paraId="4CBB554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72"/>
                <w:rFonts w:hint="default" w:ascii="Times New Roman" w:hAnsi="Times New Roman" w:cs="Times New Roman"/>
                <w:color w:val="auto"/>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1.建立了事后追偿和处置制度以及风险预警机制，各项机制具有可操作性且均得到有效执行的</w:t>
            </w:r>
            <w:r>
              <w:rPr>
                <w:rStyle w:val="71"/>
                <w:rFonts w:hint="default" w:ascii="Times New Roman" w:hAnsi="Times New Roman" w:cs="Times New Roman"/>
                <w:color w:val="auto"/>
                <w:highlight w:val="none"/>
                <w:lang w:val="en-US" w:eastAsia="zh-CN" w:bidi="ar"/>
              </w:rPr>
              <w:t>得3分</w:t>
            </w:r>
            <w:r>
              <w:rPr>
                <w:rStyle w:val="72"/>
                <w:rFonts w:hint="default" w:ascii="Times New Roman" w:hAnsi="Times New Roman" w:cs="Times New Roman"/>
                <w:color w:val="auto"/>
                <w:highlight w:val="none"/>
                <w:lang w:val="en-US" w:eastAsia="zh-CN" w:bidi="ar"/>
              </w:rPr>
              <w:t>；</w:t>
            </w:r>
          </w:p>
          <w:p w14:paraId="7877A48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72"/>
                <w:rFonts w:hint="default" w:ascii="Times New Roman" w:hAnsi="Times New Roman" w:cs="Times New Roman"/>
                <w:color w:val="auto"/>
                <w:highlight w:val="none"/>
                <w:lang w:val="en-US" w:eastAsia="zh-CN" w:bidi="ar"/>
              </w:rPr>
            </w:pPr>
            <w:r>
              <w:rPr>
                <w:rStyle w:val="72"/>
                <w:rFonts w:hint="default" w:ascii="Times New Roman" w:hAnsi="Times New Roman" w:cs="Times New Roman"/>
                <w:color w:val="auto"/>
                <w:highlight w:val="none"/>
                <w:lang w:val="en-US" w:eastAsia="zh-CN" w:bidi="ar"/>
              </w:rPr>
              <w:t>2.建立信用评估制度、事后追偿和处置制度、风险预警机制以及防欺诈制度，但部分制度在可操作性上存在瑕疵，未能得到有效执行的得1.5分；</w:t>
            </w:r>
          </w:p>
          <w:p w14:paraId="08639F4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Style w:val="72"/>
                <w:rFonts w:hint="default" w:ascii="Times New Roman" w:hAnsi="Times New Roman" w:cs="Times New Roman"/>
                <w:color w:val="auto"/>
                <w:highlight w:val="none"/>
                <w:lang w:val="en-US" w:eastAsia="zh-CN" w:bidi="ar"/>
              </w:rPr>
              <w:t>3.未建立信用评估制度、事后追偿和处置制度、风险预警机制以及防欺诈制度，或部分制度存在明显瑕疵，不具备可操作性，执行情况较差的得0分。</w:t>
            </w:r>
          </w:p>
        </w:tc>
        <w:tc>
          <w:tcPr>
            <w:tcW w:w="705" w:type="dxa"/>
            <w:noWrap w:val="0"/>
            <w:vAlign w:val="top"/>
          </w:tcPr>
          <w:p w14:paraId="090695EC">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09256F48">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0875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1133" w:type="dxa"/>
            <w:vMerge w:val="continue"/>
            <w:noWrap w:val="0"/>
            <w:vAlign w:val="top"/>
          </w:tcPr>
          <w:p w14:paraId="76E83746">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p>
        </w:tc>
        <w:tc>
          <w:tcPr>
            <w:tcW w:w="1536" w:type="dxa"/>
            <w:noWrap w:val="0"/>
            <w:vAlign w:val="center"/>
          </w:tcPr>
          <w:p w14:paraId="154D55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4"/>
                <w:szCs w:val="24"/>
                <w:highlight w:val="none"/>
                <w:u w:val="none"/>
                <w:lang w:val="en-US" w:eastAsia="zh-CN" w:bidi="ar-SA"/>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（1</w:t>
            </w:r>
            <w:r>
              <w:rPr>
                <w:rFonts w:hint="default" w:ascii="Times New Roman" w:hAnsi="Times New Roman" w:cs="Times New Roman"/>
                <w:b/>
                <w:bCs/>
                <w:i w:val="0"/>
                <w:iCs w:val="0"/>
                <w:color w:val="auto"/>
                <w:kern w:val="0"/>
                <w:sz w:val="24"/>
                <w:szCs w:val="24"/>
                <w:highlight w:val="none"/>
                <w:u w:val="none"/>
                <w:lang w:val="en-US" w:eastAsia="zh-CN" w:bidi="ar"/>
              </w:rPr>
              <w:t>7</w:t>
            </w: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b/>
                <w:bCs/>
                <w:i w:val="0"/>
                <w:iCs w:val="0"/>
                <w:color w:val="auto"/>
                <w:kern w:val="0"/>
                <w:sz w:val="24"/>
                <w:szCs w:val="24"/>
                <w:highlight w:val="none"/>
                <w:u w:val="none"/>
                <w:lang w:val="en-US" w:eastAsia="zh-CN" w:bidi="ar"/>
              </w:rPr>
              <w:t>关联交易</w:t>
            </w:r>
          </w:p>
        </w:tc>
        <w:tc>
          <w:tcPr>
            <w:tcW w:w="504" w:type="dxa"/>
            <w:noWrap w:val="0"/>
            <w:vAlign w:val="center"/>
          </w:tcPr>
          <w:p w14:paraId="7A9CBD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1"/>
                <w:szCs w:val="21"/>
                <w:highlight w:val="none"/>
                <w:u w:val="none"/>
                <w:lang w:val="en-US" w:eastAsia="zh-CN" w:bidi="ar-SA"/>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4</w:t>
            </w:r>
          </w:p>
        </w:tc>
        <w:tc>
          <w:tcPr>
            <w:tcW w:w="8992" w:type="dxa"/>
            <w:noWrap w:val="0"/>
            <w:vAlign w:val="center"/>
          </w:tcPr>
          <w:p w14:paraId="33FDBDB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1.建立关联交易管理制度，涉及关联交易业务的均按照该制度执行，并能够出具相关过程决策书面材料得4分；</w:t>
            </w:r>
          </w:p>
          <w:p w14:paraId="46C61D8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2.未建立关联交易管理制度，未能出具关联交易决策的书面材料的得0分。</w:t>
            </w:r>
          </w:p>
        </w:tc>
        <w:tc>
          <w:tcPr>
            <w:tcW w:w="705" w:type="dxa"/>
            <w:noWrap w:val="0"/>
            <w:vAlign w:val="top"/>
          </w:tcPr>
          <w:p w14:paraId="7FF3B92B">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442ED459">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71C6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1133" w:type="dxa"/>
            <w:vMerge w:val="restart"/>
            <w:noWrap w:val="0"/>
            <w:vAlign w:val="center"/>
          </w:tcPr>
          <w:p w14:paraId="6C375EF7">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三、</w:t>
            </w:r>
          </w:p>
          <w:p w14:paraId="1A277A69">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风险</w:t>
            </w:r>
          </w:p>
          <w:p w14:paraId="70CBE96A">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控制</w:t>
            </w:r>
          </w:p>
          <w:p w14:paraId="34362C8F">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方正仿宋_GBK" w:cs="Times New Roman"/>
                <w:color w:val="auto"/>
                <w:sz w:val="28"/>
                <w:szCs w:val="28"/>
                <w:highlight w:val="none"/>
              </w:rPr>
            </w:pPr>
            <w:r>
              <w:rPr>
                <w:rFonts w:hint="default" w:ascii="Times New Roman" w:hAnsi="Times New Roman" w:eastAsia="黑体" w:cs="Times New Roman"/>
                <w:color w:val="auto"/>
                <w:sz w:val="24"/>
                <w:szCs w:val="24"/>
                <w:highlight w:val="none"/>
              </w:rPr>
              <w:t>（</w:t>
            </w:r>
            <w:r>
              <w:rPr>
                <w:rFonts w:hint="default" w:ascii="Times New Roman" w:hAnsi="Times New Roman" w:eastAsia="黑体" w:cs="Times New Roman"/>
                <w:color w:val="auto"/>
                <w:sz w:val="24"/>
                <w:szCs w:val="24"/>
                <w:highlight w:val="none"/>
                <w:lang w:val="en-US" w:eastAsia="zh-CN"/>
              </w:rPr>
              <w:t>30</w:t>
            </w:r>
            <w:r>
              <w:rPr>
                <w:rFonts w:hint="default" w:ascii="Times New Roman" w:hAnsi="Times New Roman" w:eastAsia="黑体" w:cs="Times New Roman"/>
                <w:color w:val="auto"/>
                <w:sz w:val="24"/>
                <w:szCs w:val="24"/>
                <w:highlight w:val="none"/>
              </w:rPr>
              <w:t>分）</w:t>
            </w:r>
          </w:p>
        </w:tc>
        <w:tc>
          <w:tcPr>
            <w:tcW w:w="1536" w:type="dxa"/>
            <w:noWrap w:val="0"/>
            <w:vAlign w:val="center"/>
          </w:tcPr>
          <w:p w14:paraId="1D72AC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4"/>
                <w:szCs w:val="24"/>
                <w:highlight w:val="none"/>
                <w:u w:val="none"/>
                <w:lang w:val="en-US" w:eastAsia="zh-CN" w:bidi="ar-SA"/>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（1</w:t>
            </w:r>
            <w:r>
              <w:rPr>
                <w:rFonts w:hint="default" w:ascii="Times New Roman" w:hAnsi="Times New Roman" w:cs="Times New Roman"/>
                <w:b/>
                <w:bCs/>
                <w:i w:val="0"/>
                <w:iCs w:val="0"/>
                <w:color w:val="auto"/>
                <w:kern w:val="0"/>
                <w:sz w:val="24"/>
                <w:szCs w:val="24"/>
                <w:highlight w:val="none"/>
                <w:u w:val="none"/>
                <w:lang w:val="en-US" w:eastAsia="zh-CN" w:bidi="ar"/>
              </w:rPr>
              <w:t>8</w:t>
            </w: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b/>
                <w:bCs/>
                <w:i w:val="0"/>
                <w:iCs w:val="0"/>
                <w:color w:val="auto"/>
                <w:kern w:val="0"/>
                <w:sz w:val="24"/>
                <w:szCs w:val="24"/>
                <w:highlight w:val="none"/>
                <w:u w:val="none"/>
                <w:lang w:val="en-US" w:eastAsia="zh-CN" w:bidi="ar"/>
              </w:rPr>
              <w:t>关联度</w:t>
            </w:r>
          </w:p>
        </w:tc>
        <w:tc>
          <w:tcPr>
            <w:tcW w:w="504" w:type="dxa"/>
            <w:noWrap w:val="0"/>
            <w:vAlign w:val="center"/>
          </w:tcPr>
          <w:p w14:paraId="57DCEC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1"/>
                <w:szCs w:val="21"/>
                <w:highlight w:val="none"/>
                <w:u w:val="none"/>
                <w:lang w:val="en-US" w:eastAsia="zh-CN" w:bidi="ar-SA"/>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8</w:t>
            </w:r>
          </w:p>
        </w:tc>
        <w:tc>
          <w:tcPr>
            <w:tcW w:w="8992" w:type="dxa"/>
            <w:noWrap w:val="0"/>
            <w:vAlign w:val="center"/>
          </w:tcPr>
          <w:p w14:paraId="1147B33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1.对一个关联方的全部融资租赁业务余额不超过净资产的20%得4分；对一个关联方的全部融资租赁业务余额为净资产的20%至30%（含）得2分；对一个关联方的全部融资租赁业务余额超过净资产的30%得0分。</w:t>
            </w:r>
          </w:p>
          <w:p w14:paraId="16BB010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2.对全部关联方的全部融资租赁业务余额不得超过净资产的40%得4分；对全部关联方的全部融资租赁业务余额为净资产的40%至50%（含）得2分；对全部关联方的全部融资租赁业务余额超过净资产的50%得0分。</w:t>
            </w:r>
          </w:p>
        </w:tc>
        <w:tc>
          <w:tcPr>
            <w:tcW w:w="705" w:type="dxa"/>
            <w:noWrap w:val="0"/>
            <w:vAlign w:val="top"/>
          </w:tcPr>
          <w:p w14:paraId="70B90DE9">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37462D8C">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b/>
                <w:bCs/>
                <w:color w:val="auto"/>
                <w:sz w:val="18"/>
                <w:szCs w:val="18"/>
                <w:highlight w:val="none"/>
              </w:rPr>
            </w:pPr>
          </w:p>
        </w:tc>
      </w:tr>
      <w:tr w14:paraId="3B104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1133" w:type="dxa"/>
            <w:vMerge w:val="continue"/>
            <w:noWrap w:val="0"/>
            <w:vAlign w:val="top"/>
          </w:tcPr>
          <w:p w14:paraId="1EBB03AB">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p>
        </w:tc>
        <w:tc>
          <w:tcPr>
            <w:tcW w:w="1536" w:type="dxa"/>
            <w:noWrap w:val="0"/>
            <w:vAlign w:val="center"/>
          </w:tcPr>
          <w:p w14:paraId="6C6C0E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4"/>
                <w:szCs w:val="24"/>
                <w:highlight w:val="none"/>
                <w:u w:val="none"/>
                <w:lang w:val="en-US" w:eastAsia="zh-CN" w:bidi="ar-SA"/>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（1</w:t>
            </w:r>
            <w:r>
              <w:rPr>
                <w:rFonts w:hint="default" w:ascii="Times New Roman" w:hAnsi="Times New Roman" w:cs="Times New Roman"/>
                <w:b/>
                <w:bCs/>
                <w:i w:val="0"/>
                <w:iCs w:val="0"/>
                <w:color w:val="auto"/>
                <w:kern w:val="0"/>
                <w:sz w:val="24"/>
                <w:szCs w:val="24"/>
                <w:highlight w:val="none"/>
                <w:u w:val="none"/>
                <w:lang w:val="en-US" w:eastAsia="zh-CN" w:bidi="ar"/>
              </w:rPr>
              <w:t>9</w:t>
            </w: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b/>
                <w:bCs/>
                <w:i w:val="0"/>
                <w:iCs w:val="0"/>
                <w:color w:val="auto"/>
                <w:kern w:val="0"/>
                <w:sz w:val="24"/>
                <w:szCs w:val="24"/>
                <w:highlight w:val="none"/>
                <w:u w:val="none"/>
                <w:lang w:val="en-US" w:eastAsia="zh-CN" w:bidi="ar"/>
              </w:rPr>
              <w:t>集中度</w:t>
            </w:r>
          </w:p>
        </w:tc>
        <w:tc>
          <w:tcPr>
            <w:tcW w:w="504" w:type="dxa"/>
            <w:noWrap w:val="0"/>
            <w:vAlign w:val="center"/>
          </w:tcPr>
          <w:p w14:paraId="361623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1"/>
                <w:szCs w:val="21"/>
                <w:highlight w:val="none"/>
                <w:u w:val="none"/>
                <w:lang w:val="en-US" w:eastAsia="zh-CN" w:bidi="ar-SA"/>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8</w:t>
            </w:r>
          </w:p>
        </w:tc>
        <w:tc>
          <w:tcPr>
            <w:tcW w:w="8992" w:type="dxa"/>
            <w:noWrap w:val="0"/>
            <w:vAlign w:val="center"/>
          </w:tcPr>
          <w:p w14:paraId="2AEF1B5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1.对单一承租人的全部融资租赁业务余额不超过净资产的20%得4分；对单一承租人的全部融资租赁业务余额为净资产的20%至30%（含）得2分；对单一承租人的全部融资租赁业务余额超过净资产的30%得0分。</w:t>
            </w:r>
          </w:p>
          <w:p w14:paraId="45A761F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2.对单一集团的全部融资租赁业务余额不超过净资产的40%得4分；对单一集团的全部融资租赁业务余额为净资产的40%至50%（含）得2分；对单一集团的全部融资租赁业务余额超过净资产的50%得0分。</w:t>
            </w:r>
          </w:p>
        </w:tc>
        <w:tc>
          <w:tcPr>
            <w:tcW w:w="705" w:type="dxa"/>
            <w:noWrap w:val="0"/>
            <w:vAlign w:val="top"/>
          </w:tcPr>
          <w:p w14:paraId="4913206A">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3A763E9F">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229D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1133" w:type="dxa"/>
            <w:vMerge w:val="continue"/>
            <w:noWrap w:val="0"/>
            <w:vAlign w:val="top"/>
          </w:tcPr>
          <w:p w14:paraId="73C83688">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p>
        </w:tc>
        <w:tc>
          <w:tcPr>
            <w:tcW w:w="1536" w:type="dxa"/>
            <w:noWrap w:val="0"/>
            <w:vAlign w:val="center"/>
          </w:tcPr>
          <w:p w14:paraId="6E5E8A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4"/>
                <w:szCs w:val="24"/>
                <w:highlight w:val="none"/>
                <w:u w:val="none"/>
                <w:lang w:val="en-US" w:eastAsia="zh-CN" w:bidi="ar-SA"/>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cs="Times New Roman"/>
                <w:b/>
                <w:bCs/>
                <w:i w:val="0"/>
                <w:iCs w:val="0"/>
                <w:color w:val="auto"/>
                <w:kern w:val="0"/>
                <w:sz w:val="24"/>
                <w:szCs w:val="24"/>
                <w:highlight w:val="none"/>
                <w:u w:val="none"/>
                <w:lang w:val="en-US" w:eastAsia="zh-CN" w:bidi="ar"/>
              </w:rPr>
              <w:t>20</w:t>
            </w: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b/>
                <w:bCs/>
                <w:i w:val="0"/>
                <w:iCs w:val="0"/>
                <w:color w:val="auto"/>
                <w:kern w:val="0"/>
                <w:sz w:val="24"/>
                <w:szCs w:val="24"/>
                <w:highlight w:val="none"/>
                <w:u w:val="none"/>
                <w:lang w:val="en-US" w:eastAsia="zh-CN" w:bidi="ar"/>
              </w:rPr>
              <w:t>拨备覆盖率</w:t>
            </w:r>
          </w:p>
        </w:tc>
        <w:tc>
          <w:tcPr>
            <w:tcW w:w="504" w:type="dxa"/>
            <w:noWrap w:val="0"/>
            <w:vAlign w:val="center"/>
          </w:tcPr>
          <w:p w14:paraId="5B488B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1"/>
                <w:szCs w:val="21"/>
                <w:highlight w:val="none"/>
                <w:u w:val="none"/>
                <w:lang w:val="en-US" w:eastAsia="zh-CN" w:bidi="ar-SA"/>
              </w:rPr>
            </w:pPr>
            <w:r>
              <w:rPr>
                <w:rFonts w:hint="default" w:ascii="Times New Roman" w:hAnsi="Times New Roman" w:cs="Times New Roman"/>
                <w:b/>
                <w:bCs/>
                <w:i w:val="0"/>
                <w:iCs w:val="0"/>
                <w:color w:val="auto"/>
                <w:kern w:val="0"/>
                <w:sz w:val="21"/>
                <w:szCs w:val="21"/>
                <w:highlight w:val="none"/>
                <w:u w:val="none"/>
                <w:lang w:val="en-US" w:eastAsia="zh-CN" w:bidi="ar"/>
              </w:rPr>
              <w:t>2</w:t>
            </w:r>
          </w:p>
        </w:tc>
        <w:tc>
          <w:tcPr>
            <w:tcW w:w="8992" w:type="dxa"/>
            <w:noWrap w:val="0"/>
            <w:vAlign w:val="center"/>
          </w:tcPr>
          <w:p w14:paraId="3258001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1.严格按照资产分类计提损失准备，一般风险损失准备年末余额不低于风险资产余额的1%得</w:t>
            </w:r>
            <w:r>
              <w:rPr>
                <w:rFonts w:hint="default" w:ascii="Times New Roman" w:hAnsi="Times New Roman" w:cs="Times New Roman"/>
                <w:i w:val="0"/>
                <w:iCs w:val="0"/>
                <w:color w:val="auto"/>
                <w:kern w:val="0"/>
                <w:sz w:val="21"/>
                <w:szCs w:val="21"/>
                <w:highlight w:val="none"/>
                <w:u w:val="none"/>
                <w:lang w:val="en-US" w:eastAsia="zh-CN" w:bidi="ar"/>
              </w:rPr>
              <w:t>2</w:t>
            </w:r>
            <w:r>
              <w:rPr>
                <w:rFonts w:hint="default" w:ascii="Times New Roman" w:hAnsi="Times New Roman" w:eastAsia="仿宋_GB2312" w:cs="Times New Roman"/>
                <w:i w:val="0"/>
                <w:iCs w:val="0"/>
                <w:color w:val="auto"/>
                <w:kern w:val="0"/>
                <w:sz w:val="21"/>
                <w:szCs w:val="21"/>
                <w:highlight w:val="none"/>
                <w:u w:val="none"/>
                <w:lang w:val="en-US" w:eastAsia="zh-CN" w:bidi="ar"/>
              </w:rPr>
              <w:t>分；</w:t>
            </w:r>
          </w:p>
          <w:p w14:paraId="580C998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2.不按照资产分类计提损失准备，但一般风险损失准备年末余额不低于风险资产余额的1%得1分；</w:t>
            </w:r>
          </w:p>
          <w:p w14:paraId="22A1A0E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3.未按照资产分类计提损失准备，且一般风险损失准备年末余额低于风险资产余额的1%得0分。</w:t>
            </w:r>
          </w:p>
        </w:tc>
        <w:tc>
          <w:tcPr>
            <w:tcW w:w="705" w:type="dxa"/>
            <w:noWrap w:val="0"/>
            <w:vAlign w:val="top"/>
          </w:tcPr>
          <w:p w14:paraId="5A60922A">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12CF7222">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16B7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1133" w:type="dxa"/>
            <w:vMerge w:val="continue"/>
            <w:noWrap w:val="0"/>
            <w:vAlign w:val="center"/>
          </w:tcPr>
          <w:p w14:paraId="43D419BF">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方正仿宋_GBK" w:cs="Times New Roman"/>
                <w:color w:val="auto"/>
                <w:sz w:val="28"/>
                <w:szCs w:val="28"/>
                <w:highlight w:val="none"/>
              </w:rPr>
            </w:pPr>
          </w:p>
        </w:tc>
        <w:tc>
          <w:tcPr>
            <w:tcW w:w="1536" w:type="dxa"/>
            <w:noWrap w:val="0"/>
            <w:vAlign w:val="center"/>
          </w:tcPr>
          <w:p w14:paraId="464329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4"/>
                <w:szCs w:val="24"/>
                <w:highlight w:val="none"/>
                <w:u w:val="none"/>
                <w:lang w:val="en-US" w:eastAsia="zh-CN" w:bidi="ar-SA"/>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cs="Times New Roman"/>
                <w:b/>
                <w:bCs/>
                <w:i w:val="0"/>
                <w:iCs w:val="0"/>
                <w:color w:val="auto"/>
                <w:kern w:val="0"/>
                <w:sz w:val="24"/>
                <w:szCs w:val="24"/>
                <w:highlight w:val="none"/>
                <w:u w:val="none"/>
                <w:lang w:val="en-US" w:eastAsia="zh-CN" w:bidi="ar"/>
              </w:rPr>
              <w:t>21</w:t>
            </w: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b/>
                <w:bCs/>
                <w:i w:val="0"/>
                <w:iCs w:val="0"/>
                <w:color w:val="auto"/>
                <w:kern w:val="0"/>
                <w:sz w:val="24"/>
                <w:szCs w:val="24"/>
                <w:highlight w:val="none"/>
                <w:u w:val="none"/>
                <w:lang w:val="en-US" w:eastAsia="zh-CN" w:bidi="ar"/>
              </w:rPr>
              <w:t>资本充足率</w:t>
            </w:r>
          </w:p>
        </w:tc>
        <w:tc>
          <w:tcPr>
            <w:tcW w:w="504" w:type="dxa"/>
            <w:noWrap w:val="0"/>
            <w:vAlign w:val="center"/>
          </w:tcPr>
          <w:p w14:paraId="438731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1"/>
                <w:szCs w:val="21"/>
                <w:highlight w:val="none"/>
                <w:u w:val="none"/>
                <w:lang w:val="en-US" w:eastAsia="zh-CN" w:bidi="ar-SA"/>
              </w:rPr>
            </w:pPr>
            <w:r>
              <w:rPr>
                <w:rFonts w:hint="default" w:ascii="Times New Roman" w:hAnsi="Times New Roman" w:cs="Times New Roman"/>
                <w:b/>
                <w:bCs/>
                <w:i w:val="0"/>
                <w:iCs w:val="0"/>
                <w:color w:val="auto"/>
                <w:kern w:val="0"/>
                <w:sz w:val="21"/>
                <w:szCs w:val="21"/>
                <w:highlight w:val="none"/>
                <w:u w:val="none"/>
                <w:lang w:val="en-US" w:eastAsia="zh-CN" w:bidi="ar"/>
              </w:rPr>
              <w:t>2</w:t>
            </w:r>
          </w:p>
        </w:tc>
        <w:tc>
          <w:tcPr>
            <w:tcW w:w="8992" w:type="dxa"/>
            <w:noWrap w:val="0"/>
            <w:vAlign w:val="center"/>
          </w:tcPr>
          <w:p w14:paraId="2F5A699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1.资本充足率12%以上得</w:t>
            </w:r>
            <w:r>
              <w:rPr>
                <w:rFonts w:hint="default" w:ascii="Times New Roman" w:hAnsi="Times New Roman" w:cs="Times New Roman"/>
                <w:i w:val="0"/>
                <w:iCs w:val="0"/>
                <w:color w:val="auto"/>
                <w:kern w:val="0"/>
                <w:sz w:val="21"/>
                <w:szCs w:val="21"/>
                <w:highlight w:val="none"/>
                <w:u w:val="none"/>
                <w:lang w:val="en-US" w:eastAsia="zh-CN" w:bidi="ar"/>
              </w:rPr>
              <w:t>2</w:t>
            </w:r>
            <w:r>
              <w:rPr>
                <w:rFonts w:hint="default" w:ascii="Times New Roman" w:hAnsi="Times New Roman" w:eastAsia="仿宋_GB2312" w:cs="Times New Roman"/>
                <w:i w:val="0"/>
                <w:iCs w:val="0"/>
                <w:color w:val="auto"/>
                <w:kern w:val="0"/>
                <w:sz w:val="21"/>
                <w:szCs w:val="21"/>
                <w:highlight w:val="none"/>
                <w:u w:val="none"/>
                <w:lang w:val="en-US" w:eastAsia="zh-CN" w:bidi="ar"/>
              </w:rPr>
              <w:t>分；</w:t>
            </w:r>
          </w:p>
          <w:p w14:paraId="1FBBDE9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2.资本充足率8%至12%（含）得1分；</w:t>
            </w:r>
          </w:p>
          <w:p w14:paraId="3E80028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3.资本充足率低于8%（含）得0分。</w:t>
            </w:r>
          </w:p>
        </w:tc>
        <w:tc>
          <w:tcPr>
            <w:tcW w:w="705" w:type="dxa"/>
            <w:noWrap w:val="0"/>
            <w:vAlign w:val="top"/>
          </w:tcPr>
          <w:p w14:paraId="303901DB">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742559C9">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211C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133" w:type="dxa"/>
            <w:noWrap w:val="0"/>
            <w:vAlign w:val="top"/>
          </w:tcPr>
          <w:p w14:paraId="1F8DD30C">
            <w:pPr>
              <w:keepNext w:val="0"/>
              <w:keepLines w:val="0"/>
              <w:pageBreakBefore w:val="0"/>
              <w:kinsoku/>
              <w:overflowPunct/>
              <w:topLinePunct w:val="0"/>
              <w:bidi w:val="0"/>
              <w:snapToGrid w:val="0"/>
              <w:spacing w:line="240" w:lineRule="auto"/>
              <w:ind w:left="0" w:leftChars="0" w:right="0" w:rightChars="0"/>
              <w:jc w:val="center"/>
              <w:textAlignment w:val="auto"/>
              <w:outlineLvl w:val="9"/>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四、</w:t>
            </w:r>
          </w:p>
          <w:p w14:paraId="75629E8C">
            <w:pPr>
              <w:keepNext w:val="0"/>
              <w:keepLines w:val="0"/>
              <w:pageBreakBefore w:val="0"/>
              <w:kinsoku/>
              <w:overflowPunct/>
              <w:topLinePunct w:val="0"/>
              <w:bidi w:val="0"/>
              <w:snapToGrid w:val="0"/>
              <w:spacing w:line="240" w:lineRule="auto"/>
              <w:ind w:left="0" w:leftChars="0" w:right="0" w:rightChars="0"/>
              <w:jc w:val="center"/>
              <w:textAlignment w:val="auto"/>
              <w:outlineLvl w:val="9"/>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经营</w:t>
            </w:r>
          </w:p>
          <w:p w14:paraId="1657906A">
            <w:pPr>
              <w:keepNext w:val="0"/>
              <w:keepLines w:val="0"/>
              <w:pageBreakBefore w:val="0"/>
              <w:kinsoku/>
              <w:overflowPunct/>
              <w:topLinePunct w:val="0"/>
              <w:bidi w:val="0"/>
              <w:snapToGrid w:val="0"/>
              <w:spacing w:line="240" w:lineRule="auto"/>
              <w:ind w:left="0" w:leftChars="0" w:right="0" w:rightChars="0"/>
              <w:jc w:val="center"/>
              <w:textAlignment w:val="auto"/>
              <w:outlineLvl w:val="9"/>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情况</w:t>
            </w:r>
          </w:p>
          <w:p w14:paraId="537B99DB">
            <w:pPr>
              <w:keepNext w:val="0"/>
              <w:keepLines w:val="0"/>
              <w:pageBreakBefore w:val="0"/>
              <w:kinsoku/>
              <w:overflowPunct/>
              <w:topLinePunct w:val="0"/>
              <w:bidi w:val="0"/>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sz w:val="28"/>
                <w:szCs w:val="28"/>
                <w:highlight w:val="none"/>
              </w:rPr>
            </w:pPr>
            <w:r>
              <w:rPr>
                <w:rFonts w:hint="default" w:ascii="Times New Roman" w:hAnsi="Times New Roman" w:eastAsia="黑体" w:cs="Times New Roman"/>
                <w:color w:val="auto"/>
                <w:sz w:val="24"/>
                <w:szCs w:val="24"/>
                <w:highlight w:val="none"/>
                <w:lang w:val="en-US" w:eastAsia="zh-CN"/>
              </w:rPr>
              <w:t>（25分）</w:t>
            </w:r>
          </w:p>
        </w:tc>
        <w:tc>
          <w:tcPr>
            <w:tcW w:w="1536" w:type="dxa"/>
            <w:noWrap w:val="0"/>
            <w:vAlign w:val="center"/>
          </w:tcPr>
          <w:p w14:paraId="0544CD17">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4"/>
                <w:szCs w:val="24"/>
                <w:highlight w:val="none"/>
                <w:u w:val="none"/>
                <w:lang w:val="en-US" w:eastAsia="zh-CN" w:bidi="ar-SA"/>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cs="Times New Roman"/>
                <w:b/>
                <w:bCs/>
                <w:i w:val="0"/>
                <w:iCs w:val="0"/>
                <w:color w:val="auto"/>
                <w:kern w:val="0"/>
                <w:sz w:val="24"/>
                <w:szCs w:val="24"/>
                <w:highlight w:val="none"/>
                <w:u w:val="none"/>
                <w:lang w:val="en-US" w:eastAsia="zh-CN" w:bidi="ar"/>
              </w:rPr>
              <w:t>22</w:t>
            </w: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b/>
                <w:bCs/>
                <w:i w:val="0"/>
                <w:iCs w:val="0"/>
                <w:color w:val="auto"/>
                <w:kern w:val="0"/>
                <w:sz w:val="24"/>
                <w:szCs w:val="24"/>
                <w:highlight w:val="none"/>
                <w:u w:val="none"/>
                <w:lang w:val="en-US" w:eastAsia="zh-CN" w:bidi="ar"/>
              </w:rPr>
              <w:t>注册资本</w:t>
            </w:r>
          </w:p>
        </w:tc>
        <w:tc>
          <w:tcPr>
            <w:tcW w:w="504" w:type="dxa"/>
            <w:noWrap w:val="0"/>
            <w:vAlign w:val="center"/>
          </w:tcPr>
          <w:p w14:paraId="21673BB6">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1"/>
                <w:szCs w:val="21"/>
                <w:highlight w:val="none"/>
                <w:u w:val="none"/>
                <w:lang w:val="en-US" w:eastAsia="zh-CN" w:bidi="ar-SA"/>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4</w:t>
            </w:r>
          </w:p>
        </w:tc>
        <w:tc>
          <w:tcPr>
            <w:tcW w:w="8992" w:type="dxa"/>
            <w:noWrap w:val="0"/>
            <w:vAlign w:val="center"/>
          </w:tcPr>
          <w:p w14:paraId="768B97A7">
            <w:pPr>
              <w:keepNext w:val="0"/>
              <w:keepLines w:val="0"/>
              <w:pageBreakBefore w:val="0"/>
              <w:widowControl/>
              <w:suppressLineNumbers w:val="0"/>
              <w:kinsoku/>
              <w:wordWrap/>
              <w:overflowPunct/>
              <w:topLinePunct w:val="0"/>
              <w:bidi w:val="0"/>
              <w:adjustRightInd/>
              <w:snapToGrid/>
              <w:spacing w:line="320" w:lineRule="exact"/>
              <w:jc w:val="left"/>
              <w:textAlignment w:val="center"/>
              <w:rPr>
                <w:rStyle w:val="72"/>
                <w:rFonts w:hint="default" w:ascii="Times New Roman" w:hAnsi="Times New Roman" w:cs="Times New Roman"/>
                <w:color w:val="auto"/>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1.注册资本金实缴10亿元（含）以上</w:t>
            </w:r>
            <w:r>
              <w:rPr>
                <w:rStyle w:val="71"/>
                <w:rFonts w:hint="default" w:ascii="Times New Roman" w:hAnsi="Times New Roman" w:cs="Times New Roman"/>
                <w:color w:val="auto"/>
                <w:highlight w:val="none"/>
                <w:lang w:val="en-US" w:eastAsia="zh-CN" w:bidi="ar"/>
              </w:rPr>
              <w:t>得4分</w:t>
            </w:r>
            <w:r>
              <w:rPr>
                <w:rStyle w:val="72"/>
                <w:rFonts w:hint="default" w:ascii="Times New Roman" w:hAnsi="Times New Roman" w:cs="Times New Roman"/>
                <w:color w:val="auto"/>
                <w:highlight w:val="none"/>
                <w:lang w:val="en-US" w:eastAsia="zh-CN" w:bidi="ar"/>
              </w:rPr>
              <w:t>；</w:t>
            </w:r>
          </w:p>
          <w:p w14:paraId="19AEF933">
            <w:pPr>
              <w:keepNext w:val="0"/>
              <w:keepLines w:val="0"/>
              <w:pageBreakBefore w:val="0"/>
              <w:widowControl/>
              <w:suppressLineNumbers w:val="0"/>
              <w:kinsoku/>
              <w:wordWrap/>
              <w:overflowPunct/>
              <w:topLinePunct w:val="0"/>
              <w:bidi w:val="0"/>
              <w:adjustRightInd/>
              <w:snapToGrid/>
              <w:spacing w:line="320" w:lineRule="exact"/>
              <w:jc w:val="left"/>
              <w:textAlignment w:val="center"/>
              <w:rPr>
                <w:rStyle w:val="72"/>
                <w:rFonts w:hint="default" w:ascii="Times New Roman" w:hAnsi="Times New Roman" w:cs="Times New Roman"/>
                <w:color w:val="auto"/>
                <w:highlight w:val="none"/>
                <w:lang w:val="en-US" w:eastAsia="zh-CN" w:bidi="ar"/>
              </w:rPr>
            </w:pPr>
            <w:r>
              <w:rPr>
                <w:rStyle w:val="72"/>
                <w:rFonts w:hint="default" w:ascii="Times New Roman" w:hAnsi="Times New Roman" w:cs="Times New Roman"/>
                <w:color w:val="auto"/>
                <w:highlight w:val="none"/>
                <w:lang w:val="en-US" w:eastAsia="zh-CN" w:bidi="ar"/>
              </w:rPr>
              <w:t>2.注册资本金实缴3亿元（含）至10亿元得2分；</w:t>
            </w:r>
          </w:p>
          <w:p w14:paraId="7149BAF4">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Style w:val="72"/>
                <w:rFonts w:hint="default" w:ascii="Times New Roman" w:hAnsi="Times New Roman" w:cs="Times New Roman"/>
                <w:color w:val="auto"/>
                <w:highlight w:val="none"/>
                <w:lang w:val="en-US" w:eastAsia="zh-CN" w:bidi="ar"/>
              </w:rPr>
              <w:t>3.注册资本金实缴1亿元（含）至3亿元得1分。</w:t>
            </w:r>
          </w:p>
        </w:tc>
        <w:tc>
          <w:tcPr>
            <w:tcW w:w="705" w:type="dxa"/>
            <w:noWrap w:val="0"/>
            <w:vAlign w:val="top"/>
          </w:tcPr>
          <w:p w14:paraId="160BF7AE">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5731D71A">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6105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133" w:type="dxa"/>
            <w:vMerge w:val="restart"/>
            <w:noWrap w:val="0"/>
            <w:vAlign w:val="center"/>
          </w:tcPr>
          <w:p w14:paraId="5E3BEB17">
            <w:pPr>
              <w:keepNext w:val="0"/>
              <w:keepLines w:val="0"/>
              <w:pageBreakBefore w:val="0"/>
              <w:kinsoku/>
              <w:overflowPunct/>
              <w:topLinePunct w:val="0"/>
              <w:bidi w:val="0"/>
              <w:snapToGrid w:val="0"/>
              <w:spacing w:line="240" w:lineRule="auto"/>
              <w:ind w:left="0" w:leftChars="0" w:right="0" w:rightChars="0"/>
              <w:jc w:val="center"/>
              <w:textAlignment w:val="auto"/>
              <w:outlineLvl w:val="9"/>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四、</w:t>
            </w:r>
          </w:p>
          <w:p w14:paraId="22E6E10E">
            <w:pPr>
              <w:keepNext w:val="0"/>
              <w:keepLines w:val="0"/>
              <w:pageBreakBefore w:val="0"/>
              <w:kinsoku/>
              <w:overflowPunct/>
              <w:topLinePunct w:val="0"/>
              <w:bidi w:val="0"/>
              <w:snapToGrid w:val="0"/>
              <w:spacing w:line="240" w:lineRule="auto"/>
              <w:ind w:left="0" w:leftChars="0" w:right="0" w:rightChars="0"/>
              <w:jc w:val="center"/>
              <w:textAlignment w:val="auto"/>
              <w:outlineLvl w:val="9"/>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经营</w:t>
            </w:r>
          </w:p>
          <w:p w14:paraId="0A6195AC">
            <w:pPr>
              <w:keepNext w:val="0"/>
              <w:keepLines w:val="0"/>
              <w:pageBreakBefore w:val="0"/>
              <w:kinsoku/>
              <w:overflowPunct/>
              <w:topLinePunct w:val="0"/>
              <w:bidi w:val="0"/>
              <w:snapToGrid w:val="0"/>
              <w:spacing w:line="240" w:lineRule="auto"/>
              <w:ind w:left="0" w:leftChars="0" w:right="0" w:rightChars="0"/>
              <w:jc w:val="center"/>
              <w:textAlignment w:val="auto"/>
              <w:outlineLvl w:val="9"/>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情况</w:t>
            </w:r>
          </w:p>
          <w:p w14:paraId="6ED30056">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方正仿宋_GBK" w:cs="Times New Roman"/>
                <w:color w:val="auto"/>
                <w:sz w:val="28"/>
                <w:szCs w:val="28"/>
                <w:highlight w:val="none"/>
              </w:rPr>
            </w:pPr>
            <w:r>
              <w:rPr>
                <w:rFonts w:hint="default" w:ascii="Times New Roman" w:hAnsi="Times New Roman" w:eastAsia="黑体" w:cs="Times New Roman"/>
                <w:color w:val="auto"/>
                <w:sz w:val="24"/>
                <w:szCs w:val="24"/>
                <w:highlight w:val="none"/>
                <w:lang w:val="en-US" w:eastAsia="zh-CN"/>
              </w:rPr>
              <w:t>（25分）</w:t>
            </w:r>
          </w:p>
        </w:tc>
        <w:tc>
          <w:tcPr>
            <w:tcW w:w="1536" w:type="dxa"/>
            <w:noWrap w:val="0"/>
            <w:vAlign w:val="center"/>
          </w:tcPr>
          <w:p w14:paraId="6E81CD5D">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4"/>
                <w:szCs w:val="24"/>
                <w:highlight w:val="none"/>
                <w:u w:val="none"/>
                <w:lang w:val="en-US" w:eastAsia="zh-CN" w:bidi="ar-SA"/>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cs="Times New Roman"/>
                <w:b/>
                <w:bCs/>
                <w:i w:val="0"/>
                <w:iCs w:val="0"/>
                <w:color w:val="auto"/>
                <w:kern w:val="0"/>
                <w:sz w:val="24"/>
                <w:szCs w:val="24"/>
                <w:highlight w:val="none"/>
                <w:u w:val="none"/>
                <w:lang w:val="en-US" w:eastAsia="zh-CN" w:bidi="ar"/>
              </w:rPr>
              <w:t>23</w:t>
            </w: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b/>
                <w:bCs/>
                <w:i w:val="0"/>
                <w:iCs w:val="0"/>
                <w:color w:val="auto"/>
                <w:kern w:val="0"/>
                <w:sz w:val="24"/>
                <w:szCs w:val="24"/>
                <w:highlight w:val="none"/>
                <w:u w:val="none"/>
                <w:lang w:val="en-US" w:eastAsia="zh-CN" w:bidi="ar"/>
              </w:rPr>
              <w:t>总资产规模</w:t>
            </w:r>
          </w:p>
        </w:tc>
        <w:tc>
          <w:tcPr>
            <w:tcW w:w="504" w:type="dxa"/>
            <w:noWrap w:val="0"/>
            <w:vAlign w:val="center"/>
          </w:tcPr>
          <w:p w14:paraId="1B73BD9F">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1"/>
                <w:szCs w:val="21"/>
                <w:highlight w:val="none"/>
                <w:u w:val="none"/>
                <w:lang w:val="en-US" w:eastAsia="zh-CN" w:bidi="ar-SA"/>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3</w:t>
            </w:r>
          </w:p>
        </w:tc>
        <w:tc>
          <w:tcPr>
            <w:tcW w:w="8992" w:type="dxa"/>
            <w:noWrap w:val="0"/>
            <w:vAlign w:val="center"/>
          </w:tcPr>
          <w:p w14:paraId="5675155B">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1.期末总资产大于100亿元（含）得3分；</w:t>
            </w:r>
          </w:p>
          <w:p w14:paraId="4AE8CA04">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2.期末总资产50亿元（含）至100亿元得2.5分；</w:t>
            </w:r>
          </w:p>
          <w:p w14:paraId="1BAFAB87">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3.期末总资产20亿元（含）至50亿元得2分；</w:t>
            </w:r>
          </w:p>
          <w:p w14:paraId="574358D5">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4.期末总资产10亿元（含）至20亿元得1.5分；</w:t>
            </w:r>
          </w:p>
          <w:p w14:paraId="1618B915">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5.期末总资产5亿元（含）至10亿元得1分；</w:t>
            </w:r>
          </w:p>
          <w:p w14:paraId="00D910E2">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6.期末总资产1.7亿元（含）至5亿元得0.5分；</w:t>
            </w:r>
          </w:p>
          <w:p w14:paraId="01445847">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7.期末总资产小于1.7亿元得0分。</w:t>
            </w:r>
          </w:p>
        </w:tc>
        <w:tc>
          <w:tcPr>
            <w:tcW w:w="705" w:type="dxa"/>
            <w:noWrap w:val="0"/>
            <w:vAlign w:val="top"/>
          </w:tcPr>
          <w:p w14:paraId="0565D1C3">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0B84C97A">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688A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133" w:type="dxa"/>
            <w:vMerge w:val="continue"/>
            <w:noWrap w:val="0"/>
            <w:vAlign w:val="top"/>
          </w:tcPr>
          <w:p w14:paraId="45BDDC12">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方正仿宋_GBK" w:cs="Times New Roman"/>
                <w:color w:val="auto"/>
                <w:sz w:val="28"/>
                <w:szCs w:val="28"/>
                <w:highlight w:val="none"/>
              </w:rPr>
            </w:pPr>
          </w:p>
        </w:tc>
        <w:tc>
          <w:tcPr>
            <w:tcW w:w="1536" w:type="dxa"/>
            <w:noWrap w:val="0"/>
            <w:vAlign w:val="center"/>
          </w:tcPr>
          <w:p w14:paraId="0060A6E6">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4"/>
                <w:szCs w:val="24"/>
                <w:highlight w:val="none"/>
                <w:u w:val="none"/>
                <w:lang w:val="en-US" w:eastAsia="zh-CN" w:bidi="ar-SA"/>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cs="Times New Roman"/>
                <w:b/>
                <w:bCs/>
                <w:i w:val="0"/>
                <w:iCs w:val="0"/>
                <w:color w:val="auto"/>
                <w:kern w:val="0"/>
                <w:sz w:val="24"/>
                <w:szCs w:val="24"/>
                <w:highlight w:val="none"/>
                <w:u w:val="none"/>
                <w:lang w:val="en-US" w:eastAsia="zh-CN" w:bidi="ar"/>
              </w:rPr>
              <w:t>24</w:t>
            </w: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b/>
                <w:bCs/>
                <w:i w:val="0"/>
                <w:iCs w:val="0"/>
                <w:color w:val="auto"/>
                <w:kern w:val="0"/>
                <w:sz w:val="24"/>
                <w:szCs w:val="24"/>
                <w:highlight w:val="none"/>
                <w:u w:val="none"/>
                <w:lang w:val="en-US" w:eastAsia="zh-CN" w:bidi="ar"/>
              </w:rPr>
              <w:t>资产负债率</w:t>
            </w:r>
          </w:p>
        </w:tc>
        <w:tc>
          <w:tcPr>
            <w:tcW w:w="504" w:type="dxa"/>
            <w:noWrap w:val="0"/>
            <w:vAlign w:val="center"/>
          </w:tcPr>
          <w:p w14:paraId="6C9ECBC9">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1"/>
                <w:szCs w:val="21"/>
                <w:highlight w:val="none"/>
                <w:u w:val="none"/>
                <w:lang w:val="en-US" w:eastAsia="zh-CN" w:bidi="ar-SA"/>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3</w:t>
            </w:r>
          </w:p>
        </w:tc>
        <w:tc>
          <w:tcPr>
            <w:tcW w:w="8992" w:type="dxa"/>
            <w:noWrap w:val="0"/>
            <w:vAlign w:val="center"/>
          </w:tcPr>
          <w:p w14:paraId="78CC7A41">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1.资产负债率小于80%（含）得3分；</w:t>
            </w:r>
          </w:p>
          <w:p w14:paraId="474CF380">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2.资产负债率80%至90%（含）得1.5分；</w:t>
            </w:r>
          </w:p>
          <w:p w14:paraId="4CFB4FDB">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3.资产负债率90%以上得0分。</w:t>
            </w:r>
          </w:p>
        </w:tc>
        <w:tc>
          <w:tcPr>
            <w:tcW w:w="705" w:type="dxa"/>
            <w:noWrap w:val="0"/>
            <w:vAlign w:val="top"/>
          </w:tcPr>
          <w:p w14:paraId="782D3823">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71A82CB9">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04C2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133" w:type="dxa"/>
            <w:vMerge w:val="continue"/>
            <w:noWrap w:val="0"/>
            <w:vAlign w:val="top"/>
          </w:tcPr>
          <w:p w14:paraId="47B09219">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方正仿宋_GBK" w:cs="Times New Roman"/>
                <w:color w:val="auto"/>
                <w:sz w:val="28"/>
                <w:szCs w:val="28"/>
                <w:highlight w:val="none"/>
              </w:rPr>
            </w:pPr>
          </w:p>
        </w:tc>
        <w:tc>
          <w:tcPr>
            <w:tcW w:w="1536" w:type="dxa"/>
            <w:noWrap w:val="0"/>
            <w:vAlign w:val="center"/>
          </w:tcPr>
          <w:p w14:paraId="09AA45D6">
            <w:pPr>
              <w:keepNext w:val="0"/>
              <w:keepLines w:val="0"/>
              <w:pageBreakBefore w:val="0"/>
              <w:widowControl/>
              <w:numPr>
                <w:ilvl w:val="0"/>
                <w:numId w:val="0"/>
              </w:numPr>
              <w:suppressLineNumbers w:val="0"/>
              <w:kinsoku/>
              <w:wordWrap/>
              <w:overflowPunct/>
              <w:topLinePunct w:val="0"/>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2"/>
                <w:sz w:val="24"/>
                <w:szCs w:val="24"/>
                <w:highlight w:val="none"/>
                <w:lang w:val="en-US" w:eastAsia="zh-CN" w:bidi="ar-SA"/>
              </w:rPr>
              <w:t>（</w:t>
            </w:r>
            <w:r>
              <w:rPr>
                <w:rFonts w:hint="default" w:ascii="Times New Roman" w:hAnsi="Times New Roman" w:cs="Times New Roman"/>
                <w:b/>
                <w:bCs/>
                <w:i w:val="0"/>
                <w:iCs w:val="0"/>
                <w:color w:val="auto"/>
                <w:kern w:val="2"/>
                <w:sz w:val="24"/>
                <w:szCs w:val="24"/>
                <w:highlight w:val="none"/>
                <w:lang w:val="en-US" w:eastAsia="zh-CN" w:bidi="ar-SA"/>
              </w:rPr>
              <w:t>25</w:t>
            </w:r>
            <w:r>
              <w:rPr>
                <w:rFonts w:hint="default" w:ascii="Times New Roman" w:hAnsi="Times New Roman" w:eastAsia="仿宋_GB2312" w:cs="Times New Roman"/>
                <w:b/>
                <w:bCs/>
                <w:i w:val="0"/>
                <w:iCs w:val="0"/>
                <w:color w:val="auto"/>
                <w:kern w:val="2"/>
                <w:sz w:val="24"/>
                <w:szCs w:val="24"/>
                <w:highlight w:val="none"/>
                <w:lang w:val="en-US" w:eastAsia="zh-CN" w:bidi="ar-SA"/>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b/>
                <w:bCs/>
                <w:i w:val="0"/>
                <w:iCs w:val="0"/>
                <w:color w:val="auto"/>
                <w:kern w:val="0"/>
                <w:sz w:val="24"/>
                <w:szCs w:val="24"/>
                <w:highlight w:val="none"/>
                <w:u w:val="none"/>
                <w:lang w:val="en-US" w:eastAsia="zh-CN" w:bidi="ar"/>
              </w:rPr>
              <w:t>主营业务</w:t>
            </w:r>
          </w:p>
          <w:p w14:paraId="59597DBE">
            <w:pPr>
              <w:keepNext w:val="0"/>
              <w:keepLines w:val="0"/>
              <w:pageBreakBefore w:val="0"/>
              <w:widowControl/>
              <w:numPr>
                <w:ilvl w:val="0"/>
                <w:numId w:val="0"/>
              </w:numPr>
              <w:suppressLineNumbers w:val="0"/>
              <w:kinsoku/>
              <w:wordWrap/>
              <w:overflowPunct/>
              <w:topLinePunct w:val="0"/>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4"/>
                <w:szCs w:val="24"/>
                <w:highlight w:val="none"/>
                <w:u w:val="none"/>
                <w:lang w:val="en-US" w:eastAsia="zh-CN" w:bidi="ar-SA"/>
              </w:rPr>
            </w:pPr>
            <w:r>
              <w:rPr>
                <w:rFonts w:hint="default" w:ascii="Times New Roman" w:hAnsi="Times New Roman" w:cs="Times New Roman"/>
                <w:b/>
                <w:bCs/>
                <w:i w:val="0"/>
                <w:iCs w:val="0"/>
                <w:color w:val="auto"/>
                <w:kern w:val="0"/>
                <w:sz w:val="24"/>
                <w:szCs w:val="24"/>
                <w:highlight w:val="none"/>
                <w:u w:val="none"/>
                <w:lang w:val="en-US" w:eastAsia="zh-CN" w:bidi="ar"/>
              </w:rPr>
              <w:t>比</w:t>
            </w:r>
            <w:r>
              <w:rPr>
                <w:rFonts w:hint="default" w:ascii="Times New Roman" w:hAnsi="Times New Roman" w:eastAsia="仿宋_GB2312" w:cs="Times New Roman"/>
                <w:b/>
                <w:bCs/>
                <w:i w:val="0"/>
                <w:iCs w:val="0"/>
                <w:color w:val="auto"/>
                <w:kern w:val="0"/>
                <w:sz w:val="24"/>
                <w:szCs w:val="24"/>
                <w:highlight w:val="none"/>
                <w:u w:val="none"/>
                <w:lang w:val="en-US" w:eastAsia="zh-CN" w:bidi="ar"/>
              </w:rPr>
              <w:t>重</w:t>
            </w:r>
          </w:p>
        </w:tc>
        <w:tc>
          <w:tcPr>
            <w:tcW w:w="504" w:type="dxa"/>
            <w:noWrap w:val="0"/>
            <w:vAlign w:val="center"/>
          </w:tcPr>
          <w:p w14:paraId="4B41AB4F">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1"/>
                <w:szCs w:val="21"/>
                <w:highlight w:val="none"/>
                <w:u w:val="none"/>
                <w:lang w:val="en-US" w:eastAsia="zh-CN" w:bidi="ar-SA"/>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2</w:t>
            </w:r>
          </w:p>
        </w:tc>
        <w:tc>
          <w:tcPr>
            <w:tcW w:w="8992" w:type="dxa"/>
            <w:noWrap w:val="0"/>
            <w:vAlign w:val="center"/>
          </w:tcPr>
          <w:p w14:paraId="3BCDC837">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1.融资租赁和其他租赁资产比重占总资产大于80%（含）得2分；</w:t>
            </w:r>
          </w:p>
          <w:p w14:paraId="57E63834">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2.融资租赁和其他租赁资产比重占总资产70%（含）至80%得1.5分；</w:t>
            </w:r>
          </w:p>
          <w:p w14:paraId="1DD0F83C">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3.融资租赁和其他租赁资产比重占总资产60%（含）至70%得1分；</w:t>
            </w:r>
          </w:p>
          <w:p w14:paraId="1D0311A7">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4.融资租赁和其他租赁资产比重占总资产小于60%得0分。</w:t>
            </w:r>
          </w:p>
        </w:tc>
        <w:tc>
          <w:tcPr>
            <w:tcW w:w="705" w:type="dxa"/>
            <w:noWrap w:val="0"/>
            <w:vAlign w:val="top"/>
          </w:tcPr>
          <w:p w14:paraId="6AD76B87">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2DCE219D">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5443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133" w:type="dxa"/>
            <w:vMerge w:val="continue"/>
            <w:noWrap w:val="0"/>
            <w:vAlign w:val="top"/>
          </w:tcPr>
          <w:p w14:paraId="2843E98F">
            <w:pPr>
              <w:pStyle w:val="2"/>
              <w:rPr>
                <w:rFonts w:hint="default" w:ascii="Times New Roman" w:hAnsi="Times New Roman" w:cs="Times New Roman"/>
                <w:color w:val="auto"/>
                <w:highlight w:val="none"/>
              </w:rPr>
            </w:pPr>
          </w:p>
        </w:tc>
        <w:tc>
          <w:tcPr>
            <w:tcW w:w="1536" w:type="dxa"/>
            <w:noWrap w:val="0"/>
            <w:vAlign w:val="center"/>
          </w:tcPr>
          <w:p w14:paraId="025B239B">
            <w:pPr>
              <w:keepNext w:val="0"/>
              <w:keepLines w:val="0"/>
              <w:pageBreakBefore w:val="0"/>
              <w:widowControl/>
              <w:numPr>
                <w:ilvl w:val="0"/>
                <w:numId w:val="0"/>
              </w:numPr>
              <w:suppressLineNumbers w:val="0"/>
              <w:kinsoku/>
              <w:wordWrap/>
              <w:overflowPunct/>
              <w:topLinePunct w:val="0"/>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2"/>
                <w:sz w:val="24"/>
                <w:szCs w:val="24"/>
                <w:highlight w:val="none"/>
                <w:lang w:val="en-US" w:eastAsia="zh-CN" w:bidi="ar-SA"/>
              </w:rPr>
              <w:t>（</w:t>
            </w:r>
            <w:r>
              <w:rPr>
                <w:rFonts w:hint="default" w:ascii="Times New Roman" w:hAnsi="Times New Roman" w:cs="Times New Roman"/>
                <w:b/>
                <w:bCs/>
                <w:i w:val="0"/>
                <w:iCs w:val="0"/>
                <w:color w:val="auto"/>
                <w:kern w:val="2"/>
                <w:sz w:val="24"/>
                <w:szCs w:val="24"/>
                <w:highlight w:val="none"/>
                <w:lang w:val="en-US" w:eastAsia="zh-CN" w:bidi="ar-SA"/>
              </w:rPr>
              <w:t>26</w:t>
            </w:r>
            <w:r>
              <w:rPr>
                <w:rFonts w:hint="default" w:ascii="Times New Roman" w:hAnsi="Times New Roman" w:eastAsia="仿宋_GB2312" w:cs="Times New Roman"/>
                <w:b/>
                <w:bCs/>
                <w:i w:val="0"/>
                <w:iCs w:val="0"/>
                <w:color w:val="auto"/>
                <w:kern w:val="2"/>
                <w:sz w:val="24"/>
                <w:szCs w:val="24"/>
                <w:highlight w:val="none"/>
                <w:lang w:val="en-US" w:eastAsia="zh-CN" w:bidi="ar-SA"/>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b/>
                <w:bCs/>
                <w:i w:val="0"/>
                <w:iCs w:val="0"/>
                <w:color w:val="auto"/>
                <w:kern w:val="0"/>
                <w:sz w:val="24"/>
                <w:szCs w:val="24"/>
                <w:highlight w:val="none"/>
                <w:u w:val="none"/>
                <w:lang w:val="en-US" w:eastAsia="zh-CN" w:bidi="ar"/>
              </w:rPr>
              <w:t>直租业务</w:t>
            </w:r>
          </w:p>
          <w:p w14:paraId="5CAEC1DA">
            <w:pPr>
              <w:keepNext w:val="0"/>
              <w:keepLines w:val="0"/>
              <w:pageBreakBefore w:val="0"/>
              <w:widowControl/>
              <w:numPr>
                <w:ilvl w:val="0"/>
                <w:numId w:val="0"/>
              </w:numPr>
              <w:suppressLineNumbers w:val="0"/>
              <w:kinsoku/>
              <w:wordWrap/>
              <w:overflowPunct/>
              <w:topLinePunct w:val="0"/>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b/>
                <w:bCs/>
                <w:i w:val="0"/>
                <w:iCs w:val="0"/>
                <w:color w:val="auto"/>
                <w:kern w:val="2"/>
                <w:sz w:val="24"/>
                <w:szCs w:val="24"/>
                <w:highlight w:val="none"/>
                <w:u w:val="none"/>
                <w:lang w:val="en-US" w:eastAsia="zh-CN" w:bidi="ar-SA"/>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比重</w:t>
            </w:r>
          </w:p>
        </w:tc>
        <w:tc>
          <w:tcPr>
            <w:tcW w:w="504" w:type="dxa"/>
            <w:noWrap w:val="0"/>
            <w:vAlign w:val="center"/>
          </w:tcPr>
          <w:p w14:paraId="6BCA4CB7">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1"/>
                <w:szCs w:val="21"/>
                <w:highlight w:val="none"/>
                <w:u w:val="none"/>
                <w:lang w:val="en-US" w:eastAsia="zh-CN" w:bidi="ar-SA"/>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1</w:t>
            </w:r>
          </w:p>
        </w:tc>
        <w:tc>
          <w:tcPr>
            <w:tcW w:w="8992" w:type="dxa"/>
            <w:noWrap w:val="0"/>
            <w:vAlign w:val="center"/>
          </w:tcPr>
          <w:p w14:paraId="4392446E">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1.直租业务资产占租赁资产比重大于50%（含）得1分；</w:t>
            </w:r>
          </w:p>
          <w:p w14:paraId="4DC5B665">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2.直租业务资产占租赁资产比重小于50%（含）得0分。</w:t>
            </w:r>
          </w:p>
        </w:tc>
        <w:tc>
          <w:tcPr>
            <w:tcW w:w="705" w:type="dxa"/>
            <w:noWrap w:val="0"/>
            <w:vAlign w:val="top"/>
          </w:tcPr>
          <w:p w14:paraId="04CF8F7D">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48E04542">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3C23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133" w:type="dxa"/>
            <w:vMerge w:val="continue"/>
            <w:noWrap w:val="0"/>
            <w:vAlign w:val="top"/>
          </w:tcPr>
          <w:p w14:paraId="1F9FBE29">
            <w:pPr>
              <w:pStyle w:val="2"/>
              <w:rPr>
                <w:rFonts w:hint="default" w:ascii="Times New Roman" w:hAnsi="Times New Roman" w:cs="Times New Roman"/>
                <w:color w:val="auto"/>
                <w:highlight w:val="none"/>
              </w:rPr>
            </w:pPr>
          </w:p>
        </w:tc>
        <w:tc>
          <w:tcPr>
            <w:tcW w:w="1536" w:type="dxa"/>
            <w:noWrap w:val="0"/>
            <w:vAlign w:val="center"/>
          </w:tcPr>
          <w:p w14:paraId="14629974">
            <w:pPr>
              <w:keepNext w:val="0"/>
              <w:keepLines w:val="0"/>
              <w:pageBreakBefore w:val="0"/>
              <w:widowControl/>
              <w:numPr>
                <w:ilvl w:val="0"/>
                <w:numId w:val="0"/>
              </w:numPr>
              <w:suppressLineNumbers w:val="0"/>
              <w:kinsoku/>
              <w:wordWrap/>
              <w:overflowPunct/>
              <w:topLinePunct w:val="0"/>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2"/>
                <w:sz w:val="24"/>
                <w:szCs w:val="24"/>
                <w:highlight w:val="none"/>
                <w:lang w:val="en-US" w:eastAsia="zh-CN" w:bidi="ar-SA"/>
              </w:rPr>
              <w:t>（</w:t>
            </w:r>
            <w:r>
              <w:rPr>
                <w:rFonts w:hint="default" w:ascii="Times New Roman" w:hAnsi="Times New Roman" w:cs="Times New Roman"/>
                <w:b/>
                <w:bCs/>
                <w:i w:val="0"/>
                <w:iCs w:val="0"/>
                <w:color w:val="auto"/>
                <w:kern w:val="2"/>
                <w:sz w:val="24"/>
                <w:szCs w:val="24"/>
                <w:highlight w:val="none"/>
                <w:lang w:val="en-US" w:eastAsia="zh-CN" w:bidi="ar-SA"/>
              </w:rPr>
              <w:t>27</w:t>
            </w:r>
            <w:r>
              <w:rPr>
                <w:rFonts w:hint="default" w:ascii="Times New Roman" w:hAnsi="Times New Roman" w:eastAsia="仿宋_GB2312" w:cs="Times New Roman"/>
                <w:b/>
                <w:bCs/>
                <w:i w:val="0"/>
                <w:iCs w:val="0"/>
                <w:color w:val="auto"/>
                <w:kern w:val="2"/>
                <w:sz w:val="24"/>
                <w:szCs w:val="24"/>
                <w:highlight w:val="none"/>
                <w:lang w:val="en-US" w:eastAsia="zh-CN" w:bidi="ar-SA"/>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b/>
                <w:bCs/>
                <w:i w:val="0"/>
                <w:iCs w:val="0"/>
                <w:color w:val="auto"/>
                <w:kern w:val="0"/>
                <w:sz w:val="24"/>
                <w:szCs w:val="24"/>
                <w:highlight w:val="none"/>
                <w:u w:val="none"/>
                <w:lang w:val="en-US" w:eastAsia="zh-CN" w:bidi="ar"/>
              </w:rPr>
              <w:t>风险资产</w:t>
            </w:r>
          </w:p>
          <w:p w14:paraId="1F77E217">
            <w:pPr>
              <w:keepNext w:val="0"/>
              <w:keepLines w:val="0"/>
              <w:pageBreakBefore w:val="0"/>
              <w:widowControl/>
              <w:numPr>
                <w:ilvl w:val="0"/>
                <w:numId w:val="0"/>
              </w:numPr>
              <w:suppressLineNumbers w:val="0"/>
              <w:kinsoku/>
              <w:wordWrap/>
              <w:overflowPunct/>
              <w:topLinePunct w:val="0"/>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4"/>
                <w:szCs w:val="24"/>
                <w:highlight w:val="none"/>
                <w:u w:val="none"/>
                <w:lang w:val="en-US" w:eastAsia="zh-CN" w:bidi="ar-SA"/>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比重</w:t>
            </w:r>
          </w:p>
        </w:tc>
        <w:tc>
          <w:tcPr>
            <w:tcW w:w="504" w:type="dxa"/>
            <w:noWrap w:val="0"/>
            <w:vAlign w:val="center"/>
          </w:tcPr>
          <w:p w14:paraId="11305E85">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1"/>
                <w:szCs w:val="21"/>
                <w:highlight w:val="none"/>
                <w:u w:val="none"/>
                <w:lang w:val="en-US" w:eastAsia="zh-CN" w:bidi="ar-SA"/>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3</w:t>
            </w:r>
          </w:p>
        </w:tc>
        <w:tc>
          <w:tcPr>
            <w:tcW w:w="8992" w:type="dxa"/>
            <w:noWrap w:val="0"/>
            <w:vAlign w:val="center"/>
          </w:tcPr>
          <w:p w14:paraId="12D0370E">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1.风险资产总额不超过净资产的7倍得3分；</w:t>
            </w:r>
          </w:p>
          <w:p w14:paraId="646CAB1E">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2.风险资产总额超过净资产的7至8倍得1.5分；</w:t>
            </w:r>
          </w:p>
          <w:p w14:paraId="6F2A04EF">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3.风险资产总额超过净资产的8倍的0分。</w:t>
            </w:r>
          </w:p>
        </w:tc>
        <w:tc>
          <w:tcPr>
            <w:tcW w:w="705" w:type="dxa"/>
            <w:noWrap w:val="0"/>
            <w:vAlign w:val="top"/>
          </w:tcPr>
          <w:p w14:paraId="16E10B22">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16C9E5D9">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7439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133" w:type="dxa"/>
            <w:vMerge w:val="continue"/>
            <w:noWrap w:val="0"/>
            <w:vAlign w:val="top"/>
          </w:tcPr>
          <w:p w14:paraId="0957E7D4">
            <w:pPr>
              <w:pStyle w:val="2"/>
              <w:rPr>
                <w:rFonts w:hint="default" w:ascii="Times New Roman" w:hAnsi="Times New Roman" w:cs="Times New Roman"/>
                <w:color w:val="auto"/>
                <w:highlight w:val="none"/>
              </w:rPr>
            </w:pPr>
          </w:p>
        </w:tc>
        <w:tc>
          <w:tcPr>
            <w:tcW w:w="1536" w:type="dxa"/>
            <w:noWrap w:val="0"/>
            <w:vAlign w:val="center"/>
          </w:tcPr>
          <w:p w14:paraId="7A5D3E4F">
            <w:pPr>
              <w:keepNext w:val="0"/>
              <w:keepLines w:val="0"/>
              <w:pageBreakBefore w:val="0"/>
              <w:widowControl/>
              <w:numPr>
                <w:ilvl w:val="0"/>
                <w:numId w:val="0"/>
              </w:numPr>
              <w:suppressLineNumbers w:val="0"/>
              <w:kinsoku/>
              <w:wordWrap/>
              <w:overflowPunct/>
              <w:topLinePunct w:val="0"/>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2"/>
                <w:sz w:val="24"/>
                <w:szCs w:val="24"/>
                <w:highlight w:val="none"/>
                <w:lang w:val="en-US" w:eastAsia="zh-CN" w:bidi="ar-SA"/>
              </w:rPr>
              <w:t>（</w:t>
            </w:r>
            <w:r>
              <w:rPr>
                <w:rFonts w:hint="default" w:ascii="Times New Roman" w:hAnsi="Times New Roman" w:cs="Times New Roman"/>
                <w:b/>
                <w:bCs/>
                <w:i w:val="0"/>
                <w:iCs w:val="0"/>
                <w:color w:val="auto"/>
                <w:kern w:val="2"/>
                <w:sz w:val="24"/>
                <w:szCs w:val="24"/>
                <w:highlight w:val="none"/>
                <w:lang w:val="en-US" w:eastAsia="zh-CN" w:bidi="ar-SA"/>
              </w:rPr>
              <w:t>28</w:t>
            </w:r>
            <w:r>
              <w:rPr>
                <w:rFonts w:hint="default" w:ascii="Times New Roman" w:hAnsi="Times New Roman" w:eastAsia="仿宋_GB2312" w:cs="Times New Roman"/>
                <w:b/>
                <w:bCs/>
                <w:i w:val="0"/>
                <w:iCs w:val="0"/>
                <w:color w:val="auto"/>
                <w:kern w:val="2"/>
                <w:sz w:val="24"/>
                <w:szCs w:val="24"/>
                <w:highlight w:val="none"/>
                <w:lang w:val="en-US" w:eastAsia="zh-CN" w:bidi="ar-SA"/>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b/>
                <w:bCs/>
                <w:i w:val="0"/>
                <w:iCs w:val="0"/>
                <w:color w:val="auto"/>
                <w:kern w:val="0"/>
                <w:sz w:val="24"/>
                <w:szCs w:val="24"/>
                <w:highlight w:val="none"/>
                <w:u w:val="none"/>
                <w:lang w:val="en-US" w:eastAsia="zh-CN" w:bidi="ar"/>
              </w:rPr>
              <w:t>固收投资</w:t>
            </w:r>
          </w:p>
          <w:p w14:paraId="01B44746">
            <w:pPr>
              <w:keepNext w:val="0"/>
              <w:keepLines w:val="0"/>
              <w:pageBreakBefore w:val="0"/>
              <w:widowControl/>
              <w:numPr>
                <w:ilvl w:val="0"/>
                <w:numId w:val="0"/>
              </w:numPr>
              <w:suppressLineNumbers w:val="0"/>
              <w:kinsoku/>
              <w:wordWrap/>
              <w:overflowPunct/>
              <w:topLinePunct w:val="0"/>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b/>
                <w:bCs/>
                <w:i w:val="0"/>
                <w:iCs w:val="0"/>
                <w:color w:val="auto"/>
                <w:kern w:val="2"/>
                <w:sz w:val="24"/>
                <w:szCs w:val="24"/>
                <w:highlight w:val="none"/>
                <w:u w:val="none"/>
                <w:lang w:val="en-US" w:eastAsia="zh-CN" w:bidi="ar-SA"/>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比重</w:t>
            </w:r>
          </w:p>
        </w:tc>
        <w:tc>
          <w:tcPr>
            <w:tcW w:w="504" w:type="dxa"/>
            <w:noWrap w:val="0"/>
            <w:vAlign w:val="center"/>
          </w:tcPr>
          <w:p w14:paraId="30C55B13">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1"/>
                <w:szCs w:val="21"/>
                <w:highlight w:val="none"/>
                <w:u w:val="none"/>
                <w:lang w:val="en-US" w:eastAsia="zh-CN" w:bidi="ar-SA"/>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2</w:t>
            </w:r>
          </w:p>
        </w:tc>
        <w:tc>
          <w:tcPr>
            <w:tcW w:w="8992" w:type="dxa"/>
            <w:noWrap w:val="0"/>
            <w:vAlign w:val="center"/>
          </w:tcPr>
          <w:p w14:paraId="404AC059">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1.固定收益类证券投资资产比重不超过净资产的10%得2分；</w:t>
            </w:r>
          </w:p>
          <w:p w14:paraId="4FFD4A99">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2.固定收益类证券投资资产比重超过净资产的10%至20%得1分；</w:t>
            </w:r>
          </w:p>
          <w:p w14:paraId="70560088">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3.固定收益类证券投资资产比重超过净资产的20%得0分。</w:t>
            </w:r>
          </w:p>
        </w:tc>
        <w:tc>
          <w:tcPr>
            <w:tcW w:w="705" w:type="dxa"/>
            <w:noWrap w:val="0"/>
            <w:vAlign w:val="top"/>
          </w:tcPr>
          <w:p w14:paraId="22E29090">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7C228438">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3A54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133" w:type="dxa"/>
            <w:vMerge w:val="restart"/>
            <w:noWrap w:val="0"/>
            <w:vAlign w:val="center"/>
          </w:tcPr>
          <w:p w14:paraId="0409432A">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四、</w:t>
            </w:r>
          </w:p>
          <w:p w14:paraId="117F08B9">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经营</w:t>
            </w:r>
          </w:p>
          <w:p w14:paraId="138BBAFC">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情况</w:t>
            </w:r>
          </w:p>
          <w:p w14:paraId="43ABB483">
            <w:pPr>
              <w:keepNext w:val="0"/>
              <w:keepLines w:val="0"/>
              <w:pageBreakBefore w:val="0"/>
              <w:kinsoku/>
              <w:overflowPunct/>
              <w:topLinePunct w:val="0"/>
              <w:bidi w:val="0"/>
              <w:snapToGrid w:val="0"/>
              <w:spacing w:line="240" w:lineRule="auto"/>
              <w:ind w:left="0" w:leftChars="0" w:right="0" w:rightChars="0"/>
              <w:jc w:val="center"/>
              <w:textAlignment w:val="auto"/>
              <w:outlineLvl w:val="9"/>
              <w:rPr>
                <w:rFonts w:hint="default" w:ascii="Times New Roman" w:hAnsi="Times New Roman" w:cs="Times New Roman"/>
                <w:color w:val="auto"/>
                <w:highlight w:val="none"/>
              </w:rPr>
            </w:pPr>
            <w:r>
              <w:rPr>
                <w:rFonts w:hint="default" w:ascii="Times New Roman" w:hAnsi="Times New Roman" w:eastAsia="黑体" w:cs="Times New Roman"/>
                <w:color w:val="auto"/>
                <w:sz w:val="24"/>
                <w:szCs w:val="24"/>
                <w:highlight w:val="none"/>
                <w:lang w:val="en-US" w:eastAsia="zh-CN"/>
              </w:rPr>
              <w:t>（25分）</w:t>
            </w:r>
          </w:p>
        </w:tc>
        <w:tc>
          <w:tcPr>
            <w:tcW w:w="1536" w:type="dxa"/>
            <w:noWrap w:val="0"/>
            <w:vAlign w:val="center"/>
          </w:tcPr>
          <w:p w14:paraId="39406F1E">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4"/>
                <w:szCs w:val="24"/>
                <w:highlight w:val="none"/>
                <w:u w:val="none"/>
                <w:lang w:val="en-US" w:eastAsia="zh-CN" w:bidi="ar-SA"/>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cs="Times New Roman"/>
                <w:b/>
                <w:bCs/>
                <w:i w:val="0"/>
                <w:iCs w:val="0"/>
                <w:color w:val="auto"/>
                <w:kern w:val="0"/>
                <w:sz w:val="24"/>
                <w:szCs w:val="24"/>
                <w:highlight w:val="none"/>
                <w:u w:val="none"/>
                <w:lang w:val="en-US" w:eastAsia="zh-CN" w:bidi="ar"/>
              </w:rPr>
              <w:t>29</w:t>
            </w: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b/>
                <w:bCs/>
                <w:i w:val="0"/>
                <w:iCs w:val="0"/>
                <w:color w:val="auto"/>
                <w:kern w:val="0"/>
                <w:sz w:val="24"/>
                <w:szCs w:val="24"/>
                <w:highlight w:val="none"/>
                <w:u w:val="none"/>
                <w:lang w:val="en-US" w:eastAsia="zh-CN" w:bidi="ar"/>
              </w:rPr>
              <w:t>不良资产率</w:t>
            </w:r>
          </w:p>
        </w:tc>
        <w:tc>
          <w:tcPr>
            <w:tcW w:w="504" w:type="dxa"/>
            <w:noWrap w:val="0"/>
            <w:vAlign w:val="center"/>
          </w:tcPr>
          <w:p w14:paraId="70B95D6A">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1"/>
                <w:szCs w:val="21"/>
                <w:highlight w:val="none"/>
                <w:u w:val="none"/>
                <w:lang w:val="en-US" w:eastAsia="zh-CN" w:bidi="ar-SA"/>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5</w:t>
            </w:r>
          </w:p>
        </w:tc>
        <w:tc>
          <w:tcPr>
            <w:tcW w:w="8992" w:type="dxa"/>
            <w:noWrap w:val="0"/>
            <w:vAlign w:val="center"/>
          </w:tcPr>
          <w:p w14:paraId="57AB55BA">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1.年不良资产率小于2.5%（含）得5分；</w:t>
            </w:r>
          </w:p>
          <w:p w14:paraId="1BB3AD0F">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2.年不良资产率2.5%至3%（含）得3分；</w:t>
            </w:r>
          </w:p>
          <w:p w14:paraId="2D5FF915">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3.年不良资产率3%至5%（含）得1分；</w:t>
            </w:r>
          </w:p>
          <w:p w14:paraId="6CBAC36D">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4.年不良资产率大于5%得0分。</w:t>
            </w:r>
          </w:p>
        </w:tc>
        <w:tc>
          <w:tcPr>
            <w:tcW w:w="705" w:type="dxa"/>
            <w:noWrap w:val="0"/>
            <w:vAlign w:val="top"/>
          </w:tcPr>
          <w:p w14:paraId="24CE1DF6">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50E1A61D">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79FF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133" w:type="dxa"/>
            <w:vMerge w:val="continue"/>
            <w:noWrap w:val="0"/>
            <w:vAlign w:val="center"/>
          </w:tcPr>
          <w:p w14:paraId="18DC7FD3">
            <w:pPr>
              <w:pStyle w:val="2"/>
              <w:jc w:val="center"/>
              <w:rPr>
                <w:rFonts w:hint="default" w:ascii="Times New Roman" w:hAnsi="Times New Roman" w:cs="Times New Roman"/>
                <w:color w:val="auto"/>
                <w:highlight w:val="none"/>
              </w:rPr>
            </w:pPr>
          </w:p>
        </w:tc>
        <w:tc>
          <w:tcPr>
            <w:tcW w:w="1536" w:type="dxa"/>
            <w:noWrap w:val="0"/>
            <w:vAlign w:val="center"/>
          </w:tcPr>
          <w:p w14:paraId="63D861FC">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cs="Times New Roman"/>
                <w:b/>
                <w:bCs/>
                <w:i w:val="0"/>
                <w:iCs w:val="0"/>
                <w:color w:val="auto"/>
                <w:kern w:val="0"/>
                <w:sz w:val="24"/>
                <w:szCs w:val="24"/>
                <w:highlight w:val="none"/>
                <w:u w:val="none"/>
                <w:lang w:val="en-US" w:eastAsia="zh-CN" w:bidi="ar"/>
              </w:rPr>
              <w:t>30</w:t>
            </w: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b/>
                <w:bCs/>
                <w:i w:val="0"/>
                <w:iCs w:val="0"/>
                <w:color w:val="auto"/>
                <w:kern w:val="0"/>
                <w:sz w:val="24"/>
                <w:szCs w:val="24"/>
                <w:highlight w:val="none"/>
                <w:u w:val="none"/>
                <w:lang w:val="en-US" w:eastAsia="zh-CN" w:bidi="ar"/>
              </w:rPr>
              <w:t>净资产</w:t>
            </w:r>
          </w:p>
          <w:p w14:paraId="3ABEB33B">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4"/>
                <w:szCs w:val="24"/>
                <w:highlight w:val="none"/>
                <w:u w:val="none"/>
                <w:lang w:val="en-US" w:eastAsia="zh-CN" w:bidi="ar-SA"/>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收益率</w:t>
            </w:r>
          </w:p>
        </w:tc>
        <w:tc>
          <w:tcPr>
            <w:tcW w:w="504" w:type="dxa"/>
            <w:noWrap w:val="0"/>
            <w:vAlign w:val="center"/>
          </w:tcPr>
          <w:p w14:paraId="5D76B6F4">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1"/>
                <w:szCs w:val="21"/>
                <w:highlight w:val="none"/>
                <w:u w:val="none"/>
                <w:lang w:val="en-US" w:eastAsia="zh-CN" w:bidi="ar-SA"/>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1</w:t>
            </w:r>
          </w:p>
        </w:tc>
        <w:tc>
          <w:tcPr>
            <w:tcW w:w="8992" w:type="dxa"/>
            <w:noWrap w:val="0"/>
            <w:vAlign w:val="center"/>
          </w:tcPr>
          <w:p w14:paraId="2A6BBDF9">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1.上年度净资产收益率大于5%（含）得1分；</w:t>
            </w:r>
          </w:p>
          <w:p w14:paraId="18E7CFF1">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2.上年度净资产收益率1%（含）至5%得0.5分；</w:t>
            </w:r>
          </w:p>
          <w:p w14:paraId="05B5204F">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3.上年度净资产收益率小于1%得0分。</w:t>
            </w:r>
          </w:p>
        </w:tc>
        <w:tc>
          <w:tcPr>
            <w:tcW w:w="705" w:type="dxa"/>
            <w:noWrap w:val="0"/>
            <w:vAlign w:val="top"/>
          </w:tcPr>
          <w:p w14:paraId="7C1B479F">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40F1B7DC">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5E332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133" w:type="dxa"/>
            <w:vMerge w:val="continue"/>
            <w:noWrap w:val="0"/>
            <w:vAlign w:val="center"/>
          </w:tcPr>
          <w:p w14:paraId="0A1477BE">
            <w:pPr>
              <w:pStyle w:val="2"/>
              <w:jc w:val="center"/>
              <w:rPr>
                <w:rFonts w:hint="default" w:ascii="Times New Roman" w:hAnsi="Times New Roman" w:cs="Times New Roman"/>
                <w:color w:val="auto"/>
                <w:highlight w:val="none"/>
              </w:rPr>
            </w:pPr>
          </w:p>
        </w:tc>
        <w:tc>
          <w:tcPr>
            <w:tcW w:w="1536" w:type="dxa"/>
            <w:noWrap w:val="0"/>
            <w:vAlign w:val="center"/>
          </w:tcPr>
          <w:p w14:paraId="446C15B2">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cs="Times New Roman"/>
                <w:b/>
                <w:bCs/>
                <w:i w:val="0"/>
                <w:iCs w:val="0"/>
                <w:color w:val="auto"/>
                <w:kern w:val="0"/>
                <w:sz w:val="24"/>
                <w:szCs w:val="24"/>
                <w:highlight w:val="none"/>
                <w:u w:val="none"/>
                <w:lang w:val="en-US" w:eastAsia="zh-CN" w:bidi="ar"/>
              </w:rPr>
              <w:t>31</w:t>
            </w:r>
            <w:r>
              <w:rPr>
                <w:rFonts w:hint="default" w:ascii="Times New Roman" w:hAnsi="Times New Roman" w:eastAsia="仿宋_GB2312" w:cs="Times New Roman"/>
                <w:b/>
                <w:bCs/>
                <w:i w:val="0"/>
                <w:iCs w:val="0"/>
                <w:color w:val="auto"/>
                <w:kern w:val="0"/>
                <w:sz w:val="24"/>
                <w:szCs w:val="24"/>
                <w:highlight w:val="none"/>
                <w:u w:val="none"/>
                <w:lang w:val="en-US" w:eastAsia="zh-CN" w:bidi="ar"/>
              </w:rPr>
              <w:t>）</w:t>
            </w:r>
            <w:r>
              <w:rPr>
                <w:rFonts w:hint="default" w:ascii="Times New Roman" w:hAnsi="Times New Roman" w:eastAsia="仿宋_GB2312" w:cs="Times New Roman"/>
                <w:b/>
                <w:bCs/>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b/>
                <w:bCs/>
                <w:i w:val="0"/>
                <w:iCs w:val="0"/>
                <w:color w:val="auto"/>
                <w:kern w:val="0"/>
                <w:sz w:val="24"/>
                <w:szCs w:val="24"/>
                <w:highlight w:val="none"/>
                <w:u w:val="none"/>
                <w:lang w:val="en-US" w:eastAsia="zh-CN" w:bidi="ar"/>
              </w:rPr>
              <w:t>总资产</w:t>
            </w:r>
          </w:p>
          <w:p w14:paraId="053B16DB">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4"/>
                <w:szCs w:val="24"/>
                <w:highlight w:val="none"/>
                <w:u w:val="none"/>
                <w:lang w:val="en-US" w:eastAsia="zh-CN" w:bidi="ar-SA"/>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收益率</w:t>
            </w:r>
          </w:p>
        </w:tc>
        <w:tc>
          <w:tcPr>
            <w:tcW w:w="504" w:type="dxa"/>
            <w:noWrap w:val="0"/>
            <w:vAlign w:val="center"/>
          </w:tcPr>
          <w:p w14:paraId="03383A24">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Times New Roman" w:hAnsi="Times New Roman" w:eastAsia="仿宋_GB2312" w:cs="Times New Roman"/>
                <w:b/>
                <w:bCs/>
                <w:i w:val="0"/>
                <w:iCs w:val="0"/>
                <w:color w:val="auto"/>
                <w:kern w:val="2"/>
                <w:sz w:val="21"/>
                <w:szCs w:val="21"/>
                <w:highlight w:val="none"/>
                <w:u w:val="none"/>
                <w:lang w:val="en-US" w:eastAsia="zh-CN" w:bidi="ar-SA"/>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1</w:t>
            </w:r>
          </w:p>
        </w:tc>
        <w:tc>
          <w:tcPr>
            <w:tcW w:w="8992" w:type="dxa"/>
            <w:noWrap w:val="0"/>
            <w:vAlign w:val="center"/>
          </w:tcPr>
          <w:p w14:paraId="29990265">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1.上年度总资产收益率大于2%以上得1分；</w:t>
            </w:r>
          </w:p>
          <w:p w14:paraId="3B13E515">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2.上年度总资产收益率1%至2%</w:t>
            </w:r>
            <w:r>
              <w:rPr>
                <w:rFonts w:hint="eastAsia" w:cs="Times New Roman"/>
                <w:i w:val="0"/>
                <w:iCs w:val="0"/>
                <w:color w:val="auto"/>
                <w:kern w:val="0"/>
                <w:sz w:val="21"/>
                <w:szCs w:val="21"/>
                <w:highlight w:val="none"/>
                <w:u w:val="none"/>
                <w:lang w:val="en-US" w:eastAsia="zh-CN" w:bidi="ar"/>
              </w:rPr>
              <w:t>（</w:t>
            </w:r>
            <w:r>
              <w:rPr>
                <w:rFonts w:hint="default" w:ascii="Times New Roman" w:hAnsi="Times New Roman" w:eastAsia="仿宋_GB2312" w:cs="Times New Roman"/>
                <w:i w:val="0"/>
                <w:iCs w:val="0"/>
                <w:color w:val="auto"/>
                <w:kern w:val="0"/>
                <w:sz w:val="21"/>
                <w:szCs w:val="21"/>
                <w:highlight w:val="none"/>
                <w:u w:val="none"/>
                <w:lang w:val="en-US" w:eastAsia="zh-CN" w:bidi="ar"/>
              </w:rPr>
              <w:t>含</w:t>
            </w:r>
            <w:r>
              <w:rPr>
                <w:rFonts w:hint="eastAsia" w:cs="Times New Roman"/>
                <w:i w:val="0"/>
                <w:iCs w:val="0"/>
                <w:color w:val="auto"/>
                <w:kern w:val="0"/>
                <w:sz w:val="21"/>
                <w:szCs w:val="21"/>
                <w:highlight w:val="none"/>
                <w:u w:val="none"/>
                <w:lang w:val="en-US" w:eastAsia="zh-CN" w:bidi="ar"/>
              </w:rPr>
              <w:t>）</w:t>
            </w:r>
            <w:r>
              <w:rPr>
                <w:rFonts w:hint="default" w:ascii="Times New Roman" w:hAnsi="Times New Roman" w:eastAsia="仿宋_GB2312" w:cs="Times New Roman"/>
                <w:i w:val="0"/>
                <w:iCs w:val="0"/>
                <w:color w:val="auto"/>
                <w:kern w:val="0"/>
                <w:sz w:val="21"/>
                <w:szCs w:val="21"/>
                <w:highlight w:val="none"/>
                <w:u w:val="none"/>
                <w:lang w:val="en-US" w:eastAsia="zh-CN" w:bidi="ar"/>
              </w:rPr>
              <w:t>得0.5分；</w:t>
            </w:r>
          </w:p>
          <w:p w14:paraId="4AF6C42E">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3.上年度总资产收益率小于1%（含）得0分。</w:t>
            </w:r>
          </w:p>
        </w:tc>
        <w:tc>
          <w:tcPr>
            <w:tcW w:w="705" w:type="dxa"/>
            <w:noWrap w:val="0"/>
            <w:vAlign w:val="top"/>
          </w:tcPr>
          <w:p w14:paraId="6C32295B">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1577B21B">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1994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3173" w:type="dxa"/>
            <w:gridSpan w:val="3"/>
            <w:vMerge w:val="restart"/>
            <w:noWrap w:val="0"/>
            <w:vAlign w:val="center"/>
          </w:tcPr>
          <w:p w14:paraId="24E90E3D">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加分项</w:t>
            </w:r>
          </w:p>
        </w:tc>
        <w:tc>
          <w:tcPr>
            <w:tcW w:w="8992" w:type="dxa"/>
            <w:noWrap w:val="0"/>
            <w:vAlign w:val="center"/>
          </w:tcPr>
          <w:p w14:paraId="5308655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考评年度内</w:t>
            </w:r>
            <w:r>
              <w:rPr>
                <w:rStyle w:val="72"/>
                <w:rFonts w:hint="default" w:ascii="Times New Roman" w:hAnsi="Times New Roman" w:cs="Times New Roman"/>
                <w:color w:val="auto"/>
                <w:highlight w:val="none"/>
                <w:lang w:val="en-US" w:eastAsia="zh-CN" w:bidi="ar"/>
              </w:rPr>
              <w:t>创新产品和服务方式得到设区市级及以上部门单位表彰的酌情加1～3分。</w:t>
            </w:r>
          </w:p>
        </w:tc>
        <w:tc>
          <w:tcPr>
            <w:tcW w:w="705" w:type="dxa"/>
            <w:noWrap w:val="0"/>
            <w:vAlign w:val="top"/>
          </w:tcPr>
          <w:p w14:paraId="44BA2DFF">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50D90A49">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0943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3173" w:type="dxa"/>
            <w:gridSpan w:val="3"/>
            <w:vMerge w:val="continue"/>
            <w:noWrap w:val="0"/>
            <w:vAlign w:val="top"/>
          </w:tcPr>
          <w:p w14:paraId="51138844">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2538605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考评年度内</w:t>
            </w:r>
            <w:r>
              <w:rPr>
                <w:rStyle w:val="72"/>
                <w:rFonts w:hint="default" w:ascii="Times New Roman" w:hAnsi="Times New Roman" w:cs="Times New Roman"/>
                <w:color w:val="auto"/>
                <w:highlight w:val="none"/>
                <w:lang w:val="en-US" w:eastAsia="zh-CN" w:bidi="ar"/>
              </w:rPr>
              <w:t>在省部级及以上刊物发表行业论文、课题、报道的（省级加2分、国家级加3分）酌情加1～3分。</w:t>
            </w:r>
          </w:p>
        </w:tc>
        <w:tc>
          <w:tcPr>
            <w:tcW w:w="705" w:type="dxa"/>
            <w:noWrap w:val="0"/>
            <w:vAlign w:val="top"/>
          </w:tcPr>
          <w:p w14:paraId="7C49294B">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6850DB71">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3DF0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3173" w:type="dxa"/>
            <w:gridSpan w:val="3"/>
            <w:vMerge w:val="continue"/>
            <w:noWrap w:val="0"/>
            <w:vAlign w:val="top"/>
          </w:tcPr>
          <w:p w14:paraId="0A80EE3E">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086D608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考评年度内积极支持中小微企业、三农经济等类别的客户，酌情加1～3分（业务余额占比5%、10%及10%以上）。</w:t>
            </w:r>
          </w:p>
        </w:tc>
        <w:tc>
          <w:tcPr>
            <w:tcW w:w="705" w:type="dxa"/>
            <w:noWrap w:val="0"/>
            <w:vAlign w:val="top"/>
          </w:tcPr>
          <w:p w14:paraId="2AA53065">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31E3E2B8">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358E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3173" w:type="dxa"/>
            <w:gridSpan w:val="3"/>
            <w:vMerge w:val="continue"/>
            <w:noWrap w:val="0"/>
            <w:vAlign w:val="top"/>
          </w:tcPr>
          <w:p w14:paraId="7DCA8F8B">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4F7F327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考评年度内</w:t>
            </w:r>
            <w:r>
              <w:rPr>
                <w:rStyle w:val="72"/>
                <w:rFonts w:hint="default" w:ascii="Times New Roman" w:hAnsi="Times New Roman" w:cs="Times New Roman"/>
                <w:color w:val="auto"/>
                <w:highlight w:val="none"/>
                <w:lang w:val="en-US" w:eastAsia="zh-CN" w:bidi="ar"/>
              </w:rPr>
              <w:t>积极支持生产制造、石化冶炼、仓储物流、种养采掘、交通运输等实体经济领域的客户；积极支持高端装备制造、集成电路、新能源、节能环保、工业互联网建设等新兴产业领域的客户的，酌情加2～5分。</w:t>
            </w:r>
          </w:p>
        </w:tc>
        <w:tc>
          <w:tcPr>
            <w:tcW w:w="705" w:type="dxa"/>
            <w:noWrap w:val="0"/>
            <w:vAlign w:val="top"/>
          </w:tcPr>
          <w:p w14:paraId="2DD4FBBB">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7775060F">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014AC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3173" w:type="dxa"/>
            <w:gridSpan w:val="3"/>
            <w:vMerge w:val="restart"/>
            <w:noWrap w:val="0"/>
            <w:vAlign w:val="center"/>
          </w:tcPr>
          <w:p w14:paraId="305679C8">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减分项</w:t>
            </w:r>
          </w:p>
        </w:tc>
        <w:tc>
          <w:tcPr>
            <w:tcW w:w="8992" w:type="dxa"/>
            <w:noWrap w:val="0"/>
            <w:vAlign w:val="center"/>
          </w:tcPr>
          <w:p w14:paraId="3AB0635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
              </w:rPr>
              <w:t>考评年度内存在3次及以上未按要求及时完整准确的报送数据的，根据情节轻重扣2～15分</w:t>
            </w:r>
            <w:r>
              <w:rPr>
                <w:rFonts w:hint="default" w:ascii="Times New Roman" w:hAnsi="Times New Roman" w:cs="Times New Roman"/>
                <w:color w:val="auto"/>
                <w:kern w:val="0"/>
                <w:sz w:val="21"/>
                <w:szCs w:val="21"/>
                <w:highlight w:val="none"/>
                <w:lang w:val="en-US" w:eastAsia="zh-CN" w:bidi="ar"/>
              </w:rPr>
              <w:t>。</w:t>
            </w:r>
          </w:p>
        </w:tc>
        <w:tc>
          <w:tcPr>
            <w:tcW w:w="705" w:type="dxa"/>
            <w:noWrap w:val="0"/>
            <w:vAlign w:val="top"/>
          </w:tcPr>
          <w:p w14:paraId="0167858F">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10B8C704">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5749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3173" w:type="dxa"/>
            <w:gridSpan w:val="3"/>
            <w:vMerge w:val="continue"/>
            <w:noWrap w:val="0"/>
            <w:vAlign w:val="center"/>
          </w:tcPr>
          <w:p w14:paraId="6DD964DB">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8992" w:type="dxa"/>
            <w:noWrap w:val="0"/>
            <w:vAlign w:val="center"/>
          </w:tcPr>
          <w:p w14:paraId="5D0E202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当年度开展涉地方政府隐性债务融资租赁业务（包括但不限于向地方政府、地方政府融资平台公司提供融资或要求地方政府为租赁项目提供担保、承诺还款）的扣5～30分。</w:t>
            </w:r>
          </w:p>
        </w:tc>
        <w:tc>
          <w:tcPr>
            <w:tcW w:w="705" w:type="dxa"/>
            <w:noWrap w:val="0"/>
            <w:vAlign w:val="top"/>
          </w:tcPr>
          <w:p w14:paraId="4D897414">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12E1722A">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2FAB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3173" w:type="dxa"/>
            <w:gridSpan w:val="3"/>
            <w:vMerge w:val="continue"/>
            <w:noWrap w:val="0"/>
            <w:vAlign w:val="top"/>
          </w:tcPr>
          <w:p w14:paraId="2762C423">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361D243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未按要求对相关事项进行报告或备案的，根据情节轻重扣5～20分。</w:t>
            </w:r>
          </w:p>
        </w:tc>
        <w:tc>
          <w:tcPr>
            <w:tcW w:w="705" w:type="dxa"/>
            <w:noWrap w:val="0"/>
            <w:vAlign w:val="top"/>
          </w:tcPr>
          <w:p w14:paraId="56626893">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0A02EA1A">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4AFE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3173" w:type="dxa"/>
            <w:gridSpan w:val="3"/>
            <w:vMerge w:val="restart"/>
            <w:noWrap w:val="0"/>
            <w:vAlign w:val="center"/>
          </w:tcPr>
          <w:p w14:paraId="6807FA87">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减分项</w:t>
            </w:r>
          </w:p>
        </w:tc>
        <w:tc>
          <w:tcPr>
            <w:tcW w:w="8992" w:type="dxa"/>
            <w:noWrap w:val="0"/>
            <w:vAlign w:val="center"/>
          </w:tcPr>
          <w:p w14:paraId="4FB8362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部分落实</w:t>
            </w:r>
            <w:r>
              <w:rPr>
                <w:rFonts w:hint="eastAsia" w:cs="Times New Roman"/>
                <w:i w:val="0"/>
                <w:iCs w:val="0"/>
                <w:color w:val="auto"/>
                <w:kern w:val="0"/>
                <w:sz w:val="21"/>
                <w:szCs w:val="21"/>
                <w:highlight w:val="none"/>
                <w:u w:val="none"/>
                <w:lang w:val="en-US" w:eastAsia="zh-CN" w:bidi="ar"/>
              </w:rPr>
              <w:t>监管部门</w:t>
            </w:r>
            <w:r>
              <w:rPr>
                <w:rFonts w:hint="default" w:ascii="Times New Roman" w:hAnsi="Times New Roman" w:eastAsia="仿宋_GB2312" w:cs="Times New Roman"/>
                <w:i w:val="0"/>
                <w:iCs w:val="0"/>
                <w:color w:val="auto"/>
                <w:kern w:val="0"/>
                <w:sz w:val="21"/>
                <w:szCs w:val="21"/>
                <w:highlight w:val="none"/>
                <w:u w:val="none"/>
                <w:lang w:val="en-US" w:eastAsia="zh-CN" w:bidi="ar"/>
              </w:rPr>
              <w:t>要求整改违规问题的，按完成整改的比例酌情扣5～15分；对</w:t>
            </w:r>
            <w:r>
              <w:rPr>
                <w:rFonts w:hint="eastAsia" w:cs="Times New Roman"/>
                <w:i w:val="0"/>
                <w:iCs w:val="0"/>
                <w:color w:val="auto"/>
                <w:kern w:val="0"/>
                <w:sz w:val="21"/>
                <w:szCs w:val="21"/>
                <w:highlight w:val="none"/>
                <w:u w:val="none"/>
                <w:lang w:val="en-US" w:eastAsia="zh-CN" w:bidi="ar"/>
              </w:rPr>
              <w:t>监管部门</w:t>
            </w:r>
            <w:r>
              <w:rPr>
                <w:rFonts w:hint="default" w:ascii="Times New Roman" w:hAnsi="Times New Roman" w:eastAsia="仿宋_GB2312" w:cs="Times New Roman"/>
                <w:i w:val="0"/>
                <w:iCs w:val="0"/>
                <w:color w:val="auto"/>
                <w:kern w:val="0"/>
                <w:sz w:val="21"/>
                <w:szCs w:val="21"/>
                <w:highlight w:val="none"/>
                <w:u w:val="none"/>
                <w:lang w:val="en-US" w:eastAsia="zh-CN" w:bidi="ar"/>
              </w:rPr>
              <w:t>检查工作及其提出整改违规问题，未采取有效措施缓释相关风险，并敷衍了事、未采取有效措施的得扣25分。</w:t>
            </w:r>
          </w:p>
        </w:tc>
        <w:tc>
          <w:tcPr>
            <w:tcW w:w="705" w:type="dxa"/>
            <w:noWrap w:val="0"/>
            <w:vAlign w:val="top"/>
          </w:tcPr>
          <w:p w14:paraId="700A04F0">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7AB593AC">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4572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3173" w:type="dxa"/>
            <w:gridSpan w:val="3"/>
            <w:vMerge w:val="continue"/>
            <w:noWrap w:val="0"/>
            <w:vAlign w:val="top"/>
          </w:tcPr>
          <w:p w14:paraId="4E5472B6">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4338C2D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公司发生单笔金额超过净资产10%的重大损失或赔偿责任扣10分。</w:t>
            </w:r>
          </w:p>
        </w:tc>
        <w:tc>
          <w:tcPr>
            <w:tcW w:w="705" w:type="dxa"/>
            <w:noWrap w:val="0"/>
            <w:vAlign w:val="top"/>
          </w:tcPr>
          <w:p w14:paraId="5C059104">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0C3BD6F8">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1BB2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3173" w:type="dxa"/>
            <w:gridSpan w:val="3"/>
            <w:vMerge w:val="continue"/>
            <w:noWrap w:val="0"/>
            <w:vAlign w:val="top"/>
          </w:tcPr>
          <w:p w14:paraId="7F705EF2">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68260F1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公司5%以上股份被质押、冻结、司法拍卖、托管、设定信托或被依法限制表决权扣10分。</w:t>
            </w:r>
          </w:p>
        </w:tc>
        <w:tc>
          <w:tcPr>
            <w:tcW w:w="705" w:type="dxa"/>
            <w:noWrap w:val="0"/>
            <w:vAlign w:val="top"/>
          </w:tcPr>
          <w:p w14:paraId="13390C34">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7D3AC145">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2989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3173" w:type="dxa"/>
            <w:gridSpan w:val="3"/>
            <w:vMerge w:val="continue"/>
            <w:noWrap w:val="0"/>
            <w:vAlign w:val="top"/>
          </w:tcPr>
          <w:p w14:paraId="11FD83F9">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050CAC2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售后回租标的物不合规或者存在“低值高买”等违规行为扣10分。</w:t>
            </w:r>
          </w:p>
        </w:tc>
        <w:tc>
          <w:tcPr>
            <w:tcW w:w="705" w:type="dxa"/>
            <w:noWrap w:val="0"/>
            <w:vAlign w:val="top"/>
          </w:tcPr>
          <w:p w14:paraId="74470CCD">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345EDF21">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47F4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3173" w:type="dxa"/>
            <w:gridSpan w:val="3"/>
            <w:vMerge w:val="continue"/>
            <w:noWrap w:val="0"/>
            <w:vAlign w:val="top"/>
          </w:tcPr>
          <w:p w14:paraId="3A7EB5C1">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05A86F08">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公司或公司法定代表人受到有关行政处罚、刑事处罚、被行政机关或司法机关立案调查扣10分。</w:t>
            </w:r>
          </w:p>
        </w:tc>
        <w:tc>
          <w:tcPr>
            <w:tcW w:w="705" w:type="dxa"/>
            <w:noWrap w:val="0"/>
            <w:vAlign w:val="top"/>
          </w:tcPr>
          <w:p w14:paraId="3330DA11">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1E74D4D3">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4963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3173" w:type="dxa"/>
            <w:gridSpan w:val="3"/>
            <w:vMerge w:val="continue"/>
            <w:noWrap w:val="0"/>
            <w:vAlign w:val="top"/>
          </w:tcPr>
          <w:p w14:paraId="5D46A327">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2D9D83F1">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对</w:t>
            </w:r>
            <w:r>
              <w:rPr>
                <w:rFonts w:hint="eastAsia" w:cs="Times New Roman"/>
                <w:i w:val="0"/>
                <w:iCs w:val="0"/>
                <w:color w:val="auto"/>
                <w:kern w:val="0"/>
                <w:sz w:val="21"/>
                <w:szCs w:val="21"/>
                <w:highlight w:val="none"/>
                <w:u w:val="none"/>
                <w:lang w:val="en-US" w:eastAsia="zh-CN" w:bidi="ar"/>
              </w:rPr>
              <w:t>监管</w:t>
            </w:r>
            <w:r>
              <w:rPr>
                <w:rFonts w:hint="default" w:ascii="Times New Roman" w:hAnsi="Times New Roman" w:eastAsia="仿宋_GB2312" w:cs="Times New Roman"/>
                <w:i w:val="0"/>
                <w:iCs w:val="0"/>
                <w:color w:val="auto"/>
                <w:kern w:val="0"/>
                <w:sz w:val="21"/>
                <w:szCs w:val="21"/>
                <w:highlight w:val="none"/>
                <w:u w:val="none"/>
                <w:lang w:val="en-US" w:eastAsia="zh-CN" w:bidi="ar"/>
              </w:rPr>
              <w:t>部门开展相关约谈、调查、现场检查等工作不主动、敷衍了事扣10分。</w:t>
            </w:r>
          </w:p>
        </w:tc>
        <w:tc>
          <w:tcPr>
            <w:tcW w:w="705" w:type="dxa"/>
            <w:noWrap w:val="0"/>
            <w:vAlign w:val="top"/>
          </w:tcPr>
          <w:p w14:paraId="63542A1D">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2E8B9E34">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4DC0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173" w:type="dxa"/>
            <w:gridSpan w:val="3"/>
            <w:vMerge w:val="continue"/>
            <w:noWrap w:val="0"/>
            <w:vAlign w:val="top"/>
          </w:tcPr>
          <w:p w14:paraId="6264E500">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696D4B6F">
            <w:pPr>
              <w:keepNext w:val="0"/>
              <w:keepLines w:val="0"/>
              <w:widowControl/>
              <w:suppressLineNumbers w:val="0"/>
              <w:jc w:val="left"/>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r>
              <w:rPr>
                <w:rStyle w:val="74"/>
                <w:rFonts w:hint="default" w:ascii="Times New Roman" w:hAnsi="Times New Roman" w:eastAsia="仿宋_GB2312" w:cs="Times New Roman"/>
                <w:color w:val="auto"/>
                <w:sz w:val="21"/>
                <w:szCs w:val="21"/>
                <w:highlight w:val="none"/>
                <w:lang w:val="en-US" w:eastAsia="zh-CN" w:bidi="ar"/>
              </w:rPr>
              <w:t>存在未经核准擅自更改应经核准方可办理的变更事项情况的，根据情节轻重扣</w:t>
            </w:r>
            <w:r>
              <w:rPr>
                <w:rStyle w:val="75"/>
                <w:rFonts w:hint="default" w:ascii="Times New Roman" w:hAnsi="Times New Roman" w:eastAsia="仿宋_GB2312" w:cs="Times New Roman"/>
                <w:color w:val="auto"/>
                <w:sz w:val="21"/>
                <w:szCs w:val="21"/>
                <w:highlight w:val="none"/>
                <w:lang w:val="en-US" w:eastAsia="zh-CN" w:bidi="ar"/>
              </w:rPr>
              <w:t>10</w:t>
            </w:r>
            <w:r>
              <w:rPr>
                <w:rStyle w:val="74"/>
                <w:rFonts w:hint="default" w:ascii="Times New Roman" w:hAnsi="Times New Roman" w:eastAsia="仿宋_GB2312" w:cs="Times New Roman"/>
                <w:color w:val="auto"/>
                <w:sz w:val="21"/>
                <w:szCs w:val="21"/>
                <w:highlight w:val="none"/>
                <w:lang w:val="en-US" w:eastAsia="zh-CN" w:bidi="ar"/>
              </w:rPr>
              <w:t>～</w:t>
            </w:r>
            <w:r>
              <w:rPr>
                <w:rStyle w:val="75"/>
                <w:rFonts w:hint="default" w:ascii="Times New Roman" w:hAnsi="Times New Roman" w:eastAsia="仿宋_GB2312" w:cs="Times New Roman"/>
                <w:color w:val="auto"/>
                <w:sz w:val="21"/>
                <w:szCs w:val="21"/>
                <w:highlight w:val="none"/>
                <w:lang w:val="en-US" w:eastAsia="zh-CN" w:bidi="ar"/>
              </w:rPr>
              <w:t>20</w:t>
            </w:r>
            <w:r>
              <w:rPr>
                <w:rStyle w:val="74"/>
                <w:rFonts w:hint="default" w:ascii="Times New Roman" w:hAnsi="Times New Roman" w:eastAsia="仿宋_GB2312" w:cs="Times New Roman"/>
                <w:color w:val="auto"/>
                <w:sz w:val="21"/>
                <w:szCs w:val="21"/>
                <w:highlight w:val="none"/>
                <w:lang w:val="en-US" w:eastAsia="zh-CN" w:bidi="ar"/>
              </w:rPr>
              <w:t>分。</w:t>
            </w:r>
          </w:p>
        </w:tc>
        <w:tc>
          <w:tcPr>
            <w:tcW w:w="705" w:type="dxa"/>
            <w:noWrap w:val="0"/>
            <w:vAlign w:val="top"/>
          </w:tcPr>
          <w:p w14:paraId="0C0B143F">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611629AF">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3D41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3173" w:type="dxa"/>
            <w:gridSpan w:val="3"/>
            <w:vMerge w:val="continue"/>
            <w:noWrap w:val="0"/>
            <w:vAlign w:val="top"/>
          </w:tcPr>
          <w:p w14:paraId="7D11D80B">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62C4F6A3">
            <w:pPr>
              <w:keepNext w:val="0"/>
              <w:keepLines w:val="0"/>
              <w:widowControl/>
              <w:suppressLineNumbers w:val="0"/>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存在注册资本金抽逃的扣20～30分。</w:t>
            </w:r>
          </w:p>
        </w:tc>
        <w:tc>
          <w:tcPr>
            <w:tcW w:w="705" w:type="dxa"/>
            <w:noWrap w:val="0"/>
            <w:vAlign w:val="top"/>
          </w:tcPr>
          <w:p w14:paraId="7F7F852F">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0AC67D0E">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5738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3173" w:type="dxa"/>
            <w:gridSpan w:val="3"/>
            <w:vMerge w:val="continue"/>
            <w:noWrap w:val="0"/>
            <w:vAlign w:val="top"/>
          </w:tcPr>
          <w:p w14:paraId="634949EC">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77DF0E3C">
            <w:pPr>
              <w:keepNext w:val="0"/>
              <w:keepLines w:val="0"/>
              <w:pageBreakBefore w:val="0"/>
              <w:widowControl/>
              <w:suppressLineNumbers w:val="0"/>
              <w:kinsoku/>
              <w:wordWrap/>
              <w:overflowPunct/>
              <w:topLinePunct w:val="0"/>
              <w:bidi w:val="0"/>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Style w:val="74"/>
                <w:rFonts w:hint="default" w:ascii="Times New Roman" w:hAnsi="Times New Roman" w:eastAsia="仿宋_GB2312" w:cs="Times New Roman"/>
                <w:color w:val="auto"/>
                <w:sz w:val="21"/>
                <w:szCs w:val="21"/>
                <w:highlight w:val="none"/>
                <w:lang w:val="en-US" w:eastAsia="zh-CN" w:bidi="ar"/>
              </w:rPr>
              <w:t>存在以下情形，根据情节轻重扣</w:t>
            </w:r>
            <w:r>
              <w:rPr>
                <w:rFonts w:hint="default" w:ascii="Times New Roman" w:hAnsi="Times New Roman" w:eastAsia="仿宋_GB2312" w:cs="Times New Roman"/>
                <w:i w:val="0"/>
                <w:iCs w:val="0"/>
                <w:color w:val="auto"/>
                <w:kern w:val="0"/>
                <w:sz w:val="21"/>
                <w:szCs w:val="21"/>
                <w:highlight w:val="none"/>
                <w:u w:val="none"/>
                <w:lang w:val="en-US" w:eastAsia="zh-CN" w:bidi="ar"/>
              </w:rPr>
              <w:t>20～30分：</w:t>
            </w:r>
          </w:p>
          <w:p w14:paraId="4CBBB350">
            <w:pPr>
              <w:pStyle w:val="2"/>
              <w:keepNext w:val="0"/>
              <w:keepLines w:val="0"/>
              <w:pageBreakBefore w:val="0"/>
              <w:kinsoku/>
              <w:wordWrap/>
              <w:overflowPunct/>
              <w:topLinePunct w:val="0"/>
              <w:bidi w:val="0"/>
              <w:snapToGrid/>
              <w:spacing w:line="320" w:lineRule="exact"/>
              <w:rPr>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color w:val="auto"/>
                <w:sz w:val="21"/>
                <w:szCs w:val="21"/>
                <w:highlight w:val="none"/>
                <w:lang w:val="en-US" w:eastAsia="zh-CN" w:bidi="ar"/>
              </w:rPr>
              <w:t>1.非法集资、吸收或变相吸收存款；</w:t>
            </w:r>
          </w:p>
          <w:p w14:paraId="25CBC9D3">
            <w:pPr>
              <w:pStyle w:val="2"/>
              <w:keepNext w:val="0"/>
              <w:keepLines w:val="0"/>
              <w:pageBreakBefore w:val="0"/>
              <w:kinsoku/>
              <w:wordWrap/>
              <w:overflowPunct/>
              <w:topLinePunct w:val="0"/>
              <w:bidi w:val="0"/>
              <w:snapToGrid/>
              <w:spacing w:line="320" w:lineRule="exact"/>
              <w:rPr>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color w:val="auto"/>
                <w:sz w:val="21"/>
                <w:szCs w:val="21"/>
                <w:highlight w:val="none"/>
                <w:lang w:val="en-US" w:eastAsia="zh-CN" w:bidi="ar"/>
              </w:rPr>
              <w:t>2.发放或受托发放贷款；</w:t>
            </w:r>
          </w:p>
          <w:p w14:paraId="120A24E1">
            <w:pPr>
              <w:pStyle w:val="2"/>
              <w:keepNext w:val="0"/>
              <w:keepLines w:val="0"/>
              <w:pageBreakBefore w:val="0"/>
              <w:kinsoku/>
              <w:wordWrap/>
              <w:overflowPunct/>
              <w:topLinePunct w:val="0"/>
              <w:bidi w:val="0"/>
              <w:snapToGrid/>
              <w:spacing w:line="320" w:lineRule="exact"/>
              <w:rPr>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color w:val="auto"/>
                <w:sz w:val="21"/>
                <w:szCs w:val="21"/>
                <w:highlight w:val="none"/>
                <w:lang w:val="en-US" w:eastAsia="zh-CN" w:bidi="ar"/>
              </w:rPr>
              <w:t>3.与其他融资租赁公司拆借或变相拆借资金；</w:t>
            </w:r>
          </w:p>
          <w:p w14:paraId="320AA667">
            <w:pPr>
              <w:pStyle w:val="2"/>
              <w:keepNext w:val="0"/>
              <w:keepLines w:val="0"/>
              <w:pageBreakBefore w:val="0"/>
              <w:kinsoku/>
              <w:wordWrap/>
              <w:overflowPunct/>
              <w:topLinePunct w:val="0"/>
              <w:bidi w:val="0"/>
              <w:snapToGrid/>
              <w:spacing w:line="320" w:lineRule="exact"/>
              <w:rPr>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color w:val="auto"/>
                <w:sz w:val="21"/>
                <w:szCs w:val="21"/>
                <w:highlight w:val="none"/>
                <w:lang w:val="en-US" w:eastAsia="zh-CN" w:bidi="ar"/>
              </w:rPr>
              <w:t>4.虚假宣传或误导性宣传，虚构融资租赁项目通过公开渠道进行融资；</w:t>
            </w:r>
          </w:p>
          <w:p w14:paraId="76F773B3">
            <w:pPr>
              <w:pStyle w:val="2"/>
              <w:keepNext w:val="0"/>
              <w:keepLines w:val="0"/>
              <w:pageBreakBefore w:val="0"/>
              <w:kinsoku/>
              <w:wordWrap/>
              <w:overflowPunct/>
              <w:topLinePunct w:val="0"/>
              <w:bidi w:val="0"/>
              <w:snapToGrid/>
              <w:spacing w:line="320" w:lineRule="exact"/>
              <w:rPr>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color w:val="auto"/>
                <w:sz w:val="21"/>
                <w:szCs w:val="21"/>
                <w:highlight w:val="none"/>
                <w:lang w:val="en-US" w:eastAsia="zh-CN" w:bidi="ar"/>
              </w:rPr>
              <w:t>5.以非法手段进行清收；</w:t>
            </w:r>
          </w:p>
          <w:p w14:paraId="3D5D6475">
            <w:pPr>
              <w:pStyle w:val="2"/>
              <w:keepNext w:val="0"/>
              <w:keepLines w:val="0"/>
              <w:pageBreakBefore w:val="0"/>
              <w:kinsoku/>
              <w:wordWrap/>
              <w:overflowPunct/>
              <w:topLinePunct w:val="0"/>
              <w:bidi w:val="0"/>
              <w:snapToGrid/>
              <w:spacing w:line="320" w:lineRule="exact"/>
              <w:rPr>
                <w:rFonts w:hint="default" w:ascii="Times New Roman" w:hAnsi="Times New Roman" w:eastAsia="仿宋_GB2312" w:cs="Times New Roman"/>
                <w:color w:val="auto"/>
                <w:sz w:val="24"/>
                <w:szCs w:val="22"/>
                <w:highlight w:val="none"/>
                <w:lang w:val="en-US" w:eastAsia="zh-CN"/>
              </w:rPr>
            </w:pPr>
            <w:r>
              <w:rPr>
                <w:rFonts w:hint="default" w:ascii="Times New Roman" w:hAnsi="Times New Roman" w:eastAsia="仿宋_GB2312" w:cs="Times New Roman"/>
                <w:color w:val="auto"/>
                <w:sz w:val="21"/>
                <w:szCs w:val="21"/>
                <w:highlight w:val="none"/>
                <w:lang w:val="en-US" w:eastAsia="zh-CN" w:bidi="ar"/>
              </w:rPr>
              <w:t>6.通过网络借贷信息中介机构、私募投资基金融资或转让资产。</w:t>
            </w:r>
          </w:p>
        </w:tc>
        <w:tc>
          <w:tcPr>
            <w:tcW w:w="705" w:type="dxa"/>
            <w:noWrap w:val="0"/>
            <w:vAlign w:val="top"/>
          </w:tcPr>
          <w:p w14:paraId="2B2B05C6">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4D174ED8">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1814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3173" w:type="dxa"/>
            <w:gridSpan w:val="3"/>
            <w:vMerge w:val="restart"/>
            <w:noWrap w:val="0"/>
            <w:vAlign w:val="center"/>
          </w:tcPr>
          <w:p w14:paraId="4E8DE045">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减分项</w:t>
            </w:r>
          </w:p>
        </w:tc>
        <w:tc>
          <w:tcPr>
            <w:tcW w:w="8992" w:type="dxa"/>
            <w:noWrap w:val="0"/>
            <w:vAlign w:val="center"/>
          </w:tcPr>
          <w:p w14:paraId="03EE5AFF">
            <w:pPr>
              <w:keepNext w:val="0"/>
              <w:keepLines w:val="0"/>
              <w:pageBreakBefore w:val="0"/>
              <w:widowControl/>
              <w:suppressLineNumbers w:val="0"/>
              <w:kinsoku/>
              <w:wordWrap/>
              <w:overflowPunct/>
              <w:topLinePunct w:val="0"/>
              <w:bidi w:val="0"/>
              <w:snapToGrid/>
              <w:spacing w:line="320" w:lineRule="exact"/>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开展以公益性资产（包括公立学校、公立医院、公共文化设施、公园、公共广场、机关事业单位办公楼、市政道路、非收费桥梁、非经营性水利设施、非收费管网设施等）、在建工程（包括未完工的不动产、构筑物）、未取得所有权或所有权存在瑕疵的财产作为租赁物的融资租赁业务的扣25分。</w:t>
            </w:r>
          </w:p>
        </w:tc>
        <w:tc>
          <w:tcPr>
            <w:tcW w:w="705" w:type="dxa"/>
            <w:noWrap w:val="0"/>
            <w:vAlign w:val="top"/>
          </w:tcPr>
          <w:p w14:paraId="51ADF763">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08773D66">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44B9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3173" w:type="dxa"/>
            <w:gridSpan w:val="3"/>
            <w:vMerge w:val="continue"/>
            <w:noWrap w:val="0"/>
            <w:vAlign w:val="top"/>
          </w:tcPr>
          <w:p w14:paraId="03E991FA">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0D106C04">
            <w:pPr>
              <w:keepNext w:val="0"/>
              <w:keepLines w:val="0"/>
              <w:widowControl/>
              <w:suppressLineNumbers w:val="0"/>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被市场监管部门列入经营异常名录扣25分。</w:t>
            </w:r>
          </w:p>
        </w:tc>
        <w:tc>
          <w:tcPr>
            <w:tcW w:w="705" w:type="dxa"/>
            <w:noWrap w:val="0"/>
            <w:vAlign w:val="top"/>
          </w:tcPr>
          <w:p w14:paraId="79FE78AF">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324FA836">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4F33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3173" w:type="dxa"/>
            <w:gridSpan w:val="3"/>
            <w:vMerge w:val="continue"/>
            <w:noWrap w:val="0"/>
            <w:vAlign w:val="top"/>
          </w:tcPr>
          <w:p w14:paraId="595C354B">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1EB7CB20">
            <w:pPr>
              <w:keepNext w:val="0"/>
              <w:keepLines w:val="0"/>
              <w:widowControl/>
              <w:suppressLineNumbers w:val="0"/>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未按时完成监管部门提出的工作要求和监管整改措施扣25分。</w:t>
            </w:r>
          </w:p>
        </w:tc>
        <w:tc>
          <w:tcPr>
            <w:tcW w:w="705" w:type="dxa"/>
            <w:noWrap w:val="0"/>
            <w:vAlign w:val="top"/>
          </w:tcPr>
          <w:p w14:paraId="46AFD29F">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42A99398">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1018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3173" w:type="dxa"/>
            <w:gridSpan w:val="3"/>
            <w:vMerge w:val="continue"/>
            <w:noWrap w:val="0"/>
            <w:vAlign w:val="top"/>
          </w:tcPr>
          <w:p w14:paraId="1EB7F9C1">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13F0C77A">
            <w:pPr>
              <w:keepNext w:val="0"/>
              <w:keepLines w:val="0"/>
              <w:widowControl/>
              <w:suppressLineNumbers w:val="0"/>
              <w:jc w:val="left"/>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超过公司净资产30%的主要资产被查封、冻结、扣押，主要或全部业务陷入停顿扣25分。</w:t>
            </w:r>
          </w:p>
        </w:tc>
        <w:tc>
          <w:tcPr>
            <w:tcW w:w="705" w:type="dxa"/>
            <w:noWrap w:val="0"/>
            <w:vAlign w:val="top"/>
          </w:tcPr>
          <w:p w14:paraId="0E31868D">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61D28C21">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53FE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3173" w:type="dxa"/>
            <w:gridSpan w:val="3"/>
            <w:vMerge w:val="continue"/>
            <w:noWrap w:val="0"/>
            <w:vAlign w:val="top"/>
          </w:tcPr>
          <w:p w14:paraId="63CFA05C">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0B4F79B5">
            <w:pPr>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虚报经营数据统计表或者虚报、瞒报其他应报告的重大事项的扣25分。</w:t>
            </w:r>
          </w:p>
        </w:tc>
        <w:tc>
          <w:tcPr>
            <w:tcW w:w="705" w:type="dxa"/>
            <w:noWrap w:val="0"/>
            <w:vAlign w:val="top"/>
          </w:tcPr>
          <w:p w14:paraId="48AEA396">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50FF83CB">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2063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3173" w:type="dxa"/>
            <w:gridSpan w:val="3"/>
            <w:vMerge w:val="continue"/>
            <w:noWrap w:val="0"/>
            <w:vAlign w:val="top"/>
          </w:tcPr>
          <w:p w14:paraId="33421210">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24222951">
            <w:pPr>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发生重大舆情事件，造成较大社会影响的扣25分。</w:t>
            </w:r>
          </w:p>
        </w:tc>
        <w:tc>
          <w:tcPr>
            <w:tcW w:w="705" w:type="dxa"/>
            <w:noWrap w:val="0"/>
            <w:vAlign w:val="top"/>
          </w:tcPr>
          <w:p w14:paraId="2DDB9F28">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2C870C30">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2808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3173" w:type="dxa"/>
            <w:gridSpan w:val="3"/>
            <w:noWrap w:val="0"/>
            <w:vAlign w:val="center"/>
          </w:tcPr>
          <w:p w14:paraId="1C312461">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仿宋" w:cs="Times New Roman"/>
                <w:b/>
                <w:bCs/>
                <w:color w:val="auto"/>
                <w:sz w:val="28"/>
                <w:szCs w:val="28"/>
                <w:highlight w:val="none"/>
                <w:lang w:eastAsia="zh-CN"/>
              </w:rPr>
            </w:pPr>
            <w:r>
              <w:rPr>
                <w:rFonts w:hint="default" w:ascii="Times New Roman" w:hAnsi="Times New Roman" w:eastAsia="仿宋" w:cs="Times New Roman"/>
                <w:b/>
                <w:bCs/>
                <w:color w:val="auto"/>
                <w:sz w:val="28"/>
                <w:szCs w:val="28"/>
                <w:highlight w:val="none"/>
                <w:lang w:eastAsia="zh-CN"/>
              </w:rPr>
              <w:t>合计</w:t>
            </w:r>
          </w:p>
        </w:tc>
        <w:tc>
          <w:tcPr>
            <w:tcW w:w="8992" w:type="dxa"/>
            <w:noWrap w:val="0"/>
            <w:vAlign w:val="center"/>
          </w:tcPr>
          <w:p w14:paraId="400F2380">
            <w:pPr>
              <w:rPr>
                <w:rFonts w:hint="default" w:ascii="Times New Roman" w:hAnsi="Times New Roman" w:eastAsia="仿宋_GB2312" w:cs="Times New Roman"/>
                <w:color w:val="auto"/>
                <w:kern w:val="2"/>
                <w:sz w:val="32"/>
                <w:szCs w:val="24"/>
                <w:highlight w:val="none"/>
                <w:lang w:val="en-US" w:eastAsia="zh-CN" w:bidi="ar-SA"/>
              </w:rPr>
            </w:pPr>
          </w:p>
        </w:tc>
        <w:tc>
          <w:tcPr>
            <w:tcW w:w="705" w:type="dxa"/>
            <w:noWrap w:val="0"/>
            <w:vAlign w:val="top"/>
          </w:tcPr>
          <w:p w14:paraId="30E586EF">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1F04FF73">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bl>
    <w:p w14:paraId="6C8EC550">
      <w:pPr>
        <w:pStyle w:val="2"/>
        <w:rPr>
          <w:rFonts w:hint="default" w:ascii="Times New Roman" w:hAnsi="Times New Roman" w:cs="Times New Roman"/>
          <w:color w:val="auto"/>
          <w:highlight w:val="none"/>
          <w:lang w:val="en-US" w:eastAsia="zh-CN"/>
        </w:rPr>
      </w:pPr>
    </w:p>
    <w:p w14:paraId="5C9184EB">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14:paraId="3ADB6CE6">
      <w:pPr>
        <w:pStyle w:val="2"/>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6：</w:t>
      </w:r>
    </w:p>
    <w:p w14:paraId="5EC6EE35">
      <w:pPr>
        <w:keepNext w:val="0"/>
        <w:keepLines w:val="0"/>
        <w:pageBreakBefore w:val="0"/>
        <w:kinsoku/>
        <w:overflowPunct/>
        <w:topLinePunct w:val="0"/>
        <w:bidi w:val="0"/>
        <w:snapToGrid w:val="0"/>
        <w:spacing w:line="580" w:lineRule="exact"/>
        <w:ind w:left="0" w:leftChars="0" w:right="0" w:rightChars="0" w:firstLine="880" w:firstLineChars="200"/>
        <w:jc w:val="both"/>
        <w:textAlignment w:val="auto"/>
        <w:outlineLvl w:val="9"/>
        <w:rPr>
          <w:rFonts w:hint="default" w:ascii="Times New Roman" w:hAnsi="Times New Roman" w:cs="Times New Roman"/>
          <w:color w:val="auto"/>
          <w:highlight w:val="none"/>
        </w:rPr>
      </w:pPr>
      <w:r>
        <w:rPr>
          <w:rFonts w:hint="default" w:ascii="Times New Roman" w:hAnsi="Times New Roman" w:eastAsia="方正小标宋简体" w:cs="Times New Roman"/>
          <w:color w:val="auto"/>
          <w:sz w:val="44"/>
          <w:szCs w:val="44"/>
          <w:highlight w:val="none"/>
        </w:rPr>
        <w:t>广西壮族自治区</w:t>
      </w:r>
      <w:r>
        <w:rPr>
          <w:rFonts w:hint="eastAsia" w:eastAsia="方正小标宋简体" w:cs="Times New Roman"/>
          <w:color w:val="auto"/>
          <w:sz w:val="44"/>
          <w:szCs w:val="44"/>
          <w:highlight w:val="none"/>
          <w:lang w:val="en-US" w:eastAsia="zh-CN"/>
        </w:rPr>
        <w:t>商业保理</w:t>
      </w:r>
      <w:r>
        <w:rPr>
          <w:rFonts w:hint="default" w:ascii="Times New Roman" w:hAnsi="Times New Roman" w:eastAsia="方正小标宋简体" w:cs="Times New Roman"/>
          <w:color w:val="auto"/>
          <w:sz w:val="44"/>
          <w:szCs w:val="44"/>
          <w:highlight w:val="none"/>
          <w:lang w:val="en-US" w:eastAsia="zh-CN"/>
        </w:rPr>
        <w:t>公司</w:t>
      </w:r>
      <w:r>
        <w:rPr>
          <w:rFonts w:hint="default" w:ascii="Times New Roman" w:hAnsi="Times New Roman" w:eastAsia="方正小标宋简体" w:cs="Times New Roman"/>
          <w:color w:val="auto"/>
          <w:sz w:val="44"/>
          <w:szCs w:val="44"/>
          <w:highlight w:val="none"/>
          <w:lang w:eastAsia="zh-CN"/>
        </w:rPr>
        <w:t>202</w:t>
      </w:r>
      <w:r>
        <w:rPr>
          <w:rFonts w:hint="default" w:ascii="Times New Roman" w:hAnsi="Times New Roman" w:eastAsia="方正小标宋简体" w:cs="Times New Roman"/>
          <w:color w:val="auto"/>
          <w:sz w:val="44"/>
          <w:szCs w:val="44"/>
          <w:highlight w:val="none"/>
          <w:lang w:val="en-US" w:eastAsia="zh-CN"/>
        </w:rPr>
        <w:t>4</w:t>
      </w:r>
      <w:r>
        <w:rPr>
          <w:rFonts w:hint="default" w:ascii="Times New Roman" w:hAnsi="Times New Roman" w:eastAsia="方正小标宋简体" w:cs="Times New Roman"/>
          <w:color w:val="auto"/>
          <w:sz w:val="44"/>
          <w:szCs w:val="44"/>
          <w:highlight w:val="none"/>
          <w:lang w:eastAsia="zh-CN"/>
        </w:rPr>
        <w:t>年</w:t>
      </w:r>
      <w:r>
        <w:rPr>
          <w:rFonts w:hint="default" w:ascii="Times New Roman" w:hAnsi="Times New Roman" w:eastAsia="方正小标宋简体" w:cs="Times New Roman"/>
          <w:color w:val="auto"/>
          <w:sz w:val="44"/>
          <w:szCs w:val="44"/>
          <w:highlight w:val="none"/>
        </w:rPr>
        <w:t>度</w:t>
      </w:r>
      <w:r>
        <w:rPr>
          <w:rFonts w:hint="eastAsia" w:eastAsia="方正小标宋简体" w:cs="Times New Roman"/>
          <w:color w:val="auto"/>
          <w:sz w:val="44"/>
          <w:szCs w:val="44"/>
          <w:highlight w:val="none"/>
          <w:lang w:eastAsia="zh-CN"/>
        </w:rPr>
        <w:t>监管评级</w:t>
      </w:r>
      <w:r>
        <w:rPr>
          <w:rFonts w:hint="default" w:ascii="Times New Roman" w:hAnsi="Times New Roman" w:eastAsia="方正小标宋简体" w:cs="Times New Roman"/>
          <w:color w:val="auto"/>
          <w:sz w:val="44"/>
          <w:szCs w:val="44"/>
          <w:highlight w:val="none"/>
        </w:rPr>
        <w:t>评分表</w:t>
      </w:r>
    </w:p>
    <w:tbl>
      <w:tblPr>
        <w:tblStyle w:val="24"/>
        <w:tblW w:w="13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536"/>
        <w:gridCol w:w="504"/>
        <w:gridCol w:w="8992"/>
        <w:gridCol w:w="705"/>
        <w:gridCol w:w="680"/>
      </w:tblGrid>
      <w:tr w14:paraId="39933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2669" w:type="dxa"/>
            <w:gridSpan w:val="2"/>
            <w:noWrap w:val="0"/>
            <w:vAlign w:val="center"/>
          </w:tcPr>
          <w:p w14:paraId="650A528E">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方正仿宋_GBK" w:cs="Times New Roman"/>
                <w:b/>
                <w:bCs/>
                <w:color w:val="auto"/>
                <w:szCs w:val="32"/>
                <w:highlight w:val="none"/>
              </w:rPr>
            </w:pPr>
            <w:r>
              <w:rPr>
                <w:rFonts w:hint="default" w:ascii="Times New Roman" w:hAnsi="Times New Roman" w:eastAsia="方正仿宋_GBK" w:cs="Times New Roman"/>
                <w:b/>
                <w:bCs/>
                <w:color w:val="auto"/>
                <w:szCs w:val="32"/>
                <w:highlight w:val="none"/>
              </w:rPr>
              <w:t>考评内容</w:t>
            </w:r>
          </w:p>
        </w:tc>
        <w:tc>
          <w:tcPr>
            <w:tcW w:w="504" w:type="dxa"/>
            <w:noWrap w:val="0"/>
            <w:vAlign w:val="center"/>
          </w:tcPr>
          <w:p w14:paraId="550F0A83">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方正仿宋_GBK" w:cs="Times New Roman"/>
                <w:b/>
                <w:bCs/>
                <w:color w:val="auto"/>
                <w:szCs w:val="32"/>
                <w:highlight w:val="none"/>
              </w:rPr>
            </w:pPr>
            <w:r>
              <w:rPr>
                <w:rFonts w:hint="default" w:ascii="Times New Roman" w:hAnsi="Times New Roman" w:eastAsia="方正仿宋_GBK" w:cs="Times New Roman"/>
                <w:b/>
                <w:bCs/>
                <w:color w:val="auto"/>
                <w:szCs w:val="32"/>
                <w:highlight w:val="none"/>
              </w:rPr>
              <w:t>分值</w:t>
            </w:r>
          </w:p>
        </w:tc>
        <w:tc>
          <w:tcPr>
            <w:tcW w:w="8992" w:type="dxa"/>
            <w:noWrap w:val="0"/>
            <w:vAlign w:val="center"/>
          </w:tcPr>
          <w:p w14:paraId="3E4E58DD">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方正仿宋_GBK" w:cs="Times New Roman"/>
                <w:b/>
                <w:bCs/>
                <w:color w:val="auto"/>
                <w:szCs w:val="32"/>
                <w:highlight w:val="none"/>
              </w:rPr>
            </w:pPr>
            <w:r>
              <w:rPr>
                <w:rFonts w:hint="default" w:ascii="Times New Roman" w:hAnsi="Times New Roman" w:eastAsia="方正仿宋_GBK" w:cs="Times New Roman"/>
                <w:b/>
                <w:bCs/>
                <w:color w:val="auto"/>
                <w:szCs w:val="32"/>
                <w:highlight w:val="none"/>
              </w:rPr>
              <w:t>评分标准</w:t>
            </w:r>
          </w:p>
        </w:tc>
        <w:tc>
          <w:tcPr>
            <w:tcW w:w="705" w:type="dxa"/>
            <w:noWrap w:val="0"/>
            <w:vAlign w:val="center"/>
          </w:tcPr>
          <w:p w14:paraId="0765740D">
            <w:pPr>
              <w:keepNext w:val="0"/>
              <w:keepLines w:val="0"/>
              <w:pageBreakBefore w:val="0"/>
              <w:kinsoku/>
              <w:overflowPunct/>
              <w:topLinePunct w:val="0"/>
              <w:bidi w:val="0"/>
              <w:snapToGrid w:val="0"/>
              <w:spacing w:line="360" w:lineRule="exact"/>
              <w:ind w:left="0" w:leftChars="0" w:right="0" w:rightChars="0"/>
              <w:jc w:val="center"/>
              <w:textAlignment w:val="auto"/>
              <w:outlineLvl w:val="9"/>
              <w:rPr>
                <w:rFonts w:hint="default" w:ascii="Times New Roman" w:hAnsi="Times New Roman" w:eastAsia="方正仿宋_GBK" w:cs="Times New Roman"/>
                <w:b/>
                <w:bCs/>
                <w:color w:val="auto"/>
                <w:szCs w:val="32"/>
                <w:highlight w:val="none"/>
              </w:rPr>
            </w:pPr>
            <w:r>
              <w:rPr>
                <w:rFonts w:hint="default" w:ascii="Times New Roman" w:hAnsi="Times New Roman" w:eastAsia="方正仿宋_GBK" w:cs="Times New Roman"/>
                <w:b/>
                <w:bCs/>
                <w:color w:val="auto"/>
                <w:szCs w:val="32"/>
                <w:highlight w:val="none"/>
              </w:rPr>
              <w:t>得分</w:t>
            </w:r>
          </w:p>
        </w:tc>
        <w:tc>
          <w:tcPr>
            <w:tcW w:w="680" w:type="dxa"/>
            <w:noWrap w:val="0"/>
            <w:vAlign w:val="center"/>
          </w:tcPr>
          <w:p w14:paraId="02D2FAD9">
            <w:pPr>
              <w:keepNext w:val="0"/>
              <w:keepLines w:val="0"/>
              <w:pageBreakBefore w:val="0"/>
              <w:kinsoku/>
              <w:overflowPunct/>
              <w:topLinePunct w:val="0"/>
              <w:bidi w:val="0"/>
              <w:snapToGrid w:val="0"/>
              <w:spacing w:line="360" w:lineRule="exact"/>
              <w:ind w:left="0" w:leftChars="0" w:right="0" w:rightChars="0"/>
              <w:jc w:val="center"/>
              <w:textAlignment w:val="auto"/>
              <w:outlineLvl w:val="9"/>
              <w:rPr>
                <w:rFonts w:hint="default" w:ascii="Times New Roman" w:hAnsi="Times New Roman" w:eastAsia="方正仿宋_GBK" w:cs="Times New Roman"/>
                <w:b/>
                <w:bCs/>
                <w:color w:val="auto"/>
                <w:szCs w:val="32"/>
                <w:highlight w:val="none"/>
              </w:rPr>
            </w:pPr>
            <w:r>
              <w:rPr>
                <w:rFonts w:hint="default" w:ascii="Times New Roman" w:hAnsi="Times New Roman" w:eastAsia="方正仿宋_GBK" w:cs="Times New Roman"/>
                <w:b/>
                <w:bCs/>
                <w:color w:val="auto"/>
                <w:szCs w:val="32"/>
                <w:highlight w:val="none"/>
              </w:rPr>
              <w:t>备注</w:t>
            </w:r>
          </w:p>
        </w:tc>
      </w:tr>
      <w:tr w14:paraId="54B7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3" w:type="dxa"/>
            <w:vMerge w:val="restart"/>
            <w:noWrap w:val="0"/>
            <w:vAlign w:val="center"/>
          </w:tcPr>
          <w:p w14:paraId="4E5DDA9B">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一、</w:t>
            </w:r>
          </w:p>
          <w:p w14:paraId="533520F7">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公司</w:t>
            </w:r>
          </w:p>
          <w:p w14:paraId="438EB279">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治理</w:t>
            </w:r>
          </w:p>
          <w:p w14:paraId="7DA8C162">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eastAsia" w:eastAsia="黑体" w:cs="Times New Roman"/>
                <w:color w:val="auto"/>
                <w:sz w:val="24"/>
                <w:szCs w:val="24"/>
                <w:highlight w:val="none"/>
                <w:lang w:eastAsia="zh-CN"/>
              </w:rPr>
              <w:t>（</w:t>
            </w:r>
            <w:r>
              <w:rPr>
                <w:rFonts w:hint="default" w:ascii="Times New Roman" w:hAnsi="Times New Roman" w:eastAsia="黑体" w:cs="Times New Roman"/>
                <w:color w:val="auto"/>
                <w:sz w:val="24"/>
                <w:szCs w:val="24"/>
                <w:highlight w:val="none"/>
                <w:lang w:val="en-US" w:eastAsia="zh-CN"/>
              </w:rPr>
              <w:t>15</w:t>
            </w:r>
            <w:r>
              <w:rPr>
                <w:rFonts w:hint="default" w:ascii="Times New Roman" w:hAnsi="Times New Roman" w:eastAsia="黑体" w:cs="Times New Roman"/>
                <w:color w:val="auto"/>
                <w:sz w:val="24"/>
                <w:szCs w:val="24"/>
                <w:highlight w:val="none"/>
              </w:rPr>
              <w:t>分）</w:t>
            </w:r>
          </w:p>
        </w:tc>
        <w:tc>
          <w:tcPr>
            <w:tcW w:w="1536" w:type="dxa"/>
            <w:noWrap w:val="0"/>
            <w:vAlign w:val="center"/>
          </w:tcPr>
          <w:p w14:paraId="0EEE67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73"/>
                <w:rFonts w:hint="eastAsia" w:ascii="仿宋_GB2312" w:hAnsi="仿宋_GB2312" w:eastAsia="仿宋_GB2312" w:cs="仿宋_GB2312"/>
                <w:b/>
                <w:bCs/>
                <w:color w:val="auto"/>
                <w:sz w:val="24"/>
                <w:szCs w:val="24"/>
                <w:highlight w:val="none"/>
                <w:lang w:val="en-US" w:eastAsia="zh-CN" w:bidi="ar"/>
              </w:rPr>
            </w:pPr>
            <w:r>
              <w:rPr>
                <w:rStyle w:val="73"/>
                <w:rFonts w:hint="eastAsia" w:ascii="仿宋_GB2312" w:hAnsi="仿宋_GB2312" w:cs="仿宋_GB2312"/>
                <w:b/>
                <w:bCs/>
                <w:color w:val="auto"/>
                <w:sz w:val="24"/>
                <w:szCs w:val="24"/>
                <w:highlight w:val="none"/>
                <w:lang w:val="en-US" w:eastAsia="zh-CN" w:bidi="ar"/>
              </w:rPr>
              <w:t>（</w:t>
            </w:r>
            <w:r>
              <w:rPr>
                <w:rStyle w:val="73"/>
                <w:rFonts w:hint="eastAsia" w:ascii="Times New Roman" w:hAnsi="Times New Roman" w:eastAsia="仿宋_GB2312" w:cs="仿宋_GB2312"/>
                <w:b/>
                <w:bCs/>
                <w:color w:val="auto"/>
                <w:sz w:val="24"/>
                <w:szCs w:val="24"/>
                <w:highlight w:val="none"/>
                <w:lang w:val="en-US" w:eastAsia="zh-CN" w:bidi="ar"/>
              </w:rPr>
              <w:t>1</w:t>
            </w:r>
            <w:r>
              <w:rPr>
                <w:rStyle w:val="73"/>
                <w:rFonts w:hint="eastAsia" w:ascii="仿宋_GB2312" w:hAnsi="仿宋_GB2312" w:cs="仿宋_GB2312"/>
                <w:b/>
                <w:bCs/>
                <w:color w:val="auto"/>
                <w:sz w:val="24"/>
                <w:szCs w:val="24"/>
                <w:highlight w:val="none"/>
                <w:lang w:val="en-US" w:eastAsia="zh-CN" w:bidi="ar"/>
              </w:rPr>
              <w:t>）</w:t>
            </w:r>
          </w:p>
          <w:p w14:paraId="79CA51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Style w:val="73"/>
                <w:rFonts w:hint="eastAsia" w:ascii="仿宋_GB2312" w:hAnsi="仿宋_GB2312" w:eastAsia="仿宋_GB2312" w:cs="仿宋_GB2312"/>
                <w:b/>
                <w:bCs/>
                <w:color w:val="auto"/>
                <w:sz w:val="24"/>
                <w:szCs w:val="24"/>
                <w:highlight w:val="none"/>
                <w:lang w:val="en-US" w:eastAsia="zh-CN" w:bidi="ar"/>
              </w:rPr>
              <w:t>党建工作</w:t>
            </w:r>
          </w:p>
        </w:tc>
        <w:tc>
          <w:tcPr>
            <w:tcW w:w="504" w:type="dxa"/>
            <w:noWrap w:val="0"/>
            <w:vAlign w:val="center"/>
          </w:tcPr>
          <w:p w14:paraId="6B3019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Fonts w:hint="eastAsia" w:ascii="Times New Roman" w:hAnsi="Times New Roman" w:eastAsia="仿宋_GB2312" w:cs="仿宋_GB2312"/>
                <w:b/>
                <w:bCs/>
                <w:i w:val="0"/>
                <w:iCs w:val="0"/>
                <w:color w:val="auto"/>
                <w:sz w:val="24"/>
                <w:szCs w:val="24"/>
                <w:highlight w:val="none"/>
                <w:u w:val="none"/>
                <w:lang w:val="en-US" w:eastAsia="zh-CN"/>
              </w:rPr>
              <w:t>3</w:t>
            </w:r>
          </w:p>
        </w:tc>
        <w:tc>
          <w:tcPr>
            <w:tcW w:w="8992" w:type="dxa"/>
            <w:noWrap w:val="0"/>
            <w:vAlign w:val="center"/>
          </w:tcPr>
          <w:p w14:paraId="5803C37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1</w:t>
            </w:r>
            <w:r>
              <w:rPr>
                <w:rFonts w:hint="eastAsia" w:ascii="仿宋_GB2312" w:hAnsi="仿宋_GB2312" w:eastAsia="仿宋_GB2312" w:cs="仿宋_GB2312"/>
                <w:i w:val="0"/>
                <w:iCs w:val="0"/>
                <w:color w:val="auto"/>
                <w:kern w:val="0"/>
                <w:sz w:val="21"/>
                <w:szCs w:val="21"/>
                <w:highlight w:val="none"/>
                <w:u w:val="none"/>
                <w:lang w:val="en-US" w:eastAsia="zh-CN" w:bidi="ar"/>
              </w:rPr>
              <w:t>.党建工作纳入公司章程，公司员工有</w:t>
            </w:r>
            <w:r>
              <w:rPr>
                <w:rFonts w:hint="eastAsia" w:ascii="Times New Roman" w:hAnsi="Times New Roman" w:eastAsia="仿宋_GB2312" w:cs="仿宋_GB2312"/>
                <w:i w:val="0"/>
                <w:iCs w:val="0"/>
                <w:color w:val="auto"/>
                <w:kern w:val="0"/>
                <w:sz w:val="21"/>
                <w:szCs w:val="21"/>
                <w:highlight w:val="none"/>
                <w:u w:val="none"/>
                <w:lang w:val="en-US" w:eastAsia="zh-CN" w:bidi="ar"/>
              </w:rPr>
              <w:t>3</w:t>
            </w:r>
            <w:r>
              <w:rPr>
                <w:rFonts w:hint="eastAsia" w:ascii="仿宋_GB2312" w:hAnsi="仿宋_GB2312" w:eastAsia="仿宋_GB2312" w:cs="仿宋_GB2312"/>
                <w:i w:val="0"/>
                <w:iCs w:val="0"/>
                <w:color w:val="auto"/>
                <w:kern w:val="0"/>
                <w:sz w:val="21"/>
                <w:szCs w:val="21"/>
                <w:highlight w:val="none"/>
                <w:u w:val="none"/>
                <w:lang w:val="en-US" w:eastAsia="zh-CN" w:bidi="ar"/>
              </w:rPr>
              <w:t>名以上党员且按规定成立党支部，能按党章规定规范组织开展党组织活动（包括但不限于“三会一课”）的，得</w:t>
            </w:r>
            <w:r>
              <w:rPr>
                <w:rFonts w:hint="eastAsia" w:ascii="Times New Roman" w:hAnsi="Times New Roman" w:eastAsia="仿宋_GB2312" w:cs="仿宋_GB2312"/>
                <w:i w:val="0"/>
                <w:iCs w:val="0"/>
                <w:color w:val="auto"/>
                <w:kern w:val="0"/>
                <w:sz w:val="21"/>
                <w:szCs w:val="21"/>
                <w:highlight w:val="none"/>
                <w:u w:val="none"/>
                <w:lang w:val="en-US" w:eastAsia="zh-CN" w:bidi="ar"/>
              </w:rPr>
              <w:t>3</w:t>
            </w:r>
            <w:r>
              <w:rPr>
                <w:rFonts w:hint="eastAsia" w:ascii="仿宋_GB2312" w:hAnsi="仿宋_GB2312" w:eastAsia="仿宋_GB2312" w:cs="仿宋_GB2312"/>
                <w:i w:val="0"/>
                <w:iCs w:val="0"/>
                <w:color w:val="auto"/>
                <w:kern w:val="0"/>
                <w:sz w:val="21"/>
                <w:szCs w:val="21"/>
                <w:highlight w:val="none"/>
                <w:u w:val="none"/>
                <w:lang w:val="en-US" w:eastAsia="zh-CN" w:bidi="ar"/>
              </w:rPr>
              <w:t>分；</w:t>
            </w:r>
          </w:p>
          <w:p w14:paraId="5108419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2</w:t>
            </w:r>
            <w:r>
              <w:rPr>
                <w:rFonts w:hint="eastAsia" w:ascii="仿宋_GB2312" w:hAnsi="仿宋_GB2312" w:eastAsia="仿宋_GB2312" w:cs="仿宋_GB2312"/>
                <w:i w:val="0"/>
                <w:iCs w:val="0"/>
                <w:color w:val="auto"/>
                <w:kern w:val="0"/>
                <w:sz w:val="21"/>
                <w:szCs w:val="21"/>
                <w:highlight w:val="none"/>
                <w:u w:val="none"/>
                <w:lang w:val="en-US" w:eastAsia="zh-CN" w:bidi="ar"/>
              </w:rPr>
              <w:t>.党建工作纳入公司章程，公司员工中不足</w:t>
            </w:r>
            <w:r>
              <w:rPr>
                <w:rFonts w:hint="eastAsia" w:ascii="Times New Roman" w:hAnsi="Times New Roman" w:eastAsia="仿宋_GB2312" w:cs="仿宋_GB2312"/>
                <w:i w:val="0"/>
                <w:iCs w:val="0"/>
                <w:color w:val="auto"/>
                <w:kern w:val="0"/>
                <w:sz w:val="21"/>
                <w:szCs w:val="21"/>
                <w:highlight w:val="none"/>
                <w:u w:val="none"/>
                <w:lang w:val="en-US" w:eastAsia="zh-CN" w:bidi="ar"/>
              </w:rPr>
              <w:t>3</w:t>
            </w:r>
            <w:r>
              <w:rPr>
                <w:rFonts w:hint="eastAsia" w:ascii="仿宋_GB2312" w:hAnsi="仿宋_GB2312" w:eastAsia="仿宋_GB2312" w:cs="仿宋_GB2312"/>
                <w:i w:val="0"/>
                <w:iCs w:val="0"/>
                <w:color w:val="auto"/>
                <w:kern w:val="0"/>
                <w:sz w:val="21"/>
                <w:szCs w:val="21"/>
                <w:highlight w:val="none"/>
                <w:u w:val="none"/>
                <w:lang w:val="en-US" w:eastAsia="zh-CN" w:bidi="ar"/>
              </w:rPr>
              <w:t>名党员未成立党支部，但党员能在其他联建党支部中参加党组织活动的，得</w:t>
            </w:r>
            <w:r>
              <w:rPr>
                <w:rFonts w:hint="eastAsia" w:ascii="Times New Roman" w:hAnsi="Times New Roman" w:eastAsia="仿宋_GB2312" w:cs="仿宋_GB2312"/>
                <w:i w:val="0"/>
                <w:iCs w:val="0"/>
                <w:color w:val="auto"/>
                <w:kern w:val="0"/>
                <w:sz w:val="21"/>
                <w:szCs w:val="21"/>
                <w:highlight w:val="none"/>
                <w:u w:val="none"/>
                <w:lang w:val="en-US" w:eastAsia="zh-CN" w:bidi="ar"/>
              </w:rPr>
              <w:t>2</w:t>
            </w:r>
            <w:r>
              <w:rPr>
                <w:rFonts w:hint="eastAsia" w:ascii="仿宋_GB2312" w:hAnsi="仿宋_GB2312" w:eastAsia="仿宋_GB2312" w:cs="仿宋_GB2312"/>
                <w:i w:val="0"/>
                <w:iCs w:val="0"/>
                <w:color w:val="auto"/>
                <w:kern w:val="0"/>
                <w:sz w:val="21"/>
                <w:szCs w:val="21"/>
                <w:highlight w:val="none"/>
                <w:u w:val="none"/>
                <w:lang w:val="en-US" w:eastAsia="zh-CN" w:bidi="ar"/>
              </w:rPr>
              <w:t>分；</w:t>
            </w:r>
          </w:p>
          <w:p w14:paraId="462099B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3</w:t>
            </w:r>
            <w:r>
              <w:rPr>
                <w:rFonts w:hint="eastAsia" w:ascii="仿宋_GB2312" w:hAnsi="仿宋_GB2312" w:eastAsia="仿宋_GB2312" w:cs="仿宋_GB2312"/>
                <w:i w:val="0"/>
                <w:iCs w:val="0"/>
                <w:color w:val="auto"/>
                <w:kern w:val="0"/>
                <w:sz w:val="21"/>
                <w:szCs w:val="21"/>
                <w:highlight w:val="none"/>
                <w:u w:val="none"/>
                <w:lang w:val="en-US" w:eastAsia="zh-CN" w:bidi="ar"/>
              </w:rPr>
              <w:t>.党建工作未纳入公司章程，但党员能在其他联建党支部中参加党组织活动的，得</w:t>
            </w:r>
            <w:r>
              <w:rPr>
                <w:rFonts w:hint="eastAsia" w:ascii="Times New Roman" w:hAnsi="Times New Roman" w:eastAsia="仿宋_GB2312" w:cs="仿宋_GB2312"/>
                <w:i w:val="0"/>
                <w:iCs w:val="0"/>
                <w:color w:val="auto"/>
                <w:kern w:val="0"/>
                <w:sz w:val="21"/>
                <w:szCs w:val="21"/>
                <w:highlight w:val="none"/>
                <w:u w:val="none"/>
                <w:lang w:val="en-US" w:eastAsia="zh-CN" w:bidi="ar"/>
              </w:rPr>
              <w:t>1</w:t>
            </w:r>
            <w:r>
              <w:rPr>
                <w:rFonts w:hint="eastAsia" w:ascii="仿宋_GB2312" w:hAnsi="仿宋_GB2312" w:eastAsia="仿宋_GB2312" w:cs="仿宋_GB2312"/>
                <w:i w:val="0"/>
                <w:iCs w:val="0"/>
                <w:color w:val="auto"/>
                <w:kern w:val="0"/>
                <w:sz w:val="21"/>
                <w:szCs w:val="21"/>
                <w:highlight w:val="none"/>
                <w:u w:val="none"/>
                <w:lang w:val="en-US" w:eastAsia="zh-CN" w:bidi="ar"/>
              </w:rPr>
              <w:t>分；</w:t>
            </w:r>
          </w:p>
          <w:p w14:paraId="4FED0592">
            <w:pPr>
              <w:keepNext w:val="0"/>
              <w:keepLines w:val="0"/>
              <w:pageBreakBefore w:val="0"/>
              <w:kinsoku/>
              <w:wordWrap/>
              <w:overflowPunct/>
              <w:topLinePunct w:val="0"/>
              <w:autoSpaceDE/>
              <w:autoSpaceDN/>
              <w:bidi w:val="0"/>
              <w:adjustRightInd/>
              <w:snapToGrid/>
              <w:spacing w:line="320" w:lineRule="exact"/>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4</w:t>
            </w:r>
            <w:r>
              <w:rPr>
                <w:rFonts w:hint="eastAsia" w:ascii="仿宋_GB2312" w:hAnsi="仿宋_GB2312" w:eastAsia="仿宋_GB2312" w:cs="仿宋_GB2312"/>
                <w:i w:val="0"/>
                <w:iCs w:val="0"/>
                <w:color w:val="auto"/>
                <w:kern w:val="0"/>
                <w:sz w:val="21"/>
                <w:szCs w:val="21"/>
                <w:highlight w:val="none"/>
                <w:u w:val="none"/>
                <w:lang w:val="en-US" w:eastAsia="zh-CN" w:bidi="ar"/>
              </w:rPr>
              <w:t>.党建工作未纳入公司章程，且公司职工党员未参加党组织活动的，得</w:t>
            </w:r>
            <w:r>
              <w:rPr>
                <w:rFonts w:hint="eastAsia" w:ascii="Times New Roman" w:hAnsi="Times New Roman" w:eastAsia="仿宋_GB2312" w:cs="仿宋_GB2312"/>
                <w:i w:val="0"/>
                <w:iCs w:val="0"/>
                <w:color w:val="auto"/>
                <w:kern w:val="0"/>
                <w:sz w:val="21"/>
                <w:szCs w:val="21"/>
                <w:highlight w:val="none"/>
                <w:u w:val="none"/>
                <w:lang w:val="en-US" w:eastAsia="zh-CN" w:bidi="ar"/>
              </w:rPr>
              <w:t>0</w:t>
            </w:r>
            <w:r>
              <w:rPr>
                <w:rFonts w:hint="eastAsia" w:ascii="仿宋_GB2312" w:hAnsi="仿宋_GB2312" w:eastAsia="仿宋_GB2312" w:cs="仿宋_GB2312"/>
                <w:i w:val="0"/>
                <w:iCs w:val="0"/>
                <w:color w:val="auto"/>
                <w:kern w:val="0"/>
                <w:sz w:val="21"/>
                <w:szCs w:val="21"/>
                <w:highlight w:val="none"/>
                <w:u w:val="none"/>
                <w:lang w:val="en-US" w:eastAsia="zh-CN" w:bidi="ar"/>
              </w:rPr>
              <w:t>分。</w:t>
            </w:r>
          </w:p>
        </w:tc>
        <w:tc>
          <w:tcPr>
            <w:tcW w:w="705" w:type="dxa"/>
            <w:noWrap w:val="0"/>
            <w:vAlign w:val="top"/>
          </w:tcPr>
          <w:p w14:paraId="04D67260">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2C4BE015">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07A0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3" w:type="dxa"/>
            <w:vMerge w:val="continue"/>
            <w:noWrap w:val="0"/>
            <w:vAlign w:val="top"/>
          </w:tcPr>
          <w:p w14:paraId="2BDF0E38">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p>
        </w:tc>
        <w:tc>
          <w:tcPr>
            <w:tcW w:w="1536" w:type="dxa"/>
            <w:noWrap w:val="0"/>
            <w:vAlign w:val="center"/>
          </w:tcPr>
          <w:p w14:paraId="4BA34B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73"/>
                <w:rFonts w:ascii="仿宋_GB2312" w:hAnsi="仿宋_GB2312" w:eastAsia="仿宋_GB2312" w:cs="仿宋_GB2312"/>
                <w:b/>
                <w:bCs/>
                <w:color w:val="auto"/>
                <w:sz w:val="24"/>
                <w:szCs w:val="24"/>
                <w:highlight w:val="none"/>
                <w:lang w:val="en-US" w:eastAsia="zh-CN" w:bidi="ar"/>
              </w:rPr>
            </w:pPr>
            <w:r>
              <w:rPr>
                <w:rStyle w:val="73"/>
                <w:rFonts w:ascii="仿宋_GB2312" w:hAnsi="仿宋_GB2312" w:cs="仿宋_GB2312"/>
                <w:b/>
                <w:bCs/>
                <w:color w:val="auto"/>
                <w:sz w:val="24"/>
                <w:szCs w:val="24"/>
                <w:highlight w:val="none"/>
                <w:lang w:val="en-US" w:eastAsia="zh-CN" w:bidi="ar"/>
              </w:rPr>
              <w:t>（</w:t>
            </w:r>
            <w:r>
              <w:rPr>
                <w:rFonts w:hint="eastAsia" w:ascii="Times New Roman" w:hAnsi="Times New Roman" w:eastAsia="仿宋_GB2312" w:cs="仿宋_GB2312"/>
                <w:b/>
                <w:bCs/>
                <w:i w:val="0"/>
                <w:iCs w:val="0"/>
                <w:color w:val="auto"/>
                <w:kern w:val="0"/>
                <w:sz w:val="24"/>
                <w:szCs w:val="24"/>
                <w:highlight w:val="none"/>
                <w:u w:val="none"/>
                <w:lang w:val="en-US" w:eastAsia="zh-CN" w:bidi="ar"/>
              </w:rPr>
              <w:t>2</w:t>
            </w:r>
            <w:r>
              <w:rPr>
                <w:rFonts w:hint="eastAsia" w:ascii="Times New Roman" w:hAnsi="Times New Roman" w:cs="仿宋_GB2312"/>
                <w:b/>
                <w:bCs/>
                <w:i w:val="0"/>
                <w:iCs w:val="0"/>
                <w:color w:val="auto"/>
                <w:kern w:val="0"/>
                <w:sz w:val="24"/>
                <w:szCs w:val="24"/>
                <w:highlight w:val="none"/>
                <w:u w:val="none"/>
                <w:lang w:val="en-US" w:eastAsia="zh-CN" w:bidi="ar"/>
              </w:rPr>
              <w:t>）</w:t>
            </w:r>
          </w:p>
          <w:p w14:paraId="1CFBD2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bCs/>
                <w:color w:val="auto"/>
                <w:kern w:val="2"/>
                <w:sz w:val="24"/>
                <w:szCs w:val="24"/>
                <w:highlight w:val="none"/>
                <w:u w:val="none"/>
                <w:lang w:val="en-US" w:eastAsia="zh-CN" w:bidi="ar"/>
              </w:rPr>
            </w:pPr>
            <w:r>
              <w:rPr>
                <w:rStyle w:val="73"/>
                <w:rFonts w:ascii="仿宋_GB2312" w:hAnsi="仿宋_GB2312" w:eastAsia="仿宋_GB2312" w:cs="仿宋_GB2312"/>
                <w:b/>
                <w:bCs/>
                <w:color w:val="auto"/>
                <w:sz w:val="24"/>
                <w:szCs w:val="24"/>
                <w:highlight w:val="none"/>
                <w:lang w:val="en-US" w:eastAsia="zh-CN" w:bidi="ar"/>
              </w:rPr>
              <w:t>治理结构</w:t>
            </w:r>
          </w:p>
        </w:tc>
        <w:tc>
          <w:tcPr>
            <w:tcW w:w="504" w:type="dxa"/>
            <w:noWrap w:val="0"/>
            <w:vAlign w:val="center"/>
          </w:tcPr>
          <w:p w14:paraId="1449F8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Fonts w:hint="eastAsia" w:ascii="Times New Roman" w:hAnsi="Times New Roman" w:eastAsia="仿宋_GB2312" w:cs="仿宋_GB2312"/>
                <w:b/>
                <w:bCs/>
                <w:i w:val="0"/>
                <w:iCs w:val="0"/>
                <w:color w:val="auto"/>
                <w:kern w:val="0"/>
                <w:sz w:val="24"/>
                <w:szCs w:val="24"/>
                <w:highlight w:val="none"/>
                <w:u w:val="none"/>
                <w:lang w:val="en-US" w:eastAsia="zh-CN" w:bidi="ar"/>
              </w:rPr>
              <w:t>2</w:t>
            </w:r>
          </w:p>
        </w:tc>
        <w:tc>
          <w:tcPr>
            <w:tcW w:w="8992" w:type="dxa"/>
            <w:noWrap w:val="0"/>
            <w:vAlign w:val="center"/>
          </w:tcPr>
          <w:p w14:paraId="48DC9282">
            <w:pPr>
              <w:keepNext w:val="0"/>
              <w:keepLines w:val="0"/>
              <w:pageBreakBefore w:val="0"/>
              <w:kinsoku/>
              <w:wordWrap/>
              <w:overflowPunct/>
              <w:topLinePunct w:val="0"/>
              <w:autoSpaceDE/>
              <w:autoSpaceDN/>
              <w:bidi w:val="0"/>
              <w:adjustRightInd/>
              <w:snapToGrid/>
              <w:spacing w:line="320" w:lineRule="exact"/>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公司治理结构健全，股东会（股东）、董事会（董事）、监事会（监事）和经理之间的权责关系明确，议事规则、决策程序有效的，得</w:t>
            </w:r>
            <w:r>
              <w:rPr>
                <w:rFonts w:hint="eastAsia" w:ascii="Times New Roman" w:hAnsi="Times New Roman" w:eastAsia="仿宋_GB2312" w:cs="仿宋_GB2312"/>
                <w:color w:val="auto"/>
                <w:kern w:val="0"/>
                <w:sz w:val="21"/>
                <w:szCs w:val="21"/>
                <w:highlight w:val="none"/>
                <w:lang w:val="en-US" w:eastAsia="zh-CN" w:bidi="ar"/>
              </w:rPr>
              <w:t>2</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color w:val="auto"/>
                <w:kern w:val="0"/>
                <w:sz w:val="21"/>
                <w:szCs w:val="21"/>
                <w:highlight w:val="none"/>
                <w:lang w:val="en-US" w:eastAsia="zh-CN" w:bidi="ar"/>
              </w:rPr>
              <w:br w:type="textWrapping"/>
            </w:r>
            <w:r>
              <w:rPr>
                <w:rFonts w:hint="eastAsia" w:ascii="Times New Roman" w:hAnsi="Times New Roman" w:eastAsia="仿宋_GB2312" w:cs="仿宋_GB2312"/>
                <w:color w:val="auto"/>
                <w:kern w:val="0"/>
                <w:sz w:val="21"/>
                <w:szCs w:val="21"/>
                <w:highlight w:val="none"/>
                <w:lang w:val="en-US" w:eastAsia="zh-CN" w:bidi="ar"/>
              </w:rPr>
              <w:t>2</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公司治理结构有待完善，股东会（股东）、董事会（董事）、监事会（监事）和经理之间的权责关系基本明确，议事规则、决策程序较为合理的，得</w:t>
            </w:r>
            <w:r>
              <w:rPr>
                <w:rFonts w:hint="eastAsia" w:ascii="Times New Roman" w:hAnsi="Times New Roman" w:eastAsia="仿宋_GB2312" w:cs="仿宋_GB2312"/>
                <w:color w:val="auto"/>
                <w:kern w:val="0"/>
                <w:sz w:val="21"/>
                <w:szCs w:val="21"/>
                <w:highlight w:val="none"/>
                <w:lang w:val="en-US" w:eastAsia="zh-CN" w:bidi="ar"/>
              </w:rPr>
              <w:t>1</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color w:val="auto"/>
                <w:kern w:val="0"/>
                <w:sz w:val="21"/>
                <w:szCs w:val="21"/>
                <w:highlight w:val="none"/>
                <w:lang w:val="en-US" w:eastAsia="zh-CN" w:bidi="ar"/>
              </w:rPr>
              <w:br w:type="textWrapping"/>
            </w:r>
            <w:r>
              <w:rPr>
                <w:rFonts w:hint="eastAsia" w:ascii="Times New Roman" w:hAnsi="Times New Roman" w:eastAsia="仿宋_GB2312" w:cs="仿宋_GB2312"/>
                <w:color w:val="auto"/>
                <w:kern w:val="0"/>
                <w:sz w:val="21"/>
                <w:szCs w:val="21"/>
                <w:highlight w:val="none"/>
                <w:lang w:val="en-US" w:eastAsia="zh-CN" w:bidi="ar"/>
              </w:rPr>
              <w:t>3</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公司治理结构不健全，股东会（股东）、董事会（董事）、监事会（监事）和经理之间的权责关系不明确，议事规则、决策程序混乱的，得</w:t>
            </w:r>
            <w:r>
              <w:rPr>
                <w:rFonts w:hint="eastAsia" w:ascii="Times New Roman" w:hAnsi="Times New Roman" w:eastAsia="仿宋_GB2312" w:cs="仿宋_GB2312"/>
                <w:color w:val="auto"/>
                <w:kern w:val="0"/>
                <w:sz w:val="21"/>
                <w:szCs w:val="21"/>
                <w:highlight w:val="none"/>
                <w:lang w:val="en-US" w:eastAsia="zh-CN" w:bidi="ar"/>
              </w:rPr>
              <w:t>0</w:t>
            </w:r>
            <w:r>
              <w:rPr>
                <w:rFonts w:ascii="仿宋_GB2312" w:hAnsi="仿宋_GB2312" w:eastAsia="仿宋_GB2312" w:cs="仿宋_GB2312"/>
                <w:color w:val="auto"/>
                <w:kern w:val="0"/>
                <w:sz w:val="21"/>
                <w:szCs w:val="21"/>
                <w:highlight w:val="none"/>
                <w:lang w:val="en-US" w:eastAsia="zh-CN" w:bidi="ar"/>
              </w:rPr>
              <w:t>分。</w:t>
            </w:r>
          </w:p>
        </w:tc>
        <w:tc>
          <w:tcPr>
            <w:tcW w:w="705" w:type="dxa"/>
            <w:noWrap w:val="0"/>
            <w:vAlign w:val="top"/>
          </w:tcPr>
          <w:p w14:paraId="3FB65759">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1B7A84AA">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5F7D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3" w:type="dxa"/>
            <w:vMerge w:val="continue"/>
            <w:noWrap w:val="0"/>
            <w:vAlign w:val="top"/>
          </w:tcPr>
          <w:p w14:paraId="4549F0FD">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p>
        </w:tc>
        <w:tc>
          <w:tcPr>
            <w:tcW w:w="1536" w:type="dxa"/>
            <w:noWrap w:val="0"/>
            <w:vAlign w:val="center"/>
          </w:tcPr>
          <w:p w14:paraId="7FB991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73"/>
                <w:rFonts w:ascii="仿宋_GB2312" w:hAnsi="仿宋_GB2312" w:eastAsia="仿宋_GB2312" w:cs="仿宋_GB2312"/>
                <w:b/>
                <w:bCs/>
                <w:color w:val="auto"/>
                <w:sz w:val="24"/>
                <w:szCs w:val="24"/>
                <w:highlight w:val="none"/>
                <w:lang w:val="en-US" w:eastAsia="zh-CN" w:bidi="ar"/>
              </w:rPr>
            </w:pPr>
            <w:r>
              <w:rPr>
                <w:rStyle w:val="73"/>
                <w:rFonts w:ascii="仿宋_GB2312" w:hAnsi="仿宋_GB2312" w:cs="仿宋_GB2312"/>
                <w:b/>
                <w:bCs/>
                <w:color w:val="auto"/>
                <w:sz w:val="24"/>
                <w:szCs w:val="24"/>
                <w:highlight w:val="none"/>
                <w:lang w:val="en-US" w:eastAsia="zh-CN" w:bidi="ar"/>
              </w:rPr>
              <w:t>（</w:t>
            </w:r>
            <w:r>
              <w:rPr>
                <w:rFonts w:hint="eastAsia" w:eastAsia="仿宋_GB2312" w:cs="仿宋_GB2312"/>
                <w:b/>
                <w:bCs/>
                <w:i w:val="0"/>
                <w:iCs w:val="0"/>
                <w:color w:val="auto"/>
                <w:kern w:val="0"/>
                <w:sz w:val="24"/>
                <w:szCs w:val="24"/>
                <w:highlight w:val="none"/>
                <w:u w:val="none"/>
                <w:lang w:val="en-US" w:eastAsia="zh-CN" w:bidi="ar"/>
              </w:rPr>
              <w:t>3</w:t>
            </w:r>
            <w:r>
              <w:rPr>
                <w:rFonts w:hint="eastAsia" w:cs="仿宋_GB2312"/>
                <w:b/>
                <w:bCs/>
                <w:i w:val="0"/>
                <w:iCs w:val="0"/>
                <w:color w:val="auto"/>
                <w:kern w:val="0"/>
                <w:sz w:val="24"/>
                <w:szCs w:val="24"/>
                <w:highlight w:val="none"/>
                <w:u w:val="none"/>
                <w:lang w:val="en-US" w:eastAsia="zh-CN" w:bidi="ar"/>
              </w:rPr>
              <w:t>）</w:t>
            </w:r>
          </w:p>
          <w:p w14:paraId="23A11A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Style w:val="73"/>
                <w:rFonts w:ascii="仿宋_GB2312" w:hAnsi="仿宋_GB2312" w:eastAsia="仿宋_GB2312" w:cs="仿宋_GB2312"/>
                <w:b/>
                <w:bCs/>
                <w:color w:val="auto"/>
                <w:sz w:val="24"/>
                <w:szCs w:val="24"/>
                <w:highlight w:val="none"/>
                <w:lang w:val="en-US" w:eastAsia="zh-CN" w:bidi="ar"/>
              </w:rPr>
              <w:t>履责情况</w:t>
            </w:r>
          </w:p>
        </w:tc>
        <w:tc>
          <w:tcPr>
            <w:tcW w:w="504" w:type="dxa"/>
            <w:noWrap w:val="0"/>
            <w:vAlign w:val="center"/>
          </w:tcPr>
          <w:p w14:paraId="7F9A5C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Fonts w:hint="eastAsia" w:ascii="Times New Roman" w:hAnsi="Times New Roman" w:eastAsia="仿宋_GB2312" w:cs="仿宋_GB2312"/>
                <w:b/>
                <w:bCs/>
                <w:i w:val="0"/>
                <w:iCs w:val="0"/>
                <w:color w:val="auto"/>
                <w:kern w:val="0"/>
                <w:sz w:val="24"/>
                <w:szCs w:val="24"/>
                <w:highlight w:val="none"/>
                <w:u w:val="none"/>
                <w:lang w:val="en-US" w:eastAsia="zh-CN" w:bidi="ar"/>
              </w:rPr>
              <w:t>2</w:t>
            </w:r>
          </w:p>
        </w:tc>
        <w:tc>
          <w:tcPr>
            <w:tcW w:w="8992" w:type="dxa"/>
            <w:noWrap w:val="0"/>
            <w:vAlign w:val="center"/>
          </w:tcPr>
          <w:p w14:paraId="0E10160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每年按规定召开相关会议，能够按照相关议事规则、决策程序和内审制度科学高效运作的，得</w:t>
            </w:r>
            <w:r>
              <w:rPr>
                <w:rFonts w:hint="eastAsia" w:ascii="Times New Roman" w:hAnsi="Times New Roman" w:eastAsia="仿宋_GB2312" w:cs="仿宋_GB2312"/>
                <w:color w:val="auto"/>
                <w:kern w:val="0"/>
                <w:sz w:val="21"/>
                <w:szCs w:val="21"/>
                <w:highlight w:val="none"/>
                <w:lang w:val="en-US" w:eastAsia="zh-CN" w:bidi="ar"/>
              </w:rPr>
              <w:t>2</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color w:val="auto"/>
                <w:kern w:val="0"/>
                <w:sz w:val="21"/>
                <w:szCs w:val="21"/>
                <w:highlight w:val="none"/>
                <w:lang w:val="en-US" w:eastAsia="zh-CN" w:bidi="ar"/>
              </w:rPr>
              <w:br w:type="textWrapping"/>
            </w:r>
            <w:r>
              <w:rPr>
                <w:rFonts w:hint="eastAsia" w:ascii="Times New Roman" w:hAnsi="Times New Roman" w:eastAsia="仿宋_GB2312" w:cs="仿宋_GB2312"/>
                <w:color w:val="auto"/>
                <w:kern w:val="0"/>
                <w:sz w:val="21"/>
                <w:szCs w:val="21"/>
                <w:highlight w:val="none"/>
                <w:lang w:val="en-US" w:eastAsia="zh-CN" w:bidi="ar"/>
              </w:rPr>
              <w:t>2</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基本按规定召开相关会议，基本按照相关议事规则、决策程序和内审制度运作的，得</w:t>
            </w:r>
            <w:r>
              <w:rPr>
                <w:rFonts w:hint="eastAsia" w:ascii="Times New Roman" w:hAnsi="Times New Roman" w:eastAsia="仿宋_GB2312" w:cs="仿宋_GB2312"/>
                <w:color w:val="auto"/>
                <w:kern w:val="0"/>
                <w:sz w:val="21"/>
                <w:szCs w:val="21"/>
                <w:highlight w:val="none"/>
                <w:lang w:val="en-US" w:eastAsia="zh-CN" w:bidi="ar"/>
              </w:rPr>
              <w:t>1</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color w:val="auto"/>
                <w:kern w:val="0"/>
                <w:sz w:val="21"/>
                <w:szCs w:val="21"/>
                <w:highlight w:val="none"/>
                <w:lang w:val="en-US" w:eastAsia="zh-CN" w:bidi="ar"/>
              </w:rPr>
              <w:br w:type="textWrapping"/>
            </w:r>
            <w:r>
              <w:rPr>
                <w:rFonts w:hint="eastAsia" w:ascii="Times New Roman" w:hAnsi="Times New Roman" w:eastAsia="仿宋_GB2312" w:cs="仿宋_GB2312"/>
                <w:color w:val="auto"/>
                <w:kern w:val="0"/>
                <w:sz w:val="21"/>
                <w:szCs w:val="21"/>
                <w:highlight w:val="none"/>
                <w:lang w:val="en-US" w:eastAsia="zh-CN" w:bidi="ar"/>
              </w:rPr>
              <w:t>3</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未按规定召开相关会议，未按照相关议事规则、决策程序和内审制度运作的，得</w:t>
            </w:r>
            <w:r>
              <w:rPr>
                <w:rFonts w:hint="eastAsia" w:ascii="Times New Roman" w:hAnsi="Times New Roman" w:eastAsia="仿宋_GB2312" w:cs="仿宋_GB2312"/>
                <w:color w:val="auto"/>
                <w:kern w:val="0"/>
                <w:sz w:val="21"/>
                <w:szCs w:val="21"/>
                <w:highlight w:val="none"/>
                <w:lang w:val="en-US" w:eastAsia="zh-CN" w:bidi="ar"/>
              </w:rPr>
              <w:t>0</w:t>
            </w:r>
            <w:r>
              <w:rPr>
                <w:rFonts w:ascii="仿宋_GB2312" w:hAnsi="仿宋_GB2312" w:eastAsia="仿宋_GB2312" w:cs="仿宋_GB2312"/>
                <w:color w:val="auto"/>
                <w:kern w:val="0"/>
                <w:sz w:val="21"/>
                <w:szCs w:val="21"/>
                <w:highlight w:val="none"/>
                <w:lang w:val="en-US" w:eastAsia="zh-CN" w:bidi="ar"/>
              </w:rPr>
              <w:t>分。</w:t>
            </w:r>
          </w:p>
        </w:tc>
        <w:tc>
          <w:tcPr>
            <w:tcW w:w="705" w:type="dxa"/>
            <w:noWrap w:val="0"/>
            <w:vAlign w:val="top"/>
          </w:tcPr>
          <w:p w14:paraId="0F49CF14">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29B10961">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1731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3" w:type="dxa"/>
            <w:vMerge w:val="continue"/>
            <w:noWrap w:val="0"/>
            <w:vAlign w:val="center"/>
          </w:tcPr>
          <w:p w14:paraId="6A97D233">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p>
        </w:tc>
        <w:tc>
          <w:tcPr>
            <w:tcW w:w="1536" w:type="dxa"/>
            <w:noWrap w:val="0"/>
            <w:vAlign w:val="center"/>
          </w:tcPr>
          <w:p w14:paraId="09D730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73"/>
                <w:rFonts w:ascii="仿宋_GB2312" w:hAnsi="仿宋_GB2312" w:eastAsia="仿宋_GB2312" w:cs="仿宋_GB2312"/>
                <w:b/>
                <w:bCs/>
                <w:color w:val="auto"/>
                <w:sz w:val="24"/>
                <w:szCs w:val="24"/>
                <w:highlight w:val="none"/>
                <w:lang w:val="en-US" w:eastAsia="zh-CN" w:bidi="ar"/>
              </w:rPr>
            </w:pPr>
            <w:r>
              <w:rPr>
                <w:rStyle w:val="73"/>
                <w:rFonts w:ascii="仿宋_GB2312" w:hAnsi="仿宋_GB2312" w:cs="仿宋_GB2312"/>
                <w:b/>
                <w:bCs/>
                <w:color w:val="auto"/>
                <w:sz w:val="24"/>
                <w:szCs w:val="24"/>
                <w:highlight w:val="none"/>
                <w:lang w:val="en-US" w:eastAsia="zh-CN" w:bidi="ar"/>
              </w:rPr>
              <w:t>（</w:t>
            </w:r>
            <w:r>
              <w:rPr>
                <w:rFonts w:hint="eastAsia" w:eastAsia="仿宋_GB2312" w:cs="仿宋_GB2312"/>
                <w:b/>
                <w:bCs/>
                <w:i w:val="0"/>
                <w:iCs w:val="0"/>
                <w:color w:val="auto"/>
                <w:kern w:val="0"/>
                <w:sz w:val="24"/>
                <w:szCs w:val="24"/>
                <w:highlight w:val="none"/>
                <w:u w:val="none"/>
                <w:lang w:val="en-US" w:eastAsia="zh-CN" w:bidi="ar"/>
              </w:rPr>
              <w:t>4</w:t>
            </w:r>
            <w:r>
              <w:rPr>
                <w:rFonts w:hint="eastAsia" w:cs="仿宋_GB2312"/>
                <w:b/>
                <w:bCs/>
                <w:i w:val="0"/>
                <w:iCs w:val="0"/>
                <w:color w:val="auto"/>
                <w:kern w:val="0"/>
                <w:sz w:val="24"/>
                <w:szCs w:val="24"/>
                <w:highlight w:val="none"/>
                <w:u w:val="none"/>
                <w:lang w:val="en-US" w:eastAsia="zh-CN" w:bidi="ar"/>
              </w:rPr>
              <w:t>）</w:t>
            </w:r>
          </w:p>
          <w:p w14:paraId="09E0ED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Style w:val="73"/>
                <w:rFonts w:ascii="仿宋_GB2312" w:hAnsi="仿宋_GB2312" w:eastAsia="仿宋_GB2312" w:cs="仿宋_GB2312"/>
                <w:b/>
                <w:bCs/>
                <w:color w:val="auto"/>
                <w:sz w:val="24"/>
                <w:szCs w:val="24"/>
                <w:highlight w:val="none"/>
                <w:lang w:val="en-US" w:eastAsia="zh-CN" w:bidi="ar"/>
              </w:rPr>
              <w:t>运营体系</w:t>
            </w:r>
          </w:p>
        </w:tc>
        <w:tc>
          <w:tcPr>
            <w:tcW w:w="504" w:type="dxa"/>
            <w:noWrap w:val="0"/>
            <w:vAlign w:val="center"/>
          </w:tcPr>
          <w:p w14:paraId="3E1FD3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Fonts w:hint="eastAsia" w:eastAsia="仿宋_GB2312" w:cs="仿宋_GB2312"/>
                <w:b/>
                <w:bCs/>
                <w:i w:val="0"/>
                <w:iCs w:val="0"/>
                <w:color w:val="auto"/>
                <w:kern w:val="0"/>
                <w:sz w:val="24"/>
                <w:szCs w:val="24"/>
                <w:highlight w:val="none"/>
                <w:u w:val="none"/>
                <w:lang w:val="en-US" w:eastAsia="zh-CN" w:bidi="ar"/>
              </w:rPr>
              <w:t>2</w:t>
            </w:r>
          </w:p>
        </w:tc>
        <w:tc>
          <w:tcPr>
            <w:tcW w:w="8992" w:type="dxa"/>
            <w:noWrap w:val="0"/>
            <w:vAlign w:val="center"/>
          </w:tcPr>
          <w:p w14:paraId="4ADD22F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1</w:t>
            </w:r>
            <w:r>
              <w:rPr>
                <w:rFonts w:hint="eastAsia" w:ascii="仿宋_GB2312" w:hAnsi="仿宋_GB2312" w:eastAsia="仿宋_GB2312" w:cs="仿宋_GB2312"/>
                <w:i w:val="0"/>
                <w:iCs w:val="0"/>
                <w:color w:val="auto"/>
                <w:kern w:val="0"/>
                <w:sz w:val="21"/>
                <w:szCs w:val="21"/>
                <w:highlight w:val="none"/>
                <w:u w:val="none"/>
                <w:lang w:val="en-US" w:eastAsia="zh-CN" w:bidi="ar"/>
              </w:rPr>
              <w:t>.</w:t>
            </w:r>
            <w:r>
              <w:rPr>
                <w:rFonts w:ascii="仿宋_GB2312" w:hAnsi="仿宋_GB2312" w:eastAsia="仿宋_GB2312" w:cs="仿宋_GB2312"/>
                <w:color w:val="auto"/>
                <w:kern w:val="0"/>
                <w:sz w:val="21"/>
                <w:szCs w:val="21"/>
                <w:highlight w:val="none"/>
                <w:lang w:val="en-US" w:eastAsia="zh-CN" w:bidi="ar"/>
              </w:rPr>
              <w:t>具有完善的公司章程，建立了严格的责任制度、清晰的决策权限，具有完善的财务管理制度、业务管理制度、运营管理制度等，并完全参照执行的，得</w:t>
            </w:r>
            <w:r>
              <w:rPr>
                <w:rFonts w:hint="eastAsia" w:eastAsia="仿宋_GB2312" w:cs="仿宋_GB2312"/>
                <w:i w:val="0"/>
                <w:iCs w:val="0"/>
                <w:color w:val="auto"/>
                <w:kern w:val="0"/>
                <w:sz w:val="21"/>
                <w:szCs w:val="21"/>
                <w:highlight w:val="none"/>
                <w:u w:val="none"/>
                <w:lang w:val="en-US" w:eastAsia="zh-CN" w:bidi="ar"/>
              </w:rPr>
              <w:t>2</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Times New Roman" w:hAnsi="Times New Roman" w:eastAsia="仿宋_GB2312" w:cs="仿宋_GB2312"/>
                <w:i w:val="0"/>
                <w:iCs w:val="0"/>
                <w:color w:val="auto"/>
                <w:kern w:val="0"/>
                <w:sz w:val="21"/>
                <w:szCs w:val="21"/>
                <w:highlight w:val="none"/>
                <w:u w:val="none"/>
                <w:lang w:val="en-US" w:eastAsia="zh-CN" w:bidi="ar"/>
              </w:rPr>
              <w:t>2</w:t>
            </w:r>
            <w:r>
              <w:rPr>
                <w:rFonts w:hint="eastAsia" w:ascii="仿宋_GB2312" w:hAnsi="仿宋_GB2312" w:eastAsia="仿宋_GB2312" w:cs="仿宋_GB2312"/>
                <w:i w:val="0"/>
                <w:iCs w:val="0"/>
                <w:color w:val="auto"/>
                <w:kern w:val="0"/>
                <w:sz w:val="21"/>
                <w:szCs w:val="21"/>
                <w:highlight w:val="none"/>
                <w:u w:val="none"/>
                <w:lang w:val="en-US" w:eastAsia="zh-CN" w:bidi="ar"/>
              </w:rPr>
              <w:t>.</w:t>
            </w:r>
            <w:r>
              <w:rPr>
                <w:rFonts w:ascii="仿宋_GB2312" w:hAnsi="仿宋_GB2312" w:eastAsia="仿宋_GB2312" w:cs="仿宋_GB2312"/>
                <w:color w:val="auto"/>
                <w:kern w:val="0"/>
                <w:sz w:val="21"/>
                <w:szCs w:val="21"/>
                <w:highlight w:val="none"/>
                <w:lang w:val="en-US" w:eastAsia="zh-CN" w:bidi="ar"/>
              </w:rPr>
              <w:t>公司章程较为完善，责任制度、决策权限较为严格清晰，财务管理制度、业务管理制度、运营管理制度等设置有待完善，或执行不全面的，得</w:t>
            </w:r>
            <w:r>
              <w:rPr>
                <w:rFonts w:hint="eastAsia" w:ascii="Times New Roman" w:hAnsi="Times New Roman" w:eastAsia="仿宋_GB2312" w:cs="仿宋_GB2312"/>
                <w:i w:val="0"/>
                <w:iCs w:val="0"/>
                <w:color w:val="auto"/>
                <w:kern w:val="0"/>
                <w:sz w:val="21"/>
                <w:szCs w:val="21"/>
                <w:highlight w:val="none"/>
                <w:u w:val="none"/>
                <w:lang w:val="en-US" w:eastAsia="zh-CN" w:bidi="ar"/>
              </w:rPr>
              <w:t>1</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Times New Roman" w:hAnsi="Times New Roman" w:eastAsia="仿宋_GB2312" w:cs="仿宋_GB2312"/>
                <w:i w:val="0"/>
                <w:iCs w:val="0"/>
                <w:color w:val="auto"/>
                <w:kern w:val="0"/>
                <w:sz w:val="21"/>
                <w:szCs w:val="21"/>
                <w:highlight w:val="none"/>
                <w:u w:val="none"/>
                <w:lang w:val="en-US" w:eastAsia="zh-CN" w:bidi="ar"/>
              </w:rPr>
              <w:t>3</w:t>
            </w:r>
            <w:r>
              <w:rPr>
                <w:rFonts w:hint="eastAsia" w:ascii="仿宋_GB2312" w:hAnsi="仿宋_GB2312" w:eastAsia="仿宋_GB2312" w:cs="仿宋_GB2312"/>
                <w:i w:val="0"/>
                <w:iCs w:val="0"/>
                <w:color w:val="auto"/>
                <w:kern w:val="0"/>
                <w:sz w:val="21"/>
                <w:szCs w:val="21"/>
                <w:highlight w:val="none"/>
                <w:u w:val="none"/>
                <w:lang w:val="en-US" w:eastAsia="zh-CN" w:bidi="ar"/>
              </w:rPr>
              <w:t>.</w:t>
            </w:r>
            <w:r>
              <w:rPr>
                <w:rFonts w:ascii="仿宋_GB2312" w:hAnsi="仿宋_GB2312" w:eastAsia="仿宋_GB2312" w:cs="仿宋_GB2312"/>
                <w:color w:val="auto"/>
                <w:kern w:val="0"/>
                <w:sz w:val="21"/>
                <w:szCs w:val="21"/>
                <w:highlight w:val="none"/>
                <w:lang w:val="en-US" w:eastAsia="zh-CN" w:bidi="ar"/>
              </w:rPr>
              <w:t>未能有明确的公司章程或公司章程不符合现有监管制度要求的，未设置责任制度和决策权限，未制定财务管理制度、业务管理制度、运营管理制度等，未能参照相关制度执行的，得</w:t>
            </w:r>
            <w:r>
              <w:rPr>
                <w:rFonts w:hint="eastAsia" w:ascii="Times New Roman" w:hAnsi="Times New Roman" w:eastAsia="仿宋_GB2312" w:cs="仿宋_GB2312"/>
                <w:i w:val="0"/>
                <w:iCs w:val="0"/>
                <w:color w:val="auto"/>
                <w:kern w:val="0"/>
                <w:sz w:val="21"/>
                <w:szCs w:val="21"/>
                <w:highlight w:val="none"/>
                <w:u w:val="none"/>
                <w:lang w:val="en-US" w:eastAsia="zh-CN" w:bidi="ar"/>
              </w:rPr>
              <w:t>0</w:t>
            </w:r>
            <w:r>
              <w:rPr>
                <w:rFonts w:ascii="仿宋_GB2312" w:hAnsi="仿宋_GB2312" w:eastAsia="仿宋_GB2312" w:cs="仿宋_GB2312"/>
                <w:color w:val="auto"/>
                <w:kern w:val="0"/>
                <w:sz w:val="21"/>
                <w:szCs w:val="21"/>
                <w:highlight w:val="none"/>
                <w:lang w:val="en-US" w:eastAsia="zh-CN" w:bidi="ar"/>
              </w:rPr>
              <w:t>分。</w:t>
            </w:r>
          </w:p>
        </w:tc>
        <w:tc>
          <w:tcPr>
            <w:tcW w:w="705" w:type="dxa"/>
            <w:noWrap w:val="0"/>
            <w:vAlign w:val="top"/>
          </w:tcPr>
          <w:p w14:paraId="1190B1F1">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099D2006">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299D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3" w:hRule="atLeast"/>
          <w:jc w:val="center"/>
        </w:trPr>
        <w:tc>
          <w:tcPr>
            <w:tcW w:w="1133" w:type="dxa"/>
            <w:vMerge w:val="restart"/>
            <w:noWrap w:val="0"/>
            <w:vAlign w:val="center"/>
          </w:tcPr>
          <w:p w14:paraId="16E35442">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一、</w:t>
            </w:r>
          </w:p>
          <w:p w14:paraId="60524A81">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公司</w:t>
            </w:r>
          </w:p>
          <w:p w14:paraId="2B5904F7">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治理</w:t>
            </w:r>
          </w:p>
          <w:p w14:paraId="1AA3E27C">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eastAsia" w:eastAsia="黑体" w:cs="Times New Roman"/>
                <w:color w:val="auto"/>
                <w:sz w:val="24"/>
                <w:szCs w:val="24"/>
                <w:highlight w:val="none"/>
                <w:lang w:eastAsia="zh-CN"/>
              </w:rPr>
              <w:t>（</w:t>
            </w:r>
            <w:r>
              <w:rPr>
                <w:rFonts w:hint="default" w:ascii="Times New Roman" w:hAnsi="Times New Roman" w:eastAsia="黑体" w:cs="Times New Roman"/>
                <w:color w:val="auto"/>
                <w:sz w:val="24"/>
                <w:szCs w:val="24"/>
                <w:highlight w:val="none"/>
                <w:lang w:val="en-US" w:eastAsia="zh-CN"/>
              </w:rPr>
              <w:t>15</w:t>
            </w:r>
            <w:r>
              <w:rPr>
                <w:rFonts w:hint="default" w:ascii="Times New Roman" w:hAnsi="Times New Roman" w:eastAsia="黑体" w:cs="Times New Roman"/>
                <w:color w:val="auto"/>
                <w:sz w:val="24"/>
                <w:szCs w:val="24"/>
                <w:highlight w:val="none"/>
              </w:rPr>
              <w:t>分）</w:t>
            </w:r>
          </w:p>
        </w:tc>
        <w:tc>
          <w:tcPr>
            <w:tcW w:w="1536" w:type="dxa"/>
            <w:noWrap w:val="0"/>
            <w:vAlign w:val="center"/>
          </w:tcPr>
          <w:p w14:paraId="67991C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73"/>
                <w:rFonts w:ascii="仿宋_GB2312" w:hAnsi="仿宋_GB2312" w:eastAsia="仿宋_GB2312" w:cs="仿宋_GB2312"/>
                <w:b/>
                <w:bCs/>
                <w:color w:val="auto"/>
                <w:sz w:val="24"/>
                <w:szCs w:val="24"/>
                <w:highlight w:val="none"/>
                <w:lang w:val="en-US" w:eastAsia="zh-CN" w:bidi="ar"/>
              </w:rPr>
            </w:pPr>
            <w:r>
              <w:rPr>
                <w:rStyle w:val="73"/>
                <w:rFonts w:ascii="仿宋_GB2312" w:hAnsi="仿宋_GB2312" w:cs="仿宋_GB2312"/>
                <w:b/>
                <w:bCs/>
                <w:color w:val="auto"/>
                <w:sz w:val="24"/>
                <w:szCs w:val="24"/>
                <w:highlight w:val="none"/>
                <w:lang w:val="en-US" w:eastAsia="zh-CN" w:bidi="ar"/>
              </w:rPr>
              <w:t>（</w:t>
            </w:r>
            <w:r>
              <w:rPr>
                <w:rFonts w:hint="eastAsia" w:eastAsia="仿宋_GB2312" w:cs="仿宋_GB2312"/>
                <w:b/>
                <w:bCs/>
                <w:i w:val="0"/>
                <w:iCs w:val="0"/>
                <w:color w:val="auto"/>
                <w:kern w:val="0"/>
                <w:sz w:val="24"/>
                <w:szCs w:val="24"/>
                <w:highlight w:val="none"/>
                <w:u w:val="none"/>
                <w:lang w:val="en-US" w:eastAsia="zh-CN" w:bidi="ar"/>
              </w:rPr>
              <w:t>5</w:t>
            </w:r>
            <w:r>
              <w:rPr>
                <w:rFonts w:hint="eastAsia" w:cs="仿宋_GB2312"/>
                <w:b/>
                <w:bCs/>
                <w:i w:val="0"/>
                <w:iCs w:val="0"/>
                <w:color w:val="auto"/>
                <w:kern w:val="0"/>
                <w:sz w:val="24"/>
                <w:szCs w:val="24"/>
                <w:highlight w:val="none"/>
                <w:u w:val="none"/>
                <w:lang w:val="en-US" w:eastAsia="zh-CN" w:bidi="ar"/>
              </w:rPr>
              <w:t>）</w:t>
            </w:r>
          </w:p>
          <w:p w14:paraId="6B11F7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Style w:val="73"/>
                <w:rFonts w:ascii="仿宋_GB2312" w:hAnsi="仿宋_GB2312" w:eastAsia="仿宋_GB2312" w:cs="仿宋_GB2312"/>
                <w:b/>
                <w:bCs/>
                <w:color w:val="auto"/>
                <w:sz w:val="24"/>
                <w:szCs w:val="24"/>
                <w:highlight w:val="none"/>
                <w:lang w:val="en-US" w:eastAsia="zh-CN" w:bidi="ar"/>
              </w:rPr>
              <w:t>内控制度</w:t>
            </w:r>
          </w:p>
        </w:tc>
        <w:tc>
          <w:tcPr>
            <w:tcW w:w="504" w:type="dxa"/>
            <w:noWrap w:val="0"/>
            <w:vAlign w:val="center"/>
          </w:tcPr>
          <w:p w14:paraId="5B24CC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Fonts w:hint="eastAsia" w:eastAsia="仿宋_GB2312" w:cs="仿宋_GB2312"/>
                <w:b/>
                <w:bCs/>
                <w:i w:val="0"/>
                <w:iCs w:val="0"/>
                <w:color w:val="auto"/>
                <w:kern w:val="0"/>
                <w:sz w:val="24"/>
                <w:szCs w:val="24"/>
                <w:highlight w:val="none"/>
                <w:u w:val="none"/>
                <w:lang w:val="en-US" w:eastAsia="zh-CN" w:bidi="ar"/>
              </w:rPr>
              <w:t>2</w:t>
            </w:r>
          </w:p>
        </w:tc>
        <w:tc>
          <w:tcPr>
            <w:tcW w:w="8992" w:type="dxa"/>
            <w:noWrap w:val="0"/>
            <w:vAlign w:val="center"/>
          </w:tcPr>
          <w:p w14:paraId="6B45641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1</w:t>
            </w:r>
            <w:r>
              <w:rPr>
                <w:rFonts w:hint="eastAsia" w:ascii="仿宋_GB2312" w:hAnsi="仿宋_GB2312" w:eastAsia="仿宋_GB2312" w:cs="仿宋_GB2312"/>
                <w:i w:val="0"/>
                <w:iCs w:val="0"/>
                <w:color w:val="auto"/>
                <w:kern w:val="0"/>
                <w:sz w:val="21"/>
                <w:szCs w:val="21"/>
                <w:highlight w:val="none"/>
                <w:u w:val="none"/>
                <w:lang w:val="en-US" w:eastAsia="zh-CN" w:bidi="ar"/>
              </w:rPr>
              <w:t>.</w:t>
            </w:r>
            <w:r>
              <w:rPr>
                <w:rFonts w:ascii="仿宋_GB2312" w:hAnsi="仿宋_GB2312" w:eastAsia="仿宋_GB2312" w:cs="仿宋_GB2312"/>
                <w:color w:val="auto"/>
                <w:kern w:val="0"/>
                <w:sz w:val="21"/>
                <w:szCs w:val="21"/>
                <w:highlight w:val="none"/>
                <w:lang w:val="en-US" w:eastAsia="zh-CN" w:bidi="ar"/>
              </w:rPr>
              <w:t>建立了完善的内部控制体系及风险控制制度，涵盖所有关键业务流程，能够准确识别、评估所有重要风险，并严格按制度执行的，得</w:t>
            </w:r>
            <w:r>
              <w:rPr>
                <w:rFonts w:hint="eastAsia" w:eastAsia="仿宋_GB2312" w:cs="仿宋_GB2312"/>
                <w:i w:val="0"/>
                <w:iCs w:val="0"/>
                <w:color w:val="auto"/>
                <w:kern w:val="0"/>
                <w:sz w:val="21"/>
                <w:szCs w:val="21"/>
                <w:highlight w:val="none"/>
                <w:u w:val="none"/>
                <w:lang w:val="en-US" w:eastAsia="zh-CN" w:bidi="ar"/>
              </w:rPr>
              <w:t>2</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Times New Roman" w:hAnsi="Times New Roman" w:eastAsia="仿宋_GB2312" w:cs="仿宋_GB2312"/>
                <w:i w:val="0"/>
                <w:iCs w:val="0"/>
                <w:color w:val="auto"/>
                <w:kern w:val="0"/>
                <w:sz w:val="21"/>
                <w:szCs w:val="21"/>
                <w:highlight w:val="none"/>
                <w:u w:val="none"/>
                <w:lang w:val="en-US" w:eastAsia="zh-CN" w:bidi="ar"/>
              </w:rPr>
              <w:t>2</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建立了基本的内部控制体系及风险控制制度，能够识别部分重要风险，但覆盖的业务流程不够全面，部分关键业务流程存在控制漏洞，制度设计存在不足的，执行效果一般的，得</w:t>
            </w:r>
            <w:r>
              <w:rPr>
                <w:rFonts w:hint="eastAsia" w:eastAsia="仿宋_GB2312" w:cs="仿宋_GB2312"/>
                <w:color w:val="auto"/>
                <w:kern w:val="0"/>
                <w:sz w:val="21"/>
                <w:szCs w:val="21"/>
                <w:highlight w:val="none"/>
                <w:lang w:val="en-US" w:eastAsia="zh-CN" w:bidi="ar"/>
              </w:rPr>
              <w:t>1</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color w:val="auto"/>
                <w:kern w:val="0"/>
                <w:sz w:val="21"/>
                <w:szCs w:val="21"/>
                <w:highlight w:val="none"/>
                <w:lang w:val="en-US" w:eastAsia="zh-CN" w:bidi="ar"/>
              </w:rPr>
              <w:br w:type="textWrapping"/>
            </w:r>
            <w:r>
              <w:rPr>
                <w:rFonts w:hint="eastAsia" w:ascii="Times New Roman" w:hAnsi="Times New Roman" w:eastAsia="仿宋_GB2312" w:cs="仿宋_GB2312"/>
                <w:color w:val="auto"/>
                <w:kern w:val="0"/>
                <w:sz w:val="21"/>
                <w:szCs w:val="21"/>
                <w:highlight w:val="none"/>
                <w:lang w:val="en-US" w:eastAsia="zh-CN" w:bidi="ar"/>
              </w:rPr>
              <w:t>3</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建立了内部控制体系及风险控制制度但内容过于简单，风险评估机制不健全，只能识别少量风险，风险应对策略缺乏针对性和有效性，控制措施设计存在明显缺陷，关键业务流程存在严重控制漏洞，制度执行效果较差的，得</w:t>
            </w:r>
            <w:r>
              <w:rPr>
                <w:rFonts w:hint="eastAsia" w:eastAsia="仿宋_GB2312" w:cs="仿宋_GB2312"/>
                <w:color w:val="auto"/>
                <w:kern w:val="0"/>
                <w:sz w:val="21"/>
                <w:szCs w:val="21"/>
                <w:highlight w:val="none"/>
                <w:lang w:val="en-US" w:eastAsia="zh-CN" w:bidi="ar"/>
              </w:rPr>
              <w:t>0</w:t>
            </w:r>
            <w:r>
              <w:rPr>
                <w:rFonts w:ascii="仿宋_GB2312" w:hAnsi="仿宋_GB2312" w:eastAsia="仿宋_GB2312" w:cs="仿宋_GB2312"/>
                <w:color w:val="auto"/>
                <w:kern w:val="0"/>
                <w:sz w:val="21"/>
                <w:szCs w:val="21"/>
                <w:highlight w:val="none"/>
                <w:lang w:val="en-US" w:eastAsia="zh-CN" w:bidi="ar"/>
              </w:rPr>
              <w:t>分。</w:t>
            </w:r>
          </w:p>
        </w:tc>
        <w:tc>
          <w:tcPr>
            <w:tcW w:w="705" w:type="dxa"/>
            <w:noWrap w:val="0"/>
            <w:vAlign w:val="top"/>
          </w:tcPr>
          <w:p w14:paraId="5808BCC0">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2C9E8502">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p w14:paraId="32502D89">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73D2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1" w:hRule="atLeast"/>
          <w:jc w:val="center"/>
        </w:trPr>
        <w:tc>
          <w:tcPr>
            <w:tcW w:w="1133" w:type="dxa"/>
            <w:vMerge w:val="continue"/>
            <w:noWrap w:val="0"/>
            <w:vAlign w:val="center"/>
          </w:tcPr>
          <w:p w14:paraId="388AC94C">
            <w:pPr>
              <w:keepNext w:val="0"/>
              <w:keepLines w:val="0"/>
              <w:pageBreakBefore w:val="0"/>
              <w:kinsoku/>
              <w:overflowPunct/>
              <w:topLinePunct w:val="0"/>
              <w:bidi w:val="0"/>
              <w:snapToGrid w:val="0"/>
              <w:spacing w:line="540" w:lineRule="exact"/>
              <w:ind w:left="0" w:leftChars="0" w:right="0" w:rightChars="0"/>
              <w:jc w:val="center"/>
              <w:textAlignment w:val="auto"/>
              <w:outlineLvl w:val="9"/>
              <w:rPr>
                <w:rFonts w:hint="default" w:ascii="Times New Roman" w:hAnsi="Times New Roman" w:cs="Times New Roman"/>
                <w:color w:val="auto"/>
                <w:sz w:val="28"/>
                <w:szCs w:val="28"/>
                <w:highlight w:val="none"/>
              </w:rPr>
            </w:pPr>
          </w:p>
        </w:tc>
        <w:tc>
          <w:tcPr>
            <w:tcW w:w="1536" w:type="dxa"/>
            <w:noWrap w:val="0"/>
            <w:vAlign w:val="center"/>
          </w:tcPr>
          <w:p w14:paraId="18A2CE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73"/>
                <w:rFonts w:ascii="仿宋_GB2312" w:hAnsi="仿宋_GB2312" w:eastAsia="仿宋_GB2312" w:cs="仿宋_GB2312"/>
                <w:b/>
                <w:bCs/>
                <w:color w:val="auto"/>
                <w:sz w:val="24"/>
                <w:szCs w:val="24"/>
                <w:highlight w:val="none"/>
                <w:lang w:val="en-US" w:eastAsia="zh-CN" w:bidi="ar"/>
              </w:rPr>
            </w:pPr>
            <w:r>
              <w:rPr>
                <w:rStyle w:val="73"/>
                <w:rFonts w:ascii="仿宋_GB2312" w:hAnsi="仿宋_GB2312" w:cs="仿宋_GB2312"/>
                <w:b/>
                <w:bCs/>
                <w:color w:val="auto"/>
                <w:sz w:val="24"/>
                <w:szCs w:val="24"/>
                <w:highlight w:val="none"/>
                <w:lang w:val="en-US" w:eastAsia="zh-CN" w:bidi="ar"/>
              </w:rPr>
              <w:t>（</w:t>
            </w:r>
            <w:r>
              <w:rPr>
                <w:rFonts w:hint="eastAsia" w:ascii="Times New Roman" w:hAnsi="Times New Roman" w:eastAsia="仿宋_GB2312" w:cs="仿宋_GB2312"/>
                <w:b/>
                <w:bCs/>
                <w:i w:val="0"/>
                <w:iCs w:val="0"/>
                <w:color w:val="auto"/>
                <w:kern w:val="0"/>
                <w:sz w:val="24"/>
                <w:szCs w:val="24"/>
                <w:highlight w:val="none"/>
                <w:u w:val="none"/>
                <w:lang w:val="en-US" w:eastAsia="zh-CN" w:bidi="ar"/>
              </w:rPr>
              <w:t>6</w:t>
            </w:r>
            <w:r>
              <w:rPr>
                <w:rFonts w:hint="eastAsia" w:ascii="Times New Roman" w:hAnsi="Times New Roman" w:cs="仿宋_GB2312"/>
                <w:b/>
                <w:bCs/>
                <w:i w:val="0"/>
                <w:iCs w:val="0"/>
                <w:color w:val="auto"/>
                <w:kern w:val="0"/>
                <w:sz w:val="24"/>
                <w:szCs w:val="24"/>
                <w:highlight w:val="none"/>
                <w:u w:val="none"/>
                <w:lang w:val="en-US" w:eastAsia="zh-CN" w:bidi="ar"/>
              </w:rPr>
              <w:t>）</w:t>
            </w:r>
          </w:p>
          <w:p w14:paraId="4E12F1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Style w:val="73"/>
                <w:rFonts w:ascii="仿宋_GB2312" w:hAnsi="仿宋_GB2312" w:eastAsia="仿宋_GB2312" w:cs="仿宋_GB2312"/>
                <w:b/>
                <w:bCs/>
                <w:color w:val="auto"/>
                <w:sz w:val="24"/>
                <w:szCs w:val="24"/>
                <w:highlight w:val="none"/>
                <w:lang w:val="en-US" w:eastAsia="zh-CN" w:bidi="ar"/>
              </w:rPr>
              <w:t>人员配备</w:t>
            </w:r>
          </w:p>
        </w:tc>
        <w:tc>
          <w:tcPr>
            <w:tcW w:w="504" w:type="dxa"/>
            <w:noWrap w:val="0"/>
            <w:vAlign w:val="center"/>
          </w:tcPr>
          <w:p w14:paraId="60A8F2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Fonts w:hint="eastAsia" w:ascii="Times New Roman" w:hAnsi="Times New Roman" w:eastAsia="仿宋_GB2312" w:cs="仿宋_GB2312"/>
                <w:b/>
                <w:bCs/>
                <w:i w:val="0"/>
                <w:iCs w:val="0"/>
                <w:color w:val="auto"/>
                <w:kern w:val="0"/>
                <w:sz w:val="24"/>
                <w:szCs w:val="24"/>
                <w:highlight w:val="none"/>
                <w:u w:val="none"/>
                <w:lang w:val="en-US" w:eastAsia="zh-CN" w:bidi="ar"/>
              </w:rPr>
              <w:t>2</w:t>
            </w:r>
          </w:p>
        </w:tc>
        <w:tc>
          <w:tcPr>
            <w:tcW w:w="8992" w:type="dxa"/>
            <w:noWrap w:val="0"/>
            <w:vAlign w:val="center"/>
          </w:tcPr>
          <w:p w14:paraId="3A0F81D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1</w:t>
            </w:r>
            <w:r>
              <w:rPr>
                <w:rFonts w:hint="eastAsia" w:ascii="仿宋_GB2312" w:hAnsi="仿宋_GB2312" w:eastAsia="仿宋_GB2312" w:cs="仿宋_GB2312"/>
                <w:i w:val="0"/>
                <w:iCs w:val="0"/>
                <w:color w:val="auto"/>
                <w:kern w:val="0"/>
                <w:sz w:val="21"/>
                <w:szCs w:val="21"/>
                <w:highlight w:val="none"/>
                <w:u w:val="none"/>
                <w:lang w:val="en-US" w:eastAsia="zh-CN" w:bidi="ar"/>
              </w:rPr>
              <w:t>.</w:t>
            </w:r>
            <w:r>
              <w:rPr>
                <w:rFonts w:ascii="仿宋_GB2312" w:hAnsi="仿宋_GB2312" w:eastAsia="仿宋_GB2312" w:cs="仿宋_GB2312"/>
                <w:color w:val="auto"/>
                <w:kern w:val="0"/>
                <w:sz w:val="21"/>
                <w:szCs w:val="21"/>
                <w:highlight w:val="none"/>
                <w:lang w:val="en-US" w:eastAsia="zh-CN" w:bidi="ar"/>
              </w:rPr>
              <w:t>员工数量</w:t>
            </w:r>
            <w:r>
              <w:rPr>
                <w:rFonts w:hint="eastAsia" w:eastAsia="仿宋_GB2312" w:cs="仿宋_GB2312"/>
                <w:color w:val="auto"/>
                <w:kern w:val="0"/>
                <w:sz w:val="21"/>
                <w:szCs w:val="21"/>
                <w:highlight w:val="none"/>
                <w:lang w:val="en-US" w:eastAsia="zh-CN" w:bidi="ar"/>
              </w:rPr>
              <w:t>20</w:t>
            </w:r>
            <w:r>
              <w:rPr>
                <w:rFonts w:ascii="仿宋_GB2312" w:hAnsi="仿宋_GB2312" w:eastAsia="仿宋_GB2312" w:cs="仿宋_GB2312"/>
                <w:color w:val="auto"/>
                <w:kern w:val="0"/>
                <w:sz w:val="21"/>
                <w:szCs w:val="21"/>
                <w:highlight w:val="none"/>
                <w:lang w:val="en-US" w:eastAsia="zh-CN" w:bidi="ar"/>
              </w:rPr>
              <w:t>人（含）以上且具备足够的专业知识、从业经验和业务素质，能够对各类业务的开展实现有效支撑的，得</w:t>
            </w:r>
            <w:r>
              <w:rPr>
                <w:rFonts w:hint="eastAsia" w:ascii="Times New Roman" w:hAnsi="Times New Roman" w:eastAsia="仿宋_GB2312" w:cs="仿宋_GB2312"/>
                <w:i w:val="0"/>
                <w:iCs w:val="0"/>
                <w:color w:val="auto"/>
                <w:kern w:val="0"/>
                <w:sz w:val="21"/>
                <w:szCs w:val="21"/>
                <w:highlight w:val="none"/>
                <w:u w:val="none"/>
                <w:lang w:val="en-US" w:eastAsia="zh-CN" w:bidi="ar"/>
              </w:rPr>
              <w:t>2</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Times New Roman" w:hAnsi="Times New Roman" w:eastAsia="仿宋_GB2312" w:cs="仿宋_GB2312"/>
                <w:i w:val="0"/>
                <w:iCs w:val="0"/>
                <w:color w:val="auto"/>
                <w:kern w:val="0"/>
                <w:sz w:val="21"/>
                <w:szCs w:val="21"/>
                <w:highlight w:val="none"/>
                <w:u w:val="none"/>
                <w:lang w:val="en-US" w:eastAsia="zh-CN" w:bidi="ar"/>
              </w:rPr>
              <w:t>2</w:t>
            </w:r>
            <w:r>
              <w:rPr>
                <w:rFonts w:hint="eastAsia" w:ascii="仿宋_GB2312" w:hAnsi="仿宋_GB2312" w:eastAsia="仿宋_GB2312" w:cs="仿宋_GB2312"/>
                <w:i w:val="0"/>
                <w:iCs w:val="0"/>
                <w:color w:val="auto"/>
                <w:kern w:val="0"/>
                <w:sz w:val="21"/>
                <w:szCs w:val="21"/>
                <w:highlight w:val="none"/>
                <w:u w:val="none"/>
                <w:lang w:val="en-US" w:eastAsia="zh-CN" w:bidi="ar"/>
              </w:rPr>
              <w:t>.</w:t>
            </w:r>
            <w:r>
              <w:rPr>
                <w:rFonts w:ascii="仿宋_GB2312" w:hAnsi="仿宋_GB2312" w:eastAsia="仿宋_GB2312" w:cs="仿宋_GB2312"/>
                <w:color w:val="auto"/>
                <w:kern w:val="0"/>
                <w:sz w:val="21"/>
                <w:szCs w:val="21"/>
                <w:highlight w:val="none"/>
                <w:lang w:val="en-US" w:eastAsia="zh-CN" w:bidi="ar"/>
              </w:rPr>
              <w:t>员工数量</w:t>
            </w:r>
            <w:r>
              <w:rPr>
                <w:rFonts w:hint="eastAsia" w:eastAsia="仿宋_GB2312" w:cs="仿宋_GB2312"/>
                <w:color w:val="auto"/>
                <w:kern w:val="0"/>
                <w:sz w:val="21"/>
                <w:szCs w:val="21"/>
                <w:highlight w:val="none"/>
                <w:lang w:val="en-US" w:eastAsia="zh-CN" w:bidi="ar"/>
              </w:rPr>
              <w:t>10</w:t>
            </w:r>
            <w:r>
              <w:rPr>
                <w:rFonts w:ascii="仿宋_GB2312" w:hAnsi="仿宋_GB2312" w:eastAsia="仿宋_GB2312" w:cs="仿宋_GB2312"/>
                <w:color w:val="auto"/>
                <w:kern w:val="0"/>
                <w:sz w:val="21"/>
                <w:szCs w:val="21"/>
                <w:highlight w:val="none"/>
                <w:lang w:val="en-US" w:eastAsia="zh-CN" w:bidi="ar"/>
              </w:rPr>
              <w:t>人（含）至</w:t>
            </w:r>
            <w:r>
              <w:rPr>
                <w:rFonts w:hint="eastAsia" w:eastAsia="仿宋_GB2312" w:cs="仿宋_GB2312"/>
                <w:color w:val="auto"/>
                <w:kern w:val="0"/>
                <w:sz w:val="21"/>
                <w:szCs w:val="21"/>
                <w:highlight w:val="none"/>
                <w:lang w:val="en-US" w:eastAsia="zh-CN" w:bidi="ar"/>
              </w:rPr>
              <w:t>19</w:t>
            </w:r>
            <w:r>
              <w:rPr>
                <w:rFonts w:ascii="仿宋_GB2312" w:hAnsi="仿宋_GB2312" w:eastAsia="仿宋_GB2312" w:cs="仿宋_GB2312"/>
                <w:color w:val="auto"/>
                <w:kern w:val="0"/>
                <w:sz w:val="21"/>
                <w:szCs w:val="21"/>
                <w:highlight w:val="none"/>
                <w:lang w:val="en-US" w:eastAsia="zh-CN" w:bidi="ar"/>
              </w:rPr>
              <w:t>人且具备必要的专业知识、从业经验和业务素质，能够满足和维持现有业务的日常运作的，得</w:t>
            </w:r>
            <w:r>
              <w:rPr>
                <w:rFonts w:hint="eastAsia" w:ascii="Times New Roman" w:hAnsi="Times New Roman" w:eastAsia="仿宋_GB2312" w:cs="仿宋_GB2312"/>
                <w:i w:val="0"/>
                <w:iCs w:val="0"/>
                <w:color w:val="auto"/>
                <w:kern w:val="0"/>
                <w:sz w:val="21"/>
                <w:szCs w:val="21"/>
                <w:highlight w:val="none"/>
                <w:u w:val="none"/>
                <w:lang w:val="en-US" w:eastAsia="zh-CN" w:bidi="ar"/>
              </w:rPr>
              <w:t>1</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Times New Roman" w:hAnsi="Times New Roman" w:eastAsia="仿宋_GB2312" w:cs="仿宋_GB2312"/>
                <w:i w:val="0"/>
                <w:iCs w:val="0"/>
                <w:color w:val="auto"/>
                <w:kern w:val="0"/>
                <w:sz w:val="21"/>
                <w:szCs w:val="21"/>
                <w:highlight w:val="none"/>
                <w:u w:val="none"/>
                <w:lang w:val="en-US" w:eastAsia="zh-CN" w:bidi="ar"/>
              </w:rPr>
              <w:t>3</w:t>
            </w:r>
            <w:r>
              <w:rPr>
                <w:rFonts w:hint="eastAsia" w:ascii="仿宋_GB2312" w:hAnsi="仿宋_GB2312" w:eastAsia="仿宋_GB2312" w:cs="仿宋_GB2312"/>
                <w:i w:val="0"/>
                <w:iCs w:val="0"/>
                <w:color w:val="auto"/>
                <w:kern w:val="0"/>
                <w:sz w:val="21"/>
                <w:szCs w:val="21"/>
                <w:highlight w:val="none"/>
                <w:u w:val="none"/>
                <w:lang w:val="en-US" w:eastAsia="zh-CN" w:bidi="ar"/>
              </w:rPr>
              <w:t>.</w:t>
            </w:r>
            <w:r>
              <w:rPr>
                <w:rFonts w:ascii="仿宋_GB2312" w:hAnsi="仿宋_GB2312" w:eastAsia="仿宋_GB2312" w:cs="仿宋_GB2312"/>
                <w:color w:val="auto"/>
                <w:kern w:val="0"/>
                <w:sz w:val="21"/>
                <w:szCs w:val="21"/>
                <w:highlight w:val="none"/>
                <w:lang w:val="en-US" w:eastAsia="zh-CN" w:bidi="ar"/>
              </w:rPr>
              <w:t>员工数量不足</w:t>
            </w:r>
            <w:r>
              <w:rPr>
                <w:rFonts w:hint="eastAsia" w:eastAsia="仿宋_GB2312" w:cs="仿宋_GB2312"/>
                <w:color w:val="auto"/>
                <w:kern w:val="0"/>
                <w:sz w:val="21"/>
                <w:szCs w:val="21"/>
                <w:highlight w:val="none"/>
                <w:lang w:val="en-US" w:eastAsia="zh-CN" w:bidi="ar"/>
              </w:rPr>
              <w:t>10</w:t>
            </w:r>
            <w:r>
              <w:rPr>
                <w:rFonts w:ascii="仿宋_GB2312" w:hAnsi="仿宋_GB2312" w:eastAsia="仿宋_GB2312" w:cs="仿宋_GB2312"/>
                <w:color w:val="auto"/>
                <w:kern w:val="0"/>
                <w:sz w:val="21"/>
                <w:szCs w:val="21"/>
                <w:highlight w:val="none"/>
                <w:lang w:val="en-US" w:eastAsia="zh-CN" w:bidi="ar"/>
              </w:rPr>
              <w:t>人或专业知识、从业经验和业务素质难以满足和维持现有业务的日常运作的，得</w:t>
            </w:r>
            <w:r>
              <w:rPr>
                <w:rFonts w:hint="eastAsia" w:ascii="Times New Roman" w:hAnsi="Times New Roman" w:eastAsia="仿宋_GB2312" w:cs="仿宋_GB2312"/>
                <w:i w:val="0"/>
                <w:iCs w:val="0"/>
                <w:color w:val="auto"/>
                <w:kern w:val="0"/>
                <w:sz w:val="21"/>
                <w:szCs w:val="21"/>
                <w:highlight w:val="none"/>
                <w:u w:val="none"/>
                <w:lang w:val="en-US" w:eastAsia="zh-CN" w:bidi="ar"/>
              </w:rPr>
              <w:t>0</w:t>
            </w:r>
            <w:r>
              <w:rPr>
                <w:rFonts w:ascii="仿宋_GB2312" w:hAnsi="仿宋_GB2312" w:eastAsia="仿宋_GB2312" w:cs="仿宋_GB2312"/>
                <w:color w:val="auto"/>
                <w:kern w:val="0"/>
                <w:sz w:val="21"/>
                <w:szCs w:val="21"/>
                <w:highlight w:val="none"/>
                <w:lang w:val="en-US" w:eastAsia="zh-CN" w:bidi="ar"/>
              </w:rPr>
              <w:t>分。</w:t>
            </w:r>
          </w:p>
        </w:tc>
        <w:tc>
          <w:tcPr>
            <w:tcW w:w="705" w:type="dxa"/>
            <w:noWrap w:val="0"/>
            <w:vAlign w:val="top"/>
          </w:tcPr>
          <w:p w14:paraId="09A080B0">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仿宋" w:cs="Times New Roman"/>
                <w:b/>
                <w:bCs/>
                <w:color w:val="auto"/>
                <w:sz w:val="28"/>
                <w:szCs w:val="28"/>
                <w:highlight w:val="none"/>
              </w:rPr>
            </w:pPr>
          </w:p>
        </w:tc>
        <w:tc>
          <w:tcPr>
            <w:tcW w:w="680" w:type="dxa"/>
            <w:noWrap w:val="0"/>
            <w:vAlign w:val="top"/>
          </w:tcPr>
          <w:p w14:paraId="7D330627">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仿宋" w:cs="Times New Roman"/>
                <w:b/>
                <w:bCs/>
                <w:color w:val="auto"/>
                <w:sz w:val="28"/>
                <w:szCs w:val="28"/>
                <w:highlight w:val="none"/>
              </w:rPr>
            </w:pPr>
          </w:p>
        </w:tc>
      </w:tr>
      <w:tr w14:paraId="6897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7" w:hRule="atLeast"/>
          <w:jc w:val="center"/>
        </w:trPr>
        <w:tc>
          <w:tcPr>
            <w:tcW w:w="1133" w:type="dxa"/>
            <w:vMerge w:val="continue"/>
            <w:noWrap w:val="0"/>
            <w:vAlign w:val="top"/>
          </w:tcPr>
          <w:p w14:paraId="7C888AE2">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p>
        </w:tc>
        <w:tc>
          <w:tcPr>
            <w:tcW w:w="1536" w:type="dxa"/>
            <w:noWrap w:val="0"/>
            <w:vAlign w:val="center"/>
          </w:tcPr>
          <w:p w14:paraId="4DF1C3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73"/>
                <w:rFonts w:ascii="仿宋_GB2312" w:hAnsi="仿宋_GB2312" w:eastAsia="仿宋_GB2312" w:cs="仿宋_GB2312"/>
                <w:b/>
                <w:bCs/>
                <w:color w:val="auto"/>
                <w:sz w:val="24"/>
                <w:szCs w:val="24"/>
                <w:highlight w:val="none"/>
                <w:lang w:val="en-US" w:eastAsia="zh-CN" w:bidi="ar"/>
              </w:rPr>
            </w:pPr>
            <w:r>
              <w:rPr>
                <w:rStyle w:val="73"/>
                <w:rFonts w:ascii="仿宋_GB2312" w:hAnsi="仿宋_GB2312" w:cs="仿宋_GB2312"/>
                <w:b/>
                <w:bCs/>
                <w:color w:val="auto"/>
                <w:sz w:val="24"/>
                <w:szCs w:val="24"/>
                <w:highlight w:val="none"/>
                <w:lang w:val="en-US" w:eastAsia="zh-CN" w:bidi="ar"/>
              </w:rPr>
              <w:t>（</w:t>
            </w:r>
            <w:r>
              <w:rPr>
                <w:rFonts w:hint="eastAsia" w:ascii="Times New Roman" w:hAnsi="Times New Roman" w:eastAsia="仿宋_GB2312" w:cs="仿宋_GB2312"/>
                <w:b/>
                <w:bCs/>
                <w:i w:val="0"/>
                <w:iCs w:val="0"/>
                <w:color w:val="auto"/>
                <w:kern w:val="0"/>
                <w:sz w:val="24"/>
                <w:szCs w:val="24"/>
                <w:highlight w:val="none"/>
                <w:u w:val="none"/>
                <w:lang w:val="en-US" w:eastAsia="zh-CN" w:bidi="ar"/>
              </w:rPr>
              <w:t>7</w:t>
            </w:r>
            <w:r>
              <w:rPr>
                <w:rFonts w:hint="eastAsia" w:ascii="Times New Roman" w:hAnsi="Times New Roman" w:cs="仿宋_GB2312"/>
                <w:b/>
                <w:bCs/>
                <w:i w:val="0"/>
                <w:iCs w:val="0"/>
                <w:color w:val="auto"/>
                <w:kern w:val="0"/>
                <w:sz w:val="24"/>
                <w:szCs w:val="24"/>
                <w:highlight w:val="none"/>
                <w:u w:val="none"/>
                <w:lang w:val="en-US" w:eastAsia="zh-CN" w:bidi="ar"/>
              </w:rPr>
              <w:t>）</w:t>
            </w:r>
          </w:p>
          <w:p w14:paraId="70E202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73"/>
                <w:rFonts w:ascii="仿宋_GB2312" w:hAnsi="仿宋_GB2312" w:eastAsia="仿宋_GB2312" w:cs="仿宋_GB2312"/>
                <w:b/>
                <w:bCs/>
                <w:color w:val="auto"/>
                <w:sz w:val="24"/>
                <w:szCs w:val="24"/>
                <w:highlight w:val="none"/>
                <w:lang w:val="en-US" w:eastAsia="zh-CN" w:bidi="ar"/>
              </w:rPr>
            </w:pPr>
            <w:r>
              <w:rPr>
                <w:rStyle w:val="73"/>
                <w:rFonts w:ascii="仿宋_GB2312" w:hAnsi="仿宋_GB2312" w:eastAsia="仿宋_GB2312" w:cs="仿宋_GB2312"/>
                <w:b/>
                <w:bCs/>
                <w:color w:val="auto"/>
                <w:sz w:val="24"/>
                <w:szCs w:val="24"/>
                <w:highlight w:val="none"/>
                <w:lang w:val="en-US" w:eastAsia="zh-CN" w:bidi="ar"/>
              </w:rPr>
              <w:t>管理团队</w:t>
            </w:r>
          </w:p>
          <w:p w14:paraId="04AABA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Style w:val="73"/>
                <w:rFonts w:ascii="仿宋_GB2312" w:hAnsi="仿宋_GB2312" w:eastAsia="仿宋_GB2312" w:cs="仿宋_GB2312"/>
                <w:b/>
                <w:bCs/>
                <w:color w:val="auto"/>
                <w:sz w:val="24"/>
                <w:szCs w:val="24"/>
                <w:highlight w:val="none"/>
                <w:lang w:val="en-US" w:eastAsia="zh-CN" w:bidi="ar"/>
              </w:rPr>
              <w:t>配备</w:t>
            </w:r>
          </w:p>
        </w:tc>
        <w:tc>
          <w:tcPr>
            <w:tcW w:w="504" w:type="dxa"/>
            <w:noWrap w:val="0"/>
            <w:vAlign w:val="center"/>
          </w:tcPr>
          <w:p w14:paraId="79187D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Fonts w:hint="eastAsia" w:ascii="Times New Roman" w:hAnsi="Times New Roman" w:eastAsia="仿宋_GB2312" w:cs="仿宋_GB2312"/>
                <w:b/>
                <w:bCs/>
                <w:i w:val="0"/>
                <w:iCs w:val="0"/>
                <w:color w:val="auto"/>
                <w:kern w:val="0"/>
                <w:sz w:val="24"/>
                <w:szCs w:val="24"/>
                <w:highlight w:val="none"/>
                <w:u w:val="none"/>
                <w:lang w:val="en-US" w:eastAsia="zh-CN" w:bidi="ar"/>
              </w:rPr>
              <w:t>2</w:t>
            </w:r>
          </w:p>
        </w:tc>
        <w:tc>
          <w:tcPr>
            <w:tcW w:w="8992" w:type="dxa"/>
            <w:noWrap w:val="0"/>
            <w:vAlign w:val="center"/>
          </w:tcPr>
          <w:p w14:paraId="188E8DE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部门负责人及以上人员具有金融、财务、法律行业从业背景且无不良记录的占比达</w:t>
            </w:r>
            <w:r>
              <w:rPr>
                <w:rFonts w:hint="eastAsia" w:ascii="Times New Roman" w:hAnsi="Times New Roman" w:eastAsia="仿宋_GB2312" w:cs="仿宋_GB2312"/>
                <w:color w:val="auto"/>
                <w:kern w:val="0"/>
                <w:sz w:val="21"/>
                <w:szCs w:val="21"/>
                <w:highlight w:val="none"/>
                <w:lang w:val="en-US" w:eastAsia="zh-CN" w:bidi="ar"/>
              </w:rPr>
              <w:t>80</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（含）以上的，得</w:t>
            </w:r>
            <w:r>
              <w:rPr>
                <w:rFonts w:hint="eastAsia" w:ascii="Times New Roman" w:hAnsi="Times New Roman" w:eastAsia="仿宋_GB2312" w:cs="仿宋_GB2312"/>
                <w:color w:val="auto"/>
                <w:kern w:val="0"/>
                <w:sz w:val="21"/>
                <w:szCs w:val="21"/>
                <w:highlight w:val="none"/>
                <w:lang w:val="en-US" w:eastAsia="zh-CN" w:bidi="ar"/>
              </w:rPr>
              <w:t>2</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color w:val="auto"/>
                <w:kern w:val="0"/>
                <w:sz w:val="21"/>
                <w:szCs w:val="21"/>
                <w:highlight w:val="none"/>
                <w:lang w:val="en-US" w:eastAsia="zh-CN" w:bidi="ar"/>
              </w:rPr>
              <w:br w:type="textWrapping"/>
            </w:r>
            <w:r>
              <w:rPr>
                <w:rFonts w:hint="eastAsia" w:ascii="Times New Roman" w:hAnsi="Times New Roman" w:eastAsia="仿宋_GB2312" w:cs="仿宋_GB2312"/>
                <w:color w:val="auto"/>
                <w:kern w:val="0"/>
                <w:sz w:val="21"/>
                <w:szCs w:val="21"/>
                <w:highlight w:val="none"/>
                <w:lang w:val="en-US" w:eastAsia="zh-CN" w:bidi="ar"/>
              </w:rPr>
              <w:t>2</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部门负责人及以上人员具有金融、财务、法律行业从业背景且无不良记录的占比</w:t>
            </w:r>
            <w:r>
              <w:rPr>
                <w:rFonts w:hint="eastAsia" w:ascii="Times New Roman" w:hAnsi="Times New Roman" w:eastAsia="仿宋_GB2312" w:cs="仿宋_GB2312"/>
                <w:color w:val="auto"/>
                <w:kern w:val="0"/>
                <w:sz w:val="21"/>
                <w:szCs w:val="21"/>
                <w:highlight w:val="none"/>
                <w:lang w:val="en-US" w:eastAsia="zh-CN" w:bidi="ar"/>
              </w:rPr>
              <w:t>60</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（含）～</w:t>
            </w:r>
            <w:r>
              <w:rPr>
                <w:rFonts w:hint="eastAsia" w:ascii="Times New Roman" w:hAnsi="Times New Roman" w:eastAsia="仿宋_GB2312" w:cs="仿宋_GB2312"/>
                <w:color w:val="auto"/>
                <w:kern w:val="0"/>
                <w:sz w:val="21"/>
                <w:szCs w:val="21"/>
                <w:highlight w:val="none"/>
                <w:lang w:val="en-US" w:eastAsia="zh-CN" w:bidi="ar"/>
              </w:rPr>
              <w:t>79</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的，得</w:t>
            </w:r>
            <w:r>
              <w:rPr>
                <w:rFonts w:hint="eastAsia" w:ascii="Times New Roman" w:hAnsi="Times New Roman" w:eastAsia="仿宋_GB2312" w:cs="仿宋_GB2312"/>
                <w:color w:val="auto"/>
                <w:kern w:val="0"/>
                <w:sz w:val="21"/>
                <w:szCs w:val="21"/>
                <w:highlight w:val="none"/>
                <w:lang w:val="en-US" w:eastAsia="zh-CN" w:bidi="ar"/>
              </w:rPr>
              <w:t>1</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color w:val="auto"/>
                <w:kern w:val="0"/>
                <w:sz w:val="21"/>
                <w:szCs w:val="21"/>
                <w:highlight w:val="none"/>
                <w:lang w:val="en-US" w:eastAsia="zh-CN" w:bidi="ar"/>
              </w:rPr>
              <w:br w:type="textWrapping"/>
            </w:r>
            <w:r>
              <w:rPr>
                <w:rFonts w:hint="eastAsia" w:ascii="Times New Roman" w:hAnsi="Times New Roman" w:eastAsia="仿宋_GB2312" w:cs="仿宋_GB2312"/>
                <w:color w:val="auto"/>
                <w:kern w:val="0"/>
                <w:sz w:val="21"/>
                <w:szCs w:val="21"/>
                <w:highlight w:val="none"/>
                <w:lang w:val="en-US" w:eastAsia="zh-CN" w:bidi="ar"/>
              </w:rPr>
              <w:t>3</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部门负责人及以上人员具有金融、财务、法律行业从业背景且无不良记录的占比不足</w:t>
            </w:r>
            <w:r>
              <w:rPr>
                <w:rFonts w:hint="eastAsia" w:ascii="Times New Roman" w:hAnsi="Times New Roman" w:eastAsia="仿宋_GB2312" w:cs="仿宋_GB2312"/>
                <w:color w:val="auto"/>
                <w:kern w:val="0"/>
                <w:sz w:val="21"/>
                <w:szCs w:val="21"/>
                <w:highlight w:val="none"/>
                <w:lang w:val="en-US" w:eastAsia="zh-CN" w:bidi="ar"/>
              </w:rPr>
              <w:t>60</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的，得</w:t>
            </w:r>
            <w:r>
              <w:rPr>
                <w:rFonts w:hint="eastAsia" w:ascii="Times New Roman" w:hAnsi="Times New Roman" w:eastAsia="仿宋_GB2312" w:cs="仿宋_GB2312"/>
                <w:color w:val="auto"/>
                <w:kern w:val="0"/>
                <w:sz w:val="21"/>
                <w:szCs w:val="21"/>
                <w:highlight w:val="none"/>
                <w:lang w:val="en-US" w:eastAsia="zh-CN" w:bidi="ar"/>
              </w:rPr>
              <w:t>0</w:t>
            </w:r>
            <w:r>
              <w:rPr>
                <w:rFonts w:ascii="仿宋_GB2312" w:hAnsi="仿宋_GB2312" w:eastAsia="仿宋_GB2312" w:cs="仿宋_GB2312"/>
                <w:color w:val="auto"/>
                <w:kern w:val="0"/>
                <w:sz w:val="21"/>
                <w:szCs w:val="21"/>
                <w:highlight w:val="none"/>
                <w:lang w:val="en-US" w:eastAsia="zh-CN" w:bidi="ar"/>
              </w:rPr>
              <w:t>分。</w:t>
            </w:r>
          </w:p>
        </w:tc>
        <w:tc>
          <w:tcPr>
            <w:tcW w:w="705" w:type="dxa"/>
            <w:noWrap w:val="0"/>
            <w:vAlign w:val="top"/>
          </w:tcPr>
          <w:p w14:paraId="3B295D29">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 w:val="24"/>
                <w:highlight w:val="none"/>
              </w:rPr>
            </w:pPr>
          </w:p>
        </w:tc>
        <w:tc>
          <w:tcPr>
            <w:tcW w:w="680" w:type="dxa"/>
            <w:noWrap w:val="0"/>
            <w:vAlign w:val="top"/>
          </w:tcPr>
          <w:p w14:paraId="32CD08B2">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0E67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3" w:type="dxa"/>
            <w:vMerge w:val="restart"/>
            <w:noWrap w:val="0"/>
            <w:vAlign w:val="center"/>
          </w:tcPr>
          <w:p w14:paraId="29FE80A6">
            <w:pPr>
              <w:keepNext w:val="0"/>
              <w:keepLines w:val="0"/>
              <w:pageBreakBefore w:val="0"/>
              <w:kinsoku/>
              <w:overflowPunct/>
              <w:topLinePunct w:val="0"/>
              <w:bidi w:val="0"/>
              <w:snapToGrid w:val="0"/>
              <w:spacing w:line="240" w:lineRule="auto"/>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二、</w:t>
            </w:r>
          </w:p>
          <w:p w14:paraId="5875F5F3">
            <w:pPr>
              <w:keepNext w:val="0"/>
              <w:keepLines w:val="0"/>
              <w:pageBreakBefore w:val="0"/>
              <w:kinsoku/>
              <w:overflowPunct/>
              <w:topLinePunct w:val="0"/>
              <w:bidi w:val="0"/>
              <w:snapToGrid w:val="0"/>
              <w:spacing w:line="240" w:lineRule="auto"/>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合规</w:t>
            </w:r>
          </w:p>
          <w:p w14:paraId="7FD167B7">
            <w:pPr>
              <w:keepNext w:val="0"/>
              <w:keepLines w:val="0"/>
              <w:pageBreakBefore w:val="0"/>
              <w:kinsoku/>
              <w:overflowPunct/>
              <w:topLinePunct w:val="0"/>
              <w:bidi w:val="0"/>
              <w:snapToGrid w:val="0"/>
              <w:spacing w:line="240" w:lineRule="auto"/>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经营</w:t>
            </w:r>
          </w:p>
          <w:p w14:paraId="10AE2EEA">
            <w:pPr>
              <w:keepNext w:val="0"/>
              <w:keepLines w:val="0"/>
              <w:pageBreakBefore w:val="0"/>
              <w:kinsoku/>
              <w:overflowPunct/>
              <w:topLinePunct w:val="0"/>
              <w:bidi w:val="0"/>
              <w:snapToGrid w:val="0"/>
              <w:spacing w:line="240" w:lineRule="auto"/>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szCs w:val="24"/>
                <w:highlight w:val="none"/>
              </w:rPr>
              <w:t>（55分）</w:t>
            </w:r>
          </w:p>
        </w:tc>
        <w:tc>
          <w:tcPr>
            <w:tcW w:w="1536" w:type="dxa"/>
            <w:noWrap w:val="0"/>
            <w:vAlign w:val="center"/>
          </w:tcPr>
          <w:p w14:paraId="69507490">
            <w:pPr>
              <w:keepNext w:val="0"/>
              <w:keepLines w:val="0"/>
              <w:pageBreakBefore w:val="0"/>
              <w:widowControl/>
              <w:suppressLineNumbers w:val="0"/>
              <w:kinsoku/>
              <w:wordWrap/>
              <w:overflowPunct/>
              <w:topLinePunct w:val="0"/>
              <w:bidi w:val="0"/>
              <w:adjustRightInd/>
              <w:snapToGrid/>
              <w:spacing w:line="320" w:lineRule="exact"/>
              <w:jc w:val="center"/>
              <w:textAlignment w:val="center"/>
              <w:rPr>
                <w:rStyle w:val="73"/>
                <w:rFonts w:ascii="仿宋_GB2312" w:hAnsi="仿宋_GB2312" w:eastAsia="仿宋_GB2312" w:cs="仿宋_GB2312"/>
                <w:b/>
                <w:bCs/>
                <w:color w:val="auto"/>
                <w:sz w:val="24"/>
                <w:szCs w:val="24"/>
                <w:highlight w:val="none"/>
                <w:lang w:val="en-US" w:eastAsia="zh-CN" w:bidi="ar"/>
              </w:rPr>
            </w:pPr>
            <w:r>
              <w:rPr>
                <w:rStyle w:val="73"/>
                <w:rFonts w:ascii="仿宋_GB2312" w:hAnsi="仿宋_GB2312" w:cs="仿宋_GB2312"/>
                <w:b/>
                <w:bCs/>
                <w:color w:val="auto"/>
                <w:sz w:val="24"/>
                <w:szCs w:val="24"/>
                <w:highlight w:val="none"/>
                <w:u w:val="none"/>
                <w:lang w:val="en-US" w:eastAsia="zh-CN" w:bidi="ar"/>
              </w:rPr>
              <w:t>（</w:t>
            </w:r>
            <w:r>
              <w:rPr>
                <w:rFonts w:hint="eastAsia" w:eastAsia="仿宋_GB2312" w:cs="仿宋_GB2312"/>
                <w:b/>
                <w:bCs/>
                <w:i w:val="0"/>
                <w:iCs w:val="0"/>
                <w:color w:val="auto"/>
                <w:kern w:val="0"/>
                <w:sz w:val="24"/>
                <w:szCs w:val="24"/>
                <w:highlight w:val="none"/>
                <w:u w:val="none"/>
                <w:lang w:val="en-US" w:eastAsia="zh-CN" w:bidi="ar"/>
              </w:rPr>
              <w:t>8</w:t>
            </w:r>
            <w:r>
              <w:rPr>
                <w:rFonts w:hint="eastAsia" w:ascii="Times New Roman" w:hAnsi="Times New Roman" w:cs="仿宋_GB2312"/>
                <w:b/>
                <w:bCs/>
                <w:i w:val="0"/>
                <w:iCs w:val="0"/>
                <w:color w:val="auto"/>
                <w:kern w:val="0"/>
                <w:sz w:val="24"/>
                <w:szCs w:val="24"/>
                <w:highlight w:val="none"/>
                <w:u w:val="none"/>
                <w:lang w:val="en-US" w:eastAsia="zh-CN" w:bidi="ar"/>
              </w:rPr>
              <w:t>）</w:t>
            </w:r>
          </w:p>
          <w:p w14:paraId="36410AA7">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Style w:val="73"/>
                <w:rFonts w:ascii="仿宋_GB2312" w:hAnsi="仿宋_GB2312" w:eastAsia="仿宋_GB2312" w:cs="仿宋_GB2312"/>
                <w:b/>
                <w:bCs/>
                <w:color w:val="auto"/>
                <w:sz w:val="24"/>
                <w:szCs w:val="24"/>
                <w:highlight w:val="none"/>
                <w:lang w:val="en-US" w:eastAsia="zh-CN" w:bidi="ar"/>
              </w:rPr>
              <w:t>注册资本</w:t>
            </w:r>
          </w:p>
        </w:tc>
        <w:tc>
          <w:tcPr>
            <w:tcW w:w="504" w:type="dxa"/>
            <w:noWrap w:val="0"/>
            <w:vAlign w:val="center"/>
          </w:tcPr>
          <w:p w14:paraId="2BE83A20">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Fonts w:hint="eastAsia" w:eastAsia="仿宋_GB2312" w:cs="仿宋_GB2312"/>
                <w:b/>
                <w:bCs/>
                <w:i w:val="0"/>
                <w:iCs w:val="0"/>
                <w:color w:val="auto"/>
                <w:kern w:val="0"/>
                <w:sz w:val="24"/>
                <w:szCs w:val="24"/>
                <w:highlight w:val="none"/>
                <w:u w:val="none"/>
                <w:lang w:val="en-US" w:eastAsia="zh-CN" w:bidi="ar"/>
              </w:rPr>
              <w:t>5</w:t>
            </w:r>
          </w:p>
        </w:tc>
        <w:tc>
          <w:tcPr>
            <w:tcW w:w="8992" w:type="dxa"/>
            <w:noWrap w:val="0"/>
            <w:vAlign w:val="center"/>
          </w:tcPr>
          <w:p w14:paraId="43D3E984">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eastAsia" w:ascii="Times New Roman" w:hAnsi="Times New Roman"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考评年度年末注册资本</w:t>
            </w:r>
            <w:r>
              <w:rPr>
                <w:rFonts w:hint="eastAsia" w:ascii="Times New Roman" w:hAnsi="Times New Roman" w:eastAsia="仿宋_GB2312" w:cs="仿宋_GB2312"/>
                <w:i w:val="0"/>
                <w:iCs w:val="0"/>
                <w:color w:val="auto"/>
                <w:kern w:val="0"/>
                <w:sz w:val="21"/>
                <w:szCs w:val="21"/>
                <w:highlight w:val="none"/>
                <w:u w:val="none"/>
                <w:lang w:val="en-US" w:eastAsia="zh-CN" w:bidi="ar"/>
              </w:rPr>
              <w:t>3</w:t>
            </w:r>
            <w:r>
              <w:rPr>
                <w:rFonts w:ascii="仿宋_GB2312" w:hAnsi="仿宋_GB2312" w:eastAsia="仿宋_GB2312" w:cs="仿宋_GB2312"/>
                <w:color w:val="auto"/>
                <w:kern w:val="0"/>
                <w:sz w:val="21"/>
                <w:szCs w:val="21"/>
                <w:highlight w:val="none"/>
                <w:lang w:val="en-US" w:eastAsia="zh-CN" w:bidi="ar"/>
              </w:rPr>
              <w:t>亿元（含）以上且全额实缴到位的，得</w:t>
            </w:r>
            <w:r>
              <w:rPr>
                <w:rFonts w:hint="eastAsia" w:ascii="Times New Roman" w:hAnsi="Times New Roman" w:eastAsia="仿宋_GB2312" w:cs="仿宋_GB2312"/>
                <w:color w:val="auto"/>
                <w:kern w:val="0"/>
                <w:sz w:val="21"/>
                <w:szCs w:val="21"/>
                <w:highlight w:val="none"/>
                <w:lang w:val="en-US" w:eastAsia="zh-CN" w:bidi="ar"/>
              </w:rPr>
              <w:t>5</w:t>
            </w:r>
            <w:r>
              <w:rPr>
                <w:rFonts w:ascii="仿宋_GB2312" w:hAnsi="仿宋_GB2312" w:eastAsia="仿宋_GB2312" w:cs="仿宋_GB2312"/>
                <w:color w:val="auto"/>
                <w:kern w:val="0"/>
                <w:sz w:val="21"/>
                <w:szCs w:val="21"/>
                <w:highlight w:val="none"/>
                <w:lang w:val="en-US" w:eastAsia="zh-CN" w:bidi="ar"/>
              </w:rPr>
              <w:t>分；</w:t>
            </w:r>
          </w:p>
          <w:p w14:paraId="66576C52">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考评年度年末注册资本</w:t>
            </w:r>
            <w:r>
              <w:rPr>
                <w:rFonts w:hint="eastAsia" w:ascii="Times New Roman" w:hAnsi="Times New Roman" w:eastAsia="仿宋_GB2312" w:cs="仿宋_GB2312"/>
                <w:i w:val="0"/>
                <w:iCs w:val="0"/>
                <w:color w:val="auto"/>
                <w:kern w:val="0"/>
                <w:sz w:val="21"/>
                <w:szCs w:val="21"/>
                <w:highlight w:val="none"/>
                <w:u w:val="none"/>
                <w:lang w:val="en-US" w:eastAsia="zh-CN" w:bidi="ar"/>
              </w:rPr>
              <w:t>2</w:t>
            </w:r>
            <w:r>
              <w:rPr>
                <w:rFonts w:ascii="仿宋_GB2312" w:hAnsi="仿宋_GB2312" w:eastAsia="仿宋_GB2312" w:cs="仿宋_GB2312"/>
                <w:color w:val="auto"/>
                <w:kern w:val="0"/>
                <w:sz w:val="21"/>
                <w:szCs w:val="21"/>
                <w:highlight w:val="none"/>
                <w:lang w:val="en-US" w:eastAsia="zh-CN" w:bidi="ar"/>
              </w:rPr>
              <w:t>亿元（含）～</w:t>
            </w:r>
            <w:r>
              <w:rPr>
                <w:rFonts w:hint="eastAsia" w:ascii="Times New Roman" w:hAnsi="Times New Roman" w:eastAsia="仿宋_GB2312" w:cs="仿宋_GB2312"/>
                <w:i w:val="0"/>
                <w:iCs w:val="0"/>
                <w:color w:val="auto"/>
                <w:kern w:val="0"/>
                <w:sz w:val="21"/>
                <w:szCs w:val="21"/>
                <w:highlight w:val="none"/>
                <w:u w:val="none"/>
                <w:lang w:val="en-US" w:eastAsia="zh-CN" w:bidi="ar"/>
              </w:rPr>
              <w:t>3</w:t>
            </w:r>
            <w:r>
              <w:rPr>
                <w:rFonts w:ascii="仿宋_GB2312" w:hAnsi="仿宋_GB2312" w:eastAsia="仿宋_GB2312" w:cs="仿宋_GB2312"/>
                <w:color w:val="auto"/>
                <w:kern w:val="0"/>
                <w:sz w:val="21"/>
                <w:szCs w:val="21"/>
                <w:highlight w:val="none"/>
                <w:lang w:val="en-US" w:eastAsia="zh-CN" w:bidi="ar"/>
              </w:rPr>
              <w:t>亿元且全额实缴到位的，得</w:t>
            </w:r>
            <w:r>
              <w:rPr>
                <w:rFonts w:hint="eastAsia" w:ascii="Times New Roman" w:hAnsi="Times New Roman" w:eastAsia="仿宋_GB2312" w:cs="仿宋_GB2312"/>
                <w:color w:val="auto"/>
                <w:kern w:val="0"/>
                <w:sz w:val="21"/>
                <w:szCs w:val="21"/>
                <w:highlight w:val="none"/>
                <w:lang w:val="en-US" w:eastAsia="zh-CN" w:bidi="ar"/>
              </w:rPr>
              <w:t>4</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Times New Roman" w:hAnsi="Times New Roman" w:eastAsia="仿宋_GB2312" w:cs="仿宋_GB2312"/>
                <w:color w:val="auto"/>
                <w:kern w:val="0"/>
                <w:sz w:val="21"/>
                <w:szCs w:val="21"/>
                <w:highlight w:val="none"/>
                <w:lang w:val="en-US" w:eastAsia="zh-CN" w:bidi="ar"/>
              </w:rPr>
              <w:t>2</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考评年度年末注册资本</w:t>
            </w:r>
            <w:r>
              <w:rPr>
                <w:rFonts w:hint="eastAsia" w:ascii="Times New Roman" w:hAnsi="Times New Roman" w:eastAsia="仿宋_GB2312" w:cs="仿宋_GB2312"/>
                <w:i w:val="0"/>
                <w:iCs w:val="0"/>
                <w:color w:val="auto"/>
                <w:kern w:val="0"/>
                <w:sz w:val="21"/>
                <w:szCs w:val="21"/>
                <w:highlight w:val="none"/>
                <w:u w:val="none"/>
                <w:lang w:val="en-US" w:eastAsia="zh-CN" w:bidi="ar"/>
              </w:rPr>
              <w:t>1</w:t>
            </w:r>
            <w:r>
              <w:rPr>
                <w:rFonts w:ascii="仿宋_GB2312" w:hAnsi="仿宋_GB2312" w:eastAsia="仿宋_GB2312" w:cs="仿宋_GB2312"/>
                <w:color w:val="auto"/>
                <w:kern w:val="0"/>
                <w:sz w:val="21"/>
                <w:szCs w:val="21"/>
                <w:highlight w:val="none"/>
                <w:lang w:val="en-US" w:eastAsia="zh-CN" w:bidi="ar"/>
              </w:rPr>
              <w:t>亿元（含）～</w:t>
            </w:r>
            <w:r>
              <w:rPr>
                <w:rFonts w:hint="eastAsia" w:ascii="Times New Roman" w:hAnsi="Times New Roman" w:eastAsia="仿宋_GB2312" w:cs="仿宋_GB2312"/>
                <w:i w:val="0"/>
                <w:iCs w:val="0"/>
                <w:color w:val="auto"/>
                <w:kern w:val="0"/>
                <w:sz w:val="21"/>
                <w:szCs w:val="21"/>
                <w:highlight w:val="none"/>
                <w:u w:val="none"/>
                <w:lang w:val="en-US" w:eastAsia="zh-CN" w:bidi="ar"/>
              </w:rPr>
              <w:t>2</w:t>
            </w:r>
            <w:r>
              <w:rPr>
                <w:rFonts w:ascii="仿宋_GB2312" w:hAnsi="仿宋_GB2312" w:eastAsia="仿宋_GB2312" w:cs="仿宋_GB2312"/>
                <w:color w:val="auto"/>
                <w:kern w:val="0"/>
                <w:sz w:val="21"/>
                <w:szCs w:val="21"/>
                <w:highlight w:val="none"/>
                <w:lang w:val="en-US" w:eastAsia="zh-CN" w:bidi="ar"/>
              </w:rPr>
              <w:t>亿元且全额实缴到位的，得</w:t>
            </w:r>
            <w:r>
              <w:rPr>
                <w:rFonts w:hint="eastAsia" w:ascii="Times New Roman" w:hAnsi="Times New Roman" w:eastAsia="仿宋_GB2312" w:cs="仿宋_GB2312"/>
                <w:color w:val="auto"/>
                <w:kern w:val="0"/>
                <w:sz w:val="21"/>
                <w:szCs w:val="21"/>
                <w:highlight w:val="none"/>
                <w:lang w:val="en-US" w:eastAsia="zh-CN" w:bidi="ar"/>
              </w:rPr>
              <w:t>3</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Times New Roman" w:hAnsi="Times New Roman" w:eastAsia="仿宋_GB2312" w:cs="仿宋_GB2312"/>
                <w:color w:val="auto"/>
                <w:kern w:val="0"/>
                <w:sz w:val="21"/>
                <w:szCs w:val="21"/>
                <w:highlight w:val="none"/>
                <w:lang w:val="en-US" w:eastAsia="zh-CN" w:bidi="ar"/>
              </w:rPr>
              <w:t>3</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在《广西壮族自治区商业保理公司监督管理指引（试行）》（桂金监壹〔</w:t>
            </w:r>
            <w:r>
              <w:rPr>
                <w:rFonts w:hint="eastAsia" w:ascii="Times New Roman" w:hAnsi="Times New Roman" w:eastAsia="仿宋_GB2312" w:cs="仿宋_GB2312"/>
                <w:i w:val="0"/>
                <w:iCs w:val="0"/>
                <w:color w:val="auto"/>
                <w:kern w:val="0"/>
                <w:sz w:val="21"/>
                <w:szCs w:val="21"/>
                <w:highlight w:val="none"/>
                <w:u w:val="none"/>
                <w:lang w:val="en-US" w:eastAsia="zh-CN" w:bidi="ar"/>
              </w:rPr>
              <w:t>2023</w:t>
            </w:r>
            <w:r>
              <w:rPr>
                <w:rFonts w:ascii="仿宋_GB2312" w:hAnsi="仿宋_GB2312" w:eastAsia="仿宋_GB2312" w:cs="仿宋_GB2312"/>
                <w:color w:val="auto"/>
                <w:kern w:val="0"/>
                <w:sz w:val="21"/>
                <w:szCs w:val="21"/>
                <w:highlight w:val="none"/>
                <w:lang w:val="en-US" w:eastAsia="zh-CN" w:bidi="ar"/>
              </w:rPr>
              <w:t>〕</w:t>
            </w:r>
            <w:r>
              <w:rPr>
                <w:rFonts w:hint="eastAsia" w:ascii="Times New Roman" w:hAnsi="Times New Roman" w:eastAsia="仿宋_GB2312" w:cs="仿宋_GB2312"/>
                <w:i w:val="0"/>
                <w:iCs w:val="0"/>
                <w:color w:val="auto"/>
                <w:kern w:val="0"/>
                <w:sz w:val="21"/>
                <w:szCs w:val="21"/>
                <w:highlight w:val="none"/>
                <w:u w:val="none"/>
                <w:lang w:val="en-US" w:eastAsia="zh-CN" w:bidi="ar"/>
              </w:rPr>
              <w:t>2</w:t>
            </w:r>
            <w:r>
              <w:rPr>
                <w:rFonts w:ascii="仿宋_GB2312" w:hAnsi="仿宋_GB2312" w:eastAsia="仿宋_GB2312" w:cs="仿宋_GB2312"/>
                <w:color w:val="auto"/>
                <w:kern w:val="0"/>
                <w:sz w:val="21"/>
                <w:szCs w:val="21"/>
                <w:highlight w:val="none"/>
                <w:lang w:val="en-US" w:eastAsia="zh-CN" w:bidi="ar"/>
              </w:rPr>
              <w:t>号）生效前设立的商业保理公司，考评年度年末注册资本</w:t>
            </w:r>
            <w:r>
              <w:rPr>
                <w:rFonts w:hint="eastAsia" w:ascii="Times New Roman" w:hAnsi="Times New Roman" w:eastAsia="仿宋_GB2312" w:cs="仿宋_GB2312"/>
                <w:i w:val="0"/>
                <w:iCs w:val="0"/>
                <w:color w:val="auto"/>
                <w:kern w:val="0"/>
                <w:sz w:val="21"/>
                <w:szCs w:val="21"/>
                <w:highlight w:val="none"/>
                <w:u w:val="none"/>
                <w:lang w:val="en-US" w:eastAsia="zh-CN" w:bidi="ar"/>
              </w:rPr>
              <w:t>5000</w:t>
            </w:r>
            <w:r>
              <w:rPr>
                <w:rFonts w:ascii="仿宋_GB2312" w:hAnsi="仿宋_GB2312" w:eastAsia="仿宋_GB2312" w:cs="仿宋_GB2312"/>
                <w:color w:val="auto"/>
                <w:kern w:val="0"/>
                <w:sz w:val="21"/>
                <w:szCs w:val="21"/>
                <w:highlight w:val="none"/>
                <w:lang w:val="en-US" w:eastAsia="zh-CN" w:bidi="ar"/>
              </w:rPr>
              <w:t>万元（含）以上且全额实缴到位的，得</w:t>
            </w:r>
            <w:r>
              <w:rPr>
                <w:rFonts w:hint="eastAsia" w:ascii="Times New Roman" w:hAnsi="Times New Roman" w:eastAsia="仿宋_GB2312" w:cs="仿宋_GB2312"/>
                <w:color w:val="auto"/>
                <w:kern w:val="0"/>
                <w:sz w:val="21"/>
                <w:szCs w:val="21"/>
                <w:highlight w:val="none"/>
                <w:lang w:val="en-US" w:eastAsia="zh-CN" w:bidi="ar"/>
              </w:rPr>
              <w:t>2</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Times New Roman" w:hAnsi="Times New Roman" w:eastAsia="仿宋_GB2312" w:cs="仿宋_GB2312"/>
                <w:color w:val="auto"/>
                <w:kern w:val="0"/>
                <w:sz w:val="21"/>
                <w:szCs w:val="21"/>
                <w:highlight w:val="none"/>
                <w:lang w:val="en-US" w:eastAsia="zh-CN" w:bidi="ar"/>
              </w:rPr>
              <w:t>4</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考评年度年末注册资本低于</w:t>
            </w:r>
            <w:r>
              <w:rPr>
                <w:rFonts w:hint="eastAsia" w:ascii="Times New Roman" w:hAnsi="Times New Roman" w:eastAsia="仿宋_GB2312" w:cs="仿宋_GB2312"/>
                <w:i w:val="0"/>
                <w:iCs w:val="0"/>
                <w:color w:val="auto"/>
                <w:kern w:val="0"/>
                <w:sz w:val="21"/>
                <w:szCs w:val="21"/>
                <w:highlight w:val="none"/>
                <w:u w:val="none"/>
                <w:lang w:val="en-US" w:eastAsia="zh-CN" w:bidi="ar"/>
              </w:rPr>
              <w:t>1</w:t>
            </w:r>
            <w:r>
              <w:rPr>
                <w:rFonts w:ascii="仿宋_GB2312" w:hAnsi="仿宋_GB2312" w:eastAsia="仿宋_GB2312" w:cs="仿宋_GB2312"/>
                <w:color w:val="auto"/>
                <w:kern w:val="0"/>
                <w:sz w:val="21"/>
                <w:szCs w:val="21"/>
                <w:highlight w:val="none"/>
                <w:lang w:val="en-US" w:eastAsia="zh-CN" w:bidi="ar"/>
              </w:rPr>
              <w:t>亿元（在《广西壮族自治区商业保理公司监督管理指引（试行）》（桂金监壹〔</w:t>
            </w:r>
            <w:r>
              <w:rPr>
                <w:rFonts w:hint="eastAsia" w:ascii="Times New Roman" w:hAnsi="Times New Roman" w:eastAsia="仿宋_GB2312" w:cs="仿宋_GB2312"/>
                <w:i w:val="0"/>
                <w:iCs w:val="0"/>
                <w:color w:val="auto"/>
                <w:kern w:val="0"/>
                <w:sz w:val="21"/>
                <w:szCs w:val="21"/>
                <w:highlight w:val="none"/>
                <w:u w:val="none"/>
                <w:lang w:val="en-US" w:eastAsia="zh-CN" w:bidi="ar"/>
              </w:rPr>
              <w:t>2023</w:t>
            </w:r>
            <w:r>
              <w:rPr>
                <w:rFonts w:ascii="仿宋_GB2312" w:hAnsi="仿宋_GB2312" w:eastAsia="仿宋_GB2312" w:cs="仿宋_GB2312"/>
                <w:color w:val="auto"/>
                <w:kern w:val="0"/>
                <w:sz w:val="21"/>
                <w:szCs w:val="21"/>
                <w:highlight w:val="none"/>
                <w:lang w:val="en-US" w:eastAsia="zh-CN" w:bidi="ar"/>
              </w:rPr>
              <w:t>〕</w:t>
            </w:r>
            <w:r>
              <w:rPr>
                <w:rFonts w:hint="eastAsia" w:ascii="Times New Roman" w:hAnsi="Times New Roman" w:eastAsia="仿宋_GB2312" w:cs="仿宋_GB2312"/>
                <w:i w:val="0"/>
                <w:iCs w:val="0"/>
                <w:color w:val="auto"/>
                <w:kern w:val="0"/>
                <w:sz w:val="21"/>
                <w:szCs w:val="21"/>
                <w:highlight w:val="none"/>
                <w:u w:val="none"/>
                <w:lang w:val="en-US" w:eastAsia="zh-CN" w:bidi="ar"/>
              </w:rPr>
              <w:t>2</w:t>
            </w:r>
            <w:r>
              <w:rPr>
                <w:rFonts w:ascii="仿宋_GB2312" w:hAnsi="仿宋_GB2312" w:eastAsia="仿宋_GB2312" w:cs="仿宋_GB2312"/>
                <w:color w:val="auto"/>
                <w:kern w:val="0"/>
                <w:sz w:val="21"/>
                <w:szCs w:val="21"/>
                <w:highlight w:val="none"/>
                <w:lang w:val="en-US" w:eastAsia="zh-CN" w:bidi="ar"/>
              </w:rPr>
              <w:t>号）生效前设立的商业保理公司年末注册资本低于</w:t>
            </w:r>
            <w:r>
              <w:rPr>
                <w:rFonts w:hint="eastAsia" w:ascii="Times New Roman" w:hAnsi="Times New Roman" w:eastAsia="仿宋_GB2312" w:cs="仿宋_GB2312"/>
                <w:i w:val="0"/>
                <w:iCs w:val="0"/>
                <w:color w:val="auto"/>
                <w:kern w:val="0"/>
                <w:sz w:val="21"/>
                <w:szCs w:val="21"/>
                <w:highlight w:val="none"/>
                <w:u w:val="none"/>
                <w:lang w:val="en-US" w:eastAsia="zh-CN" w:bidi="ar"/>
              </w:rPr>
              <w:t>5000</w:t>
            </w:r>
            <w:r>
              <w:rPr>
                <w:rFonts w:ascii="仿宋_GB2312" w:hAnsi="仿宋_GB2312" w:eastAsia="仿宋_GB2312" w:cs="仿宋_GB2312"/>
                <w:color w:val="auto"/>
                <w:kern w:val="0"/>
                <w:sz w:val="21"/>
                <w:szCs w:val="21"/>
                <w:highlight w:val="none"/>
                <w:lang w:val="en-US" w:eastAsia="zh-CN" w:bidi="ar"/>
              </w:rPr>
              <w:t>万元），或未全额实缴到位的得</w:t>
            </w:r>
            <w:r>
              <w:rPr>
                <w:rFonts w:hint="eastAsia" w:ascii="Times New Roman" w:hAnsi="Times New Roman" w:eastAsia="仿宋_GB2312" w:cs="仿宋_GB2312"/>
                <w:color w:val="auto"/>
                <w:kern w:val="0"/>
                <w:sz w:val="21"/>
                <w:szCs w:val="21"/>
                <w:highlight w:val="none"/>
                <w:lang w:val="en-US" w:eastAsia="zh-CN" w:bidi="ar"/>
              </w:rPr>
              <w:t>0</w:t>
            </w:r>
            <w:r>
              <w:rPr>
                <w:rFonts w:ascii="仿宋_GB2312" w:hAnsi="仿宋_GB2312" w:eastAsia="仿宋_GB2312" w:cs="仿宋_GB2312"/>
                <w:color w:val="auto"/>
                <w:kern w:val="0"/>
                <w:sz w:val="21"/>
                <w:szCs w:val="21"/>
                <w:highlight w:val="none"/>
                <w:lang w:val="en-US" w:eastAsia="zh-CN" w:bidi="ar"/>
              </w:rPr>
              <w:t>分。</w:t>
            </w:r>
          </w:p>
        </w:tc>
        <w:tc>
          <w:tcPr>
            <w:tcW w:w="705" w:type="dxa"/>
            <w:noWrap w:val="0"/>
            <w:vAlign w:val="top"/>
          </w:tcPr>
          <w:p w14:paraId="4F0F8E95">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32FB157F">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5E21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3" w:type="dxa"/>
            <w:vMerge w:val="continue"/>
            <w:noWrap w:val="0"/>
            <w:vAlign w:val="center"/>
          </w:tcPr>
          <w:p w14:paraId="2C9F965C">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p>
        </w:tc>
        <w:tc>
          <w:tcPr>
            <w:tcW w:w="1536" w:type="dxa"/>
            <w:noWrap w:val="0"/>
            <w:vAlign w:val="center"/>
          </w:tcPr>
          <w:p w14:paraId="76D034FC">
            <w:pPr>
              <w:keepNext w:val="0"/>
              <w:keepLines w:val="0"/>
              <w:pageBreakBefore w:val="0"/>
              <w:widowControl/>
              <w:suppressLineNumbers w:val="0"/>
              <w:kinsoku/>
              <w:wordWrap/>
              <w:overflowPunct/>
              <w:topLinePunct w:val="0"/>
              <w:bidi w:val="0"/>
              <w:adjustRightInd/>
              <w:snapToGrid/>
              <w:spacing w:line="320" w:lineRule="exact"/>
              <w:jc w:val="center"/>
              <w:textAlignment w:val="center"/>
              <w:rPr>
                <w:rStyle w:val="73"/>
                <w:rFonts w:ascii="仿宋_GB2312" w:hAnsi="仿宋_GB2312" w:eastAsia="仿宋_GB2312" w:cs="仿宋_GB2312"/>
                <w:b/>
                <w:bCs/>
                <w:color w:val="auto"/>
                <w:sz w:val="24"/>
                <w:szCs w:val="24"/>
                <w:highlight w:val="none"/>
                <w:u w:val="none"/>
                <w:lang w:val="en-US" w:eastAsia="zh-CN" w:bidi="ar"/>
              </w:rPr>
            </w:pPr>
            <w:r>
              <w:rPr>
                <w:rFonts w:hint="eastAsia" w:ascii="Times New Roman" w:hAnsi="Times New Roman" w:cs="仿宋_GB2312"/>
                <w:b/>
                <w:bCs/>
                <w:i w:val="0"/>
                <w:iCs w:val="0"/>
                <w:color w:val="auto"/>
                <w:kern w:val="0"/>
                <w:sz w:val="24"/>
                <w:szCs w:val="24"/>
                <w:highlight w:val="none"/>
                <w:u w:val="none"/>
                <w:lang w:val="en-US" w:eastAsia="zh-CN" w:bidi="ar"/>
              </w:rPr>
              <w:t>（</w:t>
            </w:r>
            <w:r>
              <w:rPr>
                <w:rFonts w:hint="eastAsia" w:ascii="Times New Roman" w:hAnsi="Times New Roman" w:eastAsia="仿宋_GB2312" w:cs="仿宋_GB2312"/>
                <w:b/>
                <w:bCs/>
                <w:i w:val="0"/>
                <w:iCs w:val="0"/>
                <w:color w:val="auto"/>
                <w:kern w:val="0"/>
                <w:sz w:val="24"/>
                <w:szCs w:val="24"/>
                <w:highlight w:val="none"/>
                <w:u w:val="none"/>
                <w:lang w:val="en-US" w:eastAsia="zh-CN" w:bidi="ar"/>
              </w:rPr>
              <w:t>9</w:t>
            </w:r>
            <w:r>
              <w:rPr>
                <w:rFonts w:hint="eastAsia" w:ascii="Times New Roman" w:hAnsi="Times New Roman" w:cs="仿宋_GB2312"/>
                <w:b/>
                <w:bCs/>
                <w:i w:val="0"/>
                <w:iCs w:val="0"/>
                <w:color w:val="auto"/>
                <w:kern w:val="0"/>
                <w:sz w:val="24"/>
                <w:szCs w:val="24"/>
                <w:highlight w:val="none"/>
                <w:u w:val="none"/>
                <w:lang w:val="en-US" w:eastAsia="zh-CN" w:bidi="ar"/>
              </w:rPr>
              <w:t>）</w:t>
            </w:r>
          </w:p>
          <w:p w14:paraId="3A6B3D72">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Style w:val="76"/>
                <w:rFonts w:hint="eastAsia" w:ascii="仿宋_GB2312" w:hAnsi="仿宋_GB2312" w:eastAsia="仿宋_GB2312" w:cs="仿宋_GB2312"/>
                <w:b/>
                <w:bCs/>
                <w:color w:val="auto"/>
                <w:sz w:val="24"/>
                <w:szCs w:val="24"/>
                <w:highlight w:val="none"/>
                <w:u w:val="none"/>
                <w:lang w:val="en-US" w:eastAsia="zh-CN" w:bidi="ar"/>
              </w:rPr>
              <w:t>消费者权益保护</w:t>
            </w:r>
          </w:p>
        </w:tc>
        <w:tc>
          <w:tcPr>
            <w:tcW w:w="504" w:type="dxa"/>
            <w:noWrap w:val="0"/>
            <w:vAlign w:val="center"/>
          </w:tcPr>
          <w:p w14:paraId="5BAF33BE">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Fonts w:hint="eastAsia" w:ascii="Times New Roman" w:hAnsi="Times New Roman" w:eastAsia="仿宋_GB2312" w:cs="仿宋_GB2312"/>
                <w:b/>
                <w:bCs/>
                <w:i w:val="0"/>
                <w:iCs w:val="0"/>
                <w:color w:val="auto"/>
                <w:kern w:val="0"/>
                <w:sz w:val="24"/>
                <w:szCs w:val="24"/>
                <w:highlight w:val="none"/>
                <w:u w:val="none"/>
                <w:lang w:val="en-US" w:eastAsia="zh-CN" w:bidi="ar"/>
              </w:rPr>
              <w:t>4</w:t>
            </w:r>
          </w:p>
        </w:tc>
        <w:tc>
          <w:tcPr>
            <w:tcW w:w="8992" w:type="dxa"/>
            <w:noWrap w:val="0"/>
            <w:vAlign w:val="center"/>
          </w:tcPr>
          <w:p w14:paraId="4A5BF0C6">
            <w:pPr>
              <w:keepNext w:val="0"/>
              <w:keepLines w:val="0"/>
              <w:pageBreakBefore w:val="0"/>
              <w:widowControl/>
              <w:numPr>
                <w:ilvl w:val="0"/>
                <w:numId w:val="0"/>
              </w:numPr>
              <w:suppressLineNumbers w:val="0"/>
              <w:kinsoku/>
              <w:wordWrap/>
              <w:overflowPunct/>
              <w:topLinePunct w:val="0"/>
              <w:bidi w:val="0"/>
              <w:adjustRightInd/>
              <w:snapToGrid/>
              <w:spacing w:line="320" w:lineRule="exact"/>
              <w:jc w:val="left"/>
              <w:textAlignment w:val="center"/>
              <w:rPr>
                <w:rFonts w:hint="eastAsia" w:ascii="仿宋_GB2312" w:hAnsi="仿宋_GB2312"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w:t>
            </w:r>
            <w:r>
              <w:rPr>
                <w:rFonts w:hint="eastAsia" w:ascii="仿宋_GB2312" w:hAnsi="仿宋_GB2312" w:eastAsia="仿宋_GB2312" w:cs="仿宋_GB2312"/>
                <w:color w:val="auto"/>
                <w:kern w:val="0"/>
                <w:sz w:val="21"/>
                <w:szCs w:val="21"/>
                <w:highlight w:val="none"/>
                <w:lang w:val="en-US" w:eastAsia="zh-CN" w:bidi="ar"/>
              </w:rPr>
              <w:t>.建立并严格执行金融消费者和投资者适当性制度，以通俗易懂的语言、文字或者图表向客户真实、准确、完整地披露可能影响其决策的信息，并充分提示</w:t>
            </w:r>
            <w:r>
              <w:rPr>
                <w:rFonts w:ascii="仿宋_GB2312" w:hAnsi="仿宋_GB2312" w:eastAsia="仿宋_GB2312" w:cs="仿宋_GB2312"/>
                <w:color w:val="auto"/>
                <w:kern w:val="0"/>
                <w:sz w:val="21"/>
                <w:szCs w:val="21"/>
                <w:highlight w:val="none"/>
                <w:lang w:val="en-US" w:eastAsia="zh-CN" w:bidi="ar"/>
              </w:rPr>
              <w:t>关键合同</w:t>
            </w:r>
            <w:r>
              <w:rPr>
                <w:rFonts w:hint="eastAsia" w:ascii="仿宋_GB2312" w:hAnsi="仿宋_GB2312" w:eastAsia="仿宋_GB2312" w:cs="仿宋_GB2312"/>
                <w:color w:val="auto"/>
                <w:kern w:val="0"/>
                <w:sz w:val="21"/>
                <w:szCs w:val="21"/>
                <w:highlight w:val="none"/>
                <w:lang w:val="en-US" w:eastAsia="zh-CN" w:bidi="ar"/>
              </w:rPr>
              <w:t>条款（含融资金额、费率结构、</w:t>
            </w:r>
            <w:r>
              <w:rPr>
                <w:rFonts w:ascii="仿宋_GB2312" w:hAnsi="仿宋_GB2312" w:eastAsia="仿宋_GB2312" w:cs="仿宋_GB2312"/>
                <w:color w:val="auto"/>
                <w:kern w:val="0"/>
                <w:sz w:val="21"/>
                <w:szCs w:val="21"/>
                <w:highlight w:val="none"/>
                <w:lang w:val="en-US" w:eastAsia="zh-CN" w:bidi="ar"/>
              </w:rPr>
              <w:t>费用收取</w:t>
            </w:r>
            <w:r>
              <w:rPr>
                <w:rFonts w:hint="eastAsia" w:ascii="仿宋_GB2312" w:hAnsi="仿宋_GB2312" w:eastAsia="仿宋_GB2312" w:cs="仿宋_GB2312"/>
                <w:color w:val="auto"/>
                <w:kern w:val="0"/>
                <w:sz w:val="21"/>
                <w:szCs w:val="21"/>
                <w:highlight w:val="none"/>
                <w:lang w:val="en-US" w:eastAsia="zh-CN" w:bidi="ar"/>
              </w:rPr>
              <w:t>、违约责任等）</w:t>
            </w:r>
            <w:r>
              <w:rPr>
                <w:rFonts w:ascii="仿宋_GB2312" w:hAnsi="仿宋_GB2312" w:eastAsia="仿宋_GB2312" w:cs="仿宋_GB2312"/>
                <w:color w:val="auto"/>
                <w:kern w:val="0"/>
                <w:sz w:val="21"/>
                <w:szCs w:val="21"/>
                <w:highlight w:val="none"/>
                <w:lang w:val="en-US" w:eastAsia="zh-CN" w:bidi="ar"/>
              </w:rPr>
              <w:t>内容</w:t>
            </w:r>
            <w:r>
              <w:rPr>
                <w:rFonts w:hint="eastAsia" w:ascii="仿宋_GB2312" w:hAnsi="仿宋_GB2312" w:eastAsia="仿宋_GB2312" w:cs="仿宋_GB2312"/>
                <w:color w:val="auto"/>
                <w:kern w:val="0"/>
                <w:sz w:val="21"/>
                <w:szCs w:val="21"/>
                <w:highlight w:val="none"/>
                <w:lang w:val="en-US" w:eastAsia="zh-CN" w:bidi="ar"/>
              </w:rPr>
              <w:t>，合同签署流程规范的，</w:t>
            </w:r>
            <w:r>
              <w:rPr>
                <w:rFonts w:ascii="仿宋_GB2312" w:hAnsi="仿宋_GB2312" w:eastAsia="仿宋_GB2312" w:cs="仿宋_GB2312"/>
                <w:color w:val="auto"/>
                <w:kern w:val="0"/>
                <w:sz w:val="21"/>
                <w:szCs w:val="21"/>
                <w:highlight w:val="none"/>
                <w:lang w:val="en-US" w:eastAsia="zh-CN" w:bidi="ar"/>
              </w:rPr>
              <w:t>得</w:t>
            </w:r>
            <w:r>
              <w:rPr>
                <w:rFonts w:hint="eastAsia" w:ascii="Times New Roman" w:hAnsi="Times New Roman" w:eastAsia="仿宋_GB2312" w:cs="仿宋_GB2312"/>
                <w:color w:val="auto"/>
                <w:kern w:val="0"/>
                <w:sz w:val="21"/>
                <w:szCs w:val="21"/>
                <w:highlight w:val="none"/>
                <w:lang w:val="en-US" w:eastAsia="zh-CN" w:bidi="ar"/>
              </w:rPr>
              <w:t>4</w:t>
            </w:r>
            <w:r>
              <w:rPr>
                <w:rFonts w:ascii="仿宋_GB2312" w:hAnsi="仿宋_GB2312" w:eastAsia="仿宋_GB2312" w:cs="仿宋_GB2312"/>
                <w:color w:val="auto"/>
                <w:kern w:val="0"/>
                <w:sz w:val="21"/>
                <w:szCs w:val="21"/>
                <w:highlight w:val="none"/>
                <w:lang w:val="en-US" w:eastAsia="zh-CN" w:bidi="ar"/>
              </w:rPr>
              <w:t>分；</w:t>
            </w:r>
          </w:p>
          <w:p w14:paraId="68442E6E">
            <w:pPr>
              <w:keepNext w:val="0"/>
              <w:keepLines w:val="0"/>
              <w:pageBreakBefore w:val="0"/>
              <w:widowControl/>
              <w:numPr>
                <w:ilvl w:val="0"/>
                <w:numId w:val="0"/>
              </w:numPr>
              <w:suppressLineNumbers w:val="0"/>
              <w:kinsoku/>
              <w:wordWrap/>
              <w:overflowPunct/>
              <w:topLinePunct w:val="0"/>
              <w:bidi w:val="0"/>
              <w:adjustRightInd/>
              <w:snapToGrid/>
              <w:spacing w:line="320" w:lineRule="exact"/>
              <w:ind w:left="0" w:leftChars="0" w:firstLine="0" w:firstLineChars="0"/>
              <w:jc w:val="left"/>
              <w:textAlignment w:val="center"/>
              <w:rPr>
                <w:rFonts w:hint="eastAsia" w:ascii="仿宋_GB2312" w:hAnsi="仿宋_GB2312"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2</w:t>
            </w:r>
            <w:r>
              <w:rPr>
                <w:rFonts w:hint="eastAsia" w:ascii="仿宋_GB2312" w:hAnsi="仿宋_GB2312" w:eastAsia="仿宋_GB2312" w:cs="仿宋_GB2312"/>
                <w:color w:val="auto"/>
                <w:kern w:val="0"/>
                <w:sz w:val="21"/>
                <w:szCs w:val="21"/>
                <w:highlight w:val="none"/>
                <w:lang w:val="en-US" w:eastAsia="zh-CN" w:bidi="ar"/>
              </w:rPr>
              <w:t>.建立并基本执行金融消费者和投资者适当性制度，基本能以通俗易懂的语言、文字或者图表向客户真实、准确、完整地披露可能影响其决策的信息，并提示</w:t>
            </w:r>
            <w:r>
              <w:rPr>
                <w:rFonts w:ascii="仿宋_GB2312" w:hAnsi="仿宋_GB2312" w:eastAsia="仿宋_GB2312" w:cs="仿宋_GB2312"/>
                <w:color w:val="auto"/>
                <w:kern w:val="0"/>
                <w:sz w:val="21"/>
                <w:szCs w:val="21"/>
                <w:highlight w:val="none"/>
                <w:lang w:val="en-US" w:eastAsia="zh-CN" w:bidi="ar"/>
              </w:rPr>
              <w:t>关键合同</w:t>
            </w:r>
            <w:r>
              <w:rPr>
                <w:rFonts w:hint="eastAsia" w:ascii="仿宋_GB2312" w:hAnsi="仿宋_GB2312" w:eastAsia="仿宋_GB2312" w:cs="仿宋_GB2312"/>
                <w:color w:val="auto"/>
                <w:kern w:val="0"/>
                <w:sz w:val="21"/>
                <w:szCs w:val="21"/>
                <w:highlight w:val="none"/>
                <w:lang w:val="en-US" w:eastAsia="zh-CN" w:bidi="ar"/>
              </w:rPr>
              <w:t>条款（含融资金额、费率结构、</w:t>
            </w:r>
            <w:r>
              <w:rPr>
                <w:rFonts w:ascii="仿宋_GB2312" w:hAnsi="仿宋_GB2312" w:eastAsia="仿宋_GB2312" w:cs="仿宋_GB2312"/>
                <w:color w:val="auto"/>
                <w:kern w:val="0"/>
                <w:sz w:val="21"/>
                <w:szCs w:val="21"/>
                <w:highlight w:val="none"/>
                <w:lang w:val="en-US" w:eastAsia="zh-CN" w:bidi="ar"/>
              </w:rPr>
              <w:t>费用收取</w:t>
            </w:r>
            <w:r>
              <w:rPr>
                <w:rFonts w:hint="eastAsia" w:ascii="仿宋_GB2312" w:hAnsi="仿宋_GB2312" w:eastAsia="仿宋_GB2312" w:cs="仿宋_GB2312"/>
                <w:color w:val="auto"/>
                <w:kern w:val="0"/>
                <w:sz w:val="21"/>
                <w:szCs w:val="21"/>
                <w:highlight w:val="none"/>
                <w:lang w:val="en-US" w:eastAsia="zh-CN" w:bidi="ar"/>
              </w:rPr>
              <w:t>、违约责任等）</w:t>
            </w:r>
            <w:r>
              <w:rPr>
                <w:rFonts w:ascii="仿宋_GB2312" w:hAnsi="仿宋_GB2312" w:eastAsia="仿宋_GB2312" w:cs="仿宋_GB2312"/>
                <w:color w:val="auto"/>
                <w:kern w:val="0"/>
                <w:sz w:val="21"/>
                <w:szCs w:val="21"/>
                <w:highlight w:val="none"/>
                <w:lang w:val="en-US" w:eastAsia="zh-CN" w:bidi="ar"/>
              </w:rPr>
              <w:t>内容</w:t>
            </w:r>
            <w:r>
              <w:rPr>
                <w:rFonts w:hint="eastAsia" w:ascii="仿宋_GB2312" w:hAnsi="仿宋_GB2312" w:eastAsia="仿宋_GB2312" w:cs="仿宋_GB2312"/>
                <w:color w:val="auto"/>
                <w:kern w:val="0"/>
                <w:sz w:val="21"/>
                <w:szCs w:val="21"/>
                <w:highlight w:val="none"/>
                <w:lang w:val="en-US" w:eastAsia="zh-CN" w:bidi="ar"/>
              </w:rPr>
              <w:t>，但</w:t>
            </w:r>
            <w:r>
              <w:rPr>
                <w:rFonts w:ascii="仿宋_GB2312" w:hAnsi="仿宋_GB2312" w:eastAsia="仿宋_GB2312" w:cs="仿宋_GB2312"/>
                <w:color w:val="auto"/>
                <w:kern w:val="0"/>
                <w:sz w:val="21"/>
                <w:szCs w:val="21"/>
                <w:highlight w:val="none"/>
                <w:lang w:val="en-US" w:eastAsia="zh-CN" w:bidi="ar"/>
              </w:rPr>
              <w:t>存在个别条款表述不清或存在歧义的情况，合同签署流程基本合规的，得</w:t>
            </w:r>
            <w:r>
              <w:rPr>
                <w:rFonts w:hint="eastAsia" w:ascii="Times New Roman" w:hAnsi="Times New Roman" w:eastAsia="仿宋_GB2312" w:cs="仿宋_GB2312"/>
                <w:color w:val="auto"/>
                <w:kern w:val="0"/>
                <w:sz w:val="21"/>
                <w:szCs w:val="21"/>
                <w:highlight w:val="none"/>
                <w:lang w:val="en-US" w:eastAsia="zh-CN" w:bidi="ar"/>
              </w:rPr>
              <w:t>2</w:t>
            </w:r>
            <w:r>
              <w:rPr>
                <w:rFonts w:ascii="仿宋_GB2312" w:hAnsi="仿宋_GB2312" w:eastAsia="仿宋_GB2312" w:cs="仿宋_GB2312"/>
                <w:color w:val="auto"/>
                <w:kern w:val="0"/>
                <w:sz w:val="21"/>
                <w:szCs w:val="21"/>
                <w:highlight w:val="none"/>
                <w:lang w:val="en-US" w:eastAsia="zh-CN" w:bidi="ar"/>
              </w:rPr>
              <w:t>分；</w:t>
            </w:r>
          </w:p>
          <w:p w14:paraId="69A25DBE">
            <w:pPr>
              <w:keepNext w:val="0"/>
              <w:keepLines w:val="0"/>
              <w:pageBreakBefore w:val="0"/>
              <w:widowControl/>
              <w:numPr>
                <w:ilvl w:val="0"/>
                <w:numId w:val="0"/>
              </w:numPr>
              <w:suppressLineNumbers w:val="0"/>
              <w:kinsoku/>
              <w:wordWrap/>
              <w:overflowPunct/>
              <w:topLinePunct w:val="0"/>
              <w:bidi w:val="0"/>
              <w:adjustRightInd/>
              <w:snapToGrid/>
              <w:spacing w:line="320" w:lineRule="exact"/>
              <w:ind w:left="0" w:leftChars="0" w:firstLine="0" w:firstLineChars="0"/>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3</w:t>
            </w:r>
            <w:r>
              <w:rPr>
                <w:rFonts w:hint="eastAsia" w:ascii="仿宋_GB2312" w:hAnsi="仿宋_GB2312" w:eastAsia="仿宋_GB2312" w:cs="仿宋_GB2312"/>
                <w:color w:val="auto"/>
                <w:kern w:val="0"/>
                <w:sz w:val="21"/>
                <w:szCs w:val="21"/>
                <w:highlight w:val="none"/>
                <w:lang w:val="en-US" w:eastAsia="zh-CN" w:bidi="ar"/>
              </w:rPr>
              <w:t>.未建立金融消费者和投资者适当性制度，</w:t>
            </w:r>
            <w:r>
              <w:rPr>
                <w:rFonts w:ascii="仿宋_GB2312" w:hAnsi="仿宋_GB2312" w:eastAsia="仿宋_GB2312" w:cs="仿宋_GB2312"/>
                <w:color w:val="auto"/>
                <w:kern w:val="0"/>
                <w:sz w:val="21"/>
                <w:szCs w:val="21"/>
                <w:highlight w:val="none"/>
                <w:lang w:val="en-US" w:eastAsia="zh-CN" w:bidi="ar"/>
              </w:rPr>
              <w:t>条款表述混乱、歧义严重</w:t>
            </w:r>
            <w:r>
              <w:rPr>
                <w:rFonts w:hint="eastAsia" w:ascii="仿宋_GB2312" w:hAnsi="仿宋_GB2312" w:eastAsia="仿宋_GB2312" w:cs="仿宋_GB2312"/>
                <w:color w:val="auto"/>
                <w:kern w:val="0"/>
                <w:sz w:val="21"/>
                <w:szCs w:val="21"/>
                <w:highlight w:val="none"/>
                <w:lang w:val="en-US" w:eastAsia="zh-CN" w:bidi="ar"/>
              </w:rPr>
              <w:t>的</w:t>
            </w:r>
            <w:r>
              <w:rPr>
                <w:rFonts w:ascii="仿宋_GB2312" w:hAnsi="仿宋_GB2312" w:eastAsia="仿宋_GB2312" w:cs="仿宋_GB2312"/>
                <w:color w:val="auto"/>
                <w:kern w:val="0"/>
                <w:sz w:val="21"/>
                <w:szCs w:val="21"/>
                <w:highlight w:val="none"/>
                <w:lang w:val="en-US" w:eastAsia="zh-CN" w:bidi="ar"/>
              </w:rPr>
              <w:t>，存在明显的违规操作或隐瞒重要信息情况，存在面向客户业务风险揭示不足，</w:t>
            </w:r>
            <w:r>
              <w:rPr>
                <w:rFonts w:hint="eastAsia" w:ascii="仿宋_GB2312" w:hAnsi="仿宋_GB2312" w:eastAsia="仿宋_GB2312" w:cs="仿宋_GB2312"/>
                <w:color w:val="auto"/>
                <w:kern w:val="0"/>
                <w:sz w:val="21"/>
                <w:szCs w:val="21"/>
                <w:highlight w:val="none"/>
                <w:lang w:val="en-US" w:eastAsia="zh-CN" w:bidi="ar"/>
              </w:rPr>
              <w:t>融资金额、费率结构、</w:t>
            </w:r>
            <w:r>
              <w:rPr>
                <w:rFonts w:ascii="仿宋_GB2312" w:hAnsi="仿宋_GB2312" w:eastAsia="仿宋_GB2312" w:cs="仿宋_GB2312"/>
                <w:color w:val="auto"/>
                <w:kern w:val="0"/>
                <w:sz w:val="21"/>
                <w:szCs w:val="21"/>
                <w:highlight w:val="none"/>
                <w:lang w:val="en-US" w:eastAsia="zh-CN" w:bidi="ar"/>
              </w:rPr>
              <w:t>费用收取</w:t>
            </w:r>
            <w:r>
              <w:rPr>
                <w:rFonts w:hint="eastAsia" w:ascii="仿宋_GB2312" w:hAnsi="仿宋_GB2312" w:eastAsia="仿宋_GB2312" w:cs="仿宋_GB2312"/>
                <w:color w:val="auto"/>
                <w:kern w:val="0"/>
                <w:sz w:val="21"/>
                <w:szCs w:val="21"/>
                <w:highlight w:val="none"/>
                <w:lang w:val="en-US" w:eastAsia="zh-CN" w:bidi="ar"/>
              </w:rPr>
              <w:t>、违约责任</w:t>
            </w:r>
            <w:r>
              <w:rPr>
                <w:rFonts w:ascii="仿宋_GB2312" w:hAnsi="仿宋_GB2312" w:eastAsia="仿宋_GB2312" w:cs="仿宋_GB2312"/>
                <w:color w:val="auto"/>
                <w:kern w:val="0"/>
                <w:sz w:val="21"/>
                <w:szCs w:val="21"/>
                <w:highlight w:val="none"/>
                <w:lang w:val="en-US" w:eastAsia="zh-CN" w:bidi="ar"/>
              </w:rPr>
              <w:t>等关键合同条款内容不明晰等问题</w:t>
            </w:r>
            <w:r>
              <w:rPr>
                <w:rFonts w:hint="eastAsia" w:ascii="仿宋_GB2312" w:hAnsi="仿宋_GB2312" w:eastAsia="仿宋_GB2312" w:cs="仿宋_GB2312"/>
                <w:color w:val="auto"/>
                <w:kern w:val="0"/>
                <w:sz w:val="21"/>
                <w:szCs w:val="21"/>
                <w:highlight w:val="none"/>
                <w:lang w:val="en-US" w:eastAsia="zh-CN" w:bidi="ar"/>
              </w:rPr>
              <w:t>的</w:t>
            </w:r>
            <w:r>
              <w:rPr>
                <w:rFonts w:ascii="仿宋_GB2312" w:hAnsi="仿宋_GB2312" w:eastAsia="仿宋_GB2312" w:cs="仿宋_GB2312"/>
                <w:color w:val="auto"/>
                <w:kern w:val="0"/>
                <w:sz w:val="21"/>
                <w:szCs w:val="21"/>
                <w:highlight w:val="none"/>
                <w:lang w:val="en-US" w:eastAsia="zh-CN" w:bidi="ar"/>
              </w:rPr>
              <w:t>，合同签署流程不合规的</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得</w:t>
            </w:r>
            <w:r>
              <w:rPr>
                <w:rFonts w:hint="eastAsia" w:ascii="Times New Roman" w:hAnsi="Times New Roman" w:eastAsia="仿宋_GB2312" w:cs="仿宋_GB2312"/>
                <w:color w:val="auto"/>
                <w:kern w:val="0"/>
                <w:sz w:val="21"/>
                <w:szCs w:val="21"/>
                <w:highlight w:val="none"/>
                <w:lang w:val="en-US" w:eastAsia="zh-CN" w:bidi="ar"/>
              </w:rPr>
              <w:t>0</w:t>
            </w:r>
            <w:r>
              <w:rPr>
                <w:rFonts w:ascii="仿宋_GB2312" w:hAnsi="仿宋_GB2312" w:eastAsia="仿宋_GB2312" w:cs="仿宋_GB2312"/>
                <w:color w:val="auto"/>
                <w:kern w:val="0"/>
                <w:sz w:val="21"/>
                <w:szCs w:val="21"/>
                <w:highlight w:val="none"/>
                <w:lang w:val="en-US" w:eastAsia="zh-CN" w:bidi="ar"/>
              </w:rPr>
              <w:t>分。</w:t>
            </w:r>
          </w:p>
        </w:tc>
        <w:tc>
          <w:tcPr>
            <w:tcW w:w="705" w:type="dxa"/>
            <w:noWrap w:val="0"/>
            <w:vAlign w:val="top"/>
          </w:tcPr>
          <w:p w14:paraId="67988227">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46F0D88F">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29D8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3" w:type="dxa"/>
            <w:vMerge w:val="continue"/>
            <w:noWrap w:val="0"/>
            <w:vAlign w:val="top"/>
          </w:tcPr>
          <w:p w14:paraId="5AAF7FD2">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p>
        </w:tc>
        <w:tc>
          <w:tcPr>
            <w:tcW w:w="1536" w:type="dxa"/>
            <w:noWrap w:val="0"/>
            <w:vAlign w:val="center"/>
          </w:tcPr>
          <w:p w14:paraId="72294E7B">
            <w:pPr>
              <w:keepNext w:val="0"/>
              <w:keepLines w:val="0"/>
              <w:pageBreakBefore w:val="0"/>
              <w:widowControl/>
              <w:suppressLineNumbers w:val="0"/>
              <w:kinsoku/>
              <w:wordWrap/>
              <w:overflowPunct/>
              <w:topLinePunct w:val="0"/>
              <w:bidi w:val="0"/>
              <w:adjustRightInd/>
              <w:snapToGrid/>
              <w:spacing w:line="320" w:lineRule="exact"/>
              <w:jc w:val="center"/>
              <w:textAlignment w:val="auto"/>
              <w:rPr>
                <w:rStyle w:val="73"/>
                <w:rFonts w:ascii="仿宋_GB2312" w:hAnsi="仿宋_GB2312" w:eastAsia="仿宋_GB2312" w:cs="仿宋_GB2312"/>
                <w:b/>
                <w:bCs/>
                <w:color w:val="auto"/>
                <w:sz w:val="24"/>
                <w:szCs w:val="24"/>
                <w:highlight w:val="none"/>
                <w:lang w:val="en-US" w:eastAsia="zh-CN" w:bidi="ar"/>
              </w:rPr>
            </w:pPr>
            <w:r>
              <w:rPr>
                <w:rStyle w:val="73"/>
                <w:rFonts w:ascii="仿宋_GB2312" w:hAnsi="仿宋_GB2312" w:cs="仿宋_GB2312"/>
                <w:b/>
                <w:bCs/>
                <w:color w:val="auto"/>
                <w:sz w:val="24"/>
                <w:szCs w:val="24"/>
                <w:highlight w:val="none"/>
                <w:lang w:val="en-US" w:eastAsia="zh-CN" w:bidi="ar"/>
              </w:rPr>
              <w:t>（</w:t>
            </w:r>
            <w:r>
              <w:rPr>
                <w:rFonts w:hint="eastAsia" w:ascii="Times New Roman" w:hAnsi="Times New Roman" w:eastAsia="仿宋_GB2312" w:cs="仿宋_GB2312"/>
                <w:b/>
                <w:bCs/>
                <w:i w:val="0"/>
                <w:iCs w:val="0"/>
                <w:color w:val="auto"/>
                <w:kern w:val="0"/>
                <w:sz w:val="24"/>
                <w:szCs w:val="24"/>
                <w:highlight w:val="none"/>
                <w:u w:val="none"/>
                <w:lang w:val="en-US" w:eastAsia="zh-CN" w:bidi="ar"/>
              </w:rPr>
              <w:t>1</w:t>
            </w:r>
            <w:r>
              <w:rPr>
                <w:rStyle w:val="77"/>
                <w:rFonts w:hint="eastAsia" w:eastAsia="仿宋_GB2312" w:cs="仿宋_GB2312"/>
                <w:b/>
                <w:bCs/>
                <w:color w:val="auto"/>
                <w:sz w:val="24"/>
                <w:szCs w:val="24"/>
                <w:highlight w:val="none"/>
                <w:lang w:val="en-US" w:eastAsia="zh-CN" w:bidi="ar"/>
              </w:rPr>
              <w:t>0</w:t>
            </w:r>
            <w:r>
              <w:rPr>
                <w:rStyle w:val="77"/>
                <w:rFonts w:hint="eastAsia" w:cs="仿宋_GB2312"/>
                <w:b/>
                <w:bCs/>
                <w:color w:val="auto"/>
                <w:sz w:val="24"/>
                <w:szCs w:val="24"/>
                <w:highlight w:val="none"/>
                <w:lang w:val="en-US" w:eastAsia="zh-CN" w:bidi="ar"/>
              </w:rPr>
              <w:t>）</w:t>
            </w:r>
          </w:p>
          <w:p w14:paraId="16C61E62">
            <w:pPr>
              <w:keepNext w:val="0"/>
              <w:keepLines w:val="0"/>
              <w:pageBreakBefore w:val="0"/>
              <w:widowControl/>
              <w:suppressLineNumbers w:val="0"/>
              <w:kinsoku/>
              <w:wordWrap/>
              <w:overflowPunct/>
              <w:topLinePunct w:val="0"/>
              <w:bidi w:val="0"/>
              <w:adjustRightInd/>
              <w:snapToGrid/>
              <w:spacing w:line="320" w:lineRule="exact"/>
              <w:jc w:val="center"/>
              <w:textAlignment w:val="auto"/>
              <w:rPr>
                <w:rFonts w:hint="default" w:ascii="Times New Roman" w:hAnsi="Times New Roman" w:eastAsia="宋体" w:cs="Times New Roman"/>
                <w:b w:val="0"/>
                <w:bCs w:val="0"/>
                <w:color w:val="auto"/>
                <w:kern w:val="2"/>
                <w:sz w:val="21"/>
                <w:szCs w:val="24"/>
                <w:highlight w:val="none"/>
                <w:u w:val="none"/>
                <w:lang w:val="en-US" w:eastAsia="zh-CN" w:bidi="ar"/>
              </w:rPr>
            </w:pPr>
            <w:r>
              <w:rPr>
                <w:rStyle w:val="73"/>
                <w:rFonts w:hint="eastAsia" w:ascii="仿宋_GB2312" w:hAnsi="仿宋_GB2312" w:eastAsia="仿宋_GB2312" w:cs="仿宋_GB2312"/>
                <w:b/>
                <w:bCs/>
                <w:color w:val="auto"/>
                <w:sz w:val="24"/>
                <w:szCs w:val="24"/>
                <w:highlight w:val="none"/>
                <w:lang w:val="en-US" w:eastAsia="zh-CN" w:bidi="ar"/>
              </w:rPr>
              <w:t>财务管理</w:t>
            </w:r>
          </w:p>
        </w:tc>
        <w:tc>
          <w:tcPr>
            <w:tcW w:w="504" w:type="dxa"/>
            <w:noWrap w:val="0"/>
            <w:vAlign w:val="center"/>
          </w:tcPr>
          <w:p w14:paraId="3BC0DD40">
            <w:pPr>
              <w:keepNext w:val="0"/>
              <w:keepLines w:val="0"/>
              <w:pageBreakBefore w:val="0"/>
              <w:kinsoku/>
              <w:wordWrap/>
              <w:overflowPunct/>
              <w:topLinePunct w:val="0"/>
              <w:bidi w:val="0"/>
              <w:adjustRightInd/>
              <w:snapToGrid/>
              <w:spacing w:line="320" w:lineRule="exact"/>
              <w:jc w:val="center"/>
              <w:rPr>
                <w:rFonts w:hint="default" w:ascii="Times New Roman" w:hAnsi="Times New Roman" w:eastAsia="方正仿宋_GBK" w:cs="Times New Roman"/>
                <w:snapToGrid w:val="0"/>
                <w:color w:val="auto"/>
                <w:kern w:val="2"/>
                <w:sz w:val="24"/>
                <w:szCs w:val="24"/>
                <w:highlight w:val="none"/>
                <w:lang w:val="en-US" w:eastAsia="zh-CN" w:bidi="ar-SA"/>
              </w:rPr>
            </w:pPr>
            <w:r>
              <w:rPr>
                <w:rFonts w:hint="eastAsia" w:eastAsia="方正仿宋_GBK" w:cs="Times New Roman"/>
                <w:snapToGrid w:val="0"/>
                <w:color w:val="auto"/>
                <w:kern w:val="2"/>
                <w:sz w:val="24"/>
                <w:szCs w:val="24"/>
                <w:highlight w:val="none"/>
                <w:lang w:val="en-US" w:eastAsia="zh-CN" w:bidi="ar-SA"/>
              </w:rPr>
              <w:t>2</w:t>
            </w:r>
          </w:p>
        </w:tc>
        <w:tc>
          <w:tcPr>
            <w:tcW w:w="8992" w:type="dxa"/>
            <w:noWrap w:val="0"/>
            <w:vAlign w:val="center"/>
          </w:tcPr>
          <w:p w14:paraId="1E53D212">
            <w:pPr>
              <w:keepNext w:val="0"/>
              <w:keepLines w:val="0"/>
              <w:pageBreakBefore w:val="0"/>
              <w:kinsoku/>
              <w:wordWrap/>
              <w:overflowPunct/>
              <w:topLinePunct w:val="0"/>
              <w:bidi w:val="0"/>
              <w:adjustRightInd/>
              <w:snapToGrid/>
              <w:spacing w:line="320" w:lineRule="exact"/>
              <w:rPr>
                <w:rFonts w:hint="default" w:ascii="Times New Roman" w:hAnsi="Times New Roman" w:eastAsia="方正仿宋_GBK" w:cs="Times New Roman"/>
                <w:snapToGrid w:val="0"/>
                <w:color w:val="auto"/>
                <w:kern w:val="2"/>
                <w:sz w:val="24"/>
                <w:szCs w:val="24"/>
                <w:highlight w:val="none"/>
                <w:lang w:val="en-US" w:eastAsia="zh-CN" w:bidi="ar-SA"/>
              </w:rPr>
            </w:pPr>
            <w:r>
              <w:rPr>
                <w:rFonts w:hint="eastAsia" w:ascii="仿宋_GB2312" w:hAnsi="仿宋_GB2312" w:eastAsia="仿宋_GB2312" w:cs="仿宋_GB2312"/>
                <w:snapToGrid/>
                <w:color w:val="auto"/>
                <w:kern w:val="0"/>
                <w:sz w:val="21"/>
                <w:szCs w:val="21"/>
                <w:highlight w:val="none"/>
                <w:lang w:val="en-US" w:eastAsia="zh-CN" w:bidi="ar"/>
              </w:rPr>
              <w:t>建立</w:t>
            </w:r>
            <w:r>
              <w:rPr>
                <w:rFonts w:hint="eastAsia" w:ascii="仿宋_GB2312" w:hAnsi="仿宋_GB2312" w:eastAsia="仿宋_GB2312" w:cs="仿宋_GB2312"/>
                <w:i w:val="0"/>
                <w:snapToGrid/>
                <w:color w:val="auto"/>
                <w:kern w:val="0"/>
                <w:sz w:val="21"/>
                <w:szCs w:val="21"/>
                <w:highlight w:val="none"/>
                <w:u w:val="none"/>
                <w:lang w:val="en-US" w:eastAsia="zh-CN" w:bidi="ar"/>
              </w:rPr>
              <w:t>财务管理相关管理制度，具有适合经营要求的业务、财务信息系统的；</w:t>
            </w:r>
            <w:r>
              <w:rPr>
                <w:rFonts w:hint="eastAsia" w:ascii="仿宋_GB2312" w:hAnsi="仿宋_GB2312" w:eastAsia="仿宋_GB2312" w:cs="仿宋_GB2312"/>
                <w:snapToGrid/>
                <w:color w:val="auto"/>
                <w:kern w:val="0"/>
                <w:sz w:val="21"/>
                <w:szCs w:val="21"/>
                <w:highlight w:val="none"/>
                <w:lang w:bidi="ar"/>
              </w:rPr>
              <w:t>按照相关规定执行国家统一的财务会计准则和制度，真实记录并全面反映企业的财务状况、经营成果和现金流量</w:t>
            </w:r>
            <w:r>
              <w:rPr>
                <w:rFonts w:hint="eastAsia" w:ascii="仿宋_GB2312" w:hAnsi="仿宋_GB2312" w:eastAsia="仿宋_GB2312" w:cs="仿宋_GB2312"/>
                <w:snapToGrid/>
                <w:color w:val="auto"/>
                <w:kern w:val="0"/>
                <w:sz w:val="21"/>
                <w:szCs w:val="21"/>
                <w:highlight w:val="none"/>
                <w:lang w:eastAsia="zh-CN" w:bidi="ar"/>
              </w:rPr>
              <w:t>的</w:t>
            </w:r>
            <w:r>
              <w:rPr>
                <w:rFonts w:hint="eastAsia" w:ascii="仿宋_GB2312" w:hAnsi="仿宋_GB2312" w:eastAsia="仿宋_GB2312" w:cs="仿宋_GB2312"/>
                <w:snapToGrid/>
                <w:color w:val="auto"/>
                <w:kern w:val="0"/>
                <w:sz w:val="21"/>
                <w:szCs w:val="21"/>
                <w:highlight w:val="none"/>
                <w:lang w:bidi="ar"/>
              </w:rPr>
              <w:t>；建立业务台账，记载商业保理业务收支情况，编制财务会计报告（含报表）</w:t>
            </w:r>
            <w:r>
              <w:rPr>
                <w:rFonts w:hint="eastAsia" w:ascii="仿宋_GB2312" w:hAnsi="仿宋_GB2312" w:eastAsia="仿宋_GB2312" w:cs="仿宋_GB2312"/>
                <w:snapToGrid/>
                <w:color w:val="auto"/>
                <w:kern w:val="0"/>
                <w:sz w:val="21"/>
                <w:szCs w:val="21"/>
                <w:highlight w:val="none"/>
                <w:lang w:eastAsia="zh-CN" w:bidi="ar"/>
              </w:rPr>
              <w:t>的；</w:t>
            </w:r>
            <w:r>
              <w:rPr>
                <w:rFonts w:hint="eastAsia" w:ascii="仿宋_GB2312" w:hAnsi="仿宋_GB2312" w:eastAsia="仿宋_GB2312" w:cs="仿宋_GB2312"/>
                <w:snapToGrid/>
                <w:color w:val="auto"/>
                <w:kern w:val="0"/>
                <w:sz w:val="21"/>
                <w:szCs w:val="21"/>
                <w:highlight w:val="none"/>
                <w:lang w:bidi="ar"/>
              </w:rPr>
              <w:t>年度财务会计报告经具有相应资质的会计师事务所审计</w:t>
            </w:r>
            <w:r>
              <w:rPr>
                <w:rFonts w:hint="eastAsia" w:ascii="仿宋_GB2312" w:hAnsi="仿宋_GB2312" w:eastAsia="仿宋_GB2312" w:cs="仿宋_GB2312"/>
                <w:snapToGrid/>
                <w:color w:val="auto"/>
                <w:kern w:val="0"/>
                <w:sz w:val="21"/>
                <w:szCs w:val="21"/>
                <w:highlight w:val="none"/>
                <w:lang w:eastAsia="zh-CN" w:bidi="ar"/>
              </w:rPr>
              <w:t>的，</w:t>
            </w:r>
            <w:r>
              <w:rPr>
                <w:rFonts w:hint="eastAsia" w:ascii="仿宋_GB2312" w:hAnsi="仿宋_GB2312" w:eastAsia="仿宋_GB2312" w:cs="仿宋_GB2312"/>
                <w:snapToGrid/>
                <w:color w:val="auto"/>
                <w:kern w:val="0"/>
                <w:sz w:val="21"/>
                <w:szCs w:val="21"/>
                <w:highlight w:val="none"/>
                <w:lang w:val="en-US" w:eastAsia="zh-CN" w:bidi="ar"/>
              </w:rPr>
              <w:t>得</w:t>
            </w:r>
            <w:r>
              <w:rPr>
                <w:rFonts w:hint="eastAsia" w:ascii="Times New Roman" w:hAnsi="Times New Roman" w:eastAsia="仿宋_GB2312" w:cs="仿宋_GB2312"/>
                <w:snapToGrid/>
                <w:color w:val="auto"/>
                <w:kern w:val="0"/>
                <w:sz w:val="21"/>
                <w:szCs w:val="21"/>
                <w:highlight w:val="none"/>
                <w:lang w:val="en-US" w:eastAsia="zh-CN" w:bidi="ar"/>
              </w:rPr>
              <w:t>2</w:t>
            </w:r>
            <w:r>
              <w:rPr>
                <w:rFonts w:hint="eastAsia" w:ascii="仿宋_GB2312" w:hAnsi="仿宋_GB2312" w:eastAsia="仿宋_GB2312" w:cs="仿宋_GB2312"/>
                <w:snapToGrid/>
                <w:color w:val="auto"/>
                <w:kern w:val="0"/>
                <w:sz w:val="21"/>
                <w:szCs w:val="21"/>
                <w:highlight w:val="none"/>
                <w:lang w:val="en-US" w:eastAsia="zh-CN" w:bidi="ar"/>
              </w:rPr>
              <w:t>分</w:t>
            </w:r>
            <w:r>
              <w:rPr>
                <w:rFonts w:hint="eastAsia" w:ascii="仿宋_GB2312" w:hAnsi="仿宋_GB2312" w:eastAsia="仿宋_GB2312" w:cs="仿宋_GB2312"/>
                <w:snapToGrid/>
                <w:color w:val="auto"/>
                <w:kern w:val="0"/>
                <w:sz w:val="21"/>
                <w:szCs w:val="21"/>
                <w:highlight w:val="none"/>
                <w:lang w:bidi="ar"/>
              </w:rPr>
              <w:t>。</w:t>
            </w:r>
          </w:p>
        </w:tc>
        <w:tc>
          <w:tcPr>
            <w:tcW w:w="705" w:type="dxa"/>
            <w:noWrap w:val="0"/>
            <w:vAlign w:val="top"/>
          </w:tcPr>
          <w:p w14:paraId="32F374A7">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09167DBD">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48DF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3" w:type="dxa"/>
            <w:vMerge w:val="restart"/>
            <w:noWrap w:val="0"/>
            <w:vAlign w:val="center"/>
          </w:tcPr>
          <w:p w14:paraId="1AB96934">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二、</w:t>
            </w:r>
          </w:p>
          <w:p w14:paraId="33AA0005">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合规</w:t>
            </w:r>
          </w:p>
          <w:p w14:paraId="6055BE3C">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经营</w:t>
            </w:r>
          </w:p>
          <w:p w14:paraId="04E6B821">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方正仿宋_GBK" w:cs="Times New Roman"/>
                <w:color w:val="auto"/>
                <w:sz w:val="28"/>
                <w:szCs w:val="28"/>
                <w:highlight w:val="none"/>
              </w:rPr>
            </w:pPr>
            <w:r>
              <w:rPr>
                <w:rFonts w:hint="default" w:ascii="Times New Roman" w:hAnsi="Times New Roman" w:eastAsia="黑体" w:cs="Times New Roman"/>
                <w:color w:val="auto"/>
                <w:sz w:val="24"/>
                <w:szCs w:val="24"/>
                <w:highlight w:val="none"/>
              </w:rPr>
              <w:t>（55分）</w:t>
            </w:r>
          </w:p>
        </w:tc>
        <w:tc>
          <w:tcPr>
            <w:tcW w:w="1536" w:type="dxa"/>
            <w:noWrap w:val="0"/>
            <w:vAlign w:val="center"/>
          </w:tcPr>
          <w:p w14:paraId="5F6911E7">
            <w:pPr>
              <w:keepNext w:val="0"/>
              <w:keepLines w:val="0"/>
              <w:pageBreakBefore w:val="0"/>
              <w:widowControl/>
              <w:suppressLineNumbers w:val="0"/>
              <w:kinsoku/>
              <w:wordWrap/>
              <w:overflowPunct/>
              <w:topLinePunct w:val="0"/>
              <w:bidi w:val="0"/>
              <w:adjustRightInd/>
              <w:snapToGrid/>
              <w:spacing w:line="320" w:lineRule="exact"/>
              <w:jc w:val="center"/>
              <w:textAlignment w:val="center"/>
              <w:rPr>
                <w:rStyle w:val="73"/>
                <w:rFonts w:ascii="仿宋_GB2312" w:hAnsi="仿宋_GB2312" w:eastAsia="仿宋_GB2312" w:cs="仿宋_GB2312"/>
                <w:b/>
                <w:bCs/>
                <w:color w:val="auto"/>
                <w:sz w:val="24"/>
                <w:szCs w:val="24"/>
                <w:highlight w:val="none"/>
                <w:lang w:val="en-US" w:eastAsia="zh-CN" w:bidi="ar"/>
              </w:rPr>
            </w:pPr>
            <w:r>
              <w:rPr>
                <w:rStyle w:val="73"/>
                <w:rFonts w:ascii="仿宋_GB2312" w:hAnsi="仿宋_GB2312" w:cs="仿宋_GB2312"/>
                <w:b/>
                <w:bCs/>
                <w:color w:val="auto"/>
                <w:sz w:val="24"/>
                <w:szCs w:val="24"/>
                <w:highlight w:val="none"/>
                <w:lang w:val="en-US" w:eastAsia="zh-CN" w:bidi="ar"/>
              </w:rPr>
              <w:t>（</w:t>
            </w:r>
            <w:r>
              <w:rPr>
                <w:rFonts w:hint="eastAsia" w:ascii="Times New Roman" w:hAnsi="Times New Roman" w:eastAsia="仿宋_GB2312" w:cs="仿宋_GB2312"/>
                <w:b/>
                <w:bCs/>
                <w:i w:val="0"/>
                <w:iCs w:val="0"/>
                <w:color w:val="auto"/>
                <w:kern w:val="0"/>
                <w:sz w:val="24"/>
                <w:szCs w:val="24"/>
                <w:highlight w:val="none"/>
                <w:u w:val="none"/>
                <w:lang w:val="en-US" w:eastAsia="zh-CN" w:bidi="ar"/>
              </w:rPr>
              <w:t>1</w:t>
            </w:r>
            <w:r>
              <w:rPr>
                <w:rStyle w:val="77"/>
                <w:rFonts w:hint="eastAsia" w:eastAsia="仿宋_GB2312" w:cs="仿宋_GB2312"/>
                <w:b/>
                <w:bCs/>
                <w:color w:val="auto"/>
                <w:sz w:val="24"/>
                <w:szCs w:val="24"/>
                <w:highlight w:val="none"/>
                <w:lang w:val="en-US" w:eastAsia="zh-CN" w:bidi="ar"/>
              </w:rPr>
              <w:t>1</w:t>
            </w:r>
            <w:r>
              <w:rPr>
                <w:rStyle w:val="77"/>
                <w:rFonts w:hint="eastAsia" w:cs="仿宋_GB2312"/>
                <w:b/>
                <w:bCs/>
                <w:color w:val="auto"/>
                <w:sz w:val="24"/>
                <w:szCs w:val="24"/>
                <w:highlight w:val="none"/>
                <w:lang w:val="en-US" w:eastAsia="zh-CN" w:bidi="ar"/>
              </w:rPr>
              <w:t>）</w:t>
            </w:r>
          </w:p>
          <w:p w14:paraId="5609FCEA">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Style w:val="73"/>
                <w:rFonts w:ascii="仿宋_GB2312" w:hAnsi="仿宋_GB2312" w:eastAsia="仿宋_GB2312" w:cs="仿宋_GB2312"/>
                <w:b/>
                <w:bCs/>
                <w:color w:val="auto"/>
                <w:sz w:val="24"/>
                <w:szCs w:val="24"/>
                <w:highlight w:val="none"/>
                <w:lang w:val="en-US" w:eastAsia="zh-CN" w:bidi="ar"/>
              </w:rPr>
              <w:t>数据报送</w:t>
            </w:r>
          </w:p>
        </w:tc>
        <w:tc>
          <w:tcPr>
            <w:tcW w:w="504" w:type="dxa"/>
            <w:noWrap w:val="0"/>
            <w:vAlign w:val="center"/>
          </w:tcPr>
          <w:p w14:paraId="4BD67713">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Fonts w:hint="eastAsia" w:eastAsia="仿宋_GB2312" w:cs="仿宋_GB2312"/>
                <w:b/>
                <w:bCs/>
                <w:i w:val="0"/>
                <w:iCs w:val="0"/>
                <w:color w:val="auto"/>
                <w:kern w:val="0"/>
                <w:sz w:val="24"/>
                <w:szCs w:val="24"/>
                <w:highlight w:val="none"/>
                <w:u w:val="none"/>
                <w:lang w:val="en-US" w:eastAsia="zh-CN" w:bidi="ar"/>
              </w:rPr>
              <w:t>8</w:t>
            </w:r>
          </w:p>
        </w:tc>
        <w:tc>
          <w:tcPr>
            <w:tcW w:w="8992" w:type="dxa"/>
            <w:noWrap w:val="0"/>
            <w:vAlign w:val="center"/>
          </w:tcPr>
          <w:p w14:paraId="1CCEE314">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eastAsia" w:ascii="仿宋_GB2312" w:hAnsi="仿宋_GB2312"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w:t>
            </w:r>
            <w:r>
              <w:rPr>
                <w:rFonts w:hint="eastAsia" w:ascii="仿宋_GB2312" w:hAnsi="仿宋_GB2312" w:eastAsia="仿宋_GB2312" w:cs="仿宋_GB2312"/>
                <w:color w:val="auto"/>
                <w:kern w:val="0"/>
                <w:sz w:val="21"/>
                <w:szCs w:val="21"/>
                <w:highlight w:val="none"/>
                <w:lang w:val="en-US" w:eastAsia="zh-CN" w:bidi="ar"/>
              </w:rPr>
              <w:t>.考评年度内及时、完整、准确报送月、季、年度数据信息，不存在更正情况的，不存在虚报、瞒报、谎报、误报、漏报情况的，得</w:t>
            </w:r>
            <w:r>
              <w:rPr>
                <w:rFonts w:hint="eastAsia" w:ascii="Times New Roman" w:hAnsi="Times New Roman" w:eastAsia="仿宋_GB2312" w:cs="仿宋_GB2312"/>
                <w:color w:val="auto"/>
                <w:kern w:val="0"/>
                <w:sz w:val="21"/>
                <w:szCs w:val="21"/>
                <w:highlight w:val="none"/>
                <w:lang w:val="en-US" w:eastAsia="zh-CN" w:bidi="ar"/>
              </w:rPr>
              <w:t>8</w:t>
            </w:r>
            <w:r>
              <w:rPr>
                <w:rFonts w:hint="eastAsia" w:ascii="仿宋_GB2312" w:hAnsi="仿宋_GB2312" w:eastAsia="仿宋_GB2312" w:cs="仿宋_GB2312"/>
                <w:color w:val="auto"/>
                <w:kern w:val="0"/>
                <w:sz w:val="21"/>
                <w:szCs w:val="21"/>
                <w:highlight w:val="none"/>
                <w:lang w:val="en-US" w:eastAsia="zh-CN" w:bidi="ar"/>
              </w:rPr>
              <w:t>分；</w:t>
            </w:r>
          </w:p>
          <w:p w14:paraId="1A7040EE">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eastAsia" w:ascii="仿宋_GB2312" w:hAnsi="仿宋_GB2312"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2</w:t>
            </w:r>
            <w:r>
              <w:rPr>
                <w:rFonts w:hint="eastAsia" w:ascii="仿宋_GB2312" w:hAnsi="仿宋_GB2312" w:eastAsia="仿宋_GB2312" w:cs="仿宋_GB2312"/>
                <w:color w:val="auto"/>
                <w:kern w:val="0"/>
                <w:sz w:val="21"/>
                <w:szCs w:val="21"/>
                <w:highlight w:val="none"/>
                <w:lang w:val="en-US" w:eastAsia="zh-CN" w:bidi="ar"/>
              </w:rPr>
              <w:t>.考评年度内基本及时、完整、准确报送月、季、年度数据信息，于上报截止日内对误报、漏报情况及时完成更正的，不存在虚报、瞒报、谎报、情况的，得</w:t>
            </w:r>
            <w:r>
              <w:rPr>
                <w:rFonts w:hint="eastAsia" w:ascii="Times New Roman" w:hAnsi="Times New Roman" w:eastAsia="仿宋_GB2312" w:cs="仿宋_GB2312"/>
                <w:color w:val="auto"/>
                <w:kern w:val="0"/>
                <w:sz w:val="21"/>
                <w:szCs w:val="21"/>
                <w:highlight w:val="none"/>
                <w:lang w:val="en-US" w:eastAsia="zh-CN" w:bidi="ar"/>
              </w:rPr>
              <w:t>6</w:t>
            </w:r>
            <w:r>
              <w:rPr>
                <w:rFonts w:hint="eastAsia" w:ascii="仿宋_GB2312" w:hAnsi="仿宋_GB2312" w:eastAsia="仿宋_GB2312" w:cs="仿宋_GB2312"/>
                <w:color w:val="auto"/>
                <w:kern w:val="0"/>
                <w:sz w:val="21"/>
                <w:szCs w:val="21"/>
                <w:highlight w:val="none"/>
                <w:lang w:val="en-US" w:eastAsia="zh-CN" w:bidi="ar"/>
              </w:rPr>
              <w:t>分；</w:t>
            </w:r>
          </w:p>
          <w:p w14:paraId="2F2B15C0">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eastAsia" w:ascii="仿宋_GB2312" w:hAnsi="仿宋_GB2312"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3</w:t>
            </w:r>
            <w:r>
              <w:rPr>
                <w:rFonts w:hint="eastAsia" w:ascii="仿宋_GB2312" w:hAnsi="仿宋_GB2312" w:eastAsia="仿宋_GB2312" w:cs="仿宋_GB2312"/>
                <w:color w:val="auto"/>
                <w:kern w:val="0"/>
                <w:sz w:val="21"/>
                <w:szCs w:val="21"/>
                <w:highlight w:val="none"/>
                <w:lang w:val="en-US" w:eastAsia="zh-CN" w:bidi="ar"/>
              </w:rPr>
              <w:t>.考评年度内基本及时、完整报送月、季、年度数据信息，超出上报截止日但在</w:t>
            </w:r>
            <w:r>
              <w:rPr>
                <w:rFonts w:hint="eastAsia" w:ascii="Times New Roman" w:hAnsi="Times New Roman" w:eastAsia="仿宋_GB2312" w:cs="仿宋_GB2312"/>
                <w:color w:val="auto"/>
                <w:kern w:val="0"/>
                <w:sz w:val="21"/>
                <w:szCs w:val="21"/>
                <w:highlight w:val="none"/>
                <w:lang w:val="en-US" w:eastAsia="zh-CN" w:bidi="ar"/>
              </w:rPr>
              <w:t>5</w:t>
            </w:r>
            <w:r>
              <w:rPr>
                <w:rFonts w:hint="eastAsia" w:ascii="仿宋_GB2312" w:hAnsi="仿宋_GB2312" w:eastAsia="仿宋_GB2312" w:cs="仿宋_GB2312"/>
                <w:color w:val="auto"/>
                <w:kern w:val="0"/>
                <w:sz w:val="21"/>
                <w:szCs w:val="21"/>
                <w:highlight w:val="none"/>
                <w:lang w:val="en-US" w:eastAsia="zh-CN" w:bidi="ar"/>
              </w:rPr>
              <w:t>个工作日内对误报、漏报情况完成更正的，不存在虚报、瞒报、谎报情况的，得</w:t>
            </w:r>
            <w:r>
              <w:rPr>
                <w:rFonts w:hint="eastAsia" w:ascii="Times New Roman" w:hAnsi="Times New Roman" w:eastAsia="仿宋_GB2312" w:cs="仿宋_GB2312"/>
                <w:color w:val="auto"/>
                <w:kern w:val="0"/>
                <w:sz w:val="21"/>
                <w:szCs w:val="21"/>
                <w:highlight w:val="none"/>
                <w:lang w:val="en-US" w:eastAsia="zh-CN" w:bidi="ar"/>
              </w:rPr>
              <w:t>3</w:t>
            </w:r>
            <w:r>
              <w:rPr>
                <w:rFonts w:hint="eastAsia" w:ascii="仿宋_GB2312" w:hAnsi="仿宋_GB2312" w:eastAsia="仿宋_GB2312" w:cs="仿宋_GB2312"/>
                <w:color w:val="auto"/>
                <w:kern w:val="0"/>
                <w:sz w:val="21"/>
                <w:szCs w:val="21"/>
                <w:highlight w:val="none"/>
                <w:lang w:val="en-US" w:eastAsia="zh-CN" w:bidi="ar"/>
              </w:rPr>
              <w:t>分；</w:t>
            </w:r>
          </w:p>
          <w:p w14:paraId="0A9E0059">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4</w:t>
            </w:r>
            <w:r>
              <w:rPr>
                <w:rFonts w:hint="eastAsia" w:ascii="仿宋_GB2312" w:hAnsi="仿宋_GB2312" w:eastAsia="仿宋_GB2312" w:cs="仿宋_GB2312"/>
                <w:color w:val="auto"/>
                <w:kern w:val="0"/>
                <w:sz w:val="21"/>
                <w:szCs w:val="21"/>
                <w:highlight w:val="none"/>
                <w:lang w:val="en-US" w:eastAsia="zh-CN" w:bidi="ar"/>
              </w:rPr>
              <w:t>.考评年度内未能及时、完整报送月、季、年度数据信息，或超出上报截止日</w:t>
            </w:r>
            <w:r>
              <w:rPr>
                <w:rFonts w:hint="eastAsia" w:ascii="Times New Roman" w:hAnsi="Times New Roman" w:eastAsia="仿宋_GB2312" w:cs="仿宋_GB2312"/>
                <w:color w:val="auto"/>
                <w:kern w:val="0"/>
                <w:sz w:val="21"/>
                <w:szCs w:val="21"/>
                <w:highlight w:val="none"/>
                <w:lang w:val="en-US" w:eastAsia="zh-CN" w:bidi="ar"/>
              </w:rPr>
              <w:t>5</w:t>
            </w:r>
            <w:r>
              <w:rPr>
                <w:rFonts w:hint="eastAsia" w:ascii="仿宋_GB2312" w:hAnsi="仿宋_GB2312" w:eastAsia="仿宋_GB2312" w:cs="仿宋_GB2312"/>
                <w:color w:val="auto"/>
                <w:kern w:val="0"/>
                <w:sz w:val="21"/>
                <w:szCs w:val="21"/>
                <w:highlight w:val="none"/>
                <w:lang w:val="en-US" w:eastAsia="zh-CN" w:bidi="ar"/>
              </w:rPr>
              <w:t>个工作日未能对误报情况完成更正的，或存在虚报、瞒报、谎报及不配合更正情况的，得</w:t>
            </w:r>
            <w:r>
              <w:rPr>
                <w:rFonts w:hint="eastAsia" w:ascii="Times New Roman" w:hAnsi="Times New Roman" w:eastAsia="仿宋_GB2312" w:cs="仿宋_GB2312"/>
                <w:color w:val="auto"/>
                <w:kern w:val="0"/>
                <w:sz w:val="21"/>
                <w:szCs w:val="21"/>
                <w:highlight w:val="none"/>
                <w:lang w:val="en-US" w:eastAsia="zh-CN" w:bidi="ar"/>
              </w:rPr>
              <w:t>0</w:t>
            </w:r>
            <w:r>
              <w:rPr>
                <w:rFonts w:hint="eastAsia" w:ascii="仿宋_GB2312" w:hAnsi="仿宋_GB2312" w:eastAsia="仿宋_GB2312" w:cs="仿宋_GB2312"/>
                <w:color w:val="auto"/>
                <w:kern w:val="0"/>
                <w:sz w:val="21"/>
                <w:szCs w:val="21"/>
                <w:highlight w:val="none"/>
                <w:lang w:val="en-US" w:eastAsia="zh-CN" w:bidi="ar"/>
              </w:rPr>
              <w:t>分。</w:t>
            </w:r>
          </w:p>
        </w:tc>
        <w:tc>
          <w:tcPr>
            <w:tcW w:w="705" w:type="dxa"/>
            <w:noWrap w:val="0"/>
            <w:vAlign w:val="top"/>
          </w:tcPr>
          <w:p w14:paraId="3713D9B4">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7F6D5B11">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b/>
                <w:bCs/>
                <w:color w:val="auto"/>
                <w:sz w:val="18"/>
                <w:szCs w:val="18"/>
                <w:highlight w:val="none"/>
              </w:rPr>
            </w:pPr>
          </w:p>
        </w:tc>
      </w:tr>
      <w:tr w14:paraId="2E405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1" w:hRule="atLeast"/>
          <w:jc w:val="center"/>
        </w:trPr>
        <w:tc>
          <w:tcPr>
            <w:tcW w:w="1133" w:type="dxa"/>
            <w:vMerge w:val="continue"/>
            <w:noWrap w:val="0"/>
            <w:vAlign w:val="top"/>
          </w:tcPr>
          <w:p w14:paraId="7F65480D">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p>
        </w:tc>
        <w:tc>
          <w:tcPr>
            <w:tcW w:w="1536" w:type="dxa"/>
            <w:noWrap w:val="0"/>
            <w:vAlign w:val="center"/>
          </w:tcPr>
          <w:p w14:paraId="203A6232">
            <w:pPr>
              <w:keepNext w:val="0"/>
              <w:keepLines w:val="0"/>
              <w:pageBreakBefore w:val="0"/>
              <w:widowControl/>
              <w:suppressLineNumbers w:val="0"/>
              <w:kinsoku/>
              <w:wordWrap/>
              <w:overflowPunct/>
              <w:topLinePunct w:val="0"/>
              <w:bidi w:val="0"/>
              <w:adjustRightInd/>
              <w:snapToGrid/>
              <w:spacing w:line="320" w:lineRule="exact"/>
              <w:jc w:val="center"/>
              <w:textAlignment w:val="center"/>
              <w:rPr>
                <w:rStyle w:val="73"/>
                <w:rFonts w:ascii="仿宋_GB2312" w:hAnsi="仿宋_GB2312" w:eastAsia="仿宋_GB2312" w:cs="仿宋_GB2312"/>
                <w:b/>
                <w:bCs/>
                <w:color w:val="auto"/>
                <w:sz w:val="24"/>
                <w:szCs w:val="24"/>
                <w:highlight w:val="none"/>
                <w:lang w:val="en-US" w:eastAsia="zh-CN" w:bidi="ar"/>
              </w:rPr>
            </w:pPr>
            <w:r>
              <w:rPr>
                <w:rStyle w:val="73"/>
                <w:rFonts w:ascii="仿宋_GB2312" w:hAnsi="仿宋_GB2312" w:cs="仿宋_GB2312"/>
                <w:b/>
                <w:bCs/>
                <w:color w:val="auto"/>
                <w:sz w:val="24"/>
                <w:szCs w:val="24"/>
                <w:highlight w:val="none"/>
                <w:lang w:val="en-US" w:eastAsia="zh-CN" w:bidi="ar"/>
              </w:rPr>
              <w:t>（</w:t>
            </w:r>
            <w:r>
              <w:rPr>
                <w:rStyle w:val="73"/>
                <w:rFonts w:hint="eastAsia" w:ascii="Times New Roman" w:hAnsi="Times New Roman" w:eastAsia="仿宋_GB2312" w:cs="仿宋_GB2312"/>
                <w:b/>
                <w:bCs/>
                <w:color w:val="auto"/>
                <w:sz w:val="24"/>
                <w:szCs w:val="24"/>
                <w:highlight w:val="none"/>
                <w:lang w:val="en-US" w:eastAsia="zh-CN" w:bidi="ar"/>
              </w:rPr>
              <w:t>1</w:t>
            </w:r>
            <w:r>
              <w:rPr>
                <w:rFonts w:hint="eastAsia" w:eastAsia="仿宋_GB2312" w:cs="仿宋_GB2312"/>
                <w:b/>
                <w:bCs/>
                <w:i w:val="0"/>
                <w:iCs w:val="0"/>
                <w:color w:val="auto"/>
                <w:kern w:val="0"/>
                <w:sz w:val="24"/>
                <w:szCs w:val="24"/>
                <w:highlight w:val="none"/>
                <w:u w:val="none"/>
                <w:lang w:val="en-US" w:eastAsia="zh-CN" w:bidi="ar"/>
              </w:rPr>
              <w:t>2</w:t>
            </w:r>
            <w:r>
              <w:rPr>
                <w:rFonts w:hint="eastAsia" w:cs="仿宋_GB2312"/>
                <w:b/>
                <w:bCs/>
                <w:i w:val="0"/>
                <w:iCs w:val="0"/>
                <w:color w:val="auto"/>
                <w:kern w:val="0"/>
                <w:sz w:val="24"/>
                <w:szCs w:val="24"/>
                <w:highlight w:val="none"/>
                <w:u w:val="none"/>
                <w:lang w:val="en-US" w:eastAsia="zh-CN" w:bidi="ar"/>
              </w:rPr>
              <w:t>）</w:t>
            </w:r>
          </w:p>
          <w:p w14:paraId="33B4C83C">
            <w:pPr>
              <w:keepNext w:val="0"/>
              <w:keepLines w:val="0"/>
              <w:pageBreakBefore w:val="0"/>
              <w:widowControl/>
              <w:suppressLineNumbers w:val="0"/>
              <w:kinsoku/>
              <w:wordWrap/>
              <w:overflowPunct/>
              <w:topLinePunct w:val="0"/>
              <w:bidi w:val="0"/>
              <w:adjustRightInd/>
              <w:snapToGrid/>
              <w:spacing w:line="320" w:lineRule="exact"/>
              <w:jc w:val="center"/>
              <w:textAlignment w:val="center"/>
              <w:rPr>
                <w:rStyle w:val="73"/>
                <w:rFonts w:ascii="仿宋_GB2312" w:hAnsi="仿宋_GB2312" w:eastAsia="仿宋_GB2312" w:cs="仿宋_GB2312"/>
                <w:b/>
                <w:bCs/>
                <w:color w:val="auto"/>
                <w:sz w:val="24"/>
                <w:szCs w:val="24"/>
                <w:highlight w:val="none"/>
                <w:lang w:val="en-US" w:eastAsia="zh-CN" w:bidi="ar"/>
              </w:rPr>
            </w:pPr>
            <w:r>
              <w:rPr>
                <w:rStyle w:val="76"/>
                <w:rFonts w:ascii="仿宋_GB2312" w:hAnsi="仿宋_GB2312" w:eastAsia="仿宋_GB2312" w:cs="仿宋_GB2312"/>
                <w:b/>
                <w:bCs/>
                <w:color w:val="auto"/>
                <w:sz w:val="24"/>
                <w:szCs w:val="24"/>
                <w:highlight w:val="none"/>
                <w:lang w:val="en-US" w:eastAsia="zh-CN" w:bidi="ar"/>
              </w:rPr>
              <w:t>重大</w:t>
            </w:r>
            <w:r>
              <w:rPr>
                <w:rStyle w:val="73"/>
                <w:rFonts w:ascii="仿宋_GB2312" w:hAnsi="仿宋_GB2312" w:eastAsia="仿宋_GB2312" w:cs="仿宋_GB2312"/>
                <w:b/>
                <w:bCs/>
                <w:color w:val="auto"/>
                <w:sz w:val="24"/>
                <w:szCs w:val="24"/>
                <w:highlight w:val="none"/>
                <w:lang w:val="en-US" w:eastAsia="zh-CN" w:bidi="ar"/>
              </w:rPr>
              <w:t>事项</w:t>
            </w:r>
          </w:p>
          <w:p w14:paraId="0F1F7E0C">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Style w:val="73"/>
                <w:rFonts w:ascii="仿宋_GB2312" w:hAnsi="仿宋_GB2312" w:eastAsia="仿宋_GB2312" w:cs="仿宋_GB2312"/>
                <w:b/>
                <w:bCs/>
                <w:color w:val="auto"/>
                <w:sz w:val="24"/>
                <w:szCs w:val="24"/>
                <w:highlight w:val="none"/>
                <w:lang w:val="en-US" w:eastAsia="zh-CN" w:bidi="ar"/>
              </w:rPr>
              <w:t>报告</w:t>
            </w:r>
          </w:p>
        </w:tc>
        <w:tc>
          <w:tcPr>
            <w:tcW w:w="504" w:type="dxa"/>
            <w:noWrap w:val="0"/>
            <w:vAlign w:val="center"/>
          </w:tcPr>
          <w:p w14:paraId="5C7D04C0">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Fonts w:hint="eastAsia" w:eastAsia="仿宋_GB2312" w:cs="仿宋_GB2312"/>
                <w:b/>
                <w:bCs/>
                <w:i w:val="0"/>
                <w:iCs w:val="0"/>
                <w:color w:val="auto"/>
                <w:kern w:val="0"/>
                <w:sz w:val="24"/>
                <w:szCs w:val="24"/>
                <w:highlight w:val="none"/>
                <w:u w:val="none"/>
                <w:lang w:val="en-US" w:eastAsia="zh-CN" w:bidi="ar"/>
              </w:rPr>
              <w:t>5</w:t>
            </w:r>
          </w:p>
        </w:tc>
        <w:tc>
          <w:tcPr>
            <w:tcW w:w="8992" w:type="dxa"/>
            <w:noWrap w:val="0"/>
            <w:vAlign w:val="center"/>
          </w:tcPr>
          <w:p w14:paraId="099ECA64">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1</w:t>
            </w:r>
            <w:r>
              <w:rPr>
                <w:rFonts w:hint="eastAsia" w:ascii="仿宋_GB2312" w:hAnsi="仿宋_GB2312" w:eastAsia="仿宋_GB2312" w:cs="仿宋_GB2312"/>
                <w:i w:val="0"/>
                <w:iCs w:val="0"/>
                <w:color w:val="auto"/>
                <w:kern w:val="0"/>
                <w:sz w:val="21"/>
                <w:szCs w:val="21"/>
                <w:highlight w:val="none"/>
                <w:u w:val="none"/>
                <w:lang w:val="en-US" w:eastAsia="zh-CN" w:bidi="ar"/>
              </w:rPr>
              <w:t>.</w:t>
            </w:r>
            <w:r>
              <w:rPr>
                <w:rFonts w:ascii="仿宋_GB2312" w:hAnsi="仿宋_GB2312" w:eastAsia="仿宋_GB2312" w:cs="仿宋_GB2312"/>
                <w:color w:val="auto"/>
                <w:kern w:val="0"/>
                <w:sz w:val="21"/>
                <w:szCs w:val="21"/>
                <w:highlight w:val="none"/>
                <w:lang w:val="en-US" w:eastAsia="zh-CN" w:bidi="ar"/>
              </w:rPr>
              <w:t>考评年度内及时、完整报告重大事项、重大风险、突发事件，积极落实监管要求，有效处置有关风险的，得</w:t>
            </w:r>
            <w:r>
              <w:rPr>
                <w:rFonts w:hint="eastAsia" w:eastAsia="仿宋_GB2312" w:cs="仿宋_GB2312"/>
                <w:color w:val="auto"/>
                <w:kern w:val="0"/>
                <w:sz w:val="21"/>
                <w:szCs w:val="21"/>
                <w:highlight w:val="none"/>
                <w:lang w:val="en-US" w:eastAsia="zh-CN" w:bidi="ar"/>
              </w:rPr>
              <w:t>5</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Times New Roman" w:hAnsi="Times New Roman" w:eastAsia="仿宋_GB2312" w:cs="仿宋_GB2312"/>
                <w:i w:val="0"/>
                <w:iCs w:val="0"/>
                <w:color w:val="auto"/>
                <w:kern w:val="0"/>
                <w:sz w:val="21"/>
                <w:szCs w:val="21"/>
                <w:highlight w:val="none"/>
                <w:u w:val="none"/>
                <w:lang w:val="en-US" w:eastAsia="zh-CN" w:bidi="ar"/>
              </w:rPr>
              <w:t>2</w:t>
            </w:r>
            <w:r>
              <w:rPr>
                <w:rFonts w:hint="eastAsia" w:ascii="仿宋_GB2312" w:hAnsi="仿宋_GB2312" w:eastAsia="仿宋_GB2312" w:cs="仿宋_GB2312"/>
                <w:i w:val="0"/>
                <w:iCs w:val="0"/>
                <w:color w:val="auto"/>
                <w:kern w:val="0"/>
                <w:sz w:val="21"/>
                <w:szCs w:val="21"/>
                <w:highlight w:val="none"/>
                <w:u w:val="none"/>
                <w:lang w:val="en-US" w:eastAsia="zh-CN" w:bidi="ar"/>
              </w:rPr>
              <w:t>.</w:t>
            </w:r>
            <w:r>
              <w:rPr>
                <w:rFonts w:ascii="仿宋_GB2312" w:hAnsi="仿宋_GB2312" w:eastAsia="仿宋_GB2312" w:cs="仿宋_GB2312"/>
                <w:color w:val="auto"/>
                <w:kern w:val="0"/>
                <w:sz w:val="21"/>
                <w:szCs w:val="21"/>
                <w:highlight w:val="none"/>
                <w:lang w:val="en-US" w:eastAsia="zh-CN" w:bidi="ar"/>
              </w:rPr>
              <w:t>考评年度内及时、完整报告重大事项、重大风险、突发事件，基本落实监管要求，部分处置有关风险的，得</w:t>
            </w:r>
            <w:r>
              <w:rPr>
                <w:rFonts w:hint="eastAsia" w:eastAsia="仿宋_GB2312" w:cs="仿宋_GB2312"/>
                <w:color w:val="auto"/>
                <w:kern w:val="0"/>
                <w:sz w:val="21"/>
                <w:szCs w:val="21"/>
                <w:highlight w:val="none"/>
                <w:lang w:val="en-US" w:eastAsia="zh-CN" w:bidi="ar"/>
              </w:rPr>
              <w:t>2</w:t>
            </w:r>
            <w:r>
              <w:rPr>
                <w:rFonts w:hint="eastAsia" w:ascii="仿宋_GB2312" w:hAnsi="仿宋_GB2312" w:eastAsia="仿宋_GB2312" w:cs="仿宋_GB2312"/>
                <w:color w:val="auto"/>
                <w:kern w:val="0"/>
                <w:sz w:val="21"/>
                <w:szCs w:val="21"/>
                <w:highlight w:val="none"/>
                <w:lang w:val="en-US" w:eastAsia="zh-CN" w:bidi="ar"/>
              </w:rPr>
              <w:t>.</w:t>
            </w:r>
            <w:r>
              <w:rPr>
                <w:rFonts w:hint="eastAsia" w:ascii="Times New Roman" w:hAnsi="Times New Roman" w:eastAsia="仿宋_GB2312" w:cs="仿宋_GB2312"/>
                <w:color w:val="auto"/>
                <w:kern w:val="0"/>
                <w:sz w:val="21"/>
                <w:szCs w:val="21"/>
                <w:highlight w:val="none"/>
                <w:lang w:val="en-US" w:eastAsia="zh-CN" w:bidi="ar"/>
              </w:rPr>
              <w:t>5</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Times New Roman" w:hAnsi="Times New Roman" w:eastAsia="仿宋_GB2312" w:cs="仿宋_GB2312"/>
                <w:i w:val="0"/>
                <w:iCs w:val="0"/>
                <w:color w:val="auto"/>
                <w:kern w:val="0"/>
                <w:sz w:val="21"/>
                <w:szCs w:val="21"/>
                <w:highlight w:val="none"/>
                <w:u w:val="none"/>
                <w:lang w:val="en-US" w:eastAsia="zh-CN" w:bidi="ar"/>
              </w:rPr>
              <w:t>3</w:t>
            </w:r>
            <w:r>
              <w:rPr>
                <w:rFonts w:hint="eastAsia" w:ascii="仿宋_GB2312" w:hAnsi="仿宋_GB2312" w:eastAsia="仿宋_GB2312" w:cs="仿宋_GB2312"/>
                <w:i w:val="0"/>
                <w:iCs w:val="0"/>
                <w:color w:val="auto"/>
                <w:kern w:val="0"/>
                <w:sz w:val="21"/>
                <w:szCs w:val="21"/>
                <w:highlight w:val="none"/>
                <w:u w:val="none"/>
                <w:lang w:val="en-US" w:eastAsia="zh-CN" w:bidi="ar"/>
              </w:rPr>
              <w:t>.</w:t>
            </w:r>
            <w:r>
              <w:rPr>
                <w:rFonts w:ascii="仿宋_GB2312" w:hAnsi="仿宋_GB2312" w:eastAsia="仿宋_GB2312" w:cs="仿宋_GB2312"/>
                <w:color w:val="auto"/>
                <w:kern w:val="0"/>
                <w:sz w:val="21"/>
                <w:szCs w:val="21"/>
                <w:highlight w:val="none"/>
                <w:lang w:val="en-US" w:eastAsia="zh-CN" w:bidi="ar"/>
              </w:rPr>
              <w:t>考评年度内未及时、完整报告重大事项、重大风险、突发事件，不配合落实监管要求，或未能处置有关风险的，得</w:t>
            </w:r>
            <w:r>
              <w:rPr>
                <w:rFonts w:hint="eastAsia" w:ascii="Times New Roman" w:hAnsi="Times New Roman" w:eastAsia="仿宋_GB2312" w:cs="仿宋_GB2312"/>
                <w:color w:val="auto"/>
                <w:kern w:val="0"/>
                <w:sz w:val="21"/>
                <w:szCs w:val="21"/>
                <w:highlight w:val="none"/>
                <w:lang w:val="en-US" w:eastAsia="zh-CN" w:bidi="ar"/>
              </w:rPr>
              <w:t>0</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ascii="仿宋_GB2312" w:hAnsi="仿宋_GB2312" w:eastAsia="仿宋_GB2312" w:cs="仿宋_GB2312"/>
                <w:color w:val="auto"/>
                <w:kern w:val="0"/>
                <w:sz w:val="21"/>
                <w:szCs w:val="21"/>
                <w:highlight w:val="none"/>
                <w:lang w:val="en-US" w:eastAsia="zh-CN" w:bidi="ar"/>
              </w:rPr>
              <w:t>（考评年度内未发生需报告事项的，该项取满分。）</w:t>
            </w:r>
          </w:p>
        </w:tc>
        <w:tc>
          <w:tcPr>
            <w:tcW w:w="705" w:type="dxa"/>
            <w:noWrap w:val="0"/>
            <w:vAlign w:val="top"/>
          </w:tcPr>
          <w:p w14:paraId="56F86284">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44EAADD2">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1B38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1" w:hRule="atLeast"/>
          <w:jc w:val="center"/>
        </w:trPr>
        <w:tc>
          <w:tcPr>
            <w:tcW w:w="1133" w:type="dxa"/>
            <w:vMerge w:val="continue"/>
            <w:noWrap w:val="0"/>
            <w:vAlign w:val="top"/>
          </w:tcPr>
          <w:p w14:paraId="3B7E261F">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p>
        </w:tc>
        <w:tc>
          <w:tcPr>
            <w:tcW w:w="1536" w:type="dxa"/>
            <w:noWrap w:val="0"/>
            <w:vAlign w:val="center"/>
          </w:tcPr>
          <w:p w14:paraId="0EAB0410">
            <w:pPr>
              <w:keepNext w:val="0"/>
              <w:keepLines w:val="0"/>
              <w:pageBreakBefore w:val="0"/>
              <w:widowControl/>
              <w:suppressLineNumbers w:val="0"/>
              <w:kinsoku/>
              <w:wordWrap/>
              <w:overflowPunct/>
              <w:topLinePunct w:val="0"/>
              <w:bidi w:val="0"/>
              <w:adjustRightInd/>
              <w:snapToGrid/>
              <w:spacing w:line="320" w:lineRule="exact"/>
              <w:jc w:val="center"/>
              <w:textAlignment w:val="center"/>
              <w:rPr>
                <w:rStyle w:val="73"/>
                <w:rFonts w:ascii="仿宋_GB2312" w:hAnsi="仿宋_GB2312" w:eastAsia="仿宋_GB2312" w:cs="仿宋_GB2312"/>
                <w:b/>
                <w:bCs/>
                <w:color w:val="auto"/>
                <w:sz w:val="24"/>
                <w:szCs w:val="24"/>
                <w:highlight w:val="none"/>
                <w:lang w:val="en-US" w:eastAsia="zh-CN" w:bidi="ar"/>
              </w:rPr>
            </w:pPr>
            <w:r>
              <w:rPr>
                <w:rStyle w:val="73"/>
                <w:rFonts w:ascii="仿宋_GB2312" w:hAnsi="仿宋_GB2312" w:cs="仿宋_GB2312"/>
                <w:b/>
                <w:bCs/>
                <w:color w:val="auto"/>
                <w:sz w:val="24"/>
                <w:szCs w:val="24"/>
                <w:highlight w:val="none"/>
                <w:lang w:val="en-US" w:eastAsia="zh-CN" w:bidi="ar"/>
              </w:rPr>
              <w:t>（</w:t>
            </w:r>
            <w:r>
              <w:rPr>
                <w:rFonts w:hint="eastAsia" w:ascii="Times New Roman" w:hAnsi="Times New Roman" w:eastAsia="仿宋_GB2312" w:cs="仿宋_GB2312"/>
                <w:b/>
                <w:bCs/>
                <w:i w:val="0"/>
                <w:iCs w:val="0"/>
                <w:color w:val="auto"/>
                <w:kern w:val="0"/>
                <w:sz w:val="24"/>
                <w:szCs w:val="24"/>
                <w:highlight w:val="none"/>
                <w:u w:val="none"/>
                <w:lang w:val="en-US" w:eastAsia="zh-CN" w:bidi="ar"/>
              </w:rPr>
              <w:t>1</w:t>
            </w:r>
            <w:r>
              <w:rPr>
                <w:rStyle w:val="77"/>
                <w:rFonts w:hint="eastAsia" w:eastAsia="仿宋_GB2312" w:cs="仿宋_GB2312"/>
                <w:b/>
                <w:bCs/>
                <w:color w:val="auto"/>
                <w:sz w:val="24"/>
                <w:szCs w:val="24"/>
                <w:highlight w:val="none"/>
                <w:lang w:val="en-US" w:eastAsia="zh-CN" w:bidi="ar"/>
              </w:rPr>
              <w:t>3</w:t>
            </w:r>
            <w:r>
              <w:rPr>
                <w:rStyle w:val="77"/>
                <w:rFonts w:hint="eastAsia" w:cs="仿宋_GB2312"/>
                <w:b/>
                <w:bCs/>
                <w:color w:val="auto"/>
                <w:sz w:val="24"/>
                <w:szCs w:val="24"/>
                <w:highlight w:val="none"/>
                <w:lang w:val="en-US" w:eastAsia="zh-CN" w:bidi="ar"/>
              </w:rPr>
              <w:t>）</w:t>
            </w:r>
          </w:p>
          <w:p w14:paraId="5478B8D9">
            <w:pPr>
              <w:keepNext w:val="0"/>
              <w:keepLines w:val="0"/>
              <w:pageBreakBefore w:val="0"/>
              <w:widowControl/>
              <w:suppressLineNumbers w:val="0"/>
              <w:kinsoku/>
              <w:wordWrap/>
              <w:overflowPunct/>
              <w:topLinePunct w:val="0"/>
              <w:bidi w:val="0"/>
              <w:adjustRightInd/>
              <w:snapToGrid/>
              <w:spacing w:line="320" w:lineRule="exact"/>
              <w:jc w:val="center"/>
              <w:textAlignment w:val="center"/>
              <w:rPr>
                <w:rStyle w:val="73"/>
                <w:rFonts w:ascii="仿宋_GB2312" w:hAnsi="仿宋_GB2312" w:eastAsia="仿宋_GB2312" w:cs="仿宋_GB2312"/>
                <w:b/>
                <w:bCs/>
                <w:color w:val="auto"/>
                <w:sz w:val="24"/>
                <w:szCs w:val="24"/>
                <w:highlight w:val="none"/>
                <w:lang w:val="en-US" w:eastAsia="zh-CN" w:bidi="ar"/>
              </w:rPr>
            </w:pPr>
            <w:r>
              <w:rPr>
                <w:rStyle w:val="76"/>
                <w:rFonts w:ascii="仿宋_GB2312" w:hAnsi="仿宋_GB2312" w:eastAsia="仿宋_GB2312" w:cs="仿宋_GB2312"/>
                <w:b/>
                <w:bCs/>
                <w:color w:val="auto"/>
                <w:sz w:val="24"/>
                <w:szCs w:val="24"/>
                <w:highlight w:val="none"/>
                <w:lang w:val="en-US" w:eastAsia="zh-CN" w:bidi="ar"/>
              </w:rPr>
              <w:t>现场</w:t>
            </w:r>
            <w:r>
              <w:rPr>
                <w:rStyle w:val="73"/>
                <w:rFonts w:ascii="仿宋_GB2312" w:hAnsi="仿宋_GB2312" w:eastAsia="仿宋_GB2312" w:cs="仿宋_GB2312"/>
                <w:b/>
                <w:bCs/>
                <w:color w:val="auto"/>
                <w:sz w:val="24"/>
                <w:szCs w:val="24"/>
                <w:highlight w:val="none"/>
                <w:lang w:val="en-US" w:eastAsia="zh-CN" w:bidi="ar"/>
              </w:rPr>
              <w:t>监管</w:t>
            </w:r>
          </w:p>
          <w:p w14:paraId="4EAF4950">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Style w:val="73"/>
                <w:rFonts w:ascii="仿宋_GB2312" w:hAnsi="仿宋_GB2312" w:eastAsia="仿宋_GB2312" w:cs="仿宋_GB2312"/>
                <w:b/>
                <w:bCs/>
                <w:color w:val="auto"/>
                <w:sz w:val="24"/>
                <w:szCs w:val="24"/>
                <w:highlight w:val="none"/>
                <w:lang w:val="en-US" w:eastAsia="zh-CN" w:bidi="ar"/>
              </w:rPr>
              <w:t>配合</w:t>
            </w:r>
          </w:p>
        </w:tc>
        <w:tc>
          <w:tcPr>
            <w:tcW w:w="504" w:type="dxa"/>
            <w:noWrap w:val="0"/>
            <w:vAlign w:val="center"/>
          </w:tcPr>
          <w:p w14:paraId="197F890B">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strike/>
                <w:color w:val="auto"/>
                <w:kern w:val="2"/>
                <w:sz w:val="24"/>
                <w:szCs w:val="24"/>
                <w:highlight w:val="none"/>
                <w:lang w:val="en-US" w:eastAsia="zh-CN" w:bidi="ar-SA"/>
              </w:rPr>
            </w:pPr>
            <w:r>
              <w:rPr>
                <w:rStyle w:val="77"/>
                <w:rFonts w:hint="eastAsia" w:eastAsia="仿宋_GB2312" w:cs="仿宋_GB2312"/>
                <w:b/>
                <w:bCs/>
                <w:strike w:val="0"/>
                <w:dstrike w:val="0"/>
                <w:color w:val="auto"/>
                <w:sz w:val="24"/>
                <w:szCs w:val="24"/>
                <w:highlight w:val="none"/>
                <w:lang w:val="en-US" w:eastAsia="zh-CN" w:bidi="ar"/>
              </w:rPr>
              <w:t>3</w:t>
            </w:r>
          </w:p>
        </w:tc>
        <w:tc>
          <w:tcPr>
            <w:tcW w:w="8992" w:type="dxa"/>
            <w:noWrap w:val="0"/>
            <w:vAlign w:val="center"/>
          </w:tcPr>
          <w:p w14:paraId="6151F85C">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w:t>
            </w:r>
            <w:r>
              <w:rPr>
                <w:rFonts w:ascii="Times New Roman" w:hAnsi="Times New Roman" w:eastAsia="仿宋_GB2312" w:cs="Times New Roman"/>
                <w:color w:val="auto"/>
                <w:kern w:val="0"/>
                <w:sz w:val="21"/>
                <w:szCs w:val="21"/>
                <w:highlight w:val="none"/>
                <w:lang w:val="en-US" w:eastAsia="zh-CN" w:bidi="ar"/>
              </w:rPr>
              <w:t>积极配合现场检查</w:t>
            </w:r>
            <w:r>
              <w:rPr>
                <w:rFonts w:hint="eastAsia" w:eastAsia="仿宋_GB2312" w:cs="Times New Roman"/>
                <w:color w:val="auto"/>
                <w:kern w:val="0"/>
                <w:sz w:val="21"/>
                <w:szCs w:val="21"/>
                <w:highlight w:val="none"/>
                <w:lang w:val="en-US" w:eastAsia="zh-CN" w:bidi="ar"/>
              </w:rPr>
              <w:t>，</w:t>
            </w:r>
            <w:r>
              <w:rPr>
                <w:rFonts w:ascii="Times New Roman" w:hAnsi="Times New Roman" w:eastAsia="仿宋_GB2312" w:cs="Times New Roman"/>
                <w:color w:val="auto"/>
                <w:kern w:val="0"/>
                <w:sz w:val="21"/>
                <w:szCs w:val="21"/>
                <w:highlight w:val="none"/>
                <w:lang w:val="en-US" w:eastAsia="zh-CN" w:bidi="ar"/>
              </w:rPr>
              <w:t>提前准备并主动提交详细、准确的资料和报告，对于现场检查提出的问题和建议能够给予积极的反馈和整改的，得</w:t>
            </w:r>
            <w:r>
              <w:rPr>
                <w:rFonts w:hint="eastAsia" w:eastAsia="仿宋_GB2312" w:cs="Times New Roman"/>
                <w:i w:val="0"/>
                <w:iCs w:val="0"/>
                <w:color w:val="auto"/>
                <w:kern w:val="0"/>
                <w:sz w:val="21"/>
                <w:szCs w:val="21"/>
                <w:highlight w:val="none"/>
                <w:u w:val="none"/>
                <w:lang w:val="en-US" w:eastAsia="zh-CN" w:bidi="ar"/>
              </w:rPr>
              <w:t>3</w:t>
            </w:r>
            <w:r>
              <w:rPr>
                <w:rFonts w:ascii="Times New Roman" w:hAnsi="Times New Roman" w:eastAsia="仿宋_GB2312" w:cs="Times New Roman"/>
                <w:color w:val="auto"/>
                <w:kern w:val="0"/>
                <w:sz w:val="21"/>
                <w:szCs w:val="21"/>
                <w:highlight w:val="none"/>
                <w:lang w:val="en-US" w:eastAsia="zh-CN" w:bidi="ar"/>
              </w:rPr>
              <w:t>分；</w:t>
            </w:r>
            <w:r>
              <w:rPr>
                <w:rFonts w:ascii="Times New Roman" w:hAnsi="Times New Roman" w:eastAsia="仿宋_GB2312" w:cs="Times New Roman"/>
                <w:color w:val="auto"/>
                <w:kern w:val="0"/>
                <w:sz w:val="21"/>
                <w:szCs w:val="21"/>
                <w:highlight w:val="none"/>
                <w:lang w:val="en-US" w:eastAsia="zh-CN" w:bidi="ar"/>
              </w:rPr>
              <w:br w:type="textWrapping"/>
            </w:r>
            <w:r>
              <w:rPr>
                <w:rFonts w:ascii="Times New Roman" w:hAnsi="Times New Roman" w:eastAsia="仿宋_GB2312" w:cs="Times New Roman"/>
                <w:color w:val="auto"/>
                <w:kern w:val="0"/>
                <w:sz w:val="21"/>
                <w:szCs w:val="21"/>
                <w:highlight w:val="none"/>
                <w:lang w:val="en-US" w:eastAsia="zh-CN" w:bidi="ar"/>
              </w:rPr>
              <w:t>2.较为积极、主动配合现场检查，提供的资料和报告基本符合监管要求，对于现场检查提出的问题和建议能够给予较为积极的反馈，得</w:t>
            </w:r>
            <w:r>
              <w:rPr>
                <w:rFonts w:hint="eastAsia" w:eastAsia="仿宋_GB2312" w:cs="Times New Roman"/>
                <w:i w:val="0"/>
                <w:iCs w:val="0"/>
                <w:color w:val="auto"/>
                <w:kern w:val="0"/>
                <w:sz w:val="21"/>
                <w:szCs w:val="21"/>
                <w:highlight w:val="none"/>
                <w:u w:val="none"/>
                <w:lang w:val="en-US" w:eastAsia="zh-CN" w:bidi="ar"/>
              </w:rPr>
              <w:t>1.5</w:t>
            </w:r>
            <w:r>
              <w:rPr>
                <w:rFonts w:ascii="Times New Roman" w:hAnsi="Times New Roman" w:eastAsia="仿宋_GB2312" w:cs="Times New Roman"/>
                <w:color w:val="auto"/>
                <w:kern w:val="0"/>
                <w:sz w:val="21"/>
                <w:szCs w:val="21"/>
                <w:highlight w:val="none"/>
                <w:lang w:val="en-US" w:eastAsia="zh-CN" w:bidi="ar"/>
              </w:rPr>
              <w:t>分；</w:t>
            </w:r>
            <w:r>
              <w:rPr>
                <w:rFonts w:ascii="Times New Roman" w:hAnsi="Times New Roman" w:eastAsia="仿宋_GB2312" w:cs="Times New Roman"/>
                <w:color w:val="auto"/>
                <w:kern w:val="0"/>
                <w:sz w:val="21"/>
                <w:szCs w:val="21"/>
                <w:highlight w:val="none"/>
                <w:lang w:val="en-US" w:eastAsia="zh-CN" w:bidi="ar"/>
              </w:rPr>
              <w:br w:type="textWrapping"/>
            </w:r>
            <w:r>
              <w:rPr>
                <w:rFonts w:hint="eastAsia" w:eastAsia="仿宋_GB2312" w:cs="Times New Roman"/>
                <w:color w:val="auto"/>
                <w:kern w:val="0"/>
                <w:sz w:val="21"/>
                <w:szCs w:val="21"/>
                <w:highlight w:val="none"/>
                <w:lang w:val="en-US" w:eastAsia="zh-CN" w:bidi="ar"/>
              </w:rPr>
              <w:t>3</w:t>
            </w:r>
            <w:r>
              <w:rPr>
                <w:rFonts w:ascii="Times New Roman" w:hAnsi="Times New Roman" w:eastAsia="仿宋_GB2312" w:cs="Times New Roman"/>
                <w:color w:val="auto"/>
                <w:kern w:val="0"/>
                <w:sz w:val="21"/>
                <w:szCs w:val="21"/>
                <w:highlight w:val="none"/>
                <w:lang w:val="en-US" w:eastAsia="zh-CN" w:bidi="ar"/>
              </w:rPr>
              <w:t>.现场检查存在阻碍、不配合检查，或拖延、伪造、藏匿、拒绝提供有关文件、资料的，得0分。</w:t>
            </w:r>
          </w:p>
        </w:tc>
        <w:tc>
          <w:tcPr>
            <w:tcW w:w="705" w:type="dxa"/>
            <w:noWrap w:val="0"/>
            <w:vAlign w:val="top"/>
          </w:tcPr>
          <w:p w14:paraId="274C7791">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2A047010">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11E3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3" w:type="dxa"/>
            <w:vMerge w:val="restart"/>
            <w:noWrap w:val="0"/>
            <w:vAlign w:val="center"/>
          </w:tcPr>
          <w:p w14:paraId="434A7875">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二、</w:t>
            </w:r>
          </w:p>
          <w:p w14:paraId="3CBF3E95">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合规</w:t>
            </w:r>
          </w:p>
          <w:p w14:paraId="459AF864">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经营</w:t>
            </w:r>
          </w:p>
          <w:p w14:paraId="2C771761">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方正仿宋_GBK" w:cs="Times New Roman"/>
                <w:color w:val="auto"/>
                <w:sz w:val="28"/>
                <w:szCs w:val="28"/>
                <w:highlight w:val="none"/>
              </w:rPr>
            </w:pPr>
            <w:r>
              <w:rPr>
                <w:rFonts w:hint="default" w:ascii="Times New Roman" w:hAnsi="Times New Roman" w:eastAsia="黑体" w:cs="Times New Roman"/>
                <w:color w:val="auto"/>
                <w:sz w:val="24"/>
                <w:szCs w:val="24"/>
                <w:highlight w:val="none"/>
              </w:rPr>
              <w:t>（55分）</w:t>
            </w:r>
          </w:p>
        </w:tc>
        <w:tc>
          <w:tcPr>
            <w:tcW w:w="1536" w:type="dxa"/>
            <w:noWrap w:val="0"/>
            <w:vAlign w:val="center"/>
          </w:tcPr>
          <w:p w14:paraId="6F3AE401">
            <w:pPr>
              <w:keepNext w:val="0"/>
              <w:keepLines w:val="0"/>
              <w:pageBreakBefore w:val="0"/>
              <w:widowControl/>
              <w:suppressLineNumbers w:val="0"/>
              <w:kinsoku/>
              <w:wordWrap/>
              <w:overflowPunct/>
              <w:topLinePunct w:val="0"/>
              <w:bidi w:val="0"/>
              <w:adjustRightInd/>
              <w:snapToGrid/>
              <w:spacing w:line="320" w:lineRule="exact"/>
              <w:jc w:val="center"/>
              <w:textAlignment w:val="center"/>
              <w:rPr>
                <w:rStyle w:val="78"/>
                <w:rFonts w:ascii="仿宋_GB2312" w:hAnsi="仿宋_GB2312" w:eastAsia="仿宋_GB2312" w:cs="仿宋_GB2312"/>
                <w:b/>
                <w:bCs/>
                <w:color w:val="auto"/>
                <w:sz w:val="24"/>
                <w:szCs w:val="24"/>
                <w:highlight w:val="none"/>
                <w:lang w:val="en-US" w:eastAsia="zh-CN" w:bidi="ar"/>
              </w:rPr>
            </w:pPr>
            <w:r>
              <w:rPr>
                <w:rStyle w:val="78"/>
                <w:rFonts w:ascii="仿宋_GB2312" w:hAnsi="仿宋_GB2312" w:cs="仿宋_GB2312"/>
                <w:b/>
                <w:bCs/>
                <w:color w:val="auto"/>
                <w:sz w:val="24"/>
                <w:szCs w:val="24"/>
                <w:highlight w:val="none"/>
                <w:lang w:val="en-US" w:eastAsia="zh-CN" w:bidi="ar"/>
              </w:rPr>
              <w:t>（</w:t>
            </w:r>
            <w:r>
              <w:rPr>
                <w:rStyle w:val="77"/>
                <w:rFonts w:hint="eastAsia" w:ascii="Times New Roman" w:hAnsi="Times New Roman" w:eastAsia="仿宋_GB2312" w:cs="仿宋_GB2312"/>
                <w:b/>
                <w:bCs/>
                <w:color w:val="auto"/>
                <w:sz w:val="24"/>
                <w:szCs w:val="24"/>
                <w:highlight w:val="none"/>
                <w:lang w:val="en-US" w:eastAsia="zh-CN" w:bidi="ar"/>
              </w:rPr>
              <w:t>1</w:t>
            </w:r>
            <w:r>
              <w:rPr>
                <w:rStyle w:val="77"/>
                <w:rFonts w:hint="eastAsia" w:eastAsia="仿宋_GB2312" w:cs="仿宋_GB2312"/>
                <w:b/>
                <w:bCs/>
                <w:color w:val="auto"/>
                <w:sz w:val="24"/>
                <w:szCs w:val="24"/>
                <w:highlight w:val="none"/>
                <w:lang w:val="en-US" w:eastAsia="zh-CN" w:bidi="ar"/>
              </w:rPr>
              <w:t>4</w:t>
            </w:r>
            <w:r>
              <w:rPr>
                <w:rStyle w:val="77"/>
                <w:rFonts w:hint="eastAsia" w:cs="仿宋_GB2312"/>
                <w:b/>
                <w:bCs/>
                <w:color w:val="auto"/>
                <w:sz w:val="24"/>
                <w:szCs w:val="24"/>
                <w:highlight w:val="none"/>
                <w:lang w:val="en-US" w:eastAsia="zh-CN" w:bidi="ar"/>
              </w:rPr>
              <w:t>）</w:t>
            </w:r>
          </w:p>
          <w:p w14:paraId="1FE6B0AF">
            <w:pPr>
              <w:keepNext w:val="0"/>
              <w:keepLines w:val="0"/>
              <w:pageBreakBefore w:val="0"/>
              <w:widowControl/>
              <w:suppressLineNumbers w:val="0"/>
              <w:kinsoku/>
              <w:wordWrap/>
              <w:overflowPunct/>
              <w:topLinePunct w:val="0"/>
              <w:bidi w:val="0"/>
              <w:adjustRightInd/>
              <w:snapToGrid/>
              <w:spacing w:line="320" w:lineRule="exact"/>
              <w:jc w:val="center"/>
              <w:textAlignment w:val="center"/>
              <w:rPr>
                <w:rStyle w:val="76"/>
                <w:rFonts w:ascii="仿宋_GB2312" w:hAnsi="仿宋_GB2312" w:eastAsia="仿宋_GB2312" w:cs="仿宋_GB2312"/>
                <w:b/>
                <w:bCs/>
                <w:color w:val="auto"/>
                <w:sz w:val="24"/>
                <w:szCs w:val="24"/>
                <w:highlight w:val="none"/>
                <w:lang w:val="en-US" w:eastAsia="zh-CN" w:bidi="ar"/>
              </w:rPr>
            </w:pPr>
            <w:r>
              <w:rPr>
                <w:rStyle w:val="76"/>
                <w:rFonts w:ascii="仿宋_GB2312" w:hAnsi="仿宋_GB2312" w:eastAsia="仿宋_GB2312" w:cs="仿宋_GB2312"/>
                <w:b/>
                <w:bCs/>
                <w:color w:val="auto"/>
                <w:sz w:val="24"/>
                <w:szCs w:val="24"/>
                <w:highlight w:val="none"/>
                <w:lang w:val="en-US" w:eastAsia="zh-CN" w:bidi="ar"/>
              </w:rPr>
              <w:t>其他监管</w:t>
            </w:r>
          </w:p>
          <w:p w14:paraId="5E0C7904">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Style w:val="76"/>
                <w:rFonts w:ascii="仿宋_GB2312" w:hAnsi="仿宋_GB2312" w:eastAsia="仿宋_GB2312" w:cs="仿宋_GB2312"/>
                <w:b/>
                <w:bCs/>
                <w:color w:val="auto"/>
                <w:sz w:val="24"/>
                <w:szCs w:val="24"/>
                <w:highlight w:val="none"/>
                <w:lang w:val="en-US" w:eastAsia="zh-CN" w:bidi="ar"/>
              </w:rPr>
              <w:t>配合</w:t>
            </w:r>
          </w:p>
        </w:tc>
        <w:tc>
          <w:tcPr>
            <w:tcW w:w="504" w:type="dxa"/>
            <w:noWrap w:val="0"/>
            <w:vAlign w:val="center"/>
          </w:tcPr>
          <w:p w14:paraId="0115E7F1">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strike/>
                <w:color w:val="auto"/>
                <w:kern w:val="2"/>
                <w:sz w:val="24"/>
                <w:szCs w:val="24"/>
                <w:highlight w:val="none"/>
                <w:lang w:val="en-US" w:eastAsia="zh-CN" w:bidi="ar-SA"/>
              </w:rPr>
            </w:pPr>
            <w:r>
              <w:rPr>
                <w:rStyle w:val="77"/>
                <w:rFonts w:hint="eastAsia" w:ascii="Times New Roman" w:hAnsi="Times New Roman" w:eastAsia="仿宋_GB2312" w:cs="仿宋_GB2312"/>
                <w:b/>
                <w:bCs/>
                <w:strike w:val="0"/>
                <w:dstrike w:val="0"/>
                <w:color w:val="auto"/>
                <w:sz w:val="24"/>
                <w:szCs w:val="24"/>
                <w:highlight w:val="none"/>
                <w:lang w:val="en-US" w:eastAsia="zh-CN" w:bidi="ar"/>
              </w:rPr>
              <w:t>5</w:t>
            </w:r>
          </w:p>
        </w:tc>
        <w:tc>
          <w:tcPr>
            <w:tcW w:w="8992" w:type="dxa"/>
            <w:noWrap w:val="0"/>
            <w:vAlign w:val="center"/>
          </w:tcPr>
          <w:p w14:paraId="44F2D210">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w:t>
            </w:r>
            <w:r>
              <w:rPr>
                <w:rFonts w:ascii="Times New Roman" w:hAnsi="Times New Roman" w:eastAsia="仿宋_GB2312" w:cs="Times New Roman"/>
                <w:color w:val="auto"/>
                <w:kern w:val="0"/>
                <w:sz w:val="21"/>
                <w:szCs w:val="21"/>
                <w:highlight w:val="none"/>
                <w:lang w:val="en-US" w:eastAsia="zh-CN" w:bidi="ar"/>
              </w:rPr>
              <w:t>考评年度内</w:t>
            </w:r>
            <w:r>
              <w:rPr>
                <w:rFonts w:hint="eastAsia" w:eastAsia="仿宋_GB2312" w:cs="Times New Roman"/>
                <w:color w:val="auto"/>
                <w:kern w:val="0"/>
                <w:sz w:val="21"/>
                <w:szCs w:val="21"/>
                <w:highlight w:val="none"/>
                <w:lang w:val="en-US" w:eastAsia="zh-CN" w:bidi="ar"/>
              </w:rPr>
              <w:t>积极配合</w:t>
            </w:r>
            <w:r>
              <w:rPr>
                <w:rFonts w:ascii="Times New Roman" w:hAnsi="Times New Roman" w:eastAsia="仿宋_GB2312" w:cs="Times New Roman"/>
                <w:color w:val="auto"/>
                <w:kern w:val="0"/>
                <w:sz w:val="21"/>
                <w:szCs w:val="21"/>
                <w:highlight w:val="none"/>
                <w:lang w:val="en-US" w:eastAsia="zh-CN" w:bidi="ar"/>
              </w:rPr>
              <w:t>非现场监管、监管谈话及工作会议、培训等监管工作的，考评年度内未被约谈或谈话的，得</w:t>
            </w:r>
            <w:r>
              <w:rPr>
                <w:rFonts w:hint="default" w:ascii="Times New Roman" w:hAnsi="Times New Roman" w:eastAsia="仿宋_GB2312" w:cs="Times New Roman"/>
                <w:i w:val="0"/>
                <w:iCs w:val="0"/>
                <w:color w:val="auto"/>
                <w:kern w:val="0"/>
                <w:sz w:val="21"/>
                <w:szCs w:val="21"/>
                <w:highlight w:val="none"/>
                <w:u w:val="none"/>
                <w:lang w:val="en-US" w:eastAsia="zh-CN" w:bidi="ar"/>
              </w:rPr>
              <w:t>5</w:t>
            </w:r>
            <w:r>
              <w:rPr>
                <w:rFonts w:ascii="Times New Roman" w:hAnsi="Times New Roman" w:eastAsia="仿宋_GB2312" w:cs="Times New Roman"/>
                <w:color w:val="auto"/>
                <w:kern w:val="0"/>
                <w:sz w:val="21"/>
                <w:szCs w:val="21"/>
                <w:highlight w:val="none"/>
                <w:lang w:val="en-US" w:eastAsia="zh-CN" w:bidi="ar"/>
              </w:rPr>
              <w:t>分；</w:t>
            </w:r>
            <w:r>
              <w:rPr>
                <w:rFonts w:ascii="Times New Roman" w:hAnsi="Times New Roman" w:eastAsia="仿宋_GB2312" w:cs="Times New Roman"/>
                <w:color w:val="auto"/>
                <w:kern w:val="0"/>
                <w:sz w:val="21"/>
                <w:szCs w:val="21"/>
                <w:highlight w:val="none"/>
                <w:lang w:val="en-US" w:eastAsia="zh-CN" w:bidi="ar"/>
              </w:rPr>
              <w:br w:type="textWrapping"/>
            </w:r>
            <w:r>
              <w:rPr>
                <w:rFonts w:ascii="Times New Roman" w:hAnsi="Times New Roman" w:eastAsia="仿宋_GB2312" w:cs="Times New Roman"/>
                <w:color w:val="auto"/>
                <w:kern w:val="0"/>
                <w:sz w:val="21"/>
                <w:szCs w:val="21"/>
                <w:highlight w:val="none"/>
                <w:lang w:val="en-US" w:eastAsia="zh-CN" w:bidi="ar"/>
              </w:rPr>
              <w:t>2.考评年度内</w:t>
            </w:r>
            <w:r>
              <w:rPr>
                <w:rFonts w:hint="eastAsia" w:eastAsia="仿宋_GB2312" w:cs="Times New Roman"/>
                <w:color w:val="auto"/>
                <w:kern w:val="0"/>
                <w:sz w:val="21"/>
                <w:szCs w:val="21"/>
                <w:highlight w:val="none"/>
                <w:lang w:val="en-US" w:eastAsia="zh-CN" w:bidi="ar"/>
              </w:rPr>
              <w:t>较</w:t>
            </w:r>
            <w:r>
              <w:rPr>
                <w:rFonts w:ascii="Times New Roman" w:hAnsi="Times New Roman" w:eastAsia="仿宋_GB2312" w:cs="Times New Roman"/>
                <w:color w:val="auto"/>
                <w:kern w:val="0"/>
                <w:sz w:val="21"/>
                <w:szCs w:val="21"/>
                <w:highlight w:val="none"/>
                <w:lang w:val="en-US" w:eastAsia="zh-CN" w:bidi="ar"/>
              </w:rPr>
              <w:t>配合非现场监管、监管谈话及工作会议、培训等监管工作的，</w:t>
            </w:r>
            <w:r>
              <w:rPr>
                <w:rFonts w:hint="eastAsia" w:eastAsia="仿宋_GB2312" w:cs="Times New Roman"/>
                <w:color w:val="auto"/>
                <w:kern w:val="0"/>
                <w:sz w:val="21"/>
                <w:szCs w:val="21"/>
                <w:highlight w:val="none"/>
                <w:lang w:val="en-US" w:eastAsia="zh-CN" w:bidi="ar"/>
              </w:rPr>
              <w:t>但存在</w:t>
            </w:r>
            <w:r>
              <w:rPr>
                <w:rFonts w:ascii="Times New Roman" w:hAnsi="Times New Roman" w:eastAsia="仿宋_GB2312" w:cs="Times New Roman"/>
                <w:color w:val="auto"/>
                <w:kern w:val="0"/>
                <w:sz w:val="21"/>
                <w:szCs w:val="21"/>
                <w:highlight w:val="none"/>
                <w:lang w:val="en-US" w:eastAsia="zh-CN" w:bidi="ar"/>
              </w:rPr>
              <w:t>考评年度内被约谈或谈话的，得</w:t>
            </w:r>
            <w:r>
              <w:rPr>
                <w:rFonts w:hint="default" w:ascii="Times New Roman" w:hAnsi="Times New Roman" w:eastAsia="仿宋_GB2312" w:cs="Times New Roman"/>
                <w:i w:val="0"/>
                <w:iCs w:val="0"/>
                <w:color w:val="auto"/>
                <w:kern w:val="0"/>
                <w:sz w:val="21"/>
                <w:szCs w:val="21"/>
                <w:highlight w:val="none"/>
                <w:u w:val="none"/>
                <w:lang w:val="en-US" w:eastAsia="zh-CN" w:bidi="ar"/>
              </w:rPr>
              <w:t>3</w:t>
            </w:r>
            <w:r>
              <w:rPr>
                <w:rFonts w:ascii="Times New Roman" w:hAnsi="Times New Roman" w:eastAsia="仿宋_GB2312" w:cs="Times New Roman"/>
                <w:color w:val="auto"/>
                <w:kern w:val="0"/>
                <w:sz w:val="21"/>
                <w:szCs w:val="21"/>
                <w:highlight w:val="none"/>
                <w:lang w:val="en-US" w:eastAsia="zh-CN" w:bidi="ar"/>
              </w:rPr>
              <w:t>分；</w:t>
            </w:r>
            <w:r>
              <w:rPr>
                <w:rFonts w:ascii="Times New Roman" w:hAnsi="Times New Roman" w:eastAsia="仿宋_GB2312" w:cs="Times New Roman"/>
                <w:color w:val="auto"/>
                <w:kern w:val="0"/>
                <w:sz w:val="21"/>
                <w:szCs w:val="21"/>
                <w:highlight w:val="none"/>
                <w:lang w:val="en-US" w:eastAsia="zh-CN" w:bidi="ar"/>
              </w:rPr>
              <w:br w:type="textWrapping"/>
            </w:r>
            <w:r>
              <w:rPr>
                <w:rFonts w:ascii="Times New Roman" w:hAnsi="Times New Roman" w:eastAsia="仿宋_GB2312" w:cs="Times New Roman"/>
                <w:color w:val="auto"/>
                <w:kern w:val="0"/>
                <w:sz w:val="21"/>
                <w:szCs w:val="21"/>
                <w:highlight w:val="none"/>
                <w:lang w:val="en-US" w:eastAsia="zh-CN" w:bidi="ar"/>
              </w:rPr>
              <w:t>3.考评年度内不配合非现场监管、监管谈话及工作会议、培训等监管工作的，或对于监管</w:t>
            </w:r>
            <w:r>
              <w:rPr>
                <w:rFonts w:hint="eastAsia" w:eastAsia="仿宋_GB2312" w:cs="Times New Roman"/>
                <w:color w:val="auto"/>
                <w:kern w:val="0"/>
                <w:sz w:val="21"/>
                <w:szCs w:val="21"/>
                <w:highlight w:val="none"/>
                <w:lang w:val="en-US" w:eastAsia="zh-CN" w:bidi="ar"/>
              </w:rPr>
              <w:t>部门</w:t>
            </w:r>
            <w:r>
              <w:rPr>
                <w:rFonts w:ascii="Times New Roman" w:hAnsi="Times New Roman" w:eastAsia="仿宋_GB2312" w:cs="Times New Roman"/>
                <w:color w:val="auto"/>
                <w:kern w:val="0"/>
                <w:sz w:val="21"/>
                <w:szCs w:val="21"/>
                <w:highlight w:val="none"/>
                <w:lang w:val="en-US" w:eastAsia="zh-CN" w:bidi="ar"/>
              </w:rPr>
              <w:t>提出的整改意见不进行整改的，得0分。</w:t>
            </w:r>
          </w:p>
        </w:tc>
        <w:tc>
          <w:tcPr>
            <w:tcW w:w="705" w:type="dxa"/>
            <w:noWrap w:val="0"/>
            <w:vAlign w:val="top"/>
          </w:tcPr>
          <w:p w14:paraId="00F115BC">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7A32F913">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50C0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3" w:type="dxa"/>
            <w:vMerge w:val="continue"/>
            <w:noWrap w:val="0"/>
            <w:vAlign w:val="top"/>
          </w:tcPr>
          <w:p w14:paraId="761E6FC9">
            <w:pPr>
              <w:keepNext w:val="0"/>
              <w:keepLines w:val="0"/>
              <w:pageBreakBefore w:val="0"/>
              <w:kinsoku/>
              <w:overflowPunct/>
              <w:topLinePunct w:val="0"/>
              <w:bidi w:val="0"/>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sz w:val="28"/>
                <w:szCs w:val="28"/>
                <w:highlight w:val="none"/>
              </w:rPr>
            </w:pPr>
          </w:p>
        </w:tc>
        <w:tc>
          <w:tcPr>
            <w:tcW w:w="1536" w:type="dxa"/>
            <w:noWrap w:val="0"/>
            <w:vAlign w:val="center"/>
          </w:tcPr>
          <w:p w14:paraId="799BF3C5">
            <w:pPr>
              <w:keepNext w:val="0"/>
              <w:keepLines w:val="0"/>
              <w:pageBreakBefore w:val="0"/>
              <w:widowControl/>
              <w:suppressLineNumbers w:val="0"/>
              <w:kinsoku/>
              <w:wordWrap/>
              <w:overflowPunct/>
              <w:topLinePunct w:val="0"/>
              <w:bidi w:val="0"/>
              <w:adjustRightInd/>
              <w:snapToGrid/>
              <w:spacing w:line="320" w:lineRule="exact"/>
              <w:jc w:val="center"/>
              <w:textAlignment w:val="center"/>
              <w:rPr>
                <w:rStyle w:val="73"/>
                <w:rFonts w:ascii="仿宋_GB2312" w:hAnsi="仿宋_GB2312" w:eastAsia="仿宋_GB2312" w:cs="仿宋_GB2312"/>
                <w:b/>
                <w:bCs/>
                <w:color w:val="auto"/>
                <w:sz w:val="24"/>
                <w:szCs w:val="24"/>
                <w:highlight w:val="none"/>
                <w:lang w:val="en-US" w:eastAsia="zh-CN" w:bidi="ar"/>
              </w:rPr>
            </w:pPr>
            <w:r>
              <w:rPr>
                <w:rStyle w:val="73"/>
                <w:rFonts w:ascii="仿宋_GB2312" w:hAnsi="仿宋_GB2312" w:cs="仿宋_GB2312"/>
                <w:b/>
                <w:bCs/>
                <w:color w:val="auto"/>
                <w:sz w:val="24"/>
                <w:szCs w:val="24"/>
                <w:highlight w:val="none"/>
                <w:lang w:val="en-US" w:eastAsia="zh-CN" w:bidi="ar"/>
              </w:rPr>
              <w:t>（</w:t>
            </w:r>
            <w:r>
              <w:rPr>
                <w:rStyle w:val="77"/>
                <w:rFonts w:hint="eastAsia" w:ascii="Times New Roman" w:hAnsi="Times New Roman" w:eastAsia="仿宋_GB2312" w:cs="仿宋_GB2312"/>
                <w:b/>
                <w:bCs/>
                <w:color w:val="auto"/>
                <w:sz w:val="24"/>
                <w:szCs w:val="24"/>
                <w:highlight w:val="none"/>
                <w:lang w:val="en-US" w:eastAsia="zh-CN" w:bidi="ar"/>
              </w:rPr>
              <w:t>1</w:t>
            </w:r>
            <w:r>
              <w:rPr>
                <w:rStyle w:val="77"/>
                <w:rFonts w:hint="eastAsia" w:eastAsia="仿宋_GB2312" w:cs="仿宋_GB2312"/>
                <w:b/>
                <w:bCs/>
                <w:color w:val="auto"/>
                <w:sz w:val="24"/>
                <w:szCs w:val="24"/>
                <w:highlight w:val="none"/>
                <w:lang w:val="en-US" w:eastAsia="zh-CN" w:bidi="ar"/>
              </w:rPr>
              <w:t>5</w:t>
            </w:r>
            <w:r>
              <w:rPr>
                <w:rStyle w:val="77"/>
                <w:rFonts w:hint="eastAsia" w:cs="仿宋_GB2312"/>
                <w:b/>
                <w:bCs/>
                <w:color w:val="auto"/>
                <w:sz w:val="24"/>
                <w:szCs w:val="24"/>
                <w:highlight w:val="none"/>
                <w:lang w:val="en-US" w:eastAsia="zh-CN" w:bidi="ar"/>
              </w:rPr>
              <w:t>）</w:t>
            </w:r>
          </w:p>
          <w:p w14:paraId="7C475FC3">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Style w:val="73"/>
                <w:rFonts w:ascii="仿宋_GB2312" w:hAnsi="仿宋_GB2312" w:eastAsia="仿宋_GB2312" w:cs="仿宋_GB2312"/>
                <w:b/>
                <w:bCs/>
                <w:color w:val="auto"/>
                <w:sz w:val="24"/>
                <w:szCs w:val="24"/>
                <w:highlight w:val="none"/>
                <w:lang w:val="en-US" w:eastAsia="zh-CN" w:bidi="ar"/>
              </w:rPr>
              <w:t>杠杆倍数</w:t>
            </w:r>
          </w:p>
        </w:tc>
        <w:tc>
          <w:tcPr>
            <w:tcW w:w="504" w:type="dxa"/>
            <w:noWrap w:val="0"/>
            <w:vAlign w:val="center"/>
          </w:tcPr>
          <w:p w14:paraId="5624ED3B">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strike/>
                <w:color w:val="auto"/>
                <w:kern w:val="2"/>
                <w:sz w:val="24"/>
                <w:szCs w:val="24"/>
                <w:highlight w:val="none"/>
                <w:lang w:val="en-US" w:eastAsia="zh-CN" w:bidi="ar-SA"/>
              </w:rPr>
            </w:pPr>
            <w:r>
              <w:rPr>
                <w:rStyle w:val="77"/>
                <w:rFonts w:hint="eastAsia" w:eastAsia="仿宋_GB2312" w:cs="仿宋_GB2312"/>
                <w:b/>
                <w:bCs/>
                <w:strike w:val="0"/>
                <w:dstrike w:val="0"/>
                <w:color w:val="auto"/>
                <w:sz w:val="24"/>
                <w:szCs w:val="24"/>
                <w:highlight w:val="none"/>
                <w:lang w:val="en-US" w:eastAsia="zh-CN" w:bidi="ar"/>
              </w:rPr>
              <w:t>3</w:t>
            </w:r>
          </w:p>
        </w:tc>
        <w:tc>
          <w:tcPr>
            <w:tcW w:w="8992" w:type="dxa"/>
            <w:noWrap w:val="0"/>
            <w:vAlign w:val="center"/>
          </w:tcPr>
          <w:p w14:paraId="7499114A">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1</w:t>
            </w:r>
            <w:r>
              <w:rPr>
                <w:rFonts w:hint="eastAsia" w:ascii="仿宋_GB2312" w:hAnsi="仿宋_GB2312" w:eastAsia="仿宋_GB2312" w:cs="仿宋_GB2312"/>
                <w:i w:val="0"/>
                <w:iCs w:val="0"/>
                <w:color w:val="auto"/>
                <w:kern w:val="0"/>
                <w:sz w:val="21"/>
                <w:szCs w:val="21"/>
                <w:highlight w:val="none"/>
                <w:u w:val="none"/>
                <w:lang w:val="en-US" w:eastAsia="zh-CN" w:bidi="ar"/>
              </w:rPr>
              <w:t>.</w:t>
            </w:r>
            <w:r>
              <w:rPr>
                <w:rFonts w:ascii="仿宋_GB2312" w:hAnsi="仿宋_GB2312" w:eastAsia="仿宋_GB2312" w:cs="仿宋_GB2312"/>
                <w:color w:val="auto"/>
                <w:kern w:val="0"/>
                <w:sz w:val="21"/>
                <w:szCs w:val="21"/>
                <w:highlight w:val="none"/>
                <w:lang w:val="en-US" w:eastAsia="zh-CN" w:bidi="ar"/>
              </w:rPr>
              <w:t>考评年度杠杆倍数（风险资产</w:t>
            </w:r>
            <w:r>
              <w:rPr>
                <w:rFonts w:hint="eastAsia" w:ascii="仿宋_GB2312" w:hAnsi="仿宋_GB2312" w:eastAsia="仿宋_GB2312" w:cs="仿宋_GB2312"/>
                <w:i w:val="0"/>
                <w:iCs w:val="0"/>
                <w:color w:val="auto"/>
                <w:kern w:val="0"/>
                <w:sz w:val="21"/>
                <w:szCs w:val="21"/>
                <w:highlight w:val="none"/>
                <w:u w:val="none"/>
                <w:lang w:val="en-US" w:eastAsia="zh-CN" w:bidi="ar"/>
              </w:rPr>
              <w:t>/</w:t>
            </w:r>
            <w:r>
              <w:rPr>
                <w:rFonts w:ascii="仿宋_GB2312" w:hAnsi="仿宋_GB2312" w:eastAsia="仿宋_GB2312" w:cs="仿宋_GB2312"/>
                <w:color w:val="auto"/>
                <w:kern w:val="0"/>
                <w:sz w:val="21"/>
                <w:szCs w:val="21"/>
                <w:highlight w:val="none"/>
                <w:lang w:val="en-US" w:eastAsia="zh-CN" w:bidi="ar"/>
              </w:rPr>
              <w:t>净资产）不超过</w:t>
            </w:r>
            <w:r>
              <w:rPr>
                <w:rFonts w:hint="eastAsia" w:ascii="Times New Roman" w:hAnsi="Times New Roman" w:eastAsia="仿宋_GB2312" w:cs="仿宋_GB2312"/>
                <w:i w:val="0"/>
                <w:iCs w:val="0"/>
                <w:color w:val="auto"/>
                <w:kern w:val="0"/>
                <w:sz w:val="21"/>
                <w:szCs w:val="21"/>
                <w:highlight w:val="none"/>
                <w:u w:val="none"/>
                <w:lang w:val="en-US" w:eastAsia="zh-CN" w:bidi="ar"/>
              </w:rPr>
              <w:t>10</w:t>
            </w:r>
            <w:r>
              <w:rPr>
                <w:rFonts w:ascii="仿宋_GB2312" w:hAnsi="仿宋_GB2312" w:eastAsia="仿宋_GB2312" w:cs="仿宋_GB2312"/>
                <w:color w:val="auto"/>
                <w:kern w:val="0"/>
                <w:sz w:val="21"/>
                <w:szCs w:val="21"/>
                <w:highlight w:val="none"/>
                <w:lang w:val="en-US" w:eastAsia="zh-CN" w:bidi="ar"/>
              </w:rPr>
              <w:t>倍的，得</w:t>
            </w:r>
            <w:r>
              <w:rPr>
                <w:rFonts w:hint="eastAsia" w:ascii="Times New Roman" w:hAnsi="Times New Roman" w:eastAsia="仿宋_GB2312" w:cs="仿宋_GB2312"/>
                <w:color w:val="auto"/>
                <w:kern w:val="0"/>
                <w:sz w:val="21"/>
                <w:szCs w:val="21"/>
                <w:highlight w:val="none"/>
                <w:lang w:val="en-US" w:eastAsia="zh-CN" w:bidi="ar"/>
              </w:rPr>
              <w:t>3</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Times New Roman" w:hAnsi="Times New Roman" w:eastAsia="仿宋_GB2312" w:cs="仿宋_GB2312"/>
                <w:i w:val="0"/>
                <w:iCs w:val="0"/>
                <w:color w:val="auto"/>
                <w:kern w:val="0"/>
                <w:sz w:val="21"/>
                <w:szCs w:val="21"/>
                <w:highlight w:val="none"/>
                <w:u w:val="none"/>
                <w:lang w:val="en-US" w:eastAsia="zh-CN" w:bidi="ar"/>
              </w:rPr>
              <w:t>2</w:t>
            </w:r>
            <w:r>
              <w:rPr>
                <w:rFonts w:hint="eastAsia" w:ascii="仿宋_GB2312" w:hAnsi="仿宋_GB2312" w:eastAsia="仿宋_GB2312" w:cs="仿宋_GB2312"/>
                <w:i w:val="0"/>
                <w:iCs w:val="0"/>
                <w:color w:val="auto"/>
                <w:kern w:val="0"/>
                <w:sz w:val="21"/>
                <w:szCs w:val="21"/>
                <w:highlight w:val="none"/>
                <w:u w:val="none"/>
                <w:lang w:val="en-US" w:eastAsia="zh-CN" w:bidi="ar"/>
              </w:rPr>
              <w:t>.</w:t>
            </w:r>
            <w:r>
              <w:rPr>
                <w:rFonts w:ascii="仿宋_GB2312" w:hAnsi="仿宋_GB2312" w:eastAsia="仿宋_GB2312" w:cs="仿宋_GB2312"/>
                <w:color w:val="auto"/>
                <w:kern w:val="0"/>
                <w:sz w:val="21"/>
                <w:szCs w:val="21"/>
                <w:highlight w:val="none"/>
                <w:lang w:val="en-US" w:eastAsia="zh-CN" w:bidi="ar"/>
              </w:rPr>
              <w:t>考评年度杠杆倍数（风险资产</w:t>
            </w:r>
            <w:r>
              <w:rPr>
                <w:rFonts w:hint="eastAsia" w:ascii="仿宋_GB2312" w:hAnsi="仿宋_GB2312" w:eastAsia="仿宋_GB2312" w:cs="仿宋_GB2312"/>
                <w:i w:val="0"/>
                <w:iCs w:val="0"/>
                <w:color w:val="auto"/>
                <w:kern w:val="0"/>
                <w:sz w:val="21"/>
                <w:szCs w:val="21"/>
                <w:highlight w:val="none"/>
                <w:u w:val="none"/>
                <w:lang w:val="en-US" w:eastAsia="zh-CN" w:bidi="ar"/>
              </w:rPr>
              <w:t>/</w:t>
            </w:r>
            <w:r>
              <w:rPr>
                <w:rFonts w:ascii="仿宋_GB2312" w:hAnsi="仿宋_GB2312" w:eastAsia="仿宋_GB2312" w:cs="仿宋_GB2312"/>
                <w:color w:val="auto"/>
                <w:kern w:val="0"/>
                <w:sz w:val="21"/>
                <w:szCs w:val="21"/>
                <w:highlight w:val="none"/>
                <w:lang w:val="en-US" w:eastAsia="zh-CN" w:bidi="ar"/>
              </w:rPr>
              <w:t>净资产）超过</w:t>
            </w:r>
            <w:r>
              <w:rPr>
                <w:rFonts w:hint="eastAsia" w:ascii="Times New Roman" w:hAnsi="Times New Roman" w:eastAsia="仿宋_GB2312" w:cs="仿宋_GB2312"/>
                <w:i w:val="0"/>
                <w:iCs w:val="0"/>
                <w:color w:val="auto"/>
                <w:kern w:val="0"/>
                <w:sz w:val="21"/>
                <w:szCs w:val="21"/>
                <w:highlight w:val="none"/>
                <w:u w:val="none"/>
                <w:lang w:val="en-US" w:eastAsia="zh-CN" w:bidi="ar"/>
              </w:rPr>
              <w:t>10</w:t>
            </w:r>
            <w:r>
              <w:rPr>
                <w:rFonts w:ascii="仿宋_GB2312" w:hAnsi="仿宋_GB2312" w:eastAsia="仿宋_GB2312" w:cs="仿宋_GB2312"/>
                <w:color w:val="auto"/>
                <w:kern w:val="0"/>
                <w:sz w:val="21"/>
                <w:szCs w:val="21"/>
                <w:highlight w:val="none"/>
                <w:lang w:val="en-US" w:eastAsia="zh-CN" w:bidi="ar"/>
              </w:rPr>
              <w:t>倍的，得</w:t>
            </w:r>
            <w:r>
              <w:rPr>
                <w:rFonts w:hint="eastAsia" w:ascii="Times New Roman" w:hAnsi="Times New Roman" w:eastAsia="仿宋_GB2312" w:cs="仿宋_GB2312"/>
                <w:i w:val="0"/>
                <w:iCs w:val="0"/>
                <w:color w:val="auto"/>
                <w:kern w:val="0"/>
                <w:sz w:val="21"/>
                <w:szCs w:val="21"/>
                <w:highlight w:val="none"/>
                <w:u w:val="none"/>
                <w:lang w:val="en-US" w:eastAsia="zh-CN" w:bidi="ar"/>
              </w:rPr>
              <w:t>0</w:t>
            </w:r>
            <w:r>
              <w:rPr>
                <w:rFonts w:ascii="仿宋_GB2312" w:hAnsi="仿宋_GB2312" w:eastAsia="仿宋_GB2312" w:cs="仿宋_GB2312"/>
                <w:color w:val="auto"/>
                <w:kern w:val="0"/>
                <w:sz w:val="21"/>
                <w:szCs w:val="21"/>
                <w:highlight w:val="none"/>
                <w:lang w:val="en-US" w:eastAsia="zh-CN" w:bidi="ar"/>
              </w:rPr>
              <w:t>分。</w:t>
            </w:r>
          </w:p>
        </w:tc>
        <w:tc>
          <w:tcPr>
            <w:tcW w:w="705" w:type="dxa"/>
            <w:noWrap w:val="0"/>
            <w:vAlign w:val="top"/>
          </w:tcPr>
          <w:p w14:paraId="5E763F3A">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68013716">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63C6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3" w:type="dxa"/>
            <w:vMerge w:val="continue"/>
            <w:noWrap w:val="0"/>
            <w:vAlign w:val="center"/>
          </w:tcPr>
          <w:p w14:paraId="2CCBF02F">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方正仿宋_GBK" w:cs="Times New Roman"/>
                <w:color w:val="auto"/>
                <w:sz w:val="28"/>
                <w:szCs w:val="28"/>
                <w:highlight w:val="none"/>
              </w:rPr>
            </w:pPr>
          </w:p>
        </w:tc>
        <w:tc>
          <w:tcPr>
            <w:tcW w:w="1536" w:type="dxa"/>
            <w:noWrap w:val="0"/>
            <w:vAlign w:val="center"/>
          </w:tcPr>
          <w:p w14:paraId="6025E641">
            <w:pPr>
              <w:keepNext w:val="0"/>
              <w:keepLines w:val="0"/>
              <w:pageBreakBefore w:val="0"/>
              <w:widowControl/>
              <w:suppressLineNumbers w:val="0"/>
              <w:kinsoku/>
              <w:wordWrap/>
              <w:overflowPunct/>
              <w:topLinePunct w:val="0"/>
              <w:bidi w:val="0"/>
              <w:adjustRightInd/>
              <w:snapToGrid/>
              <w:spacing w:line="320" w:lineRule="exact"/>
              <w:jc w:val="center"/>
              <w:textAlignment w:val="center"/>
              <w:rPr>
                <w:rStyle w:val="73"/>
                <w:rFonts w:ascii="仿宋_GB2312" w:hAnsi="仿宋_GB2312" w:eastAsia="仿宋_GB2312" w:cs="仿宋_GB2312"/>
                <w:b/>
                <w:bCs/>
                <w:color w:val="auto"/>
                <w:sz w:val="24"/>
                <w:szCs w:val="24"/>
                <w:highlight w:val="none"/>
                <w:lang w:val="en-US" w:eastAsia="zh-CN" w:bidi="ar"/>
              </w:rPr>
            </w:pPr>
            <w:r>
              <w:rPr>
                <w:rStyle w:val="73"/>
                <w:rFonts w:ascii="仿宋_GB2312" w:hAnsi="仿宋_GB2312" w:cs="仿宋_GB2312"/>
                <w:b/>
                <w:bCs/>
                <w:color w:val="auto"/>
                <w:sz w:val="24"/>
                <w:szCs w:val="24"/>
                <w:highlight w:val="none"/>
                <w:lang w:val="en-US" w:eastAsia="zh-CN" w:bidi="ar"/>
              </w:rPr>
              <w:t>（</w:t>
            </w:r>
            <w:r>
              <w:rPr>
                <w:rStyle w:val="77"/>
                <w:rFonts w:hint="eastAsia" w:eastAsia="仿宋_GB2312" w:cs="仿宋_GB2312"/>
                <w:b/>
                <w:bCs/>
                <w:color w:val="auto"/>
                <w:sz w:val="24"/>
                <w:szCs w:val="24"/>
                <w:highlight w:val="none"/>
                <w:lang w:val="en-US" w:eastAsia="zh-CN" w:bidi="ar"/>
              </w:rPr>
              <w:t>16</w:t>
            </w:r>
            <w:r>
              <w:rPr>
                <w:rStyle w:val="77"/>
                <w:rFonts w:hint="eastAsia" w:cs="仿宋_GB2312"/>
                <w:b/>
                <w:bCs/>
                <w:color w:val="auto"/>
                <w:sz w:val="24"/>
                <w:szCs w:val="24"/>
                <w:highlight w:val="none"/>
                <w:lang w:val="en-US" w:eastAsia="zh-CN" w:bidi="ar"/>
              </w:rPr>
              <w:t>）</w:t>
            </w:r>
          </w:p>
          <w:p w14:paraId="7E414793">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Style w:val="73"/>
                <w:rFonts w:ascii="仿宋_GB2312" w:hAnsi="仿宋_GB2312" w:eastAsia="仿宋_GB2312" w:cs="仿宋_GB2312"/>
                <w:b/>
                <w:bCs/>
                <w:color w:val="auto"/>
                <w:sz w:val="24"/>
                <w:szCs w:val="24"/>
                <w:highlight w:val="none"/>
                <w:lang w:val="en-US" w:eastAsia="zh-CN" w:bidi="ar"/>
              </w:rPr>
              <w:t>准备金计提</w:t>
            </w:r>
          </w:p>
        </w:tc>
        <w:tc>
          <w:tcPr>
            <w:tcW w:w="504" w:type="dxa"/>
            <w:noWrap w:val="0"/>
            <w:vAlign w:val="center"/>
          </w:tcPr>
          <w:p w14:paraId="7B46FFFC">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Fonts w:hint="eastAsia" w:ascii="Times New Roman" w:hAnsi="Times New Roman" w:eastAsia="仿宋_GB2312" w:cs="仿宋_GB2312"/>
                <w:b/>
                <w:bCs/>
                <w:i w:val="0"/>
                <w:iCs w:val="0"/>
                <w:color w:val="auto"/>
                <w:kern w:val="0"/>
                <w:sz w:val="24"/>
                <w:szCs w:val="24"/>
                <w:highlight w:val="none"/>
                <w:u w:val="none"/>
                <w:lang w:val="en-US" w:eastAsia="zh-CN" w:bidi="ar"/>
              </w:rPr>
              <w:t>5</w:t>
            </w:r>
          </w:p>
        </w:tc>
        <w:tc>
          <w:tcPr>
            <w:tcW w:w="8992" w:type="dxa"/>
            <w:noWrap w:val="0"/>
            <w:vAlign w:val="center"/>
          </w:tcPr>
          <w:p w14:paraId="47E56374">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考评年度风险准备金计提不低于融资保理业务期末余额的</w:t>
            </w:r>
            <w:r>
              <w:rPr>
                <w:rFonts w:hint="eastAsia" w:ascii="Times New Roman" w:hAnsi="Times New Roman" w:eastAsia="仿宋_GB2312" w:cs="仿宋_GB2312"/>
                <w:color w:val="auto"/>
                <w:kern w:val="0"/>
                <w:sz w:val="21"/>
                <w:szCs w:val="21"/>
                <w:highlight w:val="none"/>
                <w:lang w:val="en-US" w:eastAsia="zh-CN" w:bidi="ar"/>
              </w:rPr>
              <w:t>1</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的，得</w:t>
            </w:r>
            <w:r>
              <w:rPr>
                <w:rFonts w:hint="eastAsia" w:ascii="Times New Roman" w:hAnsi="Times New Roman" w:eastAsia="仿宋_GB2312" w:cs="仿宋_GB2312"/>
                <w:color w:val="auto"/>
                <w:kern w:val="0"/>
                <w:sz w:val="21"/>
                <w:szCs w:val="21"/>
                <w:highlight w:val="none"/>
                <w:lang w:val="en-US" w:eastAsia="zh-CN" w:bidi="ar"/>
              </w:rPr>
              <w:t>5</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color w:val="auto"/>
                <w:kern w:val="0"/>
                <w:sz w:val="21"/>
                <w:szCs w:val="21"/>
                <w:highlight w:val="none"/>
                <w:lang w:val="en-US" w:eastAsia="zh-CN" w:bidi="ar"/>
              </w:rPr>
              <w:br w:type="textWrapping"/>
            </w:r>
            <w:r>
              <w:rPr>
                <w:rFonts w:hint="eastAsia" w:ascii="Times New Roman" w:hAnsi="Times New Roman" w:eastAsia="仿宋_GB2312" w:cs="仿宋_GB2312"/>
                <w:color w:val="auto"/>
                <w:kern w:val="0"/>
                <w:sz w:val="21"/>
                <w:szCs w:val="21"/>
                <w:highlight w:val="none"/>
                <w:lang w:val="en-US" w:eastAsia="zh-CN" w:bidi="ar"/>
              </w:rPr>
              <w:t>2</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考评年度风险准备金计提低于融资保理业务期末余额的</w:t>
            </w:r>
            <w:r>
              <w:rPr>
                <w:rFonts w:hint="eastAsia" w:ascii="Times New Roman" w:hAnsi="Times New Roman" w:eastAsia="仿宋_GB2312" w:cs="仿宋_GB2312"/>
                <w:color w:val="auto"/>
                <w:kern w:val="0"/>
                <w:sz w:val="21"/>
                <w:szCs w:val="21"/>
                <w:highlight w:val="none"/>
                <w:lang w:val="en-US" w:eastAsia="zh-CN" w:bidi="ar"/>
              </w:rPr>
              <w:t>1</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的，得</w:t>
            </w:r>
            <w:r>
              <w:rPr>
                <w:rFonts w:hint="eastAsia" w:ascii="Times New Roman" w:hAnsi="Times New Roman" w:eastAsia="仿宋_GB2312" w:cs="仿宋_GB2312"/>
                <w:color w:val="auto"/>
                <w:kern w:val="0"/>
                <w:sz w:val="21"/>
                <w:szCs w:val="21"/>
                <w:highlight w:val="none"/>
                <w:lang w:val="en-US" w:eastAsia="zh-CN" w:bidi="ar"/>
              </w:rPr>
              <w:t>0</w:t>
            </w:r>
            <w:r>
              <w:rPr>
                <w:rFonts w:ascii="仿宋_GB2312" w:hAnsi="仿宋_GB2312" w:eastAsia="仿宋_GB2312" w:cs="仿宋_GB2312"/>
                <w:color w:val="auto"/>
                <w:kern w:val="0"/>
                <w:sz w:val="21"/>
                <w:szCs w:val="21"/>
                <w:highlight w:val="none"/>
                <w:lang w:val="en-US" w:eastAsia="zh-CN" w:bidi="ar"/>
              </w:rPr>
              <w:t>分。</w:t>
            </w:r>
          </w:p>
        </w:tc>
        <w:tc>
          <w:tcPr>
            <w:tcW w:w="705" w:type="dxa"/>
            <w:noWrap w:val="0"/>
            <w:vAlign w:val="top"/>
          </w:tcPr>
          <w:p w14:paraId="0C386F75">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4D4392F8">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702D6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3" w:type="dxa"/>
            <w:vMerge w:val="continue"/>
            <w:noWrap w:val="0"/>
            <w:vAlign w:val="top"/>
          </w:tcPr>
          <w:p w14:paraId="14A43CD8">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方正仿宋_GBK" w:cs="Times New Roman"/>
                <w:color w:val="auto"/>
                <w:sz w:val="28"/>
                <w:szCs w:val="28"/>
                <w:highlight w:val="none"/>
              </w:rPr>
            </w:pPr>
          </w:p>
        </w:tc>
        <w:tc>
          <w:tcPr>
            <w:tcW w:w="1536" w:type="dxa"/>
            <w:noWrap w:val="0"/>
            <w:vAlign w:val="center"/>
          </w:tcPr>
          <w:p w14:paraId="2FDDC60D">
            <w:pPr>
              <w:keepNext w:val="0"/>
              <w:keepLines w:val="0"/>
              <w:pageBreakBefore w:val="0"/>
              <w:widowControl/>
              <w:suppressLineNumbers w:val="0"/>
              <w:kinsoku/>
              <w:wordWrap/>
              <w:overflowPunct/>
              <w:topLinePunct w:val="0"/>
              <w:bidi w:val="0"/>
              <w:adjustRightInd/>
              <w:snapToGrid/>
              <w:spacing w:line="320" w:lineRule="exact"/>
              <w:jc w:val="center"/>
              <w:textAlignment w:val="center"/>
              <w:rPr>
                <w:rStyle w:val="73"/>
                <w:rFonts w:ascii="仿宋_GB2312" w:hAnsi="仿宋_GB2312" w:eastAsia="仿宋_GB2312" w:cs="仿宋_GB2312"/>
                <w:b/>
                <w:bCs/>
                <w:color w:val="auto"/>
                <w:sz w:val="24"/>
                <w:szCs w:val="24"/>
                <w:highlight w:val="none"/>
                <w:lang w:val="en-US" w:eastAsia="zh-CN" w:bidi="ar"/>
              </w:rPr>
            </w:pPr>
            <w:r>
              <w:rPr>
                <w:rStyle w:val="73"/>
                <w:rFonts w:ascii="仿宋_GB2312" w:hAnsi="仿宋_GB2312" w:cs="仿宋_GB2312"/>
                <w:b/>
                <w:bCs/>
                <w:color w:val="auto"/>
                <w:sz w:val="24"/>
                <w:szCs w:val="24"/>
                <w:highlight w:val="none"/>
                <w:lang w:val="en-US" w:eastAsia="zh-CN" w:bidi="ar"/>
              </w:rPr>
              <w:t>（</w:t>
            </w:r>
            <w:r>
              <w:rPr>
                <w:rStyle w:val="77"/>
                <w:rFonts w:hint="eastAsia" w:eastAsia="仿宋_GB2312" w:cs="仿宋_GB2312"/>
                <w:b/>
                <w:bCs/>
                <w:color w:val="auto"/>
                <w:sz w:val="24"/>
                <w:szCs w:val="24"/>
                <w:highlight w:val="none"/>
                <w:lang w:val="en-US" w:eastAsia="zh-CN" w:bidi="ar"/>
              </w:rPr>
              <w:t>17</w:t>
            </w:r>
            <w:r>
              <w:rPr>
                <w:rStyle w:val="77"/>
                <w:rFonts w:hint="eastAsia" w:cs="仿宋_GB2312"/>
                <w:b/>
                <w:bCs/>
                <w:color w:val="auto"/>
                <w:sz w:val="24"/>
                <w:szCs w:val="24"/>
                <w:highlight w:val="none"/>
                <w:lang w:val="en-US" w:eastAsia="zh-CN" w:bidi="ar"/>
              </w:rPr>
              <w:t>）</w:t>
            </w:r>
          </w:p>
          <w:p w14:paraId="5A4FCCCD">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Style w:val="73"/>
                <w:rFonts w:ascii="仿宋_GB2312" w:hAnsi="仿宋_GB2312" w:eastAsia="仿宋_GB2312" w:cs="仿宋_GB2312"/>
                <w:b/>
                <w:bCs/>
                <w:color w:val="auto"/>
                <w:sz w:val="24"/>
                <w:szCs w:val="24"/>
                <w:highlight w:val="none"/>
                <w:lang w:val="en-US" w:eastAsia="zh-CN" w:bidi="ar"/>
              </w:rPr>
              <w:t>集中度</w:t>
            </w:r>
          </w:p>
        </w:tc>
        <w:tc>
          <w:tcPr>
            <w:tcW w:w="504" w:type="dxa"/>
            <w:noWrap w:val="0"/>
            <w:vAlign w:val="center"/>
          </w:tcPr>
          <w:p w14:paraId="33E08241">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Fonts w:hint="eastAsia" w:ascii="Times New Roman" w:hAnsi="Times New Roman" w:eastAsia="仿宋_GB2312" w:cs="仿宋_GB2312"/>
                <w:b/>
                <w:bCs/>
                <w:i w:val="0"/>
                <w:iCs w:val="0"/>
                <w:color w:val="auto"/>
                <w:kern w:val="0"/>
                <w:sz w:val="24"/>
                <w:szCs w:val="24"/>
                <w:highlight w:val="none"/>
                <w:u w:val="none"/>
                <w:lang w:val="en-US" w:eastAsia="zh-CN" w:bidi="ar"/>
              </w:rPr>
              <w:t>5</w:t>
            </w:r>
          </w:p>
        </w:tc>
        <w:tc>
          <w:tcPr>
            <w:tcW w:w="8992" w:type="dxa"/>
            <w:noWrap w:val="0"/>
            <w:vAlign w:val="center"/>
          </w:tcPr>
          <w:p w14:paraId="2460C390">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考评年度受让同一债务人的应收账款不超过风险资产总额的</w:t>
            </w:r>
            <w:r>
              <w:rPr>
                <w:rFonts w:hint="eastAsia" w:ascii="Times New Roman" w:hAnsi="Times New Roman" w:eastAsia="仿宋_GB2312" w:cs="仿宋_GB2312"/>
                <w:color w:val="auto"/>
                <w:kern w:val="0"/>
                <w:sz w:val="21"/>
                <w:szCs w:val="21"/>
                <w:highlight w:val="none"/>
                <w:lang w:val="en-US" w:eastAsia="zh-CN" w:bidi="ar"/>
              </w:rPr>
              <w:t>50</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的，得</w:t>
            </w:r>
            <w:r>
              <w:rPr>
                <w:rFonts w:hint="eastAsia" w:ascii="Times New Roman" w:hAnsi="Times New Roman" w:eastAsia="仿宋_GB2312" w:cs="仿宋_GB2312"/>
                <w:color w:val="auto"/>
                <w:kern w:val="0"/>
                <w:sz w:val="21"/>
                <w:szCs w:val="21"/>
                <w:highlight w:val="none"/>
                <w:lang w:val="en-US" w:eastAsia="zh-CN" w:bidi="ar"/>
              </w:rPr>
              <w:t>5</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color w:val="auto"/>
                <w:kern w:val="0"/>
                <w:sz w:val="21"/>
                <w:szCs w:val="21"/>
                <w:highlight w:val="none"/>
                <w:lang w:val="en-US" w:eastAsia="zh-CN" w:bidi="ar"/>
              </w:rPr>
              <w:br w:type="textWrapping"/>
            </w:r>
            <w:r>
              <w:rPr>
                <w:rFonts w:hint="eastAsia" w:ascii="Times New Roman" w:hAnsi="Times New Roman" w:eastAsia="仿宋_GB2312" w:cs="仿宋_GB2312"/>
                <w:color w:val="auto"/>
                <w:kern w:val="0"/>
                <w:sz w:val="21"/>
                <w:szCs w:val="21"/>
                <w:highlight w:val="none"/>
                <w:lang w:val="en-US" w:eastAsia="zh-CN" w:bidi="ar"/>
              </w:rPr>
              <w:t>2</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考评年度受让同一债务人的应收账款超过风险资产总额的</w:t>
            </w:r>
            <w:r>
              <w:rPr>
                <w:rFonts w:hint="eastAsia" w:ascii="Times New Roman" w:hAnsi="Times New Roman" w:eastAsia="仿宋_GB2312" w:cs="仿宋_GB2312"/>
                <w:color w:val="auto"/>
                <w:kern w:val="0"/>
                <w:sz w:val="21"/>
                <w:szCs w:val="21"/>
                <w:highlight w:val="none"/>
                <w:lang w:val="en-US" w:eastAsia="zh-CN" w:bidi="ar"/>
              </w:rPr>
              <w:t>50</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的，得</w:t>
            </w:r>
            <w:r>
              <w:rPr>
                <w:rFonts w:hint="eastAsia" w:ascii="Times New Roman" w:hAnsi="Times New Roman" w:eastAsia="仿宋_GB2312" w:cs="仿宋_GB2312"/>
                <w:color w:val="auto"/>
                <w:kern w:val="0"/>
                <w:sz w:val="21"/>
                <w:szCs w:val="21"/>
                <w:highlight w:val="none"/>
                <w:lang w:val="en-US" w:eastAsia="zh-CN" w:bidi="ar"/>
              </w:rPr>
              <w:t>0</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color w:val="auto"/>
                <w:kern w:val="0"/>
                <w:sz w:val="21"/>
                <w:szCs w:val="21"/>
                <w:highlight w:val="none"/>
                <w:lang w:val="en-US" w:eastAsia="zh-CN" w:bidi="ar"/>
              </w:rPr>
              <w:br w:type="textWrapping"/>
            </w:r>
            <w:r>
              <w:rPr>
                <w:rFonts w:ascii="仿宋_GB2312" w:hAnsi="仿宋_GB2312" w:eastAsia="仿宋_GB2312" w:cs="仿宋_GB2312"/>
                <w:color w:val="auto"/>
                <w:kern w:val="0"/>
                <w:sz w:val="21"/>
                <w:szCs w:val="21"/>
                <w:highlight w:val="none"/>
                <w:lang w:val="en-US" w:eastAsia="zh-CN" w:bidi="ar"/>
              </w:rPr>
              <w:t>（考评年度内未发放保理融资款的，该项得</w:t>
            </w:r>
            <w:r>
              <w:rPr>
                <w:rFonts w:hint="eastAsia" w:ascii="Times New Roman" w:hAnsi="Times New Roman" w:eastAsia="仿宋_GB2312" w:cs="仿宋_GB2312"/>
                <w:color w:val="auto"/>
                <w:kern w:val="0"/>
                <w:sz w:val="21"/>
                <w:szCs w:val="21"/>
                <w:highlight w:val="none"/>
                <w:lang w:val="en-US" w:eastAsia="zh-CN" w:bidi="ar"/>
              </w:rPr>
              <w:t>0</w:t>
            </w:r>
            <w:r>
              <w:rPr>
                <w:rFonts w:ascii="仿宋_GB2312" w:hAnsi="仿宋_GB2312" w:eastAsia="仿宋_GB2312" w:cs="仿宋_GB2312"/>
                <w:color w:val="auto"/>
                <w:kern w:val="0"/>
                <w:sz w:val="21"/>
                <w:szCs w:val="21"/>
                <w:highlight w:val="none"/>
                <w:lang w:val="en-US" w:eastAsia="zh-CN" w:bidi="ar"/>
              </w:rPr>
              <w:t>分。）</w:t>
            </w:r>
          </w:p>
        </w:tc>
        <w:tc>
          <w:tcPr>
            <w:tcW w:w="705" w:type="dxa"/>
            <w:noWrap w:val="0"/>
            <w:vAlign w:val="top"/>
          </w:tcPr>
          <w:p w14:paraId="6E38EFFD">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1AFBB15C">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3606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3" w:type="dxa"/>
            <w:vMerge w:val="continue"/>
            <w:noWrap w:val="0"/>
            <w:vAlign w:val="top"/>
          </w:tcPr>
          <w:p w14:paraId="5692718A">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方正仿宋_GBK" w:cs="Times New Roman"/>
                <w:color w:val="auto"/>
                <w:sz w:val="28"/>
                <w:szCs w:val="28"/>
                <w:highlight w:val="none"/>
              </w:rPr>
            </w:pPr>
          </w:p>
        </w:tc>
        <w:tc>
          <w:tcPr>
            <w:tcW w:w="1536" w:type="dxa"/>
            <w:noWrap w:val="0"/>
            <w:vAlign w:val="center"/>
          </w:tcPr>
          <w:p w14:paraId="563FE0F8">
            <w:pPr>
              <w:keepNext w:val="0"/>
              <w:keepLines w:val="0"/>
              <w:pageBreakBefore w:val="0"/>
              <w:widowControl/>
              <w:suppressLineNumbers w:val="0"/>
              <w:kinsoku/>
              <w:wordWrap/>
              <w:overflowPunct/>
              <w:topLinePunct w:val="0"/>
              <w:bidi w:val="0"/>
              <w:adjustRightInd/>
              <w:snapToGrid/>
              <w:spacing w:line="320" w:lineRule="exact"/>
              <w:jc w:val="center"/>
              <w:textAlignment w:val="center"/>
              <w:rPr>
                <w:rStyle w:val="73"/>
                <w:rFonts w:ascii="仿宋_GB2312" w:hAnsi="仿宋_GB2312" w:eastAsia="仿宋_GB2312" w:cs="仿宋_GB2312"/>
                <w:b/>
                <w:bCs/>
                <w:color w:val="auto"/>
                <w:sz w:val="24"/>
                <w:szCs w:val="24"/>
                <w:highlight w:val="none"/>
                <w:lang w:val="en-US" w:eastAsia="zh-CN" w:bidi="ar"/>
              </w:rPr>
            </w:pPr>
            <w:r>
              <w:rPr>
                <w:rStyle w:val="73"/>
                <w:rFonts w:ascii="仿宋_GB2312" w:hAnsi="仿宋_GB2312" w:cs="仿宋_GB2312"/>
                <w:b/>
                <w:bCs/>
                <w:color w:val="auto"/>
                <w:sz w:val="24"/>
                <w:szCs w:val="24"/>
                <w:highlight w:val="none"/>
                <w:lang w:val="en-US" w:eastAsia="zh-CN" w:bidi="ar"/>
              </w:rPr>
              <w:t>（</w:t>
            </w:r>
            <w:r>
              <w:rPr>
                <w:rStyle w:val="77"/>
                <w:rFonts w:hint="eastAsia" w:eastAsia="仿宋_GB2312" w:cs="仿宋_GB2312"/>
                <w:b/>
                <w:bCs/>
                <w:color w:val="auto"/>
                <w:sz w:val="24"/>
                <w:szCs w:val="24"/>
                <w:highlight w:val="none"/>
                <w:lang w:val="en-US" w:eastAsia="zh-CN" w:bidi="ar"/>
              </w:rPr>
              <w:t>18</w:t>
            </w:r>
            <w:r>
              <w:rPr>
                <w:rStyle w:val="77"/>
                <w:rFonts w:hint="eastAsia" w:cs="仿宋_GB2312"/>
                <w:b/>
                <w:bCs/>
                <w:color w:val="auto"/>
                <w:sz w:val="24"/>
                <w:szCs w:val="24"/>
                <w:highlight w:val="none"/>
                <w:lang w:val="en-US" w:eastAsia="zh-CN" w:bidi="ar"/>
              </w:rPr>
              <w:t>）</w:t>
            </w:r>
          </w:p>
          <w:p w14:paraId="75329836">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Style w:val="73"/>
                <w:rFonts w:ascii="仿宋_GB2312" w:hAnsi="仿宋_GB2312" w:eastAsia="仿宋_GB2312" w:cs="仿宋_GB2312"/>
                <w:b/>
                <w:bCs/>
                <w:color w:val="auto"/>
                <w:sz w:val="24"/>
                <w:szCs w:val="24"/>
                <w:highlight w:val="none"/>
                <w:lang w:val="en-US" w:eastAsia="zh-CN" w:bidi="ar"/>
              </w:rPr>
              <w:t>关联度</w:t>
            </w:r>
          </w:p>
        </w:tc>
        <w:tc>
          <w:tcPr>
            <w:tcW w:w="504" w:type="dxa"/>
            <w:noWrap w:val="0"/>
            <w:vAlign w:val="center"/>
          </w:tcPr>
          <w:p w14:paraId="6659EB08">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Fonts w:hint="eastAsia" w:ascii="Times New Roman" w:hAnsi="Times New Roman" w:eastAsia="仿宋_GB2312" w:cs="仿宋_GB2312"/>
                <w:b/>
                <w:bCs/>
                <w:i w:val="0"/>
                <w:iCs w:val="0"/>
                <w:color w:val="auto"/>
                <w:kern w:val="0"/>
                <w:sz w:val="24"/>
                <w:szCs w:val="24"/>
                <w:highlight w:val="none"/>
                <w:u w:val="none"/>
                <w:lang w:val="en-US" w:eastAsia="zh-CN" w:bidi="ar"/>
              </w:rPr>
              <w:t>5</w:t>
            </w:r>
          </w:p>
        </w:tc>
        <w:tc>
          <w:tcPr>
            <w:tcW w:w="8992" w:type="dxa"/>
            <w:noWrap w:val="0"/>
            <w:vAlign w:val="center"/>
          </w:tcPr>
          <w:p w14:paraId="5E5A9D3F">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考评年度受让关联企业为债务人的应收账款不超过风险资产总额的</w:t>
            </w:r>
            <w:r>
              <w:rPr>
                <w:rFonts w:hint="eastAsia" w:ascii="Times New Roman" w:hAnsi="Times New Roman" w:eastAsia="仿宋_GB2312" w:cs="仿宋_GB2312"/>
                <w:color w:val="auto"/>
                <w:kern w:val="0"/>
                <w:sz w:val="21"/>
                <w:szCs w:val="21"/>
                <w:highlight w:val="none"/>
                <w:lang w:val="en-US" w:eastAsia="zh-CN" w:bidi="ar"/>
              </w:rPr>
              <w:t>40</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的，得</w:t>
            </w:r>
            <w:r>
              <w:rPr>
                <w:rFonts w:hint="eastAsia" w:ascii="Times New Roman" w:hAnsi="Times New Roman" w:eastAsia="仿宋_GB2312" w:cs="仿宋_GB2312"/>
                <w:color w:val="auto"/>
                <w:kern w:val="0"/>
                <w:sz w:val="21"/>
                <w:szCs w:val="21"/>
                <w:highlight w:val="none"/>
                <w:lang w:val="en-US" w:eastAsia="zh-CN" w:bidi="ar"/>
              </w:rPr>
              <w:t>5</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color w:val="auto"/>
                <w:kern w:val="0"/>
                <w:sz w:val="21"/>
                <w:szCs w:val="21"/>
                <w:highlight w:val="none"/>
                <w:lang w:val="en-US" w:eastAsia="zh-CN" w:bidi="ar"/>
              </w:rPr>
              <w:br w:type="textWrapping"/>
            </w:r>
            <w:r>
              <w:rPr>
                <w:rFonts w:hint="eastAsia" w:ascii="Times New Roman" w:hAnsi="Times New Roman" w:eastAsia="仿宋_GB2312" w:cs="仿宋_GB2312"/>
                <w:color w:val="auto"/>
                <w:kern w:val="0"/>
                <w:sz w:val="21"/>
                <w:szCs w:val="21"/>
                <w:highlight w:val="none"/>
                <w:lang w:val="en-US" w:eastAsia="zh-CN" w:bidi="ar"/>
              </w:rPr>
              <w:t>2</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考评年度受让关联企业为债务人的应收账款超过风险资产总额的</w:t>
            </w:r>
            <w:r>
              <w:rPr>
                <w:rFonts w:hint="eastAsia" w:ascii="Times New Roman" w:hAnsi="Times New Roman" w:eastAsia="仿宋_GB2312" w:cs="仿宋_GB2312"/>
                <w:color w:val="auto"/>
                <w:kern w:val="0"/>
                <w:sz w:val="21"/>
                <w:szCs w:val="21"/>
                <w:highlight w:val="none"/>
                <w:lang w:val="en-US" w:eastAsia="zh-CN" w:bidi="ar"/>
              </w:rPr>
              <w:t>40</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的，得</w:t>
            </w:r>
            <w:r>
              <w:rPr>
                <w:rFonts w:hint="eastAsia" w:ascii="Times New Roman" w:hAnsi="Times New Roman" w:eastAsia="仿宋_GB2312" w:cs="仿宋_GB2312"/>
                <w:color w:val="auto"/>
                <w:kern w:val="0"/>
                <w:sz w:val="21"/>
                <w:szCs w:val="21"/>
                <w:highlight w:val="none"/>
                <w:lang w:val="en-US" w:eastAsia="zh-CN" w:bidi="ar"/>
              </w:rPr>
              <w:t>0</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color w:val="auto"/>
                <w:kern w:val="0"/>
                <w:sz w:val="21"/>
                <w:szCs w:val="21"/>
                <w:highlight w:val="none"/>
                <w:lang w:val="en-US" w:eastAsia="zh-CN" w:bidi="ar"/>
              </w:rPr>
              <w:br w:type="textWrapping"/>
            </w:r>
            <w:r>
              <w:rPr>
                <w:rFonts w:ascii="仿宋_GB2312" w:hAnsi="仿宋_GB2312" w:eastAsia="仿宋_GB2312" w:cs="仿宋_GB2312"/>
                <w:color w:val="auto"/>
                <w:kern w:val="0"/>
                <w:sz w:val="21"/>
                <w:szCs w:val="21"/>
                <w:highlight w:val="none"/>
                <w:lang w:val="en-US" w:eastAsia="zh-CN" w:bidi="ar"/>
              </w:rPr>
              <w:t>（考评年度内未发放保理融资款的，该项得</w:t>
            </w:r>
            <w:r>
              <w:rPr>
                <w:rFonts w:hint="eastAsia" w:ascii="Times New Roman" w:hAnsi="Times New Roman" w:eastAsia="仿宋_GB2312" w:cs="仿宋_GB2312"/>
                <w:color w:val="auto"/>
                <w:kern w:val="0"/>
                <w:sz w:val="21"/>
                <w:szCs w:val="21"/>
                <w:highlight w:val="none"/>
                <w:lang w:val="en-US" w:eastAsia="zh-CN" w:bidi="ar"/>
              </w:rPr>
              <w:t>0</w:t>
            </w:r>
            <w:r>
              <w:rPr>
                <w:rFonts w:ascii="仿宋_GB2312" w:hAnsi="仿宋_GB2312" w:eastAsia="仿宋_GB2312" w:cs="仿宋_GB2312"/>
                <w:color w:val="auto"/>
                <w:kern w:val="0"/>
                <w:sz w:val="21"/>
                <w:szCs w:val="21"/>
                <w:highlight w:val="none"/>
                <w:lang w:val="en-US" w:eastAsia="zh-CN" w:bidi="ar"/>
              </w:rPr>
              <w:t>分。）</w:t>
            </w:r>
          </w:p>
        </w:tc>
        <w:tc>
          <w:tcPr>
            <w:tcW w:w="705" w:type="dxa"/>
            <w:noWrap w:val="0"/>
            <w:vAlign w:val="top"/>
          </w:tcPr>
          <w:p w14:paraId="1A7149F5">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77F1B1AC">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0F3C8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3" w:type="dxa"/>
            <w:vMerge w:val="continue"/>
            <w:noWrap w:val="0"/>
            <w:vAlign w:val="top"/>
          </w:tcPr>
          <w:p w14:paraId="5459191B">
            <w:pPr>
              <w:pStyle w:val="2"/>
              <w:jc w:val="center"/>
              <w:rPr>
                <w:rFonts w:hint="default" w:ascii="Times New Roman" w:hAnsi="Times New Roman" w:cs="Times New Roman"/>
                <w:color w:val="auto"/>
                <w:highlight w:val="none"/>
              </w:rPr>
            </w:pPr>
          </w:p>
        </w:tc>
        <w:tc>
          <w:tcPr>
            <w:tcW w:w="1536" w:type="dxa"/>
            <w:noWrap w:val="0"/>
            <w:vAlign w:val="center"/>
          </w:tcPr>
          <w:p w14:paraId="1E92BB18">
            <w:pPr>
              <w:keepNext w:val="0"/>
              <w:keepLines w:val="0"/>
              <w:pageBreakBefore w:val="0"/>
              <w:widowControl/>
              <w:suppressLineNumbers w:val="0"/>
              <w:kinsoku/>
              <w:wordWrap/>
              <w:overflowPunct/>
              <w:topLinePunct w:val="0"/>
              <w:bidi w:val="0"/>
              <w:adjustRightInd/>
              <w:snapToGrid/>
              <w:spacing w:line="320" w:lineRule="exact"/>
              <w:jc w:val="center"/>
              <w:textAlignment w:val="center"/>
              <w:rPr>
                <w:rStyle w:val="73"/>
                <w:rFonts w:ascii="仿宋_GB2312" w:hAnsi="仿宋_GB2312" w:eastAsia="仿宋_GB2312" w:cs="仿宋_GB2312"/>
                <w:b/>
                <w:bCs/>
                <w:color w:val="auto"/>
                <w:sz w:val="24"/>
                <w:szCs w:val="24"/>
                <w:highlight w:val="none"/>
                <w:lang w:val="en-US" w:eastAsia="zh-CN" w:bidi="ar"/>
              </w:rPr>
            </w:pPr>
            <w:r>
              <w:rPr>
                <w:rStyle w:val="73"/>
                <w:rFonts w:ascii="仿宋_GB2312" w:hAnsi="仿宋_GB2312" w:cs="仿宋_GB2312"/>
                <w:b/>
                <w:bCs/>
                <w:color w:val="auto"/>
                <w:sz w:val="24"/>
                <w:szCs w:val="24"/>
                <w:highlight w:val="none"/>
                <w:lang w:val="en-US" w:eastAsia="zh-CN" w:bidi="ar"/>
              </w:rPr>
              <w:t>（</w:t>
            </w:r>
            <w:r>
              <w:rPr>
                <w:rStyle w:val="77"/>
                <w:rFonts w:hint="eastAsia" w:eastAsia="仿宋_GB2312" w:cs="仿宋_GB2312"/>
                <w:b/>
                <w:bCs/>
                <w:color w:val="auto"/>
                <w:sz w:val="24"/>
                <w:szCs w:val="24"/>
                <w:highlight w:val="none"/>
                <w:lang w:val="en-US" w:eastAsia="zh-CN" w:bidi="ar"/>
              </w:rPr>
              <w:t>19</w:t>
            </w:r>
            <w:r>
              <w:rPr>
                <w:rStyle w:val="77"/>
                <w:rFonts w:hint="eastAsia" w:cs="仿宋_GB2312"/>
                <w:b/>
                <w:bCs/>
                <w:color w:val="auto"/>
                <w:sz w:val="24"/>
                <w:szCs w:val="24"/>
                <w:highlight w:val="none"/>
                <w:lang w:val="en-US" w:eastAsia="zh-CN" w:bidi="ar"/>
              </w:rPr>
              <w:t>）</w:t>
            </w:r>
          </w:p>
          <w:p w14:paraId="13450CA5">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Style w:val="76"/>
                <w:rFonts w:ascii="仿宋_GB2312" w:hAnsi="仿宋_GB2312" w:eastAsia="仿宋_GB2312" w:cs="仿宋_GB2312"/>
                <w:b/>
                <w:bCs/>
                <w:color w:val="auto"/>
                <w:sz w:val="24"/>
                <w:szCs w:val="24"/>
                <w:highlight w:val="none"/>
                <w:lang w:val="en-US" w:eastAsia="zh-CN" w:bidi="ar"/>
              </w:rPr>
              <w:t>经营场所</w:t>
            </w:r>
          </w:p>
        </w:tc>
        <w:tc>
          <w:tcPr>
            <w:tcW w:w="504" w:type="dxa"/>
            <w:noWrap w:val="0"/>
            <w:vAlign w:val="center"/>
          </w:tcPr>
          <w:p w14:paraId="561C1E2C">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Fonts w:hint="eastAsia" w:ascii="Times New Roman" w:hAnsi="Times New Roman" w:eastAsia="仿宋_GB2312" w:cs="仿宋_GB2312"/>
                <w:b/>
                <w:bCs/>
                <w:i w:val="0"/>
                <w:iCs w:val="0"/>
                <w:color w:val="auto"/>
                <w:kern w:val="0"/>
                <w:sz w:val="24"/>
                <w:szCs w:val="24"/>
                <w:highlight w:val="none"/>
                <w:u w:val="none"/>
                <w:lang w:val="en-US" w:eastAsia="zh-CN" w:bidi="ar"/>
              </w:rPr>
              <w:t>2</w:t>
            </w:r>
          </w:p>
        </w:tc>
        <w:tc>
          <w:tcPr>
            <w:tcW w:w="8992" w:type="dxa"/>
            <w:noWrap w:val="0"/>
            <w:vAlign w:val="center"/>
          </w:tcPr>
          <w:p w14:paraId="731A2390">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ascii="仿宋_GB2312" w:hAnsi="仿宋_GB2312" w:eastAsia="仿宋_GB2312" w:cs="仿宋_GB2312"/>
                <w:color w:val="auto"/>
                <w:kern w:val="0"/>
                <w:sz w:val="21"/>
                <w:szCs w:val="21"/>
                <w:highlight w:val="none"/>
                <w:lang w:val="en-US" w:eastAsia="zh-CN" w:bidi="ar"/>
              </w:rPr>
              <w:t>注册地址与实际经营场所相符一致，</w:t>
            </w:r>
            <w:r>
              <w:rPr>
                <w:rFonts w:ascii="Times New Roman" w:hAnsi="Times New Roman" w:eastAsia="仿宋_GB2312" w:cs="Times New Roman"/>
                <w:color w:val="auto"/>
                <w:kern w:val="0"/>
                <w:sz w:val="21"/>
                <w:szCs w:val="21"/>
                <w:highlight w:val="none"/>
                <w:lang w:val="en-US" w:eastAsia="zh-CN" w:bidi="ar"/>
              </w:rPr>
              <w:t>得</w:t>
            </w:r>
            <w:r>
              <w:rPr>
                <w:rFonts w:hint="default" w:ascii="Times New Roman" w:hAnsi="Times New Roman" w:eastAsia="仿宋_GB2312" w:cs="Times New Roman"/>
                <w:color w:val="auto"/>
                <w:kern w:val="0"/>
                <w:sz w:val="21"/>
                <w:szCs w:val="21"/>
                <w:highlight w:val="none"/>
                <w:lang w:val="en-US" w:eastAsia="zh-CN" w:bidi="ar"/>
              </w:rPr>
              <w:t>2</w:t>
            </w:r>
            <w:r>
              <w:rPr>
                <w:rFonts w:ascii="Times New Roman" w:hAnsi="Times New Roman" w:eastAsia="仿宋_GB2312" w:cs="Times New Roman"/>
                <w:color w:val="auto"/>
                <w:kern w:val="0"/>
                <w:sz w:val="21"/>
                <w:szCs w:val="21"/>
                <w:highlight w:val="none"/>
                <w:lang w:val="en-US" w:eastAsia="zh-CN" w:bidi="ar"/>
              </w:rPr>
              <w:t>分；</w:t>
            </w:r>
            <w:r>
              <w:rPr>
                <w:rFonts w:hint="default" w:ascii="Times New Roman" w:hAnsi="Times New Roman" w:eastAsia="仿宋_GB2312" w:cs="Times New Roman"/>
                <w:color w:val="auto"/>
                <w:kern w:val="0"/>
                <w:sz w:val="21"/>
                <w:szCs w:val="21"/>
                <w:highlight w:val="none"/>
                <w:lang w:val="en-US" w:eastAsia="zh-CN" w:bidi="ar"/>
              </w:rPr>
              <w:t>否则得0分。</w:t>
            </w:r>
          </w:p>
        </w:tc>
        <w:tc>
          <w:tcPr>
            <w:tcW w:w="705" w:type="dxa"/>
            <w:noWrap w:val="0"/>
            <w:vAlign w:val="top"/>
          </w:tcPr>
          <w:p w14:paraId="1F55E8E4">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07ED1F5A">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3245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3" w:type="dxa"/>
            <w:vMerge w:val="continue"/>
            <w:noWrap w:val="0"/>
            <w:vAlign w:val="top"/>
          </w:tcPr>
          <w:p w14:paraId="18915C80">
            <w:pPr>
              <w:pStyle w:val="2"/>
              <w:jc w:val="center"/>
              <w:rPr>
                <w:rFonts w:hint="default" w:ascii="Times New Roman" w:hAnsi="Times New Roman" w:cs="Times New Roman"/>
                <w:color w:val="auto"/>
                <w:highlight w:val="none"/>
              </w:rPr>
            </w:pPr>
          </w:p>
        </w:tc>
        <w:tc>
          <w:tcPr>
            <w:tcW w:w="1536" w:type="dxa"/>
            <w:noWrap w:val="0"/>
            <w:vAlign w:val="center"/>
          </w:tcPr>
          <w:p w14:paraId="067D6B69">
            <w:pPr>
              <w:keepNext w:val="0"/>
              <w:keepLines w:val="0"/>
              <w:pageBreakBefore w:val="0"/>
              <w:widowControl/>
              <w:suppressLineNumbers w:val="0"/>
              <w:kinsoku/>
              <w:wordWrap/>
              <w:overflowPunct/>
              <w:topLinePunct w:val="0"/>
              <w:bidi w:val="0"/>
              <w:adjustRightInd/>
              <w:snapToGrid/>
              <w:spacing w:line="320" w:lineRule="exact"/>
              <w:jc w:val="center"/>
              <w:textAlignment w:val="center"/>
              <w:rPr>
                <w:rStyle w:val="73"/>
                <w:rFonts w:ascii="仿宋_GB2312" w:hAnsi="仿宋_GB2312" w:eastAsia="仿宋_GB2312" w:cs="仿宋_GB2312"/>
                <w:b/>
                <w:bCs/>
                <w:color w:val="auto"/>
                <w:sz w:val="24"/>
                <w:szCs w:val="24"/>
                <w:highlight w:val="none"/>
                <w:lang w:val="en-US" w:eastAsia="zh-CN" w:bidi="ar"/>
              </w:rPr>
            </w:pPr>
            <w:r>
              <w:rPr>
                <w:rStyle w:val="73"/>
                <w:rFonts w:ascii="仿宋_GB2312" w:hAnsi="仿宋_GB2312" w:cs="仿宋_GB2312"/>
                <w:b/>
                <w:bCs/>
                <w:color w:val="auto"/>
                <w:sz w:val="24"/>
                <w:szCs w:val="24"/>
                <w:highlight w:val="none"/>
                <w:lang w:val="en-US" w:eastAsia="zh-CN" w:bidi="ar"/>
              </w:rPr>
              <w:t>（</w:t>
            </w:r>
            <w:r>
              <w:rPr>
                <w:rFonts w:hint="eastAsia" w:eastAsia="仿宋_GB2312" w:cs="仿宋_GB2312"/>
                <w:b/>
                <w:bCs/>
                <w:i w:val="0"/>
                <w:iCs w:val="0"/>
                <w:color w:val="auto"/>
                <w:kern w:val="0"/>
                <w:sz w:val="24"/>
                <w:szCs w:val="24"/>
                <w:highlight w:val="none"/>
                <w:u w:val="none"/>
                <w:lang w:val="en-US" w:eastAsia="zh-CN" w:bidi="ar"/>
              </w:rPr>
              <w:t>20</w:t>
            </w:r>
            <w:r>
              <w:rPr>
                <w:rFonts w:hint="eastAsia" w:cs="仿宋_GB2312"/>
                <w:b/>
                <w:bCs/>
                <w:i w:val="0"/>
                <w:iCs w:val="0"/>
                <w:color w:val="auto"/>
                <w:kern w:val="0"/>
                <w:sz w:val="24"/>
                <w:szCs w:val="24"/>
                <w:highlight w:val="none"/>
                <w:u w:val="none"/>
                <w:lang w:val="en-US" w:eastAsia="zh-CN" w:bidi="ar"/>
              </w:rPr>
              <w:t>）</w:t>
            </w:r>
          </w:p>
          <w:p w14:paraId="2E6F0B1F">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Style w:val="73"/>
                <w:rFonts w:ascii="仿宋_GB2312" w:hAnsi="仿宋_GB2312" w:eastAsia="仿宋_GB2312" w:cs="仿宋_GB2312"/>
                <w:b/>
                <w:bCs/>
                <w:color w:val="auto"/>
                <w:sz w:val="24"/>
                <w:szCs w:val="24"/>
                <w:highlight w:val="none"/>
                <w:lang w:val="en-US" w:eastAsia="zh-CN" w:bidi="ar"/>
              </w:rPr>
              <w:t>投诉</w:t>
            </w:r>
            <w:r>
              <w:rPr>
                <w:rStyle w:val="73"/>
                <w:rFonts w:hint="eastAsia" w:ascii="仿宋_GB2312" w:hAnsi="仿宋_GB2312" w:eastAsia="仿宋_GB2312" w:cs="仿宋_GB2312"/>
                <w:b/>
                <w:bCs/>
                <w:color w:val="auto"/>
                <w:sz w:val="24"/>
                <w:szCs w:val="24"/>
                <w:highlight w:val="none"/>
                <w:lang w:val="en-US" w:eastAsia="zh-CN" w:bidi="ar"/>
              </w:rPr>
              <w:t>处理</w:t>
            </w:r>
          </w:p>
        </w:tc>
        <w:tc>
          <w:tcPr>
            <w:tcW w:w="504" w:type="dxa"/>
            <w:noWrap w:val="0"/>
            <w:vAlign w:val="center"/>
          </w:tcPr>
          <w:p w14:paraId="456C8493">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Fonts w:hint="eastAsia" w:ascii="Times New Roman" w:hAnsi="Times New Roman" w:eastAsia="仿宋_GB2312" w:cs="仿宋_GB2312"/>
                <w:b/>
                <w:bCs/>
                <w:i w:val="0"/>
                <w:iCs w:val="0"/>
                <w:color w:val="auto"/>
                <w:kern w:val="0"/>
                <w:sz w:val="24"/>
                <w:szCs w:val="24"/>
                <w:highlight w:val="none"/>
                <w:u w:val="none"/>
                <w:lang w:val="en-US" w:eastAsia="zh-CN" w:bidi="ar"/>
              </w:rPr>
              <w:t>3</w:t>
            </w:r>
          </w:p>
        </w:tc>
        <w:tc>
          <w:tcPr>
            <w:tcW w:w="8992" w:type="dxa"/>
            <w:noWrap w:val="0"/>
            <w:vAlign w:val="center"/>
          </w:tcPr>
          <w:p w14:paraId="564899CA">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建立方便快捷的投诉受理及争议处理机制，完善的投诉处理程序，考评年度内未发生有责投诉至有关部门的，得</w:t>
            </w:r>
            <w:r>
              <w:rPr>
                <w:rFonts w:hint="eastAsia" w:ascii="Times New Roman" w:hAnsi="Times New Roman" w:eastAsia="仿宋_GB2312" w:cs="仿宋_GB2312"/>
                <w:color w:val="auto"/>
                <w:kern w:val="0"/>
                <w:sz w:val="21"/>
                <w:szCs w:val="21"/>
                <w:highlight w:val="none"/>
                <w:lang w:val="en-US" w:eastAsia="zh-CN" w:bidi="ar"/>
              </w:rPr>
              <w:t>3</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color w:val="auto"/>
                <w:kern w:val="0"/>
                <w:sz w:val="21"/>
                <w:szCs w:val="21"/>
                <w:highlight w:val="none"/>
                <w:lang w:val="en-US" w:eastAsia="zh-CN" w:bidi="ar"/>
              </w:rPr>
              <w:br w:type="textWrapping"/>
            </w:r>
            <w:r>
              <w:rPr>
                <w:rFonts w:hint="eastAsia" w:ascii="Times New Roman" w:hAnsi="Times New Roman" w:eastAsia="仿宋_GB2312" w:cs="仿宋_GB2312"/>
                <w:color w:val="auto"/>
                <w:kern w:val="0"/>
                <w:sz w:val="21"/>
                <w:szCs w:val="21"/>
                <w:highlight w:val="none"/>
                <w:lang w:val="en-US" w:eastAsia="zh-CN" w:bidi="ar"/>
              </w:rPr>
              <w:t>2</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建立较为高效的投诉受理及争议处理机制，较为完善的投诉处理程序，能较为快速妥善处理投诉的，得</w:t>
            </w:r>
            <w:r>
              <w:rPr>
                <w:rFonts w:hint="eastAsia" w:ascii="Times New Roman" w:hAnsi="Times New Roman" w:eastAsia="仿宋_GB2312" w:cs="仿宋_GB2312"/>
                <w:color w:val="auto"/>
                <w:kern w:val="0"/>
                <w:sz w:val="21"/>
                <w:szCs w:val="21"/>
                <w:highlight w:val="none"/>
                <w:lang w:val="en-US" w:eastAsia="zh-CN" w:bidi="ar"/>
              </w:rPr>
              <w:t>1</w:t>
            </w:r>
            <w:r>
              <w:rPr>
                <w:rFonts w:hint="eastAsia" w:ascii="仿宋_GB2312" w:hAnsi="仿宋_GB2312" w:eastAsia="仿宋_GB2312" w:cs="仿宋_GB2312"/>
                <w:color w:val="auto"/>
                <w:kern w:val="0"/>
                <w:sz w:val="21"/>
                <w:szCs w:val="21"/>
                <w:highlight w:val="none"/>
                <w:lang w:val="en-US" w:eastAsia="zh-CN" w:bidi="ar"/>
              </w:rPr>
              <w:t>.</w:t>
            </w:r>
            <w:r>
              <w:rPr>
                <w:rFonts w:hint="eastAsia" w:ascii="Times New Roman" w:hAnsi="Times New Roman" w:eastAsia="仿宋_GB2312" w:cs="仿宋_GB2312"/>
                <w:color w:val="auto"/>
                <w:kern w:val="0"/>
                <w:sz w:val="21"/>
                <w:szCs w:val="21"/>
                <w:highlight w:val="none"/>
                <w:lang w:val="en-US" w:eastAsia="zh-CN" w:bidi="ar"/>
              </w:rPr>
              <w:t>5</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color w:val="auto"/>
                <w:kern w:val="0"/>
                <w:sz w:val="21"/>
                <w:szCs w:val="21"/>
                <w:highlight w:val="none"/>
                <w:lang w:val="en-US" w:eastAsia="zh-CN" w:bidi="ar"/>
              </w:rPr>
              <w:br w:type="textWrapping"/>
            </w:r>
            <w:r>
              <w:rPr>
                <w:rFonts w:hint="eastAsia" w:ascii="Times New Roman" w:hAnsi="Times New Roman" w:eastAsia="仿宋_GB2312" w:cs="仿宋_GB2312"/>
                <w:color w:val="auto"/>
                <w:kern w:val="0"/>
                <w:sz w:val="21"/>
                <w:szCs w:val="21"/>
                <w:highlight w:val="none"/>
                <w:lang w:val="en-US" w:eastAsia="zh-CN" w:bidi="ar"/>
              </w:rPr>
              <w:t>3</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未建立投诉受理及争议处理机制和投诉处理程序，不能及时妥善处理投诉的，得</w:t>
            </w:r>
            <w:r>
              <w:rPr>
                <w:rFonts w:hint="eastAsia" w:ascii="Times New Roman" w:hAnsi="Times New Roman" w:eastAsia="仿宋_GB2312" w:cs="仿宋_GB2312"/>
                <w:color w:val="auto"/>
                <w:kern w:val="0"/>
                <w:sz w:val="21"/>
                <w:szCs w:val="21"/>
                <w:highlight w:val="none"/>
                <w:lang w:val="en-US" w:eastAsia="zh-CN" w:bidi="ar"/>
              </w:rPr>
              <w:t>0</w:t>
            </w:r>
            <w:r>
              <w:rPr>
                <w:rFonts w:ascii="仿宋_GB2312" w:hAnsi="仿宋_GB2312" w:eastAsia="仿宋_GB2312" w:cs="仿宋_GB2312"/>
                <w:color w:val="auto"/>
                <w:kern w:val="0"/>
                <w:sz w:val="21"/>
                <w:szCs w:val="21"/>
                <w:highlight w:val="none"/>
                <w:lang w:val="en-US" w:eastAsia="zh-CN" w:bidi="ar"/>
              </w:rPr>
              <w:t>分。</w:t>
            </w:r>
          </w:p>
        </w:tc>
        <w:tc>
          <w:tcPr>
            <w:tcW w:w="705" w:type="dxa"/>
            <w:noWrap w:val="0"/>
            <w:vAlign w:val="top"/>
          </w:tcPr>
          <w:p w14:paraId="74D3282C">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20191D3F">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3B6A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3" w:type="dxa"/>
            <w:vMerge w:val="restart"/>
            <w:noWrap w:val="0"/>
            <w:vAlign w:val="center"/>
          </w:tcPr>
          <w:p w14:paraId="3CCC134D">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eastAsia"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lang w:val="en-US" w:eastAsia="zh-CN"/>
              </w:rPr>
              <w:t>三、</w:t>
            </w:r>
          </w:p>
          <w:p w14:paraId="115E726B">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eastAsia"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lang w:val="en-US" w:eastAsia="zh-CN"/>
              </w:rPr>
              <w:t>风险</w:t>
            </w:r>
          </w:p>
          <w:p w14:paraId="78BED055">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cs="Times New Roman"/>
                <w:color w:val="auto"/>
                <w:highlight w:val="none"/>
              </w:rPr>
            </w:pPr>
            <w:r>
              <w:rPr>
                <w:rFonts w:hint="eastAsia" w:ascii="Times New Roman" w:hAnsi="Times New Roman" w:eastAsia="黑体" w:cs="Times New Roman"/>
                <w:color w:val="auto"/>
                <w:sz w:val="28"/>
                <w:szCs w:val="28"/>
                <w:highlight w:val="none"/>
                <w:lang w:val="en-US" w:eastAsia="zh-CN"/>
              </w:rPr>
              <w:t>控制</w:t>
            </w:r>
            <w:r>
              <w:rPr>
                <w:rFonts w:hint="eastAsia" w:ascii="Times New Roman" w:hAnsi="Times New Roman" w:eastAsia="黑体" w:cs="Times New Roman"/>
                <w:color w:val="auto"/>
                <w:sz w:val="28"/>
                <w:szCs w:val="28"/>
                <w:highlight w:val="none"/>
                <w:lang w:val="en-US" w:eastAsia="zh-CN"/>
              </w:rPr>
              <w:br w:type="textWrapping"/>
            </w:r>
            <w:r>
              <w:rPr>
                <w:rFonts w:hint="default" w:ascii="Times New Roman" w:hAnsi="Times New Roman" w:eastAsia="黑体" w:cs="Times New Roman"/>
                <w:color w:val="auto"/>
                <w:sz w:val="24"/>
                <w:szCs w:val="24"/>
                <w:highlight w:val="none"/>
                <w:lang w:val="en-US" w:eastAsia="zh-CN"/>
              </w:rPr>
              <w:t>（15分）</w:t>
            </w:r>
          </w:p>
        </w:tc>
        <w:tc>
          <w:tcPr>
            <w:tcW w:w="1536" w:type="dxa"/>
            <w:noWrap w:val="0"/>
            <w:vAlign w:val="center"/>
          </w:tcPr>
          <w:p w14:paraId="2F6AC7F4">
            <w:pPr>
              <w:keepNext w:val="0"/>
              <w:keepLines w:val="0"/>
              <w:pageBreakBefore w:val="0"/>
              <w:widowControl/>
              <w:suppressLineNumbers w:val="0"/>
              <w:kinsoku/>
              <w:wordWrap/>
              <w:overflowPunct/>
              <w:topLinePunct w:val="0"/>
              <w:bidi w:val="0"/>
              <w:adjustRightInd/>
              <w:snapToGrid/>
              <w:spacing w:line="320" w:lineRule="exact"/>
              <w:jc w:val="center"/>
              <w:textAlignment w:val="center"/>
              <w:rPr>
                <w:rStyle w:val="73"/>
                <w:rFonts w:ascii="仿宋_GB2312" w:hAnsi="仿宋_GB2312" w:eastAsia="仿宋_GB2312" w:cs="仿宋_GB2312"/>
                <w:b/>
                <w:bCs/>
                <w:color w:val="auto"/>
                <w:sz w:val="24"/>
                <w:szCs w:val="24"/>
                <w:highlight w:val="none"/>
                <w:lang w:val="en-US" w:eastAsia="zh-CN" w:bidi="ar"/>
              </w:rPr>
            </w:pPr>
            <w:r>
              <w:rPr>
                <w:rStyle w:val="73"/>
                <w:rFonts w:ascii="仿宋_GB2312" w:hAnsi="仿宋_GB2312" w:cs="仿宋_GB2312"/>
                <w:b/>
                <w:bCs/>
                <w:color w:val="auto"/>
                <w:sz w:val="24"/>
                <w:szCs w:val="24"/>
                <w:highlight w:val="none"/>
                <w:lang w:val="en-US" w:eastAsia="zh-CN" w:bidi="ar"/>
              </w:rPr>
              <w:t>（</w:t>
            </w:r>
            <w:r>
              <w:rPr>
                <w:rFonts w:hint="eastAsia" w:ascii="Times New Roman" w:hAnsi="Times New Roman" w:eastAsia="仿宋_GB2312" w:cs="仿宋_GB2312"/>
                <w:b/>
                <w:bCs/>
                <w:i w:val="0"/>
                <w:iCs w:val="0"/>
                <w:color w:val="auto"/>
                <w:kern w:val="0"/>
                <w:sz w:val="24"/>
                <w:szCs w:val="24"/>
                <w:highlight w:val="none"/>
                <w:u w:val="none"/>
                <w:lang w:val="en-US" w:eastAsia="zh-CN" w:bidi="ar"/>
              </w:rPr>
              <w:t>21</w:t>
            </w:r>
            <w:r>
              <w:rPr>
                <w:rFonts w:hint="eastAsia" w:ascii="Times New Roman" w:hAnsi="Times New Roman" w:cs="仿宋_GB2312"/>
                <w:b/>
                <w:bCs/>
                <w:i w:val="0"/>
                <w:iCs w:val="0"/>
                <w:color w:val="auto"/>
                <w:kern w:val="0"/>
                <w:sz w:val="24"/>
                <w:szCs w:val="24"/>
                <w:highlight w:val="none"/>
                <w:u w:val="none"/>
                <w:lang w:val="en-US" w:eastAsia="zh-CN" w:bidi="ar"/>
              </w:rPr>
              <w:t>）</w:t>
            </w:r>
          </w:p>
          <w:p w14:paraId="42018FC6">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Style w:val="73"/>
                <w:rFonts w:ascii="仿宋_GB2312" w:hAnsi="仿宋_GB2312" w:eastAsia="仿宋_GB2312" w:cs="仿宋_GB2312"/>
                <w:b/>
                <w:bCs/>
                <w:color w:val="auto"/>
                <w:sz w:val="24"/>
                <w:szCs w:val="24"/>
                <w:highlight w:val="none"/>
                <w:lang w:val="en-US" w:eastAsia="zh-CN" w:bidi="ar"/>
              </w:rPr>
              <w:t>业务操作</w:t>
            </w:r>
          </w:p>
        </w:tc>
        <w:tc>
          <w:tcPr>
            <w:tcW w:w="504" w:type="dxa"/>
            <w:noWrap w:val="0"/>
            <w:vAlign w:val="center"/>
          </w:tcPr>
          <w:p w14:paraId="7266F890">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Fonts w:hint="eastAsia" w:eastAsia="仿宋_GB2312" w:cs="仿宋_GB2312"/>
                <w:b/>
                <w:bCs/>
                <w:i w:val="0"/>
                <w:iCs w:val="0"/>
                <w:color w:val="auto"/>
                <w:kern w:val="0"/>
                <w:sz w:val="24"/>
                <w:szCs w:val="24"/>
                <w:highlight w:val="none"/>
                <w:u w:val="none"/>
                <w:lang w:val="en-US" w:eastAsia="zh-CN" w:bidi="ar"/>
              </w:rPr>
              <w:t>3</w:t>
            </w:r>
          </w:p>
        </w:tc>
        <w:tc>
          <w:tcPr>
            <w:tcW w:w="8992" w:type="dxa"/>
            <w:noWrap w:val="0"/>
            <w:vAlign w:val="center"/>
          </w:tcPr>
          <w:p w14:paraId="0F80F754">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1</w:t>
            </w:r>
            <w:r>
              <w:rPr>
                <w:rFonts w:hint="eastAsia" w:ascii="仿宋_GB2312" w:hAnsi="仿宋_GB2312" w:eastAsia="仿宋_GB2312" w:cs="仿宋_GB2312"/>
                <w:i w:val="0"/>
                <w:iCs w:val="0"/>
                <w:color w:val="auto"/>
                <w:kern w:val="0"/>
                <w:sz w:val="21"/>
                <w:szCs w:val="21"/>
                <w:highlight w:val="none"/>
                <w:u w:val="none"/>
                <w:lang w:val="en-US" w:eastAsia="zh-CN" w:bidi="ar"/>
              </w:rPr>
              <w:t>.</w:t>
            </w:r>
            <w:r>
              <w:rPr>
                <w:rFonts w:ascii="仿宋_GB2312" w:hAnsi="仿宋_GB2312" w:eastAsia="仿宋_GB2312" w:cs="仿宋_GB2312"/>
                <w:color w:val="auto"/>
                <w:kern w:val="0"/>
                <w:sz w:val="21"/>
                <w:szCs w:val="21"/>
                <w:highlight w:val="none"/>
                <w:lang w:val="en-US" w:eastAsia="zh-CN" w:bidi="ar"/>
              </w:rPr>
              <w:t>保理业务操作规程科学严谨，建立分级审批制度、定期检查监督机制和内部问责制度，各项制度具有可操作性且得到有效执行，能够有效防范和控制业务风险的，得</w:t>
            </w:r>
            <w:r>
              <w:rPr>
                <w:rFonts w:hint="eastAsia" w:eastAsia="仿宋_GB2312" w:cs="仿宋_GB2312"/>
                <w:color w:val="auto"/>
                <w:kern w:val="0"/>
                <w:sz w:val="21"/>
                <w:szCs w:val="21"/>
                <w:highlight w:val="none"/>
                <w:lang w:val="en-US" w:eastAsia="zh-CN" w:bidi="ar"/>
              </w:rPr>
              <w:t>3</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Times New Roman" w:hAnsi="Times New Roman" w:eastAsia="仿宋_GB2312" w:cs="仿宋_GB2312"/>
                <w:i w:val="0"/>
                <w:iCs w:val="0"/>
                <w:color w:val="auto"/>
                <w:kern w:val="0"/>
                <w:sz w:val="21"/>
                <w:szCs w:val="21"/>
                <w:highlight w:val="none"/>
                <w:u w:val="none"/>
                <w:lang w:val="en-US" w:eastAsia="zh-CN" w:bidi="ar"/>
              </w:rPr>
              <w:t>2</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保理业务操作规程、分级审批制度、定期检查监督机制和内部问责制度不健全，或部分制度未得到有效执行，未能完全防范和控制业务风险的，得</w:t>
            </w:r>
            <w:r>
              <w:rPr>
                <w:rFonts w:hint="eastAsia" w:ascii="Times New Roman" w:hAnsi="Times New Roman" w:eastAsia="仿宋_GB2312" w:cs="仿宋_GB2312"/>
                <w:color w:val="auto"/>
                <w:kern w:val="0"/>
                <w:sz w:val="21"/>
                <w:szCs w:val="21"/>
                <w:highlight w:val="none"/>
                <w:lang w:val="en-US" w:eastAsia="zh-CN" w:bidi="ar"/>
              </w:rPr>
              <w:t>1.5</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Times New Roman" w:hAnsi="Times New Roman" w:eastAsia="仿宋_GB2312" w:cs="仿宋_GB2312"/>
                <w:i w:val="0"/>
                <w:iCs w:val="0"/>
                <w:color w:val="auto"/>
                <w:kern w:val="0"/>
                <w:sz w:val="21"/>
                <w:szCs w:val="21"/>
                <w:highlight w:val="none"/>
                <w:u w:val="none"/>
                <w:lang w:val="en-US" w:eastAsia="zh-CN" w:bidi="ar"/>
              </w:rPr>
              <w:t>3</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未建立保理业务操作规程、分级审批制度、定期检查监督机制和内部问责制度，或部分制度存在明显瑕疵、执行情况极差，未能实现对业务风险的防范和控制的，得</w:t>
            </w:r>
            <w:r>
              <w:rPr>
                <w:rFonts w:hint="eastAsia" w:ascii="Times New Roman" w:hAnsi="Times New Roman" w:eastAsia="仿宋_GB2312" w:cs="仿宋_GB2312"/>
                <w:color w:val="auto"/>
                <w:kern w:val="0"/>
                <w:sz w:val="21"/>
                <w:szCs w:val="21"/>
                <w:highlight w:val="none"/>
                <w:lang w:val="en-US" w:eastAsia="zh-CN" w:bidi="ar"/>
              </w:rPr>
              <w:t>0</w:t>
            </w:r>
            <w:r>
              <w:rPr>
                <w:rFonts w:ascii="仿宋_GB2312" w:hAnsi="仿宋_GB2312" w:eastAsia="仿宋_GB2312" w:cs="仿宋_GB2312"/>
                <w:color w:val="auto"/>
                <w:kern w:val="0"/>
                <w:sz w:val="21"/>
                <w:szCs w:val="21"/>
                <w:highlight w:val="none"/>
                <w:lang w:val="en-US" w:eastAsia="zh-CN" w:bidi="ar"/>
              </w:rPr>
              <w:t>分。</w:t>
            </w:r>
          </w:p>
        </w:tc>
        <w:tc>
          <w:tcPr>
            <w:tcW w:w="705" w:type="dxa"/>
            <w:noWrap w:val="0"/>
            <w:vAlign w:val="top"/>
          </w:tcPr>
          <w:p w14:paraId="7C0D42A6">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5A58C0AA">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19C2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3" w:type="dxa"/>
            <w:vMerge w:val="continue"/>
            <w:noWrap w:val="0"/>
            <w:vAlign w:val="top"/>
          </w:tcPr>
          <w:p w14:paraId="02A0BB4F">
            <w:pPr>
              <w:pStyle w:val="2"/>
              <w:jc w:val="center"/>
              <w:rPr>
                <w:rFonts w:hint="default" w:ascii="Times New Roman" w:hAnsi="Times New Roman" w:cs="Times New Roman"/>
                <w:color w:val="auto"/>
                <w:highlight w:val="none"/>
              </w:rPr>
            </w:pPr>
          </w:p>
        </w:tc>
        <w:tc>
          <w:tcPr>
            <w:tcW w:w="1536" w:type="dxa"/>
            <w:noWrap w:val="0"/>
            <w:vAlign w:val="center"/>
          </w:tcPr>
          <w:p w14:paraId="6484D165">
            <w:pPr>
              <w:keepNext w:val="0"/>
              <w:keepLines w:val="0"/>
              <w:pageBreakBefore w:val="0"/>
              <w:widowControl/>
              <w:suppressLineNumbers w:val="0"/>
              <w:kinsoku/>
              <w:wordWrap/>
              <w:overflowPunct/>
              <w:topLinePunct w:val="0"/>
              <w:bidi w:val="0"/>
              <w:adjustRightInd/>
              <w:snapToGrid/>
              <w:spacing w:line="320" w:lineRule="exact"/>
              <w:jc w:val="center"/>
              <w:textAlignment w:val="center"/>
              <w:rPr>
                <w:rStyle w:val="74"/>
                <w:rFonts w:ascii="仿宋_GB2312" w:hAnsi="仿宋_GB2312" w:eastAsia="仿宋_GB2312" w:cs="仿宋_GB2312"/>
                <w:b/>
                <w:bCs/>
                <w:color w:val="auto"/>
                <w:sz w:val="24"/>
                <w:szCs w:val="24"/>
                <w:highlight w:val="none"/>
                <w:lang w:val="en-US" w:eastAsia="zh-CN" w:bidi="ar"/>
              </w:rPr>
            </w:pPr>
            <w:r>
              <w:rPr>
                <w:rStyle w:val="74"/>
                <w:rFonts w:ascii="仿宋_GB2312" w:hAnsi="仿宋_GB2312" w:cs="仿宋_GB2312"/>
                <w:b/>
                <w:bCs/>
                <w:color w:val="auto"/>
                <w:sz w:val="24"/>
                <w:szCs w:val="24"/>
                <w:highlight w:val="none"/>
                <w:lang w:val="en-US" w:eastAsia="zh-CN" w:bidi="ar"/>
              </w:rPr>
              <w:t>（</w:t>
            </w:r>
            <w:r>
              <w:rPr>
                <w:rStyle w:val="75"/>
                <w:rFonts w:hint="eastAsia" w:ascii="Times New Roman" w:hAnsi="Times New Roman" w:eastAsia="仿宋_GB2312" w:cs="仿宋_GB2312"/>
                <w:b/>
                <w:bCs/>
                <w:color w:val="auto"/>
                <w:sz w:val="24"/>
                <w:szCs w:val="24"/>
                <w:highlight w:val="none"/>
                <w:lang w:val="en-US" w:eastAsia="zh-CN" w:bidi="ar"/>
              </w:rPr>
              <w:t>22</w:t>
            </w:r>
            <w:r>
              <w:rPr>
                <w:rStyle w:val="75"/>
                <w:rFonts w:hint="eastAsia" w:ascii="Times New Roman" w:hAnsi="Times New Roman" w:cs="仿宋_GB2312"/>
                <w:b/>
                <w:bCs/>
                <w:color w:val="auto"/>
                <w:sz w:val="24"/>
                <w:szCs w:val="24"/>
                <w:highlight w:val="none"/>
                <w:lang w:val="en-US" w:eastAsia="zh-CN" w:bidi="ar"/>
              </w:rPr>
              <w:t>）</w:t>
            </w:r>
          </w:p>
          <w:p w14:paraId="09AF3CFF">
            <w:pPr>
              <w:keepNext w:val="0"/>
              <w:keepLines w:val="0"/>
              <w:pageBreakBefore w:val="0"/>
              <w:widowControl/>
              <w:suppressLineNumbers w:val="0"/>
              <w:kinsoku/>
              <w:wordWrap/>
              <w:overflowPunct/>
              <w:topLinePunct w:val="0"/>
              <w:bidi w:val="0"/>
              <w:adjustRightInd/>
              <w:snapToGrid/>
              <w:spacing w:line="320" w:lineRule="exact"/>
              <w:jc w:val="center"/>
              <w:textAlignment w:val="center"/>
              <w:rPr>
                <w:rStyle w:val="74"/>
                <w:rFonts w:ascii="仿宋_GB2312" w:hAnsi="仿宋_GB2312" w:eastAsia="仿宋_GB2312" w:cs="仿宋_GB2312"/>
                <w:b/>
                <w:bCs/>
                <w:color w:val="auto"/>
                <w:sz w:val="24"/>
                <w:szCs w:val="24"/>
                <w:highlight w:val="none"/>
                <w:lang w:val="en-US" w:eastAsia="zh-CN" w:bidi="ar"/>
              </w:rPr>
            </w:pPr>
            <w:r>
              <w:rPr>
                <w:rStyle w:val="74"/>
                <w:rFonts w:ascii="仿宋_GB2312" w:hAnsi="仿宋_GB2312" w:eastAsia="仿宋_GB2312" w:cs="仿宋_GB2312"/>
                <w:b/>
                <w:bCs/>
                <w:color w:val="auto"/>
                <w:sz w:val="24"/>
                <w:szCs w:val="24"/>
                <w:highlight w:val="none"/>
                <w:lang w:val="en-US" w:eastAsia="zh-CN" w:bidi="ar"/>
              </w:rPr>
              <w:t>保理资产</w:t>
            </w:r>
          </w:p>
          <w:p w14:paraId="2BDCEEA5">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Style w:val="74"/>
                <w:rFonts w:ascii="仿宋_GB2312" w:hAnsi="仿宋_GB2312" w:eastAsia="仿宋_GB2312" w:cs="仿宋_GB2312"/>
                <w:b/>
                <w:bCs/>
                <w:color w:val="auto"/>
                <w:sz w:val="24"/>
                <w:szCs w:val="24"/>
                <w:highlight w:val="none"/>
                <w:lang w:val="en-US" w:eastAsia="zh-CN" w:bidi="ar"/>
              </w:rPr>
              <w:t>分类</w:t>
            </w:r>
          </w:p>
        </w:tc>
        <w:tc>
          <w:tcPr>
            <w:tcW w:w="504" w:type="dxa"/>
            <w:noWrap w:val="0"/>
            <w:vAlign w:val="center"/>
          </w:tcPr>
          <w:p w14:paraId="04B40522">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Fonts w:hint="eastAsia" w:ascii="Times New Roman" w:hAnsi="Times New Roman" w:eastAsia="仿宋_GB2312" w:cs="仿宋_GB2312"/>
                <w:b/>
                <w:bCs/>
                <w:i w:val="0"/>
                <w:iCs w:val="0"/>
                <w:color w:val="auto"/>
                <w:kern w:val="0"/>
                <w:sz w:val="24"/>
                <w:szCs w:val="24"/>
                <w:highlight w:val="none"/>
                <w:u w:val="none"/>
                <w:lang w:val="en-US" w:eastAsia="zh-CN" w:bidi="ar"/>
              </w:rPr>
              <w:t>3</w:t>
            </w:r>
          </w:p>
        </w:tc>
        <w:tc>
          <w:tcPr>
            <w:tcW w:w="8992" w:type="dxa"/>
            <w:noWrap w:val="0"/>
            <w:vAlign w:val="center"/>
          </w:tcPr>
          <w:p w14:paraId="5E305E50">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制定了审慎规范的保理资产分类制度，能够根据保理资产分类标准及时准确认定业务风险类别，分类结果连续、稳定的，得</w:t>
            </w:r>
            <w:r>
              <w:rPr>
                <w:rFonts w:hint="eastAsia" w:ascii="Times New Roman" w:hAnsi="Times New Roman" w:eastAsia="仿宋_GB2312" w:cs="仿宋_GB2312"/>
                <w:color w:val="auto"/>
                <w:kern w:val="0"/>
                <w:sz w:val="21"/>
                <w:szCs w:val="21"/>
                <w:highlight w:val="none"/>
                <w:lang w:val="en-US" w:eastAsia="zh-CN" w:bidi="ar"/>
              </w:rPr>
              <w:t>3</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color w:val="auto"/>
                <w:kern w:val="0"/>
                <w:sz w:val="21"/>
                <w:szCs w:val="21"/>
                <w:highlight w:val="none"/>
                <w:lang w:val="en-US" w:eastAsia="zh-CN" w:bidi="ar"/>
              </w:rPr>
              <w:br w:type="textWrapping"/>
            </w:r>
            <w:r>
              <w:rPr>
                <w:rFonts w:hint="eastAsia" w:ascii="Times New Roman" w:hAnsi="Times New Roman" w:eastAsia="仿宋_GB2312" w:cs="仿宋_GB2312"/>
                <w:color w:val="auto"/>
                <w:kern w:val="0"/>
                <w:sz w:val="21"/>
                <w:szCs w:val="21"/>
                <w:highlight w:val="none"/>
                <w:lang w:val="en-US" w:eastAsia="zh-CN" w:bidi="ar"/>
              </w:rPr>
              <w:t>2</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制定了保理资产分类标准，能够根据分类标准认定业务风险类别，分类结果相对连续、稳定的，得</w:t>
            </w:r>
            <w:r>
              <w:rPr>
                <w:rFonts w:hint="eastAsia" w:ascii="Times New Roman" w:hAnsi="Times New Roman" w:eastAsia="仿宋_GB2312" w:cs="仿宋_GB2312"/>
                <w:color w:val="auto"/>
                <w:kern w:val="0"/>
                <w:sz w:val="21"/>
                <w:szCs w:val="21"/>
                <w:highlight w:val="none"/>
                <w:lang w:val="en-US" w:eastAsia="zh-CN" w:bidi="ar"/>
              </w:rPr>
              <w:t>1</w:t>
            </w:r>
            <w:r>
              <w:rPr>
                <w:rFonts w:hint="eastAsia" w:ascii="仿宋_GB2312" w:hAnsi="仿宋_GB2312" w:eastAsia="仿宋_GB2312" w:cs="仿宋_GB2312"/>
                <w:color w:val="auto"/>
                <w:kern w:val="0"/>
                <w:sz w:val="21"/>
                <w:szCs w:val="21"/>
                <w:highlight w:val="none"/>
                <w:lang w:val="en-US" w:eastAsia="zh-CN" w:bidi="ar"/>
              </w:rPr>
              <w:t>.</w:t>
            </w:r>
            <w:r>
              <w:rPr>
                <w:rFonts w:hint="eastAsia" w:ascii="Times New Roman" w:hAnsi="Times New Roman" w:eastAsia="仿宋_GB2312" w:cs="仿宋_GB2312"/>
                <w:color w:val="auto"/>
                <w:kern w:val="0"/>
                <w:sz w:val="21"/>
                <w:szCs w:val="21"/>
                <w:highlight w:val="none"/>
                <w:lang w:val="en-US" w:eastAsia="zh-CN" w:bidi="ar"/>
              </w:rPr>
              <w:t>5</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color w:val="auto"/>
                <w:kern w:val="0"/>
                <w:sz w:val="21"/>
                <w:szCs w:val="21"/>
                <w:highlight w:val="none"/>
                <w:lang w:val="en-US" w:eastAsia="zh-CN" w:bidi="ar"/>
              </w:rPr>
              <w:br w:type="textWrapping"/>
            </w:r>
            <w:r>
              <w:rPr>
                <w:rFonts w:hint="eastAsia" w:ascii="Times New Roman" w:hAnsi="Times New Roman" w:eastAsia="仿宋_GB2312" w:cs="仿宋_GB2312"/>
                <w:color w:val="auto"/>
                <w:kern w:val="0"/>
                <w:sz w:val="21"/>
                <w:szCs w:val="21"/>
                <w:highlight w:val="none"/>
                <w:lang w:val="en-US" w:eastAsia="zh-CN" w:bidi="ar"/>
              </w:rPr>
              <w:t>3</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未制定明确的保理资产分类制度，或未能按照保理资产分类制度认定业务风险类别，或分类结果缺乏连续性和稳定性的，得</w:t>
            </w:r>
            <w:r>
              <w:rPr>
                <w:rFonts w:hint="eastAsia" w:ascii="Times New Roman" w:hAnsi="Times New Roman" w:eastAsia="仿宋_GB2312" w:cs="仿宋_GB2312"/>
                <w:color w:val="auto"/>
                <w:kern w:val="0"/>
                <w:sz w:val="21"/>
                <w:szCs w:val="21"/>
                <w:highlight w:val="none"/>
                <w:lang w:val="en-US" w:eastAsia="zh-CN" w:bidi="ar"/>
              </w:rPr>
              <w:t>0</w:t>
            </w:r>
            <w:r>
              <w:rPr>
                <w:rFonts w:ascii="仿宋_GB2312" w:hAnsi="仿宋_GB2312" w:eastAsia="仿宋_GB2312" w:cs="仿宋_GB2312"/>
                <w:color w:val="auto"/>
                <w:kern w:val="0"/>
                <w:sz w:val="21"/>
                <w:szCs w:val="21"/>
                <w:highlight w:val="none"/>
                <w:lang w:val="en-US" w:eastAsia="zh-CN" w:bidi="ar"/>
              </w:rPr>
              <w:t>分。</w:t>
            </w:r>
          </w:p>
        </w:tc>
        <w:tc>
          <w:tcPr>
            <w:tcW w:w="705" w:type="dxa"/>
            <w:noWrap w:val="0"/>
            <w:vAlign w:val="top"/>
          </w:tcPr>
          <w:p w14:paraId="04952941">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0D18B6B0">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527B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3" w:type="dxa"/>
            <w:vMerge w:val="continue"/>
            <w:noWrap w:val="0"/>
            <w:vAlign w:val="top"/>
          </w:tcPr>
          <w:p w14:paraId="6E1F83FC">
            <w:pPr>
              <w:pStyle w:val="2"/>
              <w:jc w:val="center"/>
              <w:rPr>
                <w:rFonts w:hint="default" w:ascii="Times New Roman" w:hAnsi="Times New Roman" w:cs="Times New Roman"/>
                <w:color w:val="auto"/>
                <w:highlight w:val="none"/>
              </w:rPr>
            </w:pPr>
          </w:p>
        </w:tc>
        <w:tc>
          <w:tcPr>
            <w:tcW w:w="1536" w:type="dxa"/>
            <w:noWrap w:val="0"/>
            <w:vAlign w:val="center"/>
          </w:tcPr>
          <w:p w14:paraId="7FE7DAF0">
            <w:pPr>
              <w:keepNext w:val="0"/>
              <w:keepLines w:val="0"/>
              <w:pageBreakBefore w:val="0"/>
              <w:widowControl/>
              <w:suppressLineNumbers w:val="0"/>
              <w:kinsoku/>
              <w:wordWrap/>
              <w:overflowPunct/>
              <w:topLinePunct w:val="0"/>
              <w:bidi w:val="0"/>
              <w:adjustRightInd/>
              <w:snapToGrid/>
              <w:spacing w:line="320" w:lineRule="exact"/>
              <w:jc w:val="center"/>
              <w:textAlignment w:val="center"/>
              <w:rPr>
                <w:rStyle w:val="74"/>
                <w:rFonts w:ascii="仿宋_GB2312" w:hAnsi="仿宋_GB2312" w:eastAsia="仿宋_GB2312" w:cs="仿宋_GB2312"/>
                <w:b/>
                <w:bCs/>
                <w:color w:val="auto"/>
                <w:sz w:val="24"/>
                <w:szCs w:val="24"/>
                <w:highlight w:val="none"/>
                <w:lang w:val="en-US" w:eastAsia="zh-CN" w:bidi="ar"/>
              </w:rPr>
            </w:pPr>
            <w:r>
              <w:rPr>
                <w:rStyle w:val="74"/>
                <w:rFonts w:ascii="仿宋_GB2312" w:hAnsi="仿宋_GB2312" w:cs="仿宋_GB2312"/>
                <w:b/>
                <w:bCs/>
                <w:color w:val="auto"/>
                <w:sz w:val="24"/>
                <w:szCs w:val="24"/>
                <w:highlight w:val="none"/>
                <w:lang w:val="en-US" w:eastAsia="zh-CN" w:bidi="ar"/>
              </w:rPr>
              <w:t>（</w:t>
            </w:r>
            <w:r>
              <w:rPr>
                <w:rStyle w:val="75"/>
                <w:rFonts w:hint="eastAsia" w:ascii="Times New Roman" w:hAnsi="Times New Roman" w:eastAsia="仿宋_GB2312" w:cs="仿宋_GB2312"/>
                <w:b/>
                <w:bCs/>
                <w:color w:val="auto"/>
                <w:sz w:val="24"/>
                <w:szCs w:val="24"/>
                <w:highlight w:val="none"/>
                <w:lang w:val="en-US" w:eastAsia="zh-CN" w:bidi="ar"/>
              </w:rPr>
              <w:t>23</w:t>
            </w:r>
            <w:r>
              <w:rPr>
                <w:rStyle w:val="75"/>
                <w:rFonts w:hint="eastAsia" w:ascii="Times New Roman" w:hAnsi="Times New Roman" w:cs="仿宋_GB2312"/>
                <w:b/>
                <w:bCs/>
                <w:color w:val="auto"/>
                <w:sz w:val="24"/>
                <w:szCs w:val="24"/>
                <w:highlight w:val="none"/>
                <w:lang w:val="en-US" w:eastAsia="zh-CN" w:bidi="ar"/>
              </w:rPr>
              <w:t>）</w:t>
            </w:r>
          </w:p>
          <w:p w14:paraId="752969C3">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Style w:val="74"/>
                <w:rFonts w:ascii="仿宋_GB2312" w:hAnsi="仿宋_GB2312" w:eastAsia="仿宋_GB2312" w:cs="仿宋_GB2312"/>
                <w:b/>
                <w:bCs/>
                <w:color w:val="auto"/>
                <w:sz w:val="24"/>
                <w:szCs w:val="24"/>
                <w:highlight w:val="none"/>
                <w:lang w:val="en-US" w:eastAsia="zh-CN" w:bidi="ar"/>
              </w:rPr>
              <w:t>客户信用</w:t>
            </w:r>
          </w:p>
        </w:tc>
        <w:tc>
          <w:tcPr>
            <w:tcW w:w="504" w:type="dxa"/>
            <w:noWrap w:val="0"/>
            <w:vAlign w:val="center"/>
          </w:tcPr>
          <w:p w14:paraId="4C48488A">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Fonts w:hint="eastAsia" w:ascii="Times New Roman" w:hAnsi="Times New Roman" w:eastAsia="仿宋_GB2312" w:cs="仿宋_GB2312"/>
                <w:b/>
                <w:bCs/>
                <w:i w:val="0"/>
                <w:iCs w:val="0"/>
                <w:color w:val="auto"/>
                <w:kern w:val="0"/>
                <w:sz w:val="24"/>
                <w:szCs w:val="24"/>
                <w:highlight w:val="none"/>
                <w:u w:val="none"/>
                <w:lang w:val="en-US" w:eastAsia="zh-CN" w:bidi="ar"/>
              </w:rPr>
              <w:t>3</w:t>
            </w:r>
          </w:p>
        </w:tc>
        <w:tc>
          <w:tcPr>
            <w:tcW w:w="8992" w:type="dxa"/>
            <w:noWrap w:val="0"/>
            <w:vAlign w:val="center"/>
          </w:tcPr>
          <w:p w14:paraId="2A8B882A">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建立了客户信用风险评价体系、风险预警及应急处理机制，各项机制具有可操作性且均得到有效执行的，得</w:t>
            </w:r>
            <w:r>
              <w:rPr>
                <w:rFonts w:hint="eastAsia" w:ascii="Times New Roman" w:hAnsi="Times New Roman" w:eastAsia="仿宋_GB2312" w:cs="仿宋_GB2312"/>
                <w:color w:val="auto"/>
                <w:kern w:val="0"/>
                <w:sz w:val="21"/>
                <w:szCs w:val="21"/>
                <w:highlight w:val="none"/>
                <w:lang w:val="en-US" w:eastAsia="zh-CN" w:bidi="ar"/>
              </w:rPr>
              <w:t>3</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color w:val="auto"/>
                <w:kern w:val="0"/>
                <w:sz w:val="21"/>
                <w:szCs w:val="21"/>
                <w:highlight w:val="none"/>
                <w:lang w:val="en-US" w:eastAsia="zh-CN" w:bidi="ar"/>
              </w:rPr>
              <w:br w:type="textWrapping"/>
            </w:r>
            <w:r>
              <w:rPr>
                <w:rFonts w:hint="eastAsia" w:ascii="Times New Roman" w:hAnsi="Times New Roman" w:eastAsia="仿宋_GB2312" w:cs="仿宋_GB2312"/>
                <w:color w:val="auto"/>
                <w:kern w:val="0"/>
                <w:sz w:val="21"/>
                <w:szCs w:val="21"/>
                <w:highlight w:val="none"/>
                <w:lang w:val="en-US" w:eastAsia="zh-CN" w:bidi="ar"/>
              </w:rPr>
              <w:t>2</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建立客户风险评价体系、风险预警及应急处理机制，但部分制度在可操作性上存在瑕疵，未能得到有效执行的，得</w:t>
            </w:r>
            <w:r>
              <w:rPr>
                <w:rFonts w:hint="eastAsia" w:ascii="Times New Roman" w:hAnsi="Times New Roman" w:eastAsia="仿宋_GB2312" w:cs="仿宋_GB2312"/>
                <w:color w:val="auto"/>
                <w:kern w:val="0"/>
                <w:sz w:val="21"/>
                <w:szCs w:val="21"/>
                <w:highlight w:val="none"/>
                <w:lang w:val="en-US" w:eastAsia="zh-CN" w:bidi="ar"/>
              </w:rPr>
              <w:t>1</w:t>
            </w:r>
            <w:r>
              <w:rPr>
                <w:rFonts w:hint="eastAsia" w:ascii="仿宋_GB2312" w:hAnsi="仿宋_GB2312" w:eastAsia="仿宋_GB2312" w:cs="仿宋_GB2312"/>
                <w:color w:val="auto"/>
                <w:kern w:val="0"/>
                <w:sz w:val="21"/>
                <w:szCs w:val="21"/>
                <w:highlight w:val="none"/>
                <w:lang w:val="en-US" w:eastAsia="zh-CN" w:bidi="ar"/>
              </w:rPr>
              <w:t>.</w:t>
            </w:r>
            <w:r>
              <w:rPr>
                <w:rFonts w:hint="eastAsia" w:ascii="Times New Roman" w:hAnsi="Times New Roman" w:eastAsia="仿宋_GB2312" w:cs="仿宋_GB2312"/>
                <w:color w:val="auto"/>
                <w:kern w:val="0"/>
                <w:sz w:val="21"/>
                <w:szCs w:val="21"/>
                <w:highlight w:val="none"/>
                <w:lang w:val="en-US" w:eastAsia="zh-CN" w:bidi="ar"/>
              </w:rPr>
              <w:t>5</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color w:val="auto"/>
                <w:kern w:val="0"/>
                <w:sz w:val="21"/>
                <w:szCs w:val="21"/>
                <w:highlight w:val="none"/>
                <w:lang w:val="en-US" w:eastAsia="zh-CN" w:bidi="ar"/>
              </w:rPr>
              <w:br w:type="textWrapping"/>
            </w:r>
            <w:r>
              <w:rPr>
                <w:rFonts w:hint="eastAsia" w:ascii="Times New Roman" w:hAnsi="Times New Roman" w:eastAsia="仿宋_GB2312" w:cs="仿宋_GB2312"/>
                <w:color w:val="auto"/>
                <w:kern w:val="0"/>
                <w:sz w:val="21"/>
                <w:szCs w:val="21"/>
                <w:highlight w:val="none"/>
                <w:lang w:val="en-US" w:eastAsia="zh-CN" w:bidi="ar"/>
              </w:rPr>
              <w:t>3</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未建立客户信用风险评价体系、风险预警及应急处理机制，或部分制度存在明显瑕疵，不具备可操作性，执行情况较差的，得</w:t>
            </w:r>
            <w:r>
              <w:rPr>
                <w:rFonts w:hint="eastAsia" w:ascii="Times New Roman" w:hAnsi="Times New Roman" w:eastAsia="仿宋_GB2312" w:cs="仿宋_GB2312"/>
                <w:color w:val="auto"/>
                <w:kern w:val="0"/>
                <w:sz w:val="21"/>
                <w:szCs w:val="21"/>
                <w:highlight w:val="none"/>
                <w:lang w:val="en-US" w:eastAsia="zh-CN" w:bidi="ar"/>
              </w:rPr>
              <w:t>0</w:t>
            </w:r>
            <w:r>
              <w:rPr>
                <w:rFonts w:ascii="仿宋_GB2312" w:hAnsi="仿宋_GB2312" w:eastAsia="仿宋_GB2312" w:cs="仿宋_GB2312"/>
                <w:color w:val="auto"/>
                <w:kern w:val="0"/>
                <w:sz w:val="21"/>
                <w:szCs w:val="21"/>
                <w:highlight w:val="none"/>
                <w:lang w:val="en-US" w:eastAsia="zh-CN" w:bidi="ar"/>
              </w:rPr>
              <w:t>分。</w:t>
            </w:r>
          </w:p>
        </w:tc>
        <w:tc>
          <w:tcPr>
            <w:tcW w:w="705" w:type="dxa"/>
            <w:noWrap w:val="0"/>
            <w:vAlign w:val="top"/>
          </w:tcPr>
          <w:p w14:paraId="0D617972">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092C4A6A">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211D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3" w:type="dxa"/>
            <w:vMerge w:val="continue"/>
            <w:noWrap w:val="0"/>
            <w:vAlign w:val="top"/>
          </w:tcPr>
          <w:p w14:paraId="54FCA4EE">
            <w:pPr>
              <w:pStyle w:val="2"/>
              <w:jc w:val="center"/>
              <w:rPr>
                <w:rFonts w:hint="default" w:ascii="Times New Roman" w:hAnsi="Times New Roman" w:cs="Times New Roman"/>
                <w:color w:val="auto"/>
                <w:highlight w:val="none"/>
              </w:rPr>
            </w:pPr>
          </w:p>
        </w:tc>
        <w:tc>
          <w:tcPr>
            <w:tcW w:w="1536" w:type="dxa"/>
            <w:noWrap w:val="0"/>
            <w:vAlign w:val="center"/>
          </w:tcPr>
          <w:p w14:paraId="7C099451">
            <w:pPr>
              <w:keepNext w:val="0"/>
              <w:keepLines w:val="0"/>
              <w:pageBreakBefore w:val="0"/>
              <w:widowControl/>
              <w:suppressLineNumbers w:val="0"/>
              <w:kinsoku/>
              <w:wordWrap/>
              <w:overflowPunct/>
              <w:topLinePunct w:val="0"/>
              <w:bidi w:val="0"/>
              <w:adjustRightInd/>
              <w:snapToGrid/>
              <w:spacing w:line="320" w:lineRule="exact"/>
              <w:jc w:val="center"/>
              <w:textAlignment w:val="center"/>
              <w:rPr>
                <w:rStyle w:val="74"/>
                <w:rFonts w:ascii="仿宋_GB2312" w:hAnsi="仿宋_GB2312" w:eastAsia="仿宋_GB2312" w:cs="仿宋_GB2312"/>
                <w:b/>
                <w:bCs/>
                <w:color w:val="auto"/>
                <w:sz w:val="24"/>
                <w:szCs w:val="24"/>
                <w:highlight w:val="none"/>
                <w:lang w:val="en-US" w:eastAsia="zh-CN" w:bidi="ar"/>
              </w:rPr>
            </w:pPr>
            <w:r>
              <w:rPr>
                <w:rStyle w:val="74"/>
                <w:rFonts w:ascii="仿宋_GB2312" w:hAnsi="仿宋_GB2312" w:cs="仿宋_GB2312"/>
                <w:b/>
                <w:bCs/>
                <w:color w:val="auto"/>
                <w:sz w:val="24"/>
                <w:szCs w:val="24"/>
                <w:highlight w:val="none"/>
                <w:lang w:val="en-US" w:eastAsia="zh-CN" w:bidi="ar"/>
              </w:rPr>
              <w:t>（</w:t>
            </w:r>
            <w:r>
              <w:rPr>
                <w:rStyle w:val="75"/>
                <w:rFonts w:hint="eastAsia" w:ascii="Times New Roman" w:hAnsi="Times New Roman" w:eastAsia="仿宋_GB2312" w:cs="仿宋_GB2312"/>
                <w:b/>
                <w:bCs/>
                <w:color w:val="auto"/>
                <w:sz w:val="24"/>
                <w:szCs w:val="24"/>
                <w:highlight w:val="none"/>
                <w:lang w:val="en-US" w:eastAsia="zh-CN" w:bidi="ar"/>
              </w:rPr>
              <w:t>24</w:t>
            </w:r>
            <w:r>
              <w:rPr>
                <w:rStyle w:val="75"/>
                <w:rFonts w:hint="eastAsia" w:ascii="Times New Roman" w:hAnsi="Times New Roman" w:cs="仿宋_GB2312"/>
                <w:b/>
                <w:bCs/>
                <w:color w:val="auto"/>
                <w:sz w:val="24"/>
                <w:szCs w:val="24"/>
                <w:highlight w:val="none"/>
                <w:lang w:val="en-US" w:eastAsia="zh-CN" w:bidi="ar"/>
              </w:rPr>
              <w:t>）</w:t>
            </w:r>
          </w:p>
          <w:p w14:paraId="225F31BC">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Style w:val="74"/>
                <w:rFonts w:ascii="仿宋_GB2312" w:hAnsi="仿宋_GB2312" w:eastAsia="仿宋_GB2312" w:cs="仿宋_GB2312"/>
                <w:b/>
                <w:bCs/>
                <w:color w:val="auto"/>
                <w:sz w:val="24"/>
                <w:szCs w:val="24"/>
                <w:highlight w:val="none"/>
                <w:lang w:val="en-US" w:eastAsia="zh-CN" w:bidi="ar"/>
              </w:rPr>
              <w:t>登记制度</w:t>
            </w:r>
          </w:p>
        </w:tc>
        <w:tc>
          <w:tcPr>
            <w:tcW w:w="504" w:type="dxa"/>
            <w:noWrap w:val="0"/>
            <w:vAlign w:val="center"/>
          </w:tcPr>
          <w:p w14:paraId="2FF3D3C2">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Fonts w:hint="eastAsia" w:ascii="Times New Roman" w:hAnsi="Times New Roman" w:eastAsia="仿宋_GB2312" w:cs="仿宋_GB2312"/>
                <w:b/>
                <w:bCs/>
                <w:i w:val="0"/>
                <w:iCs w:val="0"/>
                <w:color w:val="auto"/>
                <w:kern w:val="0"/>
                <w:sz w:val="24"/>
                <w:szCs w:val="24"/>
                <w:highlight w:val="none"/>
                <w:u w:val="none"/>
                <w:lang w:val="en-US" w:eastAsia="zh-CN" w:bidi="ar"/>
              </w:rPr>
              <w:t>3</w:t>
            </w:r>
          </w:p>
        </w:tc>
        <w:tc>
          <w:tcPr>
            <w:tcW w:w="8992" w:type="dxa"/>
            <w:noWrap w:val="0"/>
            <w:vAlign w:val="center"/>
          </w:tcPr>
          <w:p w14:paraId="2EBCC5A8">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考评年度内，按规定将保理业务所涉应收账款在中国人民银行征信中心的动产融资统一登记公示系统进行登记，并按相关法律法规规定及时办理有关权属登记的，得</w:t>
            </w:r>
            <w:r>
              <w:rPr>
                <w:rFonts w:hint="eastAsia" w:ascii="Times New Roman" w:hAnsi="Times New Roman" w:eastAsia="仿宋_GB2312" w:cs="仿宋_GB2312"/>
                <w:color w:val="auto"/>
                <w:kern w:val="0"/>
                <w:sz w:val="21"/>
                <w:szCs w:val="21"/>
                <w:highlight w:val="none"/>
                <w:lang w:val="en-US" w:eastAsia="zh-CN" w:bidi="ar"/>
              </w:rPr>
              <w:t>3</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color w:val="auto"/>
                <w:kern w:val="0"/>
                <w:sz w:val="21"/>
                <w:szCs w:val="21"/>
                <w:highlight w:val="none"/>
                <w:lang w:val="en-US" w:eastAsia="zh-CN" w:bidi="ar"/>
              </w:rPr>
              <w:br w:type="textWrapping"/>
            </w:r>
            <w:r>
              <w:rPr>
                <w:rFonts w:hint="eastAsia" w:ascii="Times New Roman" w:hAnsi="Times New Roman" w:eastAsia="仿宋_GB2312" w:cs="仿宋_GB2312"/>
                <w:color w:val="auto"/>
                <w:kern w:val="0"/>
                <w:sz w:val="21"/>
                <w:szCs w:val="21"/>
                <w:highlight w:val="none"/>
                <w:lang w:val="en-US" w:eastAsia="zh-CN" w:bidi="ar"/>
              </w:rPr>
              <w:t>2</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考评年度内，基本按规定将保理业务所涉应收账款在中国人民银行征信中心的动产融资统一登记公示系统进行登记，并基本按相关法律法规规定及时办理有关权属登记的，得</w:t>
            </w:r>
            <w:r>
              <w:rPr>
                <w:rFonts w:hint="eastAsia" w:ascii="Times New Roman" w:hAnsi="Times New Roman" w:eastAsia="仿宋_GB2312" w:cs="仿宋_GB2312"/>
                <w:color w:val="auto"/>
                <w:kern w:val="0"/>
                <w:sz w:val="21"/>
                <w:szCs w:val="21"/>
                <w:highlight w:val="none"/>
                <w:lang w:val="en-US" w:eastAsia="zh-CN" w:bidi="ar"/>
              </w:rPr>
              <w:t>1</w:t>
            </w:r>
            <w:r>
              <w:rPr>
                <w:rFonts w:hint="eastAsia" w:ascii="仿宋_GB2312" w:hAnsi="仿宋_GB2312" w:eastAsia="仿宋_GB2312" w:cs="仿宋_GB2312"/>
                <w:color w:val="auto"/>
                <w:kern w:val="0"/>
                <w:sz w:val="21"/>
                <w:szCs w:val="21"/>
                <w:highlight w:val="none"/>
                <w:lang w:val="en-US" w:eastAsia="zh-CN" w:bidi="ar"/>
              </w:rPr>
              <w:t>.</w:t>
            </w:r>
            <w:r>
              <w:rPr>
                <w:rFonts w:hint="eastAsia" w:ascii="Times New Roman" w:hAnsi="Times New Roman" w:eastAsia="仿宋_GB2312" w:cs="仿宋_GB2312"/>
                <w:color w:val="auto"/>
                <w:kern w:val="0"/>
                <w:sz w:val="21"/>
                <w:szCs w:val="21"/>
                <w:highlight w:val="none"/>
                <w:lang w:val="en-US" w:eastAsia="zh-CN" w:bidi="ar"/>
              </w:rPr>
              <w:t>5</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color w:val="auto"/>
                <w:kern w:val="0"/>
                <w:sz w:val="21"/>
                <w:szCs w:val="21"/>
                <w:highlight w:val="none"/>
                <w:lang w:val="en-US" w:eastAsia="zh-CN" w:bidi="ar"/>
              </w:rPr>
              <w:br w:type="textWrapping"/>
            </w:r>
            <w:r>
              <w:rPr>
                <w:rFonts w:hint="eastAsia" w:ascii="Times New Roman" w:hAnsi="Times New Roman" w:eastAsia="仿宋_GB2312" w:cs="仿宋_GB2312"/>
                <w:color w:val="auto"/>
                <w:kern w:val="0"/>
                <w:sz w:val="21"/>
                <w:szCs w:val="21"/>
                <w:highlight w:val="none"/>
                <w:lang w:val="en-US" w:eastAsia="zh-CN" w:bidi="ar"/>
              </w:rPr>
              <w:t>3</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考评年度内，大部分保理业务所涉应收账款未在中国人民银行征信中心的动产融资统一登记公示系统进行登记，或大部分保理业务未按法律法规规定办理有关权属登记的，得</w:t>
            </w:r>
            <w:r>
              <w:rPr>
                <w:rFonts w:hint="eastAsia" w:ascii="Times New Roman" w:hAnsi="Times New Roman" w:eastAsia="仿宋_GB2312" w:cs="仿宋_GB2312"/>
                <w:color w:val="auto"/>
                <w:kern w:val="0"/>
                <w:sz w:val="21"/>
                <w:szCs w:val="21"/>
                <w:highlight w:val="none"/>
                <w:lang w:val="en-US" w:eastAsia="zh-CN" w:bidi="ar"/>
              </w:rPr>
              <w:t>0</w:t>
            </w:r>
            <w:r>
              <w:rPr>
                <w:rFonts w:ascii="仿宋_GB2312" w:hAnsi="仿宋_GB2312" w:eastAsia="仿宋_GB2312" w:cs="仿宋_GB2312"/>
                <w:color w:val="auto"/>
                <w:kern w:val="0"/>
                <w:sz w:val="21"/>
                <w:szCs w:val="21"/>
                <w:highlight w:val="none"/>
                <w:lang w:val="en-US" w:eastAsia="zh-CN" w:bidi="ar"/>
              </w:rPr>
              <w:t>分。</w:t>
            </w:r>
          </w:p>
        </w:tc>
        <w:tc>
          <w:tcPr>
            <w:tcW w:w="705" w:type="dxa"/>
            <w:noWrap w:val="0"/>
            <w:vAlign w:val="top"/>
          </w:tcPr>
          <w:p w14:paraId="2EB04BCD">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0F315BEA">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6EF3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3" w:type="dxa"/>
            <w:noWrap w:val="0"/>
            <w:vAlign w:val="top"/>
          </w:tcPr>
          <w:p w14:paraId="3C440167">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黑体" w:cs="Times New Roman"/>
                <w:color w:val="auto"/>
                <w:kern w:val="2"/>
                <w:sz w:val="28"/>
                <w:szCs w:val="28"/>
                <w:highlight w:val="none"/>
                <w:lang w:val="en-US" w:eastAsia="zh-CN" w:bidi="ar-SA"/>
              </w:rPr>
            </w:pPr>
            <w:r>
              <w:rPr>
                <w:rFonts w:hint="default" w:ascii="Times New Roman" w:hAnsi="Times New Roman" w:eastAsia="黑体" w:cs="Times New Roman"/>
                <w:color w:val="auto"/>
                <w:kern w:val="2"/>
                <w:sz w:val="28"/>
                <w:szCs w:val="28"/>
                <w:highlight w:val="none"/>
                <w:lang w:val="en-US" w:eastAsia="zh-CN" w:bidi="ar-SA"/>
              </w:rPr>
              <w:t>三、</w:t>
            </w:r>
          </w:p>
          <w:p w14:paraId="41129FDD">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黑体" w:cs="Times New Roman"/>
                <w:color w:val="auto"/>
                <w:kern w:val="2"/>
                <w:sz w:val="28"/>
                <w:szCs w:val="28"/>
                <w:highlight w:val="none"/>
                <w:lang w:val="en-US" w:eastAsia="zh-CN" w:bidi="ar-SA"/>
              </w:rPr>
            </w:pPr>
            <w:r>
              <w:rPr>
                <w:rFonts w:hint="default" w:ascii="Times New Roman" w:hAnsi="Times New Roman" w:eastAsia="黑体" w:cs="Times New Roman"/>
                <w:color w:val="auto"/>
                <w:kern w:val="2"/>
                <w:sz w:val="28"/>
                <w:szCs w:val="28"/>
                <w:highlight w:val="none"/>
                <w:lang w:val="en-US" w:eastAsia="zh-CN" w:bidi="ar-SA"/>
              </w:rPr>
              <w:t>风险</w:t>
            </w:r>
          </w:p>
          <w:p w14:paraId="3E909024">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黑体" w:cs="Times New Roman"/>
                <w:color w:val="auto"/>
                <w:kern w:val="2"/>
                <w:sz w:val="28"/>
                <w:szCs w:val="28"/>
                <w:highlight w:val="none"/>
                <w:lang w:val="en-US" w:eastAsia="zh-CN" w:bidi="ar-SA"/>
              </w:rPr>
            </w:pPr>
            <w:r>
              <w:rPr>
                <w:rFonts w:hint="default" w:ascii="Times New Roman" w:hAnsi="Times New Roman" w:eastAsia="黑体" w:cs="Times New Roman"/>
                <w:color w:val="auto"/>
                <w:kern w:val="2"/>
                <w:sz w:val="28"/>
                <w:szCs w:val="28"/>
                <w:highlight w:val="none"/>
                <w:lang w:val="en-US" w:eastAsia="zh-CN" w:bidi="ar-SA"/>
              </w:rPr>
              <w:t>控制</w:t>
            </w:r>
          </w:p>
          <w:p w14:paraId="74E25D12">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cs="Times New Roman"/>
                <w:color w:val="auto"/>
                <w:highlight w:val="none"/>
              </w:rPr>
            </w:pPr>
            <w:r>
              <w:rPr>
                <w:rFonts w:hint="default" w:ascii="Times New Roman" w:hAnsi="Times New Roman" w:eastAsia="黑体" w:cs="Times New Roman"/>
                <w:color w:val="auto"/>
                <w:kern w:val="2"/>
                <w:sz w:val="24"/>
                <w:szCs w:val="24"/>
                <w:highlight w:val="none"/>
                <w:lang w:val="en-US" w:eastAsia="zh-CN" w:bidi="ar-SA"/>
              </w:rPr>
              <w:t>（15分）</w:t>
            </w:r>
          </w:p>
        </w:tc>
        <w:tc>
          <w:tcPr>
            <w:tcW w:w="1536" w:type="dxa"/>
            <w:noWrap w:val="0"/>
            <w:vAlign w:val="center"/>
          </w:tcPr>
          <w:p w14:paraId="4BF39AF7">
            <w:pPr>
              <w:keepNext w:val="0"/>
              <w:keepLines w:val="0"/>
              <w:pageBreakBefore w:val="0"/>
              <w:widowControl/>
              <w:suppressLineNumbers w:val="0"/>
              <w:kinsoku/>
              <w:wordWrap/>
              <w:overflowPunct/>
              <w:topLinePunct w:val="0"/>
              <w:bidi w:val="0"/>
              <w:adjustRightInd/>
              <w:snapToGrid/>
              <w:spacing w:line="320" w:lineRule="exact"/>
              <w:jc w:val="center"/>
              <w:textAlignment w:val="center"/>
              <w:rPr>
                <w:rStyle w:val="74"/>
                <w:rFonts w:ascii="仿宋_GB2312" w:hAnsi="仿宋_GB2312" w:eastAsia="仿宋_GB2312" w:cs="仿宋_GB2312"/>
                <w:b/>
                <w:bCs/>
                <w:color w:val="auto"/>
                <w:sz w:val="24"/>
                <w:szCs w:val="24"/>
                <w:highlight w:val="none"/>
                <w:lang w:val="en-US" w:eastAsia="zh-CN" w:bidi="ar"/>
              </w:rPr>
            </w:pPr>
            <w:r>
              <w:rPr>
                <w:rStyle w:val="74"/>
                <w:rFonts w:ascii="仿宋_GB2312" w:hAnsi="仿宋_GB2312" w:cs="仿宋_GB2312"/>
                <w:b/>
                <w:bCs/>
                <w:color w:val="auto"/>
                <w:sz w:val="24"/>
                <w:szCs w:val="24"/>
                <w:highlight w:val="none"/>
                <w:lang w:val="en-US" w:eastAsia="zh-CN" w:bidi="ar"/>
              </w:rPr>
              <w:t>（</w:t>
            </w:r>
            <w:r>
              <w:rPr>
                <w:rStyle w:val="75"/>
                <w:rFonts w:hint="eastAsia" w:ascii="Times New Roman" w:hAnsi="Times New Roman" w:eastAsia="仿宋_GB2312" w:cs="仿宋_GB2312"/>
                <w:b/>
                <w:bCs/>
                <w:color w:val="auto"/>
                <w:sz w:val="24"/>
                <w:szCs w:val="24"/>
                <w:highlight w:val="none"/>
                <w:lang w:val="en-US" w:eastAsia="zh-CN" w:bidi="ar"/>
              </w:rPr>
              <w:t>25</w:t>
            </w:r>
            <w:r>
              <w:rPr>
                <w:rStyle w:val="75"/>
                <w:rFonts w:hint="eastAsia" w:ascii="Times New Roman" w:hAnsi="Times New Roman" w:cs="仿宋_GB2312"/>
                <w:b/>
                <w:bCs/>
                <w:color w:val="auto"/>
                <w:sz w:val="24"/>
                <w:szCs w:val="24"/>
                <w:highlight w:val="none"/>
                <w:lang w:val="en-US" w:eastAsia="zh-CN" w:bidi="ar"/>
              </w:rPr>
              <w:t>）</w:t>
            </w:r>
          </w:p>
          <w:p w14:paraId="2E412F82">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Style w:val="74"/>
                <w:rFonts w:ascii="仿宋_GB2312" w:hAnsi="仿宋_GB2312" w:eastAsia="仿宋_GB2312" w:cs="仿宋_GB2312"/>
                <w:b/>
                <w:bCs/>
                <w:color w:val="auto"/>
                <w:sz w:val="24"/>
                <w:szCs w:val="24"/>
                <w:highlight w:val="none"/>
                <w:lang w:val="en-US" w:eastAsia="zh-CN" w:bidi="ar"/>
              </w:rPr>
              <w:t>管理系统</w:t>
            </w:r>
          </w:p>
        </w:tc>
        <w:tc>
          <w:tcPr>
            <w:tcW w:w="504" w:type="dxa"/>
            <w:noWrap w:val="0"/>
            <w:vAlign w:val="center"/>
          </w:tcPr>
          <w:p w14:paraId="45CA68C2">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Fonts w:hint="eastAsia" w:ascii="Times New Roman" w:hAnsi="Times New Roman" w:eastAsia="仿宋_GB2312" w:cs="仿宋_GB2312"/>
                <w:b/>
                <w:bCs/>
                <w:i w:val="0"/>
                <w:iCs w:val="0"/>
                <w:color w:val="auto"/>
                <w:kern w:val="0"/>
                <w:sz w:val="24"/>
                <w:szCs w:val="24"/>
                <w:highlight w:val="none"/>
                <w:u w:val="none"/>
                <w:lang w:val="en-US" w:eastAsia="zh-CN" w:bidi="ar"/>
              </w:rPr>
              <w:t>3</w:t>
            </w:r>
          </w:p>
        </w:tc>
        <w:tc>
          <w:tcPr>
            <w:tcW w:w="8992" w:type="dxa"/>
            <w:noWrap w:val="0"/>
            <w:vAlign w:val="center"/>
          </w:tcPr>
          <w:p w14:paraId="27C86F0C">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建立了完善的信息化管理系统，各项机制具有可操作性且均得到有效执行的，得</w:t>
            </w:r>
            <w:r>
              <w:rPr>
                <w:rFonts w:hint="eastAsia" w:ascii="Times New Roman" w:hAnsi="Times New Roman" w:eastAsia="仿宋_GB2312" w:cs="仿宋_GB2312"/>
                <w:color w:val="auto"/>
                <w:kern w:val="0"/>
                <w:sz w:val="21"/>
                <w:szCs w:val="21"/>
                <w:highlight w:val="none"/>
                <w:lang w:val="en-US" w:eastAsia="zh-CN" w:bidi="ar"/>
              </w:rPr>
              <w:t>3</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color w:val="auto"/>
                <w:kern w:val="0"/>
                <w:sz w:val="21"/>
                <w:szCs w:val="21"/>
                <w:highlight w:val="none"/>
                <w:lang w:val="en-US" w:eastAsia="zh-CN" w:bidi="ar"/>
              </w:rPr>
              <w:br w:type="textWrapping"/>
            </w:r>
            <w:r>
              <w:rPr>
                <w:rFonts w:hint="eastAsia" w:ascii="Times New Roman" w:hAnsi="Times New Roman" w:eastAsia="仿宋_GB2312" w:cs="仿宋_GB2312"/>
                <w:color w:val="auto"/>
                <w:kern w:val="0"/>
                <w:sz w:val="21"/>
                <w:szCs w:val="21"/>
                <w:highlight w:val="none"/>
                <w:lang w:val="en-US" w:eastAsia="zh-CN" w:bidi="ar"/>
              </w:rPr>
              <w:t>2</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建立了较为完善的信息化管理系统，但各项机制未能得到有效执行的，得</w:t>
            </w:r>
            <w:r>
              <w:rPr>
                <w:rFonts w:hint="eastAsia" w:ascii="Times New Roman" w:hAnsi="Times New Roman" w:eastAsia="仿宋_GB2312" w:cs="仿宋_GB2312"/>
                <w:color w:val="auto"/>
                <w:kern w:val="0"/>
                <w:sz w:val="21"/>
                <w:szCs w:val="21"/>
                <w:highlight w:val="none"/>
                <w:lang w:val="en-US" w:eastAsia="zh-CN" w:bidi="ar"/>
              </w:rPr>
              <w:t>1.5</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color w:val="auto"/>
                <w:kern w:val="0"/>
                <w:sz w:val="21"/>
                <w:szCs w:val="21"/>
                <w:highlight w:val="none"/>
                <w:lang w:val="en-US" w:eastAsia="zh-CN" w:bidi="ar"/>
              </w:rPr>
              <w:br w:type="textWrapping"/>
            </w:r>
            <w:r>
              <w:rPr>
                <w:rFonts w:hint="eastAsia" w:ascii="Times New Roman" w:hAnsi="Times New Roman" w:eastAsia="仿宋_GB2312" w:cs="仿宋_GB2312"/>
                <w:color w:val="auto"/>
                <w:kern w:val="0"/>
                <w:sz w:val="21"/>
                <w:szCs w:val="21"/>
                <w:highlight w:val="none"/>
                <w:lang w:val="en-US" w:eastAsia="zh-CN" w:bidi="ar"/>
              </w:rPr>
              <w:t>3</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未建立具有可操作性的信息化管理系统的，得</w:t>
            </w:r>
            <w:r>
              <w:rPr>
                <w:rFonts w:hint="eastAsia" w:ascii="Times New Roman" w:hAnsi="Times New Roman" w:eastAsia="仿宋_GB2312" w:cs="仿宋_GB2312"/>
                <w:color w:val="auto"/>
                <w:kern w:val="0"/>
                <w:sz w:val="21"/>
                <w:szCs w:val="21"/>
                <w:highlight w:val="none"/>
                <w:lang w:val="en-US" w:eastAsia="zh-CN" w:bidi="ar"/>
              </w:rPr>
              <w:t>0</w:t>
            </w:r>
            <w:r>
              <w:rPr>
                <w:rFonts w:ascii="仿宋_GB2312" w:hAnsi="仿宋_GB2312" w:eastAsia="仿宋_GB2312" w:cs="仿宋_GB2312"/>
                <w:color w:val="auto"/>
                <w:kern w:val="0"/>
                <w:sz w:val="21"/>
                <w:szCs w:val="21"/>
                <w:highlight w:val="none"/>
                <w:lang w:val="en-US" w:eastAsia="zh-CN" w:bidi="ar"/>
              </w:rPr>
              <w:t>分。</w:t>
            </w:r>
          </w:p>
        </w:tc>
        <w:tc>
          <w:tcPr>
            <w:tcW w:w="705" w:type="dxa"/>
            <w:noWrap w:val="0"/>
            <w:vAlign w:val="top"/>
          </w:tcPr>
          <w:p w14:paraId="0D8BECF8">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0F5BC2F1">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7EA9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3" w:type="dxa"/>
            <w:vMerge w:val="restart"/>
            <w:noWrap w:val="0"/>
            <w:vAlign w:val="center"/>
          </w:tcPr>
          <w:p w14:paraId="428FA242">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imes New Roman" w:hAnsi="Times New Roman" w:eastAsia="黑体" w:cs="Times New Roman"/>
                <w:color w:val="auto"/>
                <w:kern w:val="2"/>
                <w:sz w:val="28"/>
                <w:szCs w:val="28"/>
                <w:highlight w:val="none"/>
                <w:lang w:val="en-US" w:eastAsia="zh-CN" w:bidi="ar-SA"/>
              </w:rPr>
            </w:pPr>
            <w:r>
              <w:rPr>
                <w:rFonts w:hint="eastAsia" w:ascii="Times New Roman" w:hAnsi="Times New Roman" w:eastAsia="黑体" w:cs="Times New Roman"/>
                <w:color w:val="auto"/>
                <w:kern w:val="2"/>
                <w:sz w:val="28"/>
                <w:szCs w:val="28"/>
                <w:highlight w:val="none"/>
                <w:lang w:val="en-US" w:eastAsia="zh-CN" w:bidi="ar-SA"/>
              </w:rPr>
              <w:t>四、</w:t>
            </w:r>
          </w:p>
          <w:p w14:paraId="6E17BEEC">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imes New Roman" w:hAnsi="Times New Roman" w:eastAsia="黑体" w:cs="Times New Roman"/>
                <w:color w:val="auto"/>
                <w:kern w:val="2"/>
                <w:sz w:val="28"/>
                <w:szCs w:val="28"/>
                <w:highlight w:val="none"/>
                <w:lang w:val="en-US" w:eastAsia="zh-CN" w:bidi="ar-SA"/>
              </w:rPr>
            </w:pPr>
            <w:r>
              <w:rPr>
                <w:rFonts w:hint="eastAsia" w:ascii="Times New Roman" w:hAnsi="Times New Roman" w:eastAsia="黑体" w:cs="Times New Roman"/>
                <w:color w:val="auto"/>
                <w:kern w:val="2"/>
                <w:sz w:val="28"/>
                <w:szCs w:val="28"/>
                <w:highlight w:val="none"/>
                <w:lang w:val="en-US" w:eastAsia="zh-CN" w:bidi="ar-SA"/>
              </w:rPr>
              <w:t>经营</w:t>
            </w:r>
          </w:p>
          <w:p w14:paraId="7F08FDC3">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imes New Roman" w:hAnsi="Times New Roman" w:eastAsia="黑体" w:cs="Times New Roman"/>
                <w:color w:val="auto"/>
                <w:kern w:val="2"/>
                <w:sz w:val="28"/>
                <w:szCs w:val="28"/>
                <w:highlight w:val="none"/>
                <w:lang w:val="en-US" w:eastAsia="zh-CN" w:bidi="ar-SA"/>
              </w:rPr>
            </w:pPr>
            <w:r>
              <w:rPr>
                <w:rFonts w:hint="eastAsia" w:ascii="Times New Roman" w:hAnsi="Times New Roman" w:eastAsia="黑体" w:cs="Times New Roman"/>
                <w:color w:val="auto"/>
                <w:kern w:val="2"/>
                <w:sz w:val="28"/>
                <w:szCs w:val="28"/>
                <w:highlight w:val="none"/>
                <w:lang w:val="en-US" w:eastAsia="zh-CN" w:bidi="ar-SA"/>
              </w:rPr>
              <w:t>情况</w:t>
            </w:r>
          </w:p>
          <w:p w14:paraId="2A27AF8B">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cs="Times New Roman"/>
                <w:color w:val="auto"/>
                <w:highlight w:val="none"/>
              </w:rPr>
            </w:pPr>
            <w:r>
              <w:rPr>
                <w:rFonts w:hint="default" w:ascii="Times New Roman" w:hAnsi="Times New Roman" w:eastAsia="黑体" w:cs="Times New Roman"/>
                <w:color w:val="auto"/>
                <w:kern w:val="2"/>
                <w:sz w:val="24"/>
                <w:szCs w:val="24"/>
                <w:highlight w:val="none"/>
                <w:lang w:val="en-US" w:eastAsia="zh-CN" w:bidi="ar-SA"/>
              </w:rPr>
              <w:t>（15分）</w:t>
            </w:r>
          </w:p>
        </w:tc>
        <w:tc>
          <w:tcPr>
            <w:tcW w:w="1536" w:type="dxa"/>
            <w:noWrap w:val="0"/>
            <w:vAlign w:val="center"/>
          </w:tcPr>
          <w:p w14:paraId="1A8FC987">
            <w:pPr>
              <w:keepNext w:val="0"/>
              <w:keepLines w:val="0"/>
              <w:pageBreakBefore w:val="0"/>
              <w:widowControl/>
              <w:suppressLineNumbers w:val="0"/>
              <w:kinsoku/>
              <w:wordWrap/>
              <w:overflowPunct/>
              <w:topLinePunct w:val="0"/>
              <w:bidi w:val="0"/>
              <w:adjustRightInd/>
              <w:snapToGrid/>
              <w:spacing w:line="320" w:lineRule="exact"/>
              <w:jc w:val="center"/>
              <w:textAlignment w:val="center"/>
              <w:rPr>
                <w:rStyle w:val="73"/>
                <w:rFonts w:ascii="仿宋_GB2312" w:hAnsi="仿宋_GB2312" w:eastAsia="仿宋_GB2312" w:cs="仿宋_GB2312"/>
                <w:b/>
                <w:bCs/>
                <w:color w:val="auto"/>
                <w:sz w:val="24"/>
                <w:szCs w:val="24"/>
                <w:highlight w:val="none"/>
                <w:lang w:val="en-US" w:eastAsia="zh-CN" w:bidi="ar"/>
              </w:rPr>
            </w:pPr>
            <w:r>
              <w:rPr>
                <w:rStyle w:val="73"/>
                <w:rFonts w:ascii="仿宋_GB2312" w:hAnsi="仿宋_GB2312" w:cs="仿宋_GB2312"/>
                <w:b/>
                <w:bCs/>
                <w:color w:val="auto"/>
                <w:sz w:val="24"/>
                <w:szCs w:val="24"/>
                <w:highlight w:val="none"/>
                <w:lang w:val="en-US" w:eastAsia="zh-CN" w:bidi="ar"/>
              </w:rPr>
              <w:t>（</w:t>
            </w:r>
            <w:r>
              <w:rPr>
                <w:rStyle w:val="77"/>
                <w:rFonts w:hint="eastAsia" w:ascii="Times New Roman" w:hAnsi="Times New Roman" w:eastAsia="仿宋_GB2312" w:cs="仿宋_GB2312"/>
                <w:b/>
                <w:bCs/>
                <w:color w:val="auto"/>
                <w:sz w:val="24"/>
                <w:szCs w:val="24"/>
                <w:highlight w:val="none"/>
                <w:lang w:val="en-US" w:eastAsia="zh-CN" w:bidi="ar"/>
              </w:rPr>
              <w:t>2</w:t>
            </w:r>
            <w:r>
              <w:rPr>
                <w:rStyle w:val="77"/>
                <w:rFonts w:hint="eastAsia" w:eastAsia="仿宋_GB2312" w:cs="仿宋_GB2312"/>
                <w:b/>
                <w:bCs/>
                <w:color w:val="auto"/>
                <w:sz w:val="24"/>
                <w:szCs w:val="24"/>
                <w:highlight w:val="none"/>
                <w:lang w:val="en-US" w:eastAsia="zh-CN" w:bidi="ar"/>
              </w:rPr>
              <w:t>6</w:t>
            </w:r>
            <w:r>
              <w:rPr>
                <w:rStyle w:val="77"/>
                <w:rFonts w:hint="eastAsia" w:cs="仿宋_GB2312"/>
                <w:b/>
                <w:bCs/>
                <w:color w:val="auto"/>
                <w:sz w:val="24"/>
                <w:szCs w:val="24"/>
                <w:highlight w:val="none"/>
                <w:lang w:val="en-US" w:eastAsia="zh-CN" w:bidi="ar"/>
              </w:rPr>
              <w:t>）</w:t>
            </w:r>
          </w:p>
          <w:p w14:paraId="6994FF42">
            <w:pPr>
              <w:keepNext w:val="0"/>
              <w:keepLines w:val="0"/>
              <w:pageBreakBefore w:val="0"/>
              <w:widowControl/>
              <w:suppressLineNumbers w:val="0"/>
              <w:kinsoku/>
              <w:wordWrap/>
              <w:overflowPunct/>
              <w:topLinePunct w:val="0"/>
              <w:bidi w:val="0"/>
              <w:adjustRightInd/>
              <w:snapToGrid/>
              <w:spacing w:line="320" w:lineRule="exact"/>
              <w:jc w:val="center"/>
              <w:textAlignment w:val="center"/>
              <w:rPr>
                <w:rStyle w:val="73"/>
                <w:rFonts w:ascii="仿宋_GB2312" w:hAnsi="仿宋_GB2312" w:eastAsia="仿宋_GB2312" w:cs="仿宋_GB2312"/>
                <w:b/>
                <w:bCs/>
                <w:color w:val="auto"/>
                <w:sz w:val="24"/>
                <w:szCs w:val="24"/>
                <w:highlight w:val="none"/>
                <w:lang w:val="en-US" w:eastAsia="zh-CN" w:bidi="ar"/>
              </w:rPr>
            </w:pPr>
            <w:r>
              <w:rPr>
                <w:rStyle w:val="73"/>
                <w:rFonts w:ascii="仿宋_GB2312" w:hAnsi="仿宋_GB2312" w:eastAsia="仿宋_GB2312" w:cs="仿宋_GB2312"/>
                <w:b/>
                <w:bCs/>
                <w:color w:val="auto"/>
                <w:sz w:val="24"/>
                <w:szCs w:val="24"/>
                <w:highlight w:val="none"/>
                <w:lang w:val="en-US" w:eastAsia="zh-CN" w:bidi="ar"/>
              </w:rPr>
              <w:t>年度累放</w:t>
            </w:r>
          </w:p>
          <w:p w14:paraId="74F026E9">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Style w:val="73"/>
                <w:rFonts w:ascii="仿宋_GB2312" w:hAnsi="仿宋_GB2312" w:eastAsia="仿宋_GB2312" w:cs="仿宋_GB2312"/>
                <w:b/>
                <w:bCs/>
                <w:color w:val="auto"/>
                <w:sz w:val="24"/>
                <w:szCs w:val="24"/>
                <w:highlight w:val="none"/>
                <w:lang w:val="en-US" w:eastAsia="zh-CN" w:bidi="ar"/>
              </w:rPr>
              <w:t>规模</w:t>
            </w:r>
          </w:p>
        </w:tc>
        <w:tc>
          <w:tcPr>
            <w:tcW w:w="504" w:type="dxa"/>
            <w:noWrap w:val="0"/>
            <w:vAlign w:val="center"/>
          </w:tcPr>
          <w:p w14:paraId="1300DBE3">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Fonts w:hint="eastAsia" w:ascii="Times New Roman" w:hAnsi="Times New Roman" w:eastAsia="仿宋_GB2312" w:cs="仿宋_GB2312"/>
                <w:b/>
                <w:bCs/>
                <w:i w:val="0"/>
                <w:iCs w:val="0"/>
                <w:color w:val="auto"/>
                <w:kern w:val="0"/>
                <w:sz w:val="24"/>
                <w:szCs w:val="24"/>
                <w:highlight w:val="none"/>
                <w:u w:val="none"/>
                <w:lang w:val="en-US" w:eastAsia="zh-CN" w:bidi="ar"/>
              </w:rPr>
              <w:t>3</w:t>
            </w:r>
          </w:p>
        </w:tc>
        <w:tc>
          <w:tcPr>
            <w:tcW w:w="8992" w:type="dxa"/>
            <w:noWrap w:val="0"/>
            <w:vAlign w:val="center"/>
          </w:tcPr>
          <w:p w14:paraId="304FC0FD">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1</w:t>
            </w:r>
            <w:r>
              <w:rPr>
                <w:rFonts w:hint="eastAsia" w:ascii="仿宋_GB2312" w:hAnsi="仿宋_GB2312" w:eastAsia="仿宋_GB2312" w:cs="仿宋_GB2312"/>
                <w:i w:val="0"/>
                <w:iCs w:val="0"/>
                <w:color w:val="auto"/>
                <w:kern w:val="0"/>
                <w:sz w:val="21"/>
                <w:szCs w:val="21"/>
                <w:highlight w:val="none"/>
                <w:u w:val="none"/>
                <w:lang w:val="en-US" w:eastAsia="zh-CN" w:bidi="ar"/>
              </w:rPr>
              <w:t>.</w:t>
            </w:r>
            <w:r>
              <w:rPr>
                <w:rFonts w:ascii="仿宋_GB2312" w:hAnsi="仿宋_GB2312" w:eastAsia="仿宋_GB2312" w:cs="仿宋_GB2312"/>
                <w:color w:val="auto"/>
                <w:kern w:val="0"/>
                <w:sz w:val="21"/>
                <w:szCs w:val="21"/>
                <w:highlight w:val="none"/>
                <w:lang w:val="en-US" w:eastAsia="zh-CN" w:bidi="ar"/>
              </w:rPr>
              <w:t>考评年度累计发放保理融资款本金大于</w:t>
            </w:r>
            <w:r>
              <w:rPr>
                <w:rFonts w:hint="eastAsia" w:ascii="Times New Roman" w:hAnsi="Times New Roman" w:eastAsia="仿宋_GB2312" w:cs="仿宋_GB2312"/>
                <w:color w:val="auto"/>
                <w:kern w:val="0"/>
                <w:sz w:val="21"/>
                <w:szCs w:val="21"/>
                <w:highlight w:val="none"/>
                <w:lang w:val="en-US" w:eastAsia="zh-CN" w:bidi="ar"/>
              </w:rPr>
              <w:t>3</w:t>
            </w:r>
            <w:r>
              <w:rPr>
                <w:rFonts w:ascii="仿宋_GB2312" w:hAnsi="仿宋_GB2312" w:eastAsia="仿宋_GB2312" w:cs="仿宋_GB2312"/>
                <w:color w:val="auto"/>
                <w:kern w:val="0"/>
                <w:sz w:val="21"/>
                <w:szCs w:val="21"/>
                <w:highlight w:val="none"/>
                <w:lang w:val="en-US" w:eastAsia="zh-CN" w:bidi="ar"/>
              </w:rPr>
              <w:t>亿元（含）的，得</w:t>
            </w:r>
            <w:r>
              <w:rPr>
                <w:rFonts w:hint="eastAsia" w:ascii="Times New Roman" w:hAnsi="Times New Roman" w:eastAsia="仿宋_GB2312" w:cs="仿宋_GB2312"/>
                <w:i w:val="0"/>
                <w:iCs w:val="0"/>
                <w:color w:val="auto"/>
                <w:kern w:val="0"/>
                <w:sz w:val="21"/>
                <w:szCs w:val="21"/>
                <w:highlight w:val="none"/>
                <w:u w:val="none"/>
                <w:lang w:val="en-US" w:eastAsia="zh-CN" w:bidi="ar"/>
              </w:rPr>
              <w:t>3</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Times New Roman" w:hAnsi="Times New Roman" w:eastAsia="仿宋_GB2312" w:cs="仿宋_GB2312"/>
                <w:i w:val="0"/>
                <w:iCs w:val="0"/>
                <w:color w:val="auto"/>
                <w:kern w:val="0"/>
                <w:sz w:val="21"/>
                <w:szCs w:val="21"/>
                <w:highlight w:val="none"/>
                <w:u w:val="none"/>
                <w:lang w:val="en-US" w:eastAsia="zh-CN" w:bidi="ar"/>
              </w:rPr>
              <w:t>2</w:t>
            </w:r>
            <w:r>
              <w:rPr>
                <w:rFonts w:hint="eastAsia" w:ascii="仿宋_GB2312" w:hAnsi="仿宋_GB2312" w:eastAsia="仿宋_GB2312" w:cs="仿宋_GB2312"/>
                <w:i w:val="0"/>
                <w:iCs w:val="0"/>
                <w:color w:val="auto"/>
                <w:kern w:val="0"/>
                <w:sz w:val="21"/>
                <w:szCs w:val="21"/>
                <w:highlight w:val="none"/>
                <w:u w:val="none"/>
                <w:lang w:val="en-US" w:eastAsia="zh-CN" w:bidi="ar"/>
              </w:rPr>
              <w:t>.</w:t>
            </w:r>
            <w:r>
              <w:rPr>
                <w:rFonts w:ascii="仿宋_GB2312" w:hAnsi="仿宋_GB2312" w:eastAsia="仿宋_GB2312" w:cs="仿宋_GB2312"/>
                <w:color w:val="auto"/>
                <w:kern w:val="0"/>
                <w:sz w:val="21"/>
                <w:szCs w:val="21"/>
                <w:highlight w:val="none"/>
                <w:lang w:val="en-US" w:eastAsia="zh-CN" w:bidi="ar"/>
              </w:rPr>
              <w:t>考评年度累计发放保理融资款本金</w:t>
            </w:r>
            <w:r>
              <w:rPr>
                <w:rFonts w:hint="eastAsia" w:ascii="Times New Roman" w:hAnsi="Times New Roman" w:eastAsia="仿宋_GB2312" w:cs="仿宋_GB2312"/>
                <w:color w:val="auto"/>
                <w:kern w:val="0"/>
                <w:sz w:val="21"/>
                <w:szCs w:val="21"/>
                <w:highlight w:val="none"/>
                <w:lang w:val="en-US" w:eastAsia="zh-CN" w:bidi="ar"/>
              </w:rPr>
              <w:t>1</w:t>
            </w:r>
            <w:r>
              <w:rPr>
                <w:rFonts w:ascii="仿宋_GB2312" w:hAnsi="仿宋_GB2312" w:eastAsia="仿宋_GB2312" w:cs="仿宋_GB2312"/>
                <w:color w:val="auto"/>
                <w:kern w:val="0"/>
                <w:sz w:val="21"/>
                <w:szCs w:val="21"/>
                <w:highlight w:val="none"/>
                <w:lang w:val="en-US" w:eastAsia="zh-CN" w:bidi="ar"/>
              </w:rPr>
              <w:t>亿元（含）至</w:t>
            </w:r>
            <w:r>
              <w:rPr>
                <w:rFonts w:hint="eastAsia" w:ascii="Times New Roman" w:hAnsi="Times New Roman" w:eastAsia="仿宋_GB2312" w:cs="仿宋_GB2312"/>
                <w:color w:val="auto"/>
                <w:kern w:val="0"/>
                <w:sz w:val="21"/>
                <w:szCs w:val="21"/>
                <w:highlight w:val="none"/>
                <w:lang w:val="en-US" w:eastAsia="zh-CN" w:bidi="ar"/>
              </w:rPr>
              <w:t>3</w:t>
            </w:r>
            <w:r>
              <w:rPr>
                <w:rFonts w:ascii="仿宋_GB2312" w:hAnsi="仿宋_GB2312" w:eastAsia="仿宋_GB2312" w:cs="仿宋_GB2312"/>
                <w:color w:val="auto"/>
                <w:kern w:val="0"/>
                <w:sz w:val="21"/>
                <w:szCs w:val="21"/>
                <w:highlight w:val="none"/>
                <w:lang w:val="en-US" w:eastAsia="zh-CN" w:bidi="ar"/>
              </w:rPr>
              <w:t>亿元的，得</w:t>
            </w:r>
            <w:r>
              <w:rPr>
                <w:rFonts w:hint="eastAsia" w:ascii="Times New Roman" w:hAnsi="Times New Roman" w:eastAsia="仿宋_GB2312" w:cs="仿宋_GB2312"/>
                <w:i w:val="0"/>
                <w:iCs w:val="0"/>
                <w:color w:val="auto"/>
                <w:kern w:val="0"/>
                <w:sz w:val="21"/>
                <w:szCs w:val="21"/>
                <w:highlight w:val="none"/>
                <w:u w:val="none"/>
                <w:lang w:val="en-US" w:eastAsia="zh-CN" w:bidi="ar"/>
              </w:rPr>
              <w:t>1</w:t>
            </w:r>
            <w:r>
              <w:rPr>
                <w:rFonts w:hint="eastAsia" w:ascii="仿宋_GB2312" w:hAnsi="仿宋_GB2312" w:eastAsia="仿宋_GB2312" w:cs="仿宋_GB2312"/>
                <w:i w:val="0"/>
                <w:iCs w:val="0"/>
                <w:color w:val="auto"/>
                <w:kern w:val="0"/>
                <w:sz w:val="21"/>
                <w:szCs w:val="21"/>
                <w:highlight w:val="none"/>
                <w:u w:val="none"/>
                <w:lang w:val="en-US" w:eastAsia="zh-CN" w:bidi="ar"/>
              </w:rPr>
              <w:t>.</w:t>
            </w:r>
            <w:r>
              <w:rPr>
                <w:rFonts w:hint="eastAsia" w:ascii="Times New Roman" w:hAnsi="Times New Roman" w:eastAsia="仿宋_GB2312" w:cs="仿宋_GB2312"/>
                <w:i w:val="0"/>
                <w:iCs w:val="0"/>
                <w:color w:val="auto"/>
                <w:kern w:val="0"/>
                <w:sz w:val="21"/>
                <w:szCs w:val="21"/>
                <w:highlight w:val="none"/>
                <w:u w:val="none"/>
                <w:lang w:val="en-US" w:eastAsia="zh-CN" w:bidi="ar"/>
              </w:rPr>
              <w:t>5</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Times New Roman" w:hAnsi="Times New Roman" w:eastAsia="仿宋_GB2312" w:cs="仿宋_GB2312"/>
                <w:i w:val="0"/>
                <w:iCs w:val="0"/>
                <w:color w:val="auto"/>
                <w:kern w:val="0"/>
                <w:sz w:val="21"/>
                <w:szCs w:val="21"/>
                <w:highlight w:val="none"/>
                <w:u w:val="none"/>
                <w:lang w:val="en-US" w:eastAsia="zh-CN" w:bidi="ar"/>
              </w:rPr>
              <w:t>3</w:t>
            </w:r>
            <w:r>
              <w:rPr>
                <w:rFonts w:hint="eastAsia" w:ascii="仿宋_GB2312" w:hAnsi="仿宋_GB2312" w:eastAsia="仿宋_GB2312" w:cs="仿宋_GB2312"/>
                <w:i w:val="0"/>
                <w:iCs w:val="0"/>
                <w:color w:val="auto"/>
                <w:kern w:val="0"/>
                <w:sz w:val="21"/>
                <w:szCs w:val="21"/>
                <w:highlight w:val="none"/>
                <w:u w:val="none"/>
                <w:lang w:val="en-US" w:eastAsia="zh-CN" w:bidi="ar"/>
              </w:rPr>
              <w:t>.</w:t>
            </w:r>
            <w:r>
              <w:rPr>
                <w:rFonts w:ascii="仿宋_GB2312" w:hAnsi="仿宋_GB2312" w:eastAsia="仿宋_GB2312" w:cs="仿宋_GB2312"/>
                <w:color w:val="auto"/>
                <w:kern w:val="0"/>
                <w:sz w:val="21"/>
                <w:szCs w:val="21"/>
                <w:highlight w:val="none"/>
                <w:lang w:val="en-US" w:eastAsia="zh-CN" w:bidi="ar"/>
              </w:rPr>
              <w:t>考评年度累计发放保理融资款本金小于</w:t>
            </w:r>
            <w:r>
              <w:rPr>
                <w:rFonts w:hint="eastAsia" w:ascii="Times New Roman" w:hAnsi="Times New Roman" w:eastAsia="仿宋_GB2312" w:cs="仿宋_GB2312"/>
                <w:color w:val="auto"/>
                <w:kern w:val="0"/>
                <w:sz w:val="21"/>
                <w:szCs w:val="21"/>
                <w:highlight w:val="none"/>
                <w:lang w:val="en-US" w:eastAsia="zh-CN" w:bidi="ar"/>
              </w:rPr>
              <w:t>1</w:t>
            </w:r>
            <w:r>
              <w:rPr>
                <w:rFonts w:ascii="仿宋_GB2312" w:hAnsi="仿宋_GB2312" w:eastAsia="仿宋_GB2312" w:cs="仿宋_GB2312"/>
                <w:color w:val="auto"/>
                <w:kern w:val="0"/>
                <w:sz w:val="21"/>
                <w:szCs w:val="21"/>
                <w:highlight w:val="none"/>
                <w:lang w:val="en-US" w:eastAsia="zh-CN" w:bidi="ar"/>
              </w:rPr>
              <w:t>亿元的，得</w:t>
            </w:r>
            <w:r>
              <w:rPr>
                <w:rFonts w:hint="eastAsia" w:ascii="Times New Roman" w:hAnsi="Times New Roman" w:eastAsia="仿宋_GB2312" w:cs="仿宋_GB2312"/>
                <w:i w:val="0"/>
                <w:iCs w:val="0"/>
                <w:color w:val="auto"/>
                <w:kern w:val="0"/>
                <w:sz w:val="21"/>
                <w:szCs w:val="21"/>
                <w:highlight w:val="none"/>
                <w:u w:val="none"/>
                <w:lang w:val="en-US" w:eastAsia="zh-CN" w:bidi="ar"/>
              </w:rPr>
              <w:t>0</w:t>
            </w:r>
            <w:r>
              <w:rPr>
                <w:rFonts w:ascii="仿宋_GB2312" w:hAnsi="仿宋_GB2312" w:eastAsia="仿宋_GB2312" w:cs="仿宋_GB2312"/>
                <w:color w:val="auto"/>
                <w:kern w:val="0"/>
                <w:sz w:val="21"/>
                <w:szCs w:val="21"/>
                <w:highlight w:val="none"/>
                <w:lang w:val="en-US" w:eastAsia="zh-CN" w:bidi="ar"/>
              </w:rPr>
              <w:t>分。</w:t>
            </w:r>
          </w:p>
        </w:tc>
        <w:tc>
          <w:tcPr>
            <w:tcW w:w="705" w:type="dxa"/>
            <w:noWrap w:val="0"/>
            <w:vAlign w:val="top"/>
          </w:tcPr>
          <w:p w14:paraId="02BB28E9">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0989488E">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4CAAC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3" w:type="dxa"/>
            <w:vMerge w:val="continue"/>
            <w:noWrap w:val="0"/>
            <w:vAlign w:val="top"/>
          </w:tcPr>
          <w:p w14:paraId="64E63DF5">
            <w:pPr>
              <w:pStyle w:val="2"/>
              <w:jc w:val="center"/>
              <w:rPr>
                <w:rFonts w:hint="default" w:ascii="Times New Roman" w:hAnsi="Times New Roman" w:cs="Times New Roman"/>
                <w:color w:val="auto"/>
                <w:highlight w:val="none"/>
              </w:rPr>
            </w:pPr>
          </w:p>
        </w:tc>
        <w:tc>
          <w:tcPr>
            <w:tcW w:w="1536" w:type="dxa"/>
            <w:noWrap w:val="0"/>
            <w:vAlign w:val="center"/>
          </w:tcPr>
          <w:p w14:paraId="35DB475E">
            <w:pPr>
              <w:keepNext w:val="0"/>
              <w:keepLines w:val="0"/>
              <w:pageBreakBefore w:val="0"/>
              <w:widowControl/>
              <w:suppressLineNumbers w:val="0"/>
              <w:kinsoku/>
              <w:wordWrap/>
              <w:overflowPunct/>
              <w:topLinePunct w:val="0"/>
              <w:bidi w:val="0"/>
              <w:adjustRightInd/>
              <w:snapToGrid/>
              <w:spacing w:line="320" w:lineRule="exact"/>
              <w:jc w:val="center"/>
              <w:textAlignment w:val="center"/>
              <w:rPr>
                <w:rStyle w:val="74"/>
                <w:rFonts w:ascii="仿宋_GB2312" w:hAnsi="仿宋_GB2312" w:eastAsia="仿宋_GB2312" w:cs="仿宋_GB2312"/>
                <w:b/>
                <w:bCs/>
                <w:color w:val="auto"/>
                <w:sz w:val="24"/>
                <w:szCs w:val="24"/>
                <w:highlight w:val="none"/>
                <w:lang w:val="en-US" w:eastAsia="zh-CN" w:bidi="ar"/>
              </w:rPr>
            </w:pPr>
            <w:r>
              <w:rPr>
                <w:rStyle w:val="74"/>
                <w:rFonts w:ascii="仿宋_GB2312" w:hAnsi="仿宋_GB2312" w:cs="仿宋_GB2312"/>
                <w:b/>
                <w:bCs/>
                <w:color w:val="auto"/>
                <w:sz w:val="24"/>
                <w:szCs w:val="24"/>
                <w:highlight w:val="none"/>
                <w:lang w:val="en-US" w:eastAsia="zh-CN" w:bidi="ar"/>
              </w:rPr>
              <w:t>（</w:t>
            </w:r>
            <w:r>
              <w:rPr>
                <w:rStyle w:val="77"/>
                <w:rFonts w:hint="eastAsia" w:ascii="Times New Roman" w:hAnsi="Times New Roman" w:eastAsia="仿宋_GB2312" w:cs="仿宋_GB2312"/>
                <w:b/>
                <w:bCs/>
                <w:color w:val="auto"/>
                <w:sz w:val="24"/>
                <w:szCs w:val="24"/>
                <w:highlight w:val="none"/>
                <w:lang w:val="en-US" w:eastAsia="zh-CN" w:bidi="ar"/>
              </w:rPr>
              <w:t>2</w:t>
            </w:r>
            <w:r>
              <w:rPr>
                <w:rStyle w:val="77"/>
                <w:rFonts w:hint="eastAsia" w:eastAsia="仿宋_GB2312" w:cs="仿宋_GB2312"/>
                <w:b/>
                <w:bCs/>
                <w:color w:val="auto"/>
                <w:sz w:val="24"/>
                <w:szCs w:val="24"/>
                <w:highlight w:val="none"/>
                <w:lang w:val="en-US" w:eastAsia="zh-CN" w:bidi="ar"/>
              </w:rPr>
              <w:t>7</w:t>
            </w:r>
            <w:r>
              <w:rPr>
                <w:rStyle w:val="77"/>
                <w:rFonts w:hint="eastAsia" w:cs="仿宋_GB2312"/>
                <w:b/>
                <w:bCs/>
                <w:color w:val="auto"/>
                <w:sz w:val="24"/>
                <w:szCs w:val="24"/>
                <w:highlight w:val="none"/>
                <w:lang w:val="en-US" w:eastAsia="zh-CN" w:bidi="ar"/>
              </w:rPr>
              <w:t>）</w:t>
            </w:r>
          </w:p>
          <w:p w14:paraId="3ACA2CFE">
            <w:pPr>
              <w:keepNext w:val="0"/>
              <w:keepLines w:val="0"/>
              <w:pageBreakBefore w:val="0"/>
              <w:widowControl/>
              <w:suppressLineNumbers w:val="0"/>
              <w:kinsoku/>
              <w:wordWrap/>
              <w:overflowPunct/>
              <w:topLinePunct w:val="0"/>
              <w:bidi w:val="0"/>
              <w:adjustRightInd/>
              <w:snapToGrid/>
              <w:spacing w:line="320" w:lineRule="exact"/>
              <w:jc w:val="center"/>
              <w:textAlignment w:val="center"/>
              <w:rPr>
                <w:rStyle w:val="74"/>
                <w:rFonts w:ascii="仿宋_GB2312" w:hAnsi="仿宋_GB2312" w:eastAsia="仿宋_GB2312" w:cs="仿宋_GB2312"/>
                <w:b/>
                <w:bCs/>
                <w:color w:val="auto"/>
                <w:sz w:val="24"/>
                <w:szCs w:val="24"/>
                <w:highlight w:val="none"/>
                <w:lang w:val="en-US" w:eastAsia="zh-CN" w:bidi="ar"/>
              </w:rPr>
            </w:pPr>
            <w:r>
              <w:rPr>
                <w:rStyle w:val="74"/>
                <w:rFonts w:ascii="仿宋_GB2312" w:hAnsi="仿宋_GB2312" w:eastAsia="仿宋_GB2312" w:cs="仿宋_GB2312"/>
                <w:b/>
                <w:bCs/>
                <w:color w:val="auto"/>
                <w:sz w:val="24"/>
                <w:szCs w:val="24"/>
                <w:highlight w:val="none"/>
                <w:lang w:val="en-US" w:eastAsia="zh-CN" w:bidi="ar"/>
              </w:rPr>
              <w:t>服务企业</w:t>
            </w:r>
          </w:p>
          <w:p w14:paraId="3A225974">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Style w:val="74"/>
                <w:rFonts w:ascii="仿宋_GB2312" w:hAnsi="仿宋_GB2312" w:eastAsia="仿宋_GB2312" w:cs="仿宋_GB2312"/>
                <w:b/>
                <w:bCs/>
                <w:color w:val="auto"/>
                <w:sz w:val="24"/>
                <w:szCs w:val="24"/>
                <w:highlight w:val="none"/>
                <w:lang w:val="en-US" w:eastAsia="zh-CN" w:bidi="ar"/>
              </w:rPr>
              <w:t>数量</w:t>
            </w:r>
          </w:p>
        </w:tc>
        <w:tc>
          <w:tcPr>
            <w:tcW w:w="504" w:type="dxa"/>
            <w:noWrap w:val="0"/>
            <w:vAlign w:val="center"/>
          </w:tcPr>
          <w:p w14:paraId="73B631ED">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Fonts w:hint="eastAsia" w:ascii="Times New Roman" w:hAnsi="Times New Roman" w:eastAsia="仿宋_GB2312" w:cs="仿宋_GB2312"/>
                <w:b/>
                <w:bCs/>
                <w:i w:val="0"/>
                <w:iCs w:val="0"/>
                <w:color w:val="auto"/>
                <w:kern w:val="0"/>
                <w:sz w:val="24"/>
                <w:szCs w:val="24"/>
                <w:highlight w:val="none"/>
                <w:u w:val="none"/>
                <w:lang w:val="en-US" w:eastAsia="zh-CN" w:bidi="ar"/>
              </w:rPr>
              <w:t>2</w:t>
            </w:r>
          </w:p>
        </w:tc>
        <w:tc>
          <w:tcPr>
            <w:tcW w:w="8992" w:type="dxa"/>
            <w:noWrap w:val="0"/>
            <w:vAlign w:val="center"/>
          </w:tcPr>
          <w:p w14:paraId="672F57B0">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考评年度服务企业数量大于</w:t>
            </w:r>
            <w:r>
              <w:rPr>
                <w:rFonts w:hint="eastAsia" w:ascii="Times New Roman" w:hAnsi="Times New Roman" w:eastAsia="仿宋_GB2312" w:cs="仿宋_GB2312"/>
                <w:color w:val="auto"/>
                <w:kern w:val="0"/>
                <w:sz w:val="21"/>
                <w:szCs w:val="21"/>
                <w:highlight w:val="none"/>
                <w:lang w:val="en-US" w:eastAsia="zh-CN" w:bidi="ar"/>
              </w:rPr>
              <w:t>20</w:t>
            </w:r>
            <w:r>
              <w:rPr>
                <w:rFonts w:ascii="仿宋_GB2312" w:hAnsi="仿宋_GB2312" w:eastAsia="仿宋_GB2312" w:cs="仿宋_GB2312"/>
                <w:color w:val="auto"/>
                <w:kern w:val="0"/>
                <w:sz w:val="21"/>
                <w:szCs w:val="21"/>
                <w:highlight w:val="none"/>
                <w:lang w:val="en-US" w:eastAsia="zh-CN" w:bidi="ar"/>
              </w:rPr>
              <w:t>户（含）的，得</w:t>
            </w:r>
            <w:r>
              <w:rPr>
                <w:rFonts w:hint="eastAsia" w:ascii="Times New Roman" w:hAnsi="Times New Roman" w:eastAsia="仿宋_GB2312" w:cs="仿宋_GB2312"/>
                <w:color w:val="auto"/>
                <w:kern w:val="0"/>
                <w:sz w:val="21"/>
                <w:szCs w:val="21"/>
                <w:highlight w:val="none"/>
                <w:lang w:val="en-US" w:eastAsia="zh-CN" w:bidi="ar"/>
              </w:rPr>
              <w:t>2</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color w:val="auto"/>
                <w:kern w:val="0"/>
                <w:sz w:val="21"/>
                <w:szCs w:val="21"/>
                <w:highlight w:val="none"/>
                <w:lang w:val="en-US" w:eastAsia="zh-CN" w:bidi="ar"/>
              </w:rPr>
              <w:br w:type="textWrapping"/>
            </w:r>
            <w:r>
              <w:rPr>
                <w:rFonts w:hint="eastAsia" w:ascii="Times New Roman" w:hAnsi="Times New Roman" w:eastAsia="仿宋_GB2312" w:cs="仿宋_GB2312"/>
                <w:color w:val="auto"/>
                <w:kern w:val="0"/>
                <w:sz w:val="21"/>
                <w:szCs w:val="21"/>
                <w:highlight w:val="none"/>
                <w:lang w:val="en-US" w:eastAsia="zh-CN" w:bidi="ar"/>
              </w:rPr>
              <w:t>2</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考评年度服务企业数量为</w:t>
            </w:r>
            <w:r>
              <w:rPr>
                <w:rFonts w:hint="eastAsia" w:ascii="Times New Roman" w:hAnsi="Times New Roman" w:eastAsia="仿宋_GB2312" w:cs="仿宋_GB2312"/>
                <w:color w:val="auto"/>
                <w:kern w:val="0"/>
                <w:sz w:val="21"/>
                <w:szCs w:val="21"/>
                <w:highlight w:val="none"/>
                <w:lang w:val="en-US" w:eastAsia="zh-CN" w:bidi="ar"/>
              </w:rPr>
              <w:t>10</w:t>
            </w:r>
            <w:r>
              <w:rPr>
                <w:rFonts w:ascii="仿宋_GB2312" w:hAnsi="仿宋_GB2312" w:eastAsia="仿宋_GB2312" w:cs="仿宋_GB2312"/>
                <w:color w:val="auto"/>
                <w:kern w:val="0"/>
                <w:sz w:val="21"/>
                <w:szCs w:val="21"/>
                <w:highlight w:val="none"/>
                <w:lang w:val="en-US" w:eastAsia="zh-CN" w:bidi="ar"/>
              </w:rPr>
              <w:t>（含）至</w:t>
            </w:r>
            <w:r>
              <w:rPr>
                <w:rFonts w:hint="eastAsia" w:ascii="Times New Roman" w:hAnsi="Times New Roman" w:eastAsia="仿宋_GB2312" w:cs="仿宋_GB2312"/>
                <w:color w:val="auto"/>
                <w:kern w:val="0"/>
                <w:sz w:val="21"/>
                <w:szCs w:val="21"/>
                <w:highlight w:val="none"/>
                <w:lang w:val="en-US" w:eastAsia="zh-CN" w:bidi="ar"/>
              </w:rPr>
              <w:t>20</w:t>
            </w:r>
            <w:r>
              <w:rPr>
                <w:rFonts w:ascii="仿宋_GB2312" w:hAnsi="仿宋_GB2312" w:eastAsia="仿宋_GB2312" w:cs="仿宋_GB2312"/>
                <w:color w:val="auto"/>
                <w:kern w:val="0"/>
                <w:sz w:val="21"/>
                <w:szCs w:val="21"/>
                <w:highlight w:val="none"/>
                <w:lang w:val="en-US" w:eastAsia="zh-CN" w:bidi="ar"/>
              </w:rPr>
              <w:t>户的，得</w:t>
            </w:r>
            <w:r>
              <w:rPr>
                <w:rFonts w:hint="eastAsia" w:ascii="Times New Roman" w:hAnsi="Times New Roman" w:eastAsia="仿宋_GB2312" w:cs="仿宋_GB2312"/>
                <w:color w:val="auto"/>
                <w:kern w:val="0"/>
                <w:sz w:val="21"/>
                <w:szCs w:val="21"/>
                <w:highlight w:val="none"/>
                <w:lang w:val="en-US" w:eastAsia="zh-CN" w:bidi="ar"/>
              </w:rPr>
              <w:t>1</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color w:val="auto"/>
                <w:kern w:val="0"/>
                <w:sz w:val="21"/>
                <w:szCs w:val="21"/>
                <w:highlight w:val="none"/>
                <w:lang w:val="en-US" w:eastAsia="zh-CN" w:bidi="ar"/>
              </w:rPr>
              <w:br w:type="textWrapping"/>
            </w:r>
            <w:r>
              <w:rPr>
                <w:rFonts w:hint="eastAsia" w:ascii="Times New Roman" w:hAnsi="Times New Roman" w:eastAsia="仿宋_GB2312" w:cs="仿宋_GB2312"/>
                <w:color w:val="auto"/>
                <w:kern w:val="0"/>
                <w:sz w:val="21"/>
                <w:szCs w:val="21"/>
                <w:highlight w:val="none"/>
                <w:lang w:val="en-US" w:eastAsia="zh-CN" w:bidi="ar"/>
              </w:rPr>
              <w:t>3</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考评年度服务企业数量小于</w:t>
            </w:r>
            <w:r>
              <w:rPr>
                <w:rFonts w:hint="eastAsia" w:ascii="Times New Roman" w:hAnsi="Times New Roman" w:eastAsia="仿宋_GB2312" w:cs="仿宋_GB2312"/>
                <w:color w:val="auto"/>
                <w:kern w:val="0"/>
                <w:sz w:val="21"/>
                <w:szCs w:val="21"/>
                <w:highlight w:val="none"/>
                <w:lang w:val="en-US" w:eastAsia="zh-CN" w:bidi="ar"/>
              </w:rPr>
              <w:t>10</w:t>
            </w:r>
            <w:r>
              <w:rPr>
                <w:rFonts w:ascii="仿宋_GB2312" w:hAnsi="仿宋_GB2312" w:eastAsia="仿宋_GB2312" w:cs="仿宋_GB2312"/>
                <w:color w:val="auto"/>
                <w:kern w:val="0"/>
                <w:sz w:val="21"/>
                <w:szCs w:val="21"/>
                <w:highlight w:val="none"/>
                <w:lang w:val="en-US" w:eastAsia="zh-CN" w:bidi="ar"/>
              </w:rPr>
              <w:t>户的，得</w:t>
            </w:r>
            <w:r>
              <w:rPr>
                <w:rFonts w:hint="eastAsia" w:ascii="Times New Roman" w:hAnsi="Times New Roman" w:eastAsia="仿宋_GB2312" w:cs="仿宋_GB2312"/>
                <w:color w:val="auto"/>
                <w:kern w:val="0"/>
                <w:sz w:val="21"/>
                <w:szCs w:val="21"/>
                <w:highlight w:val="none"/>
                <w:lang w:val="en-US" w:eastAsia="zh-CN" w:bidi="ar"/>
              </w:rPr>
              <w:t>0</w:t>
            </w:r>
            <w:r>
              <w:rPr>
                <w:rFonts w:ascii="仿宋_GB2312" w:hAnsi="仿宋_GB2312" w:eastAsia="仿宋_GB2312" w:cs="仿宋_GB2312"/>
                <w:color w:val="auto"/>
                <w:kern w:val="0"/>
                <w:sz w:val="21"/>
                <w:szCs w:val="21"/>
                <w:highlight w:val="none"/>
                <w:lang w:val="en-US" w:eastAsia="zh-CN" w:bidi="ar"/>
              </w:rPr>
              <w:t>分。</w:t>
            </w:r>
          </w:p>
        </w:tc>
        <w:tc>
          <w:tcPr>
            <w:tcW w:w="705" w:type="dxa"/>
            <w:noWrap w:val="0"/>
            <w:vAlign w:val="top"/>
          </w:tcPr>
          <w:p w14:paraId="36BE84CD">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75681E36">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70D53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3" w:type="dxa"/>
            <w:vMerge w:val="continue"/>
            <w:noWrap w:val="0"/>
            <w:vAlign w:val="top"/>
          </w:tcPr>
          <w:p w14:paraId="24E9C864">
            <w:pPr>
              <w:pStyle w:val="2"/>
              <w:jc w:val="center"/>
              <w:rPr>
                <w:rFonts w:hint="default" w:ascii="Times New Roman" w:hAnsi="Times New Roman" w:cs="Times New Roman"/>
                <w:color w:val="auto"/>
                <w:highlight w:val="none"/>
              </w:rPr>
            </w:pPr>
          </w:p>
        </w:tc>
        <w:tc>
          <w:tcPr>
            <w:tcW w:w="1536" w:type="dxa"/>
            <w:noWrap w:val="0"/>
            <w:vAlign w:val="center"/>
          </w:tcPr>
          <w:p w14:paraId="3893C362">
            <w:pPr>
              <w:keepNext w:val="0"/>
              <w:keepLines w:val="0"/>
              <w:pageBreakBefore w:val="0"/>
              <w:widowControl/>
              <w:suppressLineNumbers w:val="0"/>
              <w:kinsoku/>
              <w:wordWrap/>
              <w:overflowPunct/>
              <w:topLinePunct w:val="0"/>
              <w:bidi w:val="0"/>
              <w:adjustRightInd/>
              <w:snapToGrid/>
              <w:spacing w:line="320" w:lineRule="exact"/>
              <w:jc w:val="center"/>
              <w:textAlignment w:val="center"/>
              <w:rPr>
                <w:rStyle w:val="74"/>
                <w:rFonts w:ascii="仿宋_GB2312" w:hAnsi="仿宋_GB2312" w:eastAsia="仿宋_GB2312" w:cs="仿宋_GB2312"/>
                <w:b/>
                <w:bCs/>
                <w:color w:val="auto"/>
                <w:sz w:val="24"/>
                <w:szCs w:val="24"/>
                <w:highlight w:val="none"/>
                <w:lang w:val="en-US" w:eastAsia="zh-CN" w:bidi="ar"/>
              </w:rPr>
            </w:pPr>
            <w:r>
              <w:rPr>
                <w:rStyle w:val="74"/>
                <w:rFonts w:ascii="仿宋_GB2312" w:hAnsi="仿宋_GB2312" w:cs="仿宋_GB2312"/>
                <w:b/>
                <w:bCs/>
                <w:color w:val="auto"/>
                <w:sz w:val="24"/>
                <w:szCs w:val="24"/>
                <w:highlight w:val="none"/>
                <w:lang w:val="en-US" w:eastAsia="zh-CN" w:bidi="ar"/>
              </w:rPr>
              <w:t>（</w:t>
            </w:r>
            <w:r>
              <w:rPr>
                <w:rStyle w:val="77"/>
                <w:rFonts w:hint="eastAsia" w:ascii="Times New Roman" w:hAnsi="Times New Roman" w:eastAsia="仿宋_GB2312" w:cs="仿宋_GB2312"/>
                <w:b/>
                <w:bCs/>
                <w:color w:val="auto"/>
                <w:sz w:val="24"/>
                <w:szCs w:val="24"/>
                <w:highlight w:val="none"/>
                <w:lang w:val="en-US" w:eastAsia="zh-CN" w:bidi="ar"/>
              </w:rPr>
              <w:t>2</w:t>
            </w:r>
            <w:r>
              <w:rPr>
                <w:rStyle w:val="77"/>
                <w:rFonts w:hint="eastAsia" w:eastAsia="仿宋_GB2312" w:cs="仿宋_GB2312"/>
                <w:b/>
                <w:bCs/>
                <w:color w:val="auto"/>
                <w:sz w:val="24"/>
                <w:szCs w:val="24"/>
                <w:highlight w:val="none"/>
                <w:lang w:val="en-US" w:eastAsia="zh-CN" w:bidi="ar"/>
              </w:rPr>
              <w:t>8</w:t>
            </w:r>
            <w:r>
              <w:rPr>
                <w:rStyle w:val="77"/>
                <w:rFonts w:hint="eastAsia" w:cs="仿宋_GB2312"/>
                <w:b/>
                <w:bCs/>
                <w:color w:val="auto"/>
                <w:sz w:val="24"/>
                <w:szCs w:val="24"/>
                <w:highlight w:val="none"/>
                <w:lang w:val="en-US" w:eastAsia="zh-CN" w:bidi="ar"/>
              </w:rPr>
              <w:t>）</w:t>
            </w:r>
          </w:p>
          <w:p w14:paraId="0D6A045E">
            <w:pPr>
              <w:keepNext w:val="0"/>
              <w:keepLines w:val="0"/>
              <w:pageBreakBefore w:val="0"/>
              <w:widowControl/>
              <w:suppressLineNumbers w:val="0"/>
              <w:kinsoku/>
              <w:wordWrap/>
              <w:overflowPunct/>
              <w:topLinePunct w:val="0"/>
              <w:bidi w:val="0"/>
              <w:adjustRightInd/>
              <w:snapToGrid/>
              <w:spacing w:line="320" w:lineRule="exact"/>
              <w:jc w:val="center"/>
              <w:textAlignment w:val="center"/>
              <w:rPr>
                <w:rStyle w:val="74"/>
                <w:rFonts w:hint="eastAsia" w:ascii="仿宋_GB2312" w:hAnsi="仿宋_GB2312" w:eastAsia="仿宋_GB2312" w:cs="仿宋_GB2312"/>
                <w:b/>
                <w:bCs/>
                <w:color w:val="auto"/>
                <w:sz w:val="24"/>
                <w:szCs w:val="24"/>
                <w:highlight w:val="none"/>
                <w:lang w:val="en-US" w:eastAsia="zh-CN" w:bidi="ar"/>
              </w:rPr>
            </w:pPr>
            <w:r>
              <w:rPr>
                <w:rStyle w:val="74"/>
                <w:rFonts w:hint="eastAsia" w:ascii="仿宋_GB2312" w:hAnsi="仿宋_GB2312" w:eastAsia="仿宋_GB2312" w:cs="仿宋_GB2312"/>
                <w:b/>
                <w:bCs/>
                <w:color w:val="auto"/>
                <w:sz w:val="24"/>
                <w:szCs w:val="24"/>
                <w:highlight w:val="none"/>
                <w:lang w:val="en-US" w:eastAsia="zh-CN" w:bidi="ar"/>
              </w:rPr>
              <w:t>业务发展</w:t>
            </w:r>
          </w:p>
          <w:p w14:paraId="3BE013E8">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Style w:val="74"/>
                <w:rFonts w:hint="eastAsia" w:ascii="仿宋_GB2312" w:hAnsi="仿宋_GB2312" w:eastAsia="仿宋_GB2312" w:cs="仿宋_GB2312"/>
                <w:b/>
                <w:bCs/>
                <w:color w:val="auto"/>
                <w:sz w:val="24"/>
                <w:szCs w:val="24"/>
                <w:highlight w:val="none"/>
                <w:lang w:val="en-US" w:eastAsia="zh-CN" w:bidi="ar"/>
              </w:rPr>
              <w:t>情况</w:t>
            </w:r>
          </w:p>
        </w:tc>
        <w:tc>
          <w:tcPr>
            <w:tcW w:w="504" w:type="dxa"/>
            <w:noWrap w:val="0"/>
            <w:vAlign w:val="center"/>
          </w:tcPr>
          <w:p w14:paraId="48CD1FC2">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Fonts w:hint="eastAsia" w:ascii="Times New Roman" w:hAnsi="Times New Roman" w:eastAsia="仿宋_GB2312" w:cs="仿宋_GB2312"/>
                <w:b/>
                <w:bCs/>
                <w:i w:val="0"/>
                <w:iCs w:val="0"/>
                <w:color w:val="auto"/>
                <w:sz w:val="24"/>
                <w:szCs w:val="24"/>
                <w:highlight w:val="none"/>
                <w:u w:val="none"/>
                <w:lang w:val="en-US" w:eastAsia="zh-CN"/>
              </w:rPr>
              <w:t>2</w:t>
            </w:r>
          </w:p>
        </w:tc>
        <w:tc>
          <w:tcPr>
            <w:tcW w:w="8992" w:type="dxa"/>
            <w:noWrap w:val="0"/>
            <w:vAlign w:val="center"/>
          </w:tcPr>
          <w:p w14:paraId="174DCCE5">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Times New Roman" w:hAnsi="Times New Roman" w:eastAsia="仿宋_GB2312" w:cs="Times New Roman"/>
                <w:i w:val="0"/>
                <w:iCs w:val="0"/>
                <w:color w:val="auto"/>
                <w:kern w:val="0"/>
                <w:sz w:val="21"/>
                <w:szCs w:val="21"/>
                <w:highlight w:val="none"/>
                <w:u w:val="none"/>
                <w:lang w:bidi="ar"/>
              </w:rPr>
            </w:pPr>
            <w:r>
              <w:rPr>
                <w:rFonts w:hint="eastAsia" w:eastAsia="仿宋_GB2312" w:cs="Times New Roman"/>
                <w:i w:val="0"/>
                <w:iCs w:val="0"/>
                <w:color w:val="auto"/>
                <w:kern w:val="0"/>
                <w:sz w:val="21"/>
                <w:szCs w:val="21"/>
                <w:highlight w:val="none"/>
                <w:u w:val="none"/>
                <w:lang w:val="en-US" w:eastAsia="zh-CN" w:bidi="ar"/>
              </w:rPr>
              <w:t>1.</w:t>
            </w:r>
            <w:r>
              <w:rPr>
                <w:rFonts w:hint="default" w:ascii="Times New Roman" w:hAnsi="Times New Roman" w:eastAsia="仿宋_GB2312" w:cs="Times New Roman"/>
                <w:i w:val="0"/>
                <w:iCs w:val="0"/>
                <w:color w:val="auto"/>
                <w:kern w:val="0"/>
                <w:sz w:val="21"/>
                <w:szCs w:val="21"/>
                <w:highlight w:val="none"/>
                <w:u w:val="none"/>
                <w:lang w:bidi="ar"/>
              </w:rPr>
              <w:t>考评年度发放保理融资款总额较上年度有所增长的，得2分；</w:t>
            </w:r>
          </w:p>
          <w:p w14:paraId="75235CFC">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eastAsia="仿宋_GB2312" w:cs="Times New Roman"/>
                <w:i w:val="0"/>
                <w:iCs w:val="0"/>
                <w:color w:val="auto"/>
                <w:kern w:val="0"/>
                <w:sz w:val="21"/>
                <w:szCs w:val="21"/>
                <w:highlight w:val="none"/>
                <w:u w:val="none"/>
                <w:lang w:val="en-US" w:eastAsia="zh-CN" w:bidi="ar"/>
              </w:rPr>
              <w:t>2.</w:t>
            </w:r>
            <w:r>
              <w:rPr>
                <w:rFonts w:hint="default" w:ascii="Times New Roman" w:hAnsi="Times New Roman" w:eastAsia="仿宋_GB2312" w:cs="Times New Roman"/>
                <w:i w:val="0"/>
                <w:iCs w:val="0"/>
                <w:color w:val="auto"/>
                <w:kern w:val="0"/>
                <w:sz w:val="21"/>
                <w:szCs w:val="21"/>
                <w:highlight w:val="none"/>
                <w:u w:val="none"/>
                <w:lang w:bidi="ar"/>
              </w:rPr>
              <w:t>考评年度发放保理融资款总额较上年度未增长的，得0分。</w:t>
            </w:r>
          </w:p>
        </w:tc>
        <w:tc>
          <w:tcPr>
            <w:tcW w:w="705" w:type="dxa"/>
            <w:noWrap w:val="0"/>
            <w:vAlign w:val="top"/>
          </w:tcPr>
          <w:p w14:paraId="7D3A1D34">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5EC2F056">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24B7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3" w:type="dxa"/>
            <w:vMerge w:val="continue"/>
            <w:noWrap w:val="0"/>
            <w:vAlign w:val="top"/>
          </w:tcPr>
          <w:p w14:paraId="1D59F3F6">
            <w:pPr>
              <w:pStyle w:val="2"/>
              <w:jc w:val="center"/>
              <w:rPr>
                <w:rFonts w:hint="default" w:ascii="Times New Roman" w:hAnsi="Times New Roman" w:cs="Times New Roman"/>
                <w:color w:val="auto"/>
                <w:highlight w:val="none"/>
              </w:rPr>
            </w:pPr>
          </w:p>
        </w:tc>
        <w:tc>
          <w:tcPr>
            <w:tcW w:w="1536" w:type="dxa"/>
            <w:noWrap w:val="0"/>
            <w:vAlign w:val="center"/>
          </w:tcPr>
          <w:p w14:paraId="4E3BE714">
            <w:pPr>
              <w:keepNext w:val="0"/>
              <w:keepLines w:val="0"/>
              <w:pageBreakBefore w:val="0"/>
              <w:widowControl/>
              <w:suppressLineNumbers w:val="0"/>
              <w:kinsoku/>
              <w:wordWrap/>
              <w:overflowPunct/>
              <w:topLinePunct w:val="0"/>
              <w:bidi w:val="0"/>
              <w:adjustRightInd/>
              <w:snapToGrid/>
              <w:spacing w:line="320" w:lineRule="exact"/>
              <w:jc w:val="center"/>
              <w:textAlignment w:val="center"/>
              <w:rPr>
                <w:rStyle w:val="73"/>
                <w:rFonts w:ascii="仿宋_GB2312" w:hAnsi="仿宋_GB2312" w:eastAsia="仿宋_GB2312" w:cs="仿宋_GB2312"/>
                <w:b/>
                <w:bCs/>
                <w:color w:val="auto"/>
                <w:sz w:val="24"/>
                <w:szCs w:val="24"/>
                <w:highlight w:val="none"/>
                <w:lang w:val="en-US" w:eastAsia="zh-CN" w:bidi="ar"/>
              </w:rPr>
            </w:pPr>
            <w:r>
              <w:rPr>
                <w:rStyle w:val="73"/>
                <w:rFonts w:ascii="仿宋_GB2312" w:hAnsi="仿宋_GB2312" w:cs="仿宋_GB2312"/>
                <w:b/>
                <w:bCs/>
                <w:color w:val="auto"/>
                <w:sz w:val="24"/>
                <w:szCs w:val="24"/>
                <w:highlight w:val="none"/>
                <w:lang w:val="en-US" w:eastAsia="zh-CN" w:bidi="ar"/>
              </w:rPr>
              <w:t>（</w:t>
            </w:r>
            <w:r>
              <w:rPr>
                <w:rFonts w:hint="eastAsia" w:ascii="Times New Roman" w:hAnsi="Times New Roman" w:eastAsia="仿宋_GB2312" w:cs="仿宋_GB2312"/>
                <w:b/>
                <w:bCs/>
                <w:i w:val="0"/>
                <w:iCs w:val="0"/>
                <w:color w:val="auto"/>
                <w:kern w:val="0"/>
                <w:sz w:val="24"/>
                <w:szCs w:val="24"/>
                <w:highlight w:val="none"/>
                <w:u w:val="none"/>
                <w:lang w:val="en-US" w:eastAsia="zh-CN" w:bidi="ar"/>
              </w:rPr>
              <w:t>2</w:t>
            </w:r>
            <w:r>
              <w:rPr>
                <w:rFonts w:hint="eastAsia" w:eastAsia="仿宋_GB2312" w:cs="仿宋_GB2312"/>
                <w:b/>
                <w:bCs/>
                <w:i w:val="0"/>
                <w:iCs w:val="0"/>
                <w:color w:val="auto"/>
                <w:kern w:val="0"/>
                <w:sz w:val="24"/>
                <w:szCs w:val="24"/>
                <w:highlight w:val="none"/>
                <w:u w:val="none"/>
                <w:lang w:val="en-US" w:eastAsia="zh-CN" w:bidi="ar"/>
              </w:rPr>
              <w:t>9</w:t>
            </w:r>
            <w:r>
              <w:rPr>
                <w:rFonts w:hint="eastAsia" w:cs="仿宋_GB2312"/>
                <w:b/>
                <w:bCs/>
                <w:i w:val="0"/>
                <w:iCs w:val="0"/>
                <w:color w:val="auto"/>
                <w:kern w:val="0"/>
                <w:sz w:val="24"/>
                <w:szCs w:val="24"/>
                <w:highlight w:val="none"/>
                <w:u w:val="none"/>
                <w:lang w:val="en-US" w:eastAsia="zh-CN" w:bidi="ar"/>
              </w:rPr>
              <w:t>）</w:t>
            </w:r>
          </w:p>
          <w:p w14:paraId="1B6E73DC">
            <w:pPr>
              <w:keepNext w:val="0"/>
              <w:keepLines w:val="0"/>
              <w:pageBreakBefore w:val="0"/>
              <w:widowControl/>
              <w:suppressLineNumbers w:val="0"/>
              <w:kinsoku/>
              <w:wordWrap/>
              <w:overflowPunct/>
              <w:topLinePunct w:val="0"/>
              <w:bidi w:val="0"/>
              <w:adjustRightInd/>
              <w:snapToGrid/>
              <w:spacing w:line="320" w:lineRule="exact"/>
              <w:jc w:val="center"/>
              <w:textAlignment w:val="center"/>
              <w:rPr>
                <w:rStyle w:val="73"/>
                <w:rFonts w:ascii="仿宋_GB2312" w:hAnsi="仿宋_GB2312" w:eastAsia="仿宋_GB2312" w:cs="仿宋_GB2312"/>
                <w:b/>
                <w:bCs/>
                <w:color w:val="auto"/>
                <w:sz w:val="24"/>
                <w:szCs w:val="24"/>
                <w:highlight w:val="none"/>
                <w:lang w:val="en-US" w:eastAsia="zh-CN" w:bidi="ar"/>
              </w:rPr>
            </w:pPr>
            <w:r>
              <w:rPr>
                <w:rStyle w:val="73"/>
                <w:rFonts w:ascii="仿宋_GB2312" w:hAnsi="仿宋_GB2312" w:eastAsia="仿宋_GB2312" w:cs="仿宋_GB2312"/>
                <w:b/>
                <w:bCs/>
                <w:color w:val="auto"/>
                <w:sz w:val="24"/>
                <w:szCs w:val="24"/>
                <w:highlight w:val="none"/>
                <w:lang w:val="en-US" w:eastAsia="zh-CN" w:bidi="ar"/>
              </w:rPr>
              <w:t>净资产</w:t>
            </w:r>
          </w:p>
          <w:p w14:paraId="41FFDF93">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Style w:val="73"/>
                <w:rFonts w:ascii="仿宋_GB2312" w:hAnsi="仿宋_GB2312" w:eastAsia="仿宋_GB2312" w:cs="仿宋_GB2312"/>
                <w:b/>
                <w:bCs/>
                <w:color w:val="auto"/>
                <w:sz w:val="24"/>
                <w:szCs w:val="24"/>
                <w:highlight w:val="none"/>
                <w:lang w:val="en-US" w:eastAsia="zh-CN" w:bidi="ar"/>
              </w:rPr>
              <w:t>收益率</w:t>
            </w:r>
          </w:p>
        </w:tc>
        <w:tc>
          <w:tcPr>
            <w:tcW w:w="504" w:type="dxa"/>
            <w:noWrap w:val="0"/>
            <w:vAlign w:val="center"/>
          </w:tcPr>
          <w:p w14:paraId="0CB05D7B">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Fonts w:hint="eastAsia" w:ascii="Times New Roman" w:hAnsi="Times New Roman" w:eastAsia="仿宋_GB2312" w:cs="仿宋_GB2312"/>
                <w:b/>
                <w:bCs/>
                <w:i w:val="0"/>
                <w:iCs w:val="0"/>
                <w:color w:val="auto"/>
                <w:kern w:val="0"/>
                <w:sz w:val="24"/>
                <w:szCs w:val="24"/>
                <w:highlight w:val="none"/>
                <w:u w:val="none"/>
                <w:lang w:val="en-US" w:eastAsia="zh-CN" w:bidi="ar"/>
              </w:rPr>
              <w:t>2</w:t>
            </w:r>
          </w:p>
        </w:tc>
        <w:tc>
          <w:tcPr>
            <w:tcW w:w="8992" w:type="dxa"/>
            <w:noWrap w:val="0"/>
            <w:vAlign w:val="center"/>
          </w:tcPr>
          <w:p w14:paraId="6A1BB152">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i w:val="0"/>
                <w:iCs w:val="0"/>
                <w:color w:val="auto"/>
                <w:kern w:val="0"/>
                <w:sz w:val="21"/>
                <w:szCs w:val="21"/>
                <w:highlight w:val="none"/>
                <w:u w:val="none"/>
                <w:lang w:val="en-US" w:eastAsia="zh-CN" w:bidi="ar"/>
              </w:rPr>
              <w:t>1</w:t>
            </w:r>
            <w:r>
              <w:rPr>
                <w:rFonts w:hint="eastAsia" w:ascii="仿宋_GB2312" w:hAnsi="仿宋_GB2312" w:eastAsia="仿宋_GB2312" w:cs="仿宋_GB2312"/>
                <w:i w:val="0"/>
                <w:iCs w:val="0"/>
                <w:color w:val="auto"/>
                <w:kern w:val="0"/>
                <w:sz w:val="21"/>
                <w:szCs w:val="21"/>
                <w:highlight w:val="none"/>
                <w:u w:val="none"/>
                <w:lang w:val="en-US" w:eastAsia="zh-CN" w:bidi="ar"/>
              </w:rPr>
              <w:t>.</w:t>
            </w:r>
            <w:r>
              <w:rPr>
                <w:rFonts w:ascii="仿宋_GB2312" w:hAnsi="仿宋_GB2312" w:eastAsia="仿宋_GB2312" w:cs="仿宋_GB2312"/>
                <w:color w:val="auto"/>
                <w:kern w:val="0"/>
                <w:sz w:val="21"/>
                <w:szCs w:val="21"/>
                <w:highlight w:val="none"/>
                <w:lang w:val="en-US" w:eastAsia="zh-CN" w:bidi="ar"/>
              </w:rPr>
              <w:t>考评年度年末净资产收益率大于</w:t>
            </w:r>
            <w:r>
              <w:rPr>
                <w:rFonts w:hint="eastAsia" w:ascii="Times New Roman" w:hAnsi="Times New Roman" w:eastAsia="仿宋_GB2312" w:cs="仿宋_GB2312"/>
                <w:i w:val="0"/>
                <w:iCs w:val="0"/>
                <w:color w:val="auto"/>
                <w:kern w:val="0"/>
                <w:sz w:val="21"/>
                <w:szCs w:val="21"/>
                <w:highlight w:val="none"/>
                <w:u w:val="none"/>
                <w:lang w:val="en-US" w:eastAsia="zh-CN" w:bidi="ar"/>
              </w:rPr>
              <w:t>3</w:t>
            </w:r>
            <w:r>
              <w:rPr>
                <w:rFonts w:hint="eastAsia" w:ascii="仿宋_GB2312" w:hAnsi="仿宋_GB2312" w:eastAsia="仿宋_GB2312" w:cs="仿宋_GB2312"/>
                <w:i w:val="0"/>
                <w:iCs w:val="0"/>
                <w:color w:val="auto"/>
                <w:kern w:val="0"/>
                <w:sz w:val="21"/>
                <w:szCs w:val="21"/>
                <w:highlight w:val="none"/>
                <w:u w:val="none"/>
                <w:lang w:val="en-US" w:eastAsia="zh-CN" w:bidi="ar"/>
              </w:rPr>
              <w:t>%</w:t>
            </w:r>
            <w:r>
              <w:rPr>
                <w:rFonts w:ascii="仿宋_GB2312" w:hAnsi="仿宋_GB2312" w:eastAsia="仿宋_GB2312" w:cs="仿宋_GB2312"/>
                <w:color w:val="auto"/>
                <w:kern w:val="0"/>
                <w:sz w:val="21"/>
                <w:szCs w:val="21"/>
                <w:highlight w:val="none"/>
                <w:lang w:val="en-US" w:eastAsia="zh-CN" w:bidi="ar"/>
              </w:rPr>
              <w:t>（含）的，得</w:t>
            </w:r>
            <w:r>
              <w:rPr>
                <w:rFonts w:hint="eastAsia" w:ascii="Times New Roman" w:hAnsi="Times New Roman" w:eastAsia="仿宋_GB2312" w:cs="仿宋_GB2312"/>
                <w:i w:val="0"/>
                <w:iCs w:val="0"/>
                <w:color w:val="auto"/>
                <w:kern w:val="0"/>
                <w:sz w:val="21"/>
                <w:szCs w:val="21"/>
                <w:highlight w:val="none"/>
                <w:u w:val="none"/>
                <w:lang w:val="en-US" w:eastAsia="zh-CN" w:bidi="ar"/>
              </w:rPr>
              <w:t>2</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Times New Roman" w:hAnsi="Times New Roman" w:eastAsia="仿宋_GB2312" w:cs="仿宋_GB2312"/>
                <w:i w:val="0"/>
                <w:iCs w:val="0"/>
                <w:color w:val="auto"/>
                <w:kern w:val="0"/>
                <w:sz w:val="21"/>
                <w:szCs w:val="21"/>
                <w:highlight w:val="none"/>
                <w:u w:val="none"/>
                <w:lang w:val="en-US" w:eastAsia="zh-CN" w:bidi="ar"/>
              </w:rPr>
              <w:t>2</w:t>
            </w:r>
            <w:r>
              <w:rPr>
                <w:rFonts w:hint="eastAsia" w:ascii="仿宋_GB2312" w:hAnsi="仿宋_GB2312" w:eastAsia="仿宋_GB2312" w:cs="仿宋_GB2312"/>
                <w:i w:val="0"/>
                <w:iCs w:val="0"/>
                <w:color w:val="auto"/>
                <w:kern w:val="0"/>
                <w:sz w:val="21"/>
                <w:szCs w:val="21"/>
                <w:highlight w:val="none"/>
                <w:u w:val="none"/>
                <w:lang w:val="en-US" w:eastAsia="zh-CN" w:bidi="ar"/>
              </w:rPr>
              <w:t>.</w:t>
            </w:r>
            <w:r>
              <w:rPr>
                <w:rFonts w:ascii="仿宋_GB2312" w:hAnsi="仿宋_GB2312" w:eastAsia="仿宋_GB2312" w:cs="仿宋_GB2312"/>
                <w:color w:val="auto"/>
                <w:kern w:val="0"/>
                <w:sz w:val="21"/>
                <w:szCs w:val="21"/>
                <w:highlight w:val="none"/>
                <w:lang w:val="en-US" w:eastAsia="zh-CN" w:bidi="ar"/>
              </w:rPr>
              <w:t>考评年度年末净资产收益率</w:t>
            </w:r>
            <w:r>
              <w:rPr>
                <w:rFonts w:hint="eastAsia" w:ascii="Times New Roman" w:hAnsi="Times New Roman" w:eastAsia="仿宋_GB2312" w:cs="仿宋_GB2312"/>
                <w:color w:val="auto"/>
                <w:kern w:val="0"/>
                <w:sz w:val="21"/>
                <w:szCs w:val="21"/>
                <w:highlight w:val="none"/>
                <w:lang w:val="en-US" w:eastAsia="zh-CN" w:bidi="ar"/>
              </w:rPr>
              <w:t>1</w:t>
            </w:r>
            <w:r>
              <w:rPr>
                <w:rFonts w:hint="eastAsia" w:ascii="仿宋_GB2312" w:hAnsi="仿宋_GB2312" w:eastAsia="仿宋_GB2312" w:cs="仿宋_GB2312"/>
                <w:color w:val="auto"/>
                <w:kern w:val="0"/>
                <w:sz w:val="21"/>
                <w:szCs w:val="21"/>
                <w:highlight w:val="none"/>
                <w:lang w:val="en-US" w:eastAsia="zh-CN" w:bidi="ar"/>
              </w:rPr>
              <w:t>.</w:t>
            </w:r>
            <w:r>
              <w:rPr>
                <w:rFonts w:hint="eastAsia" w:ascii="Times New Roman" w:hAnsi="Times New Roman" w:eastAsia="仿宋_GB2312" w:cs="仿宋_GB2312"/>
                <w:color w:val="auto"/>
                <w:kern w:val="0"/>
                <w:sz w:val="21"/>
                <w:szCs w:val="21"/>
                <w:highlight w:val="none"/>
                <w:lang w:val="en-US" w:eastAsia="zh-CN" w:bidi="ar"/>
              </w:rPr>
              <w:t>5</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（含）至</w:t>
            </w:r>
            <w:r>
              <w:rPr>
                <w:rFonts w:hint="eastAsia" w:ascii="Times New Roman" w:hAnsi="Times New Roman" w:eastAsia="仿宋_GB2312" w:cs="仿宋_GB2312"/>
                <w:color w:val="auto"/>
                <w:kern w:val="0"/>
                <w:sz w:val="21"/>
                <w:szCs w:val="21"/>
                <w:highlight w:val="none"/>
                <w:lang w:val="en-US" w:eastAsia="zh-CN" w:bidi="ar"/>
              </w:rPr>
              <w:t>3</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的，得</w:t>
            </w:r>
            <w:r>
              <w:rPr>
                <w:rFonts w:hint="eastAsia" w:ascii="Times New Roman" w:hAnsi="Times New Roman" w:eastAsia="仿宋_GB2312" w:cs="仿宋_GB2312"/>
                <w:i w:val="0"/>
                <w:iCs w:val="0"/>
                <w:color w:val="auto"/>
                <w:kern w:val="0"/>
                <w:sz w:val="21"/>
                <w:szCs w:val="21"/>
                <w:highlight w:val="none"/>
                <w:u w:val="none"/>
                <w:lang w:val="en-US" w:eastAsia="zh-CN" w:bidi="ar"/>
              </w:rPr>
              <w:t>1</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Times New Roman" w:hAnsi="Times New Roman" w:eastAsia="仿宋_GB2312" w:cs="仿宋_GB2312"/>
                <w:i w:val="0"/>
                <w:iCs w:val="0"/>
                <w:color w:val="auto"/>
                <w:kern w:val="0"/>
                <w:sz w:val="21"/>
                <w:szCs w:val="21"/>
                <w:highlight w:val="none"/>
                <w:u w:val="none"/>
                <w:lang w:val="en-US" w:eastAsia="zh-CN" w:bidi="ar"/>
              </w:rPr>
              <w:t>3</w:t>
            </w:r>
            <w:r>
              <w:rPr>
                <w:rFonts w:hint="eastAsia" w:ascii="仿宋_GB2312" w:hAnsi="仿宋_GB2312" w:eastAsia="仿宋_GB2312" w:cs="仿宋_GB2312"/>
                <w:i w:val="0"/>
                <w:iCs w:val="0"/>
                <w:color w:val="auto"/>
                <w:kern w:val="0"/>
                <w:sz w:val="21"/>
                <w:szCs w:val="21"/>
                <w:highlight w:val="none"/>
                <w:u w:val="none"/>
                <w:lang w:val="en-US" w:eastAsia="zh-CN" w:bidi="ar"/>
              </w:rPr>
              <w:t>.</w:t>
            </w:r>
            <w:r>
              <w:rPr>
                <w:rFonts w:ascii="仿宋_GB2312" w:hAnsi="仿宋_GB2312" w:eastAsia="仿宋_GB2312" w:cs="仿宋_GB2312"/>
                <w:color w:val="auto"/>
                <w:kern w:val="0"/>
                <w:sz w:val="21"/>
                <w:szCs w:val="21"/>
                <w:highlight w:val="none"/>
                <w:lang w:val="en-US" w:eastAsia="zh-CN" w:bidi="ar"/>
              </w:rPr>
              <w:t>考评年度年末净资产收益率</w:t>
            </w:r>
            <w:r>
              <w:rPr>
                <w:rFonts w:hint="eastAsia" w:ascii="Times New Roman" w:hAnsi="Times New Roman" w:eastAsia="仿宋_GB2312" w:cs="仿宋_GB2312"/>
                <w:color w:val="auto"/>
                <w:kern w:val="0"/>
                <w:sz w:val="21"/>
                <w:szCs w:val="21"/>
                <w:highlight w:val="none"/>
                <w:lang w:val="en-US" w:eastAsia="zh-CN" w:bidi="ar"/>
              </w:rPr>
              <w:t>0</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（含）至</w:t>
            </w:r>
            <w:r>
              <w:rPr>
                <w:rFonts w:hint="eastAsia" w:ascii="Times New Roman" w:hAnsi="Times New Roman" w:eastAsia="仿宋_GB2312" w:cs="仿宋_GB2312"/>
                <w:color w:val="auto"/>
                <w:kern w:val="0"/>
                <w:sz w:val="21"/>
                <w:szCs w:val="21"/>
                <w:highlight w:val="none"/>
                <w:lang w:val="en-US" w:eastAsia="zh-CN" w:bidi="ar"/>
              </w:rPr>
              <w:t>1</w:t>
            </w:r>
            <w:r>
              <w:rPr>
                <w:rFonts w:hint="eastAsia" w:ascii="仿宋_GB2312" w:hAnsi="仿宋_GB2312" w:eastAsia="仿宋_GB2312" w:cs="仿宋_GB2312"/>
                <w:color w:val="auto"/>
                <w:kern w:val="0"/>
                <w:sz w:val="21"/>
                <w:szCs w:val="21"/>
                <w:highlight w:val="none"/>
                <w:lang w:val="en-US" w:eastAsia="zh-CN" w:bidi="ar"/>
              </w:rPr>
              <w:t>.</w:t>
            </w:r>
            <w:r>
              <w:rPr>
                <w:rFonts w:hint="eastAsia" w:ascii="Times New Roman" w:hAnsi="Times New Roman" w:eastAsia="仿宋_GB2312" w:cs="仿宋_GB2312"/>
                <w:color w:val="auto"/>
                <w:kern w:val="0"/>
                <w:sz w:val="21"/>
                <w:szCs w:val="21"/>
                <w:highlight w:val="none"/>
                <w:lang w:val="en-US" w:eastAsia="zh-CN" w:bidi="ar"/>
              </w:rPr>
              <w:t>5</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的，得</w:t>
            </w:r>
            <w:r>
              <w:rPr>
                <w:rFonts w:hint="eastAsia" w:ascii="Times New Roman" w:hAnsi="Times New Roman" w:eastAsia="仿宋_GB2312" w:cs="仿宋_GB2312"/>
                <w:i w:val="0"/>
                <w:iCs w:val="0"/>
                <w:color w:val="auto"/>
                <w:kern w:val="0"/>
                <w:sz w:val="21"/>
                <w:szCs w:val="21"/>
                <w:highlight w:val="none"/>
                <w:u w:val="none"/>
                <w:lang w:val="en-US" w:eastAsia="zh-CN" w:bidi="ar"/>
              </w:rPr>
              <w:t>0</w:t>
            </w:r>
            <w:r>
              <w:rPr>
                <w:rFonts w:hint="eastAsia" w:ascii="仿宋_GB2312" w:hAnsi="仿宋_GB2312" w:eastAsia="仿宋_GB2312" w:cs="仿宋_GB2312"/>
                <w:i w:val="0"/>
                <w:iCs w:val="0"/>
                <w:color w:val="auto"/>
                <w:kern w:val="0"/>
                <w:sz w:val="21"/>
                <w:szCs w:val="21"/>
                <w:highlight w:val="none"/>
                <w:u w:val="none"/>
                <w:lang w:val="en-US" w:eastAsia="zh-CN" w:bidi="ar"/>
              </w:rPr>
              <w:t>.</w:t>
            </w:r>
            <w:r>
              <w:rPr>
                <w:rFonts w:hint="eastAsia" w:ascii="Times New Roman" w:hAnsi="Times New Roman" w:eastAsia="仿宋_GB2312" w:cs="仿宋_GB2312"/>
                <w:i w:val="0"/>
                <w:iCs w:val="0"/>
                <w:color w:val="auto"/>
                <w:kern w:val="0"/>
                <w:sz w:val="21"/>
                <w:szCs w:val="21"/>
                <w:highlight w:val="none"/>
                <w:u w:val="none"/>
                <w:lang w:val="en-US" w:eastAsia="zh-CN" w:bidi="ar"/>
              </w:rPr>
              <w:t>5</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Times New Roman" w:hAnsi="Times New Roman" w:eastAsia="仿宋_GB2312" w:cs="仿宋_GB2312"/>
                <w:i w:val="0"/>
                <w:iCs w:val="0"/>
                <w:color w:val="auto"/>
                <w:kern w:val="0"/>
                <w:sz w:val="21"/>
                <w:szCs w:val="21"/>
                <w:highlight w:val="none"/>
                <w:u w:val="none"/>
                <w:lang w:val="en-US" w:eastAsia="zh-CN" w:bidi="ar"/>
              </w:rPr>
              <w:t>4</w:t>
            </w:r>
            <w:r>
              <w:rPr>
                <w:rFonts w:hint="eastAsia" w:ascii="仿宋_GB2312" w:hAnsi="仿宋_GB2312" w:eastAsia="仿宋_GB2312" w:cs="仿宋_GB2312"/>
                <w:i w:val="0"/>
                <w:iCs w:val="0"/>
                <w:color w:val="auto"/>
                <w:kern w:val="0"/>
                <w:sz w:val="21"/>
                <w:szCs w:val="21"/>
                <w:highlight w:val="none"/>
                <w:u w:val="none"/>
                <w:lang w:val="en-US" w:eastAsia="zh-CN" w:bidi="ar"/>
              </w:rPr>
              <w:t>.</w:t>
            </w:r>
            <w:r>
              <w:rPr>
                <w:rFonts w:ascii="仿宋_GB2312" w:hAnsi="仿宋_GB2312" w:eastAsia="仿宋_GB2312" w:cs="仿宋_GB2312"/>
                <w:color w:val="auto"/>
                <w:kern w:val="0"/>
                <w:sz w:val="21"/>
                <w:szCs w:val="21"/>
                <w:highlight w:val="none"/>
                <w:lang w:val="en-US" w:eastAsia="zh-CN" w:bidi="ar"/>
              </w:rPr>
              <w:t>净资产收益率为负的，得</w:t>
            </w:r>
            <w:r>
              <w:rPr>
                <w:rFonts w:hint="eastAsia" w:ascii="Times New Roman" w:hAnsi="Times New Roman" w:eastAsia="仿宋_GB2312" w:cs="仿宋_GB2312"/>
                <w:i w:val="0"/>
                <w:iCs w:val="0"/>
                <w:color w:val="auto"/>
                <w:kern w:val="0"/>
                <w:sz w:val="21"/>
                <w:szCs w:val="21"/>
                <w:highlight w:val="none"/>
                <w:u w:val="none"/>
                <w:lang w:val="en-US" w:eastAsia="zh-CN" w:bidi="ar"/>
              </w:rPr>
              <w:t>0</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ascii="仿宋_GB2312" w:hAnsi="仿宋_GB2312" w:eastAsia="仿宋_GB2312" w:cs="仿宋_GB2312"/>
                <w:color w:val="auto"/>
                <w:kern w:val="0"/>
                <w:sz w:val="21"/>
                <w:szCs w:val="21"/>
                <w:highlight w:val="none"/>
                <w:lang w:val="en-US" w:eastAsia="zh-CN" w:bidi="ar"/>
              </w:rPr>
              <w:t>（考评年度年初发放保理融资款余额为</w:t>
            </w:r>
            <w:r>
              <w:rPr>
                <w:rFonts w:hint="eastAsia" w:ascii="Times New Roman" w:hAnsi="Times New Roman" w:eastAsia="仿宋_GB2312" w:cs="仿宋_GB2312"/>
                <w:i w:val="0"/>
                <w:iCs w:val="0"/>
                <w:color w:val="auto"/>
                <w:kern w:val="0"/>
                <w:sz w:val="21"/>
                <w:szCs w:val="21"/>
                <w:highlight w:val="none"/>
                <w:u w:val="none"/>
                <w:lang w:val="en-US" w:eastAsia="zh-CN" w:bidi="ar"/>
              </w:rPr>
              <w:t>0</w:t>
            </w:r>
            <w:r>
              <w:rPr>
                <w:rFonts w:ascii="仿宋_GB2312" w:hAnsi="仿宋_GB2312" w:eastAsia="仿宋_GB2312" w:cs="仿宋_GB2312"/>
                <w:color w:val="auto"/>
                <w:kern w:val="0"/>
                <w:sz w:val="21"/>
                <w:szCs w:val="21"/>
                <w:highlight w:val="none"/>
                <w:lang w:val="en-US" w:eastAsia="zh-CN" w:bidi="ar"/>
              </w:rPr>
              <w:t>的，且考评年度内未发放保理融资款的，该项不得分）</w:t>
            </w:r>
          </w:p>
        </w:tc>
        <w:tc>
          <w:tcPr>
            <w:tcW w:w="705" w:type="dxa"/>
            <w:noWrap w:val="0"/>
            <w:vAlign w:val="top"/>
          </w:tcPr>
          <w:p w14:paraId="226184E7">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6F66817C">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2FFC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3" w:type="dxa"/>
            <w:vMerge w:val="continue"/>
            <w:noWrap w:val="0"/>
            <w:vAlign w:val="top"/>
          </w:tcPr>
          <w:p w14:paraId="7E1E08B7">
            <w:pPr>
              <w:pStyle w:val="2"/>
              <w:jc w:val="center"/>
              <w:rPr>
                <w:rFonts w:hint="default" w:ascii="Times New Roman" w:hAnsi="Times New Roman" w:cs="Times New Roman"/>
                <w:color w:val="auto"/>
                <w:highlight w:val="none"/>
              </w:rPr>
            </w:pPr>
          </w:p>
        </w:tc>
        <w:tc>
          <w:tcPr>
            <w:tcW w:w="1536" w:type="dxa"/>
            <w:noWrap w:val="0"/>
            <w:vAlign w:val="center"/>
          </w:tcPr>
          <w:p w14:paraId="18AACBDE">
            <w:pPr>
              <w:keepNext w:val="0"/>
              <w:keepLines w:val="0"/>
              <w:pageBreakBefore w:val="0"/>
              <w:widowControl/>
              <w:suppressLineNumbers w:val="0"/>
              <w:kinsoku/>
              <w:wordWrap/>
              <w:overflowPunct/>
              <w:topLinePunct w:val="0"/>
              <w:bidi w:val="0"/>
              <w:adjustRightInd/>
              <w:snapToGrid/>
              <w:spacing w:line="320" w:lineRule="exact"/>
              <w:jc w:val="center"/>
              <w:textAlignment w:val="center"/>
              <w:rPr>
                <w:rStyle w:val="73"/>
                <w:rFonts w:ascii="仿宋_GB2312" w:hAnsi="仿宋_GB2312" w:eastAsia="仿宋_GB2312" w:cs="仿宋_GB2312"/>
                <w:b/>
                <w:bCs/>
                <w:color w:val="auto"/>
                <w:sz w:val="24"/>
                <w:szCs w:val="24"/>
                <w:highlight w:val="none"/>
                <w:lang w:val="en-US" w:eastAsia="zh-CN" w:bidi="ar"/>
              </w:rPr>
            </w:pPr>
            <w:r>
              <w:rPr>
                <w:rStyle w:val="73"/>
                <w:rFonts w:ascii="仿宋_GB2312" w:hAnsi="仿宋_GB2312" w:cs="仿宋_GB2312"/>
                <w:b/>
                <w:bCs/>
                <w:color w:val="auto"/>
                <w:sz w:val="24"/>
                <w:szCs w:val="24"/>
                <w:highlight w:val="none"/>
                <w:lang w:val="en-US" w:eastAsia="zh-CN" w:bidi="ar"/>
              </w:rPr>
              <w:t>（</w:t>
            </w:r>
            <w:r>
              <w:rPr>
                <w:rFonts w:hint="eastAsia" w:ascii="Times New Roman" w:hAnsi="Times New Roman" w:eastAsia="仿宋_GB2312" w:cs="仿宋_GB2312"/>
                <w:b/>
                <w:bCs/>
                <w:i w:val="0"/>
                <w:iCs w:val="0"/>
                <w:color w:val="auto"/>
                <w:kern w:val="0"/>
                <w:sz w:val="24"/>
                <w:szCs w:val="24"/>
                <w:highlight w:val="none"/>
                <w:u w:val="none"/>
                <w:lang w:val="en-US" w:eastAsia="zh-CN" w:bidi="ar"/>
              </w:rPr>
              <w:t>2</w:t>
            </w:r>
            <w:r>
              <w:rPr>
                <w:rFonts w:hint="eastAsia" w:eastAsia="仿宋_GB2312" w:cs="仿宋_GB2312"/>
                <w:b/>
                <w:bCs/>
                <w:i w:val="0"/>
                <w:iCs w:val="0"/>
                <w:color w:val="auto"/>
                <w:kern w:val="0"/>
                <w:sz w:val="24"/>
                <w:szCs w:val="24"/>
                <w:highlight w:val="none"/>
                <w:u w:val="none"/>
                <w:lang w:val="en-US" w:eastAsia="zh-CN" w:bidi="ar"/>
              </w:rPr>
              <w:t>8</w:t>
            </w:r>
            <w:r>
              <w:rPr>
                <w:rFonts w:hint="eastAsia" w:cs="仿宋_GB2312"/>
                <w:b/>
                <w:bCs/>
                <w:i w:val="0"/>
                <w:iCs w:val="0"/>
                <w:color w:val="auto"/>
                <w:kern w:val="0"/>
                <w:sz w:val="24"/>
                <w:szCs w:val="24"/>
                <w:highlight w:val="none"/>
                <w:u w:val="none"/>
                <w:lang w:val="en-US" w:eastAsia="zh-CN" w:bidi="ar"/>
              </w:rPr>
              <w:t>）</w:t>
            </w:r>
          </w:p>
          <w:p w14:paraId="060F5614">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Style w:val="73"/>
                <w:rFonts w:ascii="仿宋_GB2312" w:hAnsi="仿宋_GB2312" w:eastAsia="仿宋_GB2312" w:cs="仿宋_GB2312"/>
                <w:b/>
                <w:bCs/>
                <w:color w:val="auto"/>
                <w:sz w:val="24"/>
                <w:szCs w:val="24"/>
                <w:highlight w:val="none"/>
                <w:lang w:val="en-US" w:eastAsia="zh-CN" w:bidi="ar"/>
              </w:rPr>
              <w:t>不良资产率</w:t>
            </w:r>
          </w:p>
        </w:tc>
        <w:tc>
          <w:tcPr>
            <w:tcW w:w="504" w:type="dxa"/>
            <w:noWrap w:val="0"/>
            <w:vAlign w:val="center"/>
          </w:tcPr>
          <w:p w14:paraId="64B01E87">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Fonts w:hint="eastAsia" w:ascii="Times New Roman" w:hAnsi="Times New Roman" w:eastAsia="仿宋_GB2312" w:cs="仿宋_GB2312"/>
                <w:b/>
                <w:bCs/>
                <w:i w:val="0"/>
                <w:iCs w:val="0"/>
                <w:color w:val="auto"/>
                <w:kern w:val="0"/>
                <w:sz w:val="24"/>
                <w:szCs w:val="24"/>
                <w:highlight w:val="none"/>
                <w:u w:val="none"/>
                <w:lang w:val="en-US" w:eastAsia="zh-CN" w:bidi="ar"/>
              </w:rPr>
              <w:t>3</w:t>
            </w:r>
          </w:p>
        </w:tc>
        <w:tc>
          <w:tcPr>
            <w:tcW w:w="8992" w:type="dxa"/>
            <w:noWrap w:val="0"/>
            <w:vAlign w:val="center"/>
          </w:tcPr>
          <w:p w14:paraId="4E5679A5">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考评年度内年末不良资产率</w:t>
            </w:r>
            <w:r>
              <w:rPr>
                <w:rFonts w:ascii="Times New Roman" w:hAnsi="Times New Roman" w:eastAsia="仿宋_GB2312" w:cs="Times New Roman"/>
                <w:color w:val="auto"/>
                <w:kern w:val="0"/>
                <w:sz w:val="21"/>
                <w:szCs w:val="21"/>
                <w:highlight w:val="none"/>
                <w:lang w:val="en-US" w:eastAsia="zh-CN" w:bidi="ar"/>
              </w:rPr>
              <w:t>小于</w:t>
            </w:r>
            <w:r>
              <w:rPr>
                <w:rFonts w:hint="default" w:ascii="Times New Roman" w:hAnsi="Times New Roman" w:eastAsia="仿宋_GB2312" w:cs="Times New Roman"/>
                <w:i w:val="0"/>
                <w:iCs w:val="0"/>
                <w:color w:val="auto"/>
                <w:kern w:val="0"/>
                <w:sz w:val="21"/>
                <w:szCs w:val="21"/>
                <w:highlight w:val="none"/>
                <w:u w:val="none"/>
                <w:lang w:val="en-US" w:eastAsia="zh-CN" w:bidi="ar"/>
              </w:rPr>
              <w:t>1%</w:t>
            </w:r>
            <w:r>
              <w:rPr>
                <w:rFonts w:ascii="Times New Roman" w:hAnsi="Times New Roman" w:eastAsia="仿宋_GB2312" w:cs="Times New Roman"/>
                <w:color w:val="auto"/>
                <w:kern w:val="0"/>
                <w:sz w:val="21"/>
                <w:szCs w:val="21"/>
                <w:highlight w:val="none"/>
                <w:lang w:val="en-US" w:eastAsia="zh-CN" w:bidi="ar"/>
              </w:rPr>
              <w:t>（含）的，得</w:t>
            </w:r>
            <w:r>
              <w:rPr>
                <w:rFonts w:hint="default" w:ascii="Times New Roman" w:hAnsi="Times New Roman" w:eastAsia="仿宋_GB2312" w:cs="Times New Roman"/>
                <w:color w:val="auto"/>
                <w:kern w:val="0"/>
                <w:sz w:val="21"/>
                <w:szCs w:val="21"/>
                <w:highlight w:val="none"/>
                <w:lang w:val="en-US" w:eastAsia="zh-CN" w:bidi="ar"/>
              </w:rPr>
              <w:t>3</w:t>
            </w:r>
            <w:r>
              <w:rPr>
                <w:rFonts w:ascii="Times New Roman" w:hAnsi="Times New Roman" w:eastAsia="仿宋_GB2312" w:cs="Times New Roman"/>
                <w:color w:val="auto"/>
                <w:kern w:val="0"/>
                <w:sz w:val="21"/>
                <w:szCs w:val="21"/>
                <w:highlight w:val="none"/>
                <w:lang w:val="en-US" w:eastAsia="zh-CN" w:bidi="ar"/>
              </w:rPr>
              <w:t>分；</w:t>
            </w:r>
            <w:r>
              <w:rPr>
                <w:rFonts w:hint="default" w:ascii="Times New Roman" w:hAnsi="Times New Roman" w:eastAsia="仿宋_GB2312" w:cs="Times New Roman"/>
                <w:i w:val="0"/>
                <w:iCs w:val="0"/>
                <w:color w:val="auto"/>
                <w:kern w:val="0"/>
                <w:sz w:val="21"/>
                <w:szCs w:val="21"/>
                <w:highlight w:val="none"/>
                <w:u w:val="none"/>
                <w:lang w:val="en-US" w:eastAsia="zh-CN" w:bidi="ar"/>
              </w:rPr>
              <w:br w:type="textWrapping"/>
            </w:r>
            <w:r>
              <w:rPr>
                <w:rFonts w:hint="default" w:ascii="Times New Roman" w:hAnsi="Times New Roman" w:eastAsia="仿宋_GB2312" w:cs="Times New Roman"/>
                <w:color w:val="auto"/>
                <w:kern w:val="0"/>
                <w:sz w:val="21"/>
                <w:szCs w:val="21"/>
                <w:highlight w:val="none"/>
                <w:lang w:val="en-US" w:eastAsia="zh-CN" w:bidi="ar"/>
              </w:rPr>
              <w:t>2.</w:t>
            </w:r>
            <w:r>
              <w:rPr>
                <w:rFonts w:ascii="Times New Roman" w:hAnsi="Times New Roman" w:eastAsia="仿宋_GB2312" w:cs="Times New Roman"/>
                <w:color w:val="auto"/>
                <w:kern w:val="0"/>
                <w:sz w:val="21"/>
                <w:szCs w:val="21"/>
                <w:highlight w:val="none"/>
                <w:lang w:val="en-US" w:eastAsia="zh-CN" w:bidi="ar"/>
              </w:rPr>
              <w:t>考评年度内年末不良资产率在</w:t>
            </w:r>
            <w:r>
              <w:rPr>
                <w:rFonts w:hint="default" w:ascii="Times New Roman" w:hAnsi="Times New Roman" w:eastAsia="仿宋_GB2312" w:cs="Times New Roman"/>
                <w:color w:val="auto"/>
                <w:kern w:val="0"/>
                <w:sz w:val="21"/>
                <w:szCs w:val="21"/>
                <w:highlight w:val="none"/>
                <w:lang w:val="en-US" w:eastAsia="zh-CN" w:bidi="ar"/>
              </w:rPr>
              <w:t>1%</w:t>
            </w:r>
            <w:r>
              <w:rPr>
                <w:rFonts w:ascii="Times New Roman" w:hAnsi="Times New Roman" w:eastAsia="仿宋_GB2312" w:cs="Times New Roman"/>
                <w:color w:val="auto"/>
                <w:kern w:val="0"/>
                <w:sz w:val="21"/>
                <w:szCs w:val="21"/>
                <w:highlight w:val="none"/>
                <w:lang w:val="en-US" w:eastAsia="zh-CN" w:bidi="ar"/>
              </w:rPr>
              <w:t>至</w:t>
            </w:r>
            <w:r>
              <w:rPr>
                <w:rFonts w:hint="default" w:ascii="Times New Roman" w:hAnsi="Times New Roman" w:eastAsia="仿宋_GB2312" w:cs="Times New Roman"/>
                <w:color w:val="auto"/>
                <w:kern w:val="0"/>
                <w:sz w:val="21"/>
                <w:szCs w:val="21"/>
                <w:highlight w:val="none"/>
                <w:lang w:val="en-US" w:eastAsia="zh-CN" w:bidi="ar"/>
              </w:rPr>
              <w:t>2%</w:t>
            </w:r>
            <w:r>
              <w:rPr>
                <w:rFonts w:ascii="Times New Roman" w:hAnsi="Times New Roman" w:eastAsia="仿宋_GB2312" w:cs="Times New Roman"/>
                <w:color w:val="auto"/>
                <w:kern w:val="0"/>
                <w:sz w:val="21"/>
                <w:szCs w:val="21"/>
                <w:highlight w:val="none"/>
                <w:lang w:val="en-US" w:eastAsia="zh-CN" w:bidi="ar"/>
              </w:rPr>
              <w:t>（含）的，得</w:t>
            </w:r>
            <w:r>
              <w:rPr>
                <w:rFonts w:hint="default" w:ascii="Times New Roman" w:hAnsi="Times New Roman" w:eastAsia="仿宋_GB2312" w:cs="Times New Roman"/>
                <w:color w:val="auto"/>
                <w:kern w:val="0"/>
                <w:sz w:val="21"/>
                <w:szCs w:val="21"/>
                <w:highlight w:val="none"/>
                <w:lang w:val="en-US" w:eastAsia="zh-CN" w:bidi="ar"/>
              </w:rPr>
              <w:t>2</w:t>
            </w:r>
            <w:r>
              <w:rPr>
                <w:rFonts w:ascii="Times New Roman" w:hAnsi="Times New Roman" w:eastAsia="仿宋_GB2312" w:cs="Times New Roman"/>
                <w:color w:val="auto"/>
                <w:kern w:val="0"/>
                <w:sz w:val="21"/>
                <w:szCs w:val="21"/>
                <w:highlight w:val="none"/>
                <w:lang w:val="en-US" w:eastAsia="zh-CN" w:bidi="ar"/>
              </w:rPr>
              <w:t>分；</w:t>
            </w:r>
            <w:r>
              <w:rPr>
                <w:rFonts w:hint="default" w:ascii="Times New Roman" w:hAnsi="Times New Roman" w:eastAsia="仿宋_GB2312" w:cs="Times New Roman"/>
                <w:i w:val="0"/>
                <w:iCs w:val="0"/>
                <w:color w:val="auto"/>
                <w:kern w:val="0"/>
                <w:sz w:val="21"/>
                <w:szCs w:val="21"/>
                <w:highlight w:val="none"/>
                <w:u w:val="none"/>
                <w:lang w:val="en-US" w:eastAsia="zh-CN" w:bidi="ar"/>
              </w:rPr>
              <w:br w:type="textWrapping"/>
            </w:r>
            <w:r>
              <w:rPr>
                <w:rFonts w:hint="default" w:ascii="Times New Roman" w:hAnsi="Times New Roman" w:eastAsia="仿宋_GB2312" w:cs="Times New Roman"/>
                <w:color w:val="auto"/>
                <w:kern w:val="0"/>
                <w:sz w:val="21"/>
                <w:szCs w:val="21"/>
                <w:highlight w:val="none"/>
                <w:lang w:val="en-US" w:eastAsia="zh-CN" w:bidi="ar"/>
              </w:rPr>
              <w:t>3</w:t>
            </w:r>
            <w:r>
              <w:rPr>
                <w:rFonts w:hint="default" w:ascii="Times New Roman" w:hAnsi="Times New Roman" w:eastAsia="仿宋_GB2312" w:cs="Times New Roman"/>
                <w:i w:val="0"/>
                <w:iCs w:val="0"/>
                <w:color w:val="auto"/>
                <w:kern w:val="0"/>
                <w:sz w:val="21"/>
                <w:szCs w:val="21"/>
                <w:highlight w:val="none"/>
                <w:u w:val="none"/>
                <w:lang w:val="en-US" w:eastAsia="zh-CN" w:bidi="ar"/>
              </w:rPr>
              <w:t>.</w:t>
            </w:r>
            <w:r>
              <w:rPr>
                <w:rFonts w:ascii="Times New Roman" w:hAnsi="Times New Roman" w:eastAsia="仿宋_GB2312" w:cs="Times New Roman"/>
                <w:color w:val="auto"/>
                <w:kern w:val="0"/>
                <w:sz w:val="21"/>
                <w:szCs w:val="21"/>
                <w:highlight w:val="none"/>
                <w:lang w:val="en-US" w:eastAsia="zh-CN" w:bidi="ar"/>
              </w:rPr>
              <w:t>考评年度内年末不良资产率在</w:t>
            </w:r>
            <w:r>
              <w:rPr>
                <w:rFonts w:hint="default" w:ascii="Times New Roman" w:hAnsi="Times New Roman" w:eastAsia="仿宋_GB2312" w:cs="Times New Roman"/>
                <w:color w:val="auto"/>
                <w:kern w:val="0"/>
                <w:sz w:val="21"/>
                <w:szCs w:val="21"/>
                <w:highlight w:val="none"/>
                <w:lang w:val="en-US" w:eastAsia="zh-CN" w:bidi="ar"/>
              </w:rPr>
              <w:t>2%</w:t>
            </w:r>
            <w:r>
              <w:rPr>
                <w:rFonts w:ascii="Times New Roman" w:hAnsi="Times New Roman" w:eastAsia="仿宋_GB2312" w:cs="Times New Roman"/>
                <w:color w:val="auto"/>
                <w:kern w:val="0"/>
                <w:sz w:val="21"/>
                <w:szCs w:val="21"/>
                <w:highlight w:val="none"/>
                <w:lang w:val="en-US" w:eastAsia="zh-CN" w:bidi="ar"/>
              </w:rPr>
              <w:t>至</w:t>
            </w:r>
            <w:r>
              <w:rPr>
                <w:rFonts w:hint="default" w:ascii="Times New Roman" w:hAnsi="Times New Roman" w:eastAsia="仿宋_GB2312" w:cs="Times New Roman"/>
                <w:color w:val="auto"/>
                <w:kern w:val="0"/>
                <w:sz w:val="21"/>
                <w:szCs w:val="21"/>
                <w:highlight w:val="none"/>
                <w:lang w:val="en-US" w:eastAsia="zh-CN" w:bidi="ar"/>
              </w:rPr>
              <w:t>3%</w:t>
            </w:r>
            <w:r>
              <w:rPr>
                <w:rFonts w:ascii="Times New Roman" w:hAnsi="Times New Roman" w:eastAsia="仿宋_GB2312" w:cs="Times New Roman"/>
                <w:color w:val="auto"/>
                <w:kern w:val="0"/>
                <w:sz w:val="21"/>
                <w:szCs w:val="21"/>
                <w:highlight w:val="none"/>
                <w:lang w:val="en-US" w:eastAsia="zh-CN" w:bidi="ar"/>
              </w:rPr>
              <w:t>（含）的，得</w:t>
            </w:r>
            <w:r>
              <w:rPr>
                <w:rFonts w:hint="default" w:ascii="Times New Roman" w:hAnsi="Times New Roman" w:eastAsia="仿宋_GB2312" w:cs="Times New Roman"/>
                <w:color w:val="auto"/>
                <w:kern w:val="0"/>
                <w:sz w:val="21"/>
                <w:szCs w:val="21"/>
                <w:highlight w:val="none"/>
                <w:lang w:val="en-US" w:eastAsia="zh-CN" w:bidi="ar"/>
              </w:rPr>
              <w:t>1</w:t>
            </w:r>
            <w:r>
              <w:rPr>
                <w:rFonts w:ascii="Times New Roman" w:hAnsi="Times New Roman" w:eastAsia="仿宋_GB2312" w:cs="Times New Roman"/>
                <w:color w:val="auto"/>
                <w:kern w:val="0"/>
                <w:sz w:val="21"/>
                <w:szCs w:val="21"/>
                <w:highlight w:val="none"/>
                <w:lang w:val="en-US" w:eastAsia="zh-CN" w:bidi="ar"/>
              </w:rPr>
              <w:t>分；</w:t>
            </w:r>
            <w:r>
              <w:rPr>
                <w:rFonts w:hint="default" w:ascii="Times New Roman" w:hAnsi="Times New Roman" w:eastAsia="仿宋_GB2312" w:cs="Times New Roman"/>
                <w:i w:val="0"/>
                <w:iCs w:val="0"/>
                <w:color w:val="auto"/>
                <w:kern w:val="0"/>
                <w:sz w:val="21"/>
                <w:szCs w:val="21"/>
                <w:highlight w:val="none"/>
                <w:u w:val="none"/>
                <w:lang w:val="en-US" w:eastAsia="zh-CN" w:bidi="ar"/>
              </w:rPr>
              <w:br w:type="textWrapping"/>
            </w:r>
            <w:r>
              <w:rPr>
                <w:rFonts w:hint="default" w:ascii="Times New Roman" w:hAnsi="Times New Roman" w:eastAsia="仿宋_GB2312" w:cs="Times New Roman"/>
                <w:color w:val="auto"/>
                <w:kern w:val="0"/>
                <w:sz w:val="21"/>
                <w:szCs w:val="21"/>
                <w:highlight w:val="none"/>
                <w:lang w:val="en-US" w:eastAsia="zh-CN" w:bidi="ar"/>
              </w:rPr>
              <w:t>4.</w:t>
            </w:r>
            <w:r>
              <w:rPr>
                <w:rFonts w:ascii="Times New Roman" w:hAnsi="Times New Roman" w:eastAsia="仿宋_GB2312" w:cs="Times New Roman"/>
                <w:color w:val="auto"/>
                <w:kern w:val="0"/>
                <w:sz w:val="21"/>
                <w:szCs w:val="21"/>
                <w:highlight w:val="none"/>
                <w:lang w:val="en-US" w:eastAsia="zh-CN" w:bidi="ar"/>
              </w:rPr>
              <w:t>考评年度内年末不良资产率大于</w:t>
            </w:r>
            <w:r>
              <w:rPr>
                <w:rFonts w:hint="default" w:ascii="Times New Roman" w:hAnsi="Times New Roman" w:eastAsia="仿宋_GB2312" w:cs="Times New Roman"/>
                <w:color w:val="auto"/>
                <w:kern w:val="0"/>
                <w:sz w:val="21"/>
                <w:szCs w:val="21"/>
                <w:highlight w:val="none"/>
                <w:lang w:val="en-US" w:eastAsia="zh-CN" w:bidi="ar"/>
              </w:rPr>
              <w:t>3</w:t>
            </w:r>
            <w:r>
              <w:rPr>
                <w:rFonts w:hint="default" w:ascii="Times New Roman" w:hAnsi="Times New Roman" w:eastAsia="仿宋_GB2312" w:cs="Times New Roman"/>
                <w:i w:val="0"/>
                <w:iCs w:val="0"/>
                <w:color w:val="auto"/>
                <w:kern w:val="0"/>
                <w:sz w:val="21"/>
                <w:szCs w:val="21"/>
                <w:highlight w:val="none"/>
                <w:u w:val="none"/>
                <w:lang w:val="en-US" w:eastAsia="zh-CN" w:bidi="ar"/>
              </w:rPr>
              <w:t>%</w:t>
            </w:r>
            <w:r>
              <w:rPr>
                <w:rFonts w:ascii="Times New Roman" w:hAnsi="Times New Roman" w:eastAsia="仿宋_GB2312" w:cs="Times New Roman"/>
                <w:color w:val="auto"/>
                <w:kern w:val="0"/>
                <w:sz w:val="21"/>
                <w:szCs w:val="21"/>
                <w:highlight w:val="none"/>
                <w:lang w:val="en-US" w:eastAsia="zh-CN" w:bidi="ar"/>
              </w:rPr>
              <w:t>的，得</w:t>
            </w:r>
            <w:r>
              <w:rPr>
                <w:rFonts w:hint="default" w:ascii="Times New Roman" w:hAnsi="Times New Roman" w:eastAsia="仿宋_GB2312" w:cs="Times New Roman"/>
                <w:i w:val="0"/>
                <w:iCs w:val="0"/>
                <w:color w:val="auto"/>
                <w:kern w:val="0"/>
                <w:sz w:val="21"/>
                <w:szCs w:val="21"/>
                <w:highlight w:val="none"/>
                <w:u w:val="none"/>
                <w:lang w:val="en-US" w:eastAsia="zh-CN" w:bidi="ar"/>
              </w:rPr>
              <w:t>0</w:t>
            </w:r>
            <w:r>
              <w:rPr>
                <w:rFonts w:ascii="Times New Roman" w:hAnsi="Times New Roman" w:eastAsia="仿宋_GB2312" w:cs="Times New Roman"/>
                <w:color w:val="auto"/>
                <w:kern w:val="0"/>
                <w:sz w:val="21"/>
                <w:szCs w:val="21"/>
                <w:highlight w:val="none"/>
                <w:lang w:val="en-US" w:eastAsia="zh-CN" w:bidi="ar"/>
              </w:rPr>
              <w:t>分。</w:t>
            </w:r>
          </w:p>
        </w:tc>
        <w:tc>
          <w:tcPr>
            <w:tcW w:w="705" w:type="dxa"/>
            <w:noWrap w:val="0"/>
            <w:vAlign w:val="top"/>
          </w:tcPr>
          <w:p w14:paraId="1FA4B61F">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1CF552AA">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01C8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3" w:type="dxa"/>
            <w:noWrap w:val="0"/>
            <w:vAlign w:val="top"/>
          </w:tcPr>
          <w:p w14:paraId="71D49FB2">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imes New Roman" w:hAnsi="Times New Roman" w:eastAsia="黑体" w:cs="Times New Roman"/>
                <w:color w:val="auto"/>
                <w:kern w:val="2"/>
                <w:sz w:val="28"/>
                <w:szCs w:val="28"/>
                <w:highlight w:val="none"/>
                <w:lang w:val="en-US" w:eastAsia="zh-CN" w:bidi="ar-SA"/>
              </w:rPr>
            </w:pPr>
            <w:r>
              <w:rPr>
                <w:rFonts w:hint="eastAsia" w:ascii="Times New Roman" w:hAnsi="Times New Roman" w:eastAsia="黑体" w:cs="Times New Roman"/>
                <w:color w:val="auto"/>
                <w:kern w:val="2"/>
                <w:sz w:val="28"/>
                <w:szCs w:val="28"/>
                <w:highlight w:val="none"/>
                <w:lang w:val="en-US" w:eastAsia="zh-CN" w:bidi="ar-SA"/>
              </w:rPr>
              <w:t>四、</w:t>
            </w:r>
          </w:p>
          <w:p w14:paraId="2417B2D0">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imes New Roman" w:hAnsi="Times New Roman" w:eastAsia="黑体" w:cs="Times New Roman"/>
                <w:color w:val="auto"/>
                <w:kern w:val="2"/>
                <w:sz w:val="28"/>
                <w:szCs w:val="28"/>
                <w:highlight w:val="none"/>
                <w:lang w:val="en-US" w:eastAsia="zh-CN" w:bidi="ar-SA"/>
              </w:rPr>
            </w:pPr>
            <w:r>
              <w:rPr>
                <w:rFonts w:hint="eastAsia" w:ascii="Times New Roman" w:hAnsi="Times New Roman" w:eastAsia="黑体" w:cs="Times New Roman"/>
                <w:color w:val="auto"/>
                <w:kern w:val="2"/>
                <w:sz w:val="28"/>
                <w:szCs w:val="28"/>
                <w:highlight w:val="none"/>
                <w:lang w:val="en-US" w:eastAsia="zh-CN" w:bidi="ar-SA"/>
              </w:rPr>
              <w:t>经营</w:t>
            </w:r>
          </w:p>
          <w:p w14:paraId="5B984DB0">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imes New Roman" w:hAnsi="Times New Roman" w:eastAsia="黑体" w:cs="Times New Roman"/>
                <w:color w:val="auto"/>
                <w:kern w:val="2"/>
                <w:sz w:val="28"/>
                <w:szCs w:val="28"/>
                <w:highlight w:val="none"/>
                <w:lang w:val="en-US" w:eastAsia="zh-CN" w:bidi="ar-SA"/>
              </w:rPr>
            </w:pPr>
            <w:r>
              <w:rPr>
                <w:rFonts w:hint="eastAsia" w:ascii="Times New Roman" w:hAnsi="Times New Roman" w:eastAsia="黑体" w:cs="Times New Roman"/>
                <w:color w:val="auto"/>
                <w:kern w:val="2"/>
                <w:sz w:val="28"/>
                <w:szCs w:val="28"/>
                <w:highlight w:val="none"/>
                <w:lang w:val="en-US" w:eastAsia="zh-CN" w:bidi="ar-SA"/>
              </w:rPr>
              <w:t>情况</w:t>
            </w:r>
          </w:p>
          <w:p w14:paraId="1128949D">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cs="Times New Roman"/>
                <w:color w:val="auto"/>
                <w:highlight w:val="none"/>
              </w:rPr>
            </w:pPr>
            <w:r>
              <w:rPr>
                <w:rFonts w:hint="default" w:ascii="Times New Roman" w:hAnsi="Times New Roman" w:eastAsia="黑体" w:cs="Times New Roman"/>
                <w:color w:val="auto"/>
                <w:kern w:val="2"/>
                <w:sz w:val="24"/>
                <w:szCs w:val="24"/>
                <w:highlight w:val="none"/>
                <w:lang w:val="en-US" w:eastAsia="zh-CN" w:bidi="ar-SA"/>
              </w:rPr>
              <w:t>（15分）</w:t>
            </w:r>
          </w:p>
        </w:tc>
        <w:tc>
          <w:tcPr>
            <w:tcW w:w="1536" w:type="dxa"/>
            <w:noWrap w:val="0"/>
            <w:vAlign w:val="center"/>
          </w:tcPr>
          <w:p w14:paraId="6C0EC1DA">
            <w:pPr>
              <w:keepNext w:val="0"/>
              <w:keepLines w:val="0"/>
              <w:pageBreakBefore w:val="0"/>
              <w:widowControl/>
              <w:suppressLineNumbers w:val="0"/>
              <w:kinsoku/>
              <w:wordWrap/>
              <w:overflowPunct/>
              <w:topLinePunct w:val="0"/>
              <w:bidi w:val="0"/>
              <w:adjustRightInd/>
              <w:snapToGrid/>
              <w:spacing w:line="320" w:lineRule="exact"/>
              <w:jc w:val="center"/>
              <w:textAlignment w:val="center"/>
              <w:rPr>
                <w:rStyle w:val="74"/>
                <w:rFonts w:ascii="仿宋_GB2312" w:hAnsi="仿宋_GB2312" w:eastAsia="仿宋_GB2312" w:cs="仿宋_GB2312"/>
                <w:b/>
                <w:bCs/>
                <w:color w:val="auto"/>
                <w:sz w:val="24"/>
                <w:szCs w:val="24"/>
                <w:highlight w:val="none"/>
                <w:lang w:val="en-US" w:eastAsia="zh-CN" w:bidi="ar"/>
              </w:rPr>
            </w:pPr>
            <w:r>
              <w:rPr>
                <w:rStyle w:val="74"/>
                <w:rFonts w:ascii="仿宋_GB2312" w:hAnsi="仿宋_GB2312" w:cs="仿宋_GB2312"/>
                <w:b/>
                <w:bCs/>
                <w:color w:val="auto"/>
                <w:sz w:val="24"/>
                <w:szCs w:val="24"/>
                <w:highlight w:val="none"/>
                <w:lang w:val="en-US" w:eastAsia="zh-CN" w:bidi="ar"/>
              </w:rPr>
              <w:t>（</w:t>
            </w:r>
            <w:r>
              <w:rPr>
                <w:rStyle w:val="75"/>
                <w:rFonts w:hint="eastAsia" w:eastAsia="仿宋_GB2312" w:cs="仿宋_GB2312"/>
                <w:b/>
                <w:bCs/>
                <w:color w:val="auto"/>
                <w:sz w:val="24"/>
                <w:szCs w:val="24"/>
                <w:highlight w:val="none"/>
                <w:lang w:val="en-US" w:eastAsia="zh-CN" w:bidi="ar"/>
              </w:rPr>
              <w:t>29</w:t>
            </w:r>
            <w:r>
              <w:rPr>
                <w:rStyle w:val="75"/>
                <w:rFonts w:hint="eastAsia" w:cs="仿宋_GB2312"/>
                <w:b/>
                <w:bCs/>
                <w:color w:val="auto"/>
                <w:sz w:val="24"/>
                <w:szCs w:val="24"/>
                <w:highlight w:val="none"/>
                <w:lang w:val="en-US" w:eastAsia="zh-CN" w:bidi="ar"/>
              </w:rPr>
              <w:t>）</w:t>
            </w:r>
          </w:p>
          <w:p w14:paraId="498D4935">
            <w:pPr>
              <w:keepNext w:val="0"/>
              <w:keepLines w:val="0"/>
              <w:pageBreakBefore w:val="0"/>
              <w:widowControl/>
              <w:suppressLineNumbers w:val="0"/>
              <w:kinsoku/>
              <w:wordWrap/>
              <w:overflowPunct/>
              <w:topLinePunct w:val="0"/>
              <w:bidi w:val="0"/>
              <w:adjustRightInd/>
              <w:snapToGrid/>
              <w:spacing w:line="320" w:lineRule="exact"/>
              <w:jc w:val="center"/>
              <w:textAlignment w:val="center"/>
              <w:rPr>
                <w:rStyle w:val="74"/>
                <w:rFonts w:ascii="仿宋_GB2312" w:hAnsi="仿宋_GB2312" w:eastAsia="仿宋_GB2312" w:cs="仿宋_GB2312"/>
                <w:b/>
                <w:bCs/>
                <w:color w:val="auto"/>
                <w:sz w:val="24"/>
                <w:szCs w:val="24"/>
                <w:highlight w:val="none"/>
                <w:lang w:val="en-US" w:eastAsia="zh-CN" w:bidi="ar"/>
              </w:rPr>
            </w:pPr>
            <w:r>
              <w:rPr>
                <w:rStyle w:val="74"/>
                <w:rFonts w:ascii="仿宋_GB2312" w:hAnsi="仿宋_GB2312" w:eastAsia="仿宋_GB2312" w:cs="仿宋_GB2312"/>
                <w:b/>
                <w:bCs/>
                <w:color w:val="auto"/>
                <w:sz w:val="24"/>
                <w:szCs w:val="24"/>
                <w:highlight w:val="none"/>
                <w:lang w:val="en-US" w:eastAsia="zh-CN" w:bidi="ar"/>
              </w:rPr>
              <w:t>主营业务</w:t>
            </w:r>
          </w:p>
          <w:p w14:paraId="274AC27C">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Style w:val="74"/>
                <w:rFonts w:ascii="仿宋_GB2312" w:hAnsi="仿宋_GB2312" w:eastAsia="仿宋_GB2312" w:cs="仿宋_GB2312"/>
                <w:b/>
                <w:bCs/>
                <w:color w:val="auto"/>
                <w:sz w:val="24"/>
                <w:szCs w:val="24"/>
                <w:highlight w:val="none"/>
                <w:lang w:val="en-US" w:eastAsia="zh-CN" w:bidi="ar"/>
              </w:rPr>
              <w:t>比重</w:t>
            </w:r>
          </w:p>
        </w:tc>
        <w:tc>
          <w:tcPr>
            <w:tcW w:w="504" w:type="dxa"/>
            <w:noWrap w:val="0"/>
            <w:vAlign w:val="center"/>
          </w:tcPr>
          <w:p w14:paraId="20D7ACD8">
            <w:pPr>
              <w:keepNext w:val="0"/>
              <w:keepLines w:val="0"/>
              <w:pageBreakBefore w:val="0"/>
              <w:widowControl/>
              <w:suppressLineNumbers w:val="0"/>
              <w:kinsoku/>
              <w:wordWrap/>
              <w:overflowPunct/>
              <w:topLinePunct w:val="0"/>
              <w:bidi w:val="0"/>
              <w:adjustRightInd/>
              <w:snapToGrid/>
              <w:spacing w:line="320" w:lineRule="exact"/>
              <w:jc w:val="center"/>
              <w:textAlignment w:val="center"/>
              <w:rPr>
                <w:rFonts w:hint="default" w:ascii="仿宋_GB2312" w:hAnsi="仿宋_GB2312" w:eastAsia="仿宋_GB2312" w:cs="仿宋_GB2312"/>
                <w:b/>
                <w:bCs/>
                <w:i w:val="0"/>
                <w:iCs w:val="0"/>
                <w:color w:val="auto"/>
                <w:kern w:val="2"/>
                <w:sz w:val="24"/>
                <w:szCs w:val="24"/>
                <w:highlight w:val="none"/>
                <w:u w:val="none"/>
                <w:lang w:val="en-US" w:eastAsia="zh-CN" w:bidi="ar-SA"/>
              </w:rPr>
            </w:pPr>
            <w:r>
              <w:rPr>
                <w:rFonts w:hint="eastAsia" w:eastAsia="仿宋_GB2312" w:cs="仿宋_GB2312"/>
                <w:b/>
                <w:bCs/>
                <w:i w:val="0"/>
                <w:iCs w:val="0"/>
                <w:color w:val="auto"/>
                <w:kern w:val="0"/>
                <w:sz w:val="24"/>
                <w:szCs w:val="24"/>
                <w:highlight w:val="none"/>
                <w:u w:val="none"/>
                <w:lang w:val="en-US" w:eastAsia="zh-CN" w:bidi="ar"/>
              </w:rPr>
              <w:t>3</w:t>
            </w:r>
          </w:p>
        </w:tc>
        <w:tc>
          <w:tcPr>
            <w:tcW w:w="8992" w:type="dxa"/>
            <w:noWrap w:val="0"/>
            <w:vAlign w:val="center"/>
          </w:tcPr>
          <w:p w14:paraId="2FD813C8">
            <w:pPr>
              <w:keepNext w:val="0"/>
              <w:keepLines w:val="0"/>
              <w:pageBreakBefore w:val="0"/>
              <w:widowControl/>
              <w:suppressLineNumbers w:val="0"/>
              <w:kinsoku/>
              <w:wordWrap/>
              <w:overflowPunct/>
              <w:topLinePunct w:val="0"/>
              <w:bidi w:val="0"/>
              <w:adjustRightInd/>
              <w:snapToGrid/>
              <w:spacing w:line="320" w:lineRule="exac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考评年度年末发放保理融资款本金余额占资产总额</w:t>
            </w:r>
            <w:r>
              <w:rPr>
                <w:rFonts w:hint="eastAsia" w:ascii="仿宋_GB2312" w:hAnsi="仿宋_GB2312" w:eastAsia="仿宋_GB2312" w:cs="仿宋_GB2312"/>
                <w:color w:val="auto"/>
                <w:kern w:val="0"/>
                <w:sz w:val="21"/>
                <w:szCs w:val="21"/>
                <w:highlight w:val="none"/>
                <w:lang w:val="en-US" w:eastAsia="zh-CN" w:bidi="ar"/>
              </w:rPr>
              <w:t>总收入</w:t>
            </w:r>
            <w:r>
              <w:rPr>
                <w:rFonts w:ascii="仿宋_GB2312" w:hAnsi="仿宋_GB2312" w:eastAsia="仿宋_GB2312" w:cs="仿宋_GB2312"/>
                <w:color w:val="auto"/>
                <w:kern w:val="0"/>
                <w:sz w:val="21"/>
                <w:szCs w:val="21"/>
                <w:highlight w:val="none"/>
                <w:lang w:val="en-US" w:eastAsia="zh-CN" w:bidi="ar"/>
              </w:rPr>
              <w:t>的</w:t>
            </w:r>
            <w:r>
              <w:rPr>
                <w:rFonts w:hint="eastAsia" w:eastAsia="仿宋_GB2312" w:cs="仿宋_GB2312"/>
                <w:color w:val="auto"/>
                <w:kern w:val="0"/>
                <w:sz w:val="21"/>
                <w:szCs w:val="21"/>
                <w:highlight w:val="none"/>
                <w:lang w:val="en-US" w:eastAsia="zh-CN" w:bidi="ar"/>
              </w:rPr>
              <w:t>8</w:t>
            </w:r>
            <w:r>
              <w:rPr>
                <w:rFonts w:hint="eastAsia" w:ascii="Times New Roman" w:hAnsi="Times New Roman" w:eastAsia="仿宋_GB2312" w:cs="仿宋_GB2312"/>
                <w:color w:val="auto"/>
                <w:kern w:val="0"/>
                <w:sz w:val="21"/>
                <w:szCs w:val="21"/>
                <w:highlight w:val="none"/>
                <w:lang w:val="en-US" w:eastAsia="zh-CN" w:bidi="ar"/>
              </w:rPr>
              <w:t>0</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（含）以上的，得</w:t>
            </w:r>
            <w:r>
              <w:rPr>
                <w:rFonts w:hint="eastAsia" w:eastAsia="仿宋_GB2312" w:cs="仿宋_GB2312"/>
                <w:color w:val="auto"/>
                <w:kern w:val="0"/>
                <w:sz w:val="21"/>
                <w:szCs w:val="21"/>
                <w:highlight w:val="none"/>
                <w:lang w:val="en-US" w:eastAsia="zh-CN" w:bidi="ar"/>
              </w:rPr>
              <w:t>3</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color w:val="auto"/>
                <w:kern w:val="0"/>
                <w:sz w:val="21"/>
                <w:szCs w:val="21"/>
                <w:highlight w:val="none"/>
                <w:lang w:val="en-US" w:eastAsia="zh-CN" w:bidi="ar"/>
              </w:rPr>
              <w:br w:type="textWrapping"/>
            </w:r>
            <w:r>
              <w:rPr>
                <w:rFonts w:hint="eastAsia" w:ascii="Times New Roman" w:hAnsi="Times New Roman" w:eastAsia="仿宋_GB2312" w:cs="仿宋_GB2312"/>
                <w:color w:val="auto"/>
                <w:kern w:val="0"/>
                <w:sz w:val="21"/>
                <w:szCs w:val="21"/>
                <w:highlight w:val="none"/>
                <w:lang w:val="en-US" w:eastAsia="zh-CN" w:bidi="ar"/>
              </w:rPr>
              <w:t>2</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考评年度年末发放保理融资款本金余额占资产总额的</w:t>
            </w:r>
            <w:r>
              <w:rPr>
                <w:rFonts w:hint="eastAsia" w:eastAsia="仿宋_GB2312" w:cs="仿宋_GB2312"/>
                <w:color w:val="auto"/>
                <w:kern w:val="0"/>
                <w:sz w:val="21"/>
                <w:szCs w:val="21"/>
                <w:highlight w:val="none"/>
                <w:lang w:val="en-US" w:eastAsia="zh-CN" w:bidi="ar"/>
              </w:rPr>
              <w:t>70</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（含）至</w:t>
            </w:r>
            <w:r>
              <w:rPr>
                <w:rFonts w:hint="eastAsia" w:ascii="Times New Roman" w:hAnsi="Times New Roman" w:eastAsia="仿宋_GB2312" w:cs="仿宋_GB2312"/>
                <w:color w:val="auto"/>
                <w:kern w:val="0"/>
                <w:sz w:val="21"/>
                <w:szCs w:val="21"/>
                <w:highlight w:val="none"/>
                <w:lang w:val="en-US" w:eastAsia="zh-CN" w:bidi="ar"/>
              </w:rPr>
              <w:t>80</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的，得</w:t>
            </w:r>
            <w:r>
              <w:rPr>
                <w:rFonts w:hint="eastAsia" w:ascii="Times New Roman" w:hAnsi="Times New Roman" w:eastAsia="仿宋_GB2312" w:cs="仿宋_GB2312"/>
                <w:color w:val="auto"/>
                <w:kern w:val="0"/>
                <w:sz w:val="21"/>
                <w:szCs w:val="21"/>
                <w:highlight w:val="none"/>
                <w:lang w:val="en-US" w:eastAsia="zh-CN" w:bidi="ar"/>
              </w:rPr>
              <w:t>2</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color w:val="auto"/>
                <w:kern w:val="0"/>
                <w:sz w:val="21"/>
                <w:szCs w:val="21"/>
                <w:highlight w:val="none"/>
                <w:lang w:val="en-US" w:eastAsia="zh-CN" w:bidi="ar"/>
              </w:rPr>
              <w:br w:type="textWrapping"/>
            </w:r>
            <w:r>
              <w:rPr>
                <w:rFonts w:hint="eastAsia" w:ascii="Times New Roman" w:hAnsi="Times New Roman" w:eastAsia="仿宋_GB2312" w:cs="仿宋_GB2312"/>
                <w:color w:val="auto"/>
                <w:kern w:val="0"/>
                <w:sz w:val="21"/>
                <w:szCs w:val="21"/>
                <w:highlight w:val="none"/>
                <w:lang w:val="en-US" w:eastAsia="zh-CN" w:bidi="ar"/>
              </w:rPr>
              <w:t>3</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考评年度年末发放保理融资款本金余额占资产总额的</w:t>
            </w:r>
            <w:r>
              <w:rPr>
                <w:rFonts w:hint="eastAsia" w:ascii="Times New Roman" w:hAnsi="Times New Roman" w:eastAsia="仿宋_GB2312" w:cs="仿宋_GB2312"/>
                <w:color w:val="auto"/>
                <w:kern w:val="0"/>
                <w:sz w:val="21"/>
                <w:szCs w:val="21"/>
                <w:highlight w:val="none"/>
                <w:lang w:val="en-US" w:eastAsia="zh-CN" w:bidi="ar"/>
              </w:rPr>
              <w:t>60</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（含）至</w:t>
            </w:r>
            <w:r>
              <w:rPr>
                <w:rFonts w:hint="eastAsia" w:ascii="Times New Roman" w:hAnsi="Times New Roman" w:eastAsia="仿宋_GB2312" w:cs="仿宋_GB2312"/>
                <w:color w:val="auto"/>
                <w:kern w:val="0"/>
                <w:sz w:val="21"/>
                <w:szCs w:val="21"/>
                <w:highlight w:val="none"/>
                <w:lang w:val="en-US" w:eastAsia="zh-CN" w:bidi="ar"/>
              </w:rPr>
              <w:t>70</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的，得</w:t>
            </w:r>
            <w:r>
              <w:rPr>
                <w:rFonts w:hint="eastAsia" w:eastAsia="仿宋_GB2312" w:cs="仿宋_GB2312"/>
                <w:color w:val="auto"/>
                <w:kern w:val="0"/>
                <w:sz w:val="21"/>
                <w:szCs w:val="21"/>
                <w:highlight w:val="none"/>
                <w:lang w:val="en-US" w:eastAsia="zh-CN" w:bidi="ar"/>
              </w:rPr>
              <w:t>1</w:t>
            </w:r>
            <w:r>
              <w:rPr>
                <w:rFonts w:ascii="仿宋_GB2312" w:hAnsi="仿宋_GB2312" w:eastAsia="仿宋_GB2312" w:cs="仿宋_GB2312"/>
                <w:color w:val="auto"/>
                <w:kern w:val="0"/>
                <w:sz w:val="21"/>
                <w:szCs w:val="21"/>
                <w:highlight w:val="none"/>
                <w:lang w:val="en-US" w:eastAsia="zh-CN" w:bidi="ar"/>
              </w:rPr>
              <w:t>分；</w:t>
            </w:r>
            <w:r>
              <w:rPr>
                <w:rFonts w:hint="eastAsia" w:ascii="仿宋_GB2312" w:hAnsi="仿宋_GB2312" w:eastAsia="仿宋_GB2312" w:cs="仿宋_GB2312"/>
                <w:color w:val="auto"/>
                <w:kern w:val="0"/>
                <w:sz w:val="21"/>
                <w:szCs w:val="21"/>
                <w:highlight w:val="none"/>
                <w:lang w:val="en-US" w:eastAsia="zh-CN" w:bidi="ar"/>
              </w:rPr>
              <w:br w:type="textWrapping"/>
            </w:r>
            <w:r>
              <w:rPr>
                <w:rFonts w:hint="eastAsia" w:ascii="Times New Roman" w:hAnsi="Times New Roman" w:eastAsia="仿宋_GB2312" w:cs="仿宋_GB2312"/>
                <w:color w:val="auto"/>
                <w:kern w:val="0"/>
                <w:sz w:val="21"/>
                <w:szCs w:val="21"/>
                <w:highlight w:val="none"/>
                <w:lang w:val="en-US" w:eastAsia="zh-CN" w:bidi="ar"/>
              </w:rPr>
              <w:t>4</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考评年度年末发放保理融资款本金余额小于资产总额的</w:t>
            </w:r>
            <w:r>
              <w:rPr>
                <w:rFonts w:hint="eastAsia" w:eastAsia="仿宋_GB2312" w:cs="仿宋_GB2312"/>
                <w:color w:val="auto"/>
                <w:kern w:val="0"/>
                <w:sz w:val="21"/>
                <w:szCs w:val="21"/>
                <w:highlight w:val="none"/>
                <w:lang w:val="en-US" w:eastAsia="zh-CN" w:bidi="ar"/>
              </w:rPr>
              <w:t>6</w:t>
            </w:r>
            <w:r>
              <w:rPr>
                <w:rFonts w:hint="eastAsia" w:ascii="Times New Roman" w:hAnsi="Times New Roman" w:eastAsia="仿宋_GB2312" w:cs="仿宋_GB2312"/>
                <w:color w:val="auto"/>
                <w:kern w:val="0"/>
                <w:sz w:val="21"/>
                <w:szCs w:val="21"/>
                <w:highlight w:val="none"/>
                <w:lang w:val="en-US" w:eastAsia="zh-CN" w:bidi="ar"/>
              </w:rPr>
              <w:t>0</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的，得</w:t>
            </w:r>
            <w:r>
              <w:rPr>
                <w:rFonts w:hint="eastAsia" w:ascii="Times New Roman" w:hAnsi="Times New Roman" w:eastAsia="仿宋_GB2312" w:cs="仿宋_GB2312"/>
                <w:color w:val="auto"/>
                <w:kern w:val="0"/>
                <w:sz w:val="21"/>
                <w:szCs w:val="21"/>
                <w:highlight w:val="none"/>
                <w:lang w:val="en-US" w:eastAsia="zh-CN" w:bidi="ar"/>
              </w:rPr>
              <w:t>0</w:t>
            </w:r>
            <w:r>
              <w:rPr>
                <w:rFonts w:ascii="仿宋_GB2312" w:hAnsi="仿宋_GB2312" w:eastAsia="仿宋_GB2312" w:cs="仿宋_GB2312"/>
                <w:color w:val="auto"/>
                <w:kern w:val="0"/>
                <w:sz w:val="21"/>
                <w:szCs w:val="21"/>
                <w:highlight w:val="none"/>
                <w:lang w:val="en-US" w:eastAsia="zh-CN" w:bidi="ar"/>
              </w:rPr>
              <w:t>分。</w:t>
            </w:r>
          </w:p>
        </w:tc>
        <w:tc>
          <w:tcPr>
            <w:tcW w:w="705" w:type="dxa"/>
            <w:noWrap w:val="0"/>
            <w:vAlign w:val="top"/>
          </w:tcPr>
          <w:p w14:paraId="778058F0">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029D6D38">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4E02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173" w:type="dxa"/>
            <w:gridSpan w:val="3"/>
            <w:vMerge w:val="restart"/>
            <w:noWrap w:val="0"/>
            <w:vAlign w:val="center"/>
          </w:tcPr>
          <w:p w14:paraId="08133651">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加分项</w:t>
            </w:r>
          </w:p>
        </w:tc>
        <w:tc>
          <w:tcPr>
            <w:tcW w:w="8992" w:type="dxa"/>
            <w:noWrap w:val="0"/>
            <w:vAlign w:val="center"/>
          </w:tcPr>
          <w:p w14:paraId="684ADDF7">
            <w:pPr>
              <w:keepNext w:val="0"/>
              <w:keepLines w:val="0"/>
              <w:widowControl/>
              <w:suppressLineNumbers w:val="0"/>
              <w:snapToGrid w:val="0"/>
              <w:spacing w:line="240" w:lineRule="atLeas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ascii="仿宋_GB2312" w:hAnsi="仿宋_GB2312" w:eastAsia="仿宋_GB2312" w:cs="仿宋_GB2312"/>
                <w:color w:val="auto"/>
                <w:kern w:val="0"/>
                <w:sz w:val="21"/>
                <w:szCs w:val="21"/>
                <w:highlight w:val="none"/>
                <w:lang w:val="en-US" w:eastAsia="zh-CN" w:bidi="ar"/>
              </w:rPr>
              <w:t>创新产品和服务方式得到有关部门表彰的。</w:t>
            </w:r>
          </w:p>
        </w:tc>
        <w:tc>
          <w:tcPr>
            <w:tcW w:w="705" w:type="dxa"/>
            <w:noWrap w:val="0"/>
            <w:vAlign w:val="top"/>
          </w:tcPr>
          <w:p w14:paraId="1290DF12">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7B36E285">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1EB7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173" w:type="dxa"/>
            <w:gridSpan w:val="3"/>
            <w:vMerge w:val="continue"/>
            <w:noWrap w:val="0"/>
            <w:vAlign w:val="center"/>
          </w:tcPr>
          <w:p w14:paraId="315753F4">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8992" w:type="dxa"/>
            <w:noWrap w:val="0"/>
            <w:vAlign w:val="center"/>
          </w:tcPr>
          <w:p w14:paraId="2EFBB5DA">
            <w:pPr>
              <w:keepNext w:val="0"/>
              <w:keepLines w:val="0"/>
              <w:widowControl/>
              <w:suppressLineNumbers w:val="0"/>
              <w:snapToGrid w:val="0"/>
              <w:spacing w:line="240" w:lineRule="atLeas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ascii="仿宋_GB2312" w:hAnsi="仿宋_GB2312" w:eastAsia="仿宋_GB2312" w:cs="仿宋_GB2312"/>
                <w:color w:val="auto"/>
                <w:kern w:val="0"/>
                <w:sz w:val="21"/>
                <w:szCs w:val="21"/>
                <w:highlight w:val="none"/>
                <w:lang w:val="en-US" w:eastAsia="zh-CN" w:bidi="ar"/>
              </w:rPr>
              <w:t>向广西本地企业发放保理融资款占年度累计发放保理融资款总额</w:t>
            </w:r>
            <w:r>
              <w:rPr>
                <w:rFonts w:hint="eastAsia" w:ascii="Times New Roman" w:hAnsi="Times New Roman" w:eastAsia="仿宋_GB2312" w:cs="仿宋_GB2312"/>
                <w:color w:val="auto"/>
                <w:kern w:val="0"/>
                <w:sz w:val="21"/>
                <w:szCs w:val="21"/>
                <w:highlight w:val="none"/>
                <w:lang w:val="en-US" w:eastAsia="zh-CN" w:bidi="ar"/>
              </w:rPr>
              <w:t>80</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及以上的。</w:t>
            </w:r>
          </w:p>
        </w:tc>
        <w:tc>
          <w:tcPr>
            <w:tcW w:w="705" w:type="dxa"/>
            <w:noWrap w:val="0"/>
            <w:vAlign w:val="top"/>
          </w:tcPr>
          <w:p w14:paraId="4E95D040">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5CB83BC5">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1D80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173" w:type="dxa"/>
            <w:gridSpan w:val="3"/>
            <w:vMerge w:val="continue"/>
            <w:noWrap w:val="0"/>
            <w:vAlign w:val="center"/>
          </w:tcPr>
          <w:p w14:paraId="4F9B1F06">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8992" w:type="dxa"/>
            <w:noWrap w:val="0"/>
            <w:vAlign w:val="center"/>
          </w:tcPr>
          <w:p w14:paraId="2CA92564">
            <w:pPr>
              <w:keepNext w:val="0"/>
              <w:keepLines w:val="0"/>
              <w:widowControl/>
              <w:suppressLineNumbers w:val="0"/>
              <w:snapToGrid w:val="0"/>
              <w:spacing w:line="240" w:lineRule="atLeas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ascii="仿宋_GB2312" w:hAnsi="仿宋_GB2312" w:eastAsia="仿宋_GB2312" w:cs="仿宋_GB2312"/>
                <w:color w:val="auto"/>
                <w:kern w:val="0"/>
                <w:sz w:val="21"/>
                <w:szCs w:val="21"/>
                <w:highlight w:val="none"/>
                <w:lang w:val="en-US" w:eastAsia="zh-CN" w:bidi="ar"/>
              </w:rPr>
              <w:t>年度累计缴税金额与净资产比值大于</w:t>
            </w:r>
            <w:r>
              <w:rPr>
                <w:rFonts w:hint="eastAsia" w:ascii="Times New Roman" w:hAnsi="Times New Roman" w:eastAsia="仿宋_GB2312" w:cs="仿宋_GB2312"/>
                <w:color w:val="auto"/>
                <w:kern w:val="0"/>
                <w:sz w:val="21"/>
                <w:szCs w:val="21"/>
                <w:highlight w:val="none"/>
                <w:lang w:val="en-US" w:eastAsia="zh-CN" w:bidi="ar"/>
              </w:rPr>
              <w:t>2</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的。</w:t>
            </w:r>
          </w:p>
        </w:tc>
        <w:tc>
          <w:tcPr>
            <w:tcW w:w="705" w:type="dxa"/>
            <w:noWrap w:val="0"/>
            <w:vAlign w:val="top"/>
          </w:tcPr>
          <w:p w14:paraId="153DE19A">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09E409D1">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5F16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173" w:type="dxa"/>
            <w:gridSpan w:val="3"/>
            <w:vMerge w:val="continue"/>
            <w:noWrap w:val="0"/>
            <w:vAlign w:val="top"/>
          </w:tcPr>
          <w:p w14:paraId="76689E23">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10C216F4">
            <w:pPr>
              <w:keepNext w:val="0"/>
              <w:keepLines w:val="0"/>
              <w:widowControl/>
              <w:suppressLineNumbers w:val="0"/>
              <w:snapToGrid w:val="0"/>
              <w:spacing w:line="240" w:lineRule="atLeas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ascii="仿宋_GB2312" w:hAnsi="仿宋_GB2312" w:eastAsia="仿宋_GB2312" w:cs="仿宋_GB2312"/>
                <w:color w:val="auto"/>
                <w:kern w:val="0"/>
                <w:sz w:val="21"/>
                <w:szCs w:val="21"/>
                <w:highlight w:val="none"/>
                <w:lang w:val="en-US" w:eastAsia="zh-CN" w:bidi="ar"/>
              </w:rPr>
              <w:t>年末注册资本大于</w:t>
            </w:r>
            <w:r>
              <w:rPr>
                <w:rFonts w:hint="eastAsia" w:ascii="Times New Roman" w:hAnsi="Times New Roman" w:eastAsia="仿宋_GB2312" w:cs="仿宋_GB2312"/>
                <w:color w:val="auto"/>
                <w:kern w:val="0"/>
                <w:sz w:val="21"/>
                <w:szCs w:val="21"/>
                <w:highlight w:val="none"/>
                <w:lang w:val="en-US" w:eastAsia="zh-CN" w:bidi="ar"/>
              </w:rPr>
              <w:t>3</w:t>
            </w:r>
            <w:r>
              <w:rPr>
                <w:rFonts w:ascii="仿宋_GB2312" w:hAnsi="仿宋_GB2312" w:eastAsia="仿宋_GB2312" w:cs="仿宋_GB2312"/>
                <w:color w:val="auto"/>
                <w:kern w:val="0"/>
                <w:sz w:val="21"/>
                <w:szCs w:val="21"/>
                <w:highlight w:val="none"/>
                <w:lang w:val="en-US" w:eastAsia="zh-CN" w:bidi="ar"/>
              </w:rPr>
              <w:t>亿元（含）且全额实缴到位的。</w:t>
            </w:r>
          </w:p>
        </w:tc>
        <w:tc>
          <w:tcPr>
            <w:tcW w:w="705" w:type="dxa"/>
            <w:noWrap w:val="0"/>
            <w:vAlign w:val="top"/>
          </w:tcPr>
          <w:p w14:paraId="658AA0A6">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740A9726">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7D7A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173" w:type="dxa"/>
            <w:gridSpan w:val="3"/>
            <w:vMerge w:val="continue"/>
            <w:noWrap w:val="0"/>
            <w:vAlign w:val="top"/>
          </w:tcPr>
          <w:p w14:paraId="5053F403">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02542462">
            <w:pPr>
              <w:keepNext w:val="0"/>
              <w:keepLines w:val="0"/>
              <w:widowControl/>
              <w:suppressLineNumbers w:val="0"/>
              <w:snapToGrid w:val="0"/>
              <w:spacing w:line="240" w:lineRule="atLeas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ascii="仿宋_GB2312" w:hAnsi="仿宋_GB2312" w:eastAsia="仿宋_GB2312" w:cs="仿宋_GB2312"/>
                <w:color w:val="auto"/>
                <w:kern w:val="0"/>
                <w:sz w:val="21"/>
                <w:szCs w:val="21"/>
                <w:highlight w:val="none"/>
                <w:lang w:val="en-US" w:eastAsia="zh-CN" w:bidi="ar"/>
              </w:rPr>
              <w:t>发表行业论文、课题、报道的（省级加</w:t>
            </w:r>
            <w:r>
              <w:rPr>
                <w:rFonts w:hint="eastAsia" w:ascii="Times New Roman" w:hAnsi="Times New Roman" w:eastAsia="仿宋_GB2312" w:cs="仿宋_GB2312"/>
                <w:i w:val="0"/>
                <w:iCs w:val="0"/>
                <w:color w:val="auto"/>
                <w:kern w:val="0"/>
                <w:sz w:val="21"/>
                <w:szCs w:val="21"/>
                <w:highlight w:val="none"/>
                <w:u w:val="none"/>
                <w:lang w:val="en-US" w:eastAsia="zh-CN" w:bidi="ar"/>
              </w:rPr>
              <w:t>2</w:t>
            </w:r>
            <w:r>
              <w:rPr>
                <w:rFonts w:ascii="仿宋_GB2312" w:hAnsi="仿宋_GB2312" w:eastAsia="仿宋_GB2312" w:cs="仿宋_GB2312"/>
                <w:color w:val="auto"/>
                <w:kern w:val="0"/>
                <w:sz w:val="21"/>
                <w:szCs w:val="21"/>
                <w:highlight w:val="none"/>
                <w:lang w:val="en-US" w:eastAsia="zh-CN" w:bidi="ar"/>
              </w:rPr>
              <w:t>分、国家级加</w:t>
            </w:r>
            <w:r>
              <w:rPr>
                <w:rFonts w:hint="eastAsia" w:ascii="Times New Roman" w:hAnsi="Times New Roman" w:eastAsia="仿宋_GB2312" w:cs="仿宋_GB2312"/>
                <w:i w:val="0"/>
                <w:iCs w:val="0"/>
                <w:color w:val="auto"/>
                <w:kern w:val="0"/>
                <w:sz w:val="21"/>
                <w:szCs w:val="21"/>
                <w:highlight w:val="none"/>
                <w:u w:val="none"/>
                <w:lang w:val="en-US" w:eastAsia="zh-CN" w:bidi="ar"/>
              </w:rPr>
              <w:t>3</w:t>
            </w:r>
            <w:r>
              <w:rPr>
                <w:rFonts w:ascii="仿宋_GB2312" w:hAnsi="仿宋_GB2312" w:eastAsia="仿宋_GB2312" w:cs="仿宋_GB2312"/>
                <w:color w:val="auto"/>
                <w:kern w:val="0"/>
                <w:sz w:val="21"/>
                <w:szCs w:val="21"/>
                <w:highlight w:val="none"/>
                <w:lang w:val="en-US" w:eastAsia="zh-CN" w:bidi="ar"/>
              </w:rPr>
              <w:t>分）。</w:t>
            </w:r>
          </w:p>
        </w:tc>
        <w:tc>
          <w:tcPr>
            <w:tcW w:w="705" w:type="dxa"/>
            <w:noWrap w:val="0"/>
            <w:vAlign w:val="top"/>
          </w:tcPr>
          <w:p w14:paraId="42CBFB49">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7685E441">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40D5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173" w:type="dxa"/>
            <w:gridSpan w:val="3"/>
            <w:vMerge w:val="continue"/>
            <w:noWrap w:val="0"/>
            <w:vAlign w:val="top"/>
          </w:tcPr>
          <w:p w14:paraId="34575AA8">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6E0BB6D2">
            <w:pPr>
              <w:rPr>
                <w:rFonts w:hint="default" w:ascii="Times New Roman" w:hAnsi="Times New Roman" w:eastAsia="仿宋_GB2312" w:cs="Times New Roman"/>
                <w:color w:val="auto"/>
                <w:kern w:val="2"/>
                <w:sz w:val="32"/>
                <w:szCs w:val="24"/>
                <w:highlight w:val="none"/>
                <w:lang w:val="en-US" w:eastAsia="zh-CN" w:bidi="ar-SA"/>
              </w:rPr>
            </w:pPr>
            <w:r>
              <w:rPr>
                <w:rFonts w:ascii="仿宋_GB2312" w:hAnsi="仿宋_GB2312" w:eastAsia="仿宋_GB2312" w:cs="仿宋_GB2312"/>
                <w:color w:val="auto"/>
                <w:kern w:val="0"/>
                <w:sz w:val="21"/>
                <w:szCs w:val="21"/>
                <w:highlight w:val="none"/>
                <w:lang w:val="en-US" w:eastAsia="zh-CN" w:bidi="ar"/>
              </w:rPr>
              <w:t>考评年度内向中小微</w:t>
            </w:r>
            <w:r>
              <w:rPr>
                <w:rFonts w:hint="eastAsia" w:ascii="仿宋_GB2312" w:hAnsi="仿宋_GB2312" w:eastAsia="仿宋_GB2312" w:cs="仿宋_GB2312"/>
                <w:color w:val="auto"/>
                <w:kern w:val="0"/>
                <w:sz w:val="21"/>
                <w:szCs w:val="21"/>
                <w:highlight w:val="none"/>
                <w:lang w:val="en-US" w:eastAsia="zh-CN" w:bidi="ar"/>
              </w:rPr>
              <w:t>和“三农”</w:t>
            </w:r>
            <w:r>
              <w:rPr>
                <w:rFonts w:ascii="仿宋_GB2312" w:hAnsi="仿宋_GB2312" w:eastAsia="仿宋_GB2312" w:cs="仿宋_GB2312"/>
                <w:color w:val="auto"/>
                <w:kern w:val="0"/>
                <w:sz w:val="21"/>
                <w:szCs w:val="21"/>
                <w:highlight w:val="none"/>
                <w:lang w:val="en-US" w:eastAsia="zh-CN" w:bidi="ar"/>
              </w:rPr>
              <w:t>企业发放保理融资款总额较上年度有所增长的</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加</w:t>
            </w:r>
            <w:r>
              <w:rPr>
                <w:rFonts w:hint="eastAsia" w:ascii="Times New Roman" w:hAnsi="Times New Roman" w:eastAsia="仿宋_GB2312" w:cs="仿宋_GB2312"/>
                <w:color w:val="auto"/>
                <w:kern w:val="0"/>
                <w:sz w:val="21"/>
                <w:szCs w:val="21"/>
                <w:highlight w:val="none"/>
                <w:lang w:val="en-US" w:eastAsia="zh-CN" w:bidi="ar"/>
              </w:rPr>
              <w:t>3</w:t>
            </w:r>
            <w:r>
              <w:rPr>
                <w:rFonts w:ascii="仿宋_GB2312" w:hAnsi="仿宋_GB2312" w:eastAsia="仿宋_GB2312" w:cs="仿宋_GB2312"/>
                <w:color w:val="auto"/>
                <w:kern w:val="0"/>
                <w:sz w:val="21"/>
                <w:szCs w:val="21"/>
                <w:highlight w:val="none"/>
                <w:lang w:val="en-US" w:eastAsia="zh-CN" w:bidi="ar"/>
              </w:rPr>
              <w:t>分。</w:t>
            </w:r>
          </w:p>
        </w:tc>
        <w:tc>
          <w:tcPr>
            <w:tcW w:w="705" w:type="dxa"/>
            <w:noWrap w:val="0"/>
            <w:vAlign w:val="top"/>
          </w:tcPr>
          <w:p w14:paraId="150C6BD5">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1C4ED015">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665A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173" w:type="dxa"/>
            <w:gridSpan w:val="3"/>
            <w:vMerge w:val="continue"/>
            <w:noWrap w:val="0"/>
            <w:vAlign w:val="top"/>
          </w:tcPr>
          <w:p w14:paraId="25D6B832">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16B9EEB5">
            <w:pPr>
              <w:keepNext w:val="0"/>
              <w:keepLines w:val="0"/>
              <w:widowControl/>
              <w:suppressLineNumbers w:val="0"/>
              <w:snapToGrid w:val="0"/>
              <w:spacing w:line="240" w:lineRule="atLeast"/>
              <w:jc w:val="left"/>
              <w:textAlignment w:val="center"/>
              <w:rPr>
                <w:rFonts w:hint="eastAsia" w:ascii="仿宋_GB2312" w:hAnsi="仿宋_GB2312" w:eastAsia="仿宋_GB2312" w:cs="仿宋_GB2312"/>
                <w:color w:val="auto"/>
                <w:kern w:val="0"/>
                <w:sz w:val="21"/>
                <w:szCs w:val="21"/>
                <w:highlight w:val="none"/>
                <w:lang w:val="en-US" w:eastAsia="zh-CN" w:bidi="ar"/>
              </w:rPr>
            </w:pPr>
            <w:r>
              <w:rPr>
                <w:rFonts w:ascii="仿宋_GB2312" w:hAnsi="仿宋_GB2312" w:eastAsia="仿宋_GB2312" w:cs="仿宋_GB2312"/>
                <w:color w:val="auto"/>
                <w:kern w:val="0"/>
                <w:sz w:val="21"/>
                <w:szCs w:val="21"/>
                <w:highlight w:val="none"/>
                <w:lang w:val="en-US" w:eastAsia="zh-CN" w:bidi="ar"/>
              </w:rPr>
              <w:t>考评年度内实现</w:t>
            </w:r>
            <w:r>
              <w:rPr>
                <w:rFonts w:hint="eastAsia" w:ascii="仿宋_GB2312" w:hAnsi="仿宋_GB2312" w:eastAsia="仿宋_GB2312" w:cs="仿宋_GB2312"/>
                <w:color w:val="auto"/>
                <w:kern w:val="0"/>
                <w:sz w:val="21"/>
                <w:szCs w:val="21"/>
                <w:highlight w:val="none"/>
                <w:lang w:val="en-US" w:eastAsia="zh-CN" w:bidi="ar"/>
              </w:rPr>
              <w:t>以下情形的，酌情加</w:t>
            </w:r>
            <w:r>
              <w:rPr>
                <w:rFonts w:hint="eastAsia" w:ascii="Times New Roman" w:hAnsi="Times New Roman" w:eastAsia="仿宋_GB2312" w:cs="仿宋_GB2312"/>
                <w:color w:val="auto"/>
                <w:kern w:val="0"/>
                <w:sz w:val="21"/>
                <w:szCs w:val="21"/>
                <w:highlight w:val="none"/>
                <w:lang w:val="en-US" w:eastAsia="zh-CN" w:bidi="ar"/>
              </w:rPr>
              <w:t>1</w:t>
            </w:r>
            <w:r>
              <w:rPr>
                <w:rFonts w:hint="eastAsia" w:ascii="仿宋_GB2312" w:hAnsi="仿宋_GB2312" w:eastAsia="仿宋_GB2312" w:cs="仿宋_GB2312"/>
                <w:color w:val="auto"/>
                <w:kern w:val="0"/>
                <w:sz w:val="21"/>
                <w:szCs w:val="21"/>
                <w:highlight w:val="none"/>
                <w:lang w:val="en-US" w:eastAsia="zh-CN" w:bidi="ar"/>
              </w:rPr>
              <w:t>～</w:t>
            </w:r>
            <w:r>
              <w:rPr>
                <w:rFonts w:hint="eastAsia" w:ascii="Times New Roman" w:hAnsi="Times New Roman" w:eastAsia="仿宋_GB2312" w:cs="仿宋_GB2312"/>
                <w:color w:val="auto"/>
                <w:kern w:val="0"/>
                <w:sz w:val="21"/>
                <w:szCs w:val="21"/>
                <w:highlight w:val="none"/>
                <w:lang w:val="en-US" w:eastAsia="zh-CN" w:bidi="ar"/>
              </w:rPr>
              <w:t>5</w:t>
            </w:r>
            <w:r>
              <w:rPr>
                <w:rFonts w:hint="eastAsia" w:ascii="仿宋_GB2312" w:hAnsi="仿宋_GB2312" w:eastAsia="仿宋_GB2312" w:cs="仿宋_GB2312"/>
                <w:color w:val="auto"/>
                <w:kern w:val="0"/>
                <w:sz w:val="21"/>
                <w:szCs w:val="21"/>
                <w:highlight w:val="none"/>
                <w:lang w:val="en-US" w:eastAsia="zh-CN" w:bidi="ar"/>
              </w:rPr>
              <w:t>分：</w:t>
            </w:r>
          </w:p>
          <w:p w14:paraId="1931909F">
            <w:pPr>
              <w:keepNext w:val="0"/>
              <w:keepLines w:val="0"/>
              <w:widowControl/>
              <w:suppressLineNumbers w:val="0"/>
              <w:snapToGrid w:val="0"/>
              <w:spacing w:line="240" w:lineRule="atLeast"/>
              <w:jc w:val="left"/>
              <w:textAlignment w:val="center"/>
              <w:rPr>
                <w:rFonts w:hint="eastAsia" w:ascii="仿宋_GB2312" w:hAnsi="仿宋_GB2312"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1</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为新质生产力科技型企业发展提供金融支持并成功投放的</w:t>
            </w:r>
            <w:r>
              <w:rPr>
                <w:rFonts w:hint="eastAsia" w:ascii="仿宋_GB2312" w:hAnsi="仿宋_GB2312" w:eastAsia="仿宋_GB2312" w:cs="仿宋_GB2312"/>
                <w:color w:val="auto"/>
                <w:kern w:val="0"/>
                <w:sz w:val="21"/>
                <w:szCs w:val="21"/>
                <w:highlight w:val="none"/>
                <w:lang w:val="en-US" w:eastAsia="zh-CN" w:bidi="ar"/>
              </w:rPr>
              <w:t>；</w:t>
            </w:r>
          </w:p>
          <w:p w14:paraId="442A991E">
            <w:pPr>
              <w:keepNext w:val="0"/>
              <w:keepLines w:val="0"/>
              <w:widowControl/>
              <w:suppressLineNumbers w:val="0"/>
              <w:snapToGrid w:val="0"/>
              <w:spacing w:line="240" w:lineRule="atLeast"/>
              <w:jc w:val="left"/>
              <w:textAlignment w:val="center"/>
              <w:rPr>
                <w:rFonts w:hint="eastAsia" w:ascii="仿宋_GB2312" w:hAnsi="仿宋_GB2312"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2</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为绿色产业发展提供金融支持并成功投放的</w:t>
            </w:r>
            <w:r>
              <w:rPr>
                <w:rFonts w:hint="eastAsia" w:ascii="仿宋_GB2312" w:hAnsi="仿宋_GB2312" w:eastAsia="仿宋_GB2312" w:cs="仿宋_GB2312"/>
                <w:color w:val="auto"/>
                <w:kern w:val="0"/>
                <w:sz w:val="21"/>
                <w:szCs w:val="21"/>
                <w:highlight w:val="none"/>
                <w:lang w:val="en-US" w:eastAsia="zh-CN" w:bidi="ar"/>
              </w:rPr>
              <w:t>；</w:t>
            </w:r>
          </w:p>
          <w:p w14:paraId="1860C9DF">
            <w:pPr>
              <w:keepNext w:val="0"/>
              <w:keepLines w:val="0"/>
              <w:widowControl/>
              <w:suppressLineNumbers w:val="0"/>
              <w:snapToGrid w:val="0"/>
              <w:spacing w:line="240" w:lineRule="atLeast"/>
              <w:jc w:val="left"/>
              <w:textAlignment w:val="center"/>
              <w:rPr>
                <w:rFonts w:hint="eastAsia" w:ascii="仿宋_GB2312" w:hAnsi="仿宋_GB2312" w:eastAsia="仿宋_GB2312" w:cs="仿宋_GB2312"/>
                <w:color w:val="auto"/>
                <w:kern w:val="0"/>
                <w:sz w:val="21"/>
                <w:szCs w:val="21"/>
                <w:highlight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3</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为数字产业发展提供金融支持并成功投放的</w:t>
            </w:r>
            <w:r>
              <w:rPr>
                <w:rFonts w:hint="eastAsia" w:ascii="仿宋_GB2312" w:hAnsi="仿宋_GB2312" w:eastAsia="仿宋_GB2312" w:cs="仿宋_GB2312"/>
                <w:color w:val="auto"/>
                <w:kern w:val="0"/>
                <w:sz w:val="21"/>
                <w:szCs w:val="21"/>
                <w:highlight w:val="none"/>
                <w:lang w:val="en-US" w:eastAsia="zh-CN" w:bidi="ar"/>
              </w:rPr>
              <w:t>；</w:t>
            </w:r>
          </w:p>
          <w:p w14:paraId="0BDBE88D">
            <w:pPr>
              <w:keepNext w:val="0"/>
              <w:keepLines w:val="0"/>
              <w:widowControl/>
              <w:suppressLineNumbers w:val="0"/>
              <w:snapToGrid w:val="0"/>
              <w:spacing w:line="240" w:lineRule="atLeas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仿宋_GB2312"/>
                <w:color w:val="auto"/>
                <w:kern w:val="0"/>
                <w:sz w:val="21"/>
                <w:szCs w:val="21"/>
                <w:highlight w:val="none"/>
                <w:lang w:val="en-US" w:eastAsia="zh-CN" w:bidi="ar"/>
              </w:rPr>
              <w:t>4</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为养老产业发展提供金融支持并成功投放的</w:t>
            </w:r>
            <w:r>
              <w:rPr>
                <w:rFonts w:hint="eastAsia" w:ascii="仿宋_GB2312" w:hAnsi="仿宋_GB2312" w:eastAsia="仿宋_GB2312" w:cs="仿宋_GB2312"/>
                <w:color w:val="auto"/>
                <w:kern w:val="0"/>
                <w:sz w:val="21"/>
                <w:szCs w:val="21"/>
                <w:highlight w:val="none"/>
                <w:lang w:val="en-US" w:eastAsia="zh-CN" w:bidi="ar"/>
              </w:rPr>
              <w:t>。</w:t>
            </w:r>
          </w:p>
        </w:tc>
        <w:tc>
          <w:tcPr>
            <w:tcW w:w="705" w:type="dxa"/>
            <w:noWrap w:val="0"/>
            <w:vAlign w:val="top"/>
          </w:tcPr>
          <w:p w14:paraId="0A76389E">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54A6E394">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1948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173" w:type="dxa"/>
            <w:gridSpan w:val="3"/>
            <w:vMerge w:val="restart"/>
            <w:noWrap w:val="0"/>
            <w:vAlign w:val="center"/>
          </w:tcPr>
          <w:p w14:paraId="70C232E6">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减分项</w:t>
            </w:r>
          </w:p>
        </w:tc>
        <w:tc>
          <w:tcPr>
            <w:tcW w:w="8992" w:type="dxa"/>
            <w:noWrap w:val="0"/>
            <w:vAlign w:val="center"/>
          </w:tcPr>
          <w:p w14:paraId="262DB9BF">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ascii="仿宋_GB2312" w:hAnsi="仿宋_GB2312" w:eastAsia="仿宋_GB2312" w:cs="仿宋_GB2312"/>
                <w:color w:val="auto"/>
                <w:kern w:val="0"/>
                <w:sz w:val="21"/>
                <w:szCs w:val="21"/>
                <w:highlight w:val="none"/>
                <w:lang w:val="en-US" w:eastAsia="zh-CN" w:bidi="ar"/>
              </w:rPr>
              <w:t>发生公司</w:t>
            </w:r>
            <w:r>
              <w:rPr>
                <w:rFonts w:hint="eastAsia" w:ascii="Times New Roman" w:hAnsi="Times New Roman" w:eastAsia="仿宋_GB2312" w:cs="仿宋_GB2312"/>
                <w:color w:val="auto"/>
                <w:kern w:val="0"/>
                <w:sz w:val="21"/>
                <w:szCs w:val="21"/>
                <w:highlight w:val="none"/>
                <w:lang w:val="en-US" w:eastAsia="zh-CN" w:bidi="ar"/>
              </w:rPr>
              <w:t>5</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以上股份被质押、冻结、司法拍卖、托管、设定信托或被依法限制表决权的，根据情节轻重扣</w:t>
            </w:r>
            <w:r>
              <w:rPr>
                <w:rFonts w:hint="eastAsia" w:ascii="Times New Roman" w:hAnsi="Times New Roman" w:eastAsia="仿宋_GB2312" w:cs="仿宋_GB2312"/>
                <w:color w:val="auto"/>
                <w:kern w:val="0"/>
                <w:sz w:val="21"/>
                <w:szCs w:val="21"/>
                <w:highlight w:val="none"/>
                <w:lang w:val="en-US" w:eastAsia="zh-CN" w:bidi="ar"/>
              </w:rPr>
              <w:t>2</w:t>
            </w:r>
            <w:r>
              <w:rPr>
                <w:rFonts w:ascii="仿宋_GB2312" w:hAnsi="仿宋_GB2312" w:eastAsia="仿宋_GB2312" w:cs="仿宋_GB2312"/>
                <w:color w:val="auto"/>
                <w:kern w:val="0"/>
                <w:sz w:val="21"/>
                <w:szCs w:val="21"/>
                <w:highlight w:val="none"/>
                <w:lang w:val="en-US" w:eastAsia="zh-CN" w:bidi="ar"/>
              </w:rPr>
              <w:t>～</w:t>
            </w:r>
            <w:r>
              <w:rPr>
                <w:rFonts w:hint="eastAsia" w:ascii="Times New Roman" w:hAnsi="Times New Roman" w:eastAsia="仿宋_GB2312" w:cs="仿宋_GB2312"/>
                <w:color w:val="auto"/>
                <w:kern w:val="0"/>
                <w:sz w:val="21"/>
                <w:szCs w:val="21"/>
                <w:highlight w:val="none"/>
                <w:lang w:val="en-US" w:eastAsia="zh-CN" w:bidi="ar"/>
              </w:rPr>
              <w:t>10</w:t>
            </w:r>
            <w:r>
              <w:rPr>
                <w:rFonts w:ascii="仿宋_GB2312" w:hAnsi="仿宋_GB2312" w:eastAsia="仿宋_GB2312" w:cs="仿宋_GB2312"/>
                <w:color w:val="auto"/>
                <w:kern w:val="0"/>
                <w:sz w:val="21"/>
                <w:szCs w:val="21"/>
                <w:highlight w:val="none"/>
                <w:lang w:val="en-US" w:eastAsia="zh-CN" w:bidi="ar"/>
              </w:rPr>
              <w:t>分。</w:t>
            </w:r>
          </w:p>
        </w:tc>
        <w:tc>
          <w:tcPr>
            <w:tcW w:w="705" w:type="dxa"/>
            <w:noWrap w:val="0"/>
            <w:vAlign w:val="top"/>
          </w:tcPr>
          <w:p w14:paraId="4C389CC7">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19EB579E">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6683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73" w:type="dxa"/>
            <w:gridSpan w:val="3"/>
            <w:vMerge w:val="continue"/>
            <w:noWrap w:val="0"/>
            <w:vAlign w:val="top"/>
          </w:tcPr>
          <w:p w14:paraId="1D9C51FA">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3163F782">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ascii="仿宋_GB2312" w:hAnsi="仿宋_GB2312" w:eastAsia="仿宋_GB2312" w:cs="仿宋_GB2312"/>
                <w:color w:val="auto"/>
                <w:kern w:val="0"/>
                <w:sz w:val="21"/>
                <w:szCs w:val="21"/>
                <w:highlight w:val="none"/>
                <w:lang w:val="en-US" w:eastAsia="zh-CN" w:bidi="ar"/>
              </w:rPr>
              <w:t>未将逾期</w:t>
            </w:r>
            <w:r>
              <w:rPr>
                <w:rFonts w:hint="eastAsia" w:ascii="Times New Roman" w:hAnsi="Times New Roman" w:eastAsia="仿宋_GB2312" w:cs="仿宋_GB2312"/>
                <w:color w:val="auto"/>
                <w:kern w:val="0"/>
                <w:sz w:val="21"/>
                <w:szCs w:val="21"/>
                <w:highlight w:val="none"/>
                <w:lang w:val="en-US" w:eastAsia="zh-CN" w:bidi="ar"/>
              </w:rPr>
              <w:t>90</w:t>
            </w:r>
            <w:r>
              <w:rPr>
                <w:rFonts w:ascii="仿宋_GB2312" w:hAnsi="仿宋_GB2312" w:eastAsia="仿宋_GB2312" w:cs="仿宋_GB2312"/>
                <w:color w:val="auto"/>
                <w:kern w:val="0"/>
                <w:sz w:val="21"/>
                <w:szCs w:val="21"/>
                <w:highlight w:val="none"/>
                <w:lang w:val="en-US" w:eastAsia="zh-CN" w:bidi="ar"/>
              </w:rPr>
              <w:t>天未收回或未实现的应收保理融资款项纳入不良资产的，根据情节轻重扣</w:t>
            </w:r>
            <w:r>
              <w:rPr>
                <w:rFonts w:hint="eastAsia" w:ascii="Times New Roman" w:hAnsi="Times New Roman" w:eastAsia="仿宋_GB2312" w:cs="仿宋_GB2312"/>
                <w:color w:val="auto"/>
                <w:kern w:val="0"/>
                <w:sz w:val="21"/>
                <w:szCs w:val="21"/>
                <w:highlight w:val="none"/>
                <w:lang w:val="en-US" w:eastAsia="zh-CN" w:bidi="ar"/>
              </w:rPr>
              <w:t>2</w:t>
            </w:r>
            <w:r>
              <w:rPr>
                <w:rFonts w:ascii="仿宋_GB2312" w:hAnsi="仿宋_GB2312" w:eastAsia="仿宋_GB2312" w:cs="仿宋_GB2312"/>
                <w:color w:val="auto"/>
                <w:kern w:val="0"/>
                <w:sz w:val="21"/>
                <w:szCs w:val="21"/>
                <w:highlight w:val="none"/>
                <w:lang w:val="en-US" w:eastAsia="zh-CN" w:bidi="ar"/>
              </w:rPr>
              <w:t>～</w:t>
            </w:r>
            <w:r>
              <w:rPr>
                <w:rFonts w:hint="eastAsia" w:ascii="Times New Roman" w:hAnsi="Times New Roman" w:eastAsia="仿宋_GB2312" w:cs="仿宋_GB2312"/>
                <w:color w:val="auto"/>
                <w:kern w:val="0"/>
                <w:sz w:val="21"/>
                <w:szCs w:val="21"/>
                <w:highlight w:val="none"/>
                <w:lang w:val="en-US" w:eastAsia="zh-CN" w:bidi="ar"/>
              </w:rPr>
              <w:t>10</w:t>
            </w:r>
            <w:r>
              <w:rPr>
                <w:rFonts w:ascii="仿宋_GB2312" w:hAnsi="仿宋_GB2312" w:eastAsia="仿宋_GB2312" w:cs="仿宋_GB2312"/>
                <w:color w:val="auto"/>
                <w:kern w:val="0"/>
                <w:sz w:val="21"/>
                <w:szCs w:val="21"/>
                <w:highlight w:val="none"/>
                <w:lang w:val="en-US" w:eastAsia="zh-CN" w:bidi="ar"/>
              </w:rPr>
              <w:t>分。</w:t>
            </w:r>
          </w:p>
        </w:tc>
        <w:tc>
          <w:tcPr>
            <w:tcW w:w="705" w:type="dxa"/>
            <w:noWrap w:val="0"/>
            <w:vAlign w:val="top"/>
          </w:tcPr>
          <w:p w14:paraId="7F697D59">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3855053B">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45E9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73" w:type="dxa"/>
            <w:gridSpan w:val="3"/>
            <w:vMerge w:val="restart"/>
            <w:noWrap w:val="0"/>
            <w:vAlign w:val="center"/>
          </w:tcPr>
          <w:p w14:paraId="36F7D116">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减分项</w:t>
            </w:r>
          </w:p>
        </w:tc>
        <w:tc>
          <w:tcPr>
            <w:tcW w:w="8992" w:type="dxa"/>
            <w:noWrap w:val="0"/>
            <w:vAlign w:val="center"/>
          </w:tcPr>
          <w:p w14:paraId="00D30EE0">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ascii="仿宋_GB2312" w:hAnsi="仿宋_GB2312" w:eastAsia="仿宋_GB2312" w:cs="仿宋_GB2312"/>
                <w:color w:val="auto"/>
                <w:kern w:val="0"/>
                <w:sz w:val="21"/>
                <w:szCs w:val="21"/>
                <w:highlight w:val="none"/>
                <w:lang w:val="en-US" w:eastAsia="zh-CN" w:bidi="ar"/>
              </w:rPr>
              <w:t>年末计提的风险准备金余额低于风险资产期末余额的</w:t>
            </w:r>
            <w:r>
              <w:rPr>
                <w:rFonts w:hint="eastAsia" w:ascii="Times New Roman" w:hAnsi="Times New Roman" w:eastAsia="仿宋_GB2312" w:cs="仿宋_GB2312"/>
                <w:color w:val="auto"/>
                <w:kern w:val="0"/>
                <w:sz w:val="21"/>
                <w:szCs w:val="21"/>
                <w:highlight w:val="none"/>
                <w:lang w:val="en-US" w:eastAsia="zh-CN" w:bidi="ar"/>
              </w:rPr>
              <w:t>1</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的，根据情节轻重扣</w:t>
            </w:r>
            <w:r>
              <w:rPr>
                <w:rFonts w:hint="eastAsia" w:ascii="Times New Roman" w:hAnsi="Times New Roman" w:eastAsia="仿宋_GB2312" w:cs="仿宋_GB2312"/>
                <w:color w:val="auto"/>
                <w:kern w:val="0"/>
                <w:sz w:val="21"/>
                <w:szCs w:val="21"/>
                <w:highlight w:val="none"/>
                <w:lang w:val="en-US" w:eastAsia="zh-CN" w:bidi="ar"/>
              </w:rPr>
              <w:t>2</w:t>
            </w:r>
            <w:r>
              <w:rPr>
                <w:rFonts w:ascii="仿宋_GB2312" w:hAnsi="仿宋_GB2312" w:eastAsia="仿宋_GB2312" w:cs="仿宋_GB2312"/>
                <w:color w:val="auto"/>
                <w:kern w:val="0"/>
                <w:sz w:val="21"/>
                <w:szCs w:val="21"/>
                <w:highlight w:val="none"/>
                <w:lang w:val="en-US" w:eastAsia="zh-CN" w:bidi="ar"/>
              </w:rPr>
              <w:t>～</w:t>
            </w:r>
            <w:r>
              <w:rPr>
                <w:rFonts w:hint="eastAsia" w:ascii="Times New Roman" w:hAnsi="Times New Roman" w:eastAsia="仿宋_GB2312" w:cs="仿宋_GB2312"/>
                <w:color w:val="auto"/>
                <w:kern w:val="0"/>
                <w:sz w:val="21"/>
                <w:szCs w:val="21"/>
                <w:highlight w:val="none"/>
                <w:lang w:val="en-US" w:eastAsia="zh-CN" w:bidi="ar"/>
              </w:rPr>
              <w:t>10</w:t>
            </w:r>
            <w:r>
              <w:rPr>
                <w:rFonts w:ascii="仿宋_GB2312" w:hAnsi="仿宋_GB2312" w:eastAsia="仿宋_GB2312" w:cs="仿宋_GB2312"/>
                <w:color w:val="auto"/>
                <w:kern w:val="0"/>
                <w:sz w:val="21"/>
                <w:szCs w:val="21"/>
                <w:highlight w:val="none"/>
                <w:lang w:val="en-US" w:eastAsia="zh-CN" w:bidi="ar"/>
              </w:rPr>
              <w:t>分。</w:t>
            </w:r>
          </w:p>
        </w:tc>
        <w:tc>
          <w:tcPr>
            <w:tcW w:w="705" w:type="dxa"/>
            <w:noWrap w:val="0"/>
            <w:vAlign w:val="top"/>
          </w:tcPr>
          <w:p w14:paraId="083101D5">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725FE0E3">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20A2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173" w:type="dxa"/>
            <w:gridSpan w:val="3"/>
            <w:vMerge w:val="continue"/>
            <w:noWrap w:val="0"/>
            <w:vAlign w:val="top"/>
          </w:tcPr>
          <w:p w14:paraId="44D22532">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38A2C204">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ascii="仿宋_GB2312" w:hAnsi="仿宋_GB2312" w:eastAsia="仿宋_GB2312" w:cs="仿宋_GB2312"/>
                <w:color w:val="auto"/>
                <w:kern w:val="0"/>
                <w:sz w:val="21"/>
                <w:szCs w:val="21"/>
                <w:highlight w:val="none"/>
                <w:lang w:val="en-US" w:eastAsia="zh-CN" w:bidi="ar"/>
              </w:rPr>
              <w:t>控股股东发生重大违规、失信或风险事项，或受到有关部门重大行政处罚的，根据情节轻重扣</w:t>
            </w:r>
            <w:r>
              <w:rPr>
                <w:rFonts w:hint="eastAsia" w:ascii="Times New Roman" w:hAnsi="Times New Roman" w:eastAsia="仿宋_GB2312" w:cs="仿宋_GB2312"/>
                <w:color w:val="auto"/>
                <w:kern w:val="0"/>
                <w:sz w:val="21"/>
                <w:szCs w:val="21"/>
                <w:highlight w:val="none"/>
                <w:lang w:val="en-US" w:eastAsia="zh-CN" w:bidi="ar"/>
              </w:rPr>
              <w:t>2</w:t>
            </w:r>
            <w:r>
              <w:rPr>
                <w:rFonts w:ascii="仿宋_GB2312" w:hAnsi="仿宋_GB2312" w:eastAsia="仿宋_GB2312" w:cs="仿宋_GB2312"/>
                <w:color w:val="auto"/>
                <w:kern w:val="0"/>
                <w:sz w:val="21"/>
                <w:szCs w:val="21"/>
                <w:highlight w:val="none"/>
                <w:lang w:val="en-US" w:eastAsia="zh-CN" w:bidi="ar"/>
              </w:rPr>
              <w:t>～</w:t>
            </w:r>
            <w:r>
              <w:rPr>
                <w:rFonts w:hint="eastAsia" w:ascii="Times New Roman" w:hAnsi="Times New Roman" w:eastAsia="仿宋_GB2312" w:cs="仿宋_GB2312"/>
                <w:color w:val="auto"/>
                <w:kern w:val="0"/>
                <w:sz w:val="21"/>
                <w:szCs w:val="21"/>
                <w:highlight w:val="none"/>
                <w:lang w:val="en-US" w:eastAsia="zh-CN" w:bidi="ar"/>
              </w:rPr>
              <w:t>10</w:t>
            </w:r>
            <w:r>
              <w:rPr>
                <w:rFonts w:ascii="仿宋_GB2312" w:hAnsi="仿宋_GB2312" w:eastAsia="仿宋_GB2312" w:cs="仿宋_GB2312"/>
                <w:color w:val="auto"/>
                <w:kern w:val="0"/>
                <w:sz w:val="21"/>
                <w:szCs w:val="21"/>
                <w:highlight w:val="none"/>
                <w:lang w:val="en-US" w:eastAsia="zh-CN" w:bidi="ar"/>
              </w:rPr>
              <w:t>分。</w:t>
            </w:r>
          </w:p>
        </w:tc>
        <w:tc>
          <w:tcPr>
            <w:tcW w:w="705" w:type="dxa"/>
            <w:noWrap w:val="0"/>
            <w:vAlign w:val="top"/>
          </w:tcPr>
          <w:p w14:paraId="2C5FCEA9">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0CCB3429">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6D61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173" w:type="dxa"/>
            <w:gridSpan w:val="3"/>
            <w:vMerge w:val="continue"/>
            <w:noWrap w:val="0"/>
            <w:vAlign w:val="center"/>
          </w:tcPr>
          <w:p w14:paraId="225572F6">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1CD6F4A3">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ascii="仿宋_GB2312" w:hAnsi="仿宋_GB2312" w:eastAsia="仿宋_GB2312" w:cs="仿宋_GB2312"/>
                <w:color w:val="auto"/>
                <w:kern w:val="0"/>
                <w:sz w:val="21"/>
                <w:szCs w:val="21"/>
                <w:highlight w:val="none"/>
                <w:lang w:val="en-US" w:eastAsia="zh-CN" w:bidi="ar"/>
              </w:rPr>
              <w:t>考评年度内存在</w:t>
            </w:r>
            <w:r>
              <w:rPr>
                <w:rFonts w:hint="eastAsia" w:ascii="Times New Roman" w:hAnsi="Times New Roman" w:eastAsia="仿宋_GB2312" w:cs="仿宋_GB2312"/>
                <w:color w:val="auto"/>
                <w:kern w:val="0"/>
                <w:sz w:val="21"/>
                <w:szCs w:val="21"/>
                <w:highlight w:val="none"/>
                <w:lang w:val="en-US" w:eastAsia="zh-CN" w:bidi="ar"/>
              </w:rPr>
              <w:t>3</w:t>
            </w:r>
            <w:r>
              <w:rPr>
                <w:rFonts w:ascii="仿宋_GB2312" w:hAnsi="仿宋_GB2312" w:eastAsia="仿宋_GB2312" w:cs="仿宋_GB2312"/>
                <w:color w:val="auto"/>
                <w:kern w:val="0"/>
                <w:sz w:val="21"/>
                <w:szCs w:val="21"/>
                <w:highlight w:val="none"/>
                <w:lang w:val="en-US" w:eastAsia="zh-CN" w:bidi="ar"/>
              </w:rPr>
              <w:t>次及以上未按要求及时完整准确的报送数据的，根据情节轻重扣</w:t>
            </w:r>
            <w:r>
              <w:rPr>
                <w:rFonts w:hint="eastAsia" w:eastAsia="仿宋_GB2312" w:cs="仿宋_GB2312"/>
                <w:color w:val="auto"/>
                <w:kern w:val="0"/>
                <w:sz w:val="21"/>
                <w:szCs w:val="21"/>
                <w:highlight w:val="none"/>
                <w:lang w:val="en-US" w:eastAsia="zh-CN" w:bidi="ar"/>
              </w:rPr>
              <w:t>2</w:t>
            </w:r>
            <w:r>
              <w:rPr>
                <w:rFonts w:ascii="仿宋_GB2312" w:hAnsi="仿宋_GB2312" w:eastAsia="仿宋_GB2312" w:cs="仿宋_GB2312"/>
                <w:color w:val="auto"/>
                <w:kern w:val="0"/>
                <w:sz w:val="21"/>
                <w:szCs w:val="21"/>
                <w:highlight w:val="none"/>
                <w:lang w:val="en-US" w:eastAsia="zh-CN" w:bidi="ar"/>
              </w:rPr>
              <w:t>～</w:t>
            </w:r>
            <w:r>
              <w:rPr>
                <w:rFonts w:hint="eastAsia" w:ascii="Times New Roman" w:hAnsi="Times New Roman" w:eastAsia="仿宋_GB2312" w:cs="仿宋_GB2312"/>
                <w:color w:val="auto"/>
                <w:kern w:val="0"/>
                <w:sz w:val="21"/>
                <w:szCs w:val="21"/>
                <w:highlight w:val="none"/>
                <w:lang w:val="en-US" w:eastAsia="zh-CN" w:bidi="ar"/>
              </w:rPr>
              <w:t>15</w:t>
            </w:r>
            <w:r>
              <w:rPr>
                <w:rFonts w:ascii="仿宋_GB2312" w:hAnsi="仿宋_GB2312" w:eastAsia="仿宋_GB2312" w:cs="仿宋_GB2312"/>
                <w:color w:val="auto"/>
                <w:kern w:val="0"/>
                <w:sz w:val="21"/>
                <w:szCs w:val="21"/>
                <w:highlight w:val="none"/>
                <w:lang w:val="en-US" w:eastAsia="zh-CN" w:bidi="ar"/>
              </w:rPr>
              <w:t>分。</w:t>
            </w:r>
          </w:p>
        </w:tc>
        <w:tc>
          <w:tcPr>
            <w:tcW w:w="705" w:type="dxa"/>
            <w:noWrap w:val="0"/>
            <w:vAlign w:val="top"/>
          </w:tcPr>
          <w:p w14:paraId="5AAF266F">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6F7CFBAA">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7772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173" w:type="dxa"/>
            <w:gridSpan w:val="3"/>
            <w:vMerge w:val="continue"/>
            <w:noWrap w:val="0"/>
            <w:vAlign w:val="center"/>
          </w:tcPr>
          <w:p w14:paraId="2E4BA147">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8992" w:type="dxa"/>
            <w:noWrap w:val="0"/>
            <w:vAlign w:val="center"/>
          </w:tcPr>
          <w:p w14:paraId="7E4A3382">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ascii="仿宋_GB2312" w:hAnsi="仿宋_GB2312" w:eastAsia="仿宋_GB2312" w:cs="仿宋_GB2312"/>
                <w:color w:val="auto"/>
                <w:kern w:val="0"/>
                <w:sz w:val="21"/>
                <w:szCs w:val="21"/>
                <w:highlight w:val="none"/>
                <w:lang w:val="en-US" w:eastAsia="zh-CN" w:bidi="ar"/>
              </w:rPr>
              <w:t>发生有责投诉</w:t>
            </w:r>
            <w:r>
              <w:rPr>
                <w:rFonts w:hint="eastAsia" w:ascii="Times New Roman" w:hAnsi="Times New Roman" w:eastAsia="仿宋_GB2312" w:cs="仿宋_GB2312"/>
                <w:color w:val="auto"/>
                <w:kern w:val="0"/>
                <w:sz w:val="21"/>
                <w:szCs w:val="21"/>
                <w:highlight w:val="none"/>
                <w:lang w:val="en-US" w:eastAsia="zh-CN" w:bidi="ar"/>
              </w:rPr>
              <w:t>3</w:t>
            </w:r>
            <w:r>
              <w:rPr>
                <w:rFonts w:ascii="仿宋_GB2312" w:hAnsi="仿宋_GB2312" w:eastAsia="仿宋_GB2312" w:cs="仿宋_GB2312"/>
                <w:color w:val="auto"/>
                <w:kern w:val="0"/>
                <w:sz w:val="21"/>
                <w:szCs w:val="21"/>
                <w:highlight w:val="none"/>
                <w:lang w:val="en-US" w:eastAsia="zh-CN" w:bidi="ar"/>
              </w:rPr>
              <w:t>次以上的，根据情节轻重扣</w:t>
            </w:r>
            <w:r>
              <w:rPr>
                <w:rFonts w:hint="eastAsia" w:ascii="Times New Roman" w:hAnsi="Times New Roman" w:eastAsia="仿宋_GB2312" w:cs="仿宋_GB2312"/>
                <w:color w:val="auto"/>
                <w:kern w:val="0"/>
                <w:sz w:val="21"/>
                <w:szCs w:val="21"/>
                <w:highlight w:val="none"/>
                <w:lang w:val="en-US" w:eastAsia="zh-CN" w:bidi="ar"/>
              </w:rPr>
              <w:t>5</w:t>
            </w:r>
            <w:r>
              <w:rPr>
                <w:rFonts w:ascii="仿宋_GB2312" w:hAnsi="仿宋_GB2312" w:eastAsia="仿宋_GB2312" w:cs="仿宋_GB2312"/>
                <w:color w:val="auto"/>
                <w:kern w:val="0"/>
                <w:sz w:val="21"/>
                <w:szCs w:val="21"/>
                <w:highlight w:val="none"/>
                <w:lang w:val="en-US" w:eastAsia="zh-CN" w:bidi="ar"/>
              </w:rPr>
              <w:t>～</w:t>
            </w:r>
            <w:r>
              <w:rPr>
                <w:rFonts w:hint="eastAsia" w:ascii="Times New Roman" w:hAnsi="Times New Roman" w:eastAsia="仿宋_GB2312" w:cs="仿宋_GB2312"/>
                <w:color w:val="auto"/>
                <w:kern w:val="0"/>
                <w:sz w:val="21"/>
                <w:szCs w:val="21"/>
                <w:highlight w:val="none"/>
                <w:lang w:val="en-US" w:eastAsia="zh-CN" w:bidi="ar"/>
              </w:rPr>
              <w:t>10</w:t>
            </w:r>
            <w:r>
              <w:rPr>
                <w:rFonts w:ascii="仿宋_GB2312" w:hAnsi="仿宋_GB2312" w:eastAsia="仿宋_GB2312" w:cs="仿宋_GB2312"/>
                <w:color w:val="auto"/>
                <w:kern w:val="0"/>
                <w:sz w:val="21"/>
                <w:szCs w:val="21"/>
                <w:highlight w:val="none"/>
                <w:lang w:val="en-US" w:eastAsia="zh-CN" w:bidi="ar"/>
              </w:rPr>
              <w:t>分。</w:t>
            </w:r>
          </w:p>
        </w:tc>
        <w:tc>
          <w:tcPr>
            <w:tcW w:w="705" w:type="dxa"/>
            <w:noWrap w:val="0"/>
            <w:vAlign w:val="top"/>
          </w:tcPr>
          <w:p w14:paraId="5998A28D">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2C8B9922">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6B5C7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173" w:type="dxa"/>
            <w:gridSpan w:val="3"/>
            <w:vMerge w:val="continue"/>
            <w:noWrap w:val="0"/>
            <w:vAlign w:val="top"/>
          </w:tcPr>
          <w:p w14:paraId="4631F1E8">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1DFEA253">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center"/>
              <w:rPr>
                <w:rFonts w:hint="default" w:ascii="仿宋_GB2312" w:hAnsi="仿宋_GB2312" w:eastAsia="仿宋_GB2312" w:cs="仿宋_GB2312"/>
                <w:color w:val="auto"/>
                <w:kern w:val="0"/>
                <w:sz w:val="21"/>
                <w:szCs w:val="21"/>
                <w:highlight w:val="none"/>
                <w:lang w:val="en-US" w:eastAsia="zh-CN" w:bidi="ar"/>
              </w:rPr>
            </w:pPr>
            <w:r>
              <w:rPr>
                <w:rFonts w:ascii="仿宋_GB2312" w:hAnsi="仿宋_GB2312" w:eastAsia="仿宋_GB2312" w:cs="仿宋_GB2312"/>
                <w:color w:val="auto"/>
                <w:kern w:val="0"/>
                <w:sz w:val="21"/>
                <w:szCs w:val="21"/>
                <w:highlight w:val="none"/>
                <w:lang w:val="en-US" w:eastAsia="zh-CN" w:bidi="ar"/>
              </w:rPr>
              <w:t>未及时落实监管督办函整改要求</w:t>
            </w:r>
            <w:r>
              <w:rPr>
                <w:rFonts w:hint="eastAsia" w:ascii="仿宋_GB2312" w:hAnsi="仿宋_GB2312" w:eastAsia="仿宋_GB2312" w:cs="仿宋_GB2312"/>
                <w:color w:val="auto"/>
                <w:kern w:val="0"/>
                <w:sz w:val="21"/>
                <w:szCs w:val="21"/>
                <w:highlight w:val="none"/>
                <w:lang w:val="en-US" w:eastAsia="zh-CN" w:bidi="ar"/>
              </w:rPr>
              <w:t>，</w:t>
            </w:r>
            <w:r>
              <w:rPr>
                <w:rFonts w:ascii="仿宋_GB2312" w:hAnsi="仿宋_GB2312" w:eastAsia="仿宋_GB2312" w:cs="仿宋_GB2312"/>
                <w:color w:val="auto"/>
                <w:kern w:val="0"/>
                <w:sz w:val="21"/>
                <w:szCs w:val="21"/>
                <w:highlight w:val="none"/>
                <w:lang w:val="en-US" w:eastAsia="zh-CN" w:bidi="ar"/>
              </w:rPr>
              <w:t>未及时整改集中度、关联度等重点监管指标问题的，根据情节轻重扣</w:t>
            </w:r>
            <w:r>
              <w:rPr>
                <w:rFonts w:hint="eastAsia" w:eastAsia="仿宋_GB2312" w:cs="仿宋_GB2312"/>
                <w:color w:val="auto"/>
                <w:kern w:val="0"/>
                <w:sz w:val="21"/>
                <w:szCs w:val="21"/>
                <w:highlight w:val="none"/>
                <w:lang w:val="en-US" w:eastAsia="zh-CN" w:bidi="ar"/>
              </w:rPr>
              <w:t>5</w:t>
            </w:r>
            <w:r>
              <w:rPr>
                <w:rFonts w:ascii="仿宋_GB2312" w:hAnsi="仿宋_GB2312" w:eastAsia="仿宋_GB2312" w:cs="仿宋_GB2312"/>
                <w:color w:val="auto"/>
                <w:kern w:val="0"/>
                <w:sz w:val="21"/>
                <w:szCs w:val="21"/>
                <w:highlight w:val="none"/>
                <w:lang w:val="en-US" w:eastAsia="zh-CN" w:bidi="ar"/>
              </w:rPr>
              <w:t>～</w:t>
            </w:r>
            <w:r>
              <w:rPr>
                <w:rFonts w:hint="eastAsia" w:ascii="Times New Roman" w:hAnsi="Times New Roman" w:eastAsia="仿宋_GB2312" w:cs="仿宋_GB2312"/>
                <w:color w:val="auto"/>
                <w:kern w:val="0"/>
                <w:sz w:val="21"/>
                <w:szCs w:val="21"/>
                <w:highlight w:val="none"/>
                <w:lang w:val="en-US" w:eastAsia="zh-CN" w:bidi="ar"/>
              </w:rPr>
              <w:t>20</w:t>
            </w:r>
            <w:r>
              <w:rPr>
                <w:rFonts w:ascii="仿宋_GB2312" w:hAnsi="仿宋_GB2312" w:eastAsia="仿宋_GB2312" w:cs="仿宋_GB2312"/>
                <w:color w:val="auto"/>
                <w:kern w:val="0"/>
                <w:sz w:val="21"/>
                <w:szCs w:val="21"/>
                <w:highlight w:val="none"/>
                <w:lang w:val="en-US" w:eastAsia="zh-CN" w:bidi="ar"/>
              </w:rPr>
              <w:t>分。</w:t>
            </w:r>
          </w:p>
        </w:tc>
        <w:tc>
          <w:tcPr>
            <w:tcW w:w="705" w:type="dxa"/>
            <w:noWrap w:val="0"/>
            <w:vAlign w:val="top"/>
          </w:tcPr>
          <w:p w14:paraId="3FE73F89">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54A78F07">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02248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173" w:type="dxa"/>
            <w:gridSpan w:val="3"/>
            <w:vMerge w:val="continue"/>
            <w:noWrap w:val="0"/>
            <w:vAlign w:val="center"/>
          </w:tcPr>
          <w:p w14:paraId="722CCDB1">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3B1BB3F7">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center"/>
              <w:rPr>
                <w:rFonts w:hint="default" w:ascii="仿宋_GB2312" w:hAnsi="仿宋_GB2312" w:eastAsia="仿宋_GB2312" w:cs="仿宋_GB2312"/>
                <w:color w:val="auto"/>
                <w:kern w:val="0"/>
                <w:sz w:val="21"/>
                <w:szCs w:val="21"/>
                <w:highlight w:val="none"/>
                <w:lang w:val="en-US" w:eastAsia="zh-CN" w:bidi="ar"/>
              </w:rPr>
            </w:pPr>
            <w:r>
              <w:rPr>
                <w:rFonts w:ascii="仿宋_GB2312" w:hAnsi="仿宋_GB2312" w:eastAsia="仿宋_GB2312" w:cs="仿宋_GB2312"/>
                <w:color w:val="auto"/>
                <w:kern w:val="0"/>
                <w:sz w:val="21"/>
                <w:szCs w:val="21"/>
                <w:highlight w:val="none"/>
                <w:lang w:val="en-US" w:eastAsia="zh-CN" w:bidi="ar"/>
              </w:rPr>
              <w:t>未按要求对相关事项进行报告或备案的，根据情节轻重扣</w:t>
            </w:r>
            <w:r>
              <w:rPr>
                <w:rFonts w:hint="eastAsia" w:eastAsia="仿宋_GB2312" w:cs="仿宋_GB2312"/>
                <w:color w:val="auto"/>
                <w:kern w:val="0"/>
                <w:sz w:val="21"/>
                <w:szCs w:val="21"/>
                <w:highlight w:val="none"/>
                <w:lang w:val="en-US" w:eastAsia="zh-CN" w:bidi="ar"/>
              </w:rPr>
              <w:t>5</w:t>
            </w:r>
            <w:r>
              <w:rPr>
                <w:rFonts w:ascii="仿宋_GB2312" w:hAnsi="仿宋_GB2312" w:eastAsia="仿宋_GB2312" w:cs="仿宋_GB2312"/>
                <w:color w:val="auto"/>
                <w:kern w:val="0"/>
                <w:sz w:val="21"/>
                <w:szCs w:val="21"/>
                <w:highlight w:val="none"/>
                <w:lang w:val="en-US" w:eastAsia="zh-CN" w:bidi="ar"/>
              </w:rPr>
              <w:t>～</w:t>
            </w:r>
            <w:r>
              <w:rPr>
                <w:rFonts w:hint="eastAsia" w:ascii="Times New Roman" w:hAnsi="Times New Roman" w:eastAsia="仿宋_GB2312" w:cs="仿宋_GB2312"/>
                <w:color w:val="auto"/>
                <w:kern w:val="0"/>
                <w:sz w:val="21"/>
                <w:szCs w:val="21"/>
                <w:highlight w:val="none"/>
                <w:lang w:val="en-US" w:eastAsia="zh-CN" w:bidi="ar"/>
              </w:rPr>
              <w:t>20</w:t>
            </w:r>
            <w:r>
              <w:rPr>
                <w:rFonts w:ascii="仿宋_GB2312" w:hAnsi="仿宋_GB2312" w:eastAsia="仿宋_GB2312" w:cs="仿宋_GB2312"/>
                <w:color w:val="auto"/>
                <w:kern w:val="0"/>
                <w:sz w:val="21"/>
                <w:szCs w:val="21"/>
                <w:highlight w:val="none"/>
                <w:lang w:val="en-US" w:eastAsia="zh-CN" w:bidi="ar"/>
              </w:rPr>
              <w:t>分。</w:t>
            </w:r>
          </w:p>
        </w:tc>
        <w:tc>
          <w:tcPr>
            <w:tcW w:w="705" w:type="dxa"/>
            <w:noWrap w:val="0"/>
            <w:vAlign w:val="top"/>
          </w:tcPr>
          <w:p w14:paraId="583F3C32">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138D4E66">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59FE2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173" w:type="dxa"/>
            <w:gridSpan w:val="3"/>
            <w:vMerge w:val="continue"/>
            <w:noWrap w:val="0"/>
            <w:vAlign w:val="top"/>
          </w:tcPr>
          <w:p w14:paraId="27672C92">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0FDB1A7B">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ascii="仿宋_GB2312" w:hAnsi="仿宋_GB2312" w:eastAsia="仿宋_GB2312" w:cs="仿宋_GB2312"/>
                <w:color w:val="auto"/>
                <w:kern w:val="0"/>
                <w:sz w:val="21"/>
                <w:szCs w:val="21"/>
                <w:highlight w:val="none"/>
                <w:lang w:val="en-US" w:eastAsia="zh-CN" w:bidi="ar"/>
              </w:rPr>
              <w:t>无正当理由向股东或关联方大额（</w:t>
            </w:r>
            <w:r>
              <w:rPr>
                <w:rFonts w:hint="eastAsia" w:ascii="Times New Roman" w:hAnsi="Times New Roman" w:eastAsia="仿宋_GB2312" w:cs="仿宋_GB2312"/>
                <w:color w:val="auto"/>
                <w:kern w:val="0"/>
                <w:sz w:val="21"/>
                <w:szCs w:val="21"/>
                <w:highlight w:val="none"/>
                <w:lang w:val="en-US" w:eastAsia="zh-CN" w:bidi="ar"/>
              </w:rPr>
              <w:t>100</w:t>
            </w:r>
            <w:r>
              <w:rPr>
                <w:rFonts w:ascii="仿宋_GB2312" w:hAnsi="仿宋_GB2312" w:eastAsia="仿宋_GB2312" w:cs="仿宋_GB2312"/>
                <w:color w:val="auto"/>
                <w:kern w:val="0"/>
                <w:sz w:val="21"/>
                <w:szCs w:val="21"/>
                <w:highlight w:val="none"/>
                <w:lang w:val="en-US" w:eastAsia="zh-CN" w:bidi="ar"/>
              </w:rPr>
              <w:t>万元以上）划转资金的，根据情节轻重扣</w:t>
            </w:r>
            <w:r>
              <w:rPr>
                <w:rFonts w:hint="eastAsia" w:ascii="Times New Roman" w:hAnsi="Times New Roman" w:eastAsia="仿宋_GB2312" w:cs="仿宋_GB2312"/>
                <w:color w:val="auto"/>
                <w:kern w:val="0"/>
                <w:sz w:val="21"/>
                <w:szCs w:val="21"/>
                <w:highlight w:val="none"/>
                <w:lang w:val="en-US" w:eastAsia="zh-CN" w:bidi="ar"/>
              </w:rPr>
              <w:t>10</w:t>
            </w:r>
            <w:r>
              <w:rPr>
                <w:rFonts w:ascii="仿宋_GB2312" w:hAnsi="仿宋_GB2312" w:eastAsia="仿宋_GB2312" w:cs="仿宋_GB2312"/>
                <w:color w:val="auto"/>
                <w:kern w:val="0"/>
                <w:sz w:val="21"/>
                <w:szCs w:val="21"/>
                <w:highlight w:val="none"/>
                <w:lang w:val="en-US" w:eastAsia="zh-CN" w:bidi="ar"/>
              </w:rPr>
              <w:t>～</w:t>
            </w:r>
            <w:r>
              <w:rPr>
                <w:rFonts w:hint="eastAsia" w:ascii="Times New Roman" w:hAnsi="Times New Roman" w:eastAsia="仿宋_GB2312" w:cs="仿宋_GB2312"/>
                <w:color w:val="auto"/>
                <w:kern w:val="0"/>
                <w:sz w:val="21"/>
                <w:szCs w:val="21"/>
                <w:highlight w:val="none"/>
                <w:lang w:val="en-US" w:eastAsia="zh-CN" w:bidi="ar"/>
              </w:rPr>
              <w:t>20</w:t>
            </w:r>
            <w:r>
              <w:rPr>
                <w:rFonts w:ascii="仿宋_GB2312" w:hAnsi="仿宋_GB2312" w:eastAsia="仿宋_GB2312" w:cs="仿宋_GB2312"/>
                <w:color w:val="auto"/>
                <w:kern w:val="0"/>
                <w:sz w:val="21"/>
                <w:szCs w:val="21"/>
                <w:highlight w:val="none"/>
                <w:lang w:val="en-US" w:eastAsia="zh-CN" w:bidi="ar"/>
              </w:rPr>
              <w:t>分。</w:t>
            </w:r>
          </w:p>
        </w:tc>
        <w:tc>
          <w:tcPr>
            <w:tcW w:w="705" w:type="dxa"/>
            <w:noWrap w:val="0"/>
            <w:vAlign w:val="top"/>
          </w:tcPr>
          <w:p w14:paraId="074B1E12">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7A1C0F79">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0CBB9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173" w:type="dxa"/>
            <w:gridSpan w:val="3"/>
            <w:vMerge w:val="continue"/>
            <w:noWrap w:val="0"/>
            <w:vAlign w:val="top"/>
          </w:tcPr>
          <w:p w14:paraId="3101539F">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3D749E33">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center"/>
              <w:rPr>
                <w:rFonts w:hint="default" w:ascii="仿宋_GB2312" w:hAnsi="仿宋_GB2312" w:eastAsia="仿宋_GB2312" w:cs="仿宋_GB2312"/>
                <w:i w:val="0"/>
                <w:iCs w:val="0"/>
                <w:color w:val="auto"/>
                <w:kern w:val="2"/>
                <w:sz w:val="21"/>
                <w:szCs w:val="21"/>
                <w:highlight w:val="none"/>
                <w:u w:val="none"/>
                <w:lang w:val="en-US" w:eastAsia="zh-CN" w:bidi="ar-SA"/>
              </w:rPr>
            </w:pPr>
            <w:r>
              <w:rPr>
                <w:rStyle w:val="74"/>
                <w:rFonts w:ascii="仿宋_GB2312" w:hAnsi="仿宋_GB2312" w:eastAsia="仿宋_GB2312" w:cs="仿宋_GB2312"/>
                <w:color w:val="auto"/>
                <w:sz w:val="21"/>
                <w:szCs w:val="21"/>
                <w:highlight w:val="none"/>
                <w:lang w:val="en-US" w:eastAsia="zh-CN" w:bidi="ar"/>
              </w:rPr>
              <w:t>存在未经核准擅自更改应经核准方可办理的变更事项情况的，根据情节轻重扣</w:t>
            </w:r>
            <w:r>
              <w:rPr>
                <w:rStyle w:val="75"/>
                <w:rFonts w:hint="eastAsia" w:ascii="Times New Roman" w:hAnsi="Times New Roman" w:eastAsia="仿宋_GB2312" w:cs="仿宋_GB2312"/>
                <w:color w:val="auto"/>
                <w:sz w:val="21"/>
                <w:szCs w:val="21"/>
                <w:highlight w:val="none"/>
                <w:lang w:val="en-US" w:eastAsia="zh-CN" w:bidi="ar"/>
              </w:rPr>
              <w:t>10</w:t>
            </w:r>
            <w:r>
              <w:rPr>
                <w:rStyle w:val="74"/>
                <w:rFonts w:ascii="仿宋_GB2312" w:hAnsi="仿宋_GB2312" w:eastAsia="仿宋_GB2312" w:cs="仿宋_GB2312"/>
                <w:color w:val="auto"/>
                <w:sz w:val="21"/>
                <w:szCs w:val="21"/>
                <w:highlight w:val="none"/>
                <w:lang w:val="en-US" w:eastAsia="zh-CN" w:bidi="ar"/>
              </w:rPr>
              <w:t>～</w:t>
            </w:r>
            <w:r>
              <w:rPr>
                <w:rStyle w:val="75"/>
                <w:rFonts w:hint="eastAsia" w:ascii="Times New Roman" w:hAnsi="Times New Roman" w:eastAsia="仿宋_GB2312" w:cs="仿宋_GB2312"/>
                <w:color w:val="auto"/>
                <w:sz w:val="21"/>
                <w:szCs w:val="21"/>
                <w:highlight w:val="none"/>
                <w:lang w:val="en-US" w:eastAsia="zh-CN" w:bidi="ar"/>
              </w:rPr>
              <w:t>20</w:t>
            </w:r>
            <w:r>
              <w:rPr>
                <w:rStyle w:val="74"/>
                <w:rFonts w:ascii="仿宋_GB2312" w:hAnsi="仿宋_GB2312" w:eastAsia="仿宋_GB2312" w:cs="仿宋_GB2312"/>
                <w:color w:val="auto"/>
                <w:sz w:val="21"/>
                <w:szCs w:val="21"/>
                <w:highlight w:val="none"/>
                <w:lang w:val="en-US" w:eastAsia="zh-CN" w:bidi="ar"/>
              </w:rPr>
              <w:t>分。</w:t>
            </w:r>
          </w:p>
        </w:tc>
        <w:tc>
          <w:tcPr>
            <w:tcW w:w="705" w:type="dxa"/>
            <w:noWrap w:val="0"/>
            <w:vAlign w:val="top"/>
          </w:tcPr>
          <w:p w14:paraId="5425D032">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5C89CA1D">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4103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173" w:type="dxa"/>
            <w:gridSpan w:val="3"/>
            <w:vMerge w:val="continue"/>
            <w:noWrap w:val="0"/>
            <w:vAlign w:val="top"/>
          </w:tcPr>
          <w:p w14:paraId="112A252A">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6AE0B5AF">
            <w:pPr>
              <w:keepNext w:val="0"/>
              <w:keepLines w:val="0"/>
              <w:widowControl/>
              <w:suppressLineNumbers w:val="0"/>
              <w:snapToGrid w:val="0"/>
              <w:spacing w:line="240" w:lineRule="atLeast"/>
              <w:jc w:val="left"/>
              <w:textAlignment w:val="center"/>
              <w:rPr>
                <w:rFonts w:hint="default" w:ascii="仿宋_GB2312" w:hAnsi="仿宋_GB2312" w:eastAsia="仿宋_GB2312" w:cs="仿宋_GB2312"/>
                <w:i w:val="0"/>
                <w:iCs w:val="0"/>
                <w:color w:val="auto"/>
                <w:kern w:val="2"/>
                <w:sz w:val="21"/>
                <w:szCs w:val="21"/>
                <w:highlight w:val="none"/>
                <w:u w:val="none"/>
                <w:lang w:val="en-US" w:eastAsia="zh-CN" w:bidi="ar"/>
              </w:rPr>
            </w:pPr>
            <w:r>
              <w:rPr>
                <w:rStyle w:val="74"/>
                <w:rFonts w:ascii="仿宋_GB2312" w:hAnsi="仿宋_GB2312" w:eastAsia="仿宋_GB2312" w:cs="仿宋_GB2312"/>
                <w:color w:val="auto"/>
                <w:sz w:val="21"/>
                <w:szCs w:val="21"/>
                <w:highlight w:val="none"/>
                <w:lang w:val="en-US" w:eastAsia="zh-CN" w:bidi="ar"/>
              </w:rPr>
              <w:t>公司</w:t>
            </w:r>
            <w:r>
              <w:rPr>
                <w:rStyle w:val="75"/>
                <w:rFonts w:hint="eastAsia" w:ascii="Times New Roman" w:hAnsi="Times New Roman" w:eastAsia="仿宋_GB2312" w:cs="仿宋_GB2312"/>
                <w:color w:val="auto"/>
                <w:sz w:val="21"/>
                <w:szCs w:val="21"/>
                <w:highlight w:val="none"/>
                <w:lang w:val="en-US" w:eastAsia="zh-CN" w:bidi="ar"/>
              </w:rPr>
              <w:t>30</w:t>
            </w:r>
            <w:r>
              <w:rPr>
                <w:rStyle w:val="75"/>
                <w:rFonts w:hint="eastAsia" w:ascii="仿宋_GB2312" w:hAnsi="仿宋_GB2312" w:eastAsia="仿宋_GB2312" w:cs="仿宋_GB2312"/>
                <w:color w:val="auto"/>
                <w:sz w:val="21"/>
                <w:szCs w:val="21"/>
                <w:highlight w:val="none"/>
                <w:lang w:val="en-US" w:eastAsia="zh-CN" w:bidi="ar"/>
              </w:rPr>
              <w:t>%</w:t>
            </w:r>
            <w:r>
              <w:rPr>
                <w:rStyle w:val="74"/>
                <w:rFonts w:ascii="仿宋_GB2312" w:hAnsi="仿宋_GB2312" w:eastAsia="仿宋_GB2312" w:cs="仿宋_GB2312"/>
                <w:color w:val="auto"/>
                <w:sz w:val="21"/>
                <w:szCs w:val="21"/>
                <w:highlight w:val="none"/>
                <w:lang w:val="en-US" w:eastAsia="zh-CN" w:bidi="ar"/>
              </w:rPr>
              <w:t>以上净资产被查封、冻结、扣押，主要或全部业务陷入停顿的，根据情节轻重扣</w:t>
            </w:r>
            <w:r>
              <w:rPr>
                <w:rStyle w:val="74"/>
                <w:rFonts w:hint="eastAsia" w:ascii="Times New Roman" w:hAnsi="Times New Roman" w:eastAsia="仿宋_GB2312" w:cs="仿宋_GB2312"/>
                <w:color w:val="auto"/>
                <w:sz w:val="21"/>
                <w:szCs w:val="21"/>
                <w:highlight w:val="none"/>
                <w:lang w:val="en-US" w:eastAsia="zh-CN" w:bidi="ar"/>
              </w:rPr>
              <w:t>10</w:t>
            </w:r>
            <w:r>
              <w:rPr>
                <w:rStyle w:val="74"/>
                <w:rFonts w:ascii="仿宋_GB2312" w:hAnsi="仿宋_GB2312" w:eastAsia="仿宋_GB2312" w:cs="仿宋_GB2312"/>
                <w:color w:val="auto"/>
                <w:sz w:val="21"/>
                <w:szCs w:val="21"/>
                <w:highlight w:val="none"/>
                <w:lang w:val="en-US" w:eastAsia="zh-CN" w:bidi="ar"/>
              </w:rPr>
              <w:t>～</w:t>
            </w:r>
            <w:r>
              <w:rPr>
                <w:rStyle w:val="74"/>
                <w:rFonts w:hint="eastAsia" w:ascii="Times New Roman" w:hAnsi="Times New Roman" w:eastAsia="仿宋_GB2312" w:cs="仿宋_GB2312"/>
                <w:color w:val="auto"/>
                <w:sz w:val="21"/>
                <w:szCs w:val="21"/>
                <w:highlight w:val="none"/>
                <w:lang w:val="en-US" w:eastAsia="zh-CN" w:bidi="ar"/>
              </w:rPr>
              <w:t>30</w:t>
            </w:r>
            <w:r>
              <w:rPr>
                <w:rStyle w:val="74"/>
                <w:rFonts w:ascii="仿宋_GB2312" w:hAnsi="仿宋_GB2312" w:eastAsia="仿宋_GB2312" w:cs="仿宋_GB2312"/>
                <w:color w:val="auto"/>
                <w:sz w:val="21"/>
                <w:szCs w:val="21"/>
                <w:highlight w:val="none"/>
                <w:lang w:val="en-US" w:eastAsia="zh-CN" w:bidi="ar"/>
              </w:rPr>
              <w:t>分。</w:t>
            </w:r>
          </w:p>
        </w:tc>
        <w:tc>
          <w:tcPr>
            <w:tcW w:w="705" w:type="dxa"/>
            <w:noWrap w:val="0"/>
            <w:vAlign w:val="top"/>
          </w:tcPr>
          <w:p w14:paraId="15E9EBC6">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7985E5F5">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4BE4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173" w:type="dxa"/>
            <w:gridSpan w:val="3"/>
            <w:vMerge w:val="continue"/>
            <w:noWrap w:val="0"/>
            <w:vAlign w:val="top"/>
          </w:tcPr>
          <w:p w14:paraId="7126F599">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24BAF601">
            <w:pPr>
              <w:keepNext w:val="0"/>
              <w:keepLines w:val="0"/>
              <w:widowControl/>
              <w:suppressLineNumbers w:val="0"/>
              <w:snapToGrid w:val="0"/>
              <w:spacing w:line="240" w:lineRule="atLeast"/>
              <w:jc w:val="left"/>
              <w:textAlignment w:val="center"/>
              <w:rPr>
                <w:rFonts w:hint="default" w:ascii="仿宋_GB2312" w:hAnsi="仿宋_GB2312" w:eastAsia="仿宋_GB2312" w:cs="仿宋_GB2312"/>
                <w:i w:val="0"/>
                <w:iCs w:val="0"/>
                <w:color w:val="auto"/>
                <w:kern w:val="2"/>
                <w:sz w:val="21"/>
                <w:szCs w:val="21"/>
                <w:highlight w:val="none"/>
                <w:u w:val="none"/>
                <w:lang w:val="en-US" w:eastAsia="zh-CN" w:bidi="ar-SA"/>
              </w:rPr>
            </w:pPr>
            <w:r>
              <w:rPr>
                <w:rStyle w:val="74"/>
                <w:rFonts w:ascii="仿宋_GB2312" w:hAnsi="仿宋_GB2312" w:eastAsia="仿宋_GB2312" w:cs="仿宋_GB2312"/>
                <w:color w:val="auto"/>
                <w:sz w:val="21"/>
                <w:szCs w:val="21"/>
                <w:highlight w:val="none"/>
                <w:lang w:val="en-US" w:eastAsia="zh-CN" w:bidi="ar"/>
              </w:rPr>
              <w:t>风险资产超过净资产的</w:t>
            </w:r>
            <w:r>
              <w:rPr>
                <w:rStyle w:val="75"/>
                <w:rFonts w:hint="eastAsia" w:ascii="Times New Roman" w:hAnsi="Times New Roman" w:eastAsia="仿宋_GB2312" w:cs="仿宋_GB2312"/>
                <w:color w:val="auto"/>
                <w:sz w:val="21"/>
                <w:szCs w:val="21"/>
                <w:highlight w:val="none"/>
                <w:lang w:val="en-US" w:eastAsia="zh-CN" w:bidi="ar"/>
              </w:rPr>
              <w:t>10</w:t>
            </w:r>
            <w:r>
              <w:rPr>
                <w:rStyle w:val="74"/>
                <w:rFonts w:ascii="仿宋_GB2312" w:hAnsi="仿宋_GB2312" w:eastAsia="仿宋_GB2312" w:cs="仿宋_GB2312"/>
                <w:color w:val="auto"/>
                <w:sz w:val="21"/>
                <w:szCs w:val="21"/>
                <w:highlight w:val="none"/>
                <w:lang w:val="en-US" w:eastAsia="zh-CN" w:bidi="ar"/>
              </w:rPr>
              <w:t>倍的，根据情节轻重扣</w:t>
            </w:r>
            <w:r>
              <w:rPr>
                <w:rStyle w:val="75"/>
                <w:rFonts w:hint="eastAsia" w:ascii="Times New Roman" w:hAnsi="Times New Roman" w:eastAsia="仿宋_GB2312" w:cs="仿宋_GB2312"/>
                <w:color w:val="auto"/>
                <w:sz w:val="21"/>
                <w:szCs w:val="21"/>
                <w:highlight w:val="none"/>
                <w:lang w:val="en-US" w:eastAsia="zh-CN" w:bidi="ar"/>
              </w:rPr>
              <w:t>20</w:t>
            </w:r>
            <w:r>
              <w:rPr>
                <w:rStyle w:val="74"/>
                <w:rFonts w:ascii="仿宋_GB2312" w:hAnsi="仿宋_GB2312" w:eastAsia="仿宋_GB2312" w:cs="仿宋_GB2312"/>
                <w:color w:val="auto"/>
                <w:sz w:val="21"/>
                <w:szCs w:val="21"/>
                <w:highlight w:val="none"/>
                <w:lang w:val="en-US" w:eastAsia="zh-CN" w:bidi="ar"/>
              </w:rPr>
              <w:t>～</w:t>
            </w:r>
            <w:r>
              <w:rPr>
                <w:rStyle w:val="75"/>
                <w:rFonts w:hint="eastAsia" w:ascii="Times New Roman" w:hAnsi="Times New Roman" w:eastAsia="仿宋_GB2312" w:cs="仿宋_GB2312"/>
                <w:color w:val="auto"/>
                <w:sz w:val="21"/>
                <w:szCs w:val="21"/>
                <w:highlight w:val="none"/>
                <w:lang w:val="en-US" w:eastAsia="zh-CN" w:bidi="ar"/>
              </w:rPr>
              <w:t>30</w:t>
            </w:r>
            <w:r>
              <w:rPr>
                <w:rStyle w:val="74"/>
                <w:rFonts w:ascii="仿宋_GB2312" w:hAnsi="仿宋_GB2312" w:eastAsia="仿宋_GB2312" w:cs="仿宋_GB2312"/>
                <w:color w:val="auto"/>
                <w:sz w:val="21"/>
                <w:szCs w:val="21"/>
                <w:highlight w:val="none"/>
                <w:lang w:val="en-US" w:eastAsia="zh-CN" w:bidi="ar"/>
              </w:rPr>
              <w:t>分。</w:t>
            </w:r>
          </w:p>
        </w:tc>
        <w:tc>
          <w:tcPr>
            <w:tcW w:w="705" w:type="dxa"/>
            <w:noWrap w:val="0"/>
            <w:vAlign w:val="top"/>
          </w:tcPr>
          <w:p w14:paraId="344DF2C4">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68F5E47A">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26CD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173" w:type="dxa"/>
            <w:gridSpan w:val="3"/>
            <w:vMerge w:val="continue"/>
            <w:noWrap w:val="0"/>
            <w:vAlign w:val="top"/>
          </w:tcPr>
          <w:p w14:paraId="166DADD8">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3D97993E">
            <w:pPr>
              <w:keepNext w:val="0"/>
              <w:keepLines w:val="0"/>
              <w:widowControl/>
              <w:suppressLineNumbers w:val="0"/>
              <w:snapToGrid w:val="0"/>
              <w:spacing w:line="240" w:lineRule="atLeast"/>
              <w:jc w:val="left"/>
              <w:textAlignment w:val="center"/>
              <w:rPr>
                <w:rFonts w:hint="default" w:ascii="仿宋_GB2312" w:hAnsi="仿宋_GB2312" w:eastAsia="仿宋_GB2312" w:cs="仿宋_GB2312"/>
                <w:i w:val="0"/>
                <w:iCs w:val="0"/>
                <w:color w:val="auto"/>
                <w:kern w:val="2"/>
                <w:sz w:val="21"/>
                <w:szCs w:val="21"/>
                <w:highlight w:val="none"/>
                <w:u w:val="none"/>
                <w:lang w:val="en-US" w:eastAsia="zh-CN" w:bidi="ar-SA"/>
              </w:rPr>
            </w:pPr>
            <w:r>
              <w:rPr>
                <w:rStyle w:val="74"/>
                <w:rFonts w:ascii="仿宋_GB2312" w:hAnsi="仿宋_GB2312" w:eastAsia="仿宋_GB2312" w:cs="仿宋_GB2312"/>
                <w:color w:val="auto"/>
                <w:sz w:val="21"/>
                <w:szCs w:val="21"/>
                <w:highlight w:val="none"/>
                <w:lang w:val="en-US" w:eastAsia="zh-CN" w:bidi="ar"/>
              </w:rPr>
              <w:t>不良率畸高，存在重大经营风险的，根据情节轻重扣</w:t>
            </w:r>
            <w:r>
              <w:rPr>
                <w:rStyle w:val="75"/>
                <w:rFonts w:hint="eastAsia" w:ascii="Times New Roman" w:hAnsi="Times New Roman" w:eastAsia="仿宋_GB2312" w:cs="仿宋_GB2312"/>
                <w:color w:val="auto"/>
                <w:sz w:val="21"/>
                <w:szCs w:val="21"/>
                <w:highlight w:val="none"/>
                <w:lang w:val="en-US" w:eastAsia="zh-CN" w:bidi="ar"/>
              </w:rPr>
              <w:t>20</w:t>
            </w:r>
            <w:r>
              <w:rPr>
                <w:rStyle w:val="74"/>
                <w:rFonts w:ascii="仿宋_GB2312" w:hAnsi="仿宋_GB2312" w:eastAsia="仿宋_GB2312" w:cs="仿宋_GB2312"/>
                <w:color w:val="auto"/>
                <w:sz w:val="21"/>
                <w:szCs w:val="21"/>
                <w:highlight w:val="none"/>
                <w:lang w:val="en-US" w:eastAsia="zh-CN" w:bidi="ar"/>
              </w:rPr>
              <w:t>～</w:t>
            </w:r>
            <w:r>
              <w:rPr>
                <w:rStyle w:val="75"/>
                <w:rFonts w:hint="eastAsia" w:ascii="Times New Roman" w:hAnsi="Times New Roman" w:eastAsia="仿宋_GB2312" w:cs="仿宋_GB2312"/>
                <w:color w:val="auto"/>
                <w:sz w:val="21"/>
                <w:szCs w:val="21"/>
                <w:highlight w:val="none"/>
                <w:lang w:val="en-US" w:eastAsia="zh-CN" w:bidi="ar"/>
              </w:rPr>
              <w:t>30</w:t>
            </w:r>
            <w:r>
              <w:rPr>
                <w:rStyle w:val="74"/>
                <w:rFonts w:ascii="仿宋_GB2312" w:hAnsi="仿宋_GB2312" w:eastAsia="仿宋_GB2312" w:cs="仿宋_GB2312"/>
                <w:color w:val="auto"/>
                <w:sz w:val="21"/>
                <w:szCs w:val="21"/>
                <w:highlight w:val="none"/>
                <w:lang w:val="en-US" w:eastAsia="zh-CN" w:bidi="ar"/>
              </w:rPr>
              <w:t>分。</w:t>
            </w:r>
          </w:p>
        </w:tc>
        <w:tc>
          <w:tcPr>
            <w:tcW w:w="705" w:type="dxa"/>
            <w:noWrap w:val="0"/>
            <w:vAlign w:val="top"/>
          </w:tcPr>
          <w:p w14:paraId="130CB161">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3581D61B">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579E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173" w:type="dxa"/>
            <w:gridSpan w:val="3"/>
            <w:vMerge w:val="continue"/>
            <w:noWrap w:val="0"/>
            <w:vAlign w:val="top"/>
          </w:tcPr>
          <w:p w14:paraId="785170DF">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51741931">
            <w:pPr>
              <w:keepNext w:val="0"/>
              <w:keepLines w:val="0"/>
              <w:widowControl/>
              <w:suppressLineNumbers w:val="0"/>
              <w:snapToGrid w:val="0"/>
              <w:spacing w:line="240" w:lineRule="atLeast"/>
              <w:jc w:val="left"/>
              <w:textAlignment w:val="center"/>
              <w:rPr>
                <w:rFonts w:hint="default" w:ascii="仿宋_GB2312" w:hAnsi="仿宋_GB2312" w:eastAsia="仿宋_GB2312" w:cs="仿宋_GB2312"/>
                <w:i w:val="0"/>
                <w:iCs w:val="0"/>
                <w:color w:val="auto"/>
                <w:kern w:val="2"/>
                <w:sz w:val="21"/>
                <w:szCs w:val="21"/>
                <w:highlight w:val="none"/>
                <w:u w:val="none"/>
                <w:lang w:val="en-US" w:eastAsia="zh-CN" w:bidi="ar"/>
              </w:rPr>
            </w:pPr>
            <w:r>
              <w:rPr>
                <w:rStyle w:val="74"/>
                <w:rFonts w:ascii="仿宋_GB2312" w:hAnsi="仿宋_GB2312" w:eastAsia="仿宋_GB2312" w:cs="仿宋_GB2312"/>
                <w:color w:val="auto"/>
                <w:sz w:val="21"/>
                <w:szCs w:val="21"/>
                <w:highlight w:val="none"/>
                <w:lang w:val="en-US" w:eastAsia="zh-CN" w:bidi="ar"/>
              </w:rPr>
              <w:t>超经营范围开展业务的，根据情节轻重扣</w:t>
            </w:r>
            <w:r>
              <w:rPr>
                <w:rStyle w:val="75"/>
                <w:rFonts w:hint="eastAsia" w:eastAsia="仿宋_GB2312" w:cs="仿宋_GB2312"/>
                <w:color w:val="auto"/>
                <w:sz w:val="21"/>
                <w:szCs w:val="21"/>
                <w:highlight w:val="none"/>
                <w:lang w:val="en-US" w:eastAsia="zh-CN" w:bidi="ar"/>
              </w:rPr>
              <w:t>20</w:t>
            </w:r>
            <w:r>
              <w:rPr>
                <w:rStyle w:val="74"/>
                <w:rFonts w:ascii="仿宋_GB2312" w:hAnsi="仿宋_GB2312" w:eastAsia="仿宋_GB2312" w:cs="仿宋_GB2312"/>
                <w:color w:val="auto"/>
                <w:sz w:val="21"/>
                <w:szCs w:val="21"/>
                <w:highlight w:val="none"/>
                <w:lang w:val="en-US" w:eastAsia="zh-CN" w:bidi="ar"/>
              </w:rPr>
              <w:t>～</w:t>
            </w:r>
            <w:r>
              <w:rPr>
                <w:rStyle w:val="75"/>
                <w:rFonts w:hint="eastAsia" w:eastAsia="仿宋_GB2312" w:cs="仿宋_GB2312"/>
                <w:color w:val="auto"/>
                <w:sz w:val="21"/>
                <w:szCs w:val="21"/>
                <w:highlight w:val="none"/>
                <w:lang w:val="en-US" w:eastAsia="zh-CN" w:bidi="ar"/>
              </w:rPr>
              <w:t>30</w:t>
            </w:r>
            <w:r>
              <w:rPr>
                <w:rStyle w:val="74"/>
                <w:rFonts w:ascii="仿宋_GB2312" w:hAnsi="仿宋_GB2312" w:eastAsia="仿宋_GB2312" w:cs="仿宋_GB2312"/>
                <w:color w:val="auto"/>
                <w:sz w:val="21"/>
                <w:szCs w:val="21"/>
                <w:highlight w:val="none"/>
                <w:lang w:val="en-US" w:eastAsia="zh-CN" w:bidi="ar"/>
              </w:rPr>
              <w:t>分。</w:t>
            </w:r>
          </w:p>
        </w:tc>
        <w:tc>
          <w:tcPr>
            <w:tcW w:w="705" w:type="dxa"/>
            <w:noWrap w:val="0"/>
            <w:vAlign w:val="top"/>
          </w:tcPr>
          <w:p w14:paraId="01C3F028">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07994A6A">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1F20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173" w:type="dxa"/>
            <w:gridSpan w:val="3"/>
            <w:vMerge w:val="continue"/>
            <w:noWrap w:val="0"/>
            <w:vAlign w:val="top"/>
          </w:tcPr>
          <w:p w14:paraId="49FBCF46">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1C7AE4F5">
            <w:pPr>
              <w:keepNext w:val="0"/>
              <w:keepLines w:val="0"/>
              <w:widowControl/>
              <w:suppressLineNumbers w:val="0"/>
              <w:snapToGrid w:val="0"/>
              <w:spacing w:line="240" w:lineRule="atLeast"/>
              <w:jc w:val="left"/>
              <w:textAlignment w:val="center"/>
              <w:rPr>
                <w:rFonts w:hint="default" w:ascii="仿宋_GB2312" w:hAnsi="仿宋_GB2312" w:eastAsia="仿宋_GB2312" w:cs="仿宋_GB2312"/>
                <w:i w:val="0"/>
                <w:iCs w:val="0"/>
                <w:color w:val="auto"/>
                <w:kern w:val="2"/>
                <w:sz w:val="21"/>
                <w:szCs w:val="21"/>
                <w:highlight w:val="none"/>
                <w:u w:val="none"/>
                <w:lang w:val="en-US" w:eastAsia="zh-CN" w:bidi="ar-SA"/>
              </w:rPr>
            </w:pPr>
            <w:r>
              <w:rPr>
                <w:rStyle w:val="74"/>
                <w:rFonts w:ascii="仿宋_GB2312" w:hAnsi="仿宋_GB2312" w:eastAsia="仿宋_GB2312" w:cs="仿宋_GB2312"/>
                <w:color w:val="auto"/>
                <w:sz w:val="21"/>
                <w:szCs w:val="21"/>
                <w:highlight w:val="none"/>
                <w:lang w:val="en-US" w:eastAsia="zh-CN" w:bidi="ar"/>
              </w:rPr>
              <w:t>被市场监管部门列入经营异常名录的，根据情节轻重扣</w:t>
            </w:r>
            <w:r>
              <w:rPr>
                <w:rStyle w:val="75"/>
                <w:rFonts w:hint="eastAsia" w:ascii="Times New Roman" w:hAnsi="Times New Roman" w:eastAsia="仿宋_GB2312" w:cs="仿宋_GB2312"/>
                <w:color w:val="auto"/>
                <w:sz w:val="21"/>
                <w:szCs w:val="21"/>
                <w:highlight w:val="none"/>
                <w:lang w:val="en-US" w:eastAsia="zh-CN" w:bidi="ar"/>
              </w:rPr>
              <w:t>2</w:t>
            </w:r>
            <w:r>
              <w:rPr>
                <w:rStyle w:val="75"/>
                <w:rFonts w:hint="eastAsia" w:eastAsia="仿宋_GB2312" w:cs="仿宋_GB2312"/>
                <w:color w:val="auto"/>
                <w:sz w:val="21"/>
                <w:szCs w:val="21"/>
                <w:highlight w:val="none"/>
                <w:lang w:val="en-US" w:eastAsia="zh-CN" w:bidi="ar"/>
              </w:rPr>
              <w:t>0</w:t>
            </w:r>
            <w:r>
              <w:rPr>
                <w:rStyle w:val="74"/>
                <w:rFonts w:ascii="仿宋_GB2312" w:hAnsi="仿宋_GB2312" w:eastAsia="仿宋_GB2312" w:cs="仿宋_GB2312"/>
                <w:color w:val="auto"/>
                <w:sz w:val="21"/>
                <w:szCs w:val="21"/>
                <w:highlight w:val="none"/>
                <w:lang w:val="en-US" w:eastAsia="zh-CN" w:bidi="ar"/>
              </w:rPr>
              <w:t>～</w:t>
            </w:r>
            <w:r>
              <w:rPr>
                <w:rStyle w:val="75"/>
                <w:rFonts w:hint="eastAsia" w:ascii="Times New Roman" w:hAnsi="Times New Roman" w:eastAsia="仿宋_GB2312" w:cs="仿宋_GB2312"/>
                <w:color w:val="auto"/>
                <w:sz w:val="21"/>
                <w:szCs w:val="21"/>
                <w:highlight w:val="none"/>
                <w:lang w:val="en-US" w:eastAsia="zh-CN" w:bidi="ar"/>
              </w:rPr>
              <w:t>40</w:t>
            </w:r>
            <w:r>
              <w:rPr>
                <w:rStyle w:val="74"/>
                <w:rFonts w:ascii="仿宋_GB2312" w:hAnsi="仿宋_GB2312" w:eastAsia="仿宋_GB2312" w:cs="仿宋_GB2312"/>
                <w:color w:val="auto"/>
                <w:sz w:val="21"/>
                <w:szCs w:val="21"/>
                <w:highlight w:val="none"/>
                <w:lang w:val="en-US" w:eastAsia="zh-CN" w:bidi="ar"/>
              </w:rPr>
              <w:t>分。</w:t>
            </w:r>
          </w:p>
        </w:tc>
        <w:tc>
          <w:tcPr>
            <w:tcW w:w="705" w:type="dxa"/>
            <w:noWrap w:val="0"/>
            <w:vAlign w:val="top"/>
          </w:tcPr>
          <w:p w14:paraId="5C77F566">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3364694D">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23CF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3173" w:type="dxa"/>
            <w:gridSpan w:val="3"/>
            <w:vMerge w:val="restart"/>
            <w:noWrap w:val="0"/>
            <w:vAlign w:val="center"/>
          </w:tcPr>
          <w:p w14:paraId="0295E4EB">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减分项</w:t>
            </w:r>
          </w:p>
        </w:tc>
        <w:tc>
          <w:tcPr>
            <w:tcW w:w="8992" w:type="dxa"/>
            <w:noWrap w:val="0"/>
            <w:vAlign w:val="center"/>
          </w:tcPr>
          <w:p w14:paraId="245F947D">
            <w:pPr>
              <w:keepNext w:val="0"/>
              <w:keepLines w:val="0"/>
              <w:widowControl/>
              <w:suppressLineNumbers w:val="0"/>
              <w:snapToGrid w:val="0"/>
              <w:spacing w:line="240" w:lineRule="atLeast"/>
              <w:jc w:val="left"/>
              <w:textAlignment w:val="center"/>
              <w:rPr>
                <w:rFonts w:hint="default" w:ascii="仿宋_GB2312" w:hAnsi="仿宋_GB2312" w:eastAsia="仿宋_GB2312" w:cs="仿宋_GB2312"/>
                <w:i w:val="0"/>
                <w:iCs w:val="0"/>
                <w:color w:val="auto"/>
                <w:kern w:val="2"/>
                <w:sz w:val="21"/>
                <w:szCs w:val="21"/>
                <w:highlight w:val="none"/>
                <w:u w:val="none"/>
                <w:lang w:val="en-US" w:eastAsia="zh-CN" w:bidi="ar-SA"/>
              </w:rPr>
            </w:pPr>
            <w:r>
              <w:rPr>
                <w:rStyle w:val="74"/>
                <w:rFonts w:ascii="仿宋_GB2312" w:hAnsi="仿宋_GB2312" w:eastAsia="仿宋_GB2312" w:cs="仿宋_GB2312"/>
                <w:color w:val="auto"/>
                <w:sz w:val="21"/>
                <w:szCs w:val="21"/>
                <w:highlight w:val="none"/>
                <w:lang w:val="en-US" w:eastAsia="zh-CN" w:bidi="ar"/>
              </w:rPr>
              <w:t>公司被列为失信被执行人的，根据情节轻重扣</w:t>
            </w:r>
            <w:r>
              <w:rPr>
                <w:rStyle w:val="74"/>
                <w:rFonts w:hint="eastAsia" w:ascii="Times New Roman" w:hAnsi="Times New Roman" w:eastAsia="仿宋_GB2312" w:cs="仿宋_GB2312"/>
                <w:color w:val="auto"/>
                <w:sz w:val="21"/>
                <w:szCs w:val="21"/>
                <w:highlight w:val="none"/>
                <w:lang w:val="en-US" w:eastAsia="zh-CN" w:bidi="ar"/>
              </w:rPr>
              <w:t>20</w:t>
            </w:r>
            <w:r>
              <w:rPr>
                <w:rStyle w:val="74"/>
                <w:rFonts w:ascii="仿宋_GB2312" w:hAnsi="仿宋_GB2312" w:eastAsia="仿宋_GB2312" w:cs="仿宋_GB2312"/>
                <w:color w:val="auto"/>
                <w:sz w:val="21"/>
                <w:szCs w:val="21"/>
                <w:highlight w:val="none"/>
                <w:lang w:val="en-US" w:eastAsia="zh-CN" w:bidi="ar"/>
              </w:rPr>
              <w:t>～</w:t>
            </w:r>
            <w:r>
              <w:rPr>
                <w:rStyle w:val="74"/>
                <w:rFonts w:hint="eastAsia" w:ascii="Times New Roman" w:hAnsi="Times New Roman" w:eastAsia="仿宋_GB2312" w:cs="仿宋_GB2312"/>
                <w:color w:val="auto"/>
                <w:sz w:val="21"/>
                <w:szCs w:val="21"/>
                <w:highlight w:val="none"/>
                <w:lang w:val="en-US" w:eastAsia="zh-CN" w:bidi="ar"/>
              </w:rPr>
              <w:t>40</w:t>
            </w:r>
            <w:r>
              <w:rPr>
                <w:rStyle w:val="74"/>
                <w:rFonts w:ascii="仿宋_GB2312" w:hAnsi="仿宋_GB2312" w:eastAsia="仿宋_GB2312" w:cs="仿宋_GB2312"/>
                <w:color w:val="auto"/>
                <w:sz w:val="21"/>
                <w:szCs w:val="21"/>
                <w:highlight w:val="none"/>
                <w:lang w:val="en-US" w:eastAsia="zh-CN" w:bidi="ar"/>
              </w:rPr>
              <w:t>分。</w:t>
            </w:r>
          </w:p>
        </w:tc>
        <w:tc>
          <w:tcPr>
            <w:tcW w:w="705" w:type="dxa"/>
            <w:noWrap w:val="0"/>
            <w:vAlign w:val="top"/>
          </w:tcPr>
          <w:p w14:paraId="4296E5B8">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06B229F8">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1893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173" w:type="dxa"/>
            <w:gridSpan w:val="3"/>
            <w:vMerge w:val="continue"/>
            <w:noWrap w:val="0"/>
            <w:vAlign w:val="center"/>
          </w:tcPr>
          <w:p w14:paraId="1EAA7932">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5F1BA632">
            <w:pPr>
              <w:keepNext w:val="0"/>
              <w:keepLines w:val="0"/>
              <w:widowControl/>
              <w:suppressLineNumbers w:val="0"/>
              <w:snapToGrid w:val="0"/>
              <w:spacing w:line="240" w:lineRule="atLeast"/>
              <w:jc w:val="left"/>
              <w:textAlignment w:val="center"/>
              <w:rPr>
                <w:rFonts w:hint="default" w:ascii="仿宋_GB2312" w:hAnsi="仿宋_GB2312" w:eastAsia="仿宋_GB2312" w:cs="仿宋_GB2312"/>
                <w:i w:val="0"/>
                <w:iCs w:val="0"/>
                <w:color w:val="auto"/>
                <w:kern w:val="2"/>
                <w:sz w:val="21"/>
                <w:szCs w:val="21"/>
                <w:highlight w:val="none"/>
                <w:u w:val="none"/>
                <w:lang w:val="en-US" w:eastAsia="zh-CN" w:bidi="ar"/>
              </w:rPr>
            </w:pPr>
            <w:r>
              <w:rPr>
                <w:rStyle w:val="74"/>
                <w:rFonts w:ascii="仿宋_GB2312" w:hAnsi="仿宋_GB2312" w:eastAsia="仿宋_GB2312" w:cs="仿宋_GB2312"/>
                <w:color w:val="auto"/>
                <w:sz w:val="21"/>
                <w:szCs w:val="21"/>
                <w:highlight w:val="none"/>
                <w:lang w:val="en-US" w:eastAsia="zh-CN" w:bidi="ar"/>
              </w:rPr>
              <w:t>公司或公司法定代表人受到与经营行为有关的行政处罚、刑事处罚，被行政机关或司法机关立案调查的，根据情节轻重扣</w:t>
            </w:r>
            <w:r>
              <w:rPr>
                <w:rStyle w:val="75"/>
                <w:rFonts w:hint="eastAsia" w:eastAsia="仿宋_GB2312" w:cs="仿宋_GB2312"/>
                <w:color w:val="auto"/>
                <w:sz w:val="21"/>
                <w:szCs w:val="21"/>
                <w:highlight w:val="none"/>
                <w:lang w:val="en-US" w:eastAsia="zh-CN" w:bidi="ar"/>
              </w:rPr>
              <w:t>20</w:t>
            </w:r>
            <w:r>
              <w:rPr>
                <w:rStyle w:val="74"/>
                <w:rFonts w:ascii="仿宋_GB2312" w:hAnsi="仿宋_GB2312" w:eastAsia="仿宋_GB2312" w:cs="仿宋_GB2312"/>
                <w:color w:val="auto"/>
                <w:sz w:val="21"/>
                <w:szCs w:val="21"/>
                <w:highlight w:val="none"/>
                <w:lang w:val="en-US" w:eastAsia="zh-CN" w:bidi="ar"/>
              </w:rPr>
              <w:t>～</w:t>
            </w:r>
            <w:r>
              <w:rPr>
                <w:rStyle w:val="75"/>
                <w:rFonts w:hint="eastAsia" w:ascii="Times New Roman" w:hAnsi="Times New Roman" w:eastAsia="仿宋_GB2312" w:cs="仿宋_GB2312"/>
                <w:color w:val="auto"/>
                <w:sz w:val="21"/>
                <w:szCs w:val="21"/>
                <w:highlight w:val="none"/>
                <w:lang w:val="en-US" w:eastAsia="zh-CN" w:bidi="ar"/>
              </w:rPr>
              <w:t>40</w:t>
            </w:r>
            <w:r>
              <w:rPr>
                <w:rStyle w:val="74"/>
                <w:rFonts w:ascii="仿宋_GB2312" w:hAnsi="仿宋_GB2312" w:eastAsia="仿宋_GB2312" w:cs="仿宋_GB2312"/>
                <w:color w:val="auto"/>
                <w:sz w:val="21"/>
                <w:szCs w:val="21"/>
                <w:highlight w:val="none"/>
                <w:lang w:val="en-US" w:eastAsia="zh-CN" w:bidi="ar"/>
              </w:rPr>
              <w:t>分。</w:t>
            </w:r>
          </w:p>
        </w:tc>
        <w:tc>
          <w:tcPr>
            <w:tcW w:w="705" w:type="dxa"/>
            <w:noWrap w:val="0"/>
            <w:vAlign w:val="top"/>
          </w:tcPr>
          <w:p w14:paraId="5A39000B">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5A7BE400">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2397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73" w:type="dxa"/>
            <w:gridSpan w:val="3"/>
            <w:vMerge w:val="continue"/>
            <w:noWrap w:val="0"/>
            <w:vAlign w:val="top"/>
          </w:tcPr>
          <w:p w14:paraId="2D262A49">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0BE55173">
            <w:pPr>
              <w:keepNext w:val="0"/>
              <w:keepLines w:val="0"/>
              <w:widowControl/>
              <w:suppressLineNumbers w:val="0"/>
              <w:snapToGrid w:val="0"/>
              <w:spacing w:line="240" w:lineRule="atLeast"/>
              <w:jc w:val="left"/>
              <w:textAlignment w:val="center"/>
              <w:rPr>
                <w:rFonts w:hint="default" w:ascii="仿宋_GB2312" w:hAnsi="仿宋_GB2312" w:eastAsia="仿宋_GB2312" w:cs="仿宋_GB2312"/>
                <w:color w:val="auto"/>
                <w:kern w:val="2"/>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存在注册资本金抽逃</w:t>
            </w:r>
            <w:r>
              <w:rPr>
                <w:rFonts w:hint="default" w:ascii="Times New Roman" w:hAnsi="Times New Roman" w:eastAsia="仿宋_GB2312" w:cs="Times New Roman"/>
                <w:i w:val="0"/>
                <w:iCs w:val="0"/>
                <w:color w:val="auto"/>
                <w:kern w:val="0"/>
                <w:sz w:val="21"/>
                <w:szCs w:val="21"/>
                <w:highlight w:val="none"/>
                <w:u w:val="none"/>
                <w:lang w:val="en-US" w:eastAsia="zh-CN" w:bidi="ar"/>
              </w:rPr>
              <w:t>的扣</w:t>
            </w:r>
            <w:r>
              <w:rPr>
                <w:rFonts w:hint="eastAsia" w:eastAsia="仿宋_GB2312" w:cs="Times New Roman"/>
                <w:i w:val="0"/>
                <w:iCs w:val="0"/>
                <w:color w:val="auto"/>
                <w:kern w:val="0"/>
                <w:sz w:val="21"/>
                <w:szCs w:val="21"/>
                <w:highlight w:val="none"/>
                <w:u w:val="none"/>
                <w:lang w:val="en-US" w:eastAsia="zh-CN" w:bidi="ar"/>
              </w:rPr>
              <w:t>20</w:t>
            </w:r>
            <w:r>
              <w:rPr>
                <w:rFonts w:hint="default" w:eastAsia="仿宋_GB2312" w:cs="Times New Roman"/>
                <w:i w:val="0"/>
                <w:iCs w:val="0"/>
                <w:color w:val="auto"/>
                <w:kern w:val="0"/>
                <w:sz w:val="21"/>
                <w:szCs w:val="21"/>
                <w:highlight w:val="none"/>
                <w:u w:val="none"/>
                <w:lang w:val="en-US" w:eastAsia="zh-CN" w:bidi="ar"/>
              </w:rPr>
              <w:t>～</w:t>
            </w:r>
            <w:r>
              <w:rPr>
                <w:rFonts w:hint="eastAsia" w:eastAsia="仿宋_GB2312" w:cs="Times New Roman"/>
                <w:i w:val="0"/>
                <w:iCs w:val="0"/>
                <w:color w:val="auto"/>
                <w:kern w:val="0"/>
                <w:sz w:val="21"/>
                <w:szCs w:val="21"/>
                <w:highlight w:val="none"/>
                <w:u w:val="none"/>
                <w:lang w:val="en-US" w:eastAsia="zh-CN" w:bidi="ar"/>
              </w:rPr>
              <w:t>40</w:t>
            </w:r>
            <w:r>
              <w:rPr>
                <w:rFonts w:hint="default" w:ascii="Times New Roman" w:hAnsi="Times New Roman" w:eastAsia="仿宋_GB2312" w:cs="Times New Roman"/>
                <w:i w:val="0"/>
                <w:iCs w:val="0"/>
                <w:color w:val="auto"/>
                <w:kern w:val="0"/>
                <w:sz w:val="21"/>
                <w:szCs w:val="21"/>
                <w:highlight w:val="none"/>
                <w:u w:val="none"/>
                <w:lang w:val="en-US" w:eastAsia="zh-CN" w:bidi="ar"/>
              </w:rPr>
              <w:t>分。</w:t>
            </w:r>
          </w:p>
        </w:tc>
        <w:tc>
          <w:tcPr>
            <w:tcW w:w="705" w:type="dxa"/>
            <w:noWrap w:val="0"/>
            <w:vAlign w:val="top"/>
          </w:tcPr>
          <w:p w14:paraId="5422408D">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5DFE149F">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595E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73" w:type="dxa"/>
            <w:gridSpan w:val="3"/>
            <w:vMerge w:val="continue"/>
            <w:noWrap w:val="0"/>
            <w:vAlign w:val="top"/>
          </w:tcPr>
          <w:p w14:paraId="64062FEB">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5AE4B106">
            <w:pPr>
              <w:keepNext w:val="0"/>
              <w:keepLines w:val="0"/>
              <w:widowControl/>
              <w:suppressLineNumbers w:val="0"/>
              <w:snapToGrid w:val="0"/>
              <w:spacing w:line="240" w:lineRule="atLeast"/>
              <w:jc w:val="left"/>
              <w:textAlignment w:val="center"/>
              <w:rPr>
                <w:rFonts w:hint="default" w:ascii="仿宋_GB2312" w:hAnsi="仿宋_GB2312" w:eastAsia="仿宋_GB2312" w:cs="仿宋_GB2312"/>
                <w:i w:val="0"/>
                <w:iCs w:val="0"/>
                <w:color w:val="auto"/>
                <w:kern w:val="2"/>
                <w:sz w:val="21"/>
                <w:szCs w:val="21"/>
                <w:highlight w:val="none"/>
                <w:u w:val="none"/>
                <w:lang w:val="en-US" w:eastAsia="zh-CN" w:bidi="ar-SA"/>
              </w:rPr>
            </w:pPr>
            <w:r>
              <w:rPr>
                <w:rStyle w:val="74"/>
                <w:rFonts w:ascii="仿宋_GB2312" w:hAnsi="仿宋_GB2312" w:eastAsia="仿宋_GB2312" w:cs="仿宋_GB2312"/>
                <w:color w:val="auto"/>
                <w:sz w:val="21"/>
                <w:szCs w:val="21"/>
                <w:highlight w:val="none"/>
                <w:lang w:val="en-US" w:eastAsia="zh-CN" w:bidi="ar"/>
              </w:rPr>
              <w:t>拒绝或阻碍监管部门依法依规实施的监督检查的，根据情节轻重扣</w:t>
            </w:r>
            <w:r>
              <w:rPr>
                <w:rStyle w:val="75"/>
                <w:rFonts w:hint="eastAsia" w:eastAsia="仿宋_GB2312" w:cs="仿宋_GB2312"/>
                <w:color w:val="auto"/>
                <w:sz w:val="21"/>
                <w:szCs w:val="21"/>
                <w:highlight w:val="none"/>
                <w:lang w:val="en-US" w:eastAsia="zh-CN" w:bidi="ar"/>
              </w:rPr>
              <w:t>30</w:t>
            </w:r>
            <w:r>
              <w:rPr>
                <w:rStyle w:val="74"/>
                <w:rFonts w:ascii="仿宋_GB2312" w:hAnsi="仿宋_GB2312" w:eastAsia="仿宋_GB2312" w:cs="仿宋_GB2312"/>
                <w:color w:val="auto"/>
                <w:sz w:val="21"/>
                <w:szCs w:val="21"/>
                <w:highlight w:val="none"/>
                <w:lang w:val="en-US" w:eastAsia="zh-CN" w:bidi="ar"/>
              </w:rPr>
              <w:t>～</w:t>
            </w:r>
            <w:r>
              <w:rPr>
                <w:rStyle w:val="75"/>
                <w:rFonts w:hint="eastAsia" w:eastAsia="仿宋_GB2312" w:cs="仿宋_GB2312"/>
                <w:color w:val="auto"/>
                <w:sz w:val="21"/>
                <w:szCs w:val="21"/>
                <w:highlight w:val="none"/>
                <w:lang w:val="en-US" w:eastAsia="zh-CN" w:bidi="ar"/>
              </w:rPr>
              <w:t>40</w:t>
            </w:r>
            <w:r>
              <w:rPr>
                <w:rStyle w:val="74"/>
                <w:rFonts w:ascii="仿宋_GB2312" w:hAnsi="仿宋_GB2312" w:eastAsia="仿宋_GB2312" w:cs="仿宋_GB2312"/>
                <w:color w:val="auto"/>
                <w:sz w:val="21"/>
                <w:szCs w:val="21"/>
                <w:highlight w:val="none"/>
                <w:lang w:val="en-US" w:eastAsia="zh-CN" w:bidi="ar"/>
              </w:rPr>
              <w:t>分。</w:t>
            </w:r>
          </w:p>
        </w:tc>
        <w:tc>
          <w:tcPr>
            <w:tcW w:w="705" w:type="dxa"/>
            <w:noWrap w:val="0"/>
            <w:vAlign w:val="top"/>
          </w:tcPr>
          <w:p w14:paraId="5CD15552">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3832A6C1">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171A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173" w:type="dxa"/>
            <w:gridSpan w:val="3"/>
            <w:vMerge w:val="continue"/>
            <w:noWrap w:val="0"/>
            <w:vAlign w:val="top"/>
          </w:tcPr>
          <w:p w14:paraId="0C9CD725">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4221A68A">
            <w:pPr>
              <w:keepNext w:val="0"/>
              <w:keepLines w:val="0"/>
              <w:widowControl/>
              <w:suppressLineNumbers w:val="0"/>
              <w:snapToGrid w:val="0"/>
              <w:spacing w:line="240" w:lineRule="atLeast"/>
              <w:jc w:val="left"/>
              <w:textAlignment w:val="center"/>
              <w:rPr>
                <w:rFonts w:hint="default"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符合《中国银保监会办公厅关于加强商业保理企业监督管理的通知》（银保监办发〔</w:t>
            </w:r>
            <w:r>
              <w:rPr>
                <w:rStyle w:val="75"/>
                <w:rFonts w:hint="eastAsia" w:ascii="Times New Roman" w:hAnsi="Times New Roman" w:eastAsia="仿宋_GB2312" w:cs="仿宋_GB2312"/>
                <w:color w:val="auto"/>
                <w:sz w:val="21"/>
                <w:szCs w:val="21"/>
                <w:highlight w:val="none"/>
                <w:lang w:val="en-US" w:eastAsia="zh-CN" w:bidi="ar"/>
              </w:rPr>
              <w:t>2019</w:t>
            </w:r>
            <w:r>
              <w:rPr>
                <w:rStyle w:val="74"/>
                <w:rFonts w:ascii="仿宋_GB2312" w:hAnsi="仿宋_GB2312" w:eastAsia="仿宋_GB2312" w:cs="仿宋_GB2312"/>
                <w:color w:val="auto"/>
                <w:sz w:val="21"/>
                <w:szCs w:val="21"/>
                <w:highlight w:val="none"/>
                <w:lang w:val="en-US" w:eastAsia="zh-CN" w:bidi="ar"/>
              </w:rPr>
              <w:t>〕</w:t>
            </w:r>
            <w:r>
              <w:rPr>
                <w:rStyle w:val="75"/>
                <w:rFonts w:hint="eastAsia" w:ascii="Times New Roman" w:hAnsi="Times New Roman" w:eastAsia="仿宋_GB2312" w:cs="仿宋_GB2312"/>
                <w:color w:val="auto"/>
                <w:sz w:val="21"/>
                <w:szCs w:val="21"/>
                <w:highlight w:val="none"/>
                <w:lang w:val="en-US" w:eastAsia="zh-CN" w:bidi="ar"/>
              </w:rPr>
              <w:t>205</w:t>
            </w:r>
            <w:r>
              <w:rPr>
                <w:rStyle w:val="74"/>
                <w:rFonts w:ascii="仿宋_GB2312" w:hAnsi="仿宋_GB2312" w:eastAsia="仿宋_GB2312" w:cs="仿宋_GB2312"/>
                <w:color w:val="auto"/>
                <w:sz w:val="21"/>
                <w:szCs w:val="21"/>
                <w:highlight w:val="none"/>
                <w:lang w:val="en-US" w:eastAsia="zh-CN" w:bidi="ar"/>
              </w:rPr>
              <w:t>号）规定的</w:t>
            </w:r>
            <w:r>
              <w:rPr>
                <w:rStyle w:val="75"/>
                <w:rFonts w:hint="eastAsia" w:ascii="仿宋_GB2312" w:hAnsi="仿宋_GB2312" w:eastAsia="仿宋_GB2312" w:cs="仿宋_GB2312"/>
                <w:color w:val="auto"/>
                <w:sz w:val="21"/>
                <w:szCs w:val="21"/>
                <w:highlight w:val="none"/>
                <w:lang w:val="en-US" w:eastAsia="zh-CN" w:bidi="ar"/>
              </w:rPr>
              <w:t>“</w:t>
            </w:r>
            <w:r>
              <w:rPr>
                <w:rStyle w:val="74"/>
                <w:rFonts w:ascii="仿宋_GB2312" w:hAnsi="仿宋_GB2312" w:eastAsia="仿宋_GB2312" w:cs="仿宋_GB2312"/>
                <w:color w:val="auto"/>
                <w:sz w:val="21"/>
                <w:szCs w:val="21"/>
                <w:highlight w:val="none"/>
                <w:lang w:val="en-US" w:eastAsia="zh-CN" w:bidi="ar"/>
              </w:rPr>
              <w:t>空壳</w:t>
            </w:r>
            <w:r>
              <w:rPr>
                <w:rStyle w:val="75"/>
                <w:rFonts w:hint="eastAsia" w:ascii="仿宋_GB2312" w:hAnsi="仿宋_GB2312" w:eastAsia="仿宋_GB2312" w:cs="仿宋_GB2312"/>
                <w:color w:val="auto"/>
                <w:sz w:val="21"/>
                <w:szCs w:val="21"/>
                <w:highlight w:val="none"/>
                <w:lang w:val="en-US" w:eastAsia="zh-CN" w:bidi="ar"/>
              </w:rPr>
              <w:t>”“空壳”</w:t>
            </w:r>
            <w:r>
              <w:rPr>
                <w:rStyle w:val="74"/>
                <w:rFonts w:ascii="仿宋_GB2312" w:hAnsi="仿宋_GB2312" w:eastAsia="仿宋_GB2312" w:cs="仿宋_GB2312"/>
                <w:color w:val="auto"/>
                <w:sz w:val="21"/>
                <w:szCs w:val="21"/>
                <w:highlight w:val="none"/>
                <w:lang w:val="en-US" w:eastAsia="zh-CN" w:bidi="ar"/>
              </w:rPr>
              <w:t>情况的，根据情节轻重扣</w:t>
            </w:r>
            <w:r>
              <w:rPr>
                <w:rStyle w:val="77"/>
                <w:rFonts w:hint="eastAsia" w:ascii="Times New Roman" w:hAnsi="Times New Roman" w:eastAsia="仿宋_GB2312" w:cs="仿宋_GB2312"/>
                <w:color w:val="auto"/>
                <w:sz w:val="21"/>
                <w:szCs w:val="21"/>
                <w:highlight w:val="none"/>
                <w:lang w:val="en-US" w:eastAsia="zh-CN" w:bidi="ar"/>
              </w:rPr>
              <w:t>30</w:t>
            </w:r>
            <w:r>
              <w:rPr>
                <w:rStyle w:val="74"/>
                <w:rFonts w:ascii="仿宋_GB2312" w:hAnsi="仿宋_GB2312" w:eastAsia="仿宋_GB2312" w:cs="仿宋_GB2312"/>
                <w:color w:val="auto"/>
                <w:sz w:val="21"/>
                <w:szCs w:val="21"/>
                <w:highlight w:val="none"/>
                <w:lang w:val="en-US" w:eastAsia="zh-CN" w:bidi="ar"/>
              </w:rPr>
              <w:t>～</w:t>
            </w:r>
            <w:r>
              <w:rPr>
                <w:rStyle w:val="75"/>
                <w:rFonts w:hint="eastAsia" w:ascii="Times New Roman" w:hAnsi="Times New Roman" w:eastAsia="仿宋_GB2312" w:cs="仿宋_GB2312"/>
                <w:color w:val="auto"/>
                <w:sz w:val="21"/>
                <w:szCs w:val="21"/>
                <w:highlight w:val="none"/>
                <w:lang w:val="en-US" w:eastAsia="zh-CN" w:bidi="ar"/>
              </w:rPr>
              <w:t>40</w:t>
            </w:r>
            <w:r>
              <w:rPr>
                <w:rStyle w:val="74"/>
                <w:rFonts w:ascii="仿宋_GB2312" w:hAnsi="仿宋_GB2312" w:eastAsia="仿宋_GB2312" w:cs="仿宋_GB2312"/>
                <w:color w:val="auto"/>
                <w:sz w:val="21"/>
                <w:szCs w:val="21"/>
                <w:highlight w:val="none"/>
                <w:lang w:val="en-US" w:eastAsia="zh-CN" w:bidi="ar"/>
              </w:rPr>
              <w:t>分。</w:t>
            </w:r>
          </w:p>
        </w:tc>
        <w:tc>
          <w:tcPr>
            <w:tcW w:w="705" w:type="dxa"/>
            <w:noWrap w:val="0"/>
            <w:vAlign w:val="top"/>
          </w:tcPr>
          <w:p w14:paraId="6E6A7525">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40A822FA">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1EAC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173" w:type="dxa"/>
            <w:gridSpan w:val="3"/>
            <w:vMerge w:val="continue"/>
            <w:noWrap w:val="0"/>
            <w:vAlign w:val="top"/>
          </w:tcPr>
          <w:p w14:paraId="655088F3">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1013CA12">
            <w:pPr>
              <w:pStyle w:val="2"/>
              <w:keepNext w:val="0"/>
              <w:keepLines w:val="0"/>
              <w:pageBreakBefore w:val="0"/>
              <w:widowControl/>
              <w:suppressLineNumbers w:val="0"/>
              <w:kinsoku/>
              <w:wordWrap/>
              <w:overflowPunct/>
              <w:topLinePunct w:val="0"/>
              <w:bidi w:val="0"/>
              <w:adjustRightInd/>
              <w:snapToGrid w:val="0"/>
              <w:spacing w:line="240" w:lineRule="atLeast"/>
              <w:jc w:val="left"/>
              <w:textAlignment w:val="center"/>
              <w:rPr>
                <w:rStyle w:val="74"/>
                <w:rFonts w:ascii="仿宋_GB2312" w:hAnsi="仿宋_GB2312" w:eastAsia="仿宋_GB2312" w:cs="仿宋_GB2312"/>
                <w:color w:val="auto"/>
                <w:sz w:val="21"/>
                <w:szCs w:val="21"/>
                <w:highlight w:val="none"/>
                <w:lang w:val="en-US" w:eastAsia="zh-CN" w:bidi="ar"/>
              </w:rPr>
            </w:pPr>
            <w:r>
              <w:rPr>
                <w:rStyle w:val="74"/>
                <w:rFonts w:hint="eastAsia" w:ascii="仿宋_GB2312" w:hAnsi="仿宋_GB2312" w:eastAsia="仿宋_GB2312" w:cs="仿宋_GB2312"/>
                <w:color w:val="auto"/>
                <w:sz w:val="21"/>
                <w:szCs w:val="21"/>
                <w:highlight w:val="none"/>
                <w:lang w:val="en-US" w:eastAsia="zh-CN" w:bidi="ar"/>
              </w:rPr>
              <w:t>存在以下情形，</w:t>
            </w:r>
            <w:r>
              <w:rPr>
                <w:rStyle w:val="74"/>
                <w:rFonts w:ascii="仿宋_GB2312" w:hAnsi="仿宋_GB2312" w:eastAsia="仿宋_GB2312" w:cs="仿宋_GB2312"/>
                <w:color w:val="auto"/>
                <w:sz w:val="21"/>
                <w:szCs w:val="21"/>
                <w:highlight w:val="none"/>
                <w:lang w:val="en-US" w:eastAsia="zh-CN" w:bidi="ar"/>
              </w:rPr>
              <w:t>根据情节轻重扣</w:t>
            </w:r>
            <w:r>
              <w:rPr>
                <w:rStyle w:val="77"/>
                <w:rFonts w:hint="eastAsia" w:ascii="Times New Roman" w:hAnsi="Times New Roman" w:eastAsia="仿宋_GB2312" w:cs="仿宋_GB2312"/>
                <w:color w:val="auto"/>
                <w:sz w:val="21"/>
                <w:szCs w:val="21"/>
                <w:highlight w:val="none"/>
                <w:lang w:val="en-US" w:eastAsia="zh-CN" w:bidi="ar"/>
              </w:rPr>
              <w:t>30</w:t>
            </w:r>
            <w:r>
              <w:rPr>
                <w:rStyle w:val="74"/>
                <w:rFonts w:ascii="仿宋_GB2312" w:hAnsi="仿宋_GB2312" w:eastAsia="仿宋_GB2312" w:cs="仿宋_GB2312"/>
                <w:color w:val="auto"/>
                <w:sz w:val="21"/>
                <w:szCs w:val="21"/>
                <w:highlight w:val="none"/>
                <w:lang w:val="en-US" w:eastAsia="zh-CN" w:bidi="ar"/>
              </w:rPr>
              <w:t>～</w:t>
            </w:r>
            <w:r>
              <w:rPr>
                <w:rStyle w:val="75"/>
                <w:rFonts w:hint="eastAsia" w:ascii="Times New Roman" w:hAnsi="Times New Roman" w:eastAsia="仿宋_GB2312" w:cs="仿宋_GB2312"/>
                <w:color w:val="auto"/>
                <w:sz w:val="21"/>
                <w:szCs w:val="21"/>
                <w:highlight w:val="none"/>
                <w:lang w:val="en-US" w:eastAsia="zh-CN" w:bidi="ar"/>
              </w:rPr>
              <w:t>40</w:t>
            </w:r>
            <w:r>
              <w:rPr>
                <w:rStyle w:val="74"/>
                <w:rFonts w:ascii="仿宋_GB2312" w:hAnsi="仿宋_GB2312" w:eastAsia="仿宋_GB2312" w:cs="仿宋_GB2312"/>
                <w:color w:val="auto"/>
                <w:sz w:val="21"/>
                <w:szCs w:val="21"/>
                <w:highlight w:val="none"/>
                <w:lang w:val="en-US" w:eastAsia="zh-CN" w:bidi="ar"/>
              </w:rPr>
              <w:t>分。</w:t>
            </w:r>
          </w:p>
          <w:p w14:paraId="0C194CB6">
            <w:pPr>
              <w:pStyle w:val="2"/>
              <w:keepNext w:val="0"/>
              <w:keepLines w:val="0"/>
              <w:pageBreakBefore w:val="0"/>
              <w:kinsoku/>
              <w:wordWrap/>
              <w:overflowPunct/>
              <w:topLinePunct w:val="0"/>
              <w:bidi w:val="0"/>
              <w:adjustRightInd/>
              <w:snapToGrid w:val="0"/>
              <w:spacing w:line="240" w:lineRule="atLeast"/>
              <w:rPr>
                <w:rStyle w:val="74"/>
                <w:rFonts w:hint="eastAsia" w:ascii="仿宋_GB2312" w:hAnsi="仿宋_GB2312" w:eastAsia="仿宋_GB2312" w:cs="仿宋_GB2312"/>
                <w:color w:val="auto"/>
                <w:sz w:val="21"/>
                <w:szCs w:val="21"/>
                <w:highlight w:val="none"/>
                <w:lang w:val="en-US" w:eastAsia="zh-CN" w:bidi="ar"/>
              </w:rPr>
            </w:pPr>
            <w:r>
              <w:rPr>
                <w:rStyle w:val="74"/>
                <w:rFonts w:hint="eastAsia" w:ascii="Times New Roman" w:hAnsi="Times New Roman" w:eastAsia="仿宋_GB2312" w:cs="仿宋_GB2312"/>
                <w:color w:val="auto"/>
                <w:sz w:val="21"/>
                <w:szCs w:val="21"/>
                <w:highlight w:val="none"/>
                <w:lang w:val="en-US" w:eastAsia="zh-CN" w:bidi="ar"/>
              </w:rPr>
              <w:t>1</w:t>
            </w:r>
            <w:r>
              <w:rPr>
                <w:rStyle w:val="74"/>
                <w:rFonts w:hint="eastAsia" w:ascii="仿宋_GB2312" w:hAnsi="仿宋_GB2312" w:eastAsia="仿宋_GB2312" w:cs="仿宋_GB2312"/>
                <w:color w:val="auto"/>
                <w:sz w:val="21"/>
                <w:szCs w:val="21"/>
                <w:highlight w:val="none"/>
                <w:lang w:val="en-US" w:eastAsia="zh-CN" w:bidi="ar"/>
              </w:rPr>
              <w:t>.吸收或变相吸收公众存款；</w:t>
            </w:r>
          </w:p>
          <w:p w14:paraId="06BF9AE6">
            <w:pPr>
              <w:pStyle w:val="2"/>
              <w:keepNext w:val="0"/>
              <w:keepLines w:val="0"/>
              <w:pageBreakBefore w:val="0"/>
              <w:kinsoku/>
              <w:wordWrap/>
              <w:overflowPunct/>
              <w:topLinePunct w:val="0"/>
              <w:bidi w:val="0"/>
              <w:adjustRightInd/>
              <w:snapToGrid w:val="0"/>
              <w:spacing w:line="240" w:lineRule="atLeast"/>
              <w:rPr>
                <w:rStyle w:val="74"/>
                <w:rFonts w:hint="eastAsia" w:ascii="仿宋_GB2312" w:hAnsi="仿宋_GB2312" w:eastAsia="仿宋_GB2312" w:cs="仿宋_GB2312"/>
                <w:color w:val="auto"/>
                <w:sz w:val="21"/>
                <w:szCs w:val="21"/>
                <w:highlight w:val="none"/>
                <w:lang w:val="en-US" w:eastAsia="zh-CN" w:bidi="ar"/>
              </w:rPr>
            </w:pPr>
            <w:r>
              <w:rPr>
                <w:rStyle w:val="74"/>
                <w:rFonts w:hint="eastAsia" w:ascii="Times New Roman" w:hAnsi="Times New Roman" w:eastAsia="仿宋_GB2312" w:cs="仿宋_GB2312"/>
                <w:color w:val="auto"/>
                <w:sz w:val="21"/>
                <w:szCs w:val="21"/>
                <w:highlight w:val="none"/>
                <w:lang w:val="en-US" w:eastAsia="zh-CN" w:bidi="ar"/>
              </w:rPr>
              <w:t>2</w:t>
            </w:r>
            <w:r>
              <w:rPr>
                <w:rStyle w:val="74"/>
                <w:rFonts w:hint="eastAsia" w:ascii="仿宋_GB2312" w:hAnsi="仿宋_GB2312" w:eastAsia="仿宋_GB2312" w:cs="仿宋_GB2312"/>
                <w:color w:val="auto"/>
                <w:sz w:val="21"/>
                <w:szCs w:val="21"/>
                <w:highlight w:val="none"/>
                <w:lang w:val="en-US" w:eastAsia="zh-CN" w:bidi="ar"/>
              </w:rPr>
              <w:t>.通过网络借贷信息中介机构、地方各类交易场所、资产管理机构以及私募投资基金等机构融资；</w:t>
            </w:r>
          </w:p>
          <w:p w14:paraId="7B0A13E5">
            <w:pPr>
              <w:pStyle w:val="2"/>
              <w:keepNext w:val="0"/>
              <w:keepLines w:val="0"/>
              <w:pageBreakBefore w:val="0"/>
              <w:kinsoku/>
              <w:wordWrap/>
              <w:overflowPunct/>
              <w:topLinePunct w:val="0"/>
              <w:bidi w:val="0"/>
              <w:adjustRightInd/>
              <w:snapToGrid w:val="0"/>
              <w:spacing w:line="240" w:lineRule="atLeast"/>
              <w:rPr>
                <w:rStyle w:val="74"/>
                <w:rFonts w:hint="eastAsia" w:ascii="仿宋_GB2312" w:hAnsi="仿宋_GB2312" w:eastAsia="仿宋_GB2312" w:cs="仿宋_GB2312"/>
                <w:color w:val="auto"/>
                <w:sz w:val="21"/>
                <w:szCs w:val="21"/>
                <w:highlight w:val="none"/>
                <w:lang w:val="en-US" w:eastAsia="zh-CN" w:bidi="ar"/>
              </w:rPr>
            </w:pPr>
            <w:r>
              <w:rPr>
                <w:rStyle w:val="74"/>
                <w:rFonts w:hint="eastAsia" w:ascii="Times New Roman" w:hAnsi="Times New Roman" w:eastAsia="仿宋_GB2312" w:cs="仿宋_GB2312"/>
                <w:color w:val="auto"/>
                <w:sz w:val="21"/>
                <w:szCs w:val="21"/>
                <w:highlight w:val="none"/>
                <w:lang w:val="en-US" w:eastAsia="zh-CN" w:bidi="ar"/>
              </w:rPr>
              <w:t>3</w:t>
            </w:r>
            <w:r>
              <w:rPr>
                <w:rStyle w:val="74"/>
                <w:rFonts w:hint="eastAsia" w:ascii="仿宋_GB2312" w:hAnsi="仿宋_GB2312" w:eastAsia="仿宋_GB2312" w:cs="仿宋_GB2312"/>
                <w:color w:val="auto"/>
                <w:sz w:val="21"/>
                <w:szCs w:val="21"/>
                <w:highlight w:val="none"/>
                <w:lang w:val="en-US" w:eastAsia="zh-CN" w:bidi="ar"/>
              </w:rPr>
              <w:t>.发放或受托发放贷款；</w:t>
            </w:r>
          </w:p>
          <w:p w14:paraId="453C2238">
            <w:pPr>
              <w:pStyle w:val="2"/>
              <w:keepNext w:val="0"/>
              <w:keepLines w:val="0"/>
              <w:pageBreakBefore w:val="0"/>
              <w:kinsoku/>
              <w:wordWrap/>
              <w:overflowPunct/>
              <w:topLinePunct w:val="0"/>
              <w:bidi w:val="0"/>
              <w:adjustRightInd/>
              <w:snapToGrid w:val="0"/>
              <w:spacing w:line="240" w:lineRule="atLeast"/>
              <w:rPr>
                <w:rStyle w:val="74"/>
                <w:rFonts w:hint="eastAsia" w:ascii="仿宋_GB2312" w:hAnsi="仿宋_GB2312" w:eastAsia="仿宋_GB2312" w:cs="仿宋_GB2312"/>
                <w:color w:val="auto"/>
                <w:sz w:val="21"/>
                <w:szCs w:val="21"/>
                <w:highlight w:val="none"/>
                <w:lang w:val="en-US" w:eastAsia="zh-CN" w:bidi="ar"/>
              </w:rPr>
            </w:pPr>
            <w:r>
              <w:rPr>
                <w:rStyle w:val="74"/>
                <w:rFonts w:hint="eastAsia" w:ascii="Times New Roman" w:hAnsi="Times New Roman" w:eastAsia="仿宋_GB2312" w:cs="仿宋_GB2312"/>
                <w:color w:val="auto"/>
                <w:sz w:val="21"/>
                <w:szCs w:val="21"/>
                <w:highlight w:val="none"/>
                <w:lang w:val="en-US" w:eastAsia="zh-CN" w:bidi="ar"/>
              </w:rPr>
              <w:t>4</w:t>
            </w:r>
            <w:r>
              <w:rPr>
                <w:rStyle w:val="74"/>
                <w:rFonts w:hint="eastAsia" w:ascii="仿宋_GB2312" w:hAnsi="仿宋_GB2312" w:eastAsia="仿宋_GB2312" w:cs="仿宋_GB2312"/>
                <w:color w:val="auto"/>
                <w:sz w:val="21"/>
                <w:szCs w:val="21"/>
                <w:highlight w:val="none"/>
                <w:lang w:val="en-US" w:eastAsia="zh-CN" w:bidi="ar"/>
              </w:rPr>
              <w:t>.与其他商业保理公司拆借或变相拆借资金（商业保理公司从作为其股东的商业保理公司借款除外）；</w:t>
            </w:r>
          </w:p>
          <w:p w14:paraId="0A4C91BC">
            <w:pPr>
              <w:pStyle w:val="2"/>
              <w:keepNext w:val="0"/>
              <w:keepLines w:val="0"/>
              <w:pageBreakBefore w:val="0"/>
              <w:kinsoku/>
              <w:wordWrap/>
              <w:overflowPunct/>
              <w:topLinePunct w:val="0"/>
              <w:bidi w:val="0"/>
              <w:adjustRightInd/>
              <w:snapToGrid w:val="0"/>
              <w:spacing w:line="240" w:lineRule="atLeast"/>
              <w:rPr>
                <w:rStyle w:val="74"/>
                <w:rFonts w:hint="eastAsia" w:ascii="仿宋_GB2312" w:hAnsi="仿宋_GB2312" w:eastAsia="仿宋_GB2312" w:cs="仿宋_GB2312"/>
                <w:color w:val="auto"/>
                <w:sz w:val="21"/>
                <w:szCs w:val="21"/>
                <w:highlight w:val="none"/>
                <w:lang w:val="en-US" w:eastAsia="zh-CN" w:bidi="ar"/>
              </w:rPr>
            </w:pPr>
            <w:r>
              <w:rPr>
                <w:rStyle w:val="74"/>
                <w:rFonts w:hint="eastAsia" w:ascii="Times New Roman" w:hAnsi="Times New Roman" w:eastAsia="仿宋_GB2312" w:cs="仿宋_GB2312"/>
                <w:color w:val="auto"/>
                <w:sz w:val="21"/>
                <w:szCs w:val="21"/>
                <w:highlight w:val="none"/>
                <w:lang w:val="en-US" w:eastAsia="zh-CN" w:bidi="ar"/>
              </w:rPr>
              <w:t>5</w:t>
            </w:r>
            <w:r>
              <w:rPr>
                <w:rStyle w:val="74"/>
                <w:rFonts w:hint="eastAsia" w:ascii="仿宋_GB2312" w:hAnsi="仿宋_GB2312" w:eastAsia="仿宋_GB2312" w:cs="仿宋_GB2312"/>
                <w:color w:val="auto"/>
                <w:sz w:val="21"/>
                <w:szCs w:val="21"/>
                <w:highlight w:val="none"/>
                <w:lang w:val="en-US" w:eastAsia="zh-CN" w:bidi="ar"/>
              </w:rPr>
              <w:t>.专门从事或受托开展与商业保理无关的催收业务、讨债业务；</w:t>
            </w:r>
          </w:p>
          <w:p w14:paraId="5A67670B">
            <w:pPr>
              <w:keepNext w:val="0"/>
              <w:keepLines w:val="0"/>
              <w:pageBreakBefore w:val="0"/>
              <w:widowControl/>
              <w:suppressLineNumbers w:val="0"/>
              <w:kinsoku/>
              <w:wordWrap/>
              <w:overflowPunct/>
              <w:topLinePunct w:val="0"/>
              <w:bidi w:val="0"/>
              <w:snapToGrid w:val="0"/>
              <w:spacing w:line="240" w:lineRule="atLeast"/>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Style w:val="74"/>
                <w:rFonts w:hint="eastAsia" w:ascii="Times New Roman" w:hAnsi="Times New Roman" w:eastAsia="仿宋_GB2312" w:cs="仿宋_GB2312"/>
                <w:color w:val="auto"/>
                <w:sz w:val="21"/>
                <w:szCs w:val="21"/>
                <w:highlight w:val="none"/>
                <w:lang w:val="en-US" w:eastAsia="zh-CN" w:bidi="ar"/>
              </w:rPr>
              <w:t>6</w:t>
            </w:r>
            <w:r>
              <w:rPr>
                <w:rStyle w:val="74"/>
                <w:rFonts w:hint="eastAsia" w:ascii="仿宋_GB2312" w:hAnsi="仿宋_GB2312" w:eastAsia="仿宋_GB2312" w:cs="仿宋_GB2312"/>
                <w:color w:val="auto"/>
                <w:sz w:val="21"/>
                <w:szCs w:val="21"/>
                <w:highlight w:val="none"/>
                <w:lang w:val="en-US" w:eastAsia="zh-CN" w:bidi="ar"/>
              </w:rPr>
              <w:t>.基于不合法基础交易合同、寄售合同、权属不清的应收账款、因票据或其他有价证券而产生的付款请求权等开展保理融资业务；</w:t>
            </w:r>
          </w:p>
        </w:tc>
        <w:tc>
          <w:tcPr>
            <w:tcW w:w="705" w:type="dxa"/>
            <w:noWrap w:val="0"/>
            <w:vAlign w:val="top"/>
          </w:tcPr>
          <w:p w14:paraId="043C8646">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6C4AD822">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1810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73" w:type="dxa"/>
            <w:gridSpan w:val="3"/>
            <w:vMerge w:val="continue"/>
            <w:noWrap w:val="0"/>
            <w:vAlign w:val="top"/>
          </w:tcPr>
          <w:p w14:paraId="3E47F856">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11A52E8A">
            <w:pPr>
              <w:keepNext w:val="0"/>
              <w:keepLines w:val="0"/>
              <w:pageBreakBefore w:val="0"/>
              <w:widowControl/>
              <w:suppressLineNumbers w:val="0"/>
              <w:kinsoku/>
              <w:wordWrap/>
              <w:overflowPunct/>
              <w:topLinePunct w:val="0"/>
              <w:bidi w:val="0"/>
              <w:snapToGrid w:val="0"/>
              <w:spacing w:line="240" w:lineRule="atLeast"/>
              <w:jc w:val="left"/>
              <w:textAlignment w:val="center"/>
              <w:rPr>
                <w:rFonts w:hint="default" w:ascii="仿宋_GB2312" w:hAnsi="仿宋_GB2312" w:eastAsia="仿宋_GB2312" w:cs="仿宋_GB2312"/>
                <w:i w:val="0"/>
                <w:iCs w:val="0"/>
                <w:color w:val="auto"/>
                <w:kern w:val="2"/>
                <w:sz w:val="21"/>
                <w:szCs w:val="21"/>
                <w:highlight w:val="none"/>
                <w:u w:val="none"/>
                <w:lang w:val="en-US" w:eastAsia="zh-CN" w:bidi="ar-SA"/>
              </w:rPr>
            </w:pPr>
            <w:r>
              <w:rPr>
                <w:rStyle w:val="74"/>
                <w:rFonts w:hint="eastAsia" w:ascii="仿宋_GB2312" w:hAnsi="仿宋_GB2312" w:eastAsia="仿宋_GB2312" w:cs="仿宋_GB2312"/>
                <w:color w:val="auto"/>
                <w:sz w:val="21"/>
                <w:szCs w:val="21"/>
                <w:highlight w:val="none"/>
                <w:lang w:val="en-US" w:eastAsia="zh-CN" w:bidi="ar"/>
              </w:rPr>
              <w:t>发行底层应收账款已灭失的保理证券化产品，</w:t>
            </w:r>
            <w:r>
              <w:rPr>
                <w:rStyle w:val="74"/>
                <w:rFonts w:ascii="仿宋_GB2312" w:hAnsi="仿宋_GB2312" w:eastAsia="仿宋_GB2312" w:cs="仿宋_GB2312"/>
                <w:color w:val="auto"/>
                <w:sz w:val="21"/>
                <w:szCs w:val="21"/>
                <w:highlight w:val="none"/>
                <w:lang w:val="en-US" w:eastAsia="zh-CN" w:bidi="ar"/>
              </w:rPr>
              <w:t>根据情节轻重扣</w:t>
            </w:r>
            <w:r>
              <w:rPr>
                <w:rStyle w:val="75"/>
                <w:rFonts w:hint="eastAsia" w:eastAsia="仿宋_GB2312" w:cs="仿宋_GB2312"/>
                <w:color w:val="auto"/>
                <w:sz w:val="21"/>
                <w:szCs w:val="21"/>
                <w:highlight w:val="none"/>
                <w:lang w:val="en-US" w:eastAsia="zh-CN" w:bidi="ar"/>
              </w:rPr>
              <w:t>30</w:t>
            </w:r>
            <w:r>
              <w:rPr>
                <w:rStyle w:val="74"/>
                <w:rFonts w:ascii="仿宋_GB2312" w:hAnsi="仿宋_GB2312" w:eastAsia="仿宋_GB2312" w:cs="仿宋_GB2312"/>
                <w:color w:val="auto"/>
                <w:sz w:val="21"/>
                <w:szCs w:val="21"/>
                <w:highlight w:val="none"/>
                <w:lang w:val="en-US" w:eastAsia="zh-CN" w:bidi="ar"/>
              </w:rPr>
              <w:t>～</w:t>
            </w:r>
            <w:r>
              <w:rPr>
                <w:rStyle w:val="75"/>
                <w:rFonts w:hint="eastAsia" w:eastAsia="仿宋_GB2312" w:cs="仿宋_GB2312"/>
                <w:color w:val="auto"/>
                <w:sz w:val="21"/>
                <w:szCs w:val="21"/>
                <w:highlight w:val="none"/>
                <w:lang w:val="en-US" w:eastAsia="zh-CN" w:bidi="ar"/>
              </w:rPr>
              <w:t>40</w:t>
            </w:r>
            <w:r>
              <w:rPr>
                <w:rStyle w:val="74"/>
                <w:rFonts w:ascii="仿宋_GB2312" w:hAnsi="仿宋_GB2312" w:eastAsia="仿宋_GB2312" w:cs="仿宋_GB2312"/>
                <w:color w:val="auto"/>
                <w:sz w:val="21"/>
                <w:szCs w:val="21"/>
                <w:highlight w:val="none"/>
                <w:lang w:val="en-US" w:eastAsia="zh-CN" w:bidi="ar"/>
              </w:rPr>
              <w:t>分。</w:t>
            </w:r>
          </w:p>
        </w:tc>
        <w:tc>
          <w:tcPr>
            <w:tcW w:w="705" w:type="dxa"/>
            <w:noWrap w:val="0"/>
            <w:vAlign w:val="top"/>
          </w:tcPr>
          <w:p w14:paraId="765CF55C">
            <w:pPr>
              <w:keepNext w:val="0"/>
              <w:keepLines w:val="0"/>
              <w:pageBreakBefore w:val="0"/>
              <w:kinsoku/>
              <w:overflowPunct/>
              <w:topLinePunct w:val="0"/>
              <w:bidi w:val="0"/>
              <w:snapToGrid w:val="0"/>
              <w:spacing w:line="240" w:lineRule="atLeas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7A83CF2D">
            <w:pPr>
              <w:keepNext w:val="0"/>
              <w:keepLines w:val="0"/>
              <w:pageBreakBefore w:val="0"/>
              <w:kinsoku/>
              <w:overflowPunct/>
              <w:topLinePunct w:val="0"/>
              <w:bidi w:val="0"/>
              <w:snapToGrid w:val="0"/>
              <w:spacing w:line="240" w:lineRule="atLeas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2B26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73" w:type="dxa"/>
            <w:gridSpan w:val="3"/>
            <w:vMerge w:val="continue"/>
            <w:noWrap w:val="0"/>
            <w:vAlign w:val="top"/>
          </w:tcPr>
          <w:p w14:paraId="58BB8BD7">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16DA0E43">
            <w:pPr>
              <w:keepNext w:val="0"/>
              <w:keepLines w:val="0"/>
              <w:pageBreakBefore w:val="0"/>
              <w:kinsoku/>
              <w:wordWrap/>
              <w:overflowPunct/>
              <w:topLinePunct w:val="0"/>
              <w:bidi w:val="0"/>
              <w:snapToGrid w:val="0"/>
              <w:spacing w:line="240" w:lineRule="atLeast"/>
              <w:rPr>
                <w:rFonts w:hint="default" w:ascii="仿宋_GB2312" w:hAnsi="仿宋_GB2312" w:eastAsia="仿宋_GB2312" w:cs="仿宋_GB2312"/>
                <w:i w:val="0"/>
                <w:iCs w:val="0"/>
                <w:color w:val="auto"/>
                <w:kern w:val="2"/>
                <w:sz w:val="21"/>
                <w:szCs w:val="21"/>
                <w:highlight w:val="none"/>
                <w:u w:val="none"/>
                <w:lang w:val="en-US" w:eastAsia="zh-CN" w:bidi="ar"/>
              </w:rPr>
            </w:pPr>
            <w:r>
              <w:rPr>
                <w:rStyle w:val="74"/>
                <w:rFonts w:hint="eastAsia" w:ascii="仿宋_GB2312" w:hAnsi="仿宋_GB2312" w:eastAsia="仿宋_GB2312" w:cs="仿宋_GB2312"/>
                <w:color w:val="auto"/>
                <w:sz w:val="21"/>
                <w:szCs w:val="21"/>
                <w:highlight w:val="none"/>
                <w:lang w:val="en-US" w:eastAsia="zh-CN" w:bidi="ar"/>
              </w:rPr>
              <w:t>开展再保理业务充当融资通道，</w:t>
            </w:r>
            <w:r>
              <w:rPr>
                <w:rStyle w:val="74"/>
                <w:rFonts w:ascii="仿宋_GB2312" w:hAnsi="仿宋_GB2312" w:eastAsia="仿宋_GB2312" w:cs="仿宋_GB2312"/>
                <w:color w:val="auto"/>
                <w:sz w:val="21"/>
                <w:szCs w:val="21"/>
                <w:highlight w:val="none"/>
                <w:lang w:val="en-US" w:eastAsia="zh-CN" w:bidi="ar"/>
              </w:rPr>
              <w:t>根据情节轻重扣</w:t>
            </w:r>
            <w:r>
              <w:rPr>
                <w:rStyle w:val="75"/>
                <w:rFonts w:hint="eastAsia" w:eastAsia="仿宋_GB2312" w:cs="仿宋_GB2312"/>
                <w:color w:val="auto"/>
                <w:sz w:val="21"/>
                <w:szCs w:val="21"/>
                <w:highlight w:val="none"/>
                <w:lang w:val="en-US" w:eastAsia="zh-CN" w:bidi="ar"/>
              </w:rPr>
              <w:t>30</w:t>
            </w:r>
            <w:r>
              <w:rPr>
                <w:rStyle w:val="74"/>
                <w:rFonts w:ascii="仿宋_GB2312" w:hAnsi="仿宋_GB2312" w:eastAsia="仿宋_GB2312" w:cs="仿宋_GB2312"/>
                <w:color w:val="auto"/>
                <w:sz w:val="21"/>
                <w:szCs w:val="21"/>
                <w:highlight w:val="none"/>
                <w:lang w:val="en-US" w:eastAsia="zh-CN" w:bidi="ar"/>
              </w:rPr>
              <w:t>～</w:t>
            </w:r>
            <w:r>
              <w:rPr>
                <w:rStyle w:val="75"/>
                <w:rFonts w:hint="eastAsia" w:eastAsia="仿宋_GB2312" w:cs="仿宋_GB2312"/>
                <w:color w:val="auto"/>
                <w:sz w:val="21"/>
                <w:szCs w:val="21"/>
                <w:highlight w:val="none"/>
                <w:lang w:val="en-US" w:eastAsia="zh-CN" w:bidi="ar"/>
              </w:rPr>
              <w:t>40</w:t>
            </w:r>
            <w:r>
              <w:rPr>
                <w:rStyle w:val="74"/>
                <w:rFonts w:ascii="仿宋_GB2312" w:hAnsi="仿宋_GB2312" w:eastAsia="仿宋_GB2312" w:cs="仿宋_GB2312"/>
                <w:color w:val="auto"/>
                <w:sz w:val="21"/>
                <w:szCs w:val="21"/>
                <w:highlight w:val="none"/>
                <w:lang w:val="en-US" w:eastAsia="zh-CN" w:bidi="ar"/>
              </w:rPr>
              <w:t>分。</w:t>
            </w:r>
          </w:p>
        </w:tc>
        <w:tc>
          <w:tcPr>
            <w:tcW w:w="705" w:type="dxa"/>
            <w:noWrap w:val="0"/>
            <w:vAlign w:val="top"/>
          </w:tcPr>
          <w:p w14:paraId="1427FD98">
            <w:pPr>
              <w:keepNext w:val="0"/>
              <w:keepLines w:val="0"/>
              <w:pageBreakBefore w:val="0"/>
              <w:kinsoku/>
              <w:overflowPunct/>
              <w:topLinePunct w:val="0"/>
              <w:bidi w:val="0"/>
              <w:snapToGrid w:val="0"/>
              <w:spacing w:line="240" w:lineRule="atLeas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6FE5A795">
            <w:pPr>
              <w:keepNext w:val="0"/>
              <w:keepLines w:val="0"/>
              <w:pageBreakBefore w:val="0"/>
              <w:kinsoku/>
              <w:overflowPunct/>
              <w:topLinePunct w:val="0"/>
              <w:bidi w:val="0"/>
              <w:snapToGrid w:val="0"/>
              <w:spacing w:line="240" w:lineRule="atLeas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5605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73" w:type="dxa"/>
            <w:gridSpan w:val="3"/>
            <w:vMerge w:val="continue"/>
            <w:noWrap w:val="0"/>
            <w:vAlign w:val="top"/>
          </w:tcPr>
          <w:p w14:paraId="61A9240C">
            <w:pPr>
              <w:keepNext w:val="0"/>
              <w:keepLines w:val="0"/>
              <w:pageBreakBefore w:val="0"/>
              <w:kinsoku/>
              <w:overflowPunct/>
              <w:topLinePunct w:val="0"/>
              <w:bidi w:val="0"/>
              <w:snapToGrid w:val="0"/>
              <w:ind w:left="0" w:leftChars="0" w:right="0" w:rightChars="0"/>
              <w:jc w:val="center"/>
              <w:textAlignment w:val="auto"/>
              <w:outlineLvl w:val="9"/>
              <w:rPr>
                <w:rFonts w:hint="default" w:ascii="Times New Roman" w:hAnsi="Times New Roman" w:eastAsia="宋体" w:cs="Times New Roman"/>
                <w:b/>
                <w:bCs/>
                <w:color w:val="auto"/>
                <w:sz w:val="24"/>
                <w:szCs w:val="24"/>
                <w:highlight w:val="none"/>
              </w:rPr>
            </w:pPr>
          </w:p>
        </w:tc>
        <w:tc>
          <w:tcPr>
            <w:tcW w:w="8992" w:type="dxa"/>
            <w:noWrap w:val="0"/>
            <w:vAlign w:val="center"/>
          </w:tcPr>
          <w:p w14:paraId="1B02BE4F">
            <w:pPr>
              <w:keepNext w:val="0"/>
              <w:keepLines w:val="0"/>
              <w:pageBreakBefore w:val="0"/>
              <w:widowControl/>
              <w:suppressLineNumbers w:val="0"/>
              <w:kinsoku/>
              <w:wordWrap/>
              <w:overflowPunct/>
              <w:topLinePunct w:val="0"/>
              <w:bidi w:val="0"/>
              <w:snapToGrid w:val="0"/>
              <w:spacing w:line="240" w:lineRule="atLeast"/>
              <w:jc w:val="left"/>
              <w:textAlignment w:val="center"/>
              <w:rPr>
                <w:rFonts w:hint="default" w:ascii="仿宋_GB2312" w:hAnsi="仿宋_GB2312" w:eastAsia="仿宋_GB2312" w:cs="仿宋_GB2312"/>
                <w:i w:val="0"/>
                <w:iCs w:val="0"/>
                <w:color w:val="auto"/>
                <w:kern w:val="2"/>
                <w:sz w:val="21"/>
                <w:szCs w:val="21"/>
                <w:highlight w:val="none"/>
                <w:u w:val="none"/>
                <w:lang w:val="en-US" w:eastAsia="zh-CN" w:bidi="ar-SA"/>
              </w:rPr>
            </w:pPr>
            <w:r>
              <w:rPr>
                <w:rStyle w:val="74"/>
                <w:rFonts w:ascii="仿宋_GB2312" w:hAnsi="仿宋_GB2312" w:eastAsia="仿宋_GB2312" w:cs="仿宋_GB2312"/>
                <w:color w:val="auto"/>
                <w:sz w:val="21"/>
                <w:szCs w:val="21"/>
                <w:highlight w:val="none"/>
                <w:lang w:val="en-US" w:eastAsia="zh-CN" w:bidi="ar"/>
              </w:rPr>
              <w:t>发生群体性事件或重大安全责任事故的，根据情节轻重扣</w:t>
            </w:r>
            <w:r>
              <w:rPr>
                <w:rStyle w:val="75"/>
                <w:rFonts w:hint="eastAsia" w:ascii="Times New Roman" w:hAnsi="Times New Roman" w:eastAsia="仿宋_GB2312" w:cs="仿宋_GB2312"/>
                <w:color w:val="auto"/>
                <w:sz w:val="21"/>
                <w:szCs w:val="21"/>
                <w:highlight w:val="none"/>
                <w:lang w:val="en-US" w:eastAsia="zh-CN" w:bidi="ar"/>
              </w:rPr>
              <w:t>40</w:t>
            </w:r>
            <w:r>
              <w:rPr>
                <w:rStyle w:val="74"/>
                <w:rFonts w:ascii="仿宋_GB2312" w:hAnsi="仿宋_GB2312" w:eastAsia="仿宋_GB2312" w:cs="仿宋_GB2312"/>
                <w:color w:val="auto"/>
                <w:sz w:val="21"/>
                <w:szCs w:val="21"/>
                <w:highlight w:val="none"/>
                <w:lang w:val="en-US" w:eastAsia="zh-CN" w:bidi="ar"/>
              </w:rPr>
              <w:t>～</w:t>
            </w:r>
            <w:r>
              <w:rPr>
                <w:rStyle w:val="75"/>
                <w:rFonts w:hint="eastAsia" w:ascii="Times New Roman" w:hAnsi="Times New Roman" w:eastAsia="仿宋_GB2312" w:cs="仿宋_GB2312"/>
                <w:color w:val="auto"/>
                <w:sz w:val="21"/>
                <w:szCs w:val="21"/>
                <w:highlight w:val="none"/>
                <w:lang w:val="en-US" w:eastAsia="zh-CN" w:bidi="ar"/>
              </w:rPr>
              <w:t>50</w:t>
            </w:r>
            <w:r>
              <w:rPr>
                <w:rStyle w:val="74"/>
                <w:rFonts w:ascii="仿宋_GB2312" w:hAnsi="仿宋_GB2312" w:eastAsia="仿宋_GB2312" w:cs="仿宋_GB2312"/>
                <w:color w:val="auto"/>
                <w:sz w:val="21"/>
                <w:szCs w:val="21"/>
                <w:highlight w:val="none"/>
                <w:lang w:val="en-US" w:eastAsia="zh-CN" w:bidi="ar"/>
              </w:rPr>
              <w:t>分。</w:t>
            </w:r>
          </w:p>
        </w:tc>
        <w:tc>
          <w:tcPr>
            <w:tcW w:w="705" w:type="dxa"/>
            <w:noWrap w:val="0"/>
            <w:vAlign w:val="top"/>
          </w:tcPr>
          <w:p w14:paraId="577D59B1">
            <w:pPr>
              <w:keepNext w:val="0"/>
              <w:keepLines w:val="0"/>
              <w:pageBreakBefore w:val="0"/>
              <w:kinsoku/>
              <w:overflowPunct/>
              <w:topLinePunct w:val="0"/>
              <w:bidi w:val="0"/>
              <w:snapToGrid w:val="0"/>
              <w:spacing w:line="240" w:lineRule="atLeas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78CBFB94">
            <w:pPr>
              <w:keepNext w:val="0"/>
              <w:keepLines w:val="0"/>
              <w:pageBreakBefore w:val="0"/>
              <w:kinsoku/>
              <w:overflowPunct/>
              <w:topLinePunct w:val="0"/>
              <w:bidi w:val="0"/>
              <w:snapToGrid w:val="0"/>
              <w:spacing w:line="240" w:lineRule="atLeast"/>
              <w:ind w:left="0" w:leftChars="0" w:right="0" w:rightChars="0"/>
              <w:textAlignment w:val="auto"/>
              <w:outlineLvl w:val="9"/>
              <w:rPr>
                <w:rFonts w:hint="default" w:ascii="Times New Roman" w:hAnsi="Times New Roman" w:eastAsia="方正仿宋_GBK" w:cs="Times New Roman"/>
                <w:color w:val="auto"/>
                <w:szCs w:val="32"/>
                <w:highlight w:val="none"/>
              </w:rPr>
            </w:pPr>
          </w:p>
        </w:tc>
      </w:tr>
      <w:tr w14:paraId="644B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173" w:type="dxa"/>
            <w:gridSpan w:val="3"/>
            <w:noWrap w:val="0"/>
            <w:vAlign w:val="center"/>
          </w:tcPr>
          <w:p w14:paraId="15B7509B">
            <w:pPr>
              <w:keepNext w:val="0"/>
              <w:keepLines w:val="0"/>
              <w:pageBreakBefore w:val="0"/>
              <w:kinsoku/>
              <w:overflowPunct/>
              <w:topLinePunct w:val="0"/>
              <w:bidi w:val="0"/>
              <w:snapToGrid w:val="0"/>
              <w:spacing w:line="400" w:lineRule="exact"/>
              <w:ind w:left="0" w:leftChars="0" w:right="0" w:rightChars="0"/>
              <w:jc w:val="center"/>
              <w:textAlignment w:val="auto"/>
              <w:outlineLvl w:val="9"/>
              <w:rPr>
                <w:rFonts w:hint="default" w:ascii="Times New Roman" w:hAnsi="Times New Roman" w:eastAsia="仿宋" w:cs="Times New Roman"/>
                <w:b/>
                <w:bCs/>
                <w:color w:val="auto"/>
                <w:sz w:val="28"/>
                <w:szCs w:val="28"/>
                <w:highlight w:val="none"/>
                <w:lang w:eastAsia="zh-CN"/>
              </w:rPr>
            </w:pPr>
            <w:r>
              <w:rPr>
                <w:rFonts w:hint="default" w:ascii="Times New Roman" w:hAnsi="Times New Roman" w:eastAsia="仿宋" w:cs="Times New Roman"/>
                <w:b/>
                <w:bCs/>
                <w:color w:val="auto"/>
                <w:sz w:val="28"/>
                <w:szCs w:val="28"/>
                <w:highlight w:val="none"/>
                <w:lang w:eastAsia="zh-CN"/>
              </w:rPr>
              <w:t>合计</w:t>
            </w:r>
          </w:p>
        </w:tc>
        <w:tc>
          <w:tcPr>
            <w:tcW w:w="8992" w:type="dxa"/>
            <w:noWrap w:val="0"/>
            <w:vAlign w:val="center"/>
          </w:tcPr>
          <w:p w14:paraId="3D353B1E">
            <w:pPr>
              <w:rPr>
                <w:rFonts w:hint="default" w:ascii="Times New Roman" w:hAnsi="Times New Roman" w:eastAsia="仿宋_GB2312" w:cs="Times New Roman"/>
                <w:color w:val="auto"/>
                <w:kern w:val="2"/>
                <w:sz w:val="32"/>
                <w:szCs w:val="24"/>
                <w:highlight w:val="none"/>
                <w:lang w:val="en-US" w:eastAsia="zh-CN" w:bidi="ar-SA"/>
              </w:rPr>
            </w:pPr>
          </w:p>
        </w:tc>
        <w:tc>
          <w:tcPr>
            <w:tcW w:w="705" w:type="dxa"/>
            <w:noWrap w:val="0"/>
            <w:vAlign w:val="top"/>
          </w:tcPr>
          <w:p w14:paraId="4FD20C9A">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c>
          <w:tcPr>
            <w:tcW w:w="680" w:type="dxa"/>
            <w:noWrap w:val="0"/>
            <w:vAlign w:val="top"/>
          </w:tcPr>
          <w:p w14:paraId="7D6D79F3">
            <w:pPr>
              <w:keepNext w:val="0"/>
              <w:keepLines w:val="0"/>
              <w:pageBreakBefore w:val="0"/>
              <w:kinsoku/>
              <w:overflowPunct/>
              <w:topLinePunct w:val="0"/>
              <w:bidi w:val="0"/>
              <w:snapToGrid w:val="0"/>
              <w:spacing w:line="540" w:lineRule="exact"/>
              <w:ind w:left="0" w:leftChars="0" w:right="0" w:rightChars="0"/>
              <w:textAlignment w:val="auto"/>
              <w:outlineLvl w:val="9"/>
              <w:rPr>
                <w:rFonts w:hint="default" w:ascii="Times New Roman" w:hAnsi="Times New Roman" w:eastAsia="方正仿宋_GBK" w:cs="Times New Roman"/>
                <w:color w:val="auto"/>
                <w:szCs w:val="32"/>
                <w:highlight w:val="none"/>
              </w:rPr>
            </w:pPr>
          </w:p>
        </w:tc>
      </w:tr>
    </w:tbl>
    <w:p w14:paraId="02363E3E">
      <w:pPr>
        <w:pStyle w:val="2"/>
        <w:rPr>
          <w:rFonts w:hint="default" w:ascii="Times New Roman" w:hAnsi="Times New Roman" w:cs="Times New Roman"/>
          <w:color w:val="auto"/>
          <w:highlight w:val="none"/>
          <w:lang w:val="en-US" w:eastAsia="zh-CN"/>
        </w:rPr>
      </w:pPr>
    </w:p>
    <w:p w14:paraId="1AF6C186">
      <w:pPr>
        <w:pStyle w:val="2"/>
        <w:rPr>
          <w:rFonts w:hint="eastAsia" w:ascii="黑体" w:hAnsi="黑体" w:eastAsia="黑体" w:cs="黑体"/>
          <w:color w:val="auto"/>
          <w:sz w:val="32"/>
          <w:szCs w:val="32"/>
          <w:highlight w:val="none"/>
        </w:rPr>
        <w:sectPr>
          <w:pgSz w:w="16838" w:h="11906" w:orient="landscape"/>
          <w:pgMar w:top="1797" w:right="1440" w:bottom="1797" w:left="1440" w:header="851" w:footer="992" w:gutter="0"/>
          <w:pgNumType w:start="1"/>
          <w:cols w:space="720" w:num="1"/>
        </w:sectPr>
      </w:pPr>
    </w:p>
    <w:p w14:paraId="5D03C73E">
      <w:pPr>
        <w:pStyle w:val="2"/>
        <w:rPr>
          <w:rFonts w:hint="default"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eastAsia="zh-CN"/>
        </w:rPr>
        <w:t>附件</w:t>
      </w:r>
      <w:r>
        <w:rPr>
          <w:rFonts w:hint="eastAsia" w:ascii="方正黑体_GBK" w:hAnsi="方正黑体_GBK" w:eastAsia="方正黑体_GBK" w:cs="方正黑体_GBK"/>
          <w:color w:val="auto"/>
          <w:sz w:val="32"/>
          <w:szCs w:val="32"/>
          <w:highlight w:val="none"/>
          <w:lang w:val="en-US" w:eastAsia="zh-CN"/>
        </w:rPr>
        <w:t>7</w:t>
      </w:r>
    </w:p>
    <w:p w14:paraId="56A77C9E">
      <w:pPr>
        <w:pStyle w:val="2"/>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现场检查交易场所名单</w:t>
      </w:r>
    </w:p>
    <w:p w14:paraId="1228BA6F">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color w:val="auto"/>
          <w:sz w:val="32"/>
          <w:szCs w:val="32"/>
          <w:highlight w:val="none"/>
          <w:lang w:val="en-US" w:eastAsia="zh-CN"/>
        </w:rPr>
      </w:pPr>
    </w:p>
    <w:p w14:paraId="78123BFC">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1.北部湾产权交易所集团股份有限公司（南宁市，权益类交易场所</w:t>
      </w:r>
    </w:p>
    <w:p w14:paraId="773E096B">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2.广西北部湾大数据交易中心有限公司（南宁市，权益类交易场所）</w:t>
      </w:r>
    </w:p>
    <w:p w14:paraId="01BC8E29">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3.广西林权交易中心股份有限公司（南宁市，权益类交易场所）</w:t>
      </w:r>
    </w:p>
    <w:p w14:paraId="29A7AC79">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4.广西大宗茧丝国际交易中心有限公司（南宁市，商品类交易场所）</w:t>
      </w:r>
    </w:p>
    <w:p w14:paraId="3D9793B2">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5.广西联合产权交易所有限责任公司（南宁市，权益类交易场所）</w:t>
      </w:r>
    </w:p>
    <w:p w14:paraId="07C8AB12">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6.广西再生资源交易中心有限责任公司（南宁市，商品类交易场所）</w:t>
      </w:r>
    </w:p>
    <w:p w14:paraId="373F61BE">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7.广西八桂食品交易中心有限公司（南宁市，商品类交易场所</w:t>
      </w:r>
      <w:r>
        <w:rPr>
          <w:rFonts w:hint="eastAsia" w:ascii="Times New Roman" w:eastAsia="仿宋_GB2312" w:cs="Times New Roman"/>
          <w:color w:val="auto"/>
          <w:sz w:val="32"/>
          <w:szCs w:val="32"/>
          <w:highlight w:val="none"/>
          <w:lang w:val="en-US" w:eastAsia="zh-CN"/>
        </w:rPr>
        <w:t>）</w:t>
      </w:r>
    </w:p>
    <w:p w14:paraId="7CE7F10F">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8.广西华南技术交易所有限公司（南宁市，权益类交易场所</w:t>
      </w:r>
      <w:r>
        <w:rPr>
          <w:rFonts w:hint="eastAsia" w:ascii="Times New Roman" w:eastAsia="仿宋_GB2312" w:cs="Times New Roman"/>
          <w:color w:val="auto"/>
          <w:sz w:val="32"/>
          <w:szCs w:val="32"/>
          <w:highlight w:val="none"/>
          <w:lang w:val="en-US" w:eastAsia="zh-CN"/>
        </w:rPr>
        <w:t>）</w:t>
      </w:r>
    </w:p>
    <w:p w14:paraId="109BA4D5">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.广西糖网食糖批发市场有限责任公司（柳州市，商品类交易场所）</w:t>
      </w:r>
    </w:p>
    <w:p w14:paraId="388653C8">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val="en-US" w:eastAsia="zh-CN"/>
        </w:rPr>
        <w:t>.广西香料中药材国际交易中心有限公司（玉林市，商品类交易场所）</w:t>
      </w:r>
    </w:p>
    <w:p w14:paraId="7EC7D40E">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.广西粤桂国际茶业交易中心有限责任公司（梧州市，商品类交易场所）</w:t>
      </w:r>
    </w:p>
    <w:p w14:paraId="0E2D6631">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.广西铝产品仓储交易中心有限公司（百色市，商品类交易场所）</w:t>
      </w:r>
    </w:p>
    <w:p w14:paraId="57C942B7">
      <w:pPr>
        <w:rPr>
          <w:rFonts w:hint="eastAsia" w:ascii="黑体" w:hAnsi="黑体" w:eastAsia="黑体" w:cs="黑体"/>
          <w:color w:val="auto"/>
          <w:sz w:val="32"/>
          <w:szCs w:val="32"/>
          <w:highlight w:val="none"/>
        </w:rPr>
        <w:sectPr>
          <w:pgSz w:w="11906" w:h="16838"/>
          <w:pgMar w:top="1440" w:right="1797" w:bottom="1440" w:left="1797" w:header="851" w:footer="992" w:gutter="0"/>
          <w:cols w:space="720" w:num="1"/>
        </w:sectPr>
      </w:pPr>
    </w:p>
    <w:p w14:paraId="19E7E8BF">
      <w:pPr>
        <w:jc w:val="lef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eastAsia="zh-CN"/>
        </w:rPr>
        <w:t>附件</w:t>
      </w:r>
      <w:r>
        <w:rPr>
          <w:rFonts w:hint="eastAsia" w:eastAsia="黑体" w:cs="Times New Roman"/>
          <w:color w:val="auto"/>
          <w:sz w:val="32"/>
          <w:szCs w:val="32"/>
          <w:highlight w:val="none"/>
          <w:lang w:val="en-US" w:eastAsia="zh-CN"/>
        </w:rPr>
        <w:t>8</w:t>
      </w:r>
    </w:p>
    <w:p w14:paraId="3A7DF5F9">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商品类交易场所重点检查项目清单</w:t>
      </w:r>
    </w:p>
    <w:p w14:paraId="10D0C24A">
      <w:pPr>
        <w:pStyle w:val="2"/>
        <w:rPr>
          <w:rFonts w:hint="default"/>
          <w:color w:val="auto"/>
          <w:highlight w:val="none"/>
          <w:lang w:eastAsia="zh-CN"/>
        </w:rPr>
      </w:pPr>
    </w:p>
    <w:tbl>
      <w:tblPr>
        <w:tblStyle w:val="25"/>
        <w:tblW w:w="13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5"/>
        <w:gridCol w:w="5145"/>
        <w:gridCol w:w="5370"/>
      </w:tblGrid>
      <w:tr w14:paraId="0E23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255" w:type="dxa"/>
            <w:noWrap w:val="0"/>
            <w:vAlign w:val="center"/>
          </w:tcPr>
          <w:p w14:paraId="04BAEBB7">
            <w:pPr>
              <w:spacing w:line="560" w:lineRule="exact"/>
              <w:jc w:val="center"/>
              <w:rPr>
                <w:rFonts w:hint="default" w:ascii="Times New Roman" w:hAnsi="Times New Roman" w:cs="Times New Roman"/>
                <w:b/>
                <w:bCs/>
                <w:color w:val="auto"/>
                <w:sz w:val="32"/>
                <w:szCs w:val="32"/>
                <w:highlight w:val="none"/>
                <w:vertAlign w:val="baseline"/>
              </w:rPr>
            </w:pPr>
            <w:r>
              <w:rPr>
                <w:rFonts w:hint="default" w:ascii="Times New Roman" w:hAnsi="Times New Roman" w:eastAsia="黑体" w:cs="Times New Roman"/>
                <w:b/>
                <w:bCs/>
                <w:color w:val="auto"/>
                <w:sz w:val="32"/>
                <w:szCs w:val="32"/>
                <w:highlight w:val="none"/>
              </w:rPr>
              <w:t>检查内容</w:t>
            </w:r>
          </w:p>
        </w:tc>
        <w:tc>
          <w:tcPr>
            <w:tcW w:w="5145" w:type="dxa"/>
            <w:noWrap w:val="0"/>
            <w:vAlign w:val="center"/>
          </w:tcPr>
          <w:p w14:paraId="09207785">
            <w:pPr>
              <w:spacing w:line="560" w:lineRule="exact"/>
              <w:jc w:val="center"/>
              <w:rPr>
                <w:rFonts w:hint="default" w:ascii="Times New Roman" w:hAnsi="Times New Roman" w:cs="Times New Roman"/>
                <w:b/>
                <w:bCs/>
                <w:color w:val="auto"/>
                <w:sz w:val="32"/>
                <w:szCs w:val="32"/>
                <w:highlight w:val="none"/>
                <w:vertAlign w:val="baseline"/>
              </w:rPr>
            </w:pPr>
            <w:r>
              <w:rPr>
                <w:rFonts w:hint="default" w:ascii="Times New Roman" w:hAnsi="Times New Roman" w:eastAsia="黑体" w:cs="Times New Roman"/>
                <w:b/>
                <w:bCs/>
                <w:color w:val="auto"/>
                <w:sz w:val="32"/>
                <w:szCs w:val="32"/>
                <w:highlight w:val="none"/>
              </w:rPr>
              <w:t>检查项目</w:t>
            </w:r>
          </w:p>
        </w:tc>
        <w:tc>
          <w:tcPr>
            <w:tcW w:w="5370" w:type="dxa"/>
            <w:noWrap w:val="0"/>
            <w:vAlign w:val="center"/>
          </w:tcPr>
          <w:p w14:paraId="662E7D45">
            <w:pPr>
              <w:spacing w:line="560" w:lineRule="exact"/>
              <w:jc w:val="center"/>
              <w:rPr>
                <w:rFonts w:hint="default" w:ascii="Times New Roman" w:hAnsi="Times New Roman" w:eastAsia="黑体" w:cs="Times New Roman"/>
                <w:b/>
                <w:bCs/>
                <w:color w:val="auto"/>
                <w:sz w:val="32"/>
                <w:szCs w:val="32"/>
                <w:highlight w:val="none"/>
                <w:vertAlign w:val="baseline"/>
                <w:lang w:eastAsia="zh-CN"/>
              </w:rPr>
            </w:pPr>
            <w:r>
              <w:rPr>
                <w:rFonts w:hint="default" w:ascii="Times New Roman" w:hAnsi="Times New Roman" w:eastAsia="黑体" w:cs="Times New Roman"/>
                <w:b/>
                <w:bCs/>
                <w:color w:val="auto"/>
                <w:sz w:val="32"/>
                <w:szCs w:val="32"/>
                <w:highlight w:val="none"/>
              </w:rPr>
              <w:t>检查方法</w:t>
            </w:r>
            <w:r>
              <w:rPr>
                <w:rFonts w:hint="default" w:ascii="Times New Roman" w:hAnsi="Times New Roman" w:eastAsia="黑体" w:cs="Times New Roman"/>
                <w:b/>
                <w:bCs/>
                <w:color w:val="auto"/>
                <w:sz w:val="32"/>
                <w:szCs w:val="32"/>
                <w:highlight w:val="none"/>
                <w:lang w:eastAsia="zh-CN"/>
              </w:rPr>
              <w:t>（供参考）</w:t>
            </w:r>
          </w:p>
        </w:tc>
      </w:tr>
      <w:tr w14:paraId="7BC8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255" w:type="dxa"/>
            <w:vMerge w:val="restart"/>
            <w:noWrap w:val="0"/>
            <w:vAlign w:val="center"/>
          </w:tcPr>
          <w:p w14:paraId="1E732D67">
            <w:pPr>
              <w:snapToGrid w:val="0"/>
              <w:spacing w:line="560" w:lineRule="exact"/>
              <w:rPr>
                <w:rFonts w:hint="default" w:ascii="Times New Roman" w:hAnsi="Times New Roman" w:eastAsia="仿宋_GB2312" w:cs="Times New Roman"/>
                <w:color w:val="auto"/>
                <w:sz w:val="32"/>
                <w:szCs w:val="32"/>
                <w:highlight w:val="none"/>
                <w:vertAlign w:val="baseline"/>
                <w:lang w:eastAsia="zh-CN"/>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eastAsia="zh-CN"/>
              </w:rPr>
              <w:t>证照</w:t>
            </w:r>
          </w:p>
        </w:tc>
        <w:tc>
          <w:tcPr>
            <w:tcW w:w="5145" w:type="dxa"/>
            <w:noWrap w:val="0"/>
            <w:vAlign w:val="center"/>
          </w:tcPr>
          <w:p w14:paraId="48428787">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1.营业执照和</w:t>
            </w:r>
            <w:r>
              <w:rPr>
                <w:rFonts w:hint="default" w:ascii="Times New Roman" w:hAnsi="Times New Roman" w:eastAsia="仿宋_GB2312" w:cs="Times New Roman"/>
                <w:color w:val="auto"/>
                <w:sz w:val="32"/>
                <w:szCs w:val="32"/>
                <w:highlight w:val="none"/>
                <w:lang w:eastAsia="zh-CN"/>
              </w:rPr>
              <w:t>交易品种</w:t>
            </w:r>
            <w:r>
              <w:rPr>
                <w:rFonts w:hint="default" w:ascii="Times New Roman" w:hAnsi="Times New Roman" w:eastAsia="仿宋_GB2312" w:cs="Times New Roman"/>
                <w:color w:val="auto"/>
                <w:sz w:val="32"/>
                <w:szCs w:val="32"/>
                <w:highlight w:val="none"/>
              </w:rPr>
              <w:t>经营</w:t>
            </w:r>
            <w:r>
              <w:rPr>
                <w:rFonts w:hint="default" w:ascii="Times New Roman" w:hAnsi="Times New Roman" w:eastAsia="仿宋_GB2312" w:cs="Times New Roman"/>
                <w:color w:val="auto"/>
                <w:sz w:val="32"/>
                <w:szCs w:val="32"/>
                <w:highlight w:val="none"/>
                <w:lang w:eastAsia="zh-CN"/>
              </w:rPr>
              <w:t>资质</w:t>
            </w:r>
            <w:r>
              <w:rPr>
                <w:rFonts w:hint="default" w:ascii="Times New Roman" w:hAnsi="Times New Roman" w:eastAsia="仿宋_GB2312" w:cs="Times New Roman"/>
                <w:color w:val="auto"/>
                <w:sz w:val="32"/>
                <w:szCs w:val="32"/>
                <w:highlight w:val="none"/>
              </w:rPr>
              <w:t>是否齐全。</w:t>
            </w:r>
          </w:p>
        </w:tc>
        <w:tc>
          <w:tcPr>
            <w:tcW w:w="5370" w:type="dxa"/>
            <w:noWrap w:val="0"/>
            <w:vAlign w:val="center"/>
          </w:tcPr>
          <w:p w14:paraId="602BE630">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查阅营业执照、</w:t>
            </w:r>
            <w:r>
              <w:rPr>
                <w:rFonts w:hint="default" w:ascii="Times New Roman" w:hAnsi="Times New Roman" w:eastAsia="仿宋_GB2312" w:cs="Times New Roman"/>
                <w:color w:val="auto"/>
                <w:sz w:val="32"/>
                <w:szCs w:val="32"/>
                <w:highlight w:val="none"/>
                <w:lang w:eastAsia="zh-CN"/>
              </w:rPr>
              <w:t>经营资质材料</w:t>
            </w:r>
            <w:r>
              <w:rPr>
                <w:rFonts w:hint="default" w:ascii="Times New Roman" w:hAnsi="Times New Roman" w:eastAsia="仿宋_GB2312" w:cs="Times New Roman"/>
                <w:color w:val="auto"/>
                <w:sz w:val="32"/>
                <w:szCs w:val="32"/>
                <w:highlight w:val="none"/>
              </w:rPr>
              <w:t>。</w:t>
            </w:r>
          </w:p>
        </w:tc>
      </w:tr>
      <w:tr w14:paraId="63C9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255" w:type="dxa"/>
            <w:vMerge w:val="continue"/>
            <w:noWrap w:val="0"/>
            <w:vAlign w:val="center"/>
          </w:tcPr>
          <w:p w14:paraId="650C11D7">
            <w:pPr>
              <w:snapToGrid w:val="0"/>
              <w:spacing w:line="560" w:lineRule="exact"/>
              <w:rPr>
                <w:rFonts w:hint="default" w:ascii="Times New Roman" w:hAnsi="Times New Roman" w:eastAsia="仿宋_GB2312" w:cs="Times New Roman"/>
                <w:color w:val="auto"/>
                <w:sz w:val="32"/>
                <w:szCs w:val="32"/>
                <w:highlight w:val="none"/>
                <w:vertAlign w:val="baseline"/>
              </w:rPr>
            </w:pPr>
          </w:p>
        </w:tc>
        <w:tc>
          <w:tcPr>
            <w:tcW w:w="5145" w:type="dxa"/>
            <w:noWrap w:val="0"/>
            <w:vAlign w:val="center"/>
          </w:tcPr>
          <w:p w14:paraId="2B6F6261">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lang w:val="en-US" w:eastAsia="zh-CN"/>
              </w:rPr>
              <w:t>2.注册资本、控股股东、高管履历是否符合相关规定要求。</w:t>
            </w:r>
          </w:p>
        </w:tc>
        <w:tc>
          <w:tcPr>
            <w:tcW w:w="5370" w:type="dxa"/>
            <w:noWrap w:val="0"/>
            <w:vAlign w:val="center"/>
          </w:tcPr>
          <w:p w14:paraId="668EBF6D">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lang w:eastAsia="zh-CN"/>
              </w:rPr>
              <w:t>查阅营业执照，公司章程，股东大会、董事会人事任免材料等。</w:t>
            </w:r>
          </w:p>
        </w:tc>
      </w:tr>
      <w:tr w14:paraId="6979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3255" w:type="dxa"/>
            <w:vMerge w:val="restart"/>
            <w:noWrap w:val="0"/>
            <w:vAlign w:val="center"/>
          </w:tcPr>
          <w:p w14:paraId="1130056F">
            <w:pPr>
              <w:snapToGrid w:val="0"/>
              <w:spacing w:line="560" w:lineRule="exact"/>
              <w:rPr>
                <w:rFonts w:hint="default" w:ascii="Times New Roman" w:hAnsi="Times New Roman" w:eastAsia="仿宋_GB2312" w:cs="Times New Roman"/>
                <w:color w:val="auto"/>
                <w:sz w:val="32"/>
                <w:szCs w:val="32"/>
                <w:highlight w:val="none"/>
                <w:vertAlign w:val="baseline"/>
                <w:lang w:eastAsia="zh-CN"/>
              </w:rPr>
            </w:pPr>
            <w:r>
              <w:rPr>
                <w:rFonts w:hint="default" w:ascii="Times New Roman" w:hAnsi="Times New Roman" w:eastAsia="仿宋_GB2312" w:cs="Times New Roman"/>
                <w:color w:val="auto"/>
                <w:sz w:val="32"/>
                <w:szCs w:val="32"/>
                <w:highlight w:val="none"/>
                <w:lang w:eastAsia="zh-CN"/>
              </w:rPr>
              <w:t>二、财务及资金托管状况</w:t>
            </w:r>
          </w:p>
        </w:tc>
        <w:tc>
          <w:tcPr>
            <w:tcW w:w="5145" w:type="dxa"/>
            <w:noWrap w:val="0"/>
            <w:vAlign w:val="center"/>
          </w:tcPr>
          <w:p w14:paraId="52E72446">
            <w:pPr>
              <w:snapToGrid w:val="0"/>
              <w:spacing w:line="560" w:lineRule="exact"/>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1.公司资产、负债、所有者权益、实收资本、资本公积、盈余公积、未分配利润等指标。</w:t>
            </w:r>
          </w:p>
        </w:tc>
        <w:tc>
          <w:tcPr>
            <w:tcW w:w="5370" w:type="dxa"/>
            <w:noWrap w:val="0"/>
            <w:vAlign w:val="center"/>
          </w:tcPr>
          <w:p w14:paraId="2F8F2955">
            <w:pPr>
              <w:snapToGrid w:val="0"/>
              <w:spacing w:line="560" w:lineRule="exact"/>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查阅财务报表、审计报告等材料。</w:t>
            </w:r>
          </w:p>
        </w:tc>
      </w:tr>
      <w:tr w14:paraId="650D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3255" w:type="dxa"/>
            <w:vMerge w:val="continue"/>
            <w:noWrap w:val="0"/>
            <w:vAlign w:val="center"/>
          </w:tcPr>
          <w:p w14:paraId="0E669868">
            <w:pPr>
              <w:snapToGrid w:val="0"/>
              <w:spacing w:line="560" w:lineRule="exact"/>
              <w:rPr>
                <w:rFonts w:hint="default" w:ascii="Times New Roman" w:hAnsi="Times New Roman" w:eastAsia="仿宋_GB2312" w:cs="Times New Roman"/>
                <w:color w:val="auto"/>
                <w:sz w:val="32"/>
                <w:szCs w:val="32"/>
                <w:highlight w:val="none"/>
                <w:lang w:eastAsia="zh-CN"/>
              </w:rPr>
            </w:pPr>
          </w:p>
        </w:tc>
        <w:tc>
          <w:tcPr>
            <w:tcW w:w="5145" w:type="dxa"/>
            <w:noWrap w:val="0"/>
            <w:vAlign w:val="center"/>
          </w:tcPr>
          <w:p w14:paraId="717D91C0">
            <w:pPr>
              <w:snapToGrid w:val="0"/>
              <w:spacing w:line="560" w:lineRule="exact"/>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2.是否存在账外经营行为，财务信息，银行流水等原始材料是否真实、完整。</w:t>
            </w:r>
          </w:p>
        </w:tc>
        <w:tc>
          <w:tcPr>
            <w:tcW w:w="5370" w:type="dxa"/>
            <w:noWrap w:val="0"/>
            <w:vAlign w:val="center"/>
          </w:tcPr>
          <w:p w14:paraId="76BE4409">
            <w:pPr>
              <w:snapToGrid w:val="0"/>
              <w:spacing w:line="560" w:lineRule="exact"/>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查阅财务报表、审计报告、原始凭证、银行流水等材料。</w:t>
            </w:r>
          </w:p>
        </w:tc>
      </w:tr>
      <w:tr w14:paraId="76B6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3255" w:type="dxa"/>
            <w:vMerge w:val="continue"/>
            <w:noWrap w:val="0"/>
            <w:vAlign w:val="center"/>
          </w:tcPr>
          <w:p w14:paraId="415E2695">
            <w:pPr>
              <w:snapToGrid w:val="0"/>
              <w:spacing w:line="560" w:lineRule="exact"/>
              <w:rPr>
                <w:rFonts w:hint="default" w:ascii="Times New Roman" w:hAnsi="Times New Roman" w:eastAsia="仿宋_GB2312" w:cs="Times New Roman"/>
                <w:color w:val="auto"/>
                <w:sz w:val="32"/>
                <w:szCs w:val="32"/>
                <w:highlight w:val="none"/>
                <w:lang w:eastAsia="zh-CN"/>
              </w:rPr>
            </w:pPr>
          </w:p>
        </w:tc>
        <w:tc>
          <w:tcPr>
            <w:tcW w:w="5145" w:type="dxa"/>
            <w:noWrap w:val="0"/>
            <w:vAlign w:val="center"/>
          </w:tcPr>
          <w:p w14:paraId="5EB89F81">
            <w:pPr>
              <w:snapToGrid w:val="0"/>
              <w:spacing w:line="560" w:lineRule="exact"/>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.是否建立第三方存管。</w:t>
            </w:r>
          </w:p>
        </w:tc>
        <w:tc>
          <w:tcPr>
            <w:tcW w:w="5370" w:type="dxa"/>
            <w:noWrap w:val="0"/>
            <w:vAlign w:val="center"/>
          </w:tcPr>
          <w:p w14:paraId="65D1252B">
            <w:pPr>
              <w:snapToGrid w:val="0"/>
              <w:spacing w:line="560" w:lineRule="exact"/>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查阅与银行签订的第三方</w:t>
            </w:r>
            <w:r>
              <w:rPr>
                <w:rFonts w:hint="default" w:ascii="Times New Roman" w:hAnsi="Times New Roman" w:eastAsia="仿宋_GB2312" w:cs="Times New Roman"/>
                <w:color w:val="auto"/>
                <w:sz w:val="32"/>
                <w:szCs w:val="32"/>
                <w:highlight w:val="none"/>
                <w:lang w:eastAsia="zh-CN"/>
              </w:rPr>
              <w:t>存管</w:t>
            </w:r>
            <w:r>
              <w:rPr>
                <w:rFonts w:hint="default" w:ascii="Times New Roman" w:hAnsi="Times New Roman" w:eastAsia="仿宋_GB2312" w:cs="Times New Roman"/>
                <w:color w:val="auto"/>
                <w:sz w:val="32"/>
                <w:szCs w:val="32"/>
                <w:highlight w:val="none"/>
              </w:rPr>
              <w:t>协议，开户情况，客户资金管理情况。</w:t>
            </w:r>
          </w:p>
        </w:tc>
      </w:tr>
      <w:tr w14:paraId="45DB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3255" w:type="dxa"/>
            <w:vMerge w:val="continue"/>
            <w:noWrap w:val="0"/>
            <w:vAlign w:val="center"/>
          </w:tcPr>
          <w:p w14:paraId="51FAF0AC">
            <w:pPr>
              <w:snapToGrid w:val="0"/>
              <w:spacing w:line="560" w:lineRule="exact"/>
              <w:rPr>
                <w:rFonts w:hint="default" w:ascii="Times New Roman" w:hAnsi="Times New Roman" w:eastAsia="仿宋_GB2312" w:cs="Times New Roman"/>
                <w:color w:val="auto"/>
                <w:sz w:val="32"/>
                <w:szCs w:val="32"/>
                <w:highlight w:val="none"/>
                <w:lang w:eastAsia="zh-CN"/>
              </w:rPr>
            </w:pPr>
          </w:p>
        </w:tc>
        <w:tc>
          <w:tcPr>
            <w:tcW w:w="5145" w:type="dxa"/>
            <w:noWrap w:val="0"/>
            <w:vAlign w:val="center"/>
          </w:tcPr>
          <w:p w14:paraId="7ADC6E6F">
            <w:pPr>
              <w:snapToGrid w:val="0"/>
              <w:spacing w:line="560" w:lineRule="exact"/>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.客户资金管理。</w:t>
            </w:r>
          </w:p>
        </w:tc>
        <w:tc>
          <w:tcPr>
            <w:tcW w:w="5370" w:type="dxa"/>
            <w:noWrap w:val="0"/>
            <w:vAlign w:val="center"/>
          </w:tcPr>
          <w:p w14:paraId="4AC9D459">
            <w:pPr>
              <w:snapToGrid w:val="0"/>
              <w:spacing w:line="560" w:lineRule="exact"/>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查阅</w:t>
            </w:r>
            <w:r>
              <w:rPr>
                <w:rFonts w:hint="default" w:ascii="Times New Roman" w:hAnsi="Times New Roman" w:eastAsia="仿宋_GB2312" w:cs="Times New Roman"/>
                <w:color w:val="auto"/>
                <w:sz w:val="32"/>
                <w:szCs w:val="32"/>
                <w:highlight w:val="none"/>
              </w:rPr>
              <w:t>交易资金结算记录，客户资金出入记录。</w:t>
            </w:r>
          </w:p>
        </w:tc>
      </w:tr>
      <w:tr w14:paraId="6B0F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55" w:type="dxa"/>
            <w:vMerge w:val="continue"/>
            <w:noWrap w:val="0"/>
            <w:vAlign w:val="center"/>
          </w:tcPr>
          <w:p w14:paraId="1E0830BD">
            <w:pPr>
              <w:snapToGrid w:val="0"/>
              <w:spacing w:line="560" w:lineRule="exact"/>
              <w:rPr>
                <w:rFonts w:hint="default" w:ascii="Times New Roman" w:hAnsi="Times New Roman" w:eastAsia="仿宋_GB2312" w:cs="Times New Roman"/>
                <w:color w:val="auto"/>
                <w:sz w:val="32"/>
                <w:szCs w:val="32"/>
                <w:highlight w:val="none"/>
                <w:lang w:eastAsia="zh-CN"/>
              </w:rPr>
            </w:pPr>
          </w:p>
        </w:tc>
        <w:tc>
          <w:tcPr>
            <w:tcW w:w="5145" w:type="dxa"/>
            <w:noWrap w:val="0"/>
            <w:vAlign w:val="center"/>
          </w:tcPr>
          <w:p w14:paraId="6A34C501">
            <w:pPr>
              <w:snapToGrid w:val="0"/>
              <w:spacing w:line="560" w:lineRule="exact"/>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5.风险准备金提取情况。</w:t>
            </w:r>
          </w:p>
        </w:tc>
        <w:tc>
          <w:tcPr>
            <w:tcW w:w="5370" w:type="dxa"/>
            <w:noWrap w:val="0"/>
            <w:vAlign w:val="center"/>
          </w:tcPr>
          <w:p w14:paraId="7C5FFECD">
            <w:pPr>
              <w:snapToGrid w:val="0"/>
              <w:spacing w:line="560" w:lineRule="exact"/>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查阅财务、银行有关材料。</w:t>
            </w:r>
          </w:p>
        </w:tc>
      </w:tr>
      <w:tr w14:paraId="646F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5" w:type="dxa"/>
            <w:vMerge w:val="restart"/>
            <w:noWrap w:val="0"/>
            <w:vAlign w:val="center"/>
          </w:tcPr>
          <w:p w14:paraId="574E4E55">
            <w:pPr>
              <w:snapToGrid w:val="0"/>
              <w:spacing w:line="560" w:lineRule="exact"/>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、管理制度</w:t>
            </w:r>
          </w:p>
        </w:tc>
        <w:tc>
          <w:tcPr>
            <w:tcW w:w="5145" w:type="dxa"/>
            <w:noWrap w:val="0"/>
            <w:vAlign w:val="center"/>
          </w:tcPr>
          <w:p w14:paraId="7D78516F">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1.管理制度是否健全完善。</w:t>
            </w:r>
          </w:p>
        </w:tc>
        <w:tc>
          <w:tcPr>
            <w:tcW w:w="5370" w:type="dxa"/>
            <w:noWrap w:val="0"/>
            <w:vAlign w:val="center"/>
          </w:tcPr>
          <w:p w14:paraId="52C32307">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查阅公司章程、交易制度、结算制度、风控制度、会议记录、代理机构名册</w:t>
            </w:r>
            <w:r>
              <w:rPr>
                <w:rFonts w:hint="default" w:ascii="Times New Roman" w:hAnsi="Times New Roman" w:eastAsia="仿宋_GB2312" w:cs="Times New Roman"/>
                <w:color w:val="auto"/>
                <w:sz w:val="32"/>
                <w:szCs w:val="32"/>
                <w:highlight w:val="none"/>
                <w:lang w:eastAsia="zh-CN"/>
              </w:rPr>
              <w:t>、投资者适当性制度</w:t>
            </w:r>
            <w:r>
              <w:rPr>
                <w:rFonts w:hint="default" w:ascii="Times New Roman" w:hAnsi="Times New Roman" w:eastAsia="仿宋_GB2312" w:cs="Times New Roman"/>
                <w:color w:val="auto"/>
                <w:sz w:val="32"/>
                <w:szCs w:val="32"/>
                <w:highlight w:val="none"/>
              </w:rPr>
              <w:t>等</w:t>
            </w:r>
            <w:r>
              <w:rPr>
                <w:rFonts w:hint="default" w:ascii="Times New Roman" w:hAnsi="Times New Roman" w:eastAsia="仿宋_GB2312" w:cs="Times New Roman"/>
                <w:color w:val="auto"/>
                <w:sz w:val="32"/>
                <w:szCs w:val="32"/>
                <w:highlight w:val="none"/>
                <w:lang w:eastAsia="zh-CN"/>
              </w:rPr>
              <w:t>相关台账</w:t>
            </w:r>
            <w:r>
              <w:rPr>
                <w:rFonts w:hint="default" w:ascii="Times New Roman" w:hAnsi="Times New Roman" w:eastAsia="仿宋_GB2312" w:cs="Times New Roman"/>
                <w:color w:val="auto"/>
                <w:sz w:val="32"/>
                <w:szCs w:val="32"/>
                <w:highlight w:val="none"/>
              </w:rPr>
              <w:t>资料。</w:t>
            </w:r>
          </w:p>
        </w:tc>
      </w:tr>
      <w:tr w14:paraId="46BF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3255" w:type="dxa"/>
            <w:vMerge w:val="continue"/>
            <w:noWrap w:val="0"/>
            <w:vAlign w:val="center"/>
          </w:tcPr>
          <w:p w14:paraId="5307F9D2">
            <w:pPr>
              <w:snapToGrid w:val="0"/>
              <w:spacing w:line="560" w:lineRule="exact"/>
              <w:rPr>
                <w:rFonts w:hint="default" w:ascii="Times New Roman" w:hAnsi="Times New Roman" w:eastAsia="仿宋_GB2312" w:cs="Times New Roman"/>
                <w:color w:val="auto"/>
                <w:sz w:val="32"/>
                <w:szCs w:val="32"/>
                <w:highlight w:val="none"/>
                <w:vertAlign w:val="baseline"/>
              </w:rPr>
            </w:pPr>
          </w:p>
        </w:tc>
        <w:tc>
          <w:tcPr>
            <w:tcW w:w="5145" w:type="dxa"/>
            <w:noWrap w:val="0"/>
            <w:vAlign w:val="center"/>
          </w:tcPr>
          <w:p w14:paraId="5A48A3B1">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2.公司架构</w:t>
            </w:r>
            <w:r>
              <w:rPr>
                <w:rFonts w:hint="default" w:ascii="Times New Roman" w:hAnsi="Times New Roman" w:eastAsia="仿宋_GB2312" w:cs="Times New Roman"/>
                <w:color w:val="auto"/>
                <w:sz w:val="32"/>
                <w:szCs w:val="32"/>
                <w:highlight w:val="none"/>
                <w:lang w:eastAsia="zh-CN"/>
              </w:rPr>
              <w:t>、分支机构、会员机构情况。</w:t>
            </w:r>
          </w:p>
        </w:tc>
        <w:tc>
          <w:tcPr>
            <w:tcW w:w="5370" w:type="dxa"/>
            <w:noWrap w:val="0"/>
            <w:vAlign w:val="center"/>
          </w:tcPr>
          <w:p w14:paraId="763D7B2F">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查阅公司章程、组织结构图、</w:t>
            </w:r>
            <w:r>
              <w:rPr>
                <w:rFonts w:hint="default" w:ascii="Times New Roman" w:hAnsi="Times New Roman" w:eastAsia="仿宋_GB2312" w:cs="Times New Roman"/>
                <w:color w:val="auto"/>
                <w:sz w:val="32"/>
                <w:szCs w:val="32"/>
                <w:highlight w:val="none"/>
                <w:lang w:eastAsia="zh-CN"/>
              </w:rPr>
              <w:t>会议纪要、业务合作协议</w:t>
            </w:r>
            <w:r>
              <w:rPr>
                <w:rFonts w:hint="default" w:ascii="Times New Roman" w:hAnsi="Times New Roman" w:eastAsia="仿宋_GB2312" w:cs="Times New Roman"/>
                <w:color w:val="auto"/>
                <w:sz w:val="32"/>
                <w:szCs w:val="32"/>
                <w:highlight w:val="none"/>
              </w:rPr>
              <w:t>等资料。</w:t>
            </w:r>
          </w:p>
        </w:tc>
      </w:tr>
      <w:tr w14:paraId="34B9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3255" w:type="dxa"/>
            <w:vMerge w:val="restart"/>
            <w:noWrap w:val="0"/>
            <w:vAlign w:val="center"/>
          </w:tcPr>
          <w:p w14:paraId="4674798B">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、交易品种</w:t>
            </w:r>
          </w:p>
        </w:tc>
        <w:tc>
          <w:tcPr>
            <w:tcW w:w="5145" w:type="dxa"/>
            <w:noWrap w:val="0"/>
            <w:vAlign w:val="center"/>
          </w:tcPr>
          <w:p w14:paraId="128A6F07">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1.交易品种种类。</w:t>
            </w:r>
          </w:p>
        </w:tc>
        <w:tc>
          <w:tcPr>
            <w:tcW w:w="5370" w:type="dxa"/>
            <w:noWrap w:val="0"/>
            <w:vAlign w:val="center"/>
          </w:tcPr>
          <w:p w14:paraId="652F4844">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查阅公司章程、营业执照经营范围、会议纪要及业务规章等资料并列明具体种类。</w:t>
            </w:r>
          </w:p>
        </w:tc>
      </w:tr>
      <w:tr w14:paraId="0A85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3255" w:type="dxa"/>
            <w:vMerge w:val="continue"/>
            <w:noWrap w:val="0"/>
            <w:vAlign w:val="center"/>
          </w:tcPr>
          <w:p w14:paraId="72731D7C">
            <w:pPr>
              <w:snapToGrid w:val="0"/>
              <w:spacing w:line="560" w:lineRule="exact"/>
              <w:rPr>
                <w:rFonts w:hint="default" w:ascii="Times New Roman" w:hAnsi="Times New Roman" w:eastAsia="仿宋_GB2312" w:cs="Times New Roman"/>
                <w:color w:val="auto"/>
                <w:sz w:val="32"/>
                <w:szCs w:val="32"/>
                <w:highlight w:val="none"/>
                <w:vertAlign w:val="baseline"/>
              </w:rPr>
            </w:pPr>
          </w:p>
        </w:tc>
        <w:tc>
          <w:tcPr>
            <w:tcW w:w="5145" w:type="dxa"/>
            <w:noWrap w:val="0"/>
            <w:vAlign w:val="center"/>
          </w:tcPr>
          <w:p w14:paraId="67B02423">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eastAsia="zh-CN"/>
              </w:rPr>
              <w:t>交易模式</w:t>
            </w:r>
            <w:r>
              <w:rPr>
                <w:rFonts w:hint="default" w:ascii="Times New Roman" w:hAnsi="Times New Roman" w:eastAsia="仿宋_GB2312" w:cs="Times New Roman"/>
                <w:color w:val="auto"/>
                <w:sz w:val="32"/>
                <w:szCs w:val="32"/>
                <w:highlight w:val="none"/>
              </w:rPr>
              <w:t>。</w:t>
            </w:r>
          </w:p>
        </w:tc>
        <w:tc>
          <w:tcPr>
            <w:tcW w:w="5370" w:type="dxa"/>
            <w:noWrap w:val="0"/>
            <w:vAlign w:val="center"/>
          </w:tcPr>
          <w:p w14:paraId="25EA4219">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查阅交易品种合约、交易规则及业务管理细则等资料，查看交易场所后台系统（交易员账户进入），与公司经营管理人员谈话。</w:t>
            </w:r>
          </w:p>
        </w:tc>
      </w:tr>
      <w:tr w14:paraId="471B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255" w:type="dxa"/>
            <w:vMerge w:val="continue"/>
            <w:noWrap w:val="0"/>
            <w:vAlign w:val="center"/>
          </w:tcPr>
          <w:p w14:paraId="1A8FE5C4">
            <w:pPr>
              <w:snapToGrid w:val="0"/>
              <w:spacing w:line="560" w:lineRule="exact"/>
              <w:rPr>
                <w:rFonts w:hint="default" w:ascii="Times New Roman" w:hAnsi="Times New Roman" w:eastAsia="仿宋_GB2312" w:cs="Times New Roman"/>
                <w:color w:val="auto"/>
                <w:sz w:val="32"/>
                <w:szCs w:val="32"/>
                <w:highlight w:val="none"/>
                <w:vertAlign w:val="baseline"/>
              </w:rPr>
            </w:pPr>
          </w:p>
        </w:tc>
        <w:tc>
          <w:tcPr>
            <w:tcW w:w="5145" w:type="dxa"/>
            <w:noWrap w:val="0"/>
            <w:vAlign w:val="center"/>
          </w:tcPr>
          <w:p w14:paraId="3A313477">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3．交易品种是否报有关部门审批或向有关部门报备。</w:t>
            </w:r>
          </w:p>
        </w:tc>
        <w:tc>
          <w:tcPr>
            <w:tcW w:w="5370" w:type="dxa"/>
            <w:noWrap w:val="0"/>
            <w:vAlign w:val="center"/>
          </w:tcPr>
          <w:p w14:paraId="750AFB11">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查阅会议纪要、公司发文及批复文件等资料。</w:t>
            </w:r>
          </w:p>
        </w:tc>
      </w:tr>
      <w:tr w14:paraId="4BA2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3255" w:type="dxa"/>
            <w:vMerge w:val="continue"/>
            <w:noWrap w:val="0"/>
            <w:vAlign w:val="center"/>
          </w:tcPr>
          <w:p w14:paraId="4C778C26">
            <w:pPr>
              <w:snapToGrid w:val="0"/>
              <w:spacing w:line="560" w:lineRule="exact"/>
              <w:rPr>
                <w:rFonts w:hint="default" w:ascii="Times New Roman" w:hAnsi="Times New Roman" w:eastAsia="仿宋_GB2312" w:cs="Times New Roman"/>
                <w:color w:val="auto"/>
                <w:sz w:val="32"/>
                <w:szCs w:val="32"/>
                <w:highlight w:val="none"/>
                <w:vertAlign w:val="baseline"/>
              </w:rPr>
            </w:pPr>
          </w:p>
        </w:tc>
        <w:tc>
          <w:tcPr>
            <w:tcW w:w="5145" w:type="dxa"/>
            <w:noWrap w:val="0"/>
            <w:vAlign w:val="center"/>
          </w:tcPr>
          <w:p w14:paraId="1FFD44CA">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lang w:val="en-US" w:eastAsia="zh-CN"/>
              </w:rPr>
              <w:t>4.是否从事保险、信贷、黄金等须经国务院相关金融管理部门批准的金融产品交易。</w:t>
            </w:r>
          </w:p>
        </w:tc>
        <w:tc>
          <w:tcPr>
            <w:tcW w:w="5370" w:type="dxa"/>
            <w:noWrap w:val="0"/>
            <w:vAlign w:val="center"/>
          </w:tcPr>
          <w:p w14:paraId="1F7DBFAC">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查阅公司章程、营业执照经营范围、会议纪要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业务规章</w:t>
            </w:r>
            <w:r>
              <w:rPr>
                <w:rFonts w:hint="default" w:ascii="Times New Roman" w:hAnsi="Times New Roman" w:eastAsia="仿宋_GB2312" w:cs="Times New Roman"/>
                <w:color w:val="auto"/>
                <w:sz w:val="32"/>
                <w:szCs w:val="32"/>
                <w:highlight w:val="none"/>
                <w:lang w:eastAsia="zh-CN"/>
              </w:rPr>
              <w:t>、业务合约</w:t>
            </w:r>
            <w:r>
              <w:rPr>
                <w:rFonts w:hint="default" w:ascii="Times New Roman" w:hAnsi="Times New Roman" w:eastAsia="仿宋_GB2312" w:cs="Times New Roman"/>
                <w:color w:val="auto"/>
                <w:sz w:val="32"/>
                <w:szCs w:val="32"/>
                <w:highlight w:val="none"/>
              </w:rPr>
              <w:t>等资料</w:t>
            </w:r>
            <w:r>
              <w:rPr>
                <w:rFonts w:hint="default" w:ascii="Times New Roman" w:hAnsi="Times New Roman" w:eastAsia="仿宋_GB2312" w:cs="Times New Roman"/>
                <w:color w:val="auto"/>
                <w:sz w:val="32"/>
                <w:szCs w:val="32"/>
                <w:highlight w:val="none"/>
                <w:lang w:eastAsia="zh-CN"/>
              </w:rPr>
              <w:t>。</w:t>
            </w:r>
          </w:p>
        </w:tc>
      </w:tr>
      <w:tr w14:paraId="21D6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3255" w:type="dxa"/>
            <w:vMerge w:val="continue"/>
            <w:noWrap w:val="0"/>
            <w:vAlign w:val="center"/>
          </w:tcPr>
          <w:p w14:paraId="70B7C0AD">
            <w:pPr>
              <w:snapToGrid w:val="0"/>
              <w:spacing w:line="560" w:lineRule="exact"/>
              <w:rPr>
                <w:rFonts w:hint="default" w:ascii="Times New Roman" w:hAnsi="Times New Roman" w:eastAsia="仿宋_GB2312" w:cs="Times New Roman"/>
                <w:color w:val="auto"/>
                <w:sz w:val="32"/>
                <w:szCs w:val="32"/>
                <w:highlight w:val="none"/>
                <w:vertAlign w:val="baseline"/>
              </w:rPr>
            </w:pPr>
          </w:p>
        </w:tc>
        <w:tc>
          <w:tcPr>
            <w:tcW w:w="5145" w:type="dxa"/>
            <w:noWrap w:val="0"/>
            <w:vAlign w:val="center"/>
          </w:tcPr>
          <w:p w14:paraId="560CB498">
            <w:pPr>
              <w:snapToGrid w:val="0"/>
              <w:spacing w:line="560" w:lineRule="exact"/>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5.是否从事邮票、金银纪念币、磁卡等违规交易。</w:t>
            </w:r>
          </w:p>
        </w:tc>
        <w:tc>
          <w:tcPr>
            <w:tcW w:w="5370" w:type="dxa"/>
            <w:noWrap w:val="0"/>
            <w:vAlign w:val="center"/>
          </w:tcPr>
          <w:p w14:paraId="6DE0D6C8">
            <w:pPr>
              <w:snapToGrid w:val="0"/>
              <w:spacing w:line="560" w:lineRule="exact"/>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查阅公司章程、营业执照经营范围、会议纪要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业务规章</w:t>
            </w:r>
            <w:r>
              <w:rPr>
                <w:rFonts w:hint="default" w:ascii="Times New Roman" w:hAnsi="Times New Roman" w:eastAsia="仿宋_GB2312" w:cs="Times New Roman"/>
                <w:color w:val="auto"/>
                <w:sz w:val="32"/>
                <w:szCs w:val="32"/>
                <w:highlight w:val="none"/>
                <w:lang w:eastAsia="zh-CN"/>
              </w:rPr>
              <w:t>、业务合约</w:t>
            </w:r>
            <w:r>
              <w:rPr>
                <w:rFonts w:hint="default" w:ascii="Times New Roman" w:hAnsi="Times New Roman" w:eastAsia="仿宋_GB2312" w:cs="Times New Roman"/>
                <w:color w:val="auto"/>
                <w:sz w:val="32"/>
                <w:szCs w:val="32"/>
                <w:highlight w:val="none"/>
              </w:rPr>
              <w:t>等资料</w:t>
            </w:r>
            <w:r>
              <w:rPr>
                <w:rFonts w:hint="default" w:ascii="Times New Roman" w:hAnsi="Times New Roman" w:eastAsia="仿宋_GB2312" w:cs="Times New Roman"/>
                <w:color w:val="auto"/>
                <w:sz w:val="32"/>
                <w:szCs w:val="32"/>
                <w:highlight w:val="none"/>
                <w:lang w:eastAsia="zh-CN"/>
              </w:rPr>
              <w:t>。</w:t>
            </w:r>
          </w:p>
        </w:tc>
      </w:tr>
      <w:tr w14:paraId="35D1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5" w:type="dxa"/>
            <w:vMerge w:val="restart"/>
            <w:noWrap w:val="0"/>
            <w:vAlign w:val="center"/>
          </w:tcPr>
          <w:p w14:paraId="2C0837AF">
            <w:pPr>
              <w:snapToGrid w:val="0"/>
              <w:spacing w:line="560" w:lineRule="exact"/>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、交易方式</w:t>
            </w:r>
          </w:p>
        </w:tc>
        <w:tc>
          <w:tcPr>
            <w:tcW w:w="5145" w:type="dxa"/>
            <w:noWrap w:val="0"/>
            <w:vAlign w:val="center"/>
          </w:tcPr>
          <w:p w14:paraId="18FDC55D">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eastAsia="zh-CN"/>
              </w:rPr>
              <w:t>交易方式类型</w:t>
            </w:r>
            <w:r>
              <w:rPr>
                <w:rFonts w:hint="default" w:ascii="Times New Roman" w:hAnsi="Times New Roman" w:eastAsia="仿宋_GB2312" w:cs="Times New Roman"/>
                <w:color w:val="auto"/>
                <w:sz w:val="32"/>
                <w:szCs w:val="32"/>
                <w:highlight w:val="none"/>
              </w:rPr>
              <w:t>。</w:t>
            </w:r>
          </w:p>
        </w:tc>
        <w:tc>
          <w:tcPr>
            <w:tcW w:w="5370" w:type="dxa"/>
            <w:noWrap w:val="0"/>
            <w:vAlign w:val="center"/>
          </w:tcPr>
          <w:p w14:paraId="717AA6D2">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查阅业务管理办法和客户合同等资料，与公司经营管理人员谈话，列明交易场所采取的交易方式。查看交易场所后台系统（交易员账户进入），查询某个交易品种当日委托、成交情况，查看并复制历史委托成交记录和客户交易账单备查。</w:t>
            </w:r>
          </w:p>
        </w:tc>
      </w:tr>
      <w:tr w14:paraId="06BD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255" w:type="dxa"/>
            <w:vMerge w:val="continue"/>
            <w:noWrap w:val="0"/>
            <w:vAlign w:val="center"/>
          </w:tcPr>
          <w:p w14:paraId="572C3DEF">
            <w:pPr>
              <w:snapToGrid w:val="0"/>
              <w:spacing w:line="560" w:lineRule="exact"/>
              <w:rPr>
                <w:rFonts w:hint="default" w:ascii="Times New Roman" w:hAnsi="Times New Roman" w:eastAsia="仿宋_GB2312" w:cs="Times New Roman"/>
                <w:color w:val="auto"/>
                <w:sz w:val="32"/>
                <w:szCs w:val="32"/>
                <w:highlight w:val="none"/>
                <w:vertAlign w:val="baseline"/>
              </w:rPr>
            </w:pPr>
          </w:p>
        </w:tc>
        <w:tc>
          <w:tcPr>
            <w:tcW w:w="5145" w:type="dxa"/>
            <w:noWrap w:val="0"/>
            <w:vAlign w:val="center"/>
          </w:tcPr>
          <w:p w14:paraId="0DA9AD19">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2.保证金比例。</w:t>
            </w:r>
          </w:p>
        </w:tc>
        <w:tc>
          <w:tcPr>
            <w:tcW w:w="5370" w:type="dxa"/>
            <w:noWrap w:val="0"/>
            <w:vAlign w:val="center"/>
          </w:tcPr>
          <w:p w14:paraId="0DF13B79">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查阅业务管理办法和客户合同等资料，查看交易场所后台系统（交易员账户进入）。</w:t>
            </w:r>
          </w:p>
        </w:tc>
      </w:tr>
      <w:tr w14:paraId="4BDC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255" w:type="dxa"/>
            <w:vMerge w:val="continue"/>
            <w:noWrap w:val="0"/>
            <w:vAlign w:val="center"/>
          </w:tcPr>
          <w:p w14:paraId="61C21F30">
            <w:pPr>
              <w:snapToGrid w:val="0"/>
              <w:spacing w:line="560" w:lineRule="exact"/>
              <w:rPr>
                <w:rFonts w:hint="default" w:ascii="Times New Roman" w:hAnsi="Times New Roman" w:eastAsia="仿宋_GB2312" w:cs="Times New Roman"/>
                <w:color w:val="auto"/>
                <w:sz w:val="32"/>
                <w:szCs w:val="32"/>
                <w:highlight w:val="none"/>
                <w:vertAlign w:val="baseline"/>
              </w:rPr>
            </w:pPr>
          </w:p>
        </w:tc>
        <w:tc>
          <w:tcPr>
            <w:tcW w:w="5145" w:type="dxa"/>
            <w:noWrap w:val="0"/>
            <w:vAlign w:val="center"/>
          </w:tcPr>
          <w:p w14:paraId="152152BE">
            <w:pPr>
              <w:snapToGrid w:val="0"/>
              <w:spacing w:line="560" w:lineRule="exact"/>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3.是否将交易标的有关权益拆分为均等份额公开发行。</w:t>
            </w:r>
          </w:p>
        </w:tc>
        <w:tc>
          <w:tcPr>
            <w:tcW w:w="5370" w:type="dxa"/>
            <w:noWrap w:val="0"/>
            <w:vAlign w:val="center"/>
          </w:tcPr>
          <w:p w14:paraId="3F6A9E72">
            <w:pPr>
              <w:snapToGrid w:val="0"/>
              <w:spacing w:line="560" w:lineRule="exact"/>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查阅业务管理办法和客户合同等资料，查看交易场所后台系统（交易员账户进入）。</w:t>
            </w:r>
          </w:p>
        </w:tc>
      </w:tr>
      <w:tr w14:paraId="7C4C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3255" w:type="dxa"/>
            <w:vMerge w:val="continue"/>
            <w:noWrap w:val="0"/>
            <w:vAlign w:val="center"/>
          </w:tcPr>
          <w:p w14:paraId="57334A08">
            <w:pPr>
              <w:snapToGrid w:val="0"/>
              <w:spacing w:line="560" w:lineRule="exact"/>
              <w:rPr>
                <w:rFonts w:hint="default" w:ascii="Times New Roman" w:hAnsi="Times New Roman" w:eastAsia="仿宋_GB2312" w:cs="Times New Roman"/>
                <w:color w:val="auto"/>
                <w:sz w:val="32"/>
                <w:szCs w:val="32"/>
                <w:highlight w:val="none"/>
                <w:vertAlign w:val="baseline"/>
              </w:rPr>
            </w:pPr>
          </w:p>
        </w:tc>
        <w:tc>
          <w:tcPr>
            <w:tcW w:w="5145" w:type="dxa"/>
            <w:noWrap w:val="0"/>
            <w:vAlign w:val="center"/>
          </w:tcPr>
          <w:p w14:paraId="2371C66E">
            <w:pPr>
              <w:numPr>
                <w:ilvl w:val="0"/>
                <w:numId w:val="0"/>
              </w:numPr>
              <w:snapToGrid w:val="0"/>
              <w:spacing w:line="560" w:lineRule="exact"/>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是否</w:t>
            </w:r>
            <w:r>
              <w:rPr>
                <w:rFonts w:hint="default" w:ascii="Times New Roman" w:hAnsi="Times New Roman" w:eastAsia="仿宋_GB2312" w:cs="Times New Roman"/>
                <w:color w:val="auto"/>
                <w:sz w:val="32"/>
                <w:szCs w:val="32"/>
                <w:highlight w:val="none"/>
                <w:lang w:eastAsia="zh-CN"/>
              </w:rPr>
              <w:t>采用集中交易方式进行交易（含集合竞价、连续竞价、电子撮合、匿名交易、做市商等方式）</w:t>
            </w:r>
            <w:r>
              <w:rPr>
                <w:rFonts w:hint="default" w:ascii="Times New Roman" w:hAnsi="Times New Roman" w:eastAsia="仿宋_GB2312" w:cs="Times New Roman"/>
                <w:color w:val="auto"/>
                <w:sz w:val="32"/>
                <w:szCs w:val="32"/>
                <w:highlight w:val="none"/>
              </w:rPr>
              <w:t>。</w:t>
            </w:r>
          </w:p>
        </w:tc>
        <w:tc>
          <w:tcPr>
            <w:tcW w:w="5370" w:type="dxa"/>
            <w:noWrap w:val="0"/>
            <w:vAlign w:val="center"/>
          </w:tcPr>
          <w:p w14:paraId="7DC212BC">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查阅业务管理办法和客户合同等资料，查看交易场所后台系统（交易员账户进入）。</w:t>
            </w:r>
          </w:p>
        </w:tc>
      </w:tr>
      <w:tr w14:paraId="6839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3255" w:type="dxa"/>
            <w:vMerge w:val="continue"/>
            <w:noWrap w:val="0"/>
            <w:vAlign w:val="center"/>
          </w:tcPr>
          <w:p w14:paraId="05B32EF4">
            <w:pPr>
              <w:snapToGrid w:val="0"/>
              <w:spacing w:line="560" w:lineRule="exact"/>
              <w:rPr>
                <w:rFonts w:hint="default" w:ascii="Times New Roman" w:hAnsi="Times New Roman" w:eastAsia="仿宋_GB2312" w:cs="Times New Roman"/>
                <w:color w:val="auto"/>
                <w:sz w:val="32"/>
                <w:szCs w:val="32"/>
                <w:highlight w:val="none"/>
                <w:vertAlign w:val="baseline"/>
              </w:rPr>
            </w:pPr>
          </w:p>
        </w:tc>
        <w:tc>
          <w:tcPr>
            <w:tcW w:w="5145" w:type="dxa"/>
            <w:noWrap w:val="0"/>
            <w:vAlign w:val="center"/>
          </w:tcPr>
          <w:p w14:paraId="0E55CDFD">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投资者买入后卖出或者卖出后买入同一交易品种的时间间隔是否为5个交易日或5个交易日以上。</w:t>
            </w:r>
          </w:p>
        </w:tc>
        <w:tc>
          <w:tcPr>
            <w:tcW w:w="5370" w:type="dxa"/>
            <w:noWrap w:val="0"/>
            <w:vAlign w:val="center"/>
          </w:tcPr>
          <w:p w14:paraId="41EA0670">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查阅业务管理办法和客户合同等资料，查看交易场所后台系统（交易员账户进入）。重点关注是否存在连续交易方式。</w:t>
            </w:r>
          </w:p>
        </w:tc>
      </w:tr>
      <w:tr w14:paraId="0C87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5" w:type="dxa"/>
            <w:vMerge w:val="continue"/>
            <w:noWrap w:val="0"/>
            <w:vAlign w:val="center"/>
          </w:tcPr>
          <w:p w14:paraId="78ED322E">
            <w:pPr>
              <w:snapToGrid w:val="0"/>
              <w:spacing w:line="560" w:lineRule="exact"/>
              <w:rPr>
                <w:rFonts w:hint="default" w:ascii="Times New Roman" w:hAnsi="Times New Roman" w:eastAsia="仿宋_GB2312" w:cs="Times New Roman"/>
                <w:color w:val="auto"/>
                <w:sz w:val="32"/>
                <w:szCs w:val="32"/>
                <w:highlight w:val="none"/>
                <w:vertAlign w:val="baseline"/>
              </w:rPr>
            </w:pPr>
          </w:p>
        </w:tc>
        <w:tc>
          <w:tcPr>
            <w:tcW w:w="5145" w:type="dxa"/>
            <w:noWrap w:val="0"/>
            <w:vAlign w:val="center"/>
          </w:tcPr>
          <w:p w14:paraId="7F54E09D">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eastAsia="zh-CN"/>
              </w:rPr>
              <w:t>是否存在单个交易标的投资者累计超过</w:t>
            </w:r>
            <w:r>
              <w:rPr>
                <w:rFonts w:hint="default" w:ascii="Times New Roman" w:hAnsi="Times New Roman" w:eastAsia="仿宋_GB2312" w:cs="Times New Roman"/>
                <w:color w:val="auto"/>
                <w:sz w:val="32"/>
                <w:szCs w:val="32"/>
                <w:highlight w:val="none"/>
                <w:lang w:val="en-US" w:eastAsia="zh-CN"/>
              </w:rPr>
              <w:t>200人</w:t>
            </w:r>
            <w:r>
              <w:rPr>
                <w:rFonts w:hint="default" w:ascii="Times New Roman" w:hAnsi="Times New Roman" w:eastAsia="仿宋_GB2312" w:cs="Times New Roman"/>
                <w:color w:val="auto"/>
                <w:sz w:val="32"/>
                <w:szCs w:val="32"/>
                <w:highlight w:val="none"/>
              </w:rPr>
              <w:t>。</w:t>
            </w:r>
          </w:p>
        </w:tc>
        <w:tc>
          <w:tcPr>
            <w:tcW w:w="5370" w:type="dxa"/>
            <w:noWrap w:val="0"/>
            <w:vAlign w:val="center"/>
          </w:tcPr>
          <w:p w14:paraId="0B7A9DC2">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查阅业务管理办法和客户合同等资料，查看交易场所后台系统（交易员账户进入）。</w:t>
            </w:r>
          </w:p>
        </w:tc>
      </w:tr>
      <w:tr w14:paraId="4DF5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3255" w:type="dxa"/>
            <w:vMerge w:val="continue"/>
            <w:noWrap w:val="0"/>
            <w:vAlign w:val="center"/>
          </w:tcPr>
          <w:p w14:paraId="12B2651C">
            <w:pPr>
              <w:snapToGrid w:val="0"/>
              <w:spacing w:line="560" w:lineRule="exact"/>
              <w:rPr>
                <w:rFonts w:hint="default" w:ascii="Times New Roman" w:hAnsi="Times New Roman" w:eastAsia="仿宋_GB2312" w:cs="Times New Roman"/>
                <w:color w:val="auto"/>
                <w:sz w:val="32"/>
                <w:szCs w:val="32"/>
                <w:highlight w:val="none"/>
                <w:vertAlign w:val="baseline"/>
              </w:rPr>
            </w:pPr>
          </w:p>
        </w:tc>
        <w:tc>
          <w:tcPr>
            <w:tcW w:w="5145" w:type="dxa"/>
            <w:noWrap w:val="0"/>
            <w:vAlign w:val="center"/>
          </w:tcPr>
          <w:p w14:paraId="32CD14EC">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是否</w:t>
            </w:r>
            <w:r>
              <w:rPr>
                <w:rFonts w:hint="default" w:ascii="Times New Roman" w:hAnsi="Times New Roman" w:eastAsia="仿宋_GB2312" w:cs="Times New Roman"/>
                <w:color w:val="auto"/>
                <w:sz w:val="32"/>
                <w:szCs w:val="32"/>
                <w:highlight w:val="none"/>
                <w:lang w:eastAsia="zh-CN"/>
              </w:rPr>
              <w:t>存在以集中交易方式进行标准化合约交易</w:t>
            </w:r>
            <w:r>
              <w:rPr>
                <w:rFonts w:hint="default" w:ascii="Times New Roman" w:hAnsi="Times New Roman" w:eastAsia="仿宋_GB2312" w:cs="Times New Roman"/>
                <w:color w:val="auto"/>
                <w:sz w:val="32"/>
                <w:szCs w:val="32"/>
                <w:highlight w:val="none"/>
              </w:rPr>
              <w:t>。</w:t>
            </w:r>
          </w:p>
        </w:tc>
        <w:tc>
          <w:tcPr>
            <w:tcW w:w="5370" w:type="dxa"/>
            <w:noWrap w:val="0"/>
            <w:vAlign w:val="center"/>
          </w:tcPr>
          <w:p w14:paraId="7B2750B0">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查阅业务管理办法和客户合同等资料，查看交易场所后台系统（交易员账户进入）。</w:t>
            </w:r>
          </w:p>
        </w:tc>
      </w:tr>
      <w:tr w14:paraId="10BF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255" w:type="dxa"/>
            <w:vMerge w:val="continue"/>
            <w:noWrap w:val="0"/>
            <w:vAlign w:val="center"/>
          </w:tcPr>
          <w:p w14:paraId="649AB7C1">
            <w:pPr>
              <w:snapToGrid w:val="0"/>
              <w:spacing w:line="560" w:lineRule="exact"/>
              <w:rPr>
                <w:rFonts w:hint="default" w:ascii="Times New Roman" w:hAnsi="Times New Roman" w:eastAsia="仿宋_GB2312" w:cs="Times New Roman"/>
                <w:color w:val="auto"/>
                <w:sz w:val="32"/>
                <w:szCs w:val="32"/>
                <w:highlight w:val="none"/>
                <w:vertAlign w:val="baseline"/>
              </w:rPr>
            </w:pPr>
          </w:p>
        </w:tc>
        <w:tc>
          <w:tcPr>
            <w:tcW w:w="5145" w:type="dxa"/>
            <w:noWrap w:val="0"/>
            <w:vAlign w:val="center"/>
          </w:tcPr>
          <w:p w14:paraId="19D76C50">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lang w:val="en-US" w:eastAsia="zh-CN"/>
              </w:rPr>
              <w:t>8.交易客户是否为行业内企业。</w:t>
            </w:r>
          </w:p>
        </w:tc>
        <w:tc>
          <w:tcPr>
            <w:tcW w:w="5370" w:type="dxa"/>
            <w:noWrap w:val="0"/>
            <w:vAlign w:val="center"/>
          </w:tcPr>
          <w:p w14:paraId="104A2DC1">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查阅业务管理办法等资料，查看交易场所后台系统（交易员账户进入）。</w:t>
            </w:r>
          </w:p>
        </w:tc>
      </w:tr>
      <w:tr w14:paraId="5DC4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5" w:type="dxa"/>
            <w:vMerge w:val="restart"/>
            <w:noWrap w:val="0"/>
            <w:vAlign w:val="center"/>
          </w:tcPr>
          <w:p w14:paraId="63792F6F">
            <w:pPr>
              <w:snapToGrid w:val="0"/>
              <w:spacing w:line="560" w:lineRule="exact"/>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、交收方式</w:t>
            </w:r>
          </w:p>
        </w:tc>
        <w:tc>
          <w:tcPr>
            <w:tcW w:w="5145" w:type="dxa"/>
            <w:noWrap w:val="0"/>
            <w:vAlign w:val="center"/>
          </w:tcPr>
          <w:p w14:paraId="30AA5EE1">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1.是否存在</w:t>
            </w:r>
            <w:r>
              <w:rPr>
                <w:rFonts w:hint="default" w:ascii="Times New Roman" w:hAnsi="Times New Roman" w:eastAsia="仿宋_GB2312" w:cs="Times New Roman"/>
                <w:color w:val="auto"/>
                <w:sz w:val="32"/>
                <w:szCs w:val="32"/>
                <w:highlight w:val="none"/>
                <w:lang w:eastAsia="zh-CN"/>
              </w:rPr>
              <w:t>延期</w:t>
            </w:r>
            <w:r>
              <w:rPr>
                <w:rFonts w:hint="default" w:ascii="Times New Roman" w:hAnsi="Times New Roman" w:eastAsia="仿宋_GB2312" w:cs="Times New Roman"/>
                <w:color w:val="auto"/>
                <w:sz w:val="32"/>
                <w:szCs w:val="32"/>
                <w:highlight w:val="none"/>
              </w:rPr>
              <w:t>交收补偿制度。</w:t>
            </w:r>
          </w:p>
        </w:tc>
        <w:tc>
          <w:tcPr>
            <w:tcW w:w="5370" w:type="dxa"/>
            <w:noWrap w:val="0"/>
            <w:vAlign w:val="center"/>
          </w:tcPr>
          <w:p w14:paraId="55274B04">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查阅业务管理办法等资料，查看交易场所后台系统（交易员账户进入）。</w:t>
            </w:r>
          </w:p>
        </w:tc>
      </w:tr>
      <w:tr w14:paraId="28F2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5" w:type="dxa"/>
            <w:vMerge w:val="continue"/>
            <w:noWrap w:val="0"/>
            <w:vAlign w:val="center"/>
          </w:tcPr>
          <w:p w14:paraId="042BE8E1">
            <w:pPr>
              <w:snapToGrid w:val="0"/>
              <w:spacing w:line="560" w:lineRule="exact"/>
              <w:rPr>
                <w:rFonts w:hint="default" w:ascii="Times New Roman" w:hAnsi="Times New Roman" w:eastAsia="仿宋_GB2312" w:cs="Times New Roman"/>
                <w:color w:val="auto"/>
                <w:sz w:val="32"/>
                <w:szCs w:val="32"/>
                <w:highlight w:val="none"/>
                <w:vertAlign w:val="baseline"/>
              </w:rPr>
            </w:pPr>
          </w:p>
        </w:tc>
        <w:tc>
          <w:tcPr>
            <w:tcW w:w="5145" w:type="dxa"/>
            <w:noWrap w:val="0"/>
            <w:vAlign w:val="center"/>
          </w:tcPr>
          <w:p w14:paraId="2FF8D317">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2.是否仅允许特定会员进行交收。</w:t>
            </w:r>
          </w:p>
        </w:tc>
        <w:tc>
          <w:tcPr>
            <w:tcW w:w="5370" w:type="dxa"/>
            <w:noWrap w:val="0"/>
            <w:vAlign w:val="center"/>
          </w:tcPr>
          <w:p w14:paraId="40CEC07E">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查阅业务管理办法和客户合同等资料，查看交易场所后台系统（交易员账户进入）。</w:t>
            </w:r>
          </w:p>
        </w:tc>
      </w:tr>
      <w:tr w14:paraId="2ACC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3255" w:type="dxa"/>
            <w:vMerge w:val="continue"/>
            <w:noWrap w:val="0"/>
            <w:vAlign w:val="center"/>
          </w:tcPr>
          <w:p w14:paraId="5F7674ED">
            <w:pPr>
              <w:snapToGrid w:val="0"/>
              <w:spacing w:line="560" w:lineRule="exact"/>
              <w:rPr>
                <w:rFonts w:hint="default" w:ascii="Times New Roman" w:hAnsi="Times New Roman" w:eastAsia="方正仿宋_GBK" w:cs="Times New Roman"/>
                <w:color w:val="auto"/>
                <w:sz w:val="32"/>
                <w:szCs w:val="32"/>
                <w:highlight w:val="none"/>
                <w:vertAlign w:val="baseline"/>
              </w:rPr>
            </w:pPr>
          </w:p>
        </w:tc>
        <w:tc>
          <w:tcPr>
            <w:tcW w:w="5145" w:type="dxa"/>
            <w:noWrap w:val="0"/>
            <w:vAlign w:val="center"/>
          </w:tcPr>
          <w:p w14:paraId="5B838681">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3.合约订立后，是否允许交易者以反向操作、对冲平仓方式了结交易。</w:t>
            </w:r>
          </w:p>
        </w:tc>
        <w:tc>
          <w:tcPr>
            <w:tcW w:w="5370" w:type="dxa"/>
            <w:noWrap w:val="0"/>
            <w:vAlign w:val="center"/>
          </w:tcPr>
          <w:p w14:paraId="3B3714B0">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查阅业务管理办法和客户合同等资料，查看交易场所后台系统（交易员账户进入）。</w:t>
            </w:r>
          </w:p>
        </w:tc>
      </w:tr>
      <w:tr w14:paraId="31A1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255" w:type="dxa"/>
            <w:vMerge w:val="continue"/>
            <w:noWrap w:val="0"/>
            <w:vAlign w:val="center"/>
          </w:tcPr>
          <w:p w14:paraId="73003A09">
            <w:pPr>
              <w:snapToGrid w:val="0"/>
              <w:spacing w:line="560" w:lineRule="exact"/>
              <w:rPr>
                <w:rFonts w:hint="default" w:ascii="Times New Roman" w:hAnsi="Times New Roman" w:eastAsia="方正仿宋_GBK" w:cs="Times New Roman"/>
                <w:color w:val="auto"/>
                <w:sz w:val="32"/>
                <w:szCs w:val="32"/>
                <w:highlight w:val="none"/>
                <w:vertAlign w:val="baseline"/>
              </w:rPr>
            </w:pPr>
          </w:p>
        </w:tc>
        <w:tc>
          <w:tcPr>
            <w:tcW w:w="5145" w:type="dxa"/>
            <w:noWrap w:val="0"/>
            <w:vAlign w:val="center"/>
          </w:tcPr>
          <w:p w14:paraId="46AC990F">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4.交收比例</w:t>
            </w:r>
            <w:r>
              <w:rPr>
                <w:rFonts w:hint="default" w:ascii="Times New Roman" w:hAnsi="Times New Roman" w:eastAsia="仿宋_GB2312" w:cs="Times New Roman"/>
                <w:color w:val="auto"/>
                <w:sz w:val="32"/>
                <w:szCs w:val="32"/>
                <w:highlight w:val="none"/>
                <w:lang w:eastAsia="zh-CN"/>
              </w:rPr>
              <w:t>，是否全款实货。</w:t>
            </w:r>
          </w:p>
        </w:tc>
        <w:tc>
          <w:tcPr>
            <w:tcW w:w="5370" w:type="dxa"/>
            <w:noWrap w:val="0"/>
            <w:vAlign w:val="center"/>
          </w:tcPr>
          <w:p w14:paraId="33501713">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查看交易场所后台系统（交易员账户进入）。</w:t>
            </w:r>
          </w:p>
        </w:tc>
      </w:tr>
      <w:tr w14:paraId="21EC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255" w:type="dxa"/>
            <w:vMerge w:val="restart"/>
            <w:noWrap w:val="0"/>
            <w:vAlign w:val="center"/>
          </w:tcPr>
          <w:p w14:paraId="682E7AC8">
            <w:pPr>
              <w:snapToGrid w:val="0"/>
              <w:spacing w:line="560" w:lineRule="exact"/>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lang w:eastAsia="zh-CN"/>
              </w:rPr>
              <w:t>七</w:t>
            </w:r>
            <w:r>
              <w:rPr>
                <w:rFonts w:hint="default" w:ascii="Times New Roman" w:hAnsi="Times New Roman" w:eastAsia="仿宋_GB2312" w:cs="Times New Roman"/>
                <w:color w:val="auto"/>
                <w:sz w:val="32"/>
                <w:szCs w:val="32"/>
                <w:highlight w:val="none"/>
              </w:rPr>
              <w:t>、信访投诉</w:t>
            </w:r>
          </w:p>
        </w:tc>
        <w:tc>
          <w:tcPr>
            <w:tcW w:w="5145" w:type="dxa"/>
            <w:noWrap w:val="0"/>
            <w:vAlign w:val="center"/>
          </w:tcPr>
          <w:p w14:paraId="2AED2759">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1.是否建立客户投诉处理机制。</w:t>
            </w:r>
          </w:p>
        </w:tc>
        <w:tc>
          <w:tcPr>
            <w:tcW w:w="5370" w:type="dxa"/>
            <w:noWrap w:val="0"/>
            <w:vAlign w:val="center"/>
          </w:tcPr>
          <w:p w14:paraId="04A5D5CB">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查看相关制度、工作记录等，公司管理层对客户投诉处理的专题研究会议记录等。</w:t>
            </w:r>
          </w:p>
        </w:tc>
      </w:tr>
      <w:tr w14:paraId="11CF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3255" w:type="dxa"/>
            <w:vMerge w:val="continue"/>
            <w:noWrap w:val="0"/>
            <w:vAlign w:val="center"/>
          </w:tcPr>
          <w:p w14:paraId="60A0F946">
            <w:pPr>
              <w:snapToGrid w:val="0"/>
              <w:spacing w:line="560" w:lineRule="exact"/>
              <w:rPr>
                <w:rFonts w:hint="default" w:ascii="Times New Roman" w:hAnsi="Times New Roman" w:eastAsia="仿宋_GB2312" w:cs="Times New Roman"/>
                <w:color w:val="auto"/>
                <w:sz w:val="32"/>
                <w:szCs w:val="32"/>
                <w:highlight w:val="none"/>
                <w:vertAlign w:val="baseline"/>
              </w:rPr>
            </w:pPr>
          </w:p>
        </w:tc>
        <w:tc>
          <w:tcPr>
            <w:tcW w:w="5145" w:type="dxa"/>
            <w:noWrap w:val="0"/>
            <w:vAlign w:val="center"/>
          </w:tcPr>
          <w:p w14:paraId="11CCDB31">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2.客户投诉处理情况。</w:t>
            </w:r>
          </w:p>
        </w:tc>
        <w:tc>
          <w:tcPr>
            <w:tcW w:w="5370" w:type="dxa"/>
            <w:noWrap w:val="0"/>
            <w:vAlign w:val="center"/>
          </w:tcPr>
          <w:p w14:paraId="4C1CE5E8">
            <w:pPr>
              <w:snapToGrid w:val="0"/>
              <w:spacing w:line="560" w:lineRule="exact"/>
              <w:jc w:val="both"/>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查看客户投诉处理记录及处理情况。</w:t>
            </w:r>
          </w:p>
        </w:tc>
      </w:tr>
      <w:tr w14:paraId="1232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3255" w:type="dxa"/>
            <w:vMerge w:val="restart"/>
            <w:noWrap w:val="0"/>
            <w:vAlign w:val="center"/>
          </w:tcPr>
          <w:p w14:paraId="68363C5D">
            <w:pPr>
              <w:snapToGrid w:val="0"/>
              <w:spacing w:line="560" w:lineRule="exact"/>
              <w:rPr>
                <w:rFonts w:hint="default" w:ascii="Times New Roman" w:hAnsi="Times New Roman" w:eastAsia="仿宋_GB2312" w:cs="Times New Roman"/>
                <w:color w:val="auto"/>
                <w:sz w:val="32"/>
                <w:szCs w:val="32"/>
                <w:highlight w:val="none"/>
                <w:vertAlign w:val="baseline"/>
                <w:lang w:eastAsia="zh-CN"/>
              </w:rPr>
            </w:pPr>
            <w:r>
              <w:rPr>
                <w:rFonts w:hint="default" w:ascii="Times New Roman" w:hAnsi="Times New Roman" w:eastAsia="仿宋_GB2312" w:cs="Times New Roman"/>
                <w:color w:val="auto"/>
                <w:sz w:val="32"/>
                <w:szCs w:val="32"/>
                <w:highlight w:val="none"/>
                <w:vertAlign w:val="baseline"/>
                <w:lang w:eastAsia="zh-CN"/>
              </w:rPr>
              <w:t>八、整改落实情况</w:t>
            </w:r>
          </w:p>
        </w:tc>
        <w:tc>
          <w:tcPr>
            <w:tcW w:w="5145" w:type="dxa"/>
            <w:noWrap w:val="0"/>
            <w:vAlign w:val="center"/>
          </w:tcPr>
          <w:p w14:paraId="5242848E">
            <w:pPr>
              <w:snapToGrid w:val="0"/>
              <w:spacing w:line="560" w:lineRule="exact"/>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2023</w:t>
            </w:r>
            <w:r>
              <w:rPr>
                <w:rFonts w:hint="default" w:ascii="Times New Roman" w:hAnsi="Times New Roman" w:eastAsia="仿宋_GB2312" w:cs="Times New Roman"/>
                <w:color w:val="auto"/>
                <w:sz w:val="32"/>
                <w:szCs w:val="32"/>
                <w:highlight w:val="none"/>
                <w:lang w:val="en-US" w:eastAsia="zh-CN"/>
              </w:rPr>
              <w:t>年现场检查发现问题整改事项落实情况。</w:t>
            </w:r>
          </w:p>
        </w:tc>
        <w:tc>
          <w:tcPr>
            <w:tcW w:w="5370" w:type="dxa"/>
            <w:noWrap w:val="0"/>
            <w:vAlign w:val="center"/>
          </w:tcPr>
          <w:p w14:paraId="1D501E5E">
            <w:pPr>
              <w:snapToGrid w:val="0"/>
              <w:spacing w:line="560" w:lineRule="exact"/>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查阅与整改问题有关的资料。</w:t>
            </w:r>
          </w:p>
        </w:tc>
      </w:tr>
      <w:tr w14:paraId="73FA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3255" w:type="dxa"/>
            <w:vMerge w:val="continue"/>
            <w:noWrap w:val="0"/>
            <w:vAlign w:val="center"/>
          </w:tcPr>
          <w:p w14:paraId="2AB5F4D7">
            <w:pPr>
              <w:snapToGrid w:val="0"/>
              <w:spacing w:line="560" w:lineRule="exact"/>
              <w:rPr>
                <w:rFonts w:hint="default" w:ascii="Times New Roman" w:hAnsi="Times New Roman" w:eastAsia="仿宋_GB2312" w:cs="Times New Roman"/>
                <w:color w:val="auto"/>
                <w:sz w:val="32"/>
                <w:szCs w:val="32"/>
                <w:highlight w:val="none"/>
                <w:vertAlign w:val="baseline"/>
                <w:lang w:eastAsia="zh-CN"/>
              </w:rPr>
            </w:pPr>
          </w:p>
        </w:tc>
        <w:tc>
          <w:tcPr>
            <w:tcW w:w="5145" w:type="dxa"/>
            <w:noWrap w:val="0"/>
            <w:vAlign w:val="center"/>
          </w:tcPr>
          <w:p w14:paraId="1084050B">
            <w:pPr>
              <w:numPr>
                <w:ilvl w:val="0"/>
                <w:numId w:val="5"/>
              </w:numPr>
              <w:snapToGrid w:val="0"/>
              <w:spacing w:line="560" w:lineRule="exact"/>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属地监管部门要求整改事项的落实情况。</w:t>
            </w:r>
          </w:p>
          <w:p w14:paraId="79A74E75">
            <w:pPr>
              <w:widowControl w:val="0"/>
              <w:numPr>
                <w:ilvl w:val="0"/>
                <w:numId w:val="0"/>
              </w:numPr>
              <w:snapToGrid w:val="0"/>
              <w:spacing w:line="560" w:lineRule="exact"/>
              <w:jc w:val="both"/>
              <w:rPr>
                <w:rFonts w:hint="default" w:ascii="Times New Roman" w:hAnsi="Times New Roman" w:eastAsia="仿宋_GB2312" w:cs="Times New Roman"/>
                <w:color w:val="auto"/>
                <w:sz w:val="32"/>
                <w:szCs w:val="32"/>
                <w:highlight w:val="none"/>
                <w:lang w:val="en-US" w:eastAsia="zh-CN"/>
              </w:rPr>
            </w:pPr>
          </w:p>
        </w:tc>
        <w:tc>
          <w:tcPr>
            <w:tcW w:w="5370" w:type="dxa"/>
            <w:noWrap w:val="0"/>
            <w:vAlign w:val="center"/>
          </w:tcPr>
          <w:p w14:paraId="728BE48A">
            <w:pPr>
              <w:snapToGrid w:val="0"/>
              <w:spacing w:line="560" w:lineRule="exact"/>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查阅属地监管部门出具的函件及与整改问题有关的资料。</w:t>
            </w:r>
          </w:p>
        </w:tc>
      </w:tr>
      <w:tr w14:paraId="2BD1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7" w:hRule="atLeast"/>
        </w:trPr>
        <w:tc>
          <w:tcPr>
            <w:tcW w:w="3255" w:type="dxa"/>
            <w:noWrap w:val="0"/>
            <w:vAlign w:val="center"/>
          </w:tcPr>
          <w:p w14:paraId="4CDA24E5">
            <w:pPr>
              <w:snapToGrid w:val="0"/>
              <w:spacing w:line="560" w:lineRule="exact"/>
              <w:rPr>
                <w:rFonts w:hint="default" w:ascii="Times New Roman" w:hAnsi="Times New Roman" w:eastAsia="仿宋_GB2312" w:cs="Times New Roman"/>
                <w:color w:val="auto"/>
                <w:sz w:val="32"/>
                <w:szCs w:val="32"/>
                <w:highlight w:val="none"/>
                <w:vertAlign w:val="baseline"/>
                <w:lang w:eastAsia="zh-CN"/>
              </w:rPr>
            </w:pPr>
            <w:r>
              <w:rPr>
                <w:rFonts w:hint="eastAsia" w:ascii="Times New Roman" w:hAnsi="Times New Roman" w:eastAsia="仿宋_GB2312" w:cs="Times New Roman"/>
                <w:color w:val="auto"/>
                <w:sz w:val="32"/>
                <w:szCs w:val="32"/>
                <w:highlight w:val="none"/>
                <w:vertAlign w:val="baseline"/>
                <w:lang w:eastAsia="zh-CN"/>
              </w:rPr>
              <w:t>九、业务区域</w:t>
            </w:r>
          </w:p>
        </w:tc>
        <w:tc>
          <w:tcPr>
            <w:tcW w:w="5145" w:type="dxa"/>
            <w:noWrap w:val="0"/>
            <w:vAlign w:val="center"/>
          </w:tcPr>
          <w:p w14:paraId="08BBA9C9">
            <w:pPr>
              <w:widowControl w:val="0"/>
              <w:numPr>
                <w:ilvl w:val="0"/>
                <w:numId w:val="0"/>
              </w:numPr>
              <w:snapToGrid w:val="0"/>
              <w:spacing w:line="560" w:lineRule="exact"/>
              <w:jc w:val="both"/>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是否有跨省展业情况</w:t>
            </w:r>
          </w:p>
        </w:tc>
        <w:tc>
          <w:tcPr>
            <w:tcW w:w="5370" w:type="dxa"/>
            <w:noWrap w:val="0"/>
            <w:vAlign w:val="center"/>
          </w:tcPr>
          <w:p w14:paraId="05809B28">
            <w:pPr>
              <w:snapToGrid w:val="0"/>
              <w:spacing w:line="560" w:lineRule="exact"/>
              <w:jc w:val="both"/>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查看交易场所后台系统（交易员账户进入）</w:t>
            </w:r>
            <w:r>
              <w:rPr>
                <w:rFonts w:hint="eastAsia" w:ascii="Times New Roman" w:hAnsi="Times New Roman" w:eastAsia="仿宋_GB2312" w:cs="Times New Roman"/>
                <w:color w:val="auto"/>
                <w:sz w:val="32"/>
                <w:szCs w:val="32"/>
                <w:highlight w:val="none"/>
                <w:lang w:eastAsia="zh-CN"/>
              </w:rPr>
              <w:t>。</w:t>
            </w:r>
          </w:p>
        </w:tc>
      </w:tr>
    </w:tbl>
    <w:p w14:paraId="6A592F53">
      <w:pPr>
        <w:jc w:val="both"/>
        <w:rPr>
          <w:rFonts w:hint="default" w:ascii="Times New Roman" w:hAnsi="Times New Roman" w:eastAsia="方正小标宋_GBK" w:cs="Times New Roman"/>
          <w:color w:val="auto"/>
          <w:sz w:val="24"/>
          <w:szCs w:val="24"/>
          <w:highlight w:val="none"/>
          <w:lang w:eastAsia="zh-CN"/>
        </w:rPr>
      </w:pPr>
    </w:p>
    <w:p w14:paraId="63A0F711">
      <w:pPr>
        <w:jc w:val="lef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eastAsia="zh-CN"/>
        </w:rPr>
        <w:br w:type="page"/>
      </w:r>
      <w:r>
        <w:rPr>
          <w:rFonts w:hint="default" w:ascii="Times New Roman" w:hAnsi="Times New Roman" w:eastAsia="黑体" w:cs="Times New Roman"/>
          <w:color w:val="auto"/>
          <w:sz w:val="32"/>
          <w:szCs w:val="32"/>
          <w:highlight w:val="none"/>
          <w:lang w:eastAsia="zh-CN"/>
        </w:rPr>
        <w:t>附件</w:t>
      </w:r>
      <w:r>
        <w:rPr>
          <w:rFonts w:hint="eastAsia" w:eastAsia="黑体" w:cs="Times New Roman"/>
          <w:color w:val="auto"/>
          <w:sz w:val="32"/>
          <w:szCs w:val="32"/>
          <w:highlight w:val="none"/>
          <w:lang w:val="en-US" w:eastAsia="zh-CN"/>
        </w:rPr>
        <w:t>9</w:t>
      </w:r>
    </w:p>
    <w:p w14:paraId="19B20784">
      <w:pPr>
        <w:jc w:val="center"/>
        <w:rPr>
          <w:rFonts w:hint="default" w:ascii="Times New Roman" w:hAnsi="Times New Roman" w:eastAsia="方正小标宋_GBK" w:cs="Times New Roman"/>
          <w:b w:val="0"/>
          <w:bCs w:val="0"/>
          <w:color w:val="auto"/>
          <w:sz w:val="44"/>
          <w:szCs w:val="44"/>
          <w:highlight w:val="none"/>
          <w:vertAlign w:val="baseline"/>
          <w:lang w:eastAsia="zh-CN"/>
        </w:rPr>
      </w:pPr>
      <w:r>
        <w:rPr>
          <w:rFonts w:hint="default" w:ascii="Times New Roman" w:hAnsi="Times New Roman" w:eastAsia="方正小标宋_GBK" w:cs="Times New Roman"/>
          <w:b w:val="0"/>
          <w:bCs w:val="0"/>
          <w:color w:val="auto"/>
          <w:sz w:val="44"/>
          <w:szCs w:val="44"/>
          <w:highlight w:val="none"/>
          <w:vertAlign w:val="baseline"/>
          <w:lang w:eastAsia="zh-CN"/>
        </w:rPr>
        <w:t>权益类交易场所重点检查项目清单</w:t>
      </w:r>
    </w:p>
    <w:p w14:paraId="357D53FB">
      <w:pPr>
        <w:pStyle w:val="2"/>
        <w:rPr>
          <w:rFonts w:hint="default"/>
          <w:color w:val="auto"/>
          <w:highlight w:val="none"/>
          <w:lang w:eastAsia="zh-CN"/>
        </w:rPr>
      </w:pPr>
    </w:p>
    <w:p w14:paraId="0EF0A121">
      <w:pPr>
        <w:jc w:val="center"/>
        <w:rPr>
          <w:rFonts w:hint="default" w:ascii="Times New Roman" w:hAnsi="Times New Roman" w:eastAsia="仿宋_GB2312" w:cs="Times New Roman"/>
          <w:b w:val="0"/>
          <w:bCs w:val="0"/>
          <w:color w:val="auto"/>
          <w:sz w:val="32"/>
          <w:szCs w:val="32"/>
          <w:highlight w:val="none"/>
          <w:vertAlign w:val="baseline"/>
          <w:lang w:eastAsia="zh-CN"/>
        </w:rPr>
      </w:pPr>
      <w:r>
        <w:rPr>
          <w:rFonts w:hint="default" w:ascii="Times New Roman" w:hAnsi="Times New Roman" w:eastAsia="仿宋_GB2312" w:cs="Times New Roman"/>
          <w:b w:val="0"/>
          <w:bCs w:val="0"/>
          <w:color w:val="auto"/>
          <w:sz w:val="32"/>
          <w:szCs w:val="32"/>
          <w:highlight w:val="none"/>
          <w:vertAlign w:val="baseline"/>
          <w:lang w:eastAsia="zh-CN"/>
        </w:rPr>
        <w:t>（含国有资产、林权、知识产权、农村产权、大数据类等权益类交易场所）</w:t>
      </w:r>
    </w:p>
    <w:tbl>
      <w:tblPr>
        <w:tblStyle w:val="25"/>
        <w:tblW w:w="13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5"/>
        <w:gridCol w:w="4605"/>
        <w:gridCol w:w="6075"/>
      </w:tblGrid>
      <w:tr w14:paraId="47249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255" w:type="dxa"/>
            <w:noWrap w:val="0"/>
            <w:vAlign w:val="center"/>
          </w:tcPr>
          <w:p w14:paraId="7DC8402D">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检查内容</w:t>
            </w:r>
          </w:p>
        </w:tc>
        <w:tc>
          <w:tcPr>
            <w:tcW w:w="4605" w:type="dxa"/>
            <w:noWrap w:val="0"/>
            <w:vAlign w:val="center"/>
          </w:tcPr>
          <w:p w14:paraId="43BC7FC2">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检查项目</w:t>
            </w:r>
          </w:p>
        </w:tc>
        <w:tc>
          <w:tcPr>
            <w:tcW w:w="6075" w:type="dxa"/>
            <w:noWrap w:val="0"/>
            <w:vAlign w:val="center"/>
          </w:tcPr>
          <w:p w14:paraId="22600EE7">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检查方法（供参考）</w:t>
            </w:r>
          </w:p>
        </w:tc>
      </w:tr>
      <w:tr w14:paraId="4396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3255" w:type="dxa"/>
            <w:vMerge w:val="restart"/>
            <w:noWrap w:val="0"/>
            <w:vAlign w:val="center"/>
          </w:tcPr>
          <w:p w14:paraId="672EFE87">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一、证照</w:t>
            </w:r>
          </w:p>
        </w:tc>
        <w:tc>
          <w:tcPr>
            <w:tcW w:w="4605" w:type="dxa"/>
            <w:noWrap w:val="0"/>
            <w:vAlign w:val="center"/>
          </w:tcPr>
          <w:p w14:paraId="1B80F3F5">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1.营业执照和交易品种经营资质是否齐全。</w:t>
            </w:r>
          </w:p>
        </w:tc>
        <w:tc>
          <w:tcPr>
            <w:tcW w:w="6075" w:type="dxa"/>
            <w:noWrap w:val="0"/>
            <w:vAlign w:val="center"/>
          </w:tcPr>
          <w:p w14:paraId="60B7A844">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查阅营业执照、经营资质材料。</w:t>
            </w:r>
          </w:p>
        </w:tc>
      </w:tr>
      <w:tr w14:paraId="12B0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255" w:type="dxa"/>
            <w:vMerge w:val="continue"/>
            <w:noWrap w:val="0"/>
            <w:vAlign w:val="center"/>
          </w:tcPr>
          <w:p w14:paraId="7ADA0795">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p>
        </w:tc>
        <w:tc>
          <w:tcPr>
            <w:tcW w:w="4605" w:type="dxa"/>
            <w:noWrap w:val="0"/>
            <w:vAlign w:val="center"/>
          </w:tcPr>
          <w:p w14:paraId="3787BF17">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2.注册资本、控股股东、高管履历是否符合相关规定要求。</w:t>
            </w:r>
          </w:p>
        </w:tc>
        <w:tc>
          <w:tcPr>
            <w:tcW w:w="6075" w:type="dxa"/>
            <w:noWrap w:val="0"/>
            <w:vAlign w:val="center"/>
          </w:tcPr>
          <w:p w14:paraId="0C9DE80B">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查阅营业执照，公司章程，股东大会、董事会人事任免材料等。</w:t>
            </w:r>
          </w:p>
        </w:tc>
      </w:tr>
      <w:tr w14:paraId="1259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3255" w:type="dxa"/>
            <w:vMerge w:val="restart"/>
            <w:noWrap w:val="0"/>
            <w:vAlign w:val="center"/>
          </w:tcPr>
          <w:p w14:paraId="1980FFA4">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二、财务及资金托管状况</w:t>
            </w:r>
          </w:p>
        </w:tc>
        <w:tc>
          <w:tcPr>
            <w:tcW w:w="4605" w:type="dxa"/>
            <w:noWrap w:val="0"/>
            <w:vAlign w:val="center"/>
          </w:tcPr>
          <w:p w14:paraId="112FB426">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1.公司资产、负债、所有者权益、实收资本、资本公积、盈余公积、未分配利润等指标。</w:t>
            </w:r>
          </w:p>
        </w:tc>
        <w:tc>
          <w:tcPr>
            <w:tcW w:w="6075" w:type="dxa"/>
            <w:noWrap w:val="0"/>
            <w:vAlign w:val="center"/>
          </w:tcPr>
          <w:p w14:paraId="0DC15E83">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查阅财务报表、审计报告等材料。</w:t>
            </w:r>
          </w:p>
        </w:tc>
      </w:tr>
      <w:tr w14:paraId="7F26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3255" w:type="dxa"/>
            <w:vMerge w:val="continue"/>
            <w:noWrap w:val="0"/>
            <w:vAlign w:val="center"/>
          </w:tcPr>
          <w:p w14:paraId="631A7791">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p>
        </w:tc>
        <w:tc>
          <w:tcPr>
            <w:tcW w:w="4605" w:type="dxa"/>
            <w:noWrap w:val="0"/>
            <w:vAlign w:val="center"/>
          </w:tcPr>
          <w:p w14:paraId="12196085">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2.是否存在账外经营行为，财务信息，银行流水等原始材料是否真实、完整。</w:t>
            </w:r>
          </w:p>
        </w:tc>
        <w:tc>
          <w:tcPr>
            <w:tcW w:w="6075" w:type="dxa"/>
            <w:noWrap w:val="0"/>
            <w:vAlign w:val="center"/>
          </w:tcPr>
          <w:p w14:paraId="1F2A2BDD">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查阅财务报表、审计报告、原始凭证、银行流水等材料。</w:t>
            </w:r>
          </w:p>
        </w:tc>
      </w:tr>
      <w:tr w14:paraId="7845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255" w:type="dxa"/>
            <w:vMerge w:val="continue"/>
            <w:noWrap w:val="0"/>
            <w:vAlign w:val="center"/>
          </w:tcPr>
          <w:p w14:paraId="60279881">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p>
        </w:tc>
        <w:tc>
          <w:tcPr>
            <w:tcW w:w="4605" w:type="dxa"/>
            <w:noWrap w:val="0"/>
            <w:vAlign w:val="center"/>
          </w:tcPr>
          <w:p w14:paraId="29438DB6">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3.是否建立第三方存管。</w:t>
            </w:r>
          </w:p>
        </w:tc>
        <w:tc>
          <w:tcPr>
            <w:tcW w:w="6075" w:type="dxa"/>
            <w:noWrap w:val="0"/>
            <w:vAlign w:val="center"/>
          </w:tcPr>
          <w:p w14:paraId="3219464E">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查阅与银行签订的第三方存管协议，开户情况，客户资金管理情况。</w:t>
            </w:r>
          </w:p>
        </w:tc>
      </w:tr>
      <w:tr w14:paraId="415C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255" w:type="dxa"/>
            <w:vMerge w:val="continue"/>
            <w:noWrap w:val="0"/>
            <w:vAlign w:val="center"/>
          </w:tcPr>
          <w:p w14:paraId="6E943F10">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p>
        </w:tc>
        <w:tc>
          <w:tcPr>
            <w:tcW w:w="4605" w:type="dxa"/>
            <w:noWrap w:val="0"/>
            <w:vAlign w:val="center"/>
          </w:tcPr>
          <w:p w14:paraId="730A95A4">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4.客户资金管理。</w:t>
            </w:r>
          </w:p>
        </w:tc>
        <w:tc>
          <w:tcPr>
            <w:tcW w:w="6075" w:type="dxa"/>
            <w:noWrap w:val="0"/>
            <w:vAlign w:val="center"/>
          </w:tcPr>
          <w:p w14:paraId="67099F64">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查阅交易资金结算记录，客户资金出入记录。</w:t>
            </w:r>
          </w:p>
        </w:tc>
      </w:tr>
      <w:tr w14:paraId="64E7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255" w:type="dxa"/>
            <w:vMerge w:val="continue"/>
            <w:noWrap w:val="0"/>
            <w:vAlign w:val="center"/>
          </w:tcPr>
          <w:p w14:paraId="4DB25602">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p>
        </w:tc>
        <w:tc>
          <w:tcPr>
            <w:tcW w:w="4605" w:type="dxa"/>
            <w:noWrap w:val="0"/>
            <w:vAlign w:val="center"/>
          </w:tcPr>
          <w:p w14:paraId="22056370">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5.风险准备金提取情况。</w:t>
            </w:r>
          </w:p>
        </w:tc>
        <w:tc>
          <w:tcPr>
            <w:tcW w:w="6075" w:type="dxa"/>
            <w:noWrap w:val="0"/>
            <w:vAlign w:val="center"/>
          </w:tcPr>
          <w:p w14:paraId="78210A76">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查阅财务、银行有关材料。</w:t>
            </w:r>
          </w:p>
        </w:tc>
      </w:tr>
      <w:tr w14:paraId="74DC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5" w:type="dxa"/>
            <w:vMerge w:val="restart"/>
            <w:noWrap w:val="0"/>
            <w:vAlign w:val="center"/>
          </w:tcPr>
          <w:p w14:paraId="2D00C3AC">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三、管理制度</w:t>
            </w:r>
          </w:p>
        </w:tc>
        <w:tc>
          <w:tcPr>
            <w:tcW w:w="4605" w:type="dxa"/>
            <w:noWrap w:val="0"/>
            <w:vAlign w:val="center"/>
          </w:tcPr>
          <w:p w14:paraId="27E3115F">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1.管理制度是否健全完善。</w:t>
            </w:r>
          </w:p>
        </w:tc>
        <w:tc>
          <w:tcPr>
            <w:tcW w:w="6075" w:type="dxa"/>
            <w:noWrap w:val="0"/>
            <w:vAlign w:val="center"/>
          </w:tcPr>
          <w:p w14:paraId="7689313D">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查阅公司章程、交易制度、结算制度、风控制度、会议记录、代理机构名册等相关台账资料。</w:t>
            </w:r>
          </w:p>
        </w:tc>
      </w:tr>
      <w:tr w14:paraId="4CB7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255" w:type="dxa"/>
            <w:vMerge w:val="continue"/>
            <w:noWrap w:val="0"/>
            <w:vAlign w:val="center"/>
          </w:tcPr>
          <w:p w14:paraId="031AF8C6">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p>
        </w:tc>
        <w:tc>
          <w:tcPr>
            <w:tcW w:w="4605" w:type="dxa"/>
            <w:noWrap w:val="0"/>
            <w:vAlign w:val="center"/>
          </w:tcPr>
          <w:p w14:paraId="6633EF96">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2.公司架构、分支机构、会员机构情况。</w:t>
            </w:r>
          </w:p>
        </w:tc>
        <w:tc>
          <w:tcPr>
            <w:tcW w:w="6075" w:type="dxa"/>
            <w:noWrap w:val="0"/>
            <w:vAlign w:val="center"/>
          </w:tcPr>
          <w:p w14:paraId="795F7E5D">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查阅公司章程、组织结构图、会议纪要、业务合作协议等资料。</w:t>
            </w:r>
          </w:p>
        </w:tc>
      </w:tr>
      <w:tr w14:paraId="6F18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3255" w:type="dxa"/>
            <w:vMerge w:val="restart"/>
            <w:noWrap w:val="0"/>
            <w:vAlign w:val="center"/>
          </w:tcPr>
          <w:p w14:paraId="047F371A">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四、交易品种</w:t>
            </w:r>
          </w:p>
        </w:tc>
        <w:tc>
          <w:tcPr>
            <w:tcW w:w="4605" w:type="dxa"/>
            <w:noWrap w:val="0"/>
            <w:vAlign w:val="center"/>
          </w:tcPr>
          <w:p w14:paraId="7E953320">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1.交易品种种类。</w:t>
            </w:r>
          </w:p>
        </w:tc>
        <w:tc>
          <w:tcPr>
            <w:tcW w:w="6075" w:type="dxa"/>
            <w:noWrap w:val="0"/>
            <w:vAlign w:val="center"/>
          </w:tcPr>
          <w:p w14:paraId="17881B18">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查阅公司章程、营业执照经营范围、会议纪要及业务规章等资料并列明具体种类。</w:t>
            </w:r>
          </w:p>
        </w:tc>
      </w:tr>
      <w:tr w14:paraId="151A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255" w:type="dxa"/>
            <w:vMerge w:val="continue"/>
            <w:noWrap w:val="0"/>
            <w:vAlign w:val="center"/>
          </w:tcPr>
          <w:p w14:paraId="0FA24193">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p>
        </w:tc>
        <w:tc>
          <w:tcPr>
            <w:tcW w:w="4605" w:type="dxa"/>
            <w:noWrap w:val="0"/>
            <w:vAlign w:val="center"/>
          </w:tcPr>
          <w:p w14:paraId="21669E32">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2.交易模式。</w:t>
            </w:r>
          </w:p>
        </w:tc>
        <w:tc>
          <w:tcPr>
            <w:tcW w:w="6075" w:type="dxa"/>
            <w:noWrap w:val="0"/>
            <w:vAlign w:val="center"/>
          </w:tcPr>
          <w:p w14:paraId="3B65040D">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查阅交易品种合约、交易规则及业务管理细则等资料，查看交易场所后台系统（交易员账户进入），与公司经营管理人员谈话。</w:t>
            </w:r>
          </w:p>
        </w:tc>
      </w:tr>
      <w:tr w14:paraId="052D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255" w:type="dxa"/>
            <w:vMerge w:val="continue"/>
            <w:noWrap w:val="0"/>
            <w:vAlign w:val="center"/>
          </w:tcPr>
          <w:p w14:paraId="27348CD3">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p>
        </w:tc>
        <w:tc>
          <w:tcPr>
            <w:tcW w:w="4605" w:type="dxa"/>
            <w:noWrap w:val="0"/>
            <w:vAlign w:val="center"/>
          </w:tcPr>
          <w:p w14:paraId="284F7805">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3．交易品种是否报有关部门审批或向有关部门报备。</w:t>
            </w:r>
          </w:p>
        </w:tc>
        <w:tc>
          <w:tcPr>
            <w:tcW w:w="6075" w:type="dxa"/>
            <w:noWrap w:val="0"/>
            <w:vAlign w:val="center"/>
          </w:tcPr>
          <w:p w14:paraId="4AE5A5F1">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查阅会议纪要、公司发文及批复文件等资料。</w:t>
            </w:r>
          </w:p>
        </w:tc>
      </w:tr>
      <w:tr w14:paraId="51E2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3255" w:type="dxa"/>
            <w:vMerge w:val="continue"/>
            <w:noWrap w:val="0"/>
            <w:vAlign w:val="center"/>
          </w:tcPr>
          <w:p w14:paraId="3F8F8120">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p>
        </w:tc>
        <w:tc>
          <w:tcPr>
            <w:tcW w:w="4605" w:type="dxa"/>
            <w:noWrap w:val="0"/>
            <w:vAlign w:val="center"/>
          </w:tcPr>
          <w:p w14:paraId="7CE65118">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4.是否从事保险、信贷、黄金等须经国务院相关金融管理部门批准的金融产品交易。</w:t>
            </w:r>
          </w:p>
        </w:tc>
        <w:tc>
          <w:tcPr>
            <w:tcW w:w="6075" w:type="dxa"/>
            <w:noWrap w:val="0"/>
            <w:vAlign w:val="center"/>
          </w:tcPr>
          <w:p w14:paraId="278DBFFE">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查阅公司章程、营业执照经营范围、会议纪要、业务规章、业务合约等资料。</w:t>
            </w:r>
          </w:p>
        </w:tc>
      </w:tr>
      <w:tr w14:paraId="20BF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255" w:type="dxa"/>
            <w:vMerge w:val="continue"/>
            <w:noWrap w:val="0"/>
            <w:vAlign w:val="center"/>
          </w:tcPr>
          <w:p w14:paraId="3CE72128">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p>
        </w:tc>
        <w:tc>
          <w:tcPr>
            <w:tcW w:w="4605" w:type="dxa"/>
            <w:noWrap w:val="0"/>
            <w:vAlign w:val="center"/>
          </w:tcPr>
          <w:p w14:paraId="120D8283">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5.是否从事邮票、金银纪念币、磁卡等违规交易。</w:t>
            </w:r>
          </w:p>
        </w:tc>
        <w:tc>
          <w:tcPr>
            <w:tcW w:w="6075" w:type="dxa"/>
            <w:noWrap w:val="0"/>
            <w:vAlign w:val="center"/>
          </w:tcPr>
          <w:p w14:paraId="074227C9">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查阅公司章程、营业执照经营范围、会议纪要、业务规章、业务合约等资料。</w:t>
            </w:r>
          </w:p>
        </w:tc>
      </w:tr>
      <w:tr w14:paraId="086F7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5" w:type="dxa"/>
            <w:vMerge w:val="restart"/>
            <w:noWrap w:val="0"/>
            <w:vAlign w:val="center"/>
          </w:tcPr>
          <w:p w14:paraId="510A1298">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五、交易方式</w:t>
            </w:r>
          </w:p>
        </w:tc>
        <w:tc>
          <w:tcPr>
            <w:tcW w:w="4605" w:type="dxa"/>
            <w:noWrap w:val="0"/>
            <w:vAlign w:val="center"/>
          </w:tcPr>
          <w:p w14:paraId="15CF1B12">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1.交易方式类型。</w:t>
            </w:r>
          </w:p>
        </w:tc>
        <w:tc>
          <w:tcPr>
            <w:tcW w:w="6075" w:type="dxa"/>
            <w:noWrap w:val="0"/>
            <w:vAlign w:val="center"/>
          </w:tcPr>
          <w:p w14:paraId="7C929330">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查阅业务管理办法和客户合同等资料，与公司经营管理人员谈话，列明交易场所采取的交易方式。查看交易场所后台系统（交易员账户进入），查询某个交易品种当日委托、成交情况，查看并复制历史委托成交记录和客户交易账单备查。</w:t>
            </w:r>
          </w:p>
        </w:tc>
      </w:tr>
      <w:tr w14:paraId="03C0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255" w:type="dxa"/>
            <w:vMerge w:val="continue"/>
            <w:noWrap w:val="0"/>
            <w:vAlign w:val="center"/>
          </w:tcPr>
          <w:p w14:paraId="55511645">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p>
        </w:tc>
        <w:tc>
          <w:tcPr>
            <w:tcW w:w="4605" w:type="dxa"/>
            <w:noWrap w:val="0"/>
            <w:vAlign w:val="center"/>
          </w:tcPr>
          <w:p w14:paraId="5CC6769E">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2.保证金比例。</w:t>
            </w:r>
          </w:p>
        </w:tc>
        <w:tc>
          <w:tcPr>
            <w:tcW w:w="6075" w:type="dxa"/>
            <w:noWrap w:val="0"/>
            <w:vAlign w:val="center"/>
          </w:tcPr>
          <w:p w14:paraId="244D269C">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查阅业务管理办法和客户合同等资料，查看交易场所后台系统（交易员账户进入）。</w:t>
            </w:r>
          </w:p>
        </w:tc>
      </w:tr>
      <w:tr w14:paraId="353C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3255" w:type="dxa"/>
            <w:vMerge w:val="continue"/>
            <w:noWrap w:val="0"/>
            <w:vAlign w:val="center"/>
          </w:tcPr>
          <w:p w14:paraId="566B25BA">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p>
        </w:tc>
        <w:tc>
          <w:tcPr>
            <w:tcW w:w="4605" w:type="dxa"/>
            <w:noWrap w:val="0"/>
            <w:vAlign w:val="center"/>
          </w:tcPr>
          <w:p w14:paraId="1E99F8B4">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3.是否将交易标的有关权益拆分为均等份额公开发行。</w:t>
            </w:r>
          </w:p>
        </w:tc>
        <w:tc>
          <w:tcPr>
            <w:tcW w:w="6075" w:type="dxa"/>
            <w:noWrap w:val="0"/>
            <w:vAlign w:val="center"/>
          </w:tcPr>
          <w:p w14:paraId="6346BAD3">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查阅业务管理办法和客户合同等资料，查看交易场所后台系统（交易员账户进入）。</w:t>
            </w:r>
          </w:p>
        </w:tc>
      </w:tr>
      <w:tr w14:paraId="54AC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3255" w:type="dxa"/>
            <w:vMerge w:val="continue"/>
            <w:noWrap w:val="0"/>
            <w:vAlign w:val="center"/>
          </w:tcPr>
          <w:p w14:paraId="7ED1633A">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p>
        </w:tc>
        <w:tc>
          <w:tcPr>
            <w:tcW w:w="4605" w:type="dxa"/>
            <w:noWrap w:val="0"/>
            <w:vAlign w:val="center"/>
          </w:tcPr>
          <w:p w14:paraId="6E047D25">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4.是否采用集中交易方式进行交易（含集合竞价、连续竞价、电子撮合、匿名交易、做市商等方式）。</w:t>
            </w:r>
          </w:p>
        </w:tc>
        <w:tc>
          <w:tcPr>
            <w:tcW w:w="6075" w:type="dxa"/>
            <w:noWrap w:val="0"/>
            <w:vAlign w:val="center"/>
          </w:tcPr>
          <w:p w14:paraId="1119A59E">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查阅业务管理办法和客户合同等资料，查看交易场所后台系统（交易员账户进入）。</w:t>
            </w:r>
          </w:p>
        </w:tc>
      </w:tr>
      <w:tr w14:paraId="5390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3255" w:type="dxa"/>
            <w:vMerge w:val="continue"/>
            <w:noWrap w:val="0"/>
            <w:vAlign w:val="center"/>
          </w:tcPr>
          <w:p w14:paraId="4B2E29F6">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p>
        </w:tc>
        <w:tc>
          <w:tcPr>
            <w:tcW w:w="4605" w:type="dxa"/>
            <w:noWrap w:val="0"/>
            <w:vAlign w:val="center"/>
          </w:tcPr>
          <w:p w14:paraId="49164A4D">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5.投资者买入后卖出或者卖出后买入同一交易品种的时间间隔是否为5个交易日或5个交易日以上。</w:t>
            </w:r>
          </w:p>
        </w:tc>
        <w:tc>
          <w:tcPr>
            <w:tcW w:w="6075" w:type="dxa"/>
            <w:noWrap w:val="0"/>
            <w:vAlign w:val="center"/>
          </w:tcPr>
          <w:p w14:paraId="28BD507F">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查阅业务管理办法和客户合同等资料，查看交易场所后台系统（交易员账户进入）。重点关注是否存在连续现货交易方式。</w:t>
            </w:r>
          </w:p>
        </w:tc>
      </w:tr>
      <w:tr w14:paraId="3C4C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3255" w:type="dxa"/>
            <w:vMerge w:val="continue"/>
            <w:noWrap w:val="0"/>
            <w:vAlign w:val="center"/>
          </w:tcPr>
          <w:p w14:paraId="0CEE75CF">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p>
        </w:tc>
        <w:tc>
          <w:tcPr>
            <w:tcW w:w="4605" w:type="dxa"/>
            <w:noWrap w:val="0"/>
            <w:vAlign w:val="center"/>
          </w:tcPr>
          <w:p w14:paraId="0A005F0A">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6.是否存在单个交易标的投资者累计超过200人。</w:t>
            </w:r>
          </w:p>
        </w:tc>
        <w:tc>
          <w:tcPr>
            <w:tcW w:w="6075" w:type="dxa"/>
            <w:noWrap w:val="0"/>
            <w:vAlign w:val="center"/>
          </w:tcPr>
          <w:p w14:paraId="50AD86BC">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查阅业务管理办法和客户合同等资料，查看交易场所后台系统（交易员账户进入）。</w:t>
            </w:r>
          </w:p>
        </w:tc>
      </w:tr>
      <w:tr w14:paraId="182D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3255" w:type="dxa"/>
            <w:vMerge w:val="continue"/>
            <w:noWrap w:val="0"/>
            <w:vAlign w:val="center"/>
          </w:tcPr>
          <w:p w14:paraId="1DEFFE2B">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p>
        </w:tc>
        <w:tc>
          <w:tcPr>
            <w:tcW w:w="4605" w:type="dxa"/>
            <w:noWrap w:val="0"/>
            <w:vAlign w:val="center"/>
          </w:tcPr>
          <w:p w14:paraId="4D3F9333">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7.是否存在以集中交易方式进行标准化合约交易。</w:t>
            </w:r>
          </w:p>
        </w:tc>
        <w:tc>
          <w:tcPr>
            <w:tcW w:w="6075" w:type="dxa"/>
            <w:noWrap w:val="0"/>
            <w:vAlign w:val="center"/>
          </w:tcPr>
          <w:p w14:paraId="3DCDFA54">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查阅业务管理办法和客户合同等资料，查看交易场所后台系统（交易员账户进入）。</w:t>
            </w:r>
          </w:p>
        </w:tc>
      </w:tr>
      <w:tr w14:paraId="2212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255" w:type="dxa"/>
            <w:vMerge w:val="restart"/>
            <w:noWrap w:val="0"/>
            <w:vAlign w:val="center"/>
          </w:tcPr>
          <w:p w14:paraId="0CCA3A09">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六、信访投诉</w:t>
            </w:r>
          </w:p>
        </w:tc>
        <w:tc>
          <w:tcPr>
            <w:tcW w:w="4605" w:type="dxa"/>
            <w:noWrap w:val="0"/>
            <w:vAlign w:val="top"/>
          </w:tcPr>
          <w:p w14:paraId="49A285C9">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1.是否建立客户投诉处理机制。</w:t>
            </w:r>
          </w:p>
        </w:tc>
        <w:tc>
          <w:tcPr>
            <w:tcW w:w="6075" w:type="dxa"/>
            <w:noWrap w:val="0"/>
            <w:vAlign w:val="top"/>
          </w:tcPr>
          <w:p w14:paraId="3765D75A">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查看相关制度、工作记录等，公司管理层对客户投诉处理的专题研究会议记录等。</w:t>
            </w:r>
          </w:p>
        </w:tc>
      </w:tr>
      <w:tr w14:paraId="5449E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255" w:type="dxa"/>
            <w:vMerge w:val="continue"/>
            <w:noWrap w:val="0"/>
            <w:vAlign w:val="center"/>
          </w:tcPr>
          <w:p w14:paraId="056AAA44">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p>
        </w:tc>
        <w:tc>
          <w:tcPr>
            <w:tcW w:w="4605" w:type="dxa"/>
            <w:noWrap w:val="0"/>
            <w:vAlign w:val="top"/>
          </w:tcPr>
          <w:p w14:paraId="73DDA072">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2.客户投诉处理情况。</w:t>
            </w:r>
          </w:p>
        </w:tc>
        <w:tc>
          <w:tcPr>
            <w:tcW w:w="6075" w:type="dxa"/>
            <w:noWrap w:val="0"/>
            <w:vAlign w:val="top"/>
          </w:tcPr>
          <w:p w14:paraId="01599380">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查看客户投诉处理记录及处理情况。</w:t>
            </w:r>
          </w:p>
        </w:tc>
      </w:tr>
      <w:tr w14:paraId="5E6C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3255" w:type="dxa"/>
            <w:vMerge w:val="restart"/>
            <w:noWrap w:val="0"/>
            <w:vAlign w:val="center"/>
          </w:tcPr>
          <w:p w14:paraId="52454F6F">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七、整改落实情况</w:t>
            </w:r>
          </w:p>
        </w:tc>
        <w:tc>
          <w:tcPr>
            <w:tcW w:w="4605" w:type="dxa"/>
            <w:noWrap w:val="0"/>
            <w:vAlign w:val="top"/>
          </w:tcPr>
          <w:p w14:paraId="7598C171">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1.2023年现场检查发现问题整改事项落实情况。</w:t>
            </w:r>
          </w:p>
        </w:tc>
        <w:tc>
          <w:tcPr>
            <w:tcW w:w="6075" w:type="dxa"/>
            <w:noWrap w:val="0"/>
            <w:vAlign w:val="top"/>
          </w:tcPr>
          <w:p w14:paraId="5A2B2A19">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查阅与整改问题有关的资料</w:t>
            </w:r>
          </w:p>
        </w:tc>
      </w:tr>
      <w:tr w14:paraId="2DEF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5" w:type="dxa"/>
            <w:vMerge w:val="continue"/>
            <w:noWrap w:val="0"/>
            <w:vAlign w:val="center"/>
          </w:tcPr>
          <w:p w14:paraId="0DCBF4FF">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p>
        </w:tc>
        <w:tc>
          <w:tcPr>
            <w:tcW w:w="4605" w:type="dxa"/>
            <w:noWrap w:val="0"/>
            <w:vAlign w:val="top"/>
          </w:tcPr>
          <w:p w14:paraId="42CFEFB8">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2.属地监管部门要求整改事项的落实情况。</w:t>
            </w:r>
          </w:p>
        </w:tc>
        <w:tc>
          <w:tcPr>
            <w:tcW w:w="6075" w:type="dxa"/>
            <w:noWrap w:val="0"/>
            <w:vAlign w:val="top"/>
          </w:tcPr>
          <w:p w14:paraId="3FAF9FBD">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查阅属地监管部门出具的函件及与整改问题有关的资料。</w:t>
            </w:r>
          </w:p>
        </w:tc>
      </w:tr>
      <w:tr w14:paraId="62B9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5" w:type="dxa"/>
            <w:noWrap w:val="0"/>
            <w:vAlign w:val="center"/>
          </w:tcPr>
          <w:p w14:paraId="4EB34018">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八、业务区域</w:t>
            </w:r>
          </w:p>
        </w:tc>
        <w:tc>
          <w:tcPr>
            <w:tcW w:w="4605" w:type="dxa"/>
            <w:noWrap w:val="0"/>
            <w:vAlign w:val="top"/>
          </w:tcPr>
          <w:p w14:paraId="2E660B3D">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是否有跨省展业情况</w:t>
            </w:r>
          </w:p>
        </w:tc>
        <w:tc>
          <w:tcPr>
            <w:tcW w:w="6075" w:type="dxa"/>
            <w:noWrap w:val="0"/>
            <w:vAlign w:val="top"/>
          </w:tcPr>
          <w:p w14:paraId="2524AB10">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查看交易场所后台系统（交易员账户进入）。</w:t>
            </w:r>
          </w:p>
        </w:tc>
      </w:tr>
    </w:tbl>
    <w:p w14:paraId="2E572AE5">
      <w:pPr>
        <w:rPr>
          <w:color w:val="auto"/>
          <w:highlight w:val="none"/>
        </w:rPr>
      </w:pPr>
    </w:p>
    <w:p w14:paraId="4B4B320B">
      <w:pPr>
        <w:rPr>
          <w:rFonts w:hint="eastAsia" w:ascii="黑体" w:hAnsi="黑体" w:eastAsia="黑体" w:cs="黑体"/>
          <w:color w:val="auto"/>
          <w:sz w:val="32"/>
          <w:szCs w:val="32"/>
          <w:highlight w:val="none"/>
        </w:rPr>
        <w:sectPr>
          <w:pgSz w:w="16838" w:h="11906" w:orient="landscape"/>
          <w:pgMar w:top="1797" w:right="1440" w:bottom="1797" w:left="1440" w:header="851" w:footer="992" w:gutter="0"/>
          <w:cols w:space="720" w:num="1"/>
        </w:sectPr>
      </w:pPr>
    </w:p>
    <w:p w14:paraId="520A50F0">
      <w:pPr>
        <w:widowControl/>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10</w:t>
      </w:r>
      <w:r>
        <w:rPr>
          <w:rFonts w:hint="eastAsia" w:ascii="黑体" w:hAnsi="黑体" w:eastAsia="黑体" w:cs="黑体"/>
          <w:color w:val="auto"/>
          <w:sz w:val="32"/>
          <w:szCs w:val="32"/>
          <w:highlight w:val="none"/>
        </w:rPr>
        <w:t>：</w:t>
      </w:r>
    </w:p>
    <w:p w14:paraId="746A0CEE">
      <w:pPr>
        <w:pStyle w:val="12"/>
        <w:jc w:val="center"/>
        <w:rPr>
          <w:b/>
          <w:color w:val="auto"/>
          <w:sz w:val="28"/>
          <w:szCs w:val="28"/>
          <w:highlight w:val="none"/>
        </w:rPr>
      </w:pPr>
      <w:r>
        <w:rPr>
          <w:rFonts w:hint="eastAsia"/>
          <w:b/>
          <w:color w:val="auto"/>
          <w:sz w:val="28"/>
          <w:szCs w:val="28"/>
          <w:highlight w:val="none"/>
        </w:rPr>
        <w:t>中小企业划型标准规定</w:t>
      </w:r>
    </w:p>
    <w:p w14:paraId="31FED026">
      <w:pPr>
        <w:pStyle w:val="12"/>
        <w:jc w:val="center"/>
        <w:rPr>
          <w:rFonts w:ascii="宋体" w:hAnsi="宋体"/>
          <w:color w:val="auto"/>
          <w:szCs w:val="21"/>
          <w:highlight w:val="none"/>
        </w:rPr>
      </w:pPr>
      <w:r>
        <w:rPr>
          <w:rFonts w:hint="eastAsia" w:ascii="宋体" w:hAnsi="宋体"/>
          <w:color w:val="auto"/>
          <w:szCs w:val="21"/>
          <w:highlight w:val="none"/>
        </w:rPr>
        <w:t>工信部联企业〔2011〕300号</w:t>
      </w:r>
    </w:p>
    <w:p w14:paraId="3866062A">
      <w:pPr>
        <w:pStyle w:val="12"/>
        <w:rPr>
          <w:color w:val="auto"/>
          <w:sz w:val="24"/>
          <w:szCs w:val="21"/>
          <w:highlight w:val="none"/>
        </w:rPr>
      </w:pPr>
    </w:p>
    <w:p w14:paraId="38A97F74">
      <w:pPr>
        <w:pStyle w:val="12"/>
        <w:rPr>
          <w:color w:val="auto"/>
          <w:szCs w:val="21"/>
          <w:highlight w:val="none"/>
        </w:rPr>
      </w:pPr>
      <w:r>
        <w:rPr>
          <w:rFonts w:hint="eastAsia"/>
          <w:color w:val="auto"/>
          <w:szCs w:val="21"/>
          <w:highlight w:val="none"/>
        </w:rPr>
        <w:t>　　一、根据《中华人民共和国中小企业促进法》和《国务院关于进一步促进中小企业发展的若干意见》</w:t>
      </w:r>
      <w:r>
        <w:rPr>
          <w:color w:val="auto"/>
          <w:szCs w:val="21"/>
          <w:highlight w:val="none"/>
        </w:rPr>
        <w:t>(</w:t>
      </w:r>
      <w:r>
        <w:rPr>
          <w:rFonts w:hint="eastAsia"/>
          <w:color w:val="auto"/>
          <w:szCs w:val="21"/>
          <w:highlight w:val="none"/>
        </w:rPr>
        <w:t>国发</w:t>
      </w:r>
      <w:r>
        <w:rPr>
          <w:rFonts w:hint="eastAsia" w:ascii="宋体" w:hAnsi="宋体"/>
          <w:color w:val="auto"/>
          <w:szCs w:val="21"/>
          <w:highlight w:val="none"/>
        </w:rPr>
        <w:t>〔2009〕36号</w:t>
      </w:r>
      <w:r>
        <w:rPr>
          <w:color w:val="auto"/>
          <w:szCs w:val="21"/>
          <w:highlight w:val="none"/>
        </w:rPr>
        <w:t>)</w:t>
      </w:r>
      <w:r>
        <w:rPr>
          <w:rFonts w:hint="eastAsia"/>
          <w:color w:val="auto"/>
          <w:szCs w:val="21"/>
          <w:highlight w:val="none"/>
        </w:rPr>
        <w:t>，制定本规定。</w:t>
      </w:r>
    </w:p>
    <w:p w14:paraId="44C0112E">
      <w:pPr>
        <w:pStyle w:val="12"/>
        <w:rPr>
          <w:color w:val="auto"/>
          <w:szCs w:val="21"/>
          <w:highlight w:val="none"/>
        </w:rPr>
      </w:pPr>
      <w:r>
        <w:rPr>
          <w:rFonts w:hint="eastAsia"/>
          <w:color w:val="auto"/>
          <w:szCs w:val="21"/>
          <w:highlight w:val="none"/>
        </w:rPr>
        <w:t>　　二、中小企业划分为中型、小型、微型三种类型，具体标准根据企业从业人员、营业收入、资产总额等指标，结合行业特点制定。</w:t>
      </w:r>
    </w:p>
    <w:p w14:paraId="6FD45FFF">
      <w:pPr>
        <w:pStyle w:val="12"/>
        <w:rPr>
          <w:color w:val="auto"/>
          <w:szCs w:val="21"/>
          <w:highlight w:val="none"/>
        </w:rPr>
      </w:pPr>
      <w:r>
        <w:rPr>
          <w:rFonts w:hint="eastAsia"/>
          <w:color w:val="auto"/>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6A9344D">
      <w:pPr>
        <w:pStyle w:val="12"/>
        <w:rPr>
          <w:color w:val="auto"/>
          <w:szCs w:val="21"/>
          <w:highlight w:val="none"/>
        </w:rPr>
      </w:pPr>
      <w:r>
        <w:rPr>
          <w:rFonts w:hint="eastAsia"/>
          <w:color w:val="auto"/>
          <w:szCs w:val="21"/>
          <w:highlight w:val="none"/>
        </w:rPr>
        <w:t>　　四、各行业划型标准为：</w:t>
      </w:r>
    </w:p>
    <w:p w14:paraId="742EA93E">
      <w:pPr>
        <w:pStyle w:val="12"/>
        <w:rPr>
          <w:color w:val="auto"/>
          <w:szCs w:val="21"/>
          <w:highlight w:val="none"/>
        </w:rPr>
      </w:pPr>
      <w:r>
        <w:rPr>
          <w:rFonts w:hint="eastAsia"/>
          <w:color w:val="auto"/>
          <w:szCs w:val="21"/>
          <w:highlight w:val="none"/>
        </w:rPr>
        <w:t>　　（一）农、林、牧、渔业。营业收入</w:t>
      </w:r>
      <w:r>
        <w:rPr>
          <w:color w:val="auto"/>
          <w:szCs w:val="21"/>
          <w:highlight w:val="none"/>
        </w:rPr>
        <w:t>20000</w:t>
      </w:r>
      <w:r>
        <w:rPr>
          <w:rFonts w:hint="eastAsia"/>
          <w:color w:val="auto"/>
          <w:szCs w:val="21"/>
          <w:highlight w:val="none"/>
        </w:rPr>
        <w:t>万元以下的为中小微型企业。其中，营业收入</w:t>
      </w:r>
      <w:r>
        <w:rPr>
          <w:color w:val="auto"/>
          <w:szCs w:val="21"/>
          <w:highlight w:val="none"/>
        </w:rPr>
        <w:t>500</w:t>
      </w:r>
      <w:r>
        <w:rPr>
          <w:rFonts w:hint="eastAsia"/>
          <w:color w:val="auto"/>
          <w:szCs w:val="21"/>
          <w:highlight w:val="none"/>
        </w:rPr>
        <w:t>万元及以上的为中型企业，营业收入</w:t>
      </w:r>
      <w:r>
        <w:rPr>
          <w:color w:val="auto"/>
          <w:szCs w:val="21"/>
          <w:highlight w:val="none"/>
        </w:rPr>
        <w:t>50</w:t>
      </w:r>
      <w:r>
        <w:rPr>
          <w:rFonts w:hint="eastAsia"/>
          <w:color w:val="auto"/>
          <w:szCs w:val="21"/>
          <w:highlight w:val="none"/>
        </w:rPr>
        <w:t>万元及以上的为小型企业，营业收入</w:t>
      </w:r>
      <w:r>
        <w:rPr>
          <w:color w:val="auto"/>
          <w:szCs w:val="21"/>
          <w:highlight w:val="none"/>
        </w:rPr>
        <w:t>50</w:t>
      </w:r>
      <w:r>
        <w:rPr>
          <w:rFonts w:hint="eastAsia"/>
          <w:color w:val="auto"/>
          <w:szCs w:val="21"/>
          <w:highlight w:val="none"/>
        </w:rPr>
        <w:t>万元以下的为微型企业。</w:t>
      </w:r>
    </w:p>
    <w:p w14:paraId="01C920B1">
      <w:pPr>
        <w:pStyle w:val="12"/>
        <w:rPr>
          <w:color w:val="auto"/>
          <w:szCs w:val="21"/>
          <w:highlight w:val="none"/>
        </w:rPr>
      </w:pPr>
      <w:r>
        <w:rPr>
          <w:rFonts w:hint="eastAsia"/>
          <w:color w:val="auto"/>
          <w:szCs w:val="21"/>
          <w:highlight w:val="none"/>
        </w:rPr>
        <w:t>　　（二）工业。从业人员</w:t>
      </w:r>
      <w:r>
        <w:rPr>
          <w:color w:val="auto"/>
          <w:szCs w:val="21"/>
          <w:highlight w:val="none"/>
        </w:rPr>
        <w:t>1000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300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300</w:t>
      </w:r>
      <w:r>
        <w:rPr>
          <w:rFonts w:hint="eastAsia"/>
          <w:color w:val="auto"/>
          <w:szCs w:val="21"/>
          <w:highlight w:val="none"/>
        </w:rPr>
        <w:t>万元以下的为微型企业。</w:t>
      </w:r>
    </w:p>
    <w:p w14:paraId="49929F97">
      <w:pPr>
        <w:pStyle w:val="12"/>
        <w:rPr>
          <w:color w:val="auto"/>
          <w:szCs w:val="21"/>
          <w:highlight w:val="none"/>
        </w:rPr>
      </w:pPr>
      <w:r>
        <w:rPr>
          <w:rFonts w:hint="eastAsia"/>
          <w:color w:val="auto"/>
          <w:szCs w:val="21"/>
          <w:highlight w:val="none"/>
        </w:rPr>
        <w:t>　　（三）建筑业。营业收入</w:t>
      </w:r>
      <w:r>
        <w:rPr>
          <w:color w:val="auto"/>
          <w:szCs w:val="21"/>
          <w:highlight w:val="none"/>
        </w:rPr>
        <w:t>80000</w:t>
      </w:r>
      <w:r>
        <w:rPr>
          <w:rFonts w:hint="eastAsia"/>
          <w:color w:val="auto"/>
          <w:szCs w:val="21"/>
          <w:highlight w:val="none"/>
        </w:rPr>
        <w:t>万元以下或资产总额</w:t>
      </w:r>
      <w:r>
        <w:rPr>
          <w:color w:val="auto"/>
          <w:szCs w:val="21"/>
          <w:highlight w:val="none"/>
        </w:rPr>
        <w:t>80000</w:t>
      </w:r>
      <w:r>
        <w:rPr>
          <w:rFonts w:hint="eastAsia"/>
          <w:color w:val="auto"/>
          <w:szCs w:val="21"/>
          <w:highlight w:val="none"/>
        </w:rPr>
        <w:t>万元以下的为中小微型企业。其中，营业收入</w:t>
      </w:r>
      <w:r>
        <w:rPr>
          <w:color w:val="auto"/>
          <w:szCs w:val="21"/>
          <w:highlight w:val="none"/>
        </w:rPr>
        <w:t>6000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300</w:t>
      </w:r>
      <w:r>
        <w:rPr>
          <w:rFonts w:hint="eastAsia"/>
          <w:color w:val="auto"/>
          <w:szCs w:val="21"/>
          <w:highlight w:val="none"/>
        </w:rPr>
        <w:t>万元及以上，且资产总额</w:t>
      </w:r>
      <w:r>
        <w:rPr>
          <w:color w:val="auto"/>
          <w:szCs w:val="21"/>
          <w:highlight w:val="none"/>
        </w:rPr>
        <w:t>300</w:t>
      </w:r>
      <w:r>
        <w:rPr>
          <w:rFonts w:hint="eastAsia"/>
          <w:color w:val="auto"/>
          <w:szCs w:val="21"/>
          <w:highlight w:val="none"/>
        </w:rPr>
        <w:t>万元及以上的为小型企业；营业收入</w:t>
      </w:r>
      <w:r>
        <w:rPr>
          <w:color w:val="auto"/>
          <w:szCs w:val="21"/>
          <w:highlight w:val="none"/>
        </w:rPr>
        <w:t>300</w:t>
      </w:r>
      <w:r>
        <w:rPr>
          <w:rFonts w:hint="eastAsia"/>
          <w:color w:val="auto"/>
          <w:szCs w:val="21"/>
          <w:highlight w:val="none"/>
        </w:rPr>
        <w:t>万元以下或资产总额</w:t>
      </w:r>
      <w:r>
        <w:rPr>
          <w:color w:val="auto"/>
          <w:szCs w:val="21"/>
          <w:highlight w:val="none"/>
        </w:rPr>
        <w:t>300</w:t>
      </w:r>
      <w:r>
        <w:rPr>
          <w:rFonts w:hint="eastAsia"/>
          <w:color w:val="auto"/>
          <w:szCs w:val="21"/>
          <w:highlight w:val="none"/>
        </w:rPr>
        <w:t>万元以下的为微型企业。</w:t>
      </w:r>
    </w:p>
    <w:p w14:paraId="6DC6C334">
      <w:pPr>
        <w:pStyle w:val="12"/>
        <w:rPr>
          <w:color w:val="auto"/>
          <w:szCs w:val="21"/>
          <w:highlight w:val="none"/>
        </w:rPr>
      </w:pPr>
      <w:r>
        <w:rPr>
          <w:rFonts w:hint="eastAsia"/>
          <w:color w:val="auto"/>
          <w:szCs w:val="21"/>
          <w:highlight w:val="none"/>
        </w:rPr>
        <w:t>　　（四）批发业。从业人员</w:t>
      </w:r>
      <w:r>
        <w:rPr>
          <w:color w:val="auto"/>
          <w:szCs w:val="21"/>
          <w:highlight w:val="none"/>
        </w:rPr>
        <w:t>200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20</w:t>
      </w:r>
      <w:r>
        <w:rPr>
          <w:rFonts w:hint="eastAsia"/>
          <w:color w:val="auto"/>
          <w:szCs w:val="21"/>
          <w:highlight w:val="none"/>
        </w:rPr>
        <w:t>人及以上，且营业收入</w:t>
      </w:r>
      <w:r>
        <w:rPr>
          <w:color w:val="auto"/>
          <w:szCs w:val="21"/>
          <w:highlight w:val="none"/>
        </w:rPr>
        <w:t>5000</w:t>
      </w:r>
      <w:r>
        <w:rPr>
          <w:rFonts w:hint="eastAsia"/>
          <w:color w:val="auto"/>
          <w:szCs w:val="21"/>
          <w:highlight w:val="none"/>
        </w:rPr>
        <w:t>万元及以上的为中型企业；从业人员</w:t>
      </w:r>
      <w:r>
        <w:rPr>
          <w:color w:val="auto"/>
          <w:szCs w:val="21"/>
          <w:highlight w:val="none"/>
        </w:rPr>
        <w:t>5</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万元及以上的为小型企业；从业人员</w:t>
      </w:r>
      <w:r>
        <w:rPr>
          <w:color w:val="auto"/>
          <w:szCs w:val="21"/>
          <w:highlight w:val="none"/>
        </w:rPr>
        <w:t>5</w:t>
      </w:r>
      <w:r>
        <w:rPr>
          <w:rFonts w:hint="eastAsia"/>
          <w:color w:val="auto"/>
          <w:szCs w:val="21"/>
          <w:highlight w:val="none"/>
        </w:rPr>
        <w:t>人以下或营业收入</w:t>
      </w:r>
      <w:r>
        <w:rPr>
          <w:color w:val="auto"/>
          <w:szCs w:val="21"/>
          <w:highlight w:val="none"/>
        </w:rPr>
        <w:t>1000</w:t>
      </w:r>
      <w:r>
        <w:rPr>
          <w:rFonts w:hint="eastAsia"/>
          <w:color w:val="auto"/>
          <w:szCs w:val="21"/>
          <w:highlight w:val="none"/>
        </w:rPr>
        <w:t>万元以下的为微型企业。</w:t>
      </w:r>
    </w:p>
    <w:p w14:paraId="3F46C785">
      <w:pPr>
        <w:pStyle w:val="12"/>
        <w:rPr>
          <w:color w:val="auto"/>
          <w:szCs w:val="21"/>
          <w:highlight w:val="none"/>
        </w:rPr>
      </w:pPr>
      <w:r>
        <w:rPr>
          <w:rFonts w:hint="eastAsia"/>
          <w:color w:val="auto"/>
          <w:szCs w:val="21"/>
          <w:highlight w:val="none"/>
        </w:rPr>
        <w:t>　　（五）零售业。从业人员</w:t>
      </w:r>
      <w:r>
        <w:rPr>
          <w:color w:val="auto"/>
          <w:szCs w:val="21"/>
          <w:highlight w:val="none"/>
        </w:rPr>
        <w:t>300</w:t>
      </w:r>
      <w:r>
        <w:rPr>
          <w:rFonts w:hint="eastAsia"/>
          <w:color w:val="auto"/>
          <w:szCs w:val="21"/>
          <w:highlight w:val="none"/>
        </w:rPr>
        <w:t>人以下或营业收入</w:t>
      </w:r>
      <w:r>
        <w:rPr>
          <w:color w:val="auto"/>
          <w:szCs w:val="21"/>
          <w:highlight w:val="none"/>
        </w:rPr>
        <w:t>20000</w:t>
      </w:r>
      <w:r>
        <w:rPr>
          <w:rFonts w:hint="eastAsia"/>
          <w:color w:val="auto"/>
          <w:szCs w:val="21"/>
          <w:highlight w:val="none"/>
        </w:rPr>
        <w:t>万元以下的为中小微型企业。其中，从业人员</w:t>
      </w:r>
      <w:r>
        <w:rPr>
          <w:color w:val="auto"/>
          <w:szCs w:val="21"/>
          <w:highlight w:val="none"/>
        </w:rPr>
        <w:t>50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59328B94">
      <w:pPr>
        <w:pStyle w:val="12"/>
        <w:rPr>
          <w:color w:val="auto"/>
          <w:szCs w:val="21"/>
          <w:highlight w:val="none"/>
        </w:rPr>
      </w:pPr>
      <w:r>
        <w:rPr>
          <w:rFonts w:hint="eastAsia"/>
          <w:color w:val="auto"/>
          <w:szCs w:val="21"/>
          <w:highlight w:val="none"/>
        </w:rPr>
        <w:t>　　（六）交通运输业。从业人员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3000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200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200</w:t>
      </w:r>
      <w:r>
        <w:rPr>
          <w:rFonts w:hint="eastAsia"/>
          <w:color w:val="auto"/>
          <w:szCs w:val="21"/>
          <w:highlight w:val="none"/>
        </w:rPr>
        <w:t>万元以下的为微型企业。</w:t>
      </w:r>
    </w:p>
    <w:p w14:paraId="762A6E21">
      <w:pPr>
        <w:pStyle w:val="12"/>
        <w:rPr>
          <w:color w:val="auto"/>
          <w:szCs w:val="21"/>
          <w:highlight w:val="none"/>
        </w:rPr>
      </w:pPr>
      <w:r>
        <w:rPr>
          <w:rFonts w:hint="eastAsia"/>
          <w:color w:val="auto"/>
          <w:szCs w:val="21"/>
          <w:highlight w:val="none"/>
        </w:rPr>
        <w:t>　　（七）仓储业。从业人员</w:t>
      </w:r>
      <w:r>
        <w:rPr>
          <w:color w:val="auto"/>
          <w:szCs w:val="21"/>
          <w:highlight w:val="none"/>
        </w:rPr>
        <w:t>200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6FAEC335">
      <w:pPr>
        <w:pStyle w:val="12"/>
        <w:rPr>
          <w:color w:val="auto"/>
          <w:szCs w:val="21"/>
          <w:highlight w:val="none"/>
        </w:rPr>
      </w:pPr>
      <w:r>
        <w:rPr>
          <w:rFonts w:hint="eastAsia"/>
          <w:color w:val="auto"/>
          <w:szCs w:val="21"/>
          <w:highlight w:val="none"/>
        </w:rPr>
        <w:t>　　（八）邮政业。从业人员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4844AB85">
      <w:pPr>
        <w:pStyle w:val="12"/>
        <w:rPr>
          <w:color w:val="auto"/>
          <w:szCs w:val="21"/>
          <w:highlight w:val="none"/>
        </w:rPr>
      </w:pPr>
      <w:r>
        <w:rPr>
          <w:rFonts w:hint="eastAsia"/>
          <w:color w:val="auto"/>
          <w:szCs w:val="21"/>
          <w:highlight w:val="none"/>
        </w:rPr>
        <w:t>　　（九）住宿业。从业人员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362BC50E">
      <w:pPr>
        <w:pStyle w:val="12"/>
        <w:rPr>
          <w:color w:val="auto"/>
          <w:szCs w:val="21"/>
          <w:highlight w:val="none"/>
        </w:rPr>
      </w:pPr>
      <w:r>
        <w:rPr>
          <w:rFonts w:hint="eastAsia"/>
          <w:color w:val="auto"/>
          <w:szCs w:val="21"/>
          <w:highlight w:val="none"/>
        </w:rPr>
        <w:t>　　（十）餐饮业。从业人员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39B7165E">
      <w:pPr>
        <w:pStyle w:val="12"/>
        <w:rPr>
          <w:color w:val="auto"/>
          <w:szCs w:val="21"/>
          <w:highlight w:val="none"/>
        </w:rPr>
      </w:pPr>
      <w:r>
        <w:rPr>
          <w:rFonts w:hint="eastAsia"/>
          <w:color w:val="auto"/>
          <w:szCs w:val="21"/>
          <w:highlight w:val="none"/>
        </w:rPr>
        <w:t>　　（十一）信息传输业。从业人员</w:t>
      </w:r>
      <w:r>
        <w:rPr>
          <w:color w:val="auto"/>
          <w:szCs w:val="21"/>
          <w:highlight w:val="none"/>
        </w:rPr>
        <w:t>2000</w:t>
      </w:r>
      <w:r>
        <w:rPr>
          <w:rFonts w:hint="eastAsia"/>
          <w:color w:val="auto"/>
          <w:szCs w:val="21"/>
          <w:highlight w:val="none"/>
        </w:rPr>
        <w:t>人以下或营业收入</w:t>
      </w:r>
      <w:r>
        <w:rPr>
          <w:color w:val="auto"/>
          <w:szCs w:val="21"/>
          <w:highlight w:val="none"/>
        </w:rPr>
        <w:t>100000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5B14C6D9">
      <w:pPr>
        <w:pStyle w:val="12"/>
        <w:rPr>
          <w:color w:val="auto"/>
          <w:szCs w:val="21"/>
          <w:highlight w:val="none"/>
        </w:rPr>
      </w:pPr>
      <w:r>
        <w:rPr>
          <w:rFonts w:hint="eastAsia"/>
          <w:color w:val="auto"/>
          <w:szCs w:val="21"/>
          <w:highlight w:val="none"/>
        </w:rPr>
        <w:t>　　（十二）软件和信息技术服务业。从业人员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50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50</w:t>
      </w:r>
      <w:r>
        <w:rPr>
          <w:rFonts w:hint="eastAsia"/>
          <w:color w:val="auto"/>
          <w:szCs w:val="21"/>
          <w:highlight w:val="none"/>
        </w:rPr>
        <w:t>万元以下的为微型企业。</w:t>
      </w:r>
    </w:p>
    <w:p w14:paraId="4C9A5DA7">
      <w:pPr>
        <w:pStyle w:val="12"/>
        <w:rPr>
          <w:color w:val="auto"/>
          <w:szCs w:val="21"/>
          <w:highlight w:val="none"/>
        </w:rPr>
      </w:pPr>
      <w:r>
        <w:rPr>
          <w:rFonts w:hint="eastAsia"/>
          <w:color w:val="auto"/>
          <w:szCs w:val="21"/>
          <w:highlight w:val="none"/>
        </w:rPr>
        <w:t>　　（十三）房地产开发经营。营业收入</w:t>
      </w:r>
      <w:r>
        <w:rPr>
          <w:color w:val="auto"/>
          <w:szCs w:val="21"/>
          <w:highlight w:val="none"/>
        </w:rPr>
        <w:t>200000</w:t>
      </w:r>
      <w:r>
        <w:rPr>
          <w:rFonts w:hint="eastAsia"/>
          <w:color w:val="auto"/>
          <w:szCs w:val="21"/>
          <w:highlight w:val="none"/>
        </w:rPr>
        <w:t>万元以下或资产总额</w:t>
      </w:r>
      <w:r>
        <w:rPr>
          <w:color w:val="auto"/>
          <w:szCs w:val="21"/>
          <w:highlight w:val="none"/>
        </w:rPr>
        <w:t>10000</w:t>
      </w:r>
      <w:r>
        <w:rPr>
          <w:rFonts w:hint="eastAsia"/>
          <w:color w:val="auto"/>
          <w:szCs w:val="21"/>
          <w:highlight w:val="none"/>
        </w:rPr>
        <w:t>万元以下的为中小微型企业。其中，营业收入</w:t>
      </w:r>
      <w:r>
        <w:rPr>
          <w:color w:val="auto"/>
          <w:szCs w:val="21"/>
          <w:highlight w:val="none"/>
        </w:rPr>
        <w:t>1000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100</w:t>
      </w:r>
      <w:r>
        <w:rPr>
          <w:rFonts w:hint="eastAsia"/>
          <w:color w:val="auto"/>
          <w:szCs w:val="21"/>
          <w:highlight w:val="none"/>
        </w:rPr>
        <w:t>万元及以上，且资产总额</w:t>
      </w:r>
      <w:r>
        <w:rPr>
          <w:color w:val="auto"/>
          <w:szCs w:val="21"/>
          <w:highlight w:val="none"/>
        </w:rPr>
        <w:t>2000</w:t>
      </w:r>
      <w:r>
        <w:rPr>
          <w:rFonts w:hint="eastAsia"/>
          <w:color w:val="auto"/>
          <w:szCs w:val="21"/>
          <w:highlight w:val="none"/>
        </w:rPr>
        <w:t>万元及以上的为小型企业；营业收入</w:t>
      </w:r>
      <w:r>
        <w:rPr>
          <w:color w:val="auto"/>
          <w:szCs w:val="21"/>
          <w:highlight w:val="none"/>
        </w:rPr>
        <w:t>100</w:t>
      </w:r>
      <w:r>
        <w:rPr>
          <w:rFonts w:hint="eastAsia"/>
          <w:color w:val="auto"/>
          <w:szCs w:val="21"/>
          <w:highlight w:val="none"/>
        </w:rPr>
        <w:t>万元以下或资产总额</w:t>
      </w:r>
      <w:r>
        <w:rPr>
          <w:color w:val="auto"/>
          <w:szCs w:val="21"/>
          <w:highlight w:val="none"/>
        </w:rPr>
        <w:t>2000</w:t>
      </w:r>
      <w:r>
        <w:rPr>
          <w:rFonts w:hint="eastAsia"/>
          <w:color w:val="auto"/>
          <w:szCs w:val="21"/>
          <w:highlight w:val="none"/>
        </w:rPr>
        <w:t>万元以下的为微型企业。</w:t>
      </w:r>
    </w:p>
    <w:p w14:paraId="0060F2C8">
      <w:pPr>
        <w:pStyle w:val="12"/>
        <w:rPr>
          <w:color w:val="auto"/>
          <w:szCs w:val="21"/>
          <w:highlight w:val="none"/>
        </w:rPr>
      </w:pPr>
      <w:r>
        <w:rPr>
          <w:rFonts w:hint="eastAsia"/>
          <w:color w:val="auto"/>
          <w:szCs w:val="21"/>
          <w:highlight w:val="none"/>
        </w:rPr>
        <w:t>　　（十四）物业管理。从业人员</w:t>
      </w:r>
      <w:r>
        <w:rPr>
          <w:color w:val="auto"/>
          <w:szCs w:val="21"/>
          <w:highlight w:val="none"/>
        </w:rPr>
        <w:t>1000</w:t>
      </w:r>
      <w:r>
        <w:rPr>
          <w:rFonts w:hint="eastAsia"/>
          <w:color w:val="auto"/>
          <w:szCs w:val="21"/>
          <w:highlight w:val="none"/>
        </w:rPr>
        <w:t>人以下或营业收入</w:t>
      </w:r>
      <w:r>
        <w:rPr>
          <w:color w:val="auto"/>
          <w:szCs w:val="21"/>
          <w:highlight w:val="none"/>
        </w:rPr>
        <w:t>5000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万元及以上的为小型企业；从业人员</w:t>
      </w:r>
      <w:r>
        <w:rPr>
          <w:color w:val="auto"/>
          <w:szCs w:val="21"/>
          <w:highlight w:val="none"/>
        </w:rPr>
        <w:t>100</w:t>
      </w:r>
      <w:r>
        <w:rPr>
          <w:rFonts w:hint="eastAsia"/>
          <w:color w:val="auto"/>
          <w:szCs w:val="21"/>
          <w:highlight w:val="none"/>
        </w:rPr>
        <w:t>人以下或营业收入</w:t>
      </w:r>
      <w:r>
        <w:rPr>
          <w:color w:val="auto"/>
          <w:szCs w:val="21"/>
          <w:highlight w:val="none"/>
        </w:rPr>
        <w:t>500</w:t>
      </w:r>
      <w:r>
        <w:rPr>
          <w:rFonts w:hint="eastAsia"/>
          <w:color w:val="auto"/>
          <w:szCs w:val="21"/>
          <w:highlight w:val="none"/>
        </w:rPr>
        <w:t>万元以下的为微型企业。</w:t>
      </w:r>
    </w:p>
    <w:p w14:paraId="368007CF">
      <w:pPr>
        <w:pStyle w:val="12"/>
        <w:rPr>
          <w:color w:val="auto"/>
          <w:szCs w:val="21"/>
          <w:highlight w:val="none"/>
        </w:rPr>
      </w:pPr>
      <w:r>
        <w:rPr>
          <w:rFonts w:hint="eastAsia"/>
          <w:color w:val="auto"/>
          <w:szCs w:val="21"/>
          <w:highlight w:val="none"/>
        </w:rPr>
        <w:t>　　（十五）租赁和商务服务业。从业人员</w:t>
      </w:r>
      <w:r>
        <w:rPr>
          <w:color w:val="auto"/>
          <w:szCs w:val="21"/>
          <w:highlight w:val="none"/>
        </w:rPr>
        <w:t>300</w:t>
      </w:r>
      <w:r>
        <w:rPr>
          <w:rFonts w:hint="eastAsia"/>
          <w:color w:val="auto"/>
          <w:szCs w:val="21"/>
          <w:highlight w:val="none"/>
        </w:rPr>
        <w:t>人以下或资产总额</w:t>
      </w:r>
      <w:r>
        <w:rPr>
          <w:color w:val="auto"/>
          <w:szCs w:val="21"/>
          <w:highlight w:val="none"/>
        </w:rPr>
        <w:t>120000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人及以上，且资产总额</w:t>
      </w:r>
      <w:r>
        <w:rPr>
          <w:color w:val="auto"/>
          <w:szCs w:val="21"/>
          <w:highlight w:val="none"/>
        </w:rPr>
        <w:t>8000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人及以上，且资产总额</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人以下或资产总额</w:t>
      </w:r>
      <w:r>
        <w:rPr>
          <w:color w:val="auto"/>
          <w:szCs w:val="21"/>
          <w:highlight w:val="none"/>
        </w:rPr>
        <w:t>100</w:t>
      </w:r>
      <w:r>
        <w:rPr>
          <w:rFonts w:hint="eastAsia"/>
          <w:color w:val="auto"/>
          <w:szCs w:val="21"/>
          <w:highlight w:val="none"/>
        </w:rPr>
        <w:t>万元以下的为微型企业。</w:t>
      </w:r>
    </w:p>
    <w:p w14:paraId="5275D3DA">
      <w:pPr>
        <w:pStyle w:val="12"/>
        <w:rPr>
          <w:color w:val="auto"/>
          <w:szCs w:val="21"/>
          <w:highlight w:val="none"/>
        </w:rPr>
      </w:pPr>
      <w:r>
        <w:rPr>
          <w:rFonts w:hint="eastAsia"/>
          <w:color w:val="auto"/>
          <w:szCs w:val="21"/>
          <w:highlight w:val="none"/>
        </w:rPr>
        <w:t>　　（十六）其他未列明行业。从业人员</w:t>
      </w:r>
      <w:r>
        <w:rPr>
          <w:color w:val="auto"/>
          <w:szCs w:val="21"/>
          <w:highlight w:val="none"/>
        </w:rPr>
        <w:t>300</w:t>
      </w:r>
      <w:r>
        <w:rPr>
          <w:rFonts w:hint="eastAsia"/>
          <w:color w:val="auto"/>
          <w:szCs w:val="21"/>
          <w:highlight w:val="none"/>
        </w:rPr>
        <w:t>人以下的为中小微型企业。其中，从业人员</w:t>
      </w:r>
      <w:r>
        <w:rPr>
          <w:color w:val="auto"/>
          <w:szCs w:val="21"/>
          <w:highlight w:val="none"/>
        </w:rPr>
        <w:t>100</w:t>
      </w:r>
      <w:r>
        <w:rPr>
          <w:rFonts w:hint="eastAsia"/>
          <w:color w:val="auto"/>
          <w:szCs w:val="21"/>
          <w:highlight w:val="none"/>
        </w:rPr>
        <w:t>人及以上的为中型企业；从业人员</w:t>
      </w:r>
      <w:r>
        <w:rPr>
          <w:color w:val="auto"/>
          <w:szCs w:val="21"/>
          <w:highlight w:val="none"/>
        </w:rPr>
        <w:t>10</w:t>
      </w:r>
      <w:r>
        <w:rPr>
          <w:rFonts w:hint="eastAsia"/>
          <w:color w:val="auto"/>
          <w:szCs w:val="21"/>
          <w:highlight w:val="none"/>
        </w:rPr>
        <w:t>人及以上的为小型企业；从业人员</w:t>
      </w:r>
      <w:r>
        <w:rPr>
          <w:color w:val="auto"/>
          <w:szCs w:val="21"/>
          <w:highlight w:val="none"/>
        </w:rPr>
        <w:t>10</w:t>
      </w:r>
      <w:r>
        <w:rPr>
          <w:rFonts w:hint="eastAsia"/>
          <w:color w:val="auto"/>
          <w:szCs w:val="21"/>
          <w:highlight w:val="none"/>
        </w:rPr>
        <w:t>人以下的为微型企业。</w:t>
      </w:r>
    </w:p>
    <w:p w14:paraId="1C58A8D3">
      <w:pPr>
        <w:pStyle w:val="12"/>
        <w:rPr>
          <w:color w:val="auto"/>
          <w:szCs w:val="21"/>
          <w:highlight w:val="none"/>
        </w:rPr>
      </w:pPr>
      <w:r>
        <w:rPr>
          <w:rFonts w:hint="eastAsia"/>
          <w:color w:val="auto"/>
          <w:szCs w:val="21"/>
          <w:highlight w:val="none"/>
        </w:rPr>
        <w:t>　　五、企业类型的划分以统计部门的统计数据为依据。</w:t>
      </w:r>
    </w:p>
    <w:p w14:paraId="23CDA2C6">
      <w:pPr>
        <w:pStyle w:val="12"/>
        <w:rPr>
          <w:color w:val="auto"/>
          <w:szCs w:val="21"/>
          <w:highlight w:val="none"/>
        </w:rPr>
      </w:pPr>
      <w:r>
        <w:rPr>
          <w:rFonts w:hint="eastAsia"/>
          <w:color w:val="auto"/>
          <w:szCs w:val="21"/>
          <w:highlight w:val="none"/>
        </w:rPr>
        <w:t>　　六、本规定适用于在中华人民共和国境内依法设立的各类所有制和各种组织形式的企业。个体工商户和本规定以外的行业，参照本规定进行划型。</w:t>
      </w:r>
    </w:p>
    <w:p w14:paraId="31BD36D2">
      <w:pPr>
        <w:pStyle w:val="12"/>
        <w:rPr>
          <w:color w:val="auto"/>
          <w:szCs w:val="21"/>
          <w:highlight w:val="none"/>
        </w:rPr>
      </w:pPr>
      <w:r>
        <w:rPr>
          <w:rFonts w:hint="eastAsia"/>
          <w:color w:val="auto"/>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80EB5EF">
      <w:pPr>
        <w:pStyle w:val="12"/>
        <w:rPr>
          <w:color w:val="auto"/>
          <w:szCs w:val="21"/>
          <w:highlight w:val="none"/>
        </w:rPr>
      </w:pPr>
      <w:r>
        <w:rPr>
          <w:rFonts w:hint="eastAsia"/>
          <w:color w:val="auto"/>
          <w:szCs w:val="21"/>
          <w:highlight w:val="none"/>
        </w:rPr>
        <w:t>　　八、本规定由工业和信息化部、国家统计局会同有关部门根据《国民经济行业分类》修订情况和企业发展变化情况适时修订。</w:t>
      </w:r>
    </w:p>
    <w:p w14:paraId="5D282B98">
      <w:pPr>
        <w:pStyle w:val="12"/>
        <w:rPr>
          <w:color w:val="auto"/>
          <w:szCs w:val="21"/>
          <w:highlight w:val="none"/>
        </w:rPr>
      </w:pPr>
      <w:r>
        <w:rPr>
          <w:rFonts w:hint="eastAsia"/>
          <w:color w:val="auto"/>
          <w:szCs w:val="21"/>
          <w:highlight w:val="none"/>
        </w:rPr>
        <w:t>　　九、本规定由工业和信息化部、国家统计局会同有关部门负责解释。</w:t>
      </w:r>
    </w:p>
    <w:p w14:paraId="09C3AD18">
      <w:pPr>
        <w:pStyle w:val="12"/>
        <w:ind w:firstLine="420"/>
        <w:rPr>
          <w:rFonts w:hint="eastAsia"/>
          <w:color w:val="auto"/>
          <w:szCs w:val="21"/>
          <w:highlight w:val="none"/>
        </w:rPr>
      </w:pPr>
      <w:r>
        <w:rPr>
          <w:rFonts w:hint="eastAsia"/>
          <w:color w:val="auto"/>
          <w:szCs w:val="21"/>
          <w:highlight w:val="none"/>
        </w:rPr>
        <w:t>十、本规定自发布之日起执行，原国家经贸委、原国家计委、财政部和国家统计局</w:t>
      </w:r>
      <w:r>
        <w:rPr>
          <w:color w:val="auto"/>
          <w:szCs w:val="21"/>
          <w:highlight w:val="none"/>
        </w:rPr>
        <w:t>2003</w:t>
      </w:r>
      <w:r>
        <w:rPr>
          <w:rFonts w:hint="eastAsia"/>
          <w:color w:val="auto"/>
          <w:szCs w:val="21"/>
          <w:highlight w:val="none"/>
        </w:rPr>
        <w:t>年颁布的《中小企业标准暂行规定》同时废止。</w:t>
      </w:r>
    </w:p>
    <w:p w14:paraId="5EC1EC02">
      <w:pPr>
        <w:ind w:firstLine="420"/>
        <w:rPr>
          <w:rFonts w:hint="eastAsia"/>
          <w:color w:val="auto"/>
          <w:szCs w:val="21"/>
          <w:highlight w:val="none"/>
        </w:rPr>
      </w:pPr>
      <w:r>
        <w:rPr>
          <w:rFonts w:hint="eastAsia"/>
          <w:color w:val="auto"/>
          <w:szCs w:val="21"/>
          <w:highlight w:val="none"/>
        </w:rPr>
        <w:br w:type="page"/>
      </w:r>
    </w:p>
    <w:p w14:paraId="51D46080">
      <w:pPr>
        <w:pStyle w:val="2"/>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pacing w:val="0"/>
          <w:sz w:val="44"/>
          <w:szCs w:val="44"/>
          <w:highlight w:val="none"/>
          <w:lang w:val="en-US" w:eastAsia="zh-CN"/>
        </w:rPr>
        <w:t>验收</w:t>
      </w:r>
      <w:r>
        <w:rPr>
          <w:rFonts w:hint="eastAsia" w:ascii="方正小标宋简体" w:hAnsi="方正小标宋简体" w:eastAsia="方正小标宋简体" w:cs="方正小标宋简体"/>
          <w:color w:val="auto"/>
          <w:spacing w:val="0"/>
          <w:sz w:val="44"/>
          <w:szCs w:val="44"/>
          <w:highlight w:val="none"/>
        </w:rPr>
        <w:t>考核表</w:t>
      </w:r>
    </w:p>
    <w:tbl>
      <w:tblPr>
        <w:tblStyle w:val="70"/>
        <w:tblW w:w="891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6"/>
        <w:gridCol w:w="614"/>
        <w:gridCol w:w="1075"/>
        <w:gridCol w:w="2371"/>
        <w:gridCol w:w="917"/>
        <w:gridCol w:w="2331"/>
        <w:gridCol w:w="1027"/>
      </w:tblGrid>
      <w:tr w14:paraId="653F6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76" w:type="dxa"/>
            <w:noWrap w:val="0"/>
            <w:textDirection w:val="tbRlV"/>
            <w:vAlign w:val="center"/>
          </w:tcPr>
          <w:p w14:paraId="2CE6358A">
            <w:pPr>
              <w:pStyle w:val="69"/>
              <w:spacing w:before="182" w:line="209" w:lineRule="auto"/>
              <w:ind w:left="54"/>
              <w:jc w:val="center"/>
              <w:rPr>
                <w:color w:val="auto"/>
                <w:spacing w:val="0"/>
                <w:highlight w:val="none"/>
              </w:rPr>
            </w:pPr>
            <w:r>
              <w:rPr>
                <w:color w:val="auto"/>
                <w:spacing w:val="0"/>
                <w:highlight w:val="none"/>
              </w:rPr>
              <w:t>分类</w:t>
            </w:r>
          </w:p>
        </w:tc>
        <w:tc>
          <w:tcPr>
            <w:tcW w:w="614" w:type="dxa"/>
            <w:noWrap w:val="0"/>
            <w:textDirection w:val="tbRlV"/>
            <w:vAlign w:val="center"/>
          </w:tcPr>
          <w:p w14:paraId="667DF98C">
            <w:pPr>
              <w:pStyle w:val="69"/>
              <w:spacing w:before="200" w:line="211" w:lineRule="auto"/>
              <w:ind w:left="54"/>
              <w:jc w:val="center"/>
              <w:rPr>
                <w:color w:val="auto"/>
                <w:spacing w:val="0"/>
                <w:highlight w:val="none"/>
              </w:rPr>
            </w:pPr>
            <w:r>
              <w:rPr>
                <w:color w:val="auto"/>
                <w:spacing w:val="0"/>
                <w:highlight w:val="none"/>
              </w:rPr>
              <w:t>序号</w:t>
            </w:r>
          </w:p>
        </w:tc>
        <w:tc>
          <w:tcPr>
            <w:tcW w:w="1075" w:type="dxa"/>
            <w:noWrap w:val="0"/>
            <w:vAlign w:val="center"/>
          </w:tcPr>
          <w:p w14:paraId="6D0B8208">
            <w:pPr>
              <w:pStyle w:val="69"/>
              <w:spacing w:before="208" w:line="221" w:lineRule="auto"/>
              <w:ind w:left="339"/>
              <w:jc w:val="both"/>
              <w:rPr>
                <w:color w:val="auto"/>
                <w:spacing w:val="0"/>
                <w:highlight w:val="none"/>
              </w:rPr>
            </w:pPr>
            <w:r>
              <w:rPr>
                <w:color w:val="auto"/>
                <w:spacing w:val="0"/>
                <w:highlight w:val="none"/>
              </w:rPr>
              <w:t>项目</w:t>
            </w:r>
          </w:p>
        </w:tc>
        <w:tc>
          <w:tcPr>
            <w:tcW w:w="2371" w:type="dxa"/>
            <w:noWrap w:val="0"/>
            <w:vAlign w:val="center"/>
          </w:tcPr>
          <w:p w14:paraId="40FC17B2">
            <w:pPr>
              <w:pStyle w:val="69"/>
              <w:spacing w:before="208" w:line="221" w:lineRule="auto"/>
              <w:ind w:left="771"/>
              <w:jc w:val="both"/>
              <w:rPr>
                <w:color w:val="auto"/>
                <w:spacing w:val="0"/>
                <w:highlight w:val="none"/>
              </w:rPr>
            </w:pPr>
            <w:r>
              <w:rPr>
                <w:color w:val="auto"/>
                <w:spacing w:val="0"/>
                <w:highlight w:val="none"/>
              </w:rPr>
              <w:t>项目描述</w:t>
            </w:r>
          </w:p>
        </w:tc>
        <w:tc>
          <w:tcPr>
            <w:tcW w:w="917" w:type="dxa"/>
            <w:noWrap w:val="0"/>
            <w:vAlign w:val="center"/>
          </w:tcPr>
          <w:p w14:paraId="0DDF8249">
            <w:pPr>
              <w:pStyle w:val="69"/>
              <w:spacing w:before="207" w:line="221" w:lineRule="auto"/>
              <w:ind w:left="349"/>
              <w:jc w:val="both"/>
              <w:rPr>
                <w:color w:val="auto"/>
                <w:spacing w:val="0"/>
                <w:highlight w:val="none"/>
              </w:rPr>
            </w:pPr>
            <w:r>
              <w:rPr>
                <w:color w:val="auto"/>
                <w:spacing w:val="0"/>
                <w:highlight w:val="none"/>
              </w:rPr>
              <w:t>分值</w:t>
            </w:r>
          </w:p>
        </w:tc>
        <w:tc>
          <w:tcPr>
            <w:tcW w:w="2331" w:type="dxa"/>
            <w:noWrap w:val="0"/>
            <w:vAlign w:val="center"/>
          </w:tcPr>
          <w:p w14:paraId="523C090B">
            <w:pPr>
              <w:pStyle w:val="69"/>
              <w:spacing w:before="208" w:line="221" w:lineRule="auto"/>
              <w:ind w:left="654"/>
              <w:jc w:val="both"/>
              <w:rPr>
                <w:color w:val="auto"/>
                <w:spacing w:val="0"/>
                <w:highlight w:val="none"/>
              </w:rPr>
            </w:pPr>
            <w:r>
              <w:rPr>
                <w:color w:val="auto"/>
                <w:spacing w:val="0"/>
                <w:highlight w:val="none"/>
              </w:rPr>
              <w:t>评分标准</w:t>
            </w:r>
          </w:p>
        </w:tc>
        <w:tc>
          <w:tcPr>
            <w:tcW w:w="1027" w:type="dxa"/>
            <w:noWrap w:val="0"/>
            <w:vAlign w:val="center"/>
          </w:tcPr>
          <w:p w14:paraId="7A180D0D">
            <w:pPr>
              <w:pStyle w:val="69"/>
              <w:spacing w:before="207" w:line="221" w:lineRule="auto"/>
              <w:ind w:left="312"/>
              <w:jc w:val="both"/>
              <w:rPr>
                <w:color w:val="auto"/>
                <w:spacing w:val="0"/>
                <w:highlight w:val="none"/>
              </w:rPr>
            </w:pPr>
            <w:r>
              <w:rPr>
                <w:color w:val="auto"/>
                <w:spacing w:val="0"/>
                <w:highlight w:val="none"/>
              </w:rPr>
              <w:t>得分</w:t>
            </w:r>
          </w:p>
        </w:tc>
      </w:tr>
      <w:tr w14:paraId="626E7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576" w:type="dxa"/>
            <w:vMerge w:val="restart"/>
            <w:tcBorders>
              <w:bottom w:val="nil"/>
            </w:tcBorders>
            <w:noWrap w:val="0"/>
            <w:textDirection w:val="tbRlV"/>
            <w:vAlign w:val="center"/>
          </w:tcPr>
          <w:p w14:paraId="32DD11FB">
            <w:pPr>
              <w:pStyle w:val="69"/>
              <w:spacing w:before="182" w:line="240" w:lineRule="auto"/>
              <w:ind w:left="1624"/>
              <w:jc w:val="center"/>
              <w:rPr>
                <w:color w:val="auto"/>
                <w:spacing w:val="0"/>
                <w:sz w:val="21"/>
                <w:highlight w:val="none"/>
              </w:rPr>
            </w:pPr>
            <w:r>
              <w:rPr>
                <w:color w:val="auto"/>
                <w:spacing w:val="0"/>
                <w:kern w:val="18"/>
                <w:sz w:val="21"/>
                <w:highlight w:val="none"/>
              </w:rPr>
              <w:t>资源配备</w:t>
            </w:r>
          </w:p>
        </w:tc>
        <w:tc>
          <w:tcPr>
            <w:tcW w:w="614" w:type="dxa"/>
            <w:noWrap w:val="0"/>
            <w:vAlign w:val="center"/>
          </w:tcPr>
          <w:p w14:paraId="15182D73">
            <w:pPr>
              <w:pStyle w:val="69"/>
              <w:spacing w:before="68" w:line="183" w:lineRule="auto"/>
              <w:ind w:left="273"/>
              <w:jc w:val="both"/>
              <w:rPr>
                <w:color w:val="auto"/>
                <w:spacing w:val="0"/>
                <w:highlight w:val="none"/>
              </w:rPr>
            </w:pPr>
            <w:r>
              <w:rPr>
                <w:color w:val="auto"/>
                <w:spacing w:val="0"/>
                <w:highlight w:val="none"/>
              </w:rPr>
              <w:t>1</w:t>
            </w:r>
          </w:p>
        </w:tc>
        <w:tc>
          <w:tcPr>
            <w:tcW w:w="1075" w:type="dxa"/>
            <w:noWrap w:val="0"/>
            <w:vAlign w:val="center"/>
          </w:tcPr>
          <w:p w14:paraId="46A6E560">
            <w:pPr>
              <w:pStyle w:val="69"/>
              <w:spacing w:before="69" w:line="248" w:lineRule="auto"/>
              <w:ind w:left="80" w:leftChars="0" w:right="109" w:firstLine="0" w:firstLineChars="0"/>
              <w:jc w:val="center"/>
              <w:rPr>
                <w:color w:val="auto"/>
                <w:spacing w:val="0"/>
                <w:highlight w:val="none"/>
              </w:rPr>
            </w:pPr>
            <w:r>
              <w:rPr>
                <w:color w:val="auto"/>
                <w:spacing w:val="0"/>
                <w:highlight w:val="none"/>
              </w:rPr>
              <w:t>人员到位情况</w:t>
            </w:r>
          </w:p>
        </w:tc>
        <w:tc>
          <w:tcPr>
            <w:tcW w:w="2371" w:type="dxa"/>
            <w:noWrap w:val="0"/>
            <w:vAlign w:val="center"/>
          </w:tcPr>
          <w:p w14:paraId="2C560259">
            <w:pPr>
              <w:pStyle w:val="69"/>
              <w:spacing w:before="54" w:line="261" w:lineRule="auto"/>
              <w:ind w:left="113" w:right="155" w:firstLine="1"/>
              <w:jc w:val="center"/>
              <w:rPr>
                <w:color w:val="auto"/>
                <w:spacing w:val="0"/>
                <w:highlight w:val="none"/>
              </w:rPr>
            </w:pPr>
            <w:r>
              <w:rPr>
                <w:color w:val="auto"/>
                <w:spacing w:val="0"/>
                <w:highlight w:val="none"/>
              </w:rPr>
              <w:t>按照合同约定配备的业务和</w:t>
            </w:r>
            <w:r>
              <w:rPr>
                <w:rFonts w:hint="eastAsia"/>
                <w:color w:val="auto"/>
                <w:spacing w:val="0"/>
                <w:highlight w:val="none"/>
                <w:lang w:eastAsia="zh-CN"/>
              </w:rPr>
              <w:t>服务</w:t>
            </w:r>
            <w:r>
              <w:rPr>
                <w:color w:val="auto"/>
                <w:spacing w:val="0"/>
                <w:highlight w:val="none"/>
              </w:rPr>
              <w:t>人员数量是否达到采购人的要求。</w:t>
            </w:r>
          </w:p>
        </w:tc>
        <w:tc>
          <w:tcPr>
            <w:tcW w:w="917" w:type="dxa"/>
            <w:noWrap w:val="0"/>
            <w:vAlign w:val="center"/>
          </w:tcPr>
          <w:p w14:paraId="4296B6B3">
            <w:pPr>
              <w:pStyle w:val="69"/>
              <w:spacing w:before="69" w:line="182" w:lineRule="auto"/>
              <w:ind w:left="504"/>
              <w:jc w:val="both"/>
              <w:rPr>
                <w:color w:val="auto"/>
                <w:spacing w:val="0"/>
                <w:highlight w:val="none"/>
              </w:rPr>
            </w:pPr>
            <w:r>
              <w:rPr>
                <w:rFonts w:hint="eastAsia"/>
                <w:color w:val="auto"/>
                <w:spacing w:val="0"/>
                <w:highlight w:val="none"/>
                <w:lang w:val="en-US" w:eastAsia="zh-CN"/>
              </w:rPr>
              <w:t>4</w:t>
            </w:r>
          </w:p>
        </w:tc>
        <w:tc>
          <w:tcPr>
            <w:tcW w:w="2331" w:type="dxa"/>
            <w:noWrap w:val="0"/>
            <w:vAlign w:val="center"/>
          </w:tcPr>
          <w:p w14:paraId="1A1F9D9D">
            <w:pPr>
              <w:pStyle w:val="69"/>
              <w:spacing w:before="54" w:line="261" w:lineRule="auto"/>
              <w:ind w:left="118" w:right="129" w:hanging="1"/>
              <w:jc w:val="center"/>
              <w:rPr>
                <w:color w:val="auto"/>
                <w:spacing w:val="0"/>
                <w:highlight w:val="none"/>
              </w:rPr>
            </w:pPr>
            <w:r>
              <w:rPr>
                <w:color w:val="auto"/>
                <w:spacing w:val="0"/>
                <w:highlight w:val="none"/>
              </w:rPr>
              <w:t>配置人员数量满足需求和合同约定的，不扣分，否则少一人扣</w:t>
            </w:r>
            <w:r>
              <w:rPr>
                <w:rFonts w:hint="eastAsia"/>
                <w:color w:val="auto"/>
                <w:spacing w:val="0"/>
                <w:highlight w:val="none"/>
                <w:lang w:eastAsia="zh-CN"/>
              </w:rPr>
              <w:t>1</w:t>
            </w:r>
            <w:r>
              <w:rPr>
                <w:color w:val="auto"/>
                <w:spacing w:val="0"/>
                <w:highlight w:val="none"/>
              </w:rPr>
              <w:t>分。</w:t>
            </w:r>
          </w:p>
        </w:tc>
        <w:tc>
          <w:tcPr>
            <w:tcW w:w="1027" w:type="dxa"/>
            <w:noWrap w:val="0"/>
            <w:vAlign w:val="center"/>
          </w:tcPr>
          <w:p w14:paraId="04978DBB">
            <w:pPr>
              <w:jc w:val="center"/>
              <w:rPr>
                <w:rFonts w:ascii="Arial"/>
                <w:color w:val="auto"/>
                <w:spacing w:val="0"/>
                <w:sz w:val="21"/>
                <w:highlight w:val="none"/>
              </w:rPr>
            </w:pPr>
          </w:p>
        </w:tc>
      </w:tr>
      <w:tr w14:paraId="24D50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jc w:val="center"/>
        </w:trPr>
        <w:tc>
          <w:tcPr>
            <w:tcW w:w="576" w:type="dxa"/>
            <w:vMerge w:val="continue"/>
            <w:tcBorders>
              <w:top w:val="nil"/>
              <w:bottom w:val="nil"/>
            </w:tcBorders>
            <w:noWrap w:val="0"/>
            <w:textDirection w:val="tbRlV"/>
            <w:vAlign w:val="center"/>
          </w:tcPr>
          <w:p w14:paraId="27D4EF84">
            <w:pPr>
              <w:spacing w:line="240" w:lineRule="auto"/>
              <w:jc w:val="center"/>
              <w:rPr>
                <w:rFonts w:ascii="Arial"/>
                <w:color w:val="auto"/>
                <w:spacing w:val="0"/>
                <w:sz w:val="21"/>
                <w:highlight w:val="none"/>
              </w:rPr>
            </w:pPr>
          </w:p>
        </w:tc>
        <w:tc>
          <w:tcPr>
            <w:tcW w:w="614" w:type="dxa"/>
            <w:noWrap w:val="0"/>
            <w:vAlign w:val="center"/>
          </w:tcPr>
          <w:p w14:paraId="3CA519DF">
            <w:pPr>
              <w:pStyle w:val="69"/>
              <w:spacing w:before="69" w:line="182" w:lineRule="auto"/>
              <w:ind w:left="260"/>
              <w:jc w:val="both"/>
              <w:rPr>
                <w:color w:val="auto"/>
                <w:spacing w:val="0"/>
                <w:highlight w:val="none"/>
              </w:rPr>
            </w:pPr>
            <w:r>
              <w:rPr>
                <w:color w:val="auto"/>
                <w:spacing w:val="0"/>
                <w:highlight w:val="none"/>
              </w:rPr>
              <w:t>2</w:t>
            </w:r>
          </w:p>
        </w:tc>
        <w:tc>
          <w:tcPr>
            <w:tcW w:w="1075" w:type="dxa"/>
            <w:noWrap w:val="0"/>
            <w:vAlign w:val="center"/>
          </w:tcPr>
          <w:p w14:paraId="59BF8BD1">
            <w:pPr>
              <w:pStyle w:val="69"/>
              <w:spacing w:before="69" w:line="248" w:lineRule="auto"/>
              <w:ind w:left="195" w:leftChars="0" w:right="109" w:hanging="70" w:firstLineChars="0"/>
              <w:jc w:val="center"/>
              <w:rPr>
                <w:color w:val="auto"/>
                <w:spacing w:val="0"/>
                <w:highlight w:val="none"/>
              </w:rPr>
            </w:pPr>
            <w:r>
              <w:rPr>
                <w:color w:val="auto"/>
                <w:spacing w:val="0"/>
                <w:highlight w:val="none"/>
              </w:rPr>
              <w:t>人员素质情况</w:t>
            </w:r>
          </w:p>
        </w:tc>
        <w:tc>
          <w:tcPr>
            <w:tcW w:w="2371" w:type="dxa"/>
            <w:noWrap w:val="0"/>
            <w:vAlign w:val="center"/>
          </w:tcPr>
          <w:p w14:paraId="7340F4B8">
            <w:pPr>
              <w:pStyle w:val="69"/>
              <w:spacing w:before="69" w:line="261" w:lineRule="auto"/>
              <w:ind w:left="115" w:right="156"/>
              <w:jc w:val="center"/>
              <w:rPr>
                <w:color w:val="auto"/>
                <w:spacing w:val="0"/>
                <w:highlight w:val="none"/>
              </w:rPr>
            </w:pPr>
            <w:r>
              <w:rPr>
                <w:color w:val="auto"/>
                <w:spacing w:val="0"/>
                <w:highlight w:val="none"/>
              </w:rPr>
              <w:t>按照合同约定配备的管理、技术人员能力和持证情况是否符合采购人的具体要求。</w:t>
            </w:r>
          </w:p>
        </w:tc>
        <w:tc>
          <w:tcPr>
            <w:tcW w:w="917" w:type="dxa"/>
            <w:noWrap w:val="0"/>
            <w:vAlign w:val="center"/>
          </w:tcPr>
          <w:p w14:paraId="2A055D86">
            <w:pPr>
              <w:pStyle w:val="69"/>
              <w:spacing w:before="69" w:line="182" w:lineRule="auto"/>
              <w:ind w:left="504"/>
              <w:jc w:val="both"/>
              <w:rPr>
                <w:color w:val="auto"/>
                <w:spacing w:val="0"/>
                <w:highlight w:val="none"/>
              </w:rPr>
            </w:pPr>
            <w:r>
              <w:rPr>
                <w:rFonts w:hint="eastAsia"/>
                <w:color w:val="auto"/>
                <w:spacing w:val="0"/>
                <w:highlight w:val="none"/>
                <w:lang w:val="en-US" w:eastAsia="zh-CN"/>
              </w:rPr>
              <w:t>6</w:t>
            </w:r>
          </w:p>
        </w:tc>
        <w:tc>
          <w:tcPr>
            <w:tcW w:w="2331" w:type="dxa"/>
            <w:noWrap w:val="0"/>
            <w:vAlign w:val="center"/>
          </w:tcPr>
          <w:p w14:paraId="3D6463A1">
            <w:pPr>
              <w:pStyle w:val="69"/>
              <w:spacing w:before="57" w:line="265" w:lineRule="auto"/>
              <w:ind w:left="116" w:right="129" w:firstLine="5"/>
              <w:jc w:val="center"/>
              <w:rPr>
                <w:color w:val="auto"/>
                <w:spacing w:val="0"/>
                <w:highlight w:val="none"/>
              </w:rPr>
            </w:pPr>
            <w:r>
              <w:rPr>
                <w:color w:val="auto"/>
                <w:spacing w:val="0"/>
                <w:highlight w:val="none"/>
              </w:rPr>
              <w:t>具备相关管理和技能水平，持有专业职业技术证书，符合需求和合同约定要求的不扣分，否则，缺少一样扣</w:t>
            </w:r>
            <w:r>
              <w:rPr>
                <w:rFonts w:hint="eastAsia"/>
                <w:color w:val="auto"/>
                <w:spacing w:val="0"/>
                <w:highlight w:val="none"/>
                <w:lang w:eastAsia="zh-CN"/>
              </w:rPr>
              <w:t>1</w:t>
            </w:r>
            <w:r>
              <w:rPr>
                <w:color w:val="auto"/>
                <w:spacing w:val="0"/>
                <w:highlight w:val="none"/>
              </w:rPr>
              <w:t>分。</w:t>
            </w:r>
          </w:p>
        </w:tc>
        <w:tc>
          <w:tcPr>
            <w:tcW w:w="1027" w:type="dxa"/>
            <w:noWrap w:val="0"/>
            <w:vAlign w:val="center"/>
          </w:tcPr>
          <w:p w14:paraId="2D03551A">
            <w:pPr>
              <w:jc w:val="center"/>
              <w:rPr>
                <w:rFonts w:ascii="Arial"/>
                <w:color w:val="auto"/>
                <w:spacing w:val="0"/>
                <w:sz w:val="21"/>
                <w:highlight w:val="none"/>
              </w:rPr>
            </w:pPr>
          </w:p>
        </w:tc>
      </w:tr>
      <w:tr w14:paraId="3798B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0" w:hRule="atLeast"/>
          <w:jc w:val="center"/>
        </w:trPr>
        <w:tc>
          <w:tcPr>
            <w:tcW w:w="576" w:type="dxa"/>
            <w:vMerge w:val="continue"/>
            <w:tcBorders>
              <w:top w:val="nil"/>
            </w:tcBorders>
            <w:noWrap w:val="0"/>
            <w:textDirection w:val="tbRlV"/>
            <w:vAlign w:val="center"/>
          </w:tcPr>
          <w:p w14:paraId="1115DAA9">
            <w:pPr>
              <w:spacing w:line="240" w:lineRule="auto"/>
              <w:jc w:val="center"/>
              <w:rPr>
                <w:rFonts w:ascii="Arial"/>
                <w:color w:val="auto"/>
                <w:spacing w:val="0"/>
                <w:sz w:val="21"/>
                <w:highlight w:val="none"/>
              </w:rPr>
            </w:pPr>
          </w:p>
        </w:tc>
        <w:tc>
          <w:tcPr>
            <w:tcW w:w="614" w:type="dxa"/>
            <w:noWrap w:val="0"/>
            <w:vAlign w:val="center"/>
          </w:tcPr>
          <w:p w14:paraId="5E1D438B">
            <w:pPr>
              <w:pStyle w:val="69"/>
              <w:spacing w:before="68" w:line="182" w:lineRule="auto"/>
              <w:ind w:left="262"/>
              <w:jc w:val="both"/>
              <w:rPr>
                <w:color w:val="auto"/>
                <w:spacing w:val="0"/>
                <w:highlight w:val="none"/>
              </w:rPr>
            </w:pPr>
            <w:r>
              <w:rPr>
                <w:color w:val="auto"/>
                <w:spacing w:val="0"/>
                <w:highlight w:val="none"/>
              </w:rPr>
              <w:t>3</w:t>
            </w:r>
          </w:p>
        </w:tc>
        <w:tc>
          <w:tcPr>
            <w:tcW w:w="1075" w:type="dxa"/>
            <w:noWrap w:val="0"/>
            <w:vAlign w:val="center"/>
          </w:tcPr>
          <w:p w14:paraId="748D3B01">
            <w:pPr>
              <w:pStyle w:val="69"/>
              <w:spacing w:before="68" w:line="248" w:lineRule="auto"/>
              <w:ind w:left="175" w:leftChars="0" w:right="109" w:hanging="49" w:firstLineChars="0"/>
              <w:jc w:val="center"/>
              <w:rPr>
                <w:color w:val="auto"/>
                <w:spacing w:val="0"/>
                <w:highlight w:val="none"/>
              </w:rPr>
            </w:pPr>
            <w:r>
              <w:rPr>
                <w:color w:val="auto"/>
                <w:spacing w:val="0"/>
                <w:highlight w:val="none"/>
              </w:rPr>
              <w:t>工作衔接情况</w:t>
            </w:r>
          </w:p>
        </w:tc>
        <w:tc>
          <w:tcPr>
            <w:tcW w:w="2371" w:type="dxa"/>
            <w:noWrap w:val="0"/>
            <w:vAlign w:val="center"/>
          </w:tcPr>
          <w:p w14:paraId="6809C2D6">
            <w:pPr>
              <w:pStyle w:val="69"/>
              <w:spacing w:before="55" w:line="261" w:lineRule="auto"/>
              <w:ind w:left="116" w:right="156"/>
              <w:jc w:val="center"/>
              <w:rPr>
                <w:color w:val="auto"/>
                <w:spacing w:val="0"/>
                <w:highlight w:val="none"/>
              </w:rPr>
            </w:pPr>
            <w:r>
              <w:rPr>
                <w:color w:val="auto"/>
                <w:spacing w:val="0"/>
                <w:highlight w:val="none"/>
              </w:rPr>
              <w:t>人员发生变动</w:t>
            </w:r>
            <w:r>
              <w:rPr>
                <w:rFonts w:hint="eastAsia"/>
                <w:color w:val="auto"/>
                <w:spacing w:val="0"/>
                <w:highlight w:val="none"/>
                <w:lang w:eastAsia="zh-CN"/>
              </w:rPr>
              <w:t>、休假或工作调整</w:t>
            </w:r>
            <w:r>
              <w:rPr>
                <w:color w:val="auto"/>
                <w:spacing w:val="0"/>
                <w:highlight w:val="none"/>
              </w:rPr>
              <w:t>后，</w:t>
            </w:r>
            <w:r>
              <w:rPr>
                <w:rFonts w:hint="eastAsia"/>
                <w:color w:val="auto"/>
                <w:spacing w:val="0"/>
                <w:highlight w:val="none"/>
                <w:lang w:eastAsia="zh-CN"/>
              </w:rPr>
              <w:t>配备人员</w:t>
            </w:r>
            <w:r>
              <w:rPr>
                <w:color w:val="auto"/>
                <w:spacing w:val="0"/>
                <w:highlight w:val="none"/>
              </w:rPr>
              <w:t>能力是否胜任该岗位工作、工作交接是否影响正常</w:t>
            </w:r>
            <w:r>
              <w:rPr>
                <w:rFonts w:hint="eastAsia"/>
                <w:color w:val="auto"/>
                <w:spacing w:val="0"/>
                <w:highlight w:val="none"/>
                <w:lang w:eastAsia="zh-CN"/>
              </w:rPr>
              <w:t>审核</w:t>
            </w:r>
            <w:r>
              <w:rPr>
                <w:color w:val="auto"/>
                <w:spacing w:val="0"/>
                <w:highlight w:val="none"/>
              </w:rPr>
              <w:t>工作。</w:t>
            </w:r>
          </w:p>
        </w:tc>
        <w:tc>
          <w:tcPr>
            <w:tcW w:w="917" w:type="dxa"/>
            <w:noWrap w:val="0"/>
            <w:vAlign w:val="center"/>
          </w:tcPr>
          <w:p w14:paraId="2DA529F2">
            <w:pPr>
              <w:pStyle w:val="69"/>
              <w:spacing w:before="68" w:line="182" w:lineRule="auto"/>
              <w:ind w:left="504"/>
              <w:jc w:val="both"/>
              <w:rPr>
                <w:color w:val="auto"/>
                <w:spacing w:val="0"/>
                <w:highlight w:val="none"/>
              </w:rPr>
            </w:pPr>
            <w:r>
              <w:rPr>
                <w:rFonts w:hint="eastAsia"/>
                <w:color w:val="auto"/>
                <w:spacing w:val="0"/>
                <w:highlight w:val="none"/>
                <w:lang w:val="en-US" w:eastAsia="zh-CN"/>
              </w:rPr>
              <w:t>4</w:t>
            </w:r>
          </w:p>
        </w:tc>
        <w:tc>
          <w:tcPr>
            <w:tcW w:w="2331" w:type="dxa"/>
            <w:noWrap w:val="0"/>
            <w:vAlign w:val="center"/>
          </w:tcPr>
          <w:p w14:paraId="5F5E9A52">
            <w:pPr>
              <w:pStyle w:val="69"/>
              <w:spacing w:before="214" w:line="257" w:lineRule="auto"/>
              <w:ind w:left="117" w:right="129" w:firstLine="16"/>
              <w:jc w:val="center"/>
              <w:rPr>
                <w:color w:val="auto"/>
                <w:spacing w:val="0"/>
                <w:highlight w:val="none"/>
              </w:rPr>
            </w:pPr>
            <w:r>
              <w:rPr>
                <w:color w:val="auto"/>
                <w:spacing w:val="0"/>
                <w:highlight w:val="none"/>
              </w:rPr>
              <w:t>因人员变动影响正常工作，每次</w:t>
            </w:r>
            <w:r>
              <w:rPr>
                <w:rFonts w:hint="eastAsia"/>
                <w:color w:val="auto"/>
                <w:spacing w:val="0"/>
                <w:highlight w:val="none"/>
                <w:lang w:eastAsia="zh-CN"/>
              </w:rPr>
              <w:t>扣1</w:t>
            </w:r>
            <w:r>
              <w:rPr>
                <w:color w:val="auto"/>
                <w:spacing w:val="0"/>
                <w:highlight w:val="none"/>
              </w:rPr>
              <w:t>分。</w:t>
            </w:r>
          </w:p>
        </w:tc>
        <w:tc>
          <w:tcPr>
            <w:tcW w:w="1027" w:type="dxa"/>
            <w:noWrap w:val="0"/>
            <w:vAlign w:val="center"/>
          </w:tcPr>
          <w:p w14:paraId="1EF83DF5">
            <w:pPr>
              <w:jc w:val="center"/>
              <w:rPr>
                <w:rFonts w:ascii="Arial"/>
                <w:color w:val="auto"/>
                <w:spacing w:val="0"/>
                <w:sz w:val="21"/>
                <w:highlight w:val="none"/>
              </w:rPr>
            </w:pPr>
          </w:p>
        </w:tc>
      </w:tr>
      <w:tr w14:paraId="62CFF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9" w:hRule="atLeast"/>
          <w:jc w:val="center"/>
        </w:trPr>
        <w:tc>
          <w:tcPr>
            <w:tcW w:w="576" w:type="dxa"/>
            <w:vMerge w:val="restart"/>
            <w:tcBorders>
              <w:bottom w:val="nil"/>
            </w:tcBorders>
            <w:noWrap w:val="0"/>
            <w:textDirection w:val="tbRlV"/>
            <w:vAlign w:val="center"/>
          </w:tcPr>
          <w:p w14:paraId="76F02462">
            <w:pPr>
              <w:pStyle w:val="69"/>
              <w:spacing w:before="182" w:line="240" w:lineRule="auto"/>
              <w:ind w:left="1310"/>
              <w:jc w:val="center"/>
              <w:rPr>
                <w:color w:val="auto"/>
                <w:spacing w:val="0"/>
                <w:sz w:val="21"/>
                <w:highlight w:val="none"/>
              </w:rPr>
            </w:pPr>
            <w:r>
              <w:rPr>
                <w:color w:val="auto"/>
                <w:spacing w:val="0"/>
                <w:sz w:val="21"/>
                <w:highlight w:val="none"/>
              </w:rPr>
              <w:t>工作质效</w:t>
            </w:r>
          </w:p>
        </w:tc>
        <w:tc>
          <w:tcPr>
            <w:tcW w:w="614" w:type="dxa"/>
            <w:noWrap w:val="0"/>
            <w:vAlign w:val="center"/>
          </w:tcPr>
          <w:p w14:paraId="30008544">
            <w:pPr>
              <w:pStyle w:val="69"/>
              <w:spacing w:before="68" w:line="182" w:lineRule="auto"/>
              <w:ind w:left="257"/>
              <w:jc w:val="both"/>
              <w:rPr>
                <w:color w:val="auto"/>
                <w:spacing w:val="0"/>
                <w:highlight w:val="none"/>
              </w:rPr>
            </w:pPr>
            <w:r>
              <w:rPr>
                <w:color w:val="auto"/>
                <w:spacing w:val="0"/>
                <w:highlight w:val="none"/>
              </w:rPr>
              <w:t>4</w:t>
            </w:r>
          </w:p>
        </w:tc>
        <w:tc>
          <w:tcPr>
            <w:tcW w:w="1075" w:type="dxa"/>
            <w:noWrap w:val="0"/>
            <w:vAlign w:val="center"/>
          </w:tcPr>
          <w:p w14:paraId="3DDDDD03">
            <w:pPr>
              <w:pStyle w:val="69"/>
              <w:spacing w:before="68" w:line="248" w:lineRule="auto"/>
              <w:ind w:left="145" w:leftChars="0" w:right="109" w:hanging="21" w:firstLineChars="0"/>
              <w:jc w:val="center"/>
              <w:rPr>
                <w:color w:val="auto"/>
                <w:spacing w:val="0"/>
                <w:highlight w:val="none"/>
              </w:rPr>
            </w:pPr>
            <w:r>
              <w:rPr>
                <w:rFonts w:hint="eastAsia"/>
                <w:color w:val="auto"/>
                <w:spacing w:val="0"/>
                <w:highlight w:val="none"/>
                <w:lang w:eastAsia="zh-CN"/>
              </w:rPr>
              <w:t>审核</w:t>
            </w:r>
            <w:r>
              <w:rPr>
                <w:color w:val="auto"/>
                <w:spacing w:val="0"/>
                <w:highlight w:val="none"/>
              </w:rPr>
              <w:t>处理时效</w:t>
            </w:r>
          </w:p>
        </w:tc>
        <w:tc>
          <w:tcPr>
            <w:tcW w:w="2371" w:type="dxa"/>
            <w:noWrap w:val="0"/>
            <w:vAlign w:val="center"/>
          </w:tcPr>
          <w:p w14:paraId="7FC74046">
            <w:pPr>
              <w:pStyle w:val="69"/>
              <w:spacing w:before="69" w:line="256" w:lineRule="auto"/>
              <w:ind w:left="114" w:right="156"/>
              <w:jc w:val="center"/>
              <w:rPr>
                <w:color w:val="auto"/>
                <w:spacing w:val="0"/>
                <w:highlight w:val="none"/>
              </w:rPr>
            </w:pPr>
            <w:r>
              <w:rPr>
                <w:color w:val="auto"/>
                <w:spacing w:val="0"/>
                <w:highlight w:val="none"/>
              </w:rPr>
              <w:t>项目是否按照采购人规定的</w:t>
            </w:r>
            <w:r>
              <w:rPr>
                <w:rFonts w:hint="eastAsia"/>
                <w:color w:val="auto"/>
                <w:spacing w:val="0"/>
                <w:highlight w:val="none"/>
                <w:lang w:eastAsia="zh-CN"/>
              </w:rPr>
              <w:t>审核</w:t>
            </w:r>
            <w:r>
              <w:rPr>
                <w:color w:val="auto"/>
                <w:spacing w:val="0"/>
                <w:highlight w:val="none"/>
              </w:rPr>
              <w:t>时效完成</w:t>
            </w:r>
            <w:r>
              <w:rPr>
                <w:rFonts w:hint="eastAsia"/>
                <w:color w:val="auto"/>
                <w:spacing w:val="0"/>
                <w:highlight w:val="none"/>
                <w:lang w:eastAsia="zh-CN"/>
              </w:rPr>
              <w:t>现场检查工作</w:t>
            </w:r>
            <w:r>
              <w:rPr>
                <w:color w:val="auto"/>
                <w:spacing w:val="0"/>
                <w:highlight w:val="none"/>
              </w:rPr>
              <w:t>。</w:t>
            </w:r>
          </w:p>
        </w:tc>
        <w:tc>
          <w:tcPr>
            <w:tcW w:w="917" w:type="dxa"/>
            <w:noWrap w:val="0"/>
            <w:vAlign w:val="center"/>
          </w:tcPr>
          <w:p w14:paraId="3A77F7EE">
            <w:pPr>
              <w:pStyle w:val="69"/>
              <w:spacing w:before="68" w:line="182" w:lineRule="auto"/>
              <w:ind w:left="506"/>
              <w:jc w:val="both"/>
              <w:rPr>
                <w:rFonts w:hint="default" w:eastAsia="宋体"/>
                <w:color w:val="auto"/>
                <w:spacing w:val="0"/>
                <w:highlight w:val="none"/>
                <w:lang w:val="en-US" w:eastAsia="zh-CN"/>
              </w:rPr>
            </w:pPr>
            <w:r>
              <w:rPr>
                <w:rFonts w:hint="eastAsia"/>
                <w:color w:val="auto"/>
                <w:spacing w:val="0"/>
                <w:highlight w:val="none"/>
                <w:lang w:val="en-US" w:eastAsia="zh-CN"/>
              </w:rPr>
              <w:t>14</w:t>
            </w:r>
          </w:p>
        </w:tc>
        <w:tc>
          <w:tcPr>
            <w:tcW w:w="2331" w:type="dxa"/>
            <w:noWrap w:val="0"/>
            <w:vAlign w:val="center"/>
          </w:tcPr>
          <w:p w14:paraId="0E6A98CB">
            <w:pPr>
              <w:pStyle w:val="69"/>
              <w:spacing w:before="58" w:line="263" w:lineRule="auto"/>
              <w:ind w:left="116" w:right="129" w:firstLine="26"/>
              <w:jc w:val="center"/>
              <w:rPr>
                <w:color w:val="auto"/>
                <w:spacing w:val="0"/>
                <w:highlight w:val="none"/>
              </w:rPr>
            </w:pPr>
            <w:r>
              <w:rPr>
                <w:color w:val="auto"/>
                <w:spacing w:val="0"/>
                <w:highlight w:val="none"/>
              </w:rPr>
              <w:t>由</w:t>
            </w:r>
            <w:r>
              <w:rPr>
                <w:rFonts w:hint="eastAsia"/>
                <w:color w:val="auto"/>
                <w:spacing w:val="0"/>
                <w:highlight w:val="none"/>
                <w:lang w:eastAsia="zh-CN"/>
              </w:rPr>
              <w:t>采购人</w:t>
            </w:r>
            <w:r>
              <w:rPr>
                <w:color w:val="auto"/>
                <w:spacing w:val="0"/>
                <w:highlight w:val="none"/>
              </w:rPr>
              <w:t>按照</w:t>
            </w:r>
            <w:r>
              <w:rPr>
                <w:rFonts w:hint="eastAsia"/>
                <w:color w:val="auto"/>
                <w:spacing w:val="0"/>
                <w:highlight w:val="none"/>
                <w:lang w:eastAsia="zh-CN"/>
              </w:rPr>
              <w:t>约定</w:t>
            </w:r>
            <w:r>
              <w:rPr>
                <w:color w:val="auto"/>
                <w:spacing w:val="0"/>
                <w:highlight w:val="none"/>
              </w:rPr>
              <w:t>时效进行打分，按照1-</w:t>
            </w:r>
            <w:r>
              <w:rPr>
                <w:rFonts w:hint="eastAsia"/>
                <w:color w:val="auto"/>
                <w:spacing w:val="0"/>
                <w:highlight w:val="none"/>
                <w:lang w:val="en-US" w:eastAsia="zh-CN"/>
              </w:rPr>
              <w:t>5</w:t>
            </w:r>
            <w:r>
              <w:rPr>
                <w:color w:val="auto"/>
                <w:spacing w:val="0"/>
                <w:highlight w:val="none"/>
              </w:rPr>
              <w:t>级评估扣分，每级</w:t>
            </w:r>
            <w:r>
              <w:rPr>
                <w:rFonts w:hint="eastAsia"/>
                <w:color w:val="auto"/>
                <w:spacing w:val="0"/>
                <w:highlight w:val="none"/>
                <w:lang w:val="en-US" w:eastAsia="zh-CN"/>
              </w:rPr>
              <w:t>2</w:t>
            </w:r>
            <w:r>
              <w:rPr>
                <w:color w:val="auto"/>
                <w:spacing w:val="0"/>
                <w:highlight w:val="none"/>
              </w:rPr>
              <w:t>分。</w:t>
            </w:r>
          </w:p>
        </w:tc>
        <w:tc>
          <w:tcPr>
            <w:tcW w:w="1027" w:type="dxa"/>
            <w:noWrap w:val="0"/>
            <w:vAlign w:val="center"/>
          </w:tcPr>
          <w:p w14:paraId="1E405605">
            <w:pPr>
              <w:jc w:val="center"/>
              <w:rPr>
                <w:rFonts w:ascii="Arial"/>
                <w:color w:val="auto"/>
                <w:spacing w:val="0"/>
                <w:sz w:val="21"/>
                <w:highlight w:val="none"/>
              </w:rPr>
            </w:pPr>
          </w:p>
        </w:tc>
      </w:tr>
      <w:tr w14:paraId="39211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93" w:hRule="atLeast"/>
          <w:jc w:val="center"/>
        </w:trPr>
        <w:tc>
          <w:tcPr>
            <w:tcW w:w="576" w:type="dxa"/>
            <w:vMerge w:val="continue"/>
            <w:tcBorders>
              <w:top w:val="nil"/>
            </w:tcBorders>
            <w:noWrap w:val="0"/>
            <w:textDirection w:val="tbRlV"/>
            <w:vAlign w:val="center"/>
          </w:tcPr>
          <w:p w14:paraId="10C4C53D">
            <w:pPr>
              <w:jc w:val="center"/>
              <w:rPr>
                <w:rFonts w:ascii="Arial"/>
                <w:color w:val="auto"/>
                <w:spacing w:val="0"/>
                <w:sz w:val="21"/>
                <w:highlight w:val="none"/>
              </w:rPr>
            </w:pPr>
          </w:p>
        </w:tc>
        <w:tc>
          <w:tcPr>
            <w:tcW w:w="614" w:type="dxa"/>
            <w:noWrap w:val="0"/>
            <w:vAlign w:val="center"/>
          </w:tcPr>
          <w:p w14:paraId="14F56697">
            <w:pPr>
              <w:pStyle w:val="69"/>
              <w:spacing w:before="68" w:line="181" w:lineRule="auto"/>
              <w:ind w:left="262"/>
              <w:jc w:val="both"/>
              <w:rPr>
                <w:color w:val="auto"/>
                <w:spacing w:val="0"/>
                <w:highlight w:val="none"/>
              </w:rPr>
            </w:pPr>
            <w:r>
              <w:rPr>
                <w:color w:val="auto"/>
                <w:spacing w:val="0"/>
                <w:highlight w:val="none"/>
              </w:rPr>
              <w:t>5</w:t>
            </w:r>
          </w:p>
        </w:tc>
        <w:tc>
          <w:tcPr>
            <w:tcW w:w="1075" w:type="dxa"/>
            <w:noWrap w:val="0"/>
            <w:vAlign w:val="center"/>
          </w:tcPr>
          <w:p w14:paraId="1874EC25">
            <w:pPr>
              <w:pStyle w:val="69"/>
              <w:spacing w:before="68" w:line="248" w:lineRule="auto"/>
              <w:ind w:left="136" w:leftChars="0" w:right="109" w:hanging="12" w:firstLineChars="0"/>
              <w:jc w:val="center"/>
              <w:rPr>
                <w:color w:val="auto"/>
                <w:spacing w:val="0"/>
                <w:highlight w:val="none"/>
              </w:rPr>
            </w:pPr>
            <w:r>
              <w:rPr>
                <w:rFonts w:hint="eastAsia"/>
                <w:color w:val="auto"/>
                <w:spacing w:val="0"/>
                <w:highlight w:val="none"/>
                <w:lang w:eastAsia="zh-CN"/>
              </w:rPr>
              <w:t>审核质量</w:t>
            </w:r>
          </w:p>
        </w:tc>
        <w:tc>
          <w:tcPr>
            <w:tcW w:w="2371" w:type="dxa"/>
            <w:noWrap w:val="0"/>
            <w:vAlign w:val="center"/>
          </w:tcPr>
          <w:p w14:paraId="3099AF2D">
            <w:pPr>
              <w:pStyle w:val="69"/>
              <w:spacing w:before="69" w:line="248" w:lineRule="auto"/>
              <w:ind w:left="116" w:right="156"/>
              <w:jc w:val="center"/>
              <w:rPr>
                <w:color w:val="auto"/>
                <w:spacing w:val="0"/>
                <w:highlight w:val="none"/>
              </w:rPr>
            </w:pPr>
            <w:r>
              <w:rPr>
                <w:rFonts w:hint="eastAsia"/>
                <w:color w:val="auto"/>
                <w:spacing w:val="0"/>
                <w:highlight w:val="none"/>
                <w:lang w:eastAsia="zh-CN"/>
              </w:rPr>
              <w:t>审核质量</w:t>
            </w:r>
            <w:r>
              <w:rPr>
                <w:color w:val="auto"/>
                <w:spacing w:val="0"/>
                <w:highlight w:val="none"/>
              </w:rPr>
              <w:t>是否按照规定的</w:t>
            </w:r>
            <w:r>
              <w:rPr>
                <w:rFonts w:hint="eastAsia"/>
                <w:color w:val="auto"/>
                <w:spacing w:val="0"/>
                <w:highlight w:val="none"/>
                <w:lang w:eastAsia="zh-CN"/>
              </w:rPr>
              <w:t>要求</w:t>
            </w:r>
            <w:r>
              <w:rPr>
                <w:color w:val="auto"/>
                <w:spacing w:val="0"/>
                <w:highlight w:val="none"/>
              </w:rPr>
              <w:t>完成。</w:t>
            </w:r>
          </w:p>
        </w:tc>
        <w:tc>
          <w:tcPr>
            <w:tcW w:w="917" w:type="dxa"/>
            <w:noWrap w:val="0"/>
            <w:vAlign w:val="center"/>
          </w:tcPr>
          <w:p w14:paraId="67C7883A">
            <w:pPr>
              <w:pStyle w:val="69"/>
              <w:spacing w:before="68" w:line="182" w:lineRule="auto"/>
              <w:ind w:left="506"/>
              <w:jc w:val="both"/>
              <w:rPr>
                <w:rFonts w:hint="default"/>
                <w:color w:val="auto"/>
                <w:spacing w:val="0"/>
                <w:highlight w:val="none"/>
                <w:lang w:val="en-US" w:eastAsia="zh-CN"/>
              </w:rPr>
            </w:pPr>
            <w:r>
              <w:rPr>
                <w:rFonts w:hint="eastAsia"/>
                <w:color w:val="auto"/>
                <w:spacing w:val="0"/>
                <w:highlight w:val="none"/>
                <w:lang w:val="en-US" w:eastAsia="zh-CN"/>
              </w:rPr>
              <w:t>15</w:t>
            </w:r>
          </w:p>
        </w:tc>
        <w:tc>
          <w:tcPr>
            <w:tcW w:w="2331" w:type="dxa"/>
            <w:noWrap w:val="0"/>
            <w:vAlign w:val="center"/>
          </w:tcPr>
          <w:p w14:paraId="05554F0A">
            <w:pPr>
              <w:pStyle w:val="69"/>
              <w:spacing w:before="56" w:line="267" w:lineRule="auto"/>
              <w:ind w:left="117" w:right="129" w:firstLine="1"/>
              <w:jc w:val="center"/>
              <w:rPr>
                <w:color w:val="auto"/>
                <w:spacing w:val="0"/>
                <w:highlight w:val="none"/>
              </w:rPr>
            </w:pPr>
            <w:r>
              <w:rPr>
                <w:rFonts w:hint="eastAsia"/>
                <w:color w:val="auto"/>
                <w:spacing w:val="0"/>
                <w:highlight w:val="none"/>
                <w:lang w:eastAsia="zh-CN"/>
              </w:rPr>
              <w:t>审核的结果报告</w:t>
            </w:r>
            <w:r>
              <w:rPr>
                <w:color w:val="auto"/>
                <w:spacing w:val="0"/>
                <w:highlight w:val="none"/>
              </w:rPr>
              <w:t>由</w:t>
            </w:r>
            <w:r>
              <w:rPr>
                <w:rFonts w:hint="eastAsia"/>
                <w:color w:val="auto"/>
                <w:spacing w:val="0"/>
                <w:highlight w:val="none"/>
                <w:lang w:eastAsia="zh-CN"/>
              </w:rPr>
              <w:t>采购</w:t>
            </w:r>
            <w:r>
              <w:rPr>
                <w:color w:val="auto"/>
                <w:spacing w:val="0"/>
                <w:highlight w:val="none"/>
              </w:rPr>
              <w:t>部门</w:t>
            </w:r>
            <w:r>
              <w:rPr>
                <w:rFonts w:hint="eastAsia"/>
                <w:color w:val="auto"/>
                <w:spacing w:val="0"/>
                <w:highlight w:val="none"/>
                <w:lang w:eastAsia="zh-CN"/>
              </w:rPr>
              <w:t>直接审核（不预核），审核结果修改返工次数多于</w:t>
            </w:r>
            <w:r>
              <w:rPr>
                <w:rFonts w:hint="eastAsia"/>
                <w:color w:val="auto"/>
                <w:spacing w:val="0"/>
                <w:highlight w:val="none"/>
                <w:lang w:val="en-US" w:eastAsia="zh-CN"/>
              </w:rPr>
              <w:t>2次的，从第2次开始（含第4次）每返工一次扣除3</w:t>
            </w:r>
            <w:r>
              <w:rPr>
                <w:color w:val="auto"/>
                <w:spacing w:val="0"/>
                <w:highlight w:val="none"/>
              </w:rPr>
              <w:t>分。</w:t>
            </w:r>
          </w:p>
        </w:tc>
        <w:tc>
          <w:tcPr>
            <w:tcW w:w="1027" w:type="dxa"/>
            <w:noWrap w:val="0"/>
            <w:vAlign w:val="center"/>
          </w:tcPr>
          <w:p w14:paraId="7563A5B3">
            <w:pPr>
              <w:jc w:val="center"/>
              <w:rPr>
                <w:rFonts w:ascii="Arial"/>
                <w:color w:val="auto"/>
                <w:spacing w:val="0"/>
                <w:sz w:val="21"/>
                <w:highlight w:val="none"/>
              </w:rPr>
            </w:pPr>
          </w:p>
        </w:tc>
      </w:tr>
      <w:tr w14:paraId="194BA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93" w:hRule="atLeast"/>
          <w:jc w:val="center"/>
        </w:trPr>
        <w:tc>
          <w:tcPr>
            <w:tcW w:w="576" w:type="dxa"/>
            <w:tcBorders>
              <w:top w:val="nil"/>
            </w:tcBorders>
            <w:noWrap w:val="0"/>
            <w:textDirection w:val="tbRlV"/>
            <w:vAlign w:val="center"/>
          </w:tcPr>
          <w:p w14:paraId="68CE62AD">
            <w:pPr>
              <w:jc w:val="center"/>
              <w:rPr>
                <w:rFonts w:ascii="宋体" w:hAnsi="宋体"/>
                <w:color w:val="auto"/>
                <w:spacing w:val="0"/>
                <w:sz w:val="21"/>
                <w:highlight w:val="none"/>
              </w:rPr>
            </w:pPr>
          </w:p>
        </w:tc>
        <w:tc>
          <w:tcPr>
            <w:tcW w:w="614" w:type="dxa"/>
            <w:noWrap w:val="0"/>
            <w:vAlign w:val="center"/>
          </w:tcPr>
          <w:p w14:paraId="51248D8B">
            <w:pPr>
              <w:pStyle w:val="69"/>
              <w:spacing w:before="69" w:line="182" w:lineRule="auto"/>
              <w:ind w:left="259" w:leftChars="0"/>
              <w:jc w:val="both"/>
              <w:rPr>
                <w:rFonts w:hint="default" w:ascii="宋体" w:hAnsi="宋体" w:eastAsia="宋体" w:cs="宋体"/>
                <w:snapToGrid w:val="0"/>
                <w:color w:val="auto"/>
                <w:spacing w:val="0"/>
                <w:kern w:val="0"/>
                <w:sz w:val="21"/>
                <w:szCs w:val="21"/>
                <w:highlight w:val="none"/>
                <w:lang w:val="en-US" w:eastAsia="en-US" w:bidi="ar-SA"/>
              </w:rPr>
            </w:pPr>
            <w:r>
              <w:rPr>
                <w:rFonts w:hint="default"/>
                <w:color w:val="auto"/>
                <w:spacing w:val="0"/>
                <w:highlight w:val="none"/>
                <w:lang w:val="en-US" w:eastAsia="en-US"/>
              </w:rPr>
              <w:t>6</w:t>
            </w:r>
          </w:p>
        </w:tc>
        <w:tc>
          <w:tcPr>
            <w:tcW w:w="1075" w:type="dxa"/>
            <w:noWrap w:val="0"/>
            <w:vAlign w:val="center"/>
          </w:tcPr>
          <w:p w14:paraId="33829BB0">
            <w:pPr>
              <w:pStyle w:val="69"/>
              <w:spacing w:before="68" w:line="247" w:lineRule="auto"/>
              <w:ind w:left="125" w:leftChars="0" w:right="109" w:rightChars="0"/>
              <w:jc w:val="center"/>
              <w:rPr>
                <w:rFonts w:hint="default" w:ascii="宋体" w:hAnsi="宋体" w:eastAsia="宋体" w:cs="宋体"/>
                <w:snapToGrid w:val="0"/>
                <w:color w:val="auto"/>
                <w:spacing w:val="0"/>
                <w:kern w:val="0"/>
                <w:sz w:val="21"/>
                <w:szCs w:val="21"/>
                <w:highlight w:val="none"/>
                <w:lang w:val="en-US" w:eastAsia="en-US" w:bidi="ar-SA"/>
              </w:rPr>
            </w:pPr>
            <w:r>
              <w:rPr>
                <w:color w:val="auto"/>
                <w:spacing w:val="0"/>
                <w:highlight w:val="none"/>
              </w:rPr>
              <w:t>其他任务完成情况</w:t>
            </w:r>
          </w:p>
        </w:tc>
        <w:tc>
          <w:tcPr>
            <w:tcW w:w="2371" w:type="dxa"/>
            <w:noWrap w:val="0"/>
            <w:vAlign w:val="center"/>
          </w:tcPr>
          <w:p w14:paraId="0F2D2532">
            <w:pPr>
              <w:pStyle w:val="69"/>
              <w:spacing w:before="69" w:line="256" w:lineRule="auto"/>
              <w:ind w:left="114" w:leftChars="0" w:right="156" w:rightChars="0"/>
              <w:jc w:val="center"/>
              <w:rPr>
                <w:rFonts w:hint="default" w:ascii="宋体" w:hAnsi="宋体" w:eastAsia="宋体" w:cs="宋体"/>
                <w:snapToGrid w:val="0"/>
                <w:color w:val="auto"/>
                <w:spacing w:val="0"/>
                <w:kern w:val="0"/>
                <w:sz w:val="21"/>
                <w:szCs w:val="21"/>
                <w:highlight w:val="none"/>
                <w:lang w:val="en-US" w:eastAsia="en-US" w:bidi="ar-SA"/>
              </w:rPr>
            </w:pPr>
            <w:r>
              <w:rPr>
                <w:color w:val="auto"/>
                <w:spacing w:val="0"/>
                <w:highlight w:val="none"/>
              </w:rPr>
              <w:t>对于需求方在需求总体框架内提出的其他需求的满足完成情况。</w:t>
            </w:r>
          </w:p>
        </w:tc>
        <w:tc>
          <w:tcPr>
            <w:tcW w:w="917" w:type="dxa"/>
            <w:noWrap w:val="0"/>
            <w:vAlign w:val="center"/>
          </w:tcPr>
          <w:p w14:paraId="2998057D">
            <w:pPr>
              <w:pStyle w:val="69"/>
              <w:spacing w:before="69" w:line="182" w:lineRule="auto"/>
              <w:ind w:left="506" w:leftChars="0"/>
              <w:jc w:val="both"/>
              <w:rPr>
                <w:rFonts w:hint="eastAsia" w:ascii="宋体" w:hAnsi="宋体" w:eastAsia="宋体" w:cs="宋体"/>
                <w:snapToGrid w:val="0"/>
                <w:color w:val="auto"/>
                <w:spacing w:val="0"/>
                <w:kern w:val="0"/>
                <w:sz w:val="21"/>
                <w:szCs w:val="21"/>
                <w:highlight w:val="none"/>
                <w:lang w:val="en-US" w:eastAsia="zh-CN" w:bidi="ar-SA"/>
              </w:rPr>
            </w:pPr>
            <w:r>
              <w:rPr>
                <w:rFonts w:hint="eastAsia"/>
                <w:color w:val="auto"/>
                <w:spacing w:val="0"/>
                <w:highlight w:val="none"/>
                <w:lang w:val="en-US" w:eastAsia="zh-CN"/>
              </w:rPr>
              <w:t>3</w:t>
            </w:r>
          </w:p>
        </w:tc>
        <w:tc>
          <w:tcPr>
            <w:tcW w:w="2331" w:type="dxa"/>
            <w:noWrap w:val="0"/>
            <w:vAlign w:val="center"/>
          </w:tcPr>
          <w:p w14:paraId="603A18EF">
            <w:pPr>
              <w:pStyle w:val="69"/>
              <w:spacing w:before="55" w:line="247" w:lineRule="auto"/>
              <w:ind w:left="117" w:leftChars="0" w:right="129" w:rightChars="0" w:hanging="1" w:firstLineChars="0"/>
              <w:jc w:val="center"/>
              <w:rPr>
                <w:rFonts w:ascii="宋体" w:hAnsi="宋体" w:eastAsia="宋体" w:cs="宋体"/>
                <w:snapToGrid w:val="0"/>
                <w:color w:val="auto"/>
                <w:spacing w:val="0"/>
                <w:kern w:val="0"/>
                <w:sz w:val="21"/>
                <w:szCs w:val="21"/>
                <w:highlight w:val="none"/>
                <w:lang w:val="en-US" w:eastAsia="en-US" w:bidi="ar-SA"/>
              </w:rPr>
            </w:pPr>
            <w:r>
              <w:rPr>
                <w:color w:val="auto"/>
                <w:spacing w:val="0"/>
                <w:highlight w:val="none"/>
              </w:rPr>
              <w:t>对于需求部门提出的合理需求按期完成的，不扣分；每少完成一次扣</w:t>
            </w:r>
            <w:r>
              <w:rPr>
                <w:rFonts w:hint="default"/>
                <w:color w:val="auto"/>
                <w:spacing w:val="0"/>
                <w:highlight w:val="none"/>
                <w:lang w:eastAsia="en-US"/>
              </w:rPr>
              <w:t>0</w:t>
            </w:r>
            <w:r>
              <w:rPr>
                <w:rFonts w:hint="default"/>
                <w:color w:val="auto"/>
                <w:spacing w:val="0"/>
                <w:highlight w:val="none"/>
                <w:lang w:val="en-US" w:eastAsia="en-US"/>
              </w:rPr>
              <w:t>.5</w:t>
            </w:r>
            <w:r>
              <w:rPr>
                <w:color w:val="auto"/>
                <w:spacing w:val="0"/>
                <w:highlight w:val="none"/>
              </w:rPr>
              <w:t>分，扣完为止。</w:t>
            </w:r>
          </w:p>
        </w:tc>
        <w:tc>
          <w:tcPr>
            <w:tcW w:w="1027" w:type="dxa"/>
            <w:noWrap w:val="0"/>
            <w:vAlign w:val="center"/>
          </w:tcPr>
          <w:p w14:paraId="2C736661">
            <w:pPr>
              <w:jc w:val="center"/>
              <w:rPr>
                <w:rFonts w:ascii="宋体" w:hAnsi="宋体"/>
                <w:color w:val="auto"/>
                <w:spacing w:val="0"/>
                <w:sz w:val="21"/>
                <w:highlight w:val="none"/>
              </w:rPr>
            </w:pPr>
          </w:p>
        </w:tc>
      </w:tr>
      <w:tr w14:paraId="4CBBD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jc w:val="center"/>
        </w:trPr>
        <w:tc>
          <w:tcPr>
            <w:tcW w:w="576" w:type="dxa"/>
            <w:tcBorders>
              <w:top w:val="nil"/>
            </w:tcBorders>
            <w:noWrap w:val="0"/>
            <w:textDirection w:val="tbRlV"/>
            <w:vAlign w:val="center"/>
          </w:tcPr>
          <w:p w14:paraId="29432C3C">
            <w:pPr>
              <w:jc w:val="center"/>
              <w:rPr>
                <w:rFonts w:ascii="宋体" w:hAnsi="宋体"/>
                <w:color w:val="auto"/>
                <w:spacing w:val="0"/>
                <w:sz w:val="21"/>
                <w:highlight w:val="none"/>
              </w:rPr>
            </w:pPr>
          </w:p>
        </w:tc>
        <w:tc>
          <w:tcPr>
            <w:tcW w:w="614" w:type="dxa"/>
            <w:noWrap w:val="0"/>
            <w:vAlign w:val="center"/>
          </w:tcPr>
          <w:p w14:paraId="0BC8EBBE">
            <w:pPr>
              <w:pStyle w:val="69"/>
              <w:spacing w:before="69" w:line="182" w:lineRule="auto"/>
              <w:ind w:left="259" w:leftChars="0"/>
              <w:jc w:val="both"/>
              <w:rPr>
                <w:rFonts w:hint="default" w:ascii="宋体" w:hAnsi="宋体" w:eastAsia="宋体" w:cs="宋体"/>
                <w:snapToGrid w:val="0"/>
                <w:color w:val="auto"/>
                <w:spacing w:val="0"/>
                <w:kern w:val="0"/>
                <w:sz w:val="21"/>
                <w:szCs w:val="21"/>
                <w:highlight w:val="none"/>
                <w:lang w:val="en-US" w:eastAsia="en-US" w:bidi="ar-SA"/>
              </w:rPr>
            </w:pPr>
            <w:r>
              <w:rPr>
                <w:rFonts w:hint="default"/>
                <w:color w:val="auto"/>
                <w:spacing w:val="0"/>
                <w:highlight w:val="none"/>
                <w:lang w:val="en-US" w:eastAsia="en-US"/>
              </w:rPr>
              <w:t>7</w:t>
            </w:r>
          </w:p>
        </w:tc>
        <w:tc>
          <w:tcPr>
            <w:tcW w:w="1075" w:type="dxa"/>
            <w:noWrap w:val="0"/>
            <w:vAlign w:val="center"/>
          </w:tcPr>
          <w:p w14:paraId="2DF6BD86">
            <w:pPr>
              <w:pStyle w:val="69"/>
              <w:spacing w:before="69" w:line="250" w:lineRule="auto"/>
              <w:ind w:left="19" w:leftChars="0" w:right="109" w:rightChars="0" w:firstLine="105" w:firstLineChars="0"/>
              <w:jc w:val="center"/>
              <w:rPr>
                <w:rFonts w:ascii="宋体" w:hAnsi="宋体" w:eastAsia="宋体" w:cs="宋体"/>
                <w:snapToGrid w:val="0"/>
                <w:color w:val="auto"/>
                <w:spacing w:val="0"/>
                <w:kern w:val="0"/>
                <w:sz w:val="21"/>
                <w:szCs w:val="21"/>
                <w:highlight w:val="none"/>
                <w:lang w:val="en-US" w:eastAsia="en-US" w:bidi="ar-SA"/>
              </w:rPr>
            </w:pPr>
            <w:r>
              <w:rPr>
                <w:color w:val="auto"/>
                <w:spacing w:val="0"/>
                <w:highlight w:val="none"/>
              </w:rPr>
              <w:t>应急情况处置</w:t>
            </w:r>
          </w:p>
        </w:tc>
        <w:tc>
          <w:tcPr>
            <w:tcW w:w="2371" w:type="dxa"/>
            <w:noWrap w:val="0"/>
            <w:vAlign w:val="center"/>
          </w:tcPr>
          <w:p w14:paraId="69903945">
            <w:pPr>
              <w:pStyle w:val="69"/>
              <w:spacing w:before="68" w:line="248" w:lineRule="auto"/>
              <w:ind w:left="116" w:leftChars="0" w:right="156" w:rightChars="0" w:firstLine="17" w:firstLineChars="0"/>
              <w:jc w:val="center"/>
              <w:rPr>
                <w:rFonts w:ascii="宋体" w:hAnsi="宋体" w:eastAsia="宋体" w:cs="宋体"/>
                <w:snapToGrid w:val="0"/>
                <w:color w:val="auto"/>
                <w:spacing w:val="0"/>
                <w:kern w:val="0"/>
                <w:sz w:val="21"/>
                <w:szCs w:val="21"/>
                <w:highlight w:val="none"/>
                <w:lang w:val="en-US" w:eastAsia="en-US" w:bidi="ar-SA"/>
              </w:rPr>
            </w:pPr>
            <w:r>
              <w:rPr>
                <w:color w:val="auto"/>
                <w:spacing w:val="0"/>
                <w:highlight w:val="none"/>
              </w:rPr>
              <w:t>出现紧急情况时的处理情况。</w:t>
            </w:r>
          </w:p>
        </w:tc>
        <w:tc>
          <w:tcPr>
            <w:tcW w:w="917" w:type="dxa"/>
            <w:noWrap w:val="0"/>
            <w:vAlign w:val="center"/>
          </w:tcPr>
          <w:p w14:paraId="2EC11EC5">
            <w:pPr>
              <w:pStyle w:val="69"/>
              <w:spacing w:before="69" w:line="182" w:lineRule="auto"/>
              <w:ind w:left="506" w:leftChars="0"/>
              <w:jc w:val="both"/>
              <w:rPr>
                <w:rFonts w:hint="default" w:ascii="宋体" w:hAnsi="宋体" w:eastAsia="宋体" w:cs="宋体"/>
                <w:snapToGrid w:val="0"/>
                <w:color w:val="auto"/>
                <w:spacing w:val="0"/>
                <w:kern w:val="0"/>
                <w:sz w:val="21"/>
                <w:szCs w:val="21"/>
                <w:highlight w:val="none"/>
                <w:lang w:val="en-US" w:eastAsia="en-US" w:bidi="ar-SA"/>
              </w:rPr>
            </w:pPr>
            <w:r>
              <w:rPr>
                <w:rFonts w:hint="default"/>
                <w:color w:val="auto"/>
                <w:spacing w:val="0"/>
                <w:highlight w:val="none"/>
                <w:lang w:val="en-US" w:eastAsia="en-US"/>
              </w:rPr>
              <w:t>4</w:t>
            </w:r>
          </w:p>
        </w:tc>
        <w:tc>
          <w:tcPr>
            <w:tcW w:w="2331" w:type="dxa"/>
            <w:noWrap w:val="0"/>
            <w:vAlign w:val="center"/>
          </w:tcPr>
          <w:p w14:paraId="5F1B418F">
            <w:pPr>
              <w:pStyle w:val="69"/>
              <w:spacing w:before="53" w:line="261" w:lineRule="auto"/>
              <w:ind w:left="116" w:leftChars="0" w:right="21" w:rightChars="0" w:firstLine="19" w:firstLineChars="0"/>
              <w:jc w:val="center"/>
              <w:rPr>
                <w:rFonts w:ascii="宋体" w:hAnsi="宋体" w:eastAsia="宋体" w:cs="宋体"/>
                <w:snapToGrid w:val="0"/>
                <w:color w:val="auto"/>
                <w:spacing w:val="0"/>
                <w:kern w:val="0"/>
                <w:sz w:val="21"/>
                <w:szCs w:val="21"/>
                <w:highlight w:val="none"/>
                <w:lang w:val="en-US" w:eastAsia="en-US" w:bidi="ar-SA"/>
              </w:rPr>
            </w:pPr>
            <w:r>
              <w:rPr>
                <w:color w:val="auto"/>
                <w:spacing w:val="0"/>
                <w:highlight w:val="none"/>
              </w:rPr>
              <w:t>出现应急情况时，能采取合理的方式按时处置，按照1-</w:t>
            </w:r>
            <w:r>
              <w:rPr>
                <w:rFonts w:hint="default"/>
                <w:color w:val="auto"/>
                <w:spacing w:val="0"/>
                <w:highlight w:val="none"/>
                <w:lang w:val="en-US" w:eastAsia="en-US"/>
              </w:rPr>
              <w:t>4</w:t>
            </w:r>
            <w:r>
              <w:rPr>
                <w:color w:val="auto"/>
                <w:spacing w:val="0"/>
                <w:highlight w:val="none"/>
              </w:rPr>
              <w:t>级评估扣分，每级</w:t>
            </w:r>
            <w:r>
              <w:rPr>
                <w:rFonts w:hint="default"/>
                <w:color w:val="auto"/>
                <w:spacing w:val="0"/>
                <w:highlight w:val="none"/>
                <w:lang w:eastAsia="en-US"/>
              </w:rPr>
              <w:t>1</w:t>
            </w:r>
            <w:r>
              <w:rPr>
                <w:color w:val="auto"/>
                <w:spacing w:val="0"/>
                <w:highlight w:val="none"/>
              </w:rPr>
              <w:t>分。</w:t>
            </w:r>
          </w:p>
        </w:tc>
        <w:tc>
          <w:tcPr>
            <w:tcW w:w="1027" w:type="dxa"/>
            <w:noWrap w:val="0"/>
            <w:vAlign w:val="center"/>
          </w:tcPr>
          <w:p w14:paraId="0FF04C0D">
            <w:pPr>
              <w:jc w:val="center"/>
              <w:rPr>
                <w:rFonts w:ascii="宋体" w:hAnsi="宋体"/>
                <w:color w:val="auto"/>
                <w:spacing w:val="0"/>
                <w:sz w:val="21"/>
                <w:highlight w:val="none"/>
              </w:rPr>
            </w:pPr>
          </w:p>
        </w:tc>
      </w:tr>
      <w:tr w14:paraId="47EC7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jc w:val="center"/>
        </w:trPr>
        <w:tc>
          <w:tcPr>
            <w:tcW w:w="576" w:type="dxa"/>
            <w:tcBorders>
              <w:top w:val="nil"/>
            </w:tcBorders>
            <w:noWrap w:val="0"/>
            <w:textDirection w:val="tbRlV"/>
            <w:vAlign w:val="center"/>
          </w:tcPr>
          <w:p w14:paraId="7C063098">
            <w:pPr>
              <w:jc w:val="center"/>
              <w:rPr>
                <w:rFonts w:ascii="宋体" w:hAnsi="宋体"/>
                <w:color w:val="auto"/>
                <w:spacing w:val="0"/>
                <w:sz w:val="21"/>
                <w:highlight w:val="none"/>
              </w:rPr>
            </w:pPr>
          </w:p>
        </w:tc>
        <w:tc>
          <w:tcPr>
            <w:tcW w:w="614" w:type="dxa"/>
            <w:noWrap w:val="0"/>
            <w:vAlign w:val="center"/>
          </w:tcPr>
          <w:p w14:paraId="7AF8C99A">
            <w:pPr>
              <w:pStyle w:val="69"/>
              <w:spacing w:before="69" w:line="183" w:lineRule="auto"/>
              <w:ind w:left="220" w:leftChars="0"/>
              <w:jc w:val="both"/>
              <w:rPr>
                <w:rFonts w:hint="default" w:ascii="宋体" w:hAnsi="宋体" w:eastAsia="宋体" w:cs="宋体"/>
                <w:snapToGrid w:val="0"/>
                <w:color w:val="auto"/>
                <w:spacing w:val="0"/>
                <w:kern w:val="0"/>
                <w:sz w:val="21"/>
                <w:szCs w:val="21"/>
                <w:highlight w:val="none"/>
                <w:lang w:val="en-US" w:eastAsia="en-US" w:bidi="ar-SA"/>
              </w:rPr>
            </w:pPr>
            <w:r>
              <w:rPr>
                <w:rFonts w:hint="default"/>
                <w:color w:val="auto"/>
                <w:spacing w:val="0"/>
                <w:highlight w:val="none"/>
                <w:lang w:val="en-US" w:eastAsia="en-US"/>
              </w:rPr>
              <w:t>8</w:t>
            </w:r>
          </w:p>
        </w:tc>
        <w:tc>
          <w:tcPr>
            <w:tcW w:w="1075" w:type="dxa"/>
            <w:noWrap w:val="0"/>
            <w:vAlign w:val="center"/>
          </w:tcPr>
          <w:p w14:paraId="5559FF7F">
            <w:pPr>
              <w:pStyle w:val="69"/>
              <w:spacing w:before="69" w:line="219" w:lineRule="auto"/>
              <w:ind w:left="122" w:leftChars="0"/>
              <w:jc w:val="center"/>
              <w:rPr>
                <w:rFonts w:hint="default" w:ascii="宋体" w:hAnsi="宋体" w:eastAsia="宋体" w:cs="宋体"/>
                <w:snapToGrid w:val="0"/>
                <w:color w:val="auto"/>
                <w:spacing w:val="0"/>
                <w:kern w:val="0"/>
                <w:sz w:val="21"/>
                <w:szCs w:val="21"/>
                <w:highlight w:val="none"/>
                <w:lang w:val="en-US" w:eastAsia="en-US" w:bidi="ar-SA"/>
              </w:rPr>
            </w:pPr>
            <w:r>
              <w:rPr>
                <w:color w:val="auto"/>
                <w:spacing w:val="0"/>
                <w:highlight w:val="none"/>
              </w:rPr>
              <w:t>报告</w:t>
            </w:r>
            <w:r>
              <w:rPr>
                <w:rFonts w:hint="default"/>
                <w:color w:val="auto"/>
                <w:spacing w:val="0"/>
                <w:highlight w:val="none"/>
                <w:lang w:eastAsia="en-US"/>
              </w:rPr>
              <w:t>提交时效</w:t>
            </w:r>
          </w:p>
        </w:tc>
        <w:tc>
          <w:tcPr>
            <w:tcW w:w="2371" w:type="dxa"/>
            <w:noWrap w:val="0"/>
            <w:vAlign w:val="center"/>
          </w:tcPr>
          <w:p w14:paraId="77463E37">
            <w:pPr>
              <w:pStyle w:val="69"/>
              <w:spacing w:before="59" w:line="247" w:lineRule="auto"/>
              <w:ind w:left="113" w:leftChars="0" w:right="24" w:rightChars="0"/>
              <w:jc w:val="center"/>
              <w:rPr>
                <w:rFonts w:ascii="宋体" w:hAnsi="宋体" w:eastAsia="宋体" w:cs="宋体"/>
                <w:snapToGrid w:val="0"/>
                <w:color w:val="auto"/>
                <w:spacing w:val="0"/>
                <w:kern w:val="0"/>
                <w:sz w:val="21"/>
                <w:szCs w:val="21"/>
                <w:highlight w:val="none"/>
                <w:lang w:val="en-US" w:eastAsia="en-US" w:bidi="ar-SA"/>
              </w:rPr>
            </w:pPr>
            <w:r>
              <w:rPr>
                <w:color w:val="auto"/>
                <w:spacing w:val="0"/>
                <w:highlight w:val="none"/>
              </w:rPr>
              <w:t>是否按照需求和合同约定的要求定期提交</w:t>
            </w:r>
            <w:r>
              <w:rPr>
                <w:rFonts w:hint="default"/>
                <w:color w:val="auto"/>
                <w:spacing w:val="0"/>
                <w:highlight w:val="none"/>
                <w:lang w:eastAsia="en-US"/>
              </w:rPr>
              <w:t>审核结果及</w:t>
            </w:r>
            <w:r>
              <w:rPr>
                <w:color w:val="auto"/>
                <w:spacing w:val="0"/>
                <w:highlight w:val="none"/>
              </w:rPr>
              <w:t>报表</w:t>
            </w:r>
            <w:r>
              <w:rPr>
                <w:rFonts w:hint="default"/>
                <w:color w:val="auto"/>
                <w:spacing w:val="0"/>
                <w:highlight w:val="none"/>
                <w:lang w:eastAsia="en-US"/>
              </w:rPr>
              <w:t>等</w:t>
            </w:r>
            <w:r>
              <w:rPr>
                <w:color w:val="auto"/>
                <w:spacing w:val="0"/>
                <w:highlight w:val="none"/>
              </w:rPr>
              <w:t>文档。</w:t>
            </w:r>
          </w:p>
        </w:tc>
        <w:tc>
          <w:tcPr>
            <w:tcW w:w="917" w:type="dxa"/>
            <w:noWrap w:val="0"/>
            <w:vAlign w:val="center"/>
          </w:tcPr>
          <w:p w14:paraId="7E9E2BEF">
            <w:pPr>
              <w:pStyle w:val="69"/>
              <w:spacing w:before="69" w:line="182" w:lineRule="auto"/>
              <w:ind w:left="506" w:leftChars="0"/>
              <w:jc w:val="both"/>
              <w:rPr>
                <w:rFonts w:hint="default" w:ascii="宋体" w:hAnsi="宋体" w:eastAsia="宋体" w:cs="宋体"/>
                <w:snapToGrid w:val="0"/>
                <w:color w:val="auto"/>
                <w:spacing w:val="0"/>
                <w:kern w:val="0"/>
                <w:sz w:val="21"/>
                <w:szCs w:val="21"/>
                <w:highlight w:val="none"/>
                <w:lang w:val="en-US" w:eastAsia="en-US" w:bidi="ar-SA"/>
              </w:rPr>
            </w:pPr>
            <w:r>
              <w:rPr>
                <w:rFonts w:hint="default"/>
                <w:color w:val="auto"/>
                <w:spacing w:val="0"/>
                <w:highlight w:val="none"/>
                <w:lang w:val="en-US" w:eastAsia="en-US"/>
              </w:rPr>
              <w:t>15</w:t>
            </w:r>
          </w:p>
        </w:tc>
        <w:tc>
          <w:tcPr>
            <w:tcW w:w="2331" w:type="dxa"/>
            <w:noWrap w:val="0"/>
            <w:vAlign w:val="center"/>
          </w:tcPr>
          <w:p w14:paraId="62260EDE">
            <w:pPr>
              <w:pStyle w:val="69"/>
              <w:spacing w:before="56" w:line="247" w:lineRule="auto"/>
              <w:ind w:left="121" w:leftChars="0" w:right="129" w:rightChars="0" w:hanging="2" w:firstLineChars="0"/>
              <w:jc w:val="center"/>
              <w:rPr>
                <w:rFonts w:ascii="宋体" w:hAnsi="宋体" w:eastAsia="宋体" w:cs="宋体"/>
                <w:snapToGrid w:val="0"/>
                <w:color w:val="auto"/>
                <w:spacing w:val="0"/>
                <w:kern w:val="0"/>
                <w:sz w:val="21"/>
                <w:szCs w:val="21"/>
                <w:highlight w:val="none"/>
                <w:lang w:val="en-US" w:eastAsia="en-US" w:bidi="ar-SA"/>
              </w:rPr>
            </w:pPr>
            <w:r>
              <w:rPr>
                <w:color w:val="auto"/>
                <w:spacing w:val="0"/>
                <w:highlight w:val="none"/>
              </w:rPr>
              <w:t>按照需求约定按时提交</w:t>
            </w:r>
            <w:r>
              <w:rPr>
                <w:rFonts w:hint="default"/>
                <w:color w:val="auto"/>
                <w:spacing w:val="0"/>
                <w:highlight w:val="none"/>
                <w:lang w:eastAsia="en-US"/>
              </w:rPr>
              <w:t>审核结果及</w:t>
            </w:r>
            <w:r>
              <w:rPr>
                <w:color w:val="auto"/>
                <w:spacing w:val="0"/>
                <w:highlight w:val="none"/>
              </w:rPr>
              <w:t>报表</w:t>
            </w:r>
            <w:r>
              <w:rPr>
                <w:rFonts w:hint="default"/>
                <w:color w:val="auto"/>
                <w:spacing w:val="0"/>
                <w:highlight w:val="none"/>
                <w:lang w:eastAsia="en-US"/>
              </w:rPr>
              <w:t>等</w:t>
            </w:r>
            <w:r>
              <w:rPr>
                <w:color w:val="auto"/>
                <w:spacing w:val="0"/>
                <w:highlight w:val="none"/>
              </w:rPr>
              <w:t>文档的不扣分，</w:t>
            </w:r>
            <w:r>
              <w:rPr>
                <w:rFonts w:hint="default"/>
                <w:color w:val="auto"/>
                <w:spacing w:val="0"/>
                <w:highlight w:val="none"/>
                <w:lang w:eastAsia="en-US"/>
              </w:rPr>
              <w:t>晚提交</w:t>
            </w:r>
            <w:r>
              <w:rPr>
                <w:rFonts w:hint="eastAsia"/>
                <w:color w:val="auto"/>
                <w:spacing w:val="0"/>
                <w:highlight w:val="none"/>
                <w:lang w:eastAsia="zh-CN"/>
              </w:rPr>
              <w:t>一天</w:t>
            </w:r>
            <w:r>
              <w:rPr>
                <w:color w:val="auto"/>
                <w:spacing w:val="0"/>
                <w:highlight w:val="none"/>
              </w:rPr>
              <w:t>扣</w:t>
            </w:r>
            <w:r>
              <w:rPr>
                <w:rFonts w:hint="default"/>
                <w:color w:val="auto"/>
                <w:spacing w:val="0"/>
                <w:highlight w:val="none"/>
                <w:lang w:val="en-US" w:eastAsia="en-US"/>
              </w:rPr>
              <w:t>1</w:t>
            </w:r>
            <w:r>
              <w:rPr>
                <w:color w:val="auto"/>
                <w:spacing w:val="0"/>
                <w:highlight w:val="none"/>
              </w:rPr>
              <w:t>分，扣完为止。</w:t>
            </w:r>
          </w:p>
        </w:tc>
        <w:tc>
          <w:tcPr>
            <w:tcW w:w="1027" w:type="dxa"/>
            <w:noWrap w:val="0"/>
            <w:vAlign w:val="center"/>
          </w:tcPr>
          <w:p w14:paraId="1FF902D7">
            <w:pPr>
              <w:jc w:val="center"/>
              <w:rPr>
                <w:rFonts w:ascii="宋体" w:hAnsi="宋体"/>
                <w:color w:val="auto"/>
                <w:spacing w:val="0"/>
                <w:sz w:val="21"/>
                <w:highlight w:val="none"/>
              </w:rPr>
            </w:pPr>
          </w:p>
        </w:tc>
      </w:tr>
      <w:tr w14:paraId="02805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93" w:hRule="atLeast"/>
          <w:jc w:val="center"/>
        </w:trPr>
        <w:tc>
          <w:tcPr>
            <w:tcW w:w="576" w:type="dxa"/>
            <w:tcBorders>
              <w:top w:val="nil"/>
              <w:bottom w:val="single" w:color="auto" w:sz="4" w:space="0"/>
            </w:tcBorders>
            <w:noWrap w:val="0"/>
            <w:textDirection w:val="tbRlV"/>
            <w:vAlign w:val="center"/>
          </w:tcPr>
          <w:p w14:paraId="2CBE125F">
            <w:pPr>
              <w:jc w:val="center"/>
              <w:rPr>
                <w:rFonts w:ascii="宋体" w:hAnsi="宋体"/>
                <w:color w:val="auto"/>
                <w:spacing w:val="0"/>
                <w:sz w:val="21"/>
                <w:highlight w:val="none"/>
              </w:rPr>
            </w:pPr>
          </w:p>
        </w:tc>
        <w:tc>
          <w:tcPr>
            <w:tcW w:w="614" w:type="dxa"/>
            <w:tcBorders>
              <w:bottom w:val="single" w:color="auto" w:sz="4" w:space="0"/>
            </w:tcBorders>
            <w:noWrap w:val="0"/>
            <w:vAlign w:val="center"/>
          </w:tcPr>
          <w:p w14:paraId="40055C29">
            <w:pPr>
              <w:pStyle w:val="69"/>
              <w:spacing w:before="68" w:line="183" w:lineRule="auto"/>
              <w:ind w:left="220" w:leftChars="0"/>
              <w:jc w:val="both"/>
              <w:rPr>
                <w:rFonts w:hint="default" w:ascii="宋体" w:hAnsi="宋体" w:eastAsia="宋体" w:cs="宋体"/>
                <w:snapToGrid w:val="0"/>
                <w:color w:val="auto"/>
                <w:spacing w:val="0"/>
                <w:kern w:val="0"/>
                <w:sz w:val="21"/>
                <w:szCs w:val="21"/>
                <w:highlight w:val="none"/>
                <w:lang w:val="en-US" w:eastAsia="en-US" w:bidi="ar-SA"/>
              </w:rPr>
            </w:pPr>
            <w:r>
              <w:rPr>
                <w:rFonts w:hint="default"/>
                <w:color w:val="auto"/>
                <w:spacing w:val="0"/>
                <w:highlight w:val="none"/>
                <w:lang w:val="en-US" w:eastAsia="en-US"/>
              </w:rPr>
              <w:t>9</w:t>
            </w:r>
          </w:p>
        </w:tc>
        <w:tc>
          <w:tcPr>
            <w:tcW w:w="1075" w:type="dxa"/>
            <w:tcBorders>
              <w:bottom w:val="single" w:color="auto" w:sz="4" w:space="0"/>
            </w:tcBorders>
            <w:noWrap w:val="0"/>
            <w:vAlign w:val="center"/>
          </w:tcPr>
          <w:p w14:paraId="0D8D440F">
            <w:pPr>
              <w:pStyle w:val="69"/>
              <w:spacing w:before="69" w:line="221" w:lineRule="auto"/>
              <w:ind w:left="128" w:leftChars="0"/>
              <w:jc w:val="center"/>
              <w:rPr>
                <w:rFonts w:ascii="宋体" w:hAnsi="宋体" w:eastAsia="宋体" w:cs="宋体"/>
                <w:snapToGrid w:val="0"/>
                <w:color w:val="auto"/>
                <w:spacing w:val="0"/>
                <w:kern w:val="0"/>
                <w:sz w:val="21"/>
                <w:szCs w:val="21"/>
                <w:highlight w:val="none"/>
                <w:lang w:val="en-US" w:eastAsia="en-US" w:bidi="ar-SA"/>
              </w:rPr>
            </w:pPr>
            <w:r>
              <w:rPr>
                <w:rFonts w:hint="default"/>
                <w:color w:val="auto"/>
                <w:spacing w:val="0"/>
                <w:highlight w:val="none"/>
                <w:lang w:eastAsia="en-US"/>
              </w:rPr>
              <w:t>信息</w:t>
            </w:r>
            <w:r>
              <w:rPr>
                <w:color w:val="auto"/>
                <w:spacing w:val="0"/>
                <w:highlight w:val="none"/>
              </w:rPr>
              <w:t>安全协议</w:t>
            </w:r>
          </w:p>
        </w:tc>
        <w:tc>
          <w:tcPr>
            <w:tcW w:w="2371" w:type="dxa"/>
            <w:tcBorders>
              <w:bottom w:val="single" w:color="auto" w:sz="4" w:space="0"/>
            </w:tcBorders>
            <w:noWrap w:val="0"/>
            <w:vAlign w:val="center"/>
          </w:tcPr>
          <w:p w14:paraId="655AB29F">
            <w:pPr>
              <w:pStyle w:val="69"/>
              <w:spacing w:before="53" w:line="257" w:lineRule="auto"/>
              <w:ind w:left="113" w:leftChars="0" w:right="155" w:rightChars="0" w:firstLine="1" w:firstLineChars="0"/>
              <w:jc w:val="center"/>
              <w:rPr>
                <w:rFonts w:ascii="宋体" w:hAnsi="宋体" w:eastAsia="宋体" w:cs="宋体"/>
                <w:snapToGrid w:val="0"/>
                <w:color w:val="auto"/>
                <w:spacing w:val="0"/>
                <w:kern w:val="0"/>
                <w:sz w:val="21"/>
                <w:szCs w:val="21"/>
                <w:highlight w:val="none"/>
                <w:lang w:val="en-US" w:eastAsia="en-US" w:bidi="ar-SA"/>
              </w:rPr>
            </w:pPr>
            <w:r>
              <w:rPr>
                <w:rFonts w:hint="default"/>
                <w:color w:val="auto"/>
                <w:spacing w:val="0"/>
                <w:highlight w:val="none"/>
                <w:lang w:eastAsia="en-US"/>
              </w:rPr>
              <w:t>需</w:t>
            </w:r>
            <w:r>
              <w:rPr>
                <w:color w:val="auto"/>
                <w:spacing w:val="0"/>
                <w:highlight w:val="none"/>
              </w:rPr>
              <w:t>与采购人签订</w:t>
            </w:r>
            <w:r>
              <w:rPr>
                <w:rFonts w:hint="default"/>
                <w:color w:val="auto"/>
                <w:spacing w:val="0"/>
                <w:highlight w:val="none"/>
                <w:lang w:eastAsia="en-US"/>
              </w:rPr>
              <w:t>信息</w:t>
            </w:r>
            <w:r>
              <w:rPr>
                <w:color w:val="auto"/>
                <w:spacing w:val="0"/>
                <w:highlight w:val="none"/>
              </w:rPr>
              <w:t>安全保密协议</w:t>
            </w:r>
            <w:r>
              <w:rPr>
                <w:rFonts w:hint="default"/>
                <w:color w:val="auto"/>
                <w:spacing w:val="0"/>
                <w:highlight w:val="none"/>
                <w:lang w:eastAsia="en-US"/>
              </w:rPr>
              <w:t>，并按照要求保证信息安全保密，项目数据不外泄、不发生信息安全事故等</w:t>
            </w:r>
            <w:r>
              <w:rPr>
                <w:color w:val="auto"/>
                <w:spacing w:val="0"/>
                <w:highlight w:val="none"/>
              </w:rPr>
              <w:t>。</w:t>
            </w:r>
          </w:p>
        </w:tc>
        <w:tc>
          <w:tcPr>
            <w:tcW w:w="917" w:type="dxa"/>
            <w:noWrap w:val="0"/>
            <w:vAlign w:val="center"/>
          </w:tcPr>
          <w:p w14:paraId="454C4314">
            <w:pPr>
              <w:pStyle w:val="69"/>
              <w:spacing w:before="68" w:line="182" w:lineRule="auto"/>
              <w:ind w:left="504" w:leftChars="0"/>
              <w:jc w:val="both"/>
              <w:rPr>
                <w:rFonts w:hint="eastAsia" w:ascii="宋体" w:hAnsi="宋体" w:eastAsia="宋体" w:cs="宋体"/>
                <w:snapToGrid w:val="0"/>
                <w:color w:val="auto"/>
                <w:spacing w:val="0"/>
                <w:kern w:val="0"/>
                <w:sz w:val="21"/>
                <w:szCs w:val="21"/>
                <w:highlight w:val="none"/>
                <w:lang w:val="en-US" w:eastAsia="zh-CN" w:bidi="ar-SA"/>
              </w:rPr>
            </w:pPr>
            <w:r>
              <w:rPr>
                <w:rFonts w:hint="eastAsia"/>
                <w:color w:val="auto"/>
                <w:spacing w:val="0"/>
                <w:highlight w:val="none"/>
                <w:lang w:val="en-US" w:eastAsia="zh-CN"/>
              </w:rPr>
              <w:t>3</w:t>
            </w:r>
          </w:p>
        </w:tc>
        <w:tc>
          <w:tcPr>
            <w:tcW w:w="2331" w:type="dxa"/>
            <w:noWrap w:val="0"/>
            <w:vAlign w:val="center"/>
          </w:tcPr>
          <w:p w14:paraId="43E55A16">
            <w:pPr>
              <w:pStyle w:val="69"/>
              <w:spacing w:before="207" w:line="248" w:lineRule="auto"/>
              <w:ind w:left="134" w:leftChars="0" w:right="129" w:rightChars="0" w:hanging="17" w:firstLineChars="0"/>
              <w:jc w:val="center"/>
              <w:rPr>
                <w:rFonts w:hint="default" w:ascii="宋体" w:hAnsi="宋体" w:eastAsia="宋体" w:cs="宋体"/>
                <w:snapToGrid w:val="0"/>
                <w:color w:val="auto"/>
                <w:spacing w:val="0"/>
                <w:kern w:val="0"/>
                <w:sz w:val="21"/>
                <w:szCs w:val="21"/>
                <w:highlight w:val="none"/>
                <w:lang w:val="en-US" w:eastAsia="en-US" w:bidi="ar-SA"/>
              </w:rPr>
            </w:pPr>
            <w:r>
              <w:rPr>
                <w:color w:val="auto"/>
                <w:spacing w:val="0"/>
                <w:highlight w:val="none"/>
              </w:rPr>
              <w:t>签订了安全保密协议的，不扣分。</w:t>
            </w:r>
            <w:r>
              <w:rPr>
                <w:rFonts w:hint="default"/>
                <w:color w:val="auto"/>
                <w:spacing w:val="0"/>
                <w:highlight w:val="none"/>
                <w:lang w:eastAsia="en-US"/>
              </w:rPr>
              <w:t>如发生信息泄密或信息安全事故，每出现一次扣</w:t>
            </w:r>
            <w:r>
              <w:rPr>
                <w:rFonts w:hint="eastAsia"/>
                <w:color w:val="auto"/>
                <w:spacing w:val="0"/>
                <w:highlight w:val="none"/>
                <w:lang w:val="en-US" w:eastAsia="zh-CN"/>
              </w:rPr>
              <w:t>1.5</w:t>
            </w:r>
            <w:r>
              <w:rPr>
                <w:rFonts w:hint="default"/>
                <w:color w:val="auto"/>
                <w:spacing w:val="0"/>
                <w:highlight w:val="none"/>
                <w:lang w:val="en-US" w:eastAsia="en-US"/>
              </w:rPr>
              <w:t>分。</w:t>
            </w:r>
          </w:p>
        </w:tc>
        <w:tc>
          <w:tcPr>
            <w:tcW w:w="1027" w:type="dxa"/>
            <w:noWrap w:val="0"/>
            <w:vAlign w:val="center"/>
          </w:tcPr>
          <w:p w14:paraId="1896E14E">
            <w:pPr>
              <w:jc w:val="center"/>
              <w:rPr>
                <w:rFonts w:ascii="宋体" w:hAnsi="宋体"/>
                <w:color w:val="auto"/>
                <w:spacing w:val="0"/>
                <w:sz w:val="21"/>
                <w:highlight w:val="none"/>
              </w:rPr>
            </w:pPr>
          </w:p>
        </w:tc>
      </w:tr>
      <w:tr w14:paraId="0F345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jc w:val="center"/>
        </w:trPr>
        <w:tc>
          <w:tcPr>
            <w:tcW w:w="576" w:type="dxa"/>
            <w:vMerge w:val="restart"/>
            <w:tcBorders>
              <w:top w:val="single" w:color="auto" w:sz="4" w:space="0"/>
            </w:tcBorders>
            <w:noWrap w:val="0"/>
            <w:textDirection w:val="tbRlV"/>
            <w:vAlign w:val="center"/>
          </w:tcPr>
          <w:p w14:paraId="301CE57D">
            <w:pPr>
              <w:jc w:val="center"/>
              <w:rPr>
                <w:rFonts w:ascii="宋体" w:hAnsi="宋体"/>
                <w:color w:val="auto"/>
                <w:spacing w:val="0"/>
                <w:sz w:val="21"/>
                <w:highlight w:val="none"/>
              </w:rPr>
            </w:pPr>
            <w:r>
              <w:rPr>
                <w:rFonts w:ascii="宋体" w:hAnsi="宋体"/>
                <w:color w:val="auto"/>
                <w:spacing w:val="0"/>
                <w:highlight w:val="none"/>
              </w:rPr>
              <w:t>沟通交流</w:t>
            </w:r>
          </w:p>
        </w:tc>
        <w:tc>
          <w:tcPr>
            <w:tcW w:w="614" w:type="dxa"/>
            <w:tcBorders>
              <w:top w:val="single" w:color="auto" w:sz="4" w:space="0"/>
            </w:tcBorders>
            <w:noWrap w:val="0"/>
            <w:vAlign w:val="center"/>
          </w:tcPr>
          <w:p w14:paraId="2B7A3F9B">
            <w:pPr>
              <w:pStyle w:val="69"/>
              <w:spacing w:before="68" w:line="183" w:lineRule="auto"/>
              <w:ind w:left="220" w:leftChars="0"/>
              <w:jc w:val="both"/>
              <w:rPr>
                <w:rFonts w:hint="default" w:ascii="宋体" w:hAnsi="宋体" w:eastAsia="宋体" w:cs="宋体"/>
                <w:snapToGrid w:val="0"/>
                <w:color w:val="auto"/>
                <w:spacing w:val="0"/>
                <w:kern w:val="0"/>
                <w:sz w:val="21"/>
                <w:szCs w:val="21"/>
                <w:highlight w:val="none"/>
                <w:lang w:val="en-US" w:eastAsia="en-US" w:bidi="ar-SA"/>
              </w:rPr>
            </w:pPr>
            <w:r>
              <w:rPr>
                <w:rFonts w:hint="default"/>
                <w:color w:val="auto"/>
                <w:spacing w:val="0"/>
                <w:highlight w:val="none"/>
                <w:lang w:val="en-US" w:eastAsia="en-US"/>
              </w:rPr>
              <w:t>10</w:t>
            </w:r>
          </w:p>
        </w:tc>
        <w:tc>
          <w:tcPr>
            <w:tcW w:w="1075" w:type="dxa"/>
            <w:tcBorders>
              <w:top w:val="single" w:color="auto" w:sz="4" w:space="0"/>
            </w:tcBorders>
            <w:noWrap w:val="0"/>
            <w:vAlign w:val="center"/>
          </w:tcPr>
          <w:p w14:paraId="08F4F493">
            <w:pPr>
              <w:pStyle w:val="69"/>
              <w:spacing w:before="68" w:line="221" w:lineRule="auto"/>
              <w:ind w:left="125" w:leftChars="0"/>
              <w:jc w:val="center"/>
              <w:rPr>
                <w:rFonts w:ascii="宋体" w:hAnsi="宋体" w:eastAsia="宋体" w:cs="宋体"/>
                <w:snapToGrid w:val="0"/>
                <w:color w:val="auto"/>
                <w:spacing w:val="0"/>
                <w:kern w:val="0"/>
                <w:sz w:val="21"/>
                <w:szCs w:val="21"/>
                <w:highlight w:val="none"/>
                <w:lang w:val="en-US" w:eastAsia="en-US" w:bidi="ar-SA"/>
              </w:rPr>
            </w:pPr>
            <w:r>
              <w:rPr>
                <w:color w:val="auto"/>
                <w:spacing w:val="0"/>
                <w:highlight w:val="none"/>
              </w:rPr>
              <w:t>培训指导</w:t>
            </w:r>
          </w:p>
        </w:tc>
        <w:tc>
          <w:tcPr>
            <w:tcW w:w="2371" w:type="dxa"/>
            <w:tcBorders>
              <w:top w:val="single" w:color="auto" w:sz="4" w:space="0"/>
            </w:tcBorders>
            <w:noWrap w:val="0"/>
            <w:vAlign w:val="center"/>
          </w:tcPr>
          <w:p w14:paraId="752F018F">
            <w:pPr>
              <w:pStyle w:val="69"/>
              <w:spacing w:before="68" w:line="256" w:lineRule="auto"/>
              <w:ind w:left="113" w:leftChars="0" w:right="156" w:rightChars="0" w:firstLine="1" w:firstLineChars="0"/>
              <w:jc w:val="center"/>
              <w:rPr>
                <w:rFonts w:ascii="宋体" w:hAnsi="宋体" w:eastAsia="宋体" w:cs="宋体"/>
                <w:snapToGrid w:val="0"/>
                <w:color w:val="auto"/>
                <w:spacing w:val="0"/>
                <w:kern w:val="0"/>
                <w:sz w:val="21"/>
                <w:szCs w:val="21"/>
                <w:highlight w:val="none"/>
                <w:lang w:val="en-US" w:eastAsia="en-US" w:bidi="ar-SA"/>
              </w:rPr>
            </w:pPr>
            <w:r>
              <w:rPr>
                <w:rFonts w:hint="default"/>
                <w:color w:val="auto"/>
                <w:spacing w:val="0"/>
                <w:highlight w:val="none"/>
                <w:lang w:eastAsia="en-US"/>
              </w:rPr>
              <w:t>工作人员上任前</w:t>
            </w:r>
            <w:r>
              <w:rPr>
                <w:color w:val="auto"/>
                <w:spacing w:val="0"/>
                <w:highlight w:val="none"/>
              </w:rPr>
              <w:t>是否按照需求进行相关培训，业务、技术指导。</w:t>
            </w:r>
          </w:p>
        </w:tc>
        <w:tc>
          <w:tcPr>
            <w:tcW w:w="917" w:type="dxa"/>
            <w:noWrap w:val="0"/>
            <w:vAlign w:val="center"/>
          </w:tcPr>
          <w:p w14:paraId="3F1C1DEE">
            <w:pPr>
              <w:pStyle w:val="69"/>
              <w:spacing w:before="68" w:line="182" w:lineRule="auto"/>
              <w:ind w:left="507" w:leftChars="0"/>
              <w:jc w:val="both"/>
              <w:rPr>
                <w:rFonts w:hint="default" w:ascii="宋体" w:hAnsi="宋体" w:eastAsia="宋体" w:cs="宋体"/>
                <w:snapToGrid w:val="0"/>
                <w:color w:val="auto"/>
                <w:spacing w:val="0"/>
                <w:kern w:val="0"/>
                <w:sz w:val="21"/>
                <w:szCs w:val="21"/>
                <w:highlight w:val="none"/>
                <w:lang w:val="en-US" w:eastAsia="en-US" w:bidi="ar-SA"/>
              </w:rPr>
            </w:pPr>
            <w:r>
              <w:rPr>
                <w:color w:val="auto"/>
                <w:spacing w:val="0"/>
                <w:highlight w:val="none"/>
              </w:rPr>
              <w:t>2</w:t>
            </w:r>
          </w:p>
        </w:tc>
        <w:tc>
          <w:tcPr>
            <w:tcW w:w="2331" w:type="dxa"/>
            <w:noWrap w:val="0"/>
            <w:vAlign w:val="center"/>
          </w:tcPr>
          <w:p w14:paraId="037324DD">
            <w:pPr>
              <w:pStyle w:val="69"/>
              <w:spacing w:before="53" w:line="267" w:lineRule="auto"/>
              <w:ind w:left="119" w:leftChars="0" w:right="95" w:rightChars="0"/>
              <w:jc w:val="center"/>
              <w:rPr>
                <w:rFonts w:ascii="宋体" w:hAnsi="宋体" w:eastAsia="宋体" w:cs="宋体"/>
                <w:snapToGrid w:val="0"/>
                <w:color w:val="auto"/>
                <w:spacing w:val="0"/>
                <w:kern w:val="0"/>
                <w:sz w:val="21"/>
                <w:szCs w:val="21"/>
                <w:highlight w:val="none"/>
                <w:lang w:val="en-US" w:eastAsia="en-US" w:bidi="ar-SA"/>
              </w:rPr>
            </w:pPr>
            <w:r>
              <w:rPr>
                <w:color w:val="auto"/>
                <w:spacing w:val="0"/>
                <w:highlight w:val="none"/>
              </w:rPr>
              <w:t>按照合同约定对采购人相关人员</w:t>
            </w:r>
            <w:r>
              <w:rPr>
                <w:rFonts w:hint="default"/>
                <w:color w:val="auto"/>
                <w:spacing w:val="0"/>
                <w:highlight w:val="none"/>
                <w:lang w:eastAsia="en-US"/>
              </w:rPr>
              <w:t>、</w:t>
            </w:r>
            <w:r>
              <w:rPr>
                <w:color w:val="auto"/>
                <w:spacing w:val="0"/>
                <w:highlight w:val="none"/>
              </w:rPr>
              <w:t>开展了培训指导的，不扣分；发生一次培训指导不到位的，扣0.</w:t>
            </w:r>
            <w:r>
              <w:rPr>
                <w:rFonts w:hint="default"/>
                <w:color w:val="auto"/>
                <w:spacing w:val="0"/>
                <w:highlight w:val="none"/>
                <w:lang w:val="en-US" w:eastAsia="en-US"/>
              </w:rPr>
              <w:t>5</w:t>
            </w:r>
            <w:r>
              <w:rPr>
                <w:color w:val="auto"/>
                <w:spacing w:val="0"/>
                <w:highlight w:val="none"/>
              </w:rPr>
              <w:t>分。</w:t>
            </w:r>
          </w:p>
        </w:tc>
        <w:tc>
          <w:tcPr>
            <w:tcW w:w="1027" w:type="dxa"/>
            <w:noWrap w:val="0"/>
            <w:vAlign w:val="center"/>
          </w:tcPr>
          <w:p w14:paraId="7DACA2AF">
            <w:pPr>
              <w:jc w:val="center"/>
              <w:rPr>
                <w:rFonts w:ascii="宋体" w:hAnsi="宋体"/>
                <w:color w:val="auto"/>
                <w:spacing w:val="0"/>
                <w:sz w:val="21"/>
                <w:highlight w:val="none"/>
              </w:rPr>
            </w:pPr>
          </w:p>
        </w:tc>
      </w:tr>
      <w:tr w14:paraId="5EBD9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jc w:val="center"/>
        </w:trPr>
        <w:tc>
          <w:tcPr>
            <w:tcW w:w="576" w:type="dxa"/>
            <w:vMerge w:val="continue"/>
            <w:noWrap w:val="0"/>
            <w:textDirection w:val="tbRlV"/>
            <w:vAlign w:val="center"/>
          </w:tcPr>
          <w:p w14:paraId="5AA44700">
            <w:pPr>
              <w:jc w:val="center"/>
              <w:rPr>
                <w:rFonts w:ascii="宋体" w:hAnsi="宋体"/>
                <w:color w:val="auto"/>
                <w:spacing w:val="0"/>
                <w:highlight w:val="none"/>
              </w:rPr>
            </w:pPr>
          </w:p>
        </w:tc>
        <w:tc>
          <w:tcPr>
            <w:tcW w:w="614" w:type="dxa"/>
            <w:tcBorders>
              <w:top w:val="single" w:color="auto" w:sz="4" w:space="0"/>
            </w:tcBorders>
            <w:noWrap w:val="0"/>
            <w:vAlign w:val="center"/>
          </w:tcPr>
          <w:p w14:paraId="7D48BE27">
            <w:pPr>
              <w:pStyle w:val="69"/>
              <w:spacing w:before="69" w:line="183" w:lineRule="auto"/>
              <w:ind w:left="220" w:leftChars="0"/>
              <w:jc w:val="both"/>
              <w:rPr>
                <w:rFonts w:hint="default" w:ascii="宋体" w:hAnsi="宋体" w:eastAsia="宋体" w:cs="宋体"/>
                <w:snapToGrid w:val="0"/>
                <w:color w:val="auto"/>
                <w:spacing w:val="0"/>
                <w:kern w:val="0"/>
                <w:sz w:val="21"/>
                <w:szCs w:val="21"/>
                <w:highlight w:val="none"/>
                <w:lang w:val="en-US" w:eastAsia="en-US" w:bidi="ar-SA"/>
              </w:rPr>
            </w:pPr>
            <w:r>
              <w:rPr>
                <w:rFonts w:hint="default"/>
                <w:color w:val="auto"/>
                <w:spacing w:val="0"/>
                <w:highlight w:val="none"/>
                <w:lang w:val="en-US" w:eastAsia="en-US"/>
              </w:rPr>
              <w:t>11</w:t>
            </w:r>
          </w:p>
        </w:tc>
        <w:tc>
          <w:tcPr>
            <w:tcW w:w="1075" w:type="dxa"/>
            <w:tcBorders>
              <w:top w:val="single" w:color="auto" w:sz="4" w:space="0"/>
            </w:tcBorders>
            <w:noWrap w:val="0"/>
            <w:vAlign w:val="center"/>
          </w:tcPr>
          <w:p w14:paraId="7AE5CCC6">
            <w:pPr>
              <w:pStyle w:val="69"/>
              <w:spacing w:before="68" w:line="220" w:lineRule="auto"/>
              <w:ind w:left="126" w:leftChars="0"/>
              <w:jc w:val="center"/>
              <w:rPr>
                <w:rFonts w:ascii="宋体" w:hAnsi="宋体" w:eastAsia="宋体" w:cs="宋体"/>
                <w:snapToGrid w:val="0"/>
                <w:color w:val="auto"/>
                <w:spacing w:val="0"/>
                <w:kern w:val="0"/>
                <w:sz w:val="21"/>
                <w:szCs w:val="21"/>
                <w:highlight w:val="none"/>
                <w:lang w:val="en-US" w:eastAsia="en-US" w:bidi="ar-SA"/>
              </w:rPr>
            </w:pPr>
            <w:r>
              <w:rPr>
                <w:color w:val="auto"/>
                <w:spacing w:val="0"/>
                <w:highlight w:val="none"/>
              </w:rPr>
              <w:t>投诉举报</w:t>
            </w:r>
          </w:p>
        </w:tc>
        <w:tc>
          <w:tcPr>
            <w:tcW w:w="2371" w:type="dxa"/>
            <w:tcBorders>
              <w:top w:val="single" w:color="auto" w:sz="4" w:space="0"/>
            </w:tcBorders>
            <w:noWrap w:val="0"/>
            <w:vAlign w:val="center"/>
          </w:tcPr>
          <w:p w14:paraId="1CF041E8">
            <w:pPr>
              <w:pStyle w:val="69"/>
              <w:spacing w:before="54" w:line="261" w:lineRule="auto"/>
              <w:ind w:left="116" w:leftChars="0" w:right="156" w:rightChars="0" w:firstLine="1" w:firstLineChars="0"/>
              <w:jc w:val="center"/>
              <w:rPr>
                <w:rFonts w:ascii="宋体" w:hAnsi="宋体" w:eastAsia="宋体" w:cs="宋体"/>
                <w:snapToGrid w:val="0"/>
                <w:color w:val="auto"/>
                <w:spacing w:val="0"/>
                <w:kern w:val="0"/>
                <w:sz w:val="21"/>
                <w:szCs w:val="21"/>
                <w:highlight w:val="none"/>
                <w:lang w:val="en-US" w:eastAsia="en-US" w:bidi="ar-SA"/>
              </w:rPr>
            </w:pPr>
            <w:r>
              <w:rPr>
                <w:color w:val="auto"/>
                <w:spacing w:val="0"/>
                <w:highlight w:val="none"/>
              </w:rPr>
              <w:t>是否收到来自</w:t>
            </w:r>
            <w:r>
              <w:rPr>
                <w:rFonts w:hint="default"/>
                <w:color w:val="auto"/>
                <w:spacing w:val="0"/>
                <w:highlight w:val="none"/>
                <w:lang w:eastAsia="en-US"/>
              </w:rPr>
              <w:t>银行或企业等被审计单位</w:t>
            </w:r>
            <w:r>
              <w:rPr>
                <w:color w:val="auto"/>
                <w:spacing w:val="0"/>
                <w:highlight w:val="none"/>
              </w:rPr>
              <w:t>的投诉举报，并经采购人核实确认的。</w:t>
            </w:r>
          </w:p>
        </w:tc>
        <w:tc>
          <w:tcPr>
            <w:tcW w:w="917" w:type="dxa"/>
            <w:noWrap w:val="0"/>
            <w:vAlign w:val="center"/>
          </w:tcPr>
          <w:p w14:paraId="2AF3C2E7">
            <w:pPr>
              <w:pStyle w:val="69"/>
              <w:spacing w:before="69" w:line="182" w:lineRule="auto"/>
              <w:ind w:left="507" w:leftChars="0"/>
              <w:jc w:val="both"/>
              <w:rPr>
                <w:rFonts w:hint="default" w:ascii="宋体" w:hAnsi="宋体" w:eastAsia="宋体" w:cs="宋体"/>
                <w:snapToGrid w:val="0"/>
                <w:color w:val="auto"/>
                <w:spacing w:val="0"/>
                <w:kern w:val="0"/>
                <w:sz w:val="21"/>
                <w:szCs w:val="21"/>
                <w:highlight w:val="none"/>
                <w:lang w:val="en-US" w:eastAsia="en-US" w:bidi="ar-SA"/>
              </w:rPr>
            </w:pPr>
            <w:r>
              <w:rPr>
                <w:color w:val="auto"/>
                <w:spacing w:val="0"/>
                <w:highlight w:val="none"/>
              </w:rPr>
              <w:t>2</w:t>
            </w:r>
          </w:p>
        </w:tc>
        <w:tc>
          <w:tcPr>
            <w:tcW w:w="2331" w:type="dxa"/>
            <w:noWrap w:val="0"/>
            <w:vAlign w:val="center"/>
          </w:tcPr>
          <w:p w14:paraId="579AB374">
            <w:pPr>
              <w:pStyle w:val="69"/>
              <w:spacing w:before="68" w:line="247" w:lineRule="auto"/>
              <w:ind w:left="118" w:leftChars="0" w:right="129" w:rightChars="0" w:hanging="1" w:firstLineChars="0"/>
              <w:jc w:val="center"/>
              <w:rPr>
                <w:rFonts w:ascii="宋体" w:hAnsi="宋体" w:eastAsia="宋体" w:cs="宋体"/>
                <w:snapToGrid w:val="0"/>
                <w:color w:val="auto"/>
                <w:spacing w:val="0"/>
                <w:kern w:val="0"/>
                <w:sz w:val="21"/>
                <w:szCs w:val="21"/>
                <w:highlight w:val="none"/>
                <w:lang w:val="en-US" w:eastAsia="en-US" w:bidi="ar-SA"/>
              </w:rPr>
            </w:pPr>
            <w:r>
              <w:rPr>
                <w:color w:val="auto"/>
                <w:spacing w:val="0"/>
                <w:highlight w:val="none"/>
              </w:rPr>
              <w:t>每收到一次</w:t>
            </w:r>
            <w:r>
              <w:rPr>
                <w:rFonts w:hint="eastAsia"/>
                <w:color w:val="auto"/>
                <w:spacing w:val="0"/>
                <w:highlight w:val="none"/>
                <w:lang w:eastAsia="zh-CN"/>
              </w:rPr>
              <w:t>有效</w:t>
            </w:r>
            <w:r>
              <w:rPr>
                <w:color w:val="auto"/>
                <w:spacing w:val="0"/>
                <w:highlight w:val="none"/>
              </w:rPr>
              <w:t>投诉，扣</w:t>
            </w:r>
            <w:r>
              <w:rPr>
                <w:rFonts w:hint="eastAsia"/>
                <w:color w:val="auto"/>
                <w:spacing w:val="0"/>
                <w:highlight w:val="none"/>
                <w:lang w:val="en-US" w:eastAsia="zh-CN"/>
              </w:rPr>
              <w:t>1</w:t>
            </w:r>
            <w:r>
              <w:rPr>
                <w:color w:val="auto"/>
                <w:spacing w:val="0"/>
                <w:highlight w:val="none"/>
              </w:rPr>
              <w:t>分，扣完为止。</w:t>
            </w:r>
          </w:p>
        </w:tc>
        <w:tc>
          <w:tcPr>
            <w:tcW w:w="1027" w:type="dxa"/>
            <w:noWrap w:val="0"/>
            <w:vAlign w:val="center"/>
          </w:tcPr>
          <w:p w14:paraId="66EA76D9">
            <w:pPr>
              <w:jc w:val="center"/>
              <w:rPr>
                <w:rFonts w:ascii="宋体" w:hAnsi="宋体"/>
                <w:color w:val="auto"/>
                <w:spacing w:val="0"/>
                <w:sz w:val="21"/>
                <w:highlight w:val="none"/>
              </w:rPr>
            </w:pPr>
          </w:p>
        </w:tc>
      </w:tr>
      <w:tr w14:paraId="2BE62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jc w:val="center"/>
        </w:trPr>
        <w:tc>
          <w:tcPr>
            <w:tcW w:w="576" w:type="dxa"/>
            <w:vMerge w:val="continue"/>
            <w:noWrap w:val="0"/>
            <w:textDirection w:val="tbRlV"/>
            <w:vAlign w:val="center"/>
          </w:tcPr>
          <w:p w14:paraId="465184B5">
            <w:pPr>
              <w:jc w:val="center"/>
              <w:rPr>
                <w:rFonts w:ascii="宋体" w:hAnsi="宋体"/>
                <w:color w:val="auto"/>
                <w:spacing w:val="0"/>
                <w:highlight w:val="none"/>
              </w:rPr>
            </w:pPr>
          </w:p>
        </w:tc>
        <w:tc>
          <w:tcPr>
            <w:tcW w:w="614" w:type="dxa"/>
            <w:tcBorders>
              <w:top w:val="single" w:color="auto" w:sz="4" w:space="0"/>
            </w:tcBorders>
            <w:noWrap w:val="0"/>
            <w:vAlign w:val="center"/>
          </w:tcPr>
          <w:p w14:paraId="59976D62">
            <w:pPr>
              <w:pStyle w:val="69"/>
              <w:spacing w:before="68" w:line="182" w:lineRule="auto"/>
              <w:ind w:left="207" w:leftChars="0"/>
              <w:jc w:val="both"/>
              <w:rPr>
                <w:rFonts w:hint="default" w:ascii="宋体" w:hAnsi="宋体" w:eastAsia="宋体" w:cs="宋体"/>
                <w:snapToGrid w:val="0"/>
                <w:color w:val="auto"/>
                <w:spacing w:val="0"/>
                <w:kern w:val="0"/>
                <w:sz w:val="21"/>
                <w:szCs w:val="21"/>
                <w:highlight w:val="none"/>
                <w:lang w:val="en-US" w:eastAsia="en-US" w:bidi="ar-SA"/>
              </w:rPr>
            </w:pPr>
            <w:r>
              <w:rPr>
                <w:rFonts w:hint="default"/>
                <w:color w:val="auto"/>
                <w:spacing w:val="0"/>
                <w:highlight w:val="none"/>
                <w:lang w:val="en-US" w:eastAsia="en-US"/>
              </w:rPr>
              <w:t>12</w:t>
            </w:r>
          </w:p>
        </w:tc>
        <w:tc>
          <w:tcPr>
            <w:tcW w:w="1075" w:type="dxa"/>
            <w:tcBorders>
              <w:top w:val="single" w:color="auto" w:sz="4" w:space="0"/>
            </w:tcBorders>
            <w:noWrap w:val="0"/>
            <w:vAlign w:val="center"/>
          </w:tcPr>
          <w:p w14:paraId="239ACBAE">
            <w:pPr>
              <w:pStyle w:val="69"/>
              <w:spacing w:before="69" w:line="221" w:lineRule="auto"/>
              <w:ind w:left="125" w:leftChars="0"/>
              <w:jc w:val="center"/>
              <w:rPr>
                <w:rFonts w:ascii="宋体" w:hAnsi="宋体" w:eastAsia="宋体" w:cs="宋体"/>
                <w:snapToGrid w:val="0"/>
                <w:color w:val="auto"/>
                <w:spacing w:val="0"/>
                <w:kern w:val="0"/>
                <w:sz w:val="21"/>
                <w:szCs w:val="21"/>
                <w:highlight w:val="none"/>
                <w:lang w:val="en-US" w:eastAsia="en-US" w:bidi="ar-SA"/>
              </w:rPr>
            </w:pPr>
            <w:r>
              <w:rPr>
                <w:color w:val="auto"/>
                <w:spacing w:val="0"/>
                <w:highlight w:val="none"/>
              </w:rPr>
              <w:t>主动作为</w:t>
            </w:r>
          </w:p>
        </w:tc>
        <w:tc>
          <w:tcPr>
            <w:tcW w:w="2371" w:type="dxa"/>
            <w:tcBorders>
              <w:top w:val="single" w:color="auto" w:sz="4" w:space="0"/>
            </w:tcBorders>
            <w:noWrap w:val="0"/>
            <w:vAlign w:val="center"/>
          </w:tcPr>
          <w:p w14:paraId="64D40E1E">
            <w:pPr>
              <w:pStyle w:val="69"/>
              <w:spacing w:before="69" w:line="248" w:lineRule="auto"/>
              <w:ind w:left="116" w:leftChars="0" w:right="156" w:rightChars="0" w:hanging="2" w:firstLineChars="0"/>
              <w:jc w:val="center"/>
              <w:rPr>
                <w:rFonts w:ascii="宋体" w:hAnsi="宋体" w:eastAsia="宋体" w:cs="宋体"/>
                <w:snapToGrid w:val="0"/>
                <w:color w:val="auto"/>
                <w:spacing w:val="0"/>
                <w:kern w:val="0"/>
                <w:sz w:val="21"/>
                <w:szCs w:val="21"/>
                <w:highlight w:val="none"/>
                <w:lang w:val="en-US" w:eastAsia="en-US" w:bidi="ar-SA"/>
              </w:rPr>
            </w:pPr>
            <w:r>
              <w:rPr>
                <w:color w:val="auto"/>
                <w:spacing w:val="0"/>
                <w:highlight w:val="none"/>
              </w:rPr>
              <w:t>对于工作任务的主动完成情况和结果反馈情况。</w:t>
            </w:r>
          </w:p>
        </w:tc>
        <w:tc>
          <w:tcPr>
            <w:tcW w:w="917" w:type="dxa"/>
            <w:noWrap w:val="0"/>
            <w:vAlign w:val="center"/>
          </w:tcPr>
          <w:p w14:paraId="4FD2C19D">
            <w:pPr>
              <w:pStyle w:val="69"/>
              <w:spacing w:before="68" w:line="182" w:lineRule="auto"/>
              <w:ind w:left="507" w:leftChars="0"/>
              <w:jc w:val="both"/>
              <w:rPr>
                <w:rFonts w:hint="default" w:ascii="宋体" w:hAnsi="宋体" w:eastAsia="宋体" w:cs="宋体"/>
                <w:snapToGrid w:val="0"/>
                <w:color w:val="auto"/>
                <w:spacing w:val="0"/>
                <w:kern w:val="0"/>
                <w:sz w:val="21"/>
                <w:szCs w:val="21"/>
                <w:highlight w:val="none"/>
                <w:lang w:val="en-US" w:eastAsia="en-US" w:bidi="ar-SA"/>
              </w:rPr>
            </w:pPr>
            <w:r>
              <w:rPr>
                <w:color w:val="auto"/>
                <w:spacing w:val="0"/>
                <w:highlight w:val="none"/>
              </w:rPr>
              <w:t>2</w:t>
            </w:r>
          </w:p>
        </w:tc>
        <w:tc>
          <w:tcPr>
            <w:tcW w:w="2331" w:type="dxa"/>
            <w:noWrap w:val="0"/>
            <w:vAlign w:val="center"/>
          </w:tcPr>
          <w:p w14:paraId="41035F52">
            <w:pPr>
              <w:pStyle w:val="69"/>
              <w:spacing w:before="59" w:line="266" w:lineRule="auto"/>
              <w:ind w:left="115" w:leftChars="0" w:right="95" w:rightChars="0"/>
              <w:jc w:val="center"/>
              <w:rPr>
                <w:rFonts w:ascii="宋体" w:hAnsi="宋体" w:eastAsia="宋体" w:cs="宋体"/>
                <w:snapToGrid w:val="0"/>
                <w:color w:val="auto"/>
                <w:spacing w:val="0"/>
                <w:kern w:val="0"/>
                <w:sz w:val="21"/>
                <w:szCs w:val="21"/>
                <w:highlight w:val="none"/>
                <w:lang w:val="en-US" w:eastAsia="en-US" w:bidi="ar-SA"/>
              </w:rPr>
            </w:pPr>
            <w:r>
              <w:rPr>
                <w:color w:val="auto"/>
                <w:spacing w:val="0"/>
                <w:highlight w:val="none"/>
              </w:rPr>
              <w:t>对于工作中的问题主动跟进，对于采购人提出的工作项目根据进度主动反馈结果，分为1-</w:t>
            </w:r>
            <w:r>
              <w:rPr>
                <w:rFonts w:hint="default"/>
                <w:color w:val="auto"/>
                <w:spacing w:val="0"/>
                <w:highlight w:val="none"/>
                <w:lang w:val="en-US" w:eastAsia="en-US"/>
              </w:rPr>
              <w:t>4</w:t>
            </w:r>
            <w:r>
              <w:rPr>
                <w:color w:val="auto"/>
                <w:spacing w:val="0"/>
                <w:highlight w:val="none"/>
              </w:rPr>
              <w:t>档、每档0.5分，由</w:t>
            </w:r>
            <w:r>
              <w:rPr>
                <w:rFonts w:hint="default"/>
                <w:color w:val="auto"/>
                <w:spacing w:val="0"/>
                <w:highlight w:val="none"/>
                <w:lang w:eastAsia="en-US"/>
              </w:rPr>
              <w:t>采购人</w:t>
            </w:r>
            <w:r>
              <w:rPr>
                <w:color w:val="auto"/>
                <w:spacing w:val="0"/>
                <w:highlight w:val="none"/>
              </w:rPr>
              <w:t>评估酌情分档打分。</w:t>
            </w:r>
          </w:p>
        </w:tc>
        <w:tc>
          <w:tcPr>
            <w:tcW w:w="1027" w:type="dxa"/>
            <w:noWrap w:val="0"/>
            <w:vAlign w:val="center"/>
          </w:tcPr>
          <w:p w14:paraId="51304EA6">
            <w:pPr>
              <w:jc w:val="center"/>
              <w:rPr>
                <w:rFonts w:ascii="宋体" w:hAnsi="宋体"/>
                <w:color w:val="auto"/>
                <w:spacing w:val="0"/>
                <w:sz w:val="21"/>
                <w:highlight w:val="none"/>
              </w:rPr>
            </w:pPr>
          </w:p>
        </w:tc>
      </w:tr>
      <w:tr w14:paraId="71E14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jc w:val="center"/>
        </w:trPr>
        <w:tc>
          <w:tcPr>
            <w:tcW w:w="576" w:type="dxa"/>
            <w:vMerge w:val="continue"/>
            <w:tcBorders>
              <w:bottom w:val="single" w:color="auto" w:sz="4" w:space="0"/>
            </w:tcBorders>
            <w:noWrap w:val="0"/>
            <w:textDirection w:val="tbRlV"/>
            <w:vAlign w:val="center"/>
          </w:tcPr>
          <w:p w14:paraId="050604C1">
            <w:pPr>
              <w:jc w:val="center"/>
              <w:rPr>
                <w:rFonts w:ascii="宋体" w:hAnsi="宋体"/>
                <w:color w:val="auto"/>
                <w:spacing w:val="0"/>
                <w:highlight w:val="none"/>
              </w:rPr>
            </w:pPr>
          </w:p>
        </w:tc>
        <w:tc>
          <w:tcPr>
            <w:tcW w:w="614" w:type="dxa"/>
            <w:tcBorders>
              <w:top w:val="single" w:color="auto" w:sz="4" w:space="0"/>
              <w:bottom w:val="single" w:color="auto" w:sz="4" w:space="0"/>
            </w:tcBorders>
            <w:noWrap w:val="0"/>
            <w:vAlign w:val="center"/>
          </w:tcPr>
          <w:p w14:paraId="4FC740CD">
            <w:pPr>
              <w:pStyle w:val="69"/>
              <w:spacing w:before="68" w:line="183" w:lineRule="auto"/>
              <w:ind w:left="207" w:leftChars="0"/>
              <w:jc w:val="center"/>
              <w:rPr>
                <w:rFonts w:hint="default" w:ascii="宋体" w:hAnsi="宋体" w:eastAsia="宋体" w:cs="宋体"/>
                <w:snapToGrid w:val="0"/>
                <w:color w:val="auto"/>
                <w:spacing w:val="0"/>
                <w:kern w:val="0"/>
                <w:sz w:val="21"/>
                <w:szCs w:val="21"/>
                <w:highlight w:val="none"/>
                <w:lang w:val="en-US" w:eastAsia="en-US" w:bidi="ar-SA"/>
              </w:rPr>
            </w:pPr>
            <w:r>
              <w:rPr>
                <w:rFonts w:hint="default"/>
                <w:color w:val="auto"/>
                <w:spacing w:val="0"/>
                <w:highlight w:val="none"/>
                <w:lang w:val="en-US" w:eastAsia="en-US"/>
              </w:rPr>
              <w:t>13</w:t>
            </w:r>
          </w:p>
        </w:tc>
        <w:tc>
          <w:tcPr>
            <w:tcW w:w="1075" w:type="dxa"/>
            <w:tcBorders>
              <w:top w:val="single" w:color="auto" w:sz="4" w:space="0"/>
            </w:tcBorders>
            <w:noWrap w:val="0"/>
            <w:vAlign w:val="center"/>
          </w:tcPr>
          <w:p w14:paraId="27586F04">
            <w:pPr>
              <w:pStyle w:val="69"/>
              <w:spacing w:before="68" w:line="221" w:lineRule="auto"/>
              <w:ind w:left="128" w:leftChars="0"/>
              <w:jc w:val="center"/>
              <w:rPr>
                <w:rFonts w:ascii="宋体" w:hAnsi="宋体" w:eastAsia="宋体" w:cs="宋体"/>
                <w:snapToGrid w:val="0"/>
                <w:color w:val="auto"/>
                <w:spacing w:val="0"/>
                <w:kern w:val="0"/>
                <w:sz w:val="21"/>
                <w:szCs w:val="21"/>
                <w:highlight w:val="none"/>
                <w:lang w:val="en-US" w:eastAsia="en-US" w:bidi="ar-SA"/>
              </w:rPr>
            </w:pPr>
            <w:r>
              <w:rPr>
                <w:color w:val="auto"/>
                <w:spacing w:val="0"/>
                <w:highlight w:val="none"/>
              </w:rPr>
              <w:t>交流渠道</w:t>
            </w:r>
          </w:p>
        </w:tc>
        <w:tc>
          <w:tcPr>
            <w:tcW w:w="2371" w:type="dxa"/>
            <w:tcBorders>
              <w:top w:val="single" w:color="auto" w:sz="4" w:space="0"/>
            </w:tcBorders>
            <w:noWrap w:val="0"/>
            <w:vAlign w:val="center"/>
          </w:tcPr>
          <w:p w14:paraId="67E84AE8">
            <w:pPr>
              <w:pStyle w:val="69"/>
              <w:spacing w:before="68" w:line="257" w:lineRule="auto"/>
              <w:ind w:left="115" w:leftChars="0" w:right="156" w:rightChars="0"/>
              <w:jc w:val="center"/>
              <w:rPr>
                <w:rFonts w:ascii="宋体" w:hAnsi="宋体" w:eastAsia="宋体" w:cs="宋体"/>
                <w:snapToGrid w:val="0"/>
                <w:color w:val="auto"/>
                <w:spacing w:val="0"/>
                <w:kern w:val="0"/>
                <w:sz w:val="21"/>
                <w:szCs w:val="21"/>
                <w:highlight w:val="none"/>
                <w:lang w:val="en-US" w:eastAsia="en-US" w:bidi="ar-SA"/>
              </w:rPr>
            </w:pPr>
            <w:r>
              <w:rPr>
                <w:rFonts w:hint="default"/>
                <w:color w:val="auto"/>
                <w:spacing w:val="0"/>
                <w:highlight w:val="none"/>
                <w:lang w:eastAsia="en-US"/>
              </w:rPr>
              <w:t>工作人员</w:t>
            </w:r>
            <w:r>
              <w:rPr>
                <w:color w:val="auto"/>
                <w:spacing w:val="0"/>
                <w:highlight w:val="none"/>
              </w:rPr>
              <w:t>的通讯工具畅通性和微信交流渠道。</w:t>
            </w:r>
          </w:p>
        </w:tc>
        <w:tc>
          <w:tcPr>
            <w:tcW w:w="917" w:type="dxa"/>
            <w:noWrap w:val="0"/>
            <w:vAlign w:val="center"/>
          </w:tcPr>
          <w:p w14:paraId="199EADE0">
            <w:pPr>
              <w:pStyle w:val="69"/>
              <w:spacing w:before="68" w:line="182" w:lineRule="auto"/>
              <w:ind w:left="507" w:leftChars="0"/>
              <w:jc w:val="both"/>
              <w:rPr>
                <w:rFonts w:hint="default" w:ascii="宋体" w:hAnsi="宋体" w:eastAsia="宋体" w:cs="宋体"/>
                <w:snapToGrid w:val="0"/>
                <w:color w:val="auto"/>
                <w:spacing w:val="0"/>
                <w:kern w:val="0"/>
                <w:sz w:val="21"/>
                <w:szCs w:val="21"/>
                <w:highlight w:val="none"/>
                <w:lang w:val="en-US" w:eastAsia="en-US" w:bidi="ar-SA"/>
              </w:rPr>
            </w:pPr>
            <w:r>
              <w:rPr>
                <w:color w:val="auto"/>
                <w:spacing w:val="0"/>
                <w:highlight w:val="none"/>
              </w:rPr>
              <w:t>2</w:t>
            </w:r>
          </w:p>
        </w:tc>
        <w:tc>
          <w:tcPr>
            <w:tcW w:w="2331" w:type="dxa"/>
            <w:noWrap w:val="0"/>
            <w:vAlign w:val="center"/>
          </w:tcPr>
          <w:p w14:paraId="79FA285F">
            <w:pPr>
              <w:pStyle w:val="69"/>
              <w:spacing w:before="60" w:line="267" w:lineRule="auto"/>
              <w:ind w:left="117" w:leftChars="0" w:right="129" w:rightChars="0" w:firstLine="1" w:firstLineChars="0"/>
              <w:jc w:val="center"/>
              <w:rPr>
                <w:rFonts w:ascii="宋体" w:hAnsi="宋体" w:eastAsia="宋体" w:cs="宋体"/>
                <w:snapToGrid w:val="0"/>
                <w:color w:val="auto"/>
                <w:spacing w:val="0"/>
                <w:kern w:val="0"/>
                <w:sz w:val="21"/>
                <w:szCs w:val="21"/>
                <w:highlight w:val="none"/>
                <w:lang w:val="en-US" w:eastAsia="en-US" w:bidi="ar-SA"/>
              </w:rPr>
            </w:pPr>
            <w:r>
              <w:rPr>
                <w:color w:val="auto"/>
                <w:spacing w:val="0"/>
                <w:highlight w:val="none"/>
              </w:rPr>
              <w:t>主动建立各种便于工作沟通的渠道，</w:t>
            </w:r>
            <w:r>
              <w:rPr>
                <w:rFonts w:hint="default"/>
                <w:color w:val="auto"/>
                <w:spacing w:val="0"/>
                <w:highlight w:val="none"/>
                <w:lang w:eastAsia="en-US"/>
              </w:rPr>
              <w:t>采购人</w:t>
            </w:r>
            <w:r>
              <w:rPr>
                <w:color w:val="auto"/>
                <w:spacing w:val="0"/>
                <w:highlight w:val="none"/>
              </w:rPr>
              <w:t>评估确认，有相关渠道的不扣分，按照工作标准分为1-</w:t>
            </w:r>
            <w:r>
              <w:rPr>
                <w:rFonts w:hint="default"/>
                <w:color w:val="auto"/>
                <w:spacing w:val="0"/>
                <w:highlight w:val="none"/>
                <w:lang w:val="en-US" w:eastAsia="en-US"/>
              </w:rPr>
              <w:t>4</w:t>
            </w:r>
            <w:r>
              <w:rPr>
                <w:color w:val="auto"/>
                <w:spacing w:val="0"/>
                <w:highlight w:val="none"/>
              </w:rPr>
              <w:t>档、每档0.5分，由</w:t>
            </w:r>
            <w:r>
              <w:rPr>
                <w:rFonts w:hint="default"/>
                <w:color w:val="auto"/>
                <w:spacing w:val="0"/>
                <w:highlight w:val="none"/>
                <w:lang w:eastAsia="en-US"/>
              </w:rPr>
              <w:t>采购人</w:t>
            </w:r>
            <w:r>
              <w:rPr>
                <w:color w:val="auto"/>
                <w:spacing w:val="0"/>
                <w:highlight w:val="none"/>
              </w:rPr>
              <w:t>评估酌情分档打分。</w:t>
            </w:r>
          </w:p>
        </w:tc>
        <w:tc>
          <w:tcPr>
            <w:tcW w:w="1027" w:type="dxa"/>
            <w:noWrap w:val="0"/>
            <w:vAlign w:val="center"/>
          </w:tcPr>
          <w:p w14:paraId="2AFB8BCD">
            <w:pPr>
              <w:jc w:val="center"/>
              <w:rPr>
                <w:rFonts w:ascii="宋体" w:hAnsi="宋体"/>
                <w:color w:val="auto"/>
                <w:spacing w:val="0"/>
                <w:sz w:val="21"/>
                <w:highlight w:val="none"/>
              </w:rPr>
            </w:pPr>
          </w:p>
        </w:tc>
      </w:tr>
      <w:tr w14:paraId="18B23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8" w:hRule="atLeast"/>
          <w:jc w:val="center"/>
        </w:trPr>
        <w:tc>
          <w:tcPr>
            <w:tcW w:w="576" w:type="dxa"/>
            <w:vMerge w:val="restart"/>
            <w:tcBorders>
              <w:top w:val="single" w:color="auto" w:sz="4" w:space="0"/>
            </w:tcBorders>
            <w:noWrap w:val="0"/>
            <w:textDirection w:val="tbRlV"/>
            <w:vAlign w:val="center"/>
          </w:tcPr>
          <w:p w14:paraId="708BDA78">
            <w:pPr>
              <w:pStyle w:val="69"/>
              <w:spacing w:before="182" w:line="209" w:lineRule="auto"/>
              <w:ind w:left="1004" w:leftChars="0"/>
              <w:jc w:val="center"/>
              <w:rPr>
                <w:rFonts w:ascii="宋体" w:hAnsi="宋体" w:eastAsia="宋体" w:cs="宋体"/>
                <w:snapToGrid w:val="0"/>
                <w:color w:val="auto"/>
                <w:spacing w:val="0"/>
                <w:kern w:val="0"/>
                <w:sz w:val="21"/>
                <w:szCs w:val="21"/>
                <w:highlight w:val="none"/>
                <w:lang w:val="en-US" w:eastAsia="en-US" w:bidi="ar-SA"/>
              </w:rPr>
            </w:pPr>
            <w:r>
              <w:rPr>
                <w:color w:val="auto"/>
                <w:spacing w:val="0"/>
                <w:highlight w:val="none"/>
              </w:rPr>
              <w:t>服务质量</w:t>
            </w:r>
          </w:p>
        </w:tc>
        <w:tc>
          <w:tcPr>
            <w:tcW w:w="614" w:type="dxa"/>
            <w:tcBorders>
              <w:top w:val="single" w:color="auto" w:sz="4" w:space="0"/>
            </w:tcBorders>
            <w:noWrap w:val="0"/>
            <w:vAlign w:val="center"/>
          </w:tcPr>
          <w:p w14:paraId="01BACBAB">
            <w:pPr>
              <w:pStyle w:val="69"/>
              <w:spacing w:before="68" w:line="182" w:lineRule="auto"/>
              <w:ind w:left="207" w:leftChars="0"/>
              <w:jc w:val="center"/>
              <w:rPr>
                <w:rFonts w:hint="default" w:ascii="宋体" w:hAnsi="宋体" w:eastAsia="宋体" w:cs="宋体"/>
                <w:snapToGrid w:val="0"/>
                <w:color w:val="auto"/>
                <w:spacing w:val="0"/>
                <w:kern w:val="0"/>
                <w:sz w:val="21"/>
                <w:szCs w:val="21"/>
                <w:highlight w:val="none"/>
                <w:lang w:val="en-US" w:eastAsia="en-US" w:bidi="ar-SA"/>
              </w:rPr>
            </w:pPr>
            <w:r>
              <w:rPr>
                <w:rFonts w:hint="default"/>
                <w:color w:val="auto"/>
                <w:spacing w:val="0"/>
                <w:highlight w:val="none"/>
                <w:lang w:val="en-US" w:eastAsia="en-US"/>
              </w:rPr>
              <w:t>14</w:t>
            </w:r>
          </w:p>
        </w:tc>
        <w:tc>
          <w:tcPr>
            <w:tcW w:w="1075" w:type="dxa"/>
            <w:noWrap w:val="0"/>
            <w:vAlign w:val="center"/>
          </w:tcPr>
          <w:p w14:paraId="76328528">
            <w:pPr>
              <w:pStyle w:val="69"/>
              <w:spacing w:before="68" w:line="248" w:lineRule="auto"/>
              <w:ind w:left="118" w:leftChars="0" w:right="109" w:rightChars="0" w:firstLine="6" w:firstLineChars="0"/>
              <w:jc w:val="center"/>
              <w:rPr>
                <w:rFonts w:hint="default" w:ascii="宋体" w:hAnsi="宋体" w:eastAsia="宋体" w:cs="宋体"/>
                <w:snapToGrid w:val="0"/>
                <w:color w:val="auto"/>
                <w:spacing w:val="0"/>
                <w:kern w:val="0"/>
                <w:sz w:val="21"/>
                <w:szCs w:val="21"/>
                <w:highlight w:val="none"/>
                <w:lang w:val="en-US" w:eastAsia="en-US" w:bidi="ar-SA"/>
              </w:rPr>
            </w:pPr>
            <w:r>
              <w:rPr>
                <w:color w:val="auto"/>
                <w:spacing w:val="0"/>
                <w:highlight w:val="none"/>
              </w:rPr>
              <w:t>基本服务项目</w:t>
            </w:r>
            <w:r>
              <w:rPr>
                <w:rFonts w:hint="default"/>
                <w:color w:val="auto"/>
                <w:spacing w:val="0"/>
                <w:highlight w:val="none"/>
                <w:lang w:eastAsia="en-US"/>
              </w:rPr>
              <w:t>质量</w:t>
            </w:r>
          </w:p>
        </w:tc>
        <w:tc>
          <w:tcPr>
            <w:tcW w:w="2371" w:type="dxa"/>
            <w:noWrap w:val="0"/>
            <w:vAlign w:val="center"/>
          </w:tcPr>
          <w:p w14:paraId="5F575FE0">
            <w:pPr>
              <w:pStyle w:val="69"/>
              <w:spacing w:before="69" w:line="247" w:lineRule="auto"/>
              <w:ind w:left="115" w:leftChars="0" w:right="188" w:rightChars="0"/>
              <w:jc w:val="center"/>
              <w:rPr>
                <w:rFonts w:ascii="宋体" w:hAnsi="宋体" w:eastAsia="宋体" w:cs="宋体"/>
                <w:snapToGrid w:val="0"/>
                <w:color w:val="auto"/>
                <w:spacing w:val="0"/>
                <w:kern w:val="0"/>
                <w:sz w:val="21"/>
                <w:szCs w:val="21"/>
                <w:highlight w:val="none"/>
                <w:lang w:val="en-US" w:eastAsia="en-US" w:bidi="ar-SA"/>
              </w:rPr>
            </w:pPr>
            <w:r>
              <w:rPr>
                <w:rFonts w:hint="default"/>
                <w:color w:val="auto"/>
                <w:spacing w:val="0"/>
                <w:highlight w:val="none"/>
                <w:lang w:eastAsia="en-US"/>
              </w:rPr>
              <w:t>（对银行、或企业等被审计单位和采购人）反馈及时</w:t>
            </w:r>
            <w:r>
              <w:rPr>
                <w:color w:val="auto"/>
                <w:spacing w:val="0"/>
                <w:highlight w:val="none"/>
              </w:rPr>
              <w:t>、礼貌</w:t>
            </w:r>
            <w:r>
              <w:rPr>
                <w:rFonts w:hint="default"/>
                <w:color w:val="auto"/>
                <w:spacing w:val="0"/>
                <w:highlight w:val="none"/>
                <w:lang w:eastAsia="en-US"/>
              </w:rPr>
              <w:t>用语</w:t>
            </w:r>
            <w:r>
              <w:rPr>
                <w:color w:val="auto"/>
                <w:spacing w:val="0"/>
                <w:highlight w:val="none"/>
              </w:rPr>
              <w:t>。</w:t>
            </w:r>
          </w:p>
        </w:tc>
        <w:tc>
          <w:tcPr>
            <w:tcW w:w="917" w:type="dxa"/>
            <w:noWrap w:val="0"/>
            <w:vAlign w:val="center"/>
          </w:tcPr>
          <w:p w14:paraId="2BF28E56">
            <w:pPr>
              <w:pStyle w:val="69"/>
              <w:spacing w:before="68" w:line="182" w:lineRule="auto"/>
              <w:ind w:left="507" w:leftChars="0"/>
              <w:jc w:val="both"/>
              <w:rPr>
                <w:rFonts w:hint="default" w:ascii="宋体" w:hAnsi="宋体" w:eastAsia="宋体" w:cs="宋体"/>
                <w:snapToGrid w:val="0"/>
                <w:color w:val="auto"/>
                <w:spacing w:val="0"/>
                <w:kern w:val="0"/>
                <w:sz w:val="21"/>
                <w:szCs w:val="21"/>
                <w:highlight w:val="none"/>
                <w:lang w:val="en-US" w:eastAsia="en-US" w:bidi="ar-SA"/>
              </w:rPr>
            </w:pPr>
            <w:r>
              <w:rPr>
                <w:color w:val="auto"/>
                <w:spacing w:val="0"/>
                <w:highlight w:val="none"/>
              </w:rPr>
              <w:t>2</w:t>
            </w:r>
          </w:p>
        </w:tc>
        <w:tc>
          <w:tcPr>
            <w:tcW w:w="2331" w:type="dxa"/>
            <w:noWrap w:val="0"/>
            <w:vAlign w:val="center"/>
          </w:tcPr>
          <w:p w14:paraId="404783E3">
            <w:pPr>
              <w:pStyle w:val="69"/>
              <w:spacing w:before="59" w:line="260" w:lineRule="auto"/>
              <w:ind w:left="120" w:leftChars="0" w:right="129" w:rightChars="0" w:firstLine="23" w:firstLineChars="0"/>
              <w:jc w:val="center"/>
              <w:rPr>
                <w:rFonts w:ascii="宋体" w:hAnsi="宋体" w:eastAsia="宋体" w:cs="宋体"/>
                <w:snapToGrid w:val="0"/>
                <w:color w:val="auto"/>
                <w:spacing w:val="0"/>
                <w:kern w:val="0"/>
                <w:sz w:val="21"/>
                <w:szCs w:val="21"/>
                <w:highlight w:val="none"/>
                <w:lang w:val="en-US" w:eastAsia="en-US" w:bidi="ar-SA"/>
              </w:rPr>
            </w:pPr>
            <w:r>
              <w:rPr>
                <w:rFonts w:hint="default"/>
                <w:color w:val="auto"/>
                <w:spacing w:val="0"/>
                <w:highlight w:val="none"/>
                <w:lang w:eastAsia="en-US"/>
              </w:rPr>
              <w:t>根据银行、或企业等被审计单位和采购人工作人员的反馈，并经采购人</w:t>
            </w:r>
            <w:r>
              <w:rPr>
                <w:color w:val="auto"/>
                <w:spacing w:val="0"/>
                <w:highlight w:val="none"/>
              </w:rPr>
              <w:t>评估，分为1-</w:t>
            </w:r>
            <w:r>
              <w:rPr>
                <w:rFonts w:hint="default"/>
                <w:color w:val="auto"/>
                <w:spacing w:val="0"/>
                <w:highlight w:val="none"/>
                <w:lang w:val="en-US" w:eastAsia="en-US"/>
              </w:rPr>
              <w:t>4</w:t>
            </w:r>
            <w:r>
              <w:rPr>
                <w:color w:val="auto"/>
                <w:spacing w:val="0"/>
                <w:highlight w:val="none"/>
              </w:rPr>
              <w:t>档，每档0.5分，按照具体落实内容酌情分档打分。</w:t>
            </w:r>
          </w:p>
        </w:tc>
        <w:tc>
          <w:tcPr>
            <w:tcW w:w="1027" w:type="dxa"/>
            <w:noWrap w:val="0"/>
            <w:vAlign w:val="center"/>
          </w:tcPr>
          <w:p w14:paraId="2351209C">
            <w:pPr>
              <w:jc w:val="center"/>
              <w:rPr>
                <w:rFonts w:ascii="宋体" w:hAnsi="宋体"/>
                <w:color w:val="auto"/>
                <w:spacing w:val="0"/>
                <w:sz w:val="21"/>
                <w:highlight w:val="none"/>
              </w:rPr>
            </w:pPr>
          </w:p>
        </w:tc>
      </w:tr>
      <w:tr w14:paraId="1043B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jc w:val="center"/>
        </w:trPr>
        <w:tc>
          <w:tcPr>
            <w:tcW w:w="576" w:type="dxa"/>
            <w:vMerge w:val="continue"/>
            <w:noWrap w:val="0"/>
            <w:textDirection w:val="tbRlV"/>
            <w:vAlign w:val="center"/>
          </w:tcPr>
          <w:p w14:paraId="36CA2EAB">
            <w:pPr>
              <w:jc w:val="center"/>
              <w:rPr>
                <w:rFonts w:ascii="宋体" w:hAnsi="宋体"/>
                <w:color w:val="auto"/>
                <w:spacing w:val="0"/>
                <w:sz w:val="21"/>
                <w:highlight w:val="none"/>
              </w:rPr>
            </w:pPr>
          </w:p>
        </w:tc>
        <w:tc>
          <w:tcPr>
            <w:tcW w:w="614" w:type="dxa"/>
            <w:noWrap w:val="0"/>
            <w:vAlign w:val="center"/>
          </w:tcPr>
          <w:p w14:paraId="2E67D3CC">
            <w:pPr>
              <w:pStyle w:val="69"/>
              <w:spacing w:before="68" w:line="182" w:lineRule="auto"/>
              <w:ind w:left="207" w:leftChars="0"/>
              <w:jc w:val="center"/>
              <w:rPr>
                <w:rFonts w:hint="default" w:ascii="宋体" w:hAnsi="宋体" w:eastAsia="宋体" w:cs="宋体"/>
                <w:snapToGrid w:val="0"/>
                <w:color w:val="auto"/>
                <w:spacing w:val="0"/>
                <w:kern w:val="0"/>
                <w:sz w:val="21"/>
                <w:szCs w:val="21"/>
                <w:highlight w:val="none"/>
                <w:lang w:val="en-US" w:eastAsia="en-US" w:bidi="ar-SA"/>
              </w:rPr>
            </w:pPr>
            <w:r>
              <w:rPr>
                <w:rFonts w:hint="default"/>
                <w:color w:val="auto"/>
                <w:spacing w:val="0"/>
                <w:highlight w:val="none"/>
                <w:lang w:val="en-US" w:eastAsia="en-US"/>
              </w:rPr>
              <w:t>15</w:t>
            </w:r>
          </w:p>
        </w:tc>
        <w:tc>
          <w:tcPr>
            <w:tcW w:w="1075" w:type="dxa"/>
            <w:noWrap w:val="0"/>
            <w:vAlign w:val="center"/>
          </w:tcPr>
          <w:p w14:paraId="0B75D541">
            <w:pPr>
              <w:pStyle w:val="69"/>
              <w:spacing w:before="217" w:line="248" w:lineRule="auto"/>
              <w:ind w:left="115" w:leftChars="0" w:right="109" w:rightChars="0" w:firstLine="11" w:firstLineChars="0"/>
              <w:jc w:val="center"/>
              <w:rPr>
                <w:rFonts w:ascii="宋体" w:hAnsi="宋体" w:eastAsia="宋体" w:cs="宋体"/>
                <w:snapToGrid w:val="0"/>
                <w:color w:val="auto"/>
                <w:spacing w:val="0"/>
                <w:kern w:val="0"/>
                <w:sz w:val="21"/>
                <w:szCs w:val="21"/>
                <w:highlight w:val="none"/>
                <w:lang w:val="en-US" w:eastAsia="en-US" w:bidi="ar-SA"/>
              </w:rPr>
            </w:pPr>
            <w:r>
              <w:rPr>
                <w:color w:val="auto"/>
                <w:spacing w:val="0"/>
                <w:highlight w:val="none"/>
              </w:rPr>
              <w:t>建立</w:t>
            </w:r>
            <w:r>
              <w:rPr>
                <w:rFonts w:hint="default"/>
                <w:color w:val="auto"/>
                <w:spacing w:val="0"/>
                <w:highlight w:val="none"/>
                <w:lang w:eastAsia="en-US"/>
              </w:rPr>
              <w:t>并执行</w:t>
            </w:r>
            <w:r>
              <w:rPr>
                <w:color w:val="auto"/>
                <w:spacing w:val="0"/>
                <w:highlight w:val="none"/>
              </w:rPr>
              <w:t>工作制度</w:t>
            </w:r>
          </w:p>
        </w:tc>
        <w:tc>
          <w:tcPr>
            <w:tcW w:w="2371" w:type="dxa"/>
            <w:noWrap w:val="0"/>
            <w:vAlign w:val="center"/>
          </w:tcPr>
          <w:p w14:paraId="0E86C262">
            <w:pPr>
              <w:pStyle w:val="69"/>
              <w:spacing w:before="216" w:line="248" w:lineRule="auto"/>
              <w:ind w:left="114" w:leftChars="0" w:right="24" w:rightChars="0" w:firstLine="4" w:firstLineChars="0"/>
              <w:jc w:val="center"/>
              <w:rPr>
                <w:rFonts w:ascii="宋体" w:hAnsi="宋体" w:eastAsia="宋体" w:cs="宋体"/>
                <w:snapToGrid w:val="0"/>
                <w:color w:val="auto"/>
                <w:spacing w:val="0"/>
                <w:kern w:val="0"/>
                <w:sz w:val="21"/>
                <w:szCs w:val="21"/>
                <w:highlight w:val="none"/>
                <w:lang w:val="en-US" w:eastAsia="en-US" w:bidi="ar-SA"/>
              </w:rPr>
            </w:pPr>
            <w:r>
              <w:rPr>
                <w:color w:val="auto"/>
                <w:spacing w:val="0"/>
                <w:highlight w:val="none"/>
              </w:rPr>
              <w:t>是否建立完善的管理、业务、沟通等工作制度</w:t>
            </w:r>
            <w:r>
              <w:rPr>
                <w:rFonts w:hint="default"/>
                <w:color w:val="auto"/>
                <w:spacing w:val="0"/>
                <w:highlight w:val="none"/>
                <w:lang w:eastAsia="en-US"/>
              </w:rPr>
              <w:t>并对</w:t>
            </w:r>
            <w:r>
              <w:rPr>
                <w:color w:val="auto"/>
                <w:spacing w:val="0"/>
                <w:highlight w:val="none"/>
              </w:rPr>
              <w:t>各项工作制度的落实执行情况</w:t>
            </w:r>
            <w:r>
              <w:rPr>
                <w:rFonts w:hint="default"/>
                <w:color w:val="auto"/>
                <w:spacing w:val="0"/>
                <w:highlight w:val="none"/>
                <w:lang w:eastAsia="en-US"/>
              </w:rPr>
              <w:t>。</w:t>
            </w:r>
          </w:p>
        </w:tc>
        <w:tc>
          <w:tcPr>
            <w:tcW w:w="917" w:type="dxa"/>
            <w:noWrap w:val="0"/>
            <w:vAlign w:val="center"/>
          </w:tcPr>
          <w:p w14:paraId="3EE58664">
            <w:pPr>
              <w:pStyle w:val="69"/>
              <w:spacing w:before="68" w:line="182" w:lineRule="auto"/>
              <w:ind w:left="507" w:leftChars="0"/>
              <w:jc w:val="both"/>
              <w:rPr>
                <w:rFonts w:hint="default" w:ascii="宋体" w:hAnsi="宋体" w:eastAsia="宋体" w:cs="宋体"/>
                <w:snapToGrid w:val="0"/>
                <w:color w:val="auto"/>
                <w:spacing w:val="0"/>
                <w:kern w:val="0"/>
                <w:sz w:val="21"/>
                <w:szCs w:val="21"/>
                <w:highlight w:val="none"/>
                <w:lang w:val="en-US" w:eastAsia="en-US" w:bidi="ar-SA"/>
              </w:rPr>
            </w:pPr>
            <w:r>
              <w:rPr>
                <w:color w:val="auto"/>
                <w:spacing w:val="0"/>
                <w:highlight w:val="none"/>
              </w:rPr>
              <w:t>2</w:t>
            </w:r>
          </w:p>
        </w:tc>
        <w:tc>
          <w:tcPr>
            <w:tcW w:w="2331" w:type="dxa"/>
            <w:noWrap w:val="0"/>
            <w:vAlign w:val="center"/>
          </w:tcPr>
          <w:p w14:paraId="1099F43E">
            <w:pPr>
              <w:pStyle w:val="69"/>
              <w:spacing w:before="57" w:line="256" w:lineRule="auto"/>
              <w:ind w:left="116" w:leftChars="0" w:right="129" w:rightChars="0" w:firstLine="3" w:firstLineChars="0"/>
              <w:jc w:val="center"/>
              <w:rPr>
                <w:rFonts w:hint="default" w:ascii="宋体" w:hAnsi="宋体" w:eastAsia="宋体" w:cs="宋体"/>
                <w:snapToGrid w:val="0"/>
                <w:color w:val="auto"/>
                <w:spacing w:val="0"/>
                <w:kern w:val="0"/>
                <w:sz w:val="21"/>
                <w:szCs w:val="21"/>
                <w:highlight w:val="none"/>
                <w:lang w:val="en-US" w:eastAsia="en-US" w:bidi="ar-SA"/>
              </w:rPr>
            </w:pPr>
            <w:r>
              <w:rPr>
                <w:color w:val="auto"/>
                <w:spacing w:val="0"/>
                <w:highlight w:val="none"/>
              </w:rPr>
              <w:t>建立了相关的工作制度的</w:t>
            </w:r>
            <w:r>
              <w:rPr>
                <w:rFonts w:hint="default"/>
                <w:color w:val="auto"/>
                <w:spacing w:val="0"/>
                <w:highlight w:val="none"/>
                <w:lang w:eastAsia="en-US"/>
              </w:rPr>
              <w:t>（包括但不限于工作时间、工作纪律等）</w:t>
            </w:r>
            <w:r>
              <w:rPr>
                <w:color w:val="auto"/>
                <w:spacing w:val="0"/>
                <w:highlight w:val="none"/>
              </w:rPr>
              <w:t>，不扣分，否则缺少一项扣0.2分</w:t>
            </w:r>
            <w:r>
              <w:rPr>
                <w:rFonts w:hint="default"/>
                <w:color w:val="auto"/>
                <w:spacing w:val="0"/>
                <w:highlight w:val="none"/>
                <w:lang w:eastAsia="en-US"/>
              </w:rPr>
              <w:t>；如发生工作制度执行不到位，每发生一次扣</w:t>
            </w:r>
            <w:r>
              <w:rPr>
                <w:rFonts w:hint="default"/>
                <w:color w:val="auto"/>
                <w:spacing w:val="0"/>
                <w:highlight w:val="none"/>
                <w:lang w:val="en-US" w:eastAsia="en-US"/>
              </w:rPr>
              <w:t>0.2分。</w:t>
            </w:r>
          </w:p>
        </w:tc>
        <w:tc>
          <w:tcPr>
            <w:tcW w:w="1027" w:type="dxa"/>
            <w:noWrap w:val="0"/>
            <w:vAlign w:val="center"/>
          </w:tcPr>
          <w:p w14:paraId="5B12C2CB">
            <w:pPr>
              <w:jc w:val="center"/>
              <w:rPr>
                <w:rFonts w:ascii="宋体" w:hAnsi="宋体"/>
                <w:color w:val="auto"/>
                <w:spacing w:val="0"/>
                <w:sz w:val="21"/>
                <w:highlight w:val="none"/>
              </w:rPr>
            </w:pPr>
          </w:p>
        </w:tc>
      </w:tr>
      <w:tr w14:paraId="2EEF8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8" w:hRule="atLeast"/>
          <w:jc w:val="center"/>
        </w:trPr>
        <w:tc>
          <w:tcPr>
            <w:tcW w:w="576" w:type="dxa"/>
            <w:vMerge w:val="continue"/>
            <w:tcBorders>
              <w:bottom w:val="single" w:color="auto" w:sz="4" w:space="0"/>
            </w:tcBorders>
            <w:noWrap w:val="0"/>
            <w:textDirection w:val="tbRlV"/>
            <w:vAlign w:val="center"/>
          </w:tcPr>
          <w:p w14:paraId="7E8FD3C9">
            <w:pPr>
              <w:jc w:val="center"/>
              <w:rPr>
                <w:rFonts w:ascii="宋体" w:hAnsi="宋体"/>
                <w:color w:val="auto"/>
                <w:spacing w:val="0"/>
                <w:sz w:val="21"/>
                <w:highlight w:val="none"/>
              </w:rPr>
            </w:pPr>
          </w:p>
        </w:tc>
        <w:tc>
          <w:tcPr>
            <w:tcW w:w="614" w:type="dxa"/>
            <w:tcBorders>
              <w:bottom w:val="single" w:color="auto" w:sz="4" w:space="0"/>
            </w:tcBorders>
            <w:noWrap w:val="0"/>
            <w:vAlign w:val="center"/>
          </w:tcPr>
          <w:p w14:paraId="44A9C63C">
            <w:pPr>
              <w:pStyle w:val="69"/>
              <w:spacing w:before="69" w:line="182" w:lineRule="auto"/>
              <w:ind w:left="207" w:leftChars="0"/>
              <w:jc w:val="center"/>
              <w:rPr>
                <w:rFonts w:hint="default" w:ascii="宋体" w:hAnsi="宋体" w:eastAsia="宋体" w:cs="宋体"/>
                <w:snapToGrid w:val="0"/>
                <w:color w:val="auto"/>
                <w:spacing w:val="0"/>
                <w:kern w:val="0"/>
                <w:sz w:val="21"/>
                <w:szCs w:val="21"/>
                <w:highlight w:val="none"/>
                <w:lang w:val="en-US" w:eastAsia="en-US" w:bidi="ar-SA"/>
              </w:rPr>
            </w:pPr>
            <w:r>
              <w:rPr>
                <w:rFonts w:hint="default"/>
                <w:color w:val="auto"/>
                <w:spacing w:val="0"/>
                <w:highlight w:val="none"/>
                <w:lang w:val="en-US" w:eastAsia="en-US"/>
              </w:rPr>
              <w:t>16</w:t>
            </w:r>
          </w:p>
        </w:tc>
        <w:tc>
          <w:tcPr>
            <w:tcW w:w="1075" w:type="dxa"/>
            <w:noWrap w:val="0"/>
            <w:vAlign w:val="center"/>
          </w:tcPr>
          <w:p w14:paraId="0C274AD6">
            <w:pPr>
              <w:pStyle w:val="69"/>
              <w:spacing w:before="68" w:line="251" w:lineRule="auto"/>
              <w:ind w:left="123" w:leftChars="0" w:right="109" w:rightChars="0" w:firstLine="0" w:firstLineChars="0"/>
              <w:jc w:val="center"/>
              <w:rPr>
                <w:rFonts w:ascii="宋体" w:hAnsi="宋体" w:eastAsia="宋体" w:cs="宋体"/>
                <w:snapToGrid w:val="0"/>
                <w:color w:val="auto"/>
                <w:spacing w:val="0"/>
                <w:kern w:val="0"/>
                <w:sz w:val="21"/>
                <w:szCs w:val="21"/>
                <w:highlight w:val="none"/>
                <w:lang w:val="en-US" w:eastAsia="en-US" w:bidi="ar-SA"/>
              </w:rPr>
            </w:pPr>
            <w:r>
              <w:rPr>
                <w:color w:val="auto"/>
                <w:spacing w:val="0"/>
                <w:highlight w:val="none"/>
              </w:rPr>
              <w:t>满意度调查</w:t>
            </w:r>
          </w:p>
        </w:tc>
        <w:tc>
          <w:tcPr>
            <w:tcW w:w="2371" w:type="dxa"/>
            <w:noWrap w:val="0"/>
            <w:vAlign w:val="center"/>
          </w:tcPr>
          <w:p w14:paraId="5C72BF6D">
            <w:pPr>
              <w:pStyle w:val="69"/>
              <w:spacing w:before="68" w:line="247" w:lineRule="auto"/>
              <w:ind w:left="116" w:leftChars="0" w:right="156" w:rightChars="0" w:firstLine="4" w:firstLineChars="0"/>
              <w:jc w:val="center"/>
              <w:rPr>
                <w:rFonts w:ascii="宋体" w:hAnsi="宋体" w:eastAsia="宋体" w:cs="宋体"/>
                <w:snapToGrid w:val="0"/>
                <w:color w:val="auto"/>
                <w:spacing w:val="0"/>
                <w:kern w:val="0"/>
                <w:sz w:val="21"/>
                <w:szCs w:val="21"/>
                <w:highlight w:val="none"/>
                <w:lang w:val="en-US" w:eastAsia="en-US" w:bidi="ar-SA"/>
              </w:rPr>
            </w:pPr>
            <w:r>
              <w:rPr>
                <w:color w:val="auto"/>
                <w:spacing w:val="0"/>
                <w:highlight w:val="none"/>
              </w:rPr>
              <w:t>定期对务质量开展的满意度调查。</w:t>
            </w:r>
          </w:p>
        </w:tc>
        <w:tc>
          <w:tcPr>
            <w:tcW w:w="917" w:type="dxa"/>
            <w:noWrap w:val="0"/>
            <w:vAlign w:val="center"/>
          </w:tcPr>
          <w:p w14:paraId="3C645D2A">
            <w:pPr>
              <w:pStyle w:val="69"/>
              <w:spacing w:before="69" w:line="182" w:lineRule="auto"/>
              <w:ind w:left="507" w:leftChars="0"/>
              <w:jc w:val="both"/>
              <w:rPr>
                <w:rFonts w:hint="default" w:ascii="宋体" w:hAnsi="宋体" w:eastAsia="宋体" w:cs="宋体"/>
                <w:snapToGrid w:val="0"/>
                <w:color w:val="auto"/>
                <w:spacing w:val="0"/>
                <w:kern w:val="0"/>
                <w:sz w:val="21"/>
                <w:szCs w:val="21"/>
                <w:highlight w:val="none"/>
                <w:lang w:val="en-US" w:eastAsia="en-US" w:bidi="ar-SA"/>
              </w:rPr>
            </w:pPr>
            <w:r>
              <w:rPr>
                <w:rFonts w:hint="default"/>
                <w:color w:val="auto"/>
                <w:spacing w:val="0"/>
                <w:highlight w:val="none"/>
                <w:lang w:val="en-US" w:eastAsia="en-US"/>
              </w:rPr>
              <w:t>8</w:t>
            </w:r>
          </w:p>
        </w:tc>
        <w:tc>
          <w:tcPr>
            <w:tcW w:w="2331" w:type="dxa"/>
            <w:noWrap w:val="0"/>
            <w:vAlign w:val="center"/>
          </w:tcPr>
          <w:p w14:paraId="7656BE3A">
            <w:pPr>
              <w:pStyle w:val="69"/>
              <w:spacing w:before="54" w:line="248" w:lineRule="auto"/>
              <w:ind w:left="137" w:leftChars="0" w:right="129" w:rightChars="0" w:hanging="20" w:firstLineChars="0"/>
              <w:jc w:val="center"/>
              <w:rPr>
                <w:rFonts w:ascii="宋体" w:hAnsi="宋体" w:eastAsia="宋体" w:cs="宋体"/>
                <w:snapToGrid w:val="0"/>
                <w:color w:val="auto"/>
                <w:spacing w:val="0"/>
                <w:kern w:val="0"/>
                <w:sz w:val="21"/>
                <w:szCs w:val="21"/>
                <w:highlight w:val="none"/>
                <w:lang w:val="en-US" w:eastAsia="en-US" w:bidi="ar-SA"/>
              </w:rPr>
            </w:pPr>
            <w:r>
              <w:rPr>
                <w:rFonts w:hint="default"/>
                <w:color w:val="auto"/>
                <w:spacing w:val="0"/>
                <w:highlight w:val="none"/>
                <w:lang w:eastAsia="en-US"/>
              </w:rPr>
              <w:t>服务结束后</w:t>
            </w:r>
            <w:r>
              <w:rPr>
                <w:color w:val="auto"/>
                <w:spacing w:val="0"/>
                <w:highlight w:val="none"/>
              </w:rPr>
              <w:t>开展满意度调查，根据</w:t>
            </w:r>
            <w:r>
              <w:rPr>
                <w:rFonts w:hint="default"/>
                <w:color w:val="auto"/>
                <w:spacing w:val="0"/>
                <w:highlight w:val="none"/>
                <w:lang w:eastAsia="en-US"/>
              </w:rPr>
              <w:t>采购人</w:t>
            </w:r>
            <w:r>
              <w:rPr>
                <w:color w:val="auto"/>
                <w:spacing w:val="0"/>
                <w:highlight w:val="none"/>
              </w:rPr>
              <w:t>调查的满意度折算，满意度每</w:t>
            </w:r>
            <w:r>
              <w:rPr>
                <w:rFonts w:hint="default"/>
                <w:color w:val="auto"/>
                <w:spacing w:val="0"/>
                <w:highlight w:val="none"/>
                <w:lang w:val="en-US" w:eastAsia="en-US"/>
              </w:rPr>
              <w:t>10</w:t>
            </w:r>
            <w:r>
              <w:rPr>
                <w:color w:val="auto"/>
                <w:spacing w:val="0"/>
                <w:highlight w:val="none"/>
              </w:rPr>
              <w:t>个百分点分档，每档0.</w:t>
            </w:r>
            <w:r>
              <w:rPr>
                <w:rFonts w:hint="default"/>
                <w:color w:val="auto"/>
                <w:spacing w:val="0"/>
                <w:highlight w:val="none"/>
                <w:lang w:val="en-US" w:eastAsia="en-US"/>
              </w:rPr>
              <w:t>8</w:t>
            </w:r>
            <w:r>
              <w:rPr>
                <w:color w:val="auto"/>
                <w:spacing w:val="0"/>
                <w:highlight w:val="none"/>
              </w:rPr>
              <w:t>分。</w:t>
            </w:r>
          </w:p>
        </w:tc>
        <w:tc>
          <w:tcPr>
            <w:tcW w:w="1027" w:type="dxa"/>
            <w:noWrap w:val="0"/>
            <w:vAlign w:val="center"/>
          </w:tcPr>
          <w:p w14:paraId="0FAA75B5">
            <w:pPr>
              <w:jc w:val="center"/>
              <w:rPr>
                <w:rFonts w:ascii="宋体" w:hAnsi="宋体"/>
                <w:color w:val="auto"/>
                <w:spacing w:val="0"/>
                <w:sz w:val="21"/>
                <w:highlight w:val="none"/>
              </w:rPr>
            </w:pPr>
          </w:p>
        </w:tc>
      </w:tr>
      <w:tr w14:paraId="15E69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jc w:val="center"/>
        </w:trPr>
        <w:tc>
          <w:tcPr>
            <w:tcW w:w="576" w:type="dxa"/>
            <w:vMerge w:val="restart"/>
            <w:tcBorders>
              <w:top w:val="single" w:color="auto" w:sz="4" w:space="0"/>
            </w:tcBorders>
            <w:noWrap w:val="0"/>
            <w:textDirection w:val="tbRlV"/>
            <w:vAlign w:val="center"/>
          </w:tcPr>
          <w:p w14:paraId="5B33572D">
            <w:pPr>
              <w:jc w:val="center"/>
              <w:rPr>
                <w:rFonts w:ascii="宋体" w:hAnsi="宋体"/>
                <w:color w:val="auto"/>
                <w:spacing w:val="0"/>
                <w:sz w:val="21"/>
                <w:highlight w:val="none"/>
              </w:rPr>
            </w:pPr>
            <w:r>
              <w:rPr>
                <w:rFonts w:hint="default" w:ascii="宋体" w:hAnsi="宋体" w:cs="宋体"/>
                <w:color w:val="auto"/>
                <w:sz w:val="21"/>
                <w:szCs w:val="21"/>
                <w:highlight w:val="none"/>
              </w:rPr>
              <w:t>廉洁工作纪律</w:t>
            </w:r>
          </w:p>
        </w:tc>
        <w:tc>
          <w:tcPr>
            <w:tcW w:w="614" w:type="dxa"/>
            <w:tcBorders>
              <w:top w:val="single" w:color="auto" w:sz="4" w:space="0"/>
              <w:bottom w:val="single" w:color="auto" w:sz="4" w:space="0"/>
            </w:tcBorders>
            <w:noWrap w:val="0"/>
            <w:vAlign w:val="center"/>
          </w:tcPr>
          <w:p w14:paraId="5077E4F1">
            <w:pPr>
              <w:pStyle w:val="69"/>
              <w:spacing w:before="69" w:line="182" w:lineRule="auto"/>
              <w:ind w:left="259" w:leftChars="0"/>
              <w:jc w:val="center"/>
              <w:rPr>
                <w:rFonts w:hint="default"/>
                <w:color w:val="auto"/>
                <w:spacing w:val="0"/>
                <w:highlight w:val="none"/>
                <w:lang w:val="en-US" w:eastAsia="en-US"/>
              </w:rPr>
            </w:pPr>
            <w:r>
              <w:rPr>
                <w:rFonts w:hint="default"/>
                <w:color w:val="auto"/>
                <w:spacing w:val="0"/>
                <w:highlight w:val="none"/>
                <w:lang w:val="en-US" w:eastAsia="en-US"/>
              </w:rPr>
              <w:t>17</w:t>
            </w:r>
          </w:p>
        </w:tc>
        <w:tc>
          <w:tcPr>
            <w:tcW w:w="1075" w:type="dxa"/>
            <w:noWrap w:val="0"/>
            <w:vAlign w:val="center"/>
          </w:tcPr>
          <w:p w14:paraId="7C682E09">
            <w:pPr>
              <w:pStyle w:val="69"/>
              <w:spacing w:before="68" w:line="247" w:lineRule="auto"/>
              <w:ind w:left="125" w:leftChars="0" w:right="109" w:rightChars="0"/>
              <w:jc w:val="center"/>
              <w:rPr>
                <w:rFonts w:hint="default" w:eastAsia="宋体"/>
                <w:color w:val="auto"/>
                <w:spacing w:val="0"/>
                <w:highlight w:val="none"/>
                <w:lang w:eastAsia="en-US"/>
              </w:rPr>
            </w:pPr>
            <w:r>
              <w:rPr>
                <w:rFonts w:hint="default"/>
                <w:color w:val="auto"/>
                <w:spacing w:val="0"/>
                <w:highlight w:val="none"/>
                <w:lang w:eastAsia="en-US"/>
              </w:rPr>
              <w:t>建立并执行廉洁自律制度</w:t>
            </w:r>
          </w:p>
        </w:tc>
        <w:tc>
          <w:tcPr>
            <w:tcW w:w="2371" w:type="dxa"/>
            <w:noWrap w:val="0"/>
            <w:vAlign w:val="center"/>
          </w:tcPr>
          <w:p w14:paraId="48D40E4A">
            <w:pPr>
              <w:pStyle w:val="69"/>
              <w:spacing w:before="69" w:line="256" w:lineRule="auto"/>
              <w:ind w:left="114" w:leftChars="0" w:right="156" w:rightChars="0"/>
              <w:jc w:val="center"/>
              <w:rPr>
                <w:rFonts w:hint="default" w:eastAsia="宋体"/>
                <w:color w:val="auto"/>
                <w:spacing w:val="0"/>
                <w:highlight w:val="none"/>
                <w:lang w:val="en-US" w:eastAsia="en-US"/>
              </w:rPr>
            </w:pPr>
            <w:r>
              <w:rPr>
                <w:rFonts w:hint="default"/>
                <w:color w:val="auto"/>
                <w:spacing w:val="0"/>
                <w:highlight w:val="none"/>
                <w:lang w:eastAsia="en-US"/>
              </w:rPr>
              <w:t>是否建立完善的廉洁自律制度并对廉洁自律制度的落实执行情况</w:t>
            </w:r>
            <w:r>
              <w:rPr>
                <w:rFonts w:hint="default"/>
                <w:color w:val="auto"/>
                <w:spacing w:val="0"/>
                <w:highlight w:val="none"/>
                <w:lang w:val="en-US" w:eastAsia="en-US"/>
              </w:rPr>
              <w:t>。</w:t>
            </w:r>
          </w:p>
        </w:tc>
        <w:tc>
          <w:tcPr>
            <w:tcW w:w="917" w:type="dxa"/>
            <w:noWrap w:val="0"/>
            <w:vAlign w:val="center"/>
          </w:tcPr>
          <w:p w14:paraId="7BAA292F">
            <w:pPr>
              <w:pStyle w:val="69"/>
              <w:spacing w:before="69" w:line="182" w:lineRule="auto"/>
              <w:ind w:left="506" w:leftChars="0"/>
              <w:jc w:val="both"/>
              <w:rPr>
                <w:rFonts w:hint="default"/>
                <w:color w:val="auto"/>
                <w:spacing w:val="0"/>
                <w:highlight w:val="none"/>
                <w:lang w:val="en-US" w:eastAsia="en-US"/>
              </w:rPr>
            </w:pPr>
            <w:r>
              <w:rPr>
                <w:rFonts w:hint="default"/>
                <w:color w:val="auto"/>
                <w:spacing w:val="0"/>
                <w:highlight w:val="none"/>
                <w:lang w:val="en-US" w:eastAsia="en-US"/>
              </w:rPr>
              <w:t>2</w:t>
            </w:r>
          </w:p>
        </w:tc>
        <w:tc>
          <w:tcPr>
            <w:tcW w:w="2331" w:type="dxa"/>
            <w:noWrap w:val="0"/>
            <w:vAlign w:val="center"/>
          </w:tcPr>
          <w:p w14:paraId="757300B5">
            <w:pPr>
              <w:pStyle w:val="69"/>
              <w:spacing w:before="55" w:line="247" w:lineRule="auto"/>
              <w:ind w:left="117" w:leftChars="0" w:right="129" w:rightChars="0" w:hanging="1" w:firstLineChars="0"/>
              <w:jc w:val="center"/>
              <w:rPr>
                <w:rFonts w:hint="default" w:eastAsia="宋体"/>
                <w:color w:val="auto"/>
                <w:spacing w:val="0"/>
                <w:highlight w:val="none"/>
                <w:lang w:eastAsia="en-US"/>
              </w:rPr>
            </w:pPr>
            <w:r>
              <w:rPr>
                <w:rFonts w:hint="default"/>
                <w:color w:val="auto"/>
                <w:spacing w:val="0"/>
                <w:highlight w:val="none"/>
                <w:lang w:eastAsia="en-US"/>
              </w:rPr>
              <w:t>建立了相关的廉洁自律制度（包括但不限于尊纪守法、人员廉政自律要求、风险防范措施等）</w:t>
            </w:r>
            <w:r>
              <w:rPr>
                <w:color w:val="auto"/>
                <w:spacing w:val="0"/>
                <w:highlight w:val="none"/>
              </w:rPr>
              <w:t>，不扣分，否则缺少一项扣0.2分</w:t>
            </w:r>
            <w:r>
              <w:rPr>
                <w:rFonts w:hint="default"/>
                <w:color w:val="auto"/>
                <w:spacing w:val="0"/>
                <w:highlight w:val="none"/>
                <w:lang w:eastAsia="en-US"/>
              </w:rPr>
              <w:t>；如发生廉洁制度执行不到位，每发生一次扣</w:t>
            </w:r>
            <w:r>
              <w:rPr>
                <w:rFonts w:hint="default"/>
                <w:color w:val="auto"/>
                <w:spacing w:val="0"/>
                <w:highlight w:val="none"/>
                <w:lang w:val="en-US" w:eastAsia="en-US"/>
              </w:rPr>
              <w:t>0.2分。</w:t>
            </w:r>
          </w:p>
        </w:tc>
        <w:tc>
          <w:tcPr>
            <w:tcW w:w="1027" w:type="dxa"/>
            <w:noWrap w:val="0"/>
            <w:vAlign w:val="center"/>
          </w:tcPr>
          <w:p w14:paraId="2DDF25AB">
            <w:pPr>
              <w:jc w:val="center"/>
              <w:rPr>
                <w:rFonts w:ascii="宋体" w:hAnsi="宋体"/>
                <w:color w:val="auto"/>
                <w:spacing w:val="0"/>
                <w:sz w:val="21"/>
                <w:highlight w:val="none"/>
              </w:rPr>
            </w:pPr>
          </w:p>
        </w:tc>
      </w:tr>
      <w:tr w14:paraId="509C9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jc w:val="center"/>
        </w:trPr>
        <w:tc>
          <w:tcPr>
            <w:tcW w:w="576" w:type="dxa"/>
            <w:vMerge w:val="continue"/>
            <w:noWrap w:val="0"/>
            <w:textDirection w:val="tbRlV"/>
            <w:vAlign w:val="center"/>
          </w:tcPr>
          <w:p w14:paraId="1DC427FA">
            <w:pPr>
              <w:jc w:val="center"/>
              <w:rPr>
                <w:rFonts w:hint="default" w:ascii="宋体" w:hAnsi="宋体" w:cs="宋体"/>
                <w:color w:val="auto"/>
                <w:sz w:val="21"/>
                <w:szCs w:val="21"/>
                <w:highlight w:val="none"/>
              </w:rPr>
            </w:pPr>
          </w:p>
        </w:tc>
        <w:tc>
          <w:tcPr>
            <w:tcW w:w="614" w:type="dxa"/>
            <w:tcBorders>
              <w:top w:val="single" w:color="auto" w:sz="4" w:space="0"/>
              <w:bottom w:val="single" w:color="auto" w:sz="4" w:space="0"/>
            </w:tcBorders>
            <w:noWrap w:val="0"/>
            <w:vAlign w:val="center"/>
          </w:tcPr>
          <w:p w14:paraId="4DED3866">
            <w:pPr>
              <w:pStyle w:val="69"/>
              <w:spacing w:before="69" w:line="182" w:lineRule="auto"/>
              <w:ind w:left="259" w:leftChars="0"/>
              <w:jc w:val="both"/>
              <w:rPr>
                <w:rFonts w:hint="default"/>
                <w:color w:val="auto"/>
                <w:spacing w:val="0"/>
                <w:highlight w:val="none"/>
                <w:lang w:val="en-US" w:eastAsia="en-US"/>
              </w:rPr>
            </w:pPr>
            <w:r>
              <w:rPr>
                <w:rFonts w:hint="default"/>
                <w:color w:val="auto"/>
                <w:spacing w:val="0"/>
                <w:highlight w:val="none"/>
                <w:lang w:val="en-US" w:eastAsia="en-US"/>
              </w:rPr>
              <w:t>18</w:t>
            </w:r>
          </w:p>
        </w:tc>
        <w:tc>
          <w:tcPr>
            <w:tcW w:w="1075" w:type="dxa"/>
            <w:noWrap w:val="0"/>
            <w:vAlign w:val="center"/>
          </w:tcPr>
          <w:p w14:paraId="63A8A5DF">
            <w:pPr>
              <w:pStyle w:val="69"/>
              <w:spacing w:before="68" w:line="247" w:lineRule="auto"/>
              <w:ind w:left="125" w:leftChars="0" w:right="109" w:rightChars="0"/>
              <w:jc w:val="center"/>
              <w:rPr>
                <w:rFonts w:hint="default"/>
                <w:color w:val="auto"/>
                <w:spacing w:val="0"/>
                <w:highlight w:val="none"/>
                <w:lang w:eastAsia="en-US"/>
              </w:rPr>
            </w:pPr>
            <w:r>
              <w:rPr>
                <w:rFonts w:hint="default"/>
                <w:color w:val="auto"/>
                <w:spacing w:val="0"/>
                <w:highlight w:val="none"/>
                <w:lang w:eastAsia="en-US"/>
              </w:rPr>
              <w:t>发生行贿、受贿情形</w:t>
            </w:r>
          </w:p>
        </w:tc>
        <w:tc>
          <w:tcPr>
            <w:tcW w:w="2371" w:type="dxa"/>
            <w:noWrap w:val="0"/>
            <w:vAlign w:val="center"/>
          </w:tcPr>
          <w:p w14:paraId="26EE33B5">
            <w:pPr>
              <w:pStyle w:val="69"/>
              <w:spacing w:before="69" w:line="256" w:lineRule="auto"/>
              <w:ind w:left="114" w:leftChars="0" w:right="156" w:rightChars="0"/>
              <w:jc w:val="center"/>
              <w:rPr>
                <w:rFonts w:hint="default"/>
                <w:color w:val="auto"/>
                <w:spacing w:val="0"/>
                <w:highlight w:val="none"/>
                <w:lang w:val="en-US" w:eastAsia="en-US"/>
              </w:rPr>
            </w:pPr>
            <w:r>
              <w:rPr>
                <w:rFonts w:hint="default"/>
                <w:color w:val="auto"/>
                <w:spacing w:val="0"/>
                <w:highlight w:val="none"/>
                <w:lang w:eastAsia="en-US"/>
              </w:rPr>
              <w:t>是否发生向采购人行贿或接受银行、或企业等被审计单位的受贿情形（包括但不限于审计署《关于加强审计纪律的规定》的“八不准”的规定）。</w:t>
            </w:r>
          </w:p>
        </w:tc>
        <w:tc>
          <w:tcPr>
            <w:tcW w:w="917" w:type="dxa"/>
            <w:noWrap w:val="0"/>
            <w:vAlign w:val="center"/>
          </w:tcPr>
          <w:p w14:paraId="65DA422C">
            <w:pPr>
              <w:pStyle w:val="69"/>
              <w:spacing w:before="69" w:line="182" w:lineRule="auto"/>
              <w:ind w:left="0" w:leftChars="0"/>
              <w:jc w:val="center"/>
              <w:rPr>
                <w:rFonts w:hint="default"/>
                <w:color w:val="auto"/>
                <w:spacing w:val="0"/>
                <w:highlight w:val="none"/>
                <w:lang w:val="en-US" w:eastAsia="en-US"/>
              </w:rPr>
            </w:pPr>
            <w:r>
              <w:rPr>
                <w:rFonts w:hint="default"/>
                <w:color w:val="auto"/>
                <w:spacing w:val="0"/>
                <w:highlight w:val="none"/>
                <w:lang w:val="en-US" w:eastAsia="en-US"/>
              </w:rPr>
              <w:t>10</w:t>
            </w:r>
          </w:p>
        </w:tc>
        <w:tc>
          <w:tcPr>
            <w:tcW w:w="2331" w:type="dxa"/>
            <w:noWrap w:val="0"/>
            <w:vAlign w:val="center"/>
          </w:tcPr>
          <w:p w14:paraId="3A1C5C9B">
            <w:pPr>
              <w:pStyle w:val="69"/>
              <w:spacing w:before="55" w:line="247" w:lineRule="auto"/>
              <w:ind w:left="117" w:leftChars="0" w:right="129" w:rightChars="0" w:hanging="1" w:firstLineChars="0"/>
              <w:jc w:val="center"/>
              <w:rPr>
                <w:rFonts w:hint="default"/>
                <w:color w:val="auto"/>
                <w:spacing w:val="0"/>
                <w:highlight w:val="none"/>
                <w:lang w:val="en-US" w:eastAsia="en-US"/>
              </w:rPr>
            </w:pPr>
            <w:r>
              <w:rPr>
                <w:rFonts w:hint="default"/>
                <w:color w:val="auto"/>
                <w:spacing w:val="0"/>
                <w:highlight w:val="none"/>
                <w:lang w:eastAsia="en-US"/>
              </w:rPr>
              <w:t>未发生向采购人行贿或接受银行、或企业等被审计单位的受贿情形，不扣分；如发生行贿、受贿情形并经采购人核实，每发生一次扣</w:t>
            </w:r>
            <w:r>
              <w:rPr>
                <w:rFonts w:hint="default"/>
                <w:color w:val="auto"/>
                <w:spacing w:val="0"/>
                <w:highlight w:val="none"/>
                <w:lang w:val="en-US" w:eastAsia="en-US"/>
              </w:rPr>
              <w:t>10分。</w:t>
            </w:r>
          </w:p>
        </w:tc>
        <w:tc>
          <w:tcPr>
            <w:tcW w:w="1027" w:type="dxa"/>
            <w:noWrap w:val="0"/>
            <w:vAlign w:val="center"/>
          </w:tcPr>
          <w:p w14:paraId="3A6A05B8">
            <w:pPr>
              <w:jc w:val="center"/>
              <w:rPr>
                <w:rFonts w:ascii="宋体" w:hAnsi="宋体"/>
                <w:color w:val="auto"/>
                <w:spacing w:val="0"/>
                <w:sz w:val="21"/>
                <w:highlight w:val="none"/>
              </w:rPr>
            </w:pPr>
          </w:p>
        </w:tc>
      </w:tr>
      <w:tr w14:paraId="3ACB7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7884" w:type="dxa"/>
            <w:gridSpan w:val="6"/>
            <w:noWrap w:val="0"/>
            <w:textDirection w:val="tbRlV"/>
            <w:vAlign w:val="center"/>
          </w:tcPr>
          <w:p w14:paraId="03DEE6AA">
            <w:pPr>
              <w:pStyle w:val="69"/>
              <w:spacing w:before="68" w:line="247" w:lineRule="auto"/>
              <w:ind w:left="125" w:leftChars="0" w:right="109" w:rightChars="0" w:firstLine="0" w:firstLineChars="0"/>
              <w:jc w:val="center"/>
              <w:rPr>
                <w:rFonts w:hint="default" w:ascii="宋体" w:hAnsi="宋体" w:eastAsia="宋体" w:cs="宋体"/>
                <w:color w:val="auto"/>
                <w:spacing w:val="0"/>
                <w:highlight w:val="none"/>
                <w:lang w:eastAsia="en-US"/>
              </w:rPr>
            </w:pPr>
            <w:r>
              <w:rPr>
                <w:rFonts w:hint="default" w:ascii="宋体" w:hAnsi="宋体" w:eastAsia="宋体" w:cs="宋体"/>
                <w:color w:val="auto"/>
                <w:spacing w:val="0"/>
                <w:highlight w:val="none"/>
                <w:lang w:eastAsia="en-US"/>
              </w:rPr>
              <w:t>合计</w:t>
            </w:r>
          </w:p>
        </w:tc>
        <w:tc>
          <w:tcPr>
            <w:tcW w:w="1027" w:type="dxa"/>
            <w:noWrap w:val="0"/>
            <w:vAlign w:val="center"/>
          </w:tcPr>
          <w:p w14:paraId="0E8591A3">
            <w:pPr>
              <w:jc w:val="center"/>
              <w:rPr>
                <w:rFonts w:hint="default" w:ascii="宋体" w:hAnsi="宋体" w:eastAsia="宋体"/>
                <w:color w:val="auto"/>
                <w:spacing w:val="0"/>
                <w:sz w:val="21"/>
                <w:highlight w:val="none"/>
                <w:lang w:val="en-US" w:eastAsia="en-US"/>
              </w:rPr>
            </w:pPr>
          </w:p>
        </w:tc>
      </w:tr>
    </w:tbl>
    <w:p w14:paraId="09AA5FA7">
      <w:pPr>
        <w:pStyle w:val="2"/>
        <w:rPr>
          <w:rFonts w:hint="default" w:ascii="Times New Roman" w:hAnsi="Times New Roman" w:cs="Times New Roman"/>
          <w:color w:val="auto"/>
          <w:highlight w:val="none"/>
        </w:rPr>
      </w:pPr>
    </w:p>
    <w:p w14:paraId="3B4E7813">
      <w:pPr>
        <w:pStyle w:val="12"/>
        <w:ind w:firstLine="420"/>
        <w:rPr>
          <w:rFonts w:hint="eastAsia"/>
          <w:color w:val="auto"/>
          <w:szCs w:val="21"/>
          <w:highlight w:val="none"/>
        </w:rPr>
      </w:pPr>
    </w:p>
    <w:p w14:paraId="76F30933">
      <w:pPr>
        <w:tabs>
          <w:tab w:val="left" w:pos="180"/>
          <w:tab w:val="left" w:pos="1620"/>
        </w:tabs>
        <w:spacing w:line="360" w:lineRule="auto"/>
        <w:ind w:firstLine="422" w:firstLineChars="200"/>
        <w:rPr>
          <w:rFonts w:ascii="宋体" w:hAnsi="宋体" w:cs="宋体"/>
          <w:b/>
          <w:bCs/>
          <w:color w:val="auto"/>
          <w:szCs w:val="21"/>
          <w:highlight w:val="none"/>
        </w:rPr>
      </w:pPr>
    </w:p>
    <w:p w14:paraId="1C845587">
      <w:pPr>
        <w:pStyle w:val="3"/>
        <w:jc w:val="center"/>
        <w:rPr>
          <w:color w:val="auto"/>
          <w:highlight w:val="none"/>
        </w:rPr>
      </w:pPr>
      <w:bookmarkStart w:id="80" w:name="_Toc74323459"/>
      <w:r>
        <w:rPr>
          <w:rFonts w:hint="eastAsia"/>
          <w:color w:val="auto"/>
          <w:highlight w:val="none"/>
        </w:rPr>
        <w:t>第四章  评审程序、评审方法和评审标准</w:t>
      </w:r>
      <w:bookmarkEnd w:id="80"/>
    </w:p>
    <w:p w14:paraId="45CCB27F">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14:paraId="779C9B2A">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7A666402">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53F63E3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磋商小组</w:t>
      </w:r>
      <w:r>
        <w:rPr>
          <w:rFonts w:hint="eastAsia" w:ascii="宋体" w:hAnsi="宋体" w:cs="宋体"/>
          <w:color w:val="auto"/>
          <w:szCs w:val="21"/>
          <w:highlight w:val="none"/>
        </w:rPr>
        <w:t>在资格审查结束前，对供应商进行信用查询。</w:t>
      </w:r>
    </w:p>
    <w:p w14:paraId="09D24B7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 “信用中国”网站(www.creditchina.gov.cn)、中国政府采购网(www.ccgp.gov.cn)。</w:t>
      </w:r>
    </w:p>
    <w:p w14:paraId="4C317EB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0AE19DD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463EE60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3F1E48E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2E760A5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14:paraId="11A4B6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4E8175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14:paraId="7BFD2E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14:paraId="465411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5119AB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1AF4868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5479DB51">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42129F8D">
      <w:pPr>
        <w:spacing w:line="360" w:lineRule="auto"/>
        <w:ind w:firstLine="420" w:firstLineChars="200"/>
        <w:rPr>
          <w:rFonts w:ascii="宋体" w:hAnsi="宋体" w:cs="宋体"/>
          <w:color w:val="auto"/>
          <w:szCs w:val="21"/>
          <w:highlight w:val="none"/>
        </w:rPr>
      </w:pPr>
      <w:bookmarkStart w:id="81"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81"/>
    <w:p w14:paraId="12D9756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0DEF571">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24F8D82E">
      <w:pPr>
        <w:spacing w:line="360" w:lineRule="auto"/>
        <w:ind w:firstLine="420" w:firstLineChars="200"/>
        <w:rPr>
          <w:rFonts w:ascii="宋体" w:hAnsi="宋体" w:cs="宋体"/>
          <w:color w:val="auto"/>
          <w:spacing w:val="-6"/>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3959DFFB">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7AA16A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7A1569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3E04CD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0A30EE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14647A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7123705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6EE8CB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216E03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15DD84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721D42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651CD8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14:paraId="3C067F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BB61D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5）商务、技术要求允许负偏离的条款数超过“供应商须知前附表”规定项数的；</w:t>
      </w:r>
    </w:p>
    <w:p w14:paraId="39414B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6）未对竞标有效期作出响应或者响应文件承诺的竞标有效期不满足磋商文件要求；</w:t>
      </w:r>
    </w:p>
    <w:p w14:paraId="05E95B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7）响应文件的实质性内容未使用中文表述、使用计量单位不符合磋商文件要求；</w:t>
      </w:r>
    </w:p>
    <w:p w14:paraId="3035BD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8）响应文件中的文件资料因填写不齐全或者内容虚假或者出现其他情形而导致被磋商小组认定无效；</w:t>
      </w:r>
    </w:p>
    <w:p w14:paraId="658791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9）响应文件含有采购人不能接受的附加条件；</w:t>
      </w:r>
    </w:p>
    <w:p w14:paraId="402F8D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1ABE4F6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1）虚假竞标，或者出现其他情形而导致被磋商小组认定无效；</w:t>
      </w:r>
    </w:p>
    <w:p w14:paraId="474A3C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bookmarkStart w:id="82"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82"/>
    </w:p>
    <w:p w14:paraId="2EF5097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3）响应文件标注的项目名称或者项目编号与磋商文件标注的项目名称或者项目编号不一致的；</w:t>
      </w:r>
    </w:p>
    <w:p w14:paraId="5C47BA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w:t>
      </w:r>
      <w:r>
        <w:rPr>
          <w:rFonts w:hint="eastAsia" w:ascii="宋体" w:hAnsi="宋体"/>
          <w:color w:val="auto"/>
          <w:szCs w:val="21"/>
          <w:highlight w:val="none"/>
        </w:rPr>
        <w:t>竞争性磋商文件明确不允许分包，响应文件拟分包的；</w:t>
      </w:r>
    </w:p>
    <w:p w14:paraId="6290545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5）未响应磋商文件实质性要求；</w:t>
      </w:r>
    </w:p>
    <w:p w14:paraId="6B735C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16）法律、法规和磋商文件规定的其他无效情形。</w:t>
      </w:r>
    </w:p>
    <w:p w14:paraId="4F3AF0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7CF6BC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1）响应文件未提供“供应商须知前附表” 报价文件中规定的“竞标报价表”；</w:t>
      </w:r>
    </w:p>
    <w:p w14:paraId="732584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452405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314F69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w:t>
      </w:r>
      <w:bookmarkStart w:id="83" w:name="_Hlk42596405"/>
      <w:r>
        <w:rPr>
          <w:rFonts w:hint="eastAsia" w:ascii="宋体" w:hAnsi="宋体" w:cs="宋体"/>
          <w:color w:val="auto"/>
          <w:szCs w:val="21"/>
          <w:highlight w:val="none"/>
        </w:rPr>
        <w:t>分项竞标报价（包含首次报价、最后报价）</w:t>
      </w:r>
      <w:bookmarkEnd w:id="83"/>
      <w:bookmarkStart w:id="84" w:name="_Hlk42596276"/>
      <w:r>
        <w:rPr>
          <w:rFonts w:hint="eastAsia" w:ascii="宋体" w:hAnsi="宋体" w:cs="宋体"/>
          <w:color w:val="auto"/>
          <w:szCs w:val="21"/>
          <w:highlight w:val="none"/>
        </w:rPr>
        <w:t>超过磋商文件分项采购预算金额或者最高限价的</w:t>
      </w:r>
      <w:bookmarkEnd w:id="84"/>
      <w:r>
        <w:rPr>
          <w:rFonts w:hint="eastAsia" w:ascii="宋体" w:hAnsi="宋体" w:cs="宋体"/>
          <w:color w:val="auto"/>
          <w:szCs w:val="21"/>
          <w:highlight w:val="none"/>
        </w:rPr>
        <w:t>（如本项目公布了最高限价）；</w:t>
      </w:r>
    </w:p>
    <w:p w14:paraId="3A5F0A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分项竞标报价（包含首次报价、最后报价）超过磋商文件分项采购预算金额或者最高限价的（如本项目公布了最高限价）。</w:t>
      </w:r>
    </w:p>
    <w:p w14:paraId="614612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4BC4972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004A83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通过符合性审查的合格供应商不足3家的，不得进入磋商环节，采购人或者采购代理机构应当重新开展采购活动。</w:t>
      </w:r>
    </w:p>
    <w:p w14:paraId="1D1C8363">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1FA682C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w:t>
      </w:r>
      <w:r>
        <w:rPr>
          <w:color w:val="auto"/>
          <w:highlight w:val="none"/>
        </w:rPr>
        <w:t>在规定时间内在广西政府采购云平台上参加</w:t>
      </w:r>
      <w:r>
        <w:rPr>
          <w:rFonts w:hint="eastAsia"/>
          <w:color w:val="auto"/>
          <w:highlight w:val="none"/>
        </w:rPr>
        <w:t>磋商</w:t>
      </w:r>
      <w:r>
        <w:rPr>
          <w:rFonts w:hint="eastAsia" w:ascii="宋体" w:hAnsi="宋体" w:cs="宋体"/>
          <w:color w:val="auto"/>
          <w:szCs w:val="21"/>
          <w:highlight w:val="none"/>
        </w:rPr>
        <w:t>，未在规定时间内参加磋商的视同放弃参加磋商权利，其响应文件按无效响应处理。</w:t>
      </w:r>
    </w:p>
    <w:p w14:paraId="7532FEE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35D7AB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720C177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245687D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504DF5C8">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采购代理机构对磋商过程和重要磋商内容进行记录。</w:t>
      </w:r>
    </w:p>
    <w:p w14:paraId="513B8729">
      <w:pPr>
        <w:tabs>
          <w:tab w:val="left" w:pos="2835"/>
        </w:tabs>
        <w:spacing w:line="360" w:lineRule="auto"/>
        <w:ind w:firstLine="420" w:firstLineChars="200"/>
        <w:rPr>
          <w:color w:val="auto"/>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1636285">
      <w:pPr>
        <w:tabs>
          <w:tab w:val="left" w:pos="2835"/>
        </w:tabs>
        <w:spacing w:line="360" w:lineRule="auto"/>
        <w:ind w:firstLine="420" w:firstLineChars="200"/>
        <w:rPr>
          <w:rFonts w:ascii="宋体" w:hAnsi="宋体" w:cs="宋体"/>
          <w:color w:val="auto"/>
          <w:szCs w:val="21"/>
          <w:highlight w:val="none"/>
        </w:rPr>
      </w:pPr>
      <w:r>
        <w:rPr>
          <w:color w:val="auto"/>
          <w:highlight w:val="none"/>
        </w:rPr>
        <w:t>3.8除本章第3.7条情形</w:t>
      </w:r>
      <w:r>
        <w:rPr>
          <w:rFonts w:hint="eastAsia"/>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01E1DACB">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3AF3DC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64D651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7044195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auto"/>
          <w:highlight w:val="none"/>
        </w:rPr>
        <w:t>本</w:t>
      </w:r>
      <w:r>
        <w:rPr>
          <w:rFonts w:ascii="宋体" w:hAnsi="宋体" w:cs="宋体"/>
          <w:color w:val="auto"/>
          <w:szCs w:val="21"/>
          <w:highlight w:val="none"/>
        </w:rPr>
        <w:t>章第3.7条情</w:t>
      </w:r>
      <w:r>
        <w:rPr>
          <w:color w:val="auto"/>
          <w:highlight w:val="none"/>
        </w:rPr>
        <w:t>形的，</w:t>
      </w:r>
      <w:r>
        <w:rPr>
          <w:rFonts w:hint="eastAsia" w:ascii="宋体" w:hAnsi="宋体" w:cs="宋体"/>
          <w:color w:val="auto"/>
          <w:szCs w:val="21"/>
          <w:highlight w:val="none"/>
        </w:rPr>
        <w:t>提交最后报价的供应商可以为2家。</w:t>
      </w:r>
    </w:p>
    <w:p w14:paraId="0CFD883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3410D05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供应商未在规定时间内提交最后报价的，视同退出磋商，其响应文件按无效处理。</w:t>
      </w:r>
    </w:p>
    <w:p w14:paraId="7BB785A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最后报价统一开启后，磋商小组对最后报价进行有效性、完整性和响应程度的审查。</w:t>
      </w:r>
    </w:p>
    <w:p w14:paraId="1582F85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1060E09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410A2F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157352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3F6053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4D77A1E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314118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6FF594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2DC0BAB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7F4F444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3405FED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17C4CE0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603E2D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1745A7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2FBF807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5C95CE82">
      <w:pPr>
        <w:spacing w:line="360" w:lineRule="auto"/>
        <w:ind w:firstLine="420" w:firstLineChars="20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ascii="宋体" w:hAnsi="宋体"/>
          <w:color w:val="auto"/>
          <w:kern w:val="0"/>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39713798">
      <w:pPr>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C0295CA">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656DF2F1">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tbl>
      <w:tblPr>
        <w:tblStyle w:val="24"/>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288"/>
        <w:gridCol w:w="851"/>
      </w:tblGrid>
      <w:tr w14:paraId="2446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dxa"/>
            <w:noWrap/>
            <w:vAlign w:val="center"/>
          </w:tcPr>
          <w:p w14:paraId="39D027A2">
            <w:pPr>
              <w:keepNext w:val="0"/>
              <w:keepLines w:val="0"/>
              <w:pageBreakBefore w:val="0"/>
              <w:widowControl/>
              <w:kinsoku/>
              <w:wordWrap/>
              <w:overflowPunct/>
              <w:topLinePunct w:val="0"/>
              <w:bidi w:val="0"/>
              <w:spacing w:line="360" w:lineRule="exact"/>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418" w:type="dxa"/>
            <w:noWrap/>
            <w:vAlign w:val="center"/>
          </w:tcPr>
          <w:p w14:paraId="3F973CC0">
            <w:pPr>
              <w:keepNext w:val="0"/>
              <w:keepLines w:val="0"/>
              <w:pageBreakBefore w:val="0"/>
              <w:widowControl/>
              <w:kinsoku/>
              <w:wordWrap/>
              <w:overflowPunct/>
              <w:topLinePunct w:val="0"/>
              <w:bidi w:val="0"/>
              <w:spacing w:line="360" w:lineRule="exact"/>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6288" w:type="dxa"/>
            <w:noWrap/>
            <w:vAlign w:val="center"/>
          </w:tcPr>
          <w:p w14:paraId="7587C560">
            <w:pPr>
              <w:keepNext w:val="0"/>
              <w:keepLines w:val="0"/>
              <w:pageBreakBefore w:val="0"/>
              <w:widowControl/>
              <w:kinsoku/>
              <w:wordWrap/>
              <w:overflowPunct/>
              <w:topLinePunct w:val="0"/>
              <w:bidi w:val="0"/>
              <w:spacing w:line="360" w:lineRule="exact"/>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评审因素具体内容</w:t>
            </w:r>
          </w:p>
        </w:tc>
        <w:tc>
          <w:tcPr>
            <w:tcW w:w="851" w:type="dxa"/>
            <w:noWrap/>
            <w:vAlign w:val="center"/>
          </w:tcPr>
          <w:p w14:paraId="09EBD5A0">
            <w:pPr>
              <w:keepNext w:val="0"/>
              <w:keepLines w:val="0"/>
              <w:pageBreakBefore w:val="0"/>
              <w:widowControl/>
              <w:kinsoku/>
              <w:wordWrap/>
              <w:overflowPunct/>
              <w:topLinePunct w:val="0"/>
              <w:bidi w:val="0"/>
              <w:spacing w:line="360" w:lineRule="exact"/>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14:paraId="69AC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dxa"/>
            <w:noWrap/>
            <w:vAlign w:val="center"/>
          </w:tcPr>
          <w:p w14:paraId="4BEAE4A9">
            <w:pPr>
              <w:keepNext w:val="0"/>
              <w:keepLines w:val="0"/>
              <w:pageBreakBefore w:val="0"/>
              <w:widowControl/>
              <w:kinsoku/>
              <w:wordWrap/>
              <w:overflowPunct/>
              <w:topLinePunct w:val="0"/>
              <w:bidi w:val="0"/>
              <w:spacing w:line="36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418" w:type="dxa"/>
            <w:noWrap/>
            <w:vAlign w:val="center"/>
          </w:tcPr>
          <w:p w14:paraId="64DF36B6">
            <w:pPr>
              <w:keepNext w:val="0"/>
              <w:keepLines w:val="0"/>
              <w:pageBreakBefore w:val="0"/>
              <w:widowControl/>
              <w:kinsoku/>
              <w:wordWrap/>
              <w:overflowPunct/>
              <w:topLinePunct w:val="0"/>
              <w:bidi w:val="0"/>
              <w:spacing w:line="36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w:t>
            </w:r>
          </w:p>
        </w:tc>
        <w:tc>
          <w:tcPr>
            <w:tcW w:w="6288" w:type="dxa"/>
            <w:noWrap/>
            <w:vAlign w:val="top"/>
          </w:tcPr>
          <w:p w14:paraId="23B9831B">
            <w:pPr>
              <w:keepNext w:val="0"/>
              <w:keepLines w:val="0"/>
              <w:pageBreakBefore w:val="0"/>
              <w:kinsoku/>
              <w:wordWrap/>
              <w:overflowPunct/>
              <w:topLinePunct w:val="0"/>
              <w:bidi w:val="0"/>
              <w:snapToGrid w:val="0"/>
              <w:spacing w:line="360" w:lineRule="exact"/>
              <w:ind w:left="0" w:leftChars="0" w:right="0" w:right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7F7C0ED5">
            <w:pPr>
              <w:keepNext w:val="0"/>
              <w:keepLines w:val="0"/>
              <w:pageBreakBefore w:val="0"/>
              <w:kinsoku/>
              <w:wordWrap/>
              <w:overflowPunct/>
              <w:topLinePunct w:val="0"/>
              <w:bidi w:val="0"/>
              <w:snapToGrid w:val="0"/>
              <w:spacing w:line="360" w:lineRule="exact"/>
              <w:ind w:left="0" w:leftChars="0" w:right="0" w:right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DFAB45F">
            <w:pPr>
              <w:keepNext w:val="0"/>
              <w:keepLines w:val="0"/>
              <w:pageBreakBefore w:val="0"/>
              <w:kinsoku/>
              <w:wordWrap/>
              <w:overflowPunct/>
              <w:topLinePunct w:val="0"/>
              <w:bidi w:val="0"/>
              <w:snapToGrid w:val="0"/>
              <w:spacing w:line="360" w:lineRule="exact"/>
              <w:ind w:left="0" w:leftChars="0" w:right="0" w:right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本项目属于专门面向中小企业采购的项目，供应商应为中小微企业、监狱企业、残疾人福利性单位，并根据《政府采购促进中小企业发展管理办法》（财库[2020]46号）中《中小企业声明函》格式要求填报及提供声明函原件或《残疾人福利性单位声明函》原件或属于监狱企业的证明文件复印件，否则响应无效。价格评审时，参加本次项目竞标的供应商不重复享受政策，其评审报价=磋商报价。</w:t>
            </w:r>
          </w:p>
          <w:p w14:paraId="0CAC07F2">
            <w:pPr>
              <w:keepNext w:val="0"/>
              <w:keepLines w:val="0"/>
              <w:pageBreakBefore w:val="0"/>
              <w:kinsoku/>
              <w:wordWrap/>
              <w:overflowPunct/>
              <w:topLinePunct w:val="0"/>
              <w:bidi w:val="0"/>
              <w:spacing w:line="360" w:lineRule="exact"/>
              <w:ind w:left="0" w:leftChars="0" w:right="0" w:right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（4）价格分计算公式：</w:t>
            </w:r>
          </w:p>
          <w:p w14:paraId="7BC022FB">
            <w:pPr>
              <w:keepNext w:val="0"/>
              <w:keepLines w:val="0"/>
              <w:pageBreakBefore w:val="0"/>
              <w:kinsoku/>
              <w:wordWrap/>
              <w:overflowPunct/>
              <w:topLinePunct w:val="0"/>
              <w:bidi w:val="0"/>
              <w:spacing w:line="360" w:lineRule="exact"/>
              <w:ind w:left="0" w:leftChars="0"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报价得分=（基准价/最后报价）× 10分</w:t>
            </w:r>
          </w:p>
        </w:tc>
        <w:tc>
          <w:tcPr>
            <w:tcW w:w="851" w:type="dxa"/>
            <w:noWrap/>
            <w:vAlign w:val="center"/>
          </w:tcPr>
          <w:p w14:paraId="0F507213">
            <w:pPr>
              <w:keepNext w:val="0"/>
              <w:keepLines w:val="0"/>
              <w:pageBreakBefore w:val="0"/>
              <w:widowControl/>
              <w:kinsoku/>
              <w:wordWrap/>
              <w:overflowPunct/>
              <w:topLinePunct w:val="0"/>
              <w:bidi w:val="0"/>
              <w:spacing w:line="36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10分</w:t>
            </w:r>
          </w:p>
        </w:tc>
      </w:tr>
      <w:tr w14:paraId="7F19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dxa"/>
            <w:noWrap/>
            <w:vAlign w:val="center"/>
          </w:tcPr>
          <w:p w14:paraId="679C3045">
            <w:pPr>
              <w:keepNext w:val="0"/>
              <w:keepLines w:val="0"/>
              <w:pageBreakBefore w:val="0"/>
              <w:widowControl/>
              <w:kinsoku/>
              <w:wordWrap/>
              <w:overflowPunct/>
              <w:topLinePunct w:val="0"/>
              <w:bidi w:val="0"/>
              <w:spacing w:line="36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1418" w:type="dxa"/>
            <w:noWrap/>
            <w:vAlign w:val="center"/>
          </w:tcPr>
          <w:p w14:paraId="3BF55B89">
            <w:pPr>
              <w:keepNext w:val="0"/>
              <w:keepLines w:val="0"/>
              <w:pageBreakBefore w:val="0"/>
              <w:widowControl/>
              <w:kinsoku/>
              <w:wordWrap/>
              <w:overflowPunct/>
              <w:topLinePunct w:val="0"/>
              <w:bidi w:val="0"/>
              <w:spacing w:line="36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技术分</w:t>
            </w:r>
          </w:p>
        </w:tc>
        <w:tc>
          <w:tcPr>
            <w:tcW w:w="7139" w:type="dxa"/>
            <w:gridSpan w:val="2"/>
            <w:noWrap/>
            <w:vAlign w:val="center"/>
          </w:tcPr>
          <w:p w14:paraId="55586A90">
            <w:pPr>
              <w:keepNext w:val="0"/>
              <w:keepLines w:val="0"/>
              <w:pageBreakBefore w:val="0"/>
              <w:widowControl/>
              <w:kinsoku/>
              <w:wordWrap/>
              <w:overflowPunct/>
              <w:topLinePunct w:val="0"/>
              <w:bidi w:val="0"/>
              <w:spacing w:line="360" w:lineRule="exact"/>
              <w:ind w:left="0" w:leftChars="0" w:right="0" w:rightChars="0" w:firstLine="2100" w:firstLineChars="1000"/>
              <w:rPr>
                <w:rFonts w:hint="eastAsia" w:ascii="宋体" w:hAnsi="宋体" w:eastAsia="宋体" w:cs="宋体"/>
                <w:color w:val="auto"/>
                <w:kern w:val="0"/>
                <w:sz w:val="21"/>
                <w:szCs w:val="21"/>
                <w:highlight w:val="none"/>
                <w:lang w:eastAsia="zh-CN"/>
              </w:rPr>
            </w:pPr>
            <w:r>
              <w:rPr>
                <w:rFonts w:hint="eastAsia" w:ascii="宋体" w:hAnsi="宋体" w:eastAsia="宋体" w:cs="宋体"/>
                <w:bCs/>
                <w:color w:val="auto"/>
                <w:kern w:val="0"/>
                <w:sz w:val="21"/>
                <w:szCs w:val="21"/>
                <w:highlight w:val="none"/>
              </w:rPr>
              <w:t>评审因素</w:t>
            </w:r>
            <w:r>
              <w:rPr>
                <w:rFonts w:hint="eastAsia" w:ascii="宋体" w:hAnsi="宋体" w:eastAsia="宋体" w:cs="宋体"/>
                <w:bCs/>
                <w:color w:val="auto"/>
                <w:kern w:val="0"/>
                <w:sz w:val="21"/>
                <w:szCs w:val="21"/>
                <w:highlight w:val="none"/>
                <w:lang w:eastAsia="zh-CN"/>
              </w:rPr>
              <w:t>具体内容</w:t>
            </w:r>
          </w:p>
        </w:tc>
      </w:tr>
      <w:tr w14:paraId="47E5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dxa"/>
            <w:noWrap/>
            <w:vAlign w:val="center"/>
          </w:tcPr>
          <w:p w14:paraId="209E3925">
            <w:pPr>
              <w:keepNext w:val="0"/>
              <w:keepLines w:val="0"/>
              <w:pageBreakBefore w:val="0"/>
              <w:kinsoku/>
              <w:wordWrap/>
              <w:overflowPunct/>
              <w:topLinePunct w:val="0"/>
              <w:bidi w:val="0"/>
              <w:adjustRightInd w:val="0"/>
              <w:spacing w:line="360" w:lineRule="exact"/>
              <w:ind w:left="0" w:leftChars="0" w:right="0" w:rightChars="0"/>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w:t>
            </w:r>
          </w:p>
        </w:tc>
        <w:tc>
          <w:tcPr>
            <w:tcW w:w="1418" w:type="dxa"/>
            <w:noWrap/>
            <w:vAlign w:val="center"/>
          </w:tcPr>
          <w:p w14:paraId="3F73BF8F">
            <w:pPr>
              <w:keepNext w:val="0"/>
              <w:keepLines w:val="0"/>
              <w:pageBreakBefore w:val="0"/>
              <w:kinsoku/>
              <w:wordWrap/>
              <w:overflowPunct/>
              <w:topLinePunct w:val="0"/>
              <w:bidi w:val="0"/>
              <w:adjustRightInd w:val="0"/>
              <w:spacing w:line="360" w:lineRule="exact"/>
              <w:ind w:left="0" w:leftChars="0" w:right="0" w:rightChars="0"/>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技术分</w:t>
            </w:r>
          </w:p>
        </w:tc>
        <w:tc>
          <w:tcPr>
            <w:tcW w:w="6288" w:type="dxa"/>
            <w:noWrap/>
            <w:vAlign w:val="center"/>
          </w:tcPr>
          <w:p w14:paraId="7530A57C">
            <w:pPr>
              <w:keepNext w:val="0"/>
              <w:keepLines w:val="0"/>
              <w:pageBreakBefore w:val="0"/>
              <w:kinsoku/>
              <w:wordWrap/>
              <w:overflowPunct/>
              <w:topLinePunct w:val="0"/>
              <w:bidi w:val="0"/>
              <w:spacing w:line="360" w:lineRule="exact"/>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1.项目实施方案（</w:t>
            </w:r>
            <w:r>
              <w:rPr>
                <w:rFonts w:hint="eastAsia" w:ascii="宋体" w:hAnsi="宋体" w:eastAsia="宋体" w:cs="宋体"/>
                <w:b/>
                <w:color w:val="auto"/>
                <w:sz w:val="21"/>
                <w:szCs w:val="21"/>
                <w:highlight w:val="none"/>
                <w:lang w:val="en-US" w:eastAsia="zh-CN"/>
              </w:rPr>
              <w:t>16</w:t>
            </w:r>
            <w:r>
              <w:rPr>
                <w:rFonts w:hint="eastAsia" w:ascii="宋体" w:hAnsi="宋体" w:eastAsia="宋体" w:cs="宋体"/>
                <w:b/>
                <w:color w:val="auto"/>
                <w:sz w:val="21"/>
                <w:szCs w:val="21"/>
                <w:highlight w:val="none"/>
              </w:rPr>
              <w:t>分）</w:t>
            </w:r>
          </w:p>
          <w:p w14:paraId="6FF55239">
            <w:pPr>
              <w:keepNext w:val="0"/>
              <w:keepLines w:val="0"/>
              <w:pageBreakBefore w:val="0"/>
              <w:kinsoku/>
              <w:wordWrap/>
              <w:overflowPunct/>
              <w:topLinePunct w:val="0"/>
              <w:bidi w:val="0"/>
              <w:spacing w:line="360" w:lineRule="exact"/>
              <w:ind w:left="0" w:leftChars="0"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分）：对项目背景、项目概况、项目服务目标和范围有一定了解并进行概述；针对项目需求组建项目实施</w:t>
            </w:r>
            <w:r>
              <w:rPr>
                <w:rFonts w:hint="eastAsia" w:ascii="宋体" w:hAnsi="宋体" w:eastAsia="宋体" w:cs="宋体"/>
                <w:bCs/>
                <w:color w:val="auto"/>
                <w:sz w:val="21"/>
                <w:szCs w:val="21"/>
                <w:highlight w:val="none"/>
                <w:lang w:eastAsia="zh-CN"/>
              </w:rPr>
              <w:t>团队</w:t>
            </w:r>
            <w:r>
              <w:rPr>
                <w:rFonts w:hint="eastAsia" w:ascii="宋体" w:hAnsi="宋体" w:eastAsia="宋体" w:cs="宋体"/>
                <w:bCs/>
                <w:color w:val="auto"/>
                <w:sz w:val="21"/>
                <w:szCs w:val="21"/>
                <w:highlight w:val="none"/>
              </w:rPr>
              <w:t>，实施人员符合项目需求的要求；提出了工作思路及工作方法，满足项目实施要求；</w:t>
            </w:r>
          </w:p>
          <w:p w14:paraId="59CF511F">
            <w:pPr>
              <w:keepNext w:val="0"/>
              <w:keepLines w:val="0"/>
              <w:pageBreakBefore w:val="0"/>
              <w:kinsoku/>
              <w:wordWrap/>
              <w:overflowPunct/>
              <w:topLinePunct w:val="0"/>
              <w:bidi w:val="0"/>
              <w:spacing w:line="360" w:lineRule="exact"/>
              <w:ind w:left="0" w:leftChars="0"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分）：项目实施方案在一档的基础上，针对项目需求组建项目实施</w:t>
            </w:r>
            <w:r>
              <w:rPr>
                <w:rFonts w:hint="eastAsia" w:ascii="宋体" w:hAnsi="宋体" w:eastAsia="宋体" w:cs="宋体"/>
                <w:bCs/>
                <w:color w:val="auto"/>
                <w:sz w:val="21"/>
                <w:szCs w:val="21"/>
                <w:highlight w:val="none"/>
                <w:lang w:eastAsia="zh-CN"/>
              </w:rPr>
              <w:t>团队</w:t>
            </w:r>
            <w:r>
              <w:rPr>
                <w:rFonts w:hint="eastAsia" w:ascii="宋体" w:hAnsi="宋体" w:eastAsia="宋体" w:cs="宋体"/>
                <w:bCs/>
                <w:color w:val="auto"/>
                <w:sz w:val="21"/>
                <w:szCs w:val="21"/>
                <w:highlight w:val="none"/>
              </w:rPr>
              <w:t>，实施人员符合项目需求的要求，明确实施人员岗位和职责；针对项目需求提出了详细、合理的工作思路及工作方法，完全满足项目实施要求；</w:t>
            </w:r>
          </w:p>
          <w:p w14:paraId="7592044B">
            <w:pPr>
              <w:keepNext w:val="0"/>
              <w:keepLines w:val="0"/>
              <w:pageBreakBefore w:val="0"/>
              <w:kinsoku/>
              <w:wordWrap/>
              <w:overflowPunct/>
              <w:topLinePunct w:val="0"/>
              <w:bidi w:val="0"/>
              <w:spacing w:line="360" w:lineRule="exact"/>
              <w:ind w:left="0" w:leftChars="0"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三档（</w:t>
            </w:r>
            <w:r>
              <w:rPr>
                <w:rFonts w:hint="eastAsia" w:ascii="宋体" w:hAnsi="宋体" w:eastAsia="宋体" w:cs="宋体"/>
                <w:bCs/>
                <w:color w:val="auto"/>
                <w:sz w:val="21"/>
                <w:szCs w:val="21"/>
                <w:highlight w:val="none"/>
                <w:lang w:val="en-US" w:eastAsia="zh-CN"/>
              </w:rPr>
              <w:t>12</w:t>
            </w:r>
            <w:r>
              <w:rPr>
                <w:rFonts w:hint="eastAsia" w:ascii="宋体" w:hAnsi="宋体" w:eastAsia="宋体" w:cs="宋体"/>
                <w:bCs/>
                <w:color w:val="auto"/>
                <w:sz w:val="21"/>
                <w:szCs w:val="21"/>
                <w:highlight w:val="none"/>
              </w:rPr>
              <w:t>分）：项目实施方案在满足上述二档的基础上，针对项目需求提出服务的重点与难点，并制订有应对措施及相关的合理化建议；</w:t>
            </w:r>
          </w:p>
          <w:p w14:paraId="08AB1491">
            <w:pPr>
              <w:keepNext w:val="0"/>
              <w:keepLines w:val="0"/>
              <w:pageBreakBefore w:val="0"/>
              <w:kinsoku/>
              <w:wordWrap/>
              <w:overflowPunct/>
              <w:topLinePunct w:val="0"/>
              <w:bidi w:val="0"/>
              <w:spacing w:line="360" w:lineRule="exact"/>
              <w:ind w:left="0" w:leftChars="0"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四档（</w:t>
            </w:r>
            <w:r>
              <w:rPr>
                <w:rFonts w:hint="eastAsia" w:ascii="宋体" w:hAnsi="宋体" w:eastAsia="宋体" w:cs="宋体"/>
                <w:bCs/>
                <w:color w:val="auto"/>
                <w:sz w:val="21"/>
                <w:szCs w:val="21"/>
                <w:highlight w:val="none"/>
                <w:lang w:val="en-US" w:eastAsia="zh-CN"/>
              </w:rPr>
              <w:t>16</w:t>
            </w:r>
            <w:r>
              <w:rPr>
                <w:rFonts w:hint="eastAsia" w:ascii="宋体" w:hAnsi="宋体" w:eastAsia="宋体" w:cs="宋体"/>
                <w:bCs/>
                <w:color w:val="auto"/>
                <w:sz w:val="21"/>
                <w:szCs w:val="21"/>
                <w:highlight w:val="none"/>
              </w:rPr>
              <w:t>分）：项目实施方案在满足上述三档的基础上，针对服务过程中可能遇到的重大争议问题有完整的应对方案，能很好协调并处理争议问题；对采购需求内各项工作均有完善、科学、合理、切实可行的重点环节（工序）审查方案，具有可操作性，方案完全满足项目需求。</w:t>
            </w:r>
          </w:p>
          <w:p w14:paraId="34FC3DA2">
            <w:pPr>
              <w:pStyle w:val="15"/>
              <w:keepNext w:val="0"/>
              <w:keepLines w:val="0"/>
              <w:pageBreakBefore w:val="0"/>
              <w:kinsoku/>
              <w:wordWrap/>
              <w:overflowPunct/>
              <w:topLinePunct w:val="0"/>
              <w:bidi w:val="0"/>
              <w:spacing w:line="360" w:lineRule="exact"/>
              <w:ind w:left="0" w:leftChars="0" w:right="0" w:rightChars="0"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注：供应商未提供或提供的项目实施方案未达到一档要求的，不得分。</w:t>
            </w:r>
          </w:p>
          <w:p w14:paraId="6F0D02E8">
            <w:pPr>
              <w:pStyle w:val="15"/>
              <w:keepNext w:val="0"/>
              <w:keepLines w:val="0"/>
              <w:pageBreakBefore w:val="0"/>
              <w:kinsoku/>
              <w:wordWrap/>
              <w:overflowPunct/>
              <w:topLinePunct w:val="0"/>
              <w:bidi w:val="0"/>
              <w:spacing w:line="360" w:lineRule="exact"/>
              <w:ind w:left="0" w:leftChars="0" w:right="0" w:rightChars="0" w:firstLine="422" w:firstLineChars="200"/>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2.确保项目服务质量和服务进度的措施（15分）</w:t>
            </w:r>
          </w:p>
          <w:p w14:paraId="7D9AA4D6">
            <w:pPr>
              <w:keepNext w:val="0"/>
              <w:keepLines w:val="0"/>
              <w:pageBreakBefore w:val="0"/>
              <w:kinsoku/>
              <w:wordWrap/>
              <w:overflowPunct/>
              <w:topLinePunct w:val="0"/>
              <w:bidi w:val="0"/>
              <w:spacing w:line="360" w:lineRule="exact"/>
              <w:ind w:left="0" w:leftChars="0" w:right="0" w:rightChars="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一档（5分）：制订有项目服务质量和进度措施，但没有明确保证措施、管理制度，但没有专门的质量、进度保障</w:t>
            </w:r>
            <w:r>
              <w:rPr>
                <w:rFonts w:hint="eastAsia" w:ascii="宋体" w:hAnsi="宋体" w:eastAsia="宋体" w:cs="宋体"/>
                <w:bCs/>
                <w:color w:val="auto"/>
                <w:sz w:val="21"/>
                <w:szCs w:val="21"/>
                <w:highlight w:val="none"/>
                <w:lang w:eastAsia="zh-CN"/>
              </w:rPr>
              <w:t>团队</w:t>
            </w:r>
            <w:r>
              <w:rPr>
                <w:rFonts w:hint="eastAsia" w:ascii="宋体" w:hAnsi="宋体" w:eastAsia="宋体" w:cs="宋体"/>
                <w:bCs/>
                <w:color w:val="auto"/>
                <w:sz w:val="21"/>
                <w:szCs w:val="21"/>
                <w:highlight w:val="none"/>
              </w:rPr>
              <w:t>；</w:t>
            </w:r>
          </w:p>
          <w:p w14:paraId="21E1211C">
            <w:pPr>
              <w:keepNext w:val="0"/>
              <w:keepLines w:val="0"/>
              <w:pageBreakBefore w:val="0"/>
              <w:kinsoku/>
              <w:wordWrap/>
              <w:overflowPunct/>
              <w:topLinePunct w:val="0"/>
              <w:bidi w:val="0"/>
              <w:spacing w:line="360" w:lineRule="exact"/>
              <w:ind w:left="0" w:leftChars="0" w:right="0" w:rightChars="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二档（10分）：设置有专门的质量、进度检查</w:t>
            </w:r>
            <w:r>
              <w:rPr>
                <w:rFonts w:hint="eastAsia" w:ascii="宋体" w:hAnsi="宋体" w:eastAsia="宋体" w:cs="宋体"/>
                <w:bCs/>
                <w:color w:val="auto"/>
                <w:sz w:val="21"/>
                <w:szCs w:val="21"/>
                <w:highlight w:val="none"/>
                <w:lang w:eastAsia="zh-CN"/>
              </w:rPr>
              <w:t>团队</w:t>
            </w:r>
            <w:r>
              <w:rPr>
                <w:rFonts w:hint="eastAsia" w:ascii="宋体" w:hAnsi="宋体" w:eastAsia="宋体" w:cs="宋体"/>
                <w:bCs/>
                <w:color w:val="auto"/>
                <w:sz w:val="21"/>
                <w:szCs w:val="21"/>
                <w:highlight w:val="none"/>
              </w:rPr>
              <w:t>进行质量、进度把关，有明确的质量和进度管理制度和措施，措施科学合理，保证项目服务的质量和进度需求；</w:t>
            </w:r>
          </w:p>
          <w:p w14:paraId="70EED708">
            <w:pPr>
              <w:keepNext w:val="0"/>
              <w:keepLines w:val="0"/>
              <w:pageBreakBefore w:val="0"/>
              <w:kinsoku/>
              <w:wordWrap/>
              <w:overflowPunct/>
              <w:topLinePunct w:val="0"/>
              <w:bidi w:val="0"/>
              <w:spacing w:line="360" w:lineRule="exact"/>
              <w:ind w:left="0" w:leftChars="0" w:right="0" w:rightChars="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三档（15分）：设置有专门的质量进度检查</w:t>
            </w:r>
            <w:r>
              <w:rPr>
                <w:rFonts w:hint="eastAsia" w:ascii="宋体" w:hAnsi="宋体" w:eastAsia="宋体" w:cs="宋体"/>
                <w:bCs/>
                <w:color w:val="auto"/>
                <w:sz w:val="21"/>
                <w:szCs w:val="21"/>
                <w:highlight w:val="none"/>
                <w:lang w:eastAsia="zh-CN"/>
              </w:rPr>
              <w:t>团队</w:t>
            </w:r>
            <w:r>
              <w:rPr>
                <w:rFonts w:hint="eastAsia" w:ascii="宋体" w:hAnsi="宋体" w:eastAsia="宋体" w:cs="宋体"/>
                <w:bCs/>
                <w:color w:val="auto"/>
                <w:sz w:val="21"/>
                <w:szCs w:val="21"/>
                <w:highlight w:val="none"/>
              </w:rPr>
              <w:t>进行质量、进度把关，有明确的质量管理制度和措施，措施科学合理、可行，能有效保证服务的质量；针对本项目各项检查、审计进度要求，制订详细、明确的进度计划表，且投入人员与进度节点安排合理、科学。</w:t>
            </w:r>
          </w:p>
          <w:p w14:paraId="58BEFEB2">
            <w:pPr>
              <w:pStyle w:val="15"/>
              <w:keepNext w:val="0"/>
              <w:keepLines w:val="0"/>
              <w:pageBreakBefore w:val="0"/>
              <w:kinsoku/>
              <w:wordWrap/>
              <w:overflowPunct/>
              <w:topLinePunct w:val="0"/>
              <w:bidi w:val="0"/>
              <w:spacing w:line="360" w:lineRule="exact"/>
              <w:ind w:left="0" w:leftChars="0" w:right="0" w:rightChars="0"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注：未提供项目</w:t>
            </w:r>
            <w:r>
              <w:rPr>
                <w:rFonts w:hint="eastAsia" w:hAnsi="宋体" w:cs="宋体"/>
                <w:b/>
                <w:bCs/>
                <w:color w:val="auto"/>
                <w:kern w:val="0"/>
                <w:sz w:val="21"/>
                <w:szCs w:val="21"/>
                <w:highlight w:val="none"/>
                <w:lang w:val="en-US" w:eastAsia="zh-CN"/>
              </w:rPr>
              <w:t>服务质量和服务进度的措施</w:t>
            </w:r>
            <w:r>
              <w:rPr>
                <w:rFonts w:hint="eastAsia" w:ascii="宋体" w:hAnsi="宋体" w:eastAsia="宋体" w:cs="宋体"/>
                <w:b/>
                <w:bCs/>
                <w:color w:val="auto"/>
                <w:sz w:val="21"/>
                <w:szCs w:val="21"/>
                <w:highlight w:val="none"/>
                <w:lang w:val="en-US" w:eastAsia="zh-CN"/>
              </w:rPr>
              <w:t>或措施未达到一档要求的不得分。</w:t>
            </w:r>
          </w:p>
          <w:p w14:paraId="34290941">
            <w:pPr>
              <w:pStyle w:val="15"/>
              <w:keepNext w:val="0"/>
              <w:keepLines w:val="0"/>
              <w:pageBreakBefore w:val="0"/>
              <w:kinsoku/>
              <w:wordWrap/>
              <w:overflowPunct/>
              <w:topLinePunct w:val="0"/>
              <w:bidi w:val="0"/>
              <w:spacing w:line="360" w:lineRule="exact"/>
              <w:ind w:left="0" w:leftChars="0" w:right="0" w:rightChars="0"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3.服务承诺方案（12分）</w:t>
            </w:r>
          </w:p>
          <w:p w14:paraId="503AD3F2">
            <w:pPr>
              <w:keepNext w:val="0"/>
              <w:keepLines w:val="0"/>
              <w:pageBreakBefore w:val="0"/>
              <w:kinsoku/>
              <w:wordWrap/>
              <w:overflowPunct/>
              <w:topLinePunct w:val="0"/>
              <w:bidi w:val="0"/>
              <w:spacing w:line="360" w:lineRule="exact"/>
              <w:ind w:left="0" w:leftChars="0"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一档（4分）：有基本的服务流程说明，服务承诺符合采购需求的服务要求</w:t>
            </w:r>
            <w:r>
              <w:rPr>
                <w:rFonts w:hint="eastAsia" w:ascii="宋体" w:hAnsi="宋体" w:cs="宋体"/>
                <w:bCs/>
                <w:color w:val="auto"/>
                <w:sz w:val="21"/>
                <w:szCs w:val="21"/>
                <w:highlight w:val="none"/>
                <w:lang w:eastAsia="zh-CN"/>
              </w:rPr>
              <w:t>；</w:t>
            </w:r>
          </w:p>
          <w:p w14:paraId="562A865E">
            <w:pPr>
              <w:keepNext w:val="0"/>
              <w:keepLines w:val="0"/>
              <w:pageBreakBefore w:val="0"/>
              <w:kinsoku/>
              <w:wordWrap/>
              <w:overflowPunct/>
              <w:topLinePunct w:val="0"/>
              <w:bidi w:val="0"/>
              <w:spacing w:line="360" w:lineRule="exact"/>
              <w:ind w:left="0" w:leftChars="0"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二档（8分）：</w:t>
            </w:r>
            <w:r>
              <w:rPr>
                <w:rFonts w:hint="eastAsia" w:ascii="宋体" w:hAnsi="宋体" w:eastAsia="宋体" w:cs="宋体"/>
                <w:bCs/>
                <w:color w:val="auto"/>
                <w:sz w:val="21"/>
                <w:szCs w:val="21"/>
                <w:highlight w:val="none"/>
                <w:lang w:val="en-US" w:eastAsia="zh-CN"/>
              </w:rPr>
              <w:t>在满足一档的情况上</w:t>
            </w:r>
            <w:r>
              <w:rPr>
                <w:rFonts w:hint="eastAsia" w:ascii="宋体" w:hAnsi="宋体" w:eastAsia="宋体" w:cs="宋体"/>
                <w:bCs/>
                <w:color w:val="auto"/>
                <w:sz w:val="21"/>
                <w:szCs w:val="21"/>
                <w:highlight w:val="none"/>
              </w:rPr>
              <w:t>，服务承诺符合采购需求的服务要求、清晰完整；承诺：提供7×24小时热线电话支持服务，对采购人提出的问题，在3小时内作出实质响应，电话无法解决的，24小时内到达指定现场，对疑问或服务成果做出清晰解释；</w:t>
            </w:r>
          </w:p>
          <w:p w14:paraId="2F63A314">
            <w:pPr>
              <w:keepNext w:val="0"/>
              <w:keepLines w:val="0"/>
              <w:pageBreakBefore w:val="0"/>
              <w:kinsoku/>
              <w:wordWrap/>
              <w:overflowPunct/>
              <w:topLinePunct w:val="0"/>
              <w:bidi w:val="0"/>
              <w:spacing w:line="360" w:lineRule="exact"/>
              <w:ind w:left="0" w:leftChars="0"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三档（12分）：</w:t>
            </w:r>
            <w:r>
              <w:rPr>
                <w:rFonts w:hint="eastAsia" w:ascii="宋体" w:hAnsi="宋体" w:eastAsia="宋体" w:cs="宋体"/>
                <w:bCs/>
                <w:color w:val="auto"/>
                <w:sz w:val="21"/>
                <w:szCs w:val="21"/>
                <w:highlight w:val="none"/>
                <w:lang w:val="en-US" w:eastAsia="zh-CN"/>
              </w:rPr>
              <w:t>在满足二档的情况上</w:t>
            </w:r>
            <w:r>
              <w:rPr>
                <w:rFonts w:hint="eastAsia" w:ascii="宋体" w:hAnsi="宋体" w:eastAsia="宋体" w:cs="宋体"/>
                <w:bCs/>
                <w:color w:val="auto"/>
                <w:sz w:val="21"/>
                <w:szCs w:val="21"/>
                <w:highlight w:val="none"/>
              </w:rPr>
              <w:t>；承诺：在2小时内作出实质响应，电话无法解决的，12小时内到达指定现场，对疑问或服务成果做出清晰解释；针对可能出现的突发情况制订有应急预案，应急措施完善、有针对性且</w:t>
            </w:r>
            <w:r>
              <w:rPr>
                <w:rFonts w:hint="eastAsia" w:ascii="宋体" w:hAnsi="宋体" w:eastAsia="宋体" w:cs="宋体"/>
                <w:bCs/>
                <w:color w:val="auto"/>
                <w:sz w:val="21"/>
                <w:szCs w:val="21"/>
                <w:highlight w:val="none"/>
                <w:lang w:val="en-US" w:eastAsia="zh-CN"/>
              </w:rPr>
              <w:t>具有</w:t>
            </w:r>
            <w:r>
              <w:rPr>
                <w:rFonts w:hint="eastAsia" w:ascii="宋体" w:hAnsi="宋体" w:eastAsia="宋体" w:cs="宋体"/>
                <w:bCs/>
                <w:color w:val="auto"/>
                <w:sz w:val="21"/>
                <w:szCs w:val="21"/>
                <w:highlight w:val="none"/>
              </w:rPr>
              <w:t>可行性。</w:t>
            </w:r>
          </w:p>
          <w:p w14:paraId="074AC270">
            <w:pPr>
              <w:keepNext w:val="0"/>
              <w:keepLines w:val="0"/>
              <w:pageBreakBefore w:val="0"/>
              <w:kinsoku/>
              <w:wordWrap/>
              <w:overflowPunct/>
              <w:topLinePunct w:val="0"/>
              <w:bidi w:val="0"/>
              <w:spacing w:line="360" w:lineRule="exact"/>
              <w:ind w:left="0" w:leftChars="0" w:right="0" w:rightChars="0"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注：供应商未提供或提供的服务承诺内容的，不得分。</w:t>
            </w:r>
          </w:p>
          <w:p w14:paraId="121CC5D9">
            <w:pPr>
              <w:pStyle w:val="2"/>
              <w:keepNext w:val="0"/>
              <w:keepLines w:val="0"/>
              <w:pageBreakBefore w:val="0"/>
              <w:kinsoku/>
              <w:wordWrap/>
              <w:overflowPunct/>
              <w:topLinePunct w:val="0"/>
              <w:bidi w:val="0"/>
              <w:spacing w:line="360" w:lineRule="exact"/>
              <w:ind w:left="0" w:leftChars="0" w:right="0" w:rightChars="0"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4.保密、廉洁从业措施（6分）</w:t>
            </w:r>
          </w:p>
          <w:p w14:paraId="67B0658E">
            <w:pPr>
              <w:keepNext w:val="0"/>
              <w:keepLines w:val="0"/>
              <w:pageBreakBefore w:val="0"/>
              <w:kinsoku/>
              <w:wordWrap/>
              <w:overflowPunct/>
              <w:topLinePunct w:val="0"/>
              <w:bidi w:val="0"/>
              <w:spacing w:line="360" w:lineRule="exact"/>
              <w:ind w:left="0" w:leftChars="0"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一档（2分）：针对项目采购需求的保密和廉洁要求，制订有相关保密、廉洁从业制度；</w:t>
            </w:r>
          </w:p>
          <w:p w14:paraId="39C02499">
            <w:pPr>
              <w:keepNext w:val="0"/>
              <w:keepLines w:val="0"/>
              <w:pageBreakBefore w:val="0"/>
              <w:kinsoku/>
              <w:wordWrap/>
              <w:overflowPunct/>
              <w:topLinePunct w:val="0"/>
              <w:bidi w:val="0"/>
              <w:spacing w:line="360" w:lineRule="exact"/>
              <w:ind w:left="0" w:leftChars="0"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4分）：针对项目采购需求的保密和廉洁要求，制订有完善的保障项目服务工作人员的保密、廉政制度，保证廉洁自律，避免出现审计署《关于加强审计纪律的规定》“八不准”的规定内容，保证项目信息的保密要求；</w:t>
            </w:r>
          </w:p>
          <w:p w14:paraId="61EB602E">
            <w:pPr>
              <w:keepNext w:val="0"/>
              <w:keepLines w:val="0"/>
              <w:pageBreakBefore w:val="0"/>
              <w:kinsoku/>
              <w:wordWrap/>
              <w:overflowPunct/>
              <w:topLinePunct w:val="0"/>
              <w:bidi w:val="0"/>
              <w:spacing w:line="360" w:lineRule="exact"/>
              <w:ind w:left="0" w:leftChars="0"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档（6分）：针对项目采购需求的保密和廉洁要求，制订有完善的保障项目服务工作人员的保密、廉政制度及措施，各环节的内部防范和控制风险制度健全完整，能有效避免出现审计署《关于加强审计纪律的规定》“八不准”的规定内容，保证项目信息的保密要求。</w:t>
            </w:r>
          </w:p>
          <w:p w14:paraId="1023F6D7">
            <w:pPr>
              <w:keepNext w:val="0"/>
              <w:keepLines w:val="0"/>
              <w:pageBreakBefore w:val="0"/>
              <w:kinsoku/>
              <w:wordWrap/>
              <w:overflowPunct/>
              <w:topLinePunct w:val="0"/>
              <w:bidi w:val="0"/>
              <w:spacing w:line="360" w:lineRule="exact"/>
              <w:ind w:left="0" w:leftChars="0" w:right="0" w:righ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注：供应商未提供或提供的保密、廉洁从业措施未达到一档要求的不得分。</w:t>
            </w:r>
          </w:p>
          <w:p w14:paraId="45CBFED8">
            <w:pPr>
              <w:pStyle w:val="2"/>
              <w:keepNext w:val="0"/>
              <w:keepLines w:val="0"/>
              <w:pageBreakBefore w:val="0"/>
              <w:kinsoku/>
              <w:wordWrap/>
              <w:overflowPunct/>
              <w:topLinePunct w:val="0"/>
              <w:bidi w:val="0"/>
              <w:spacing w:line="360" w:lineRule="exact"/>
              <w:ind w:left="0" w:leftChars="0" w:right="0" w:rightChars="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5.团队资质配置</w:t>
            </w:r>
            <w:r>
              <w:rPr>
                <w:rFonts w:hint="eastAsia" w:ascii="宋体" w:hAnsi="宋体" w:eastAsia="宋体" w:cs="宋体"/>
                <w:b/>
                <w:color w:val="auto"/>
                <w:kern w:val="2"/>
                <w:sz w:val="21"/>
                <w:szCs w:val="21"/>
                <w:highlight w:val="none"/>
                <w:lang w:eastAsia="zh-CN"/>
              </w:rPr>
              <w:t>（</w:t>
            </w:r>
            <w:r>
              <w:rPr>
                <w:rFonts w:hint="eastAsia" w:ascii="宋体" w:hAnsi="宋体" w:eastAsia="宋体" w:cs="宋体"/>
                <w:b/>
                <w:color w:val="auto"/>
                <w:kern w:val="2"/>
                <w:sz w:val="21"/>
                <w:szCs w:val="21"/>
                <w:highlight w:val="none"/>
                <w:lang w:val="en-US" w:eastAsia="zh-CN"/>
              </w:rPr>
              <w:t>满分29分</w:t>
            </w:r>
            <w:r>
              <w:rPr>
                <w:rFonts w:hint="eastAsia" w:ascii="宋体" w:hAnsi="宋体" w:eastAsia="宋体" w:cs="宋体"/>
                <w:b/>
                <w:color w:val="auto"/>
                <w:kern w:val="2"/>
                <w:sz w:val="21"/>
                <w:szCs w:val="21"/>
                <w:highlight w:val="none"/>
                <w:lang w:eastAsia="zh-CN"/>
              </w:rPr>
              <w:t>）</w:t>
            </w:r>
          </w:p>
          <w:p w14:paraId="6B8ACD43">
            <w:pPr>
              <w:pStyle w:val="15"/>
              <w:keepNext w:val="0"/>
              <w:keepLines w:val="0"/>
              <w:pageBreakBefore w:val="0"/>
              <w:kinsoku/>
              <w:wordWrap/>
              <w:overflowPunct/>
              <w:topLinePunct w:val="0"/>
              <w:bidi w:val="0"/>
              <w:spacing w:line="360" w:lineRule="exact"/>
              <w:ind w:left="0" w:leftChars="0" w:right="0" w:rightChars="0" w:firstLine="420" w:firstLineChars="20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（1）注册会计师分（满分16分）</w:t>
            </w:r>
          </w:p>
          <w:p w14:paraId="757F6300">
            <w:pPr>
              <w:pStyle w:val="15"/>
              <w:keepNext w:val="0"/>
              <w:keepLines w:val="0"/>
              <w:pageBreakBefore w:val="0"/>
              <w:kinsoku/>
              <w:wordWrap/>
              <w:overflowPunct/>
              <w:topLinePunct w:val="0"/>
              <w:bidi w:val="0"/>
              <w:spacing w:line="360" w:lineRule="exact"/>
              <w:ind w:left="0" w:leftChars="0" w:right="0" w:rightChars="0" w:firstLine="420" w:firstLineChars="20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fldChar w:fldCharType="begin"/>
            </w:r>
            <w:r>
              <w:rPr>
                <w:rFonts w:hint="eastAsia" w:ascii="宋体" w:hAnsi="宋体" w:eastAsia="宋体" w:cs="宋体"/>
                <w:bCs/>
                <w:color w:val="auto"/>
                <w:kern w:val="2"/>
                <w:sz w:val="21"/>
                <w:szCs w:val="21"/>
                <w:highlight w:val="none"/>
                <w:lang w:val="en-US" w:eastAsia="zh-CN"/>
              </w:rPr>
              <w:instrText xml:space="preserve"> = 1 \* GB3 \* MERGEFORMAT </w:instrText>
            </w:r>
            <w:r>
              <w:rPr>
                <w:rFonts w:hint="eastAsia" w:ascii="宋体" w:hAnsi="宋体" w:eastAsia="宋体" w:cs="宋体"/>
                <w:bCs/>
                <w:color w:val="auto"/>
                <w:kern w:val="2"/>
                <w:sz w:val="21"/>
                <w:szCs w:val="21"/>
                <w:highlight w:val="none"/>
                <w:lang w:val="en-US" w:eastAsia="zh-CN"/>
              </w:rPr>
              <w:fldChar w:fldCharType="separate"/>
            </w:r>
            <w:r>
              <w:rPr>
                <w:rFonts w:hint="eastAsia" w:ascii="宋体" w:hAnsi="宋体" w:eastAsia="宋体" w:cs="宋体"/>
                <w:bCs/>
                <w:color w:val="auto"/>
                <w:kern w:val="2"/>
                <w:sz w:val="21"/>
                <w:szCs w:val="21"/>
                <w:highlight w:val="none"/>
                <w:lang w:val="en-US" w:eastAsia="zh-CN"/>
              </w:rPr>
              <w:t>①</w:t>
            </w:r>
            <w:r>
              <w:rPr>
                <w:rFonts w:hint="eastAsia" w:ascii="宋体" w:hAnsi="宋体" w:eastAsia="宋体" w:cs="宋体"/>
                <w:bCs/>
                <w:color w:val="auto"/>
                <w:kern w:val="2"/>
                <w:sz w:val="21"/>
                <w:szCs w:val="21"/>
                <w:highlight w:val="none"/>
                <w:lang w:val="en-US" w:eastAsia="zh-CN"/>
              </w:rPr>
              <w:fldChar w:fldCharType="end"/>
            </w:r>
            <w:r>
              <w:rPr>
                <w:rFonts w:hint="eastAsia" w:ascii="宋体" w:hAnsi="宋体" w:eastAsia="宋体" w:cs="宋体"/>
                <w:bCs/>
                <w:color w:val="auto"/>
                <w:kern w:val="2"/>
                <w:sz w:val="21"/>
                <w:szCs w:val="21"/>
                <w:highlight w:val="none"/>
                <w:lang w:val="en-US" w:eastAsia="zh-CN"/>
              </w:rPr>
              <w:t>在</w:t>
            </w:r>
            <w:r>
              <w:rPr>
                <w:rFonts w:hint="eastAsia" w:ascii="宋体" w:hAnsi="宋体" w:eastAsia="宋体" w:cs="宋体"/>
                <w:color w:val="auto"/>
                <w:sz w:val="21"/>
                <w:szCs w:val="21"/>
                <w:highlight w:val="none"/>
              </w:rPr>
              <w:t>满足采购文件要求的人员要求</w:t>
            </w:r>
            <w:r>
              <w:rPr>
                <w:rFonts w:hint="eastAsia" w:ascii="宋体" w:hAnsi="宋体" w:eastAsia="宋体" w:cs="宋体"/>
                <w:bCs/>
                <w:color w:val="auto"/>
                <w:kern w:val="2"/>
                <w:sz w:val="21"/>
                <w:szCs w:val="21"/>
                <w:highlight w:val="none"/>
                <w:lang w:val="en-US" w:eastAsia="zh-CN"/>
              </w:rPr>
              <w:t>的基础上每增加1名符合要求的注册会计师，得2分，满分6分。</w:t>
            </w:r>
          </w:p>
          <w:p w14:paraId="1B725BA0">
            <w:pPr>
              <w:pStyle w:val="15"/>
              <w:keepNext w:val="0"/>
              <w:keepLines w:val="0"/>
              <w:pageBreakBefore w:val="0"/>
              <w:kinsoku/>
              <w:wordWrap/>
              <w:overflowPunct/>
              <w:topLinePunct w:val="0"/>
              <w:bidi w:val="0"/>
              <w:spacing w:line="360" w:lineRule="exact"/>
              <w:ind w:left="0" w:leftChars="0" w:right="0" w:rightChars="0" w:firstLine="420" w:firstLineChars="20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fldChar w:fldCharType="begin"/>
            </w:r>
            <w:r>
              <w:rPr>
                <w:rFonts w:hint="eastAsia" w:ascii="宋体" w:hAnsi="宋体" w:eastAsia="宋体" w:cs="宋体"/>
                <w:bCs/>
                <w:color w:val="auto"/>
                <w:kern w:val="2"/>
                <w:sz w:val="21"/>
                <w:szCs w:val="21"/>
                <w:highlight w:val="none"/>
                <w:lang w:val="en-US" w:eastAsia="zh-CN"/>
              </w:rPr>
              <w:instrText xml:space="preserve"> = 2 \* GB3 \* MERGEFORMAT </w:instrText>
            </w:r>
            <w:r>
              <w:rPr>
                <w:rFonts w:hint="eastAsia" w:ascii="宋体" w:hAnsi="宋体" w:eastAsia="宋体" w:cs="宋体"/>
                <w:bCs/>
                <w:color w:val="auto"/>
                <w:kern w:val="2"/>
                <w:sz w:val="21"/>
                <w:szCs w:val="21"/>
                <w:highlight w:val="none"/>
                <w:lang w:val="en-US" w:eastAsia="zh-CN"/>
              </w:rPr>
              <w:fldChar w:fldCharType="separate"/>
            </w:r>
            <w:r>
              <w:rPr>
                <w:rFonts w:hint="eastAsia" w:ascii="宋体" w:hAnsi="宋体" w:eastAsia="宋体" w:cs="宋体"/>
                <w:bCs/>
                <w:color w:val="auto"/>
                <w:kern w:val="2"/>
                <w:sz w:val="21"/>
                <w:szCs w:val="21"/>
                <w:highlight w:val="none"/>
                <w:lang w:val="en-US" w:eastAsia="zh-CN"/>
              </w:rPr>
              <w:t>②</w:t>
            </w:r>
            <w:r>
              <w:rPr>
                <w:rFonts w:hint="eastAsia" w:ascii="宋体" w:hAnsi="宋体" w:eastAsia="宋体" w:cs="宋体"/>
                <w:bCs/>
                <w:color w:val="auto"/>
                <w:kern w:val="2"/>
                <w:sz w:val="21"/>
                <w:szCs w:val="21"/>
                <w:highlight w:val="none"/>
                <w:lang w:val="en-US" w:eastAsia="zh-CN"/>
              </w:rPr>
              <w:fldChar w:fldCharType="end"/>
            </w:r>
            <w:r>
              <w:rPr>
                <w:rFonts w:hint="eastAsia" w:ascii="宋体" w:hAnsi="宋体" w:eastAsia="宋体" w:cs="宋体"/>
                <w:bCs/>
                <w:color w:val="auto"/>
                <w:kern w:val="2"/>
                <w:sz w:val="21"/>
                <w:szCs w:val="21"/>
                <w:highlight w:val="none"/>
                <w:lang w:val="en-US" w:eastAsia="zh-CN"/>
              </w:rPr>
              <w:t>所投入的注册会计师有从业经验的[指</w:t>
            </w:r>
            <w:r>
              <w:rPr>
                <w:rFonts w:hint="eastAsia" w:ascii="宋体" w:hAnsi="宋体" w:eastAsia="宋体" w:cs="宋体"/>
                <w:color w:val="auto"/>
                <w:sz w:val="21"/>
                <w:szCs w:val="21"/>
                <w:highlight w:val="none"/>
                <w:lang w:val="en-US" w:eastAsia="zh-CN"/>
              </w:rPr>
              <w:t>至少2年以上</w:t>
            </w:r>
            <w:r>
              <w:rPr>
                <w:rFonts w:hint="eastAsia" w:ascii="宋体" w:hAnsi="宋体" w:eastAsia="宋体" w:cs="宋体"/>
                <w:bCs/>
                <w:color w:val="auto"/>
                <w:kern w:val="2"/>
                <w:sz w:val="21"/>
                <w:szCs w:val="21"/>
                <w:highlight w:val="none"/>
                <w:lang w:val="en-US" w:eastAsia="zh-CN"/>
              </w:rPr>
              <w:t>与省（自治区）级金融、经济等相关部门合作开展财务审计、</w:t>
            </w:r>
            <w:r>
              <w:rPr>
                <w:rFonts w:hint="eastAsia" w:hAnsi="宋体" w:cs="宋体"/>
                <w:bCs/>
                <w:color w:val="auto"/>
                <w:kern w:val="2"/>
                <w:sz w:val="21"/>
                <w:szCs w:val="21"/>
                <w:highlight w:val="none"/>
                <w:lang w:val="en-US" w:eastAsia="zh-CN"/>
              </w:rPr>
              <w:t>配合</w:t>
            </w:r>
            <w:r>
              <w:rPr>
                <w:rFonts w:hint="eastAsia" w:ascii="宋体" w:hAnsi="宋体" w:eastAsia="宋体" w:cs="宋体"/>
                <w:bCs/>
                <w:color w:val="auto"/>
                <w:kern w:val="2"/>
                <w:sz w:val="21"/>
                <w:szCs w:val="21"/>
                <w:highlight w:val="none"/>
                <w:lang w:val="en-US" w:eastAsia="zh-CN"/>
              </w:rPr>
              <w:t>执法检查等相关工作经验案例的]，每个得1分</w:t>
            </w:r>
            <w:r>
              <w:rPr>
                <w:rFonts w:hint="eastAsia" w:hAnsi="宋体" w:cs="宋体"/>
                <w:bCs/>
                <w:color w:val="auto"/>
                <w:kern w:val="2"/>
                <w:sz w:val="21"/>
                <w:szCs w:val="21"/>
                <w:highlight w:val="none"/>
                <w:lang w:val="en-US" w:eastAsia="zh-CN"/>
              </w:rPr>
              <w:t>，1人仅能计分1次</w:t>
            </w:r>
            <w:r>
              <w:rPr>
                <w:rFonts w:hint="eastAsia" w:ascii="宋体" w:hAnsi="宋体" w:eastAsia="宋体" w:cs="宋体"/>
                <w:bCs/>
                <w:color w:val="auto"/>
                <w:kern w:val="2"/>
                <w:sz w:val="21"/>
                <w:szCs w:val="21"/>
                <w:highlight w:val="none"/>
                <w:lang w:val="en-US" w:eastAsia="zh-CN"/>
              </w:rPr>
              <w:t>，满分10分</w:t>
            </w:r>
          </w:p>
          <w:p w14:paraId="1A4276EC">
            <w:pPr>
              <w:pStyle w:val="15"/>
              <w:keepNext w:val="0"/>
              <w:keepLines w:val="0"/>
              <w:pageBreakBefore w:val="0"/>
              <w:kinsoku/>
              <w:wordWrap/>
              <w:overflowPunct/>
              <w:topLinePunct w:val="0"/>
              <w:bidi w:val="0"/>
              <w:spacing w:line="360" w:lineRule="exact"/>
              <w:ind w:left="0" w:leftChars="0" w:right="0" w:rightChars="0" w:firstLine="420" w:firstLineChars="20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（2）审查人员资历（满分13分）</w:t>
            </w:r>
          </w:p>
          <w:p w14:paraId="2AAEED9C">
            <w:pPr>
              <w:pStyle w:val="15"/>
              <w:keepNext w:val="0"/>
              <w:keepLines w:val="0"/>
              <w:pageBreakBefore w:val="0"/>
              <w:kinsoku/>
              <w:wordWrap/>
              <w:overflowPunct/>
              <w:topLinePunct w:val="0"/>
              <w:bidi w:val="0"/>
              <w:spacing w:line="360" w:lineRule="exact"/>
              <w:ind w:left="0" w:leftChars="0" w:right="0" w:rightChars="0" w:firstLine="420" w:firstLineChars="20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①审查人员（除注册会计师外）具有有效的中级</w:t>
            </w:r>
            <w:r>
              <w:rPr>
                <w:rFonts w:hint="eastAsia" w:hAnsi="宋体" w:cs="宋体"/>
                <w:bCs/>
                <w:color w:val="auto"/>
                <w:kern w:val="2"/>
                <w:sz w:val="21"/>
                <w:szCs w:val="21"/>
                <w:highlight w:val="none"/>
                <w:lang w:val="en-US" w:eastAsia="zh-CN"/>
              </w:rPr>
              <w:t>及以上</w:t>
            </w:r>
            <w:r>
              <w:rPr>
                <w:rFonts w:hint="eastAsia" w:ascii="宋体" w:hAnsi="宋体" w:eastAsia="宋体" w:cs="宋体"/>
                <w:bCs/>
                <w:color w:val="auto"/>
                <w:kern w:val="2"/>
                <w:sz w:val="21"/>
                <w:szCs w:val="21"/>
                <w:highlight w:val="none"/>
                <w:lang w:val="en-US" w:eastAsia="zh-CN"/>
              </w:rPr>
              <w:t>《会计专业技术资格证书》，每1人得1分。此项满分3分。</w:t>
            </w:r>
          </w:p>
          <w:p w14:paraId="481AC705">
            <w:pPr>
              <w:pStyle w:val="15"/>
              <w:keepNext w:val="0"/>
              <w:keepLines w:val="0"/>
              <w:pageBreakBefore w:val="0"/>
              <w:kinsoku/>
              <w:wordWrap/>
              <w:overflowPunct/>
              <w:topLinePunct w:val="0"/>
              <w:bidi w:val="0"/>
              <w:spacing w:line="360" w:lineRule="exact"/>
              <w:ind w:left="0" w:leftChars="0" w:right="0" w:rightChars="0" w:firstLine="420" w:firstLineChars="20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fldChar w:fldCharType="begin"/>
            </w:r>
            <w:r>
              <w:rPr>
                <w:rFonts w:hint="eastAsia" w:ascii="宋体" w:hAnsi="宋体" w:eastAsia="宋体" w:cs="宋体"/>
                <w:bCs/>
                <w:color w:val="auto"/>
                <w:kern w:val="2"/>
                <w:sz w:val="21"/>
                <w:szCs w:val="21"/>
                <w:highlight w:val="none"/>
                <w:lang w:val="en-US" w:eastAsia="zh-CN"/>
              </w:rPr>
              <w:instrText xml:space="preserve"> = 2 \* GB3 \* MERGEFORMAT </w:instrText>
            </w:r>
            <w:r>
              <w:rPr>
                <w:rFonts w:hint="eastAsia" w:ascii="宋体" w:hAnsi="宋体" w:eastAsia="宋体" w:cs="宋体"/>
                <w:bCs/>
                <w:color w:val="auto"/>
                <w:kern w:val="2"/>
                <w:sz w:val="21"/>
                <w:szCs w:val="21"/>
                <w:highlight w:val="none"/>
                <w:lang w:val="en-US" w:eastAsia="zh-CN"/>
              </w:rPr>
              <w:fldChar w:fldCharType="separate"/>
            </w:r>
            <w:r>
              <w:rPr>
                <w:rFonts w:hint="eastAsia" w:ascii="宋体" w:hAnsi="宋体" w:eastAsia="宋体" w:cs="宋体"/>
                <w:bCs/>
                <w:color w:val="auto"/>
                <w:kern w:val="2"/>
                <w:sz w:val="21"/>
                <w:szCs w:val="21"/>
                <w:highlight w:val="none"/>
                <w:lang w:val="en-US" w:eastAsia="zh-CN"/>
              </w:rPr>
              <w:t>②</w:t>
            </w:r>
            <w:r>
              <w:rPr>
                <w:rFonts w:hint="eastAsia" w:ascii="宋体" w:hAnsi="宋体" w:eastAsia="宋体" w:cs="宋体"/>
                <w:bCs/>
                <w:color w:val="auto"/>
                <w:kern w:val="2"/>
                <w:sz w:val="21"/>
                <w:szCs w:val="21"/>
                <w:highlight w:val="none"/>
                <w:lang w:val="en-US" w:eastAsia="zh-CN"/>
              </w:rPr>
              <w:fldChar w:fldCharType="end"/>
            </w:r>
            <w:r>
              <w:rPr>
                <w:rFonts w:hint="eastAsia" w:ascii="宋体" w:hAnsi="宋体" w:eastAsia="宋体" w:cs="宋体"/>
                <w:bCs/>
                <w:color w:val="auto"/>
                <w:kern w:val="2"/>
                <w:sz w:val="21"/>
                <w:szCs w:val="21"/>
                <w:highlight w:val="none"/>
                <w:lang w:val="en-US" w:eastAsia="zh-CN"/>
              </w:rPr>
              <w:t>审查人员（除注册会计师外）每具备1个</w:t>
            </w:r>
            <w:r>
              <w:rPr>
                <w:rFonts w:hint="eastAsia" w:ascii="宋体" w:hAnsi="宋体" w:eastAsia="宋体" w:cs="宋体"/>
                <w:color w:val="auto"/>
                <w:sz w:val="21"/>
                <w:szCs w:val="21"/>
                <w:highlight w:val="none"/>
                <w:lang w:val="en-US" w:eastAsia="zh-CN"/>
              </w:rPr>
              <w:t>2年以上会计或审计从业经验案例的</w:t>
            </w:r>
            <w:r>
              <w:rPr>
                <w:rFonts w:hint="eastAsia" w:ascii="宋体" w:hAnsi="宋体" w:eastAsia="宋体" w:cs="宋体"/>
                <w:bCs/>
                <w:color w:val="auto"/>
                <w:kern w:val="2"/>
                <w:sz w:val="21"/>
                <w:szCs w:val="21"/>
                <w:highlight w:val="none"/>
                <w:lang w:val="en-US" w:eastAsia="zh-CN"/>
              </w:rPr>
              <w:t>，得1分</w:t>
            </w:r>
            <w:r>
              <w:rPr>
                <w:rFonts w:hint="eastAsia" w:hAnsi="宋体" w:cs="宋体"/>
                <w:bCs/>
                <w:color w:val="auto"/>
                <w:kern w:val="2"/>
                <w:sz w:val="21"/>
                <w:szCs w:val="21"/>
                <w:highlight w:val="none"/>
                <w:lang w:val="en-US" w:eastAsia="zh-CN"/>
              </w:rPr>
              <w:t>，1人仅能计分1次</w:t>
            </w:r>
            <w:r>
              <w:rPr>
                <w:rFonts w:hint="eastAsia" w:ascii="宋体" w:hAnsi="宋体" w:eastAsia="宋体" w:cs="宋体"/>
                <w:bCs/>
                <w:color w:val="auto"/>
                <w:kern w:val="2"/>
                <w:sz w:val="21"/>
                <w:szCs w:val="21"/>
                <w:highlight w:val="none"/>
                <w:lang w:val="en-US" w:eastAsia="zh-CN"/>
              </w:rPr>
              <w:t>，满分10分。</w:t>
            </w:r>
          </w:p>
          <w:p w14:paraId="0FE5A78D">
            <w:pPr>
              <w:pStyle w:val="15"/>
              <w:keepNext w:val="0"/>
              <w:keepLines w:val="0"/>
              <w:pageBreakBefore w:val="0"/>
              <w:kinsoku/>
              <w:wordWrap/>
              <w:overflowPunct/>
              <w:topLinePunct w:val="0"/>
              <w:bidi w:val="0"/>
              <w:spacing w:line="360" w:lineRule="exact"/>
              <w:ind w:left="0" w:leftChars="0" w:right="0" w:rightChars="0" w:firstLine="422"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rPr>
              <w:t>备注：响应文件中提供人员有效的相关证书复印件、工作经验年限证明材料复印件（可以是相关成果文件、合同等能证明该人员参与相关工作的证明材料复印件）、劳动合同或聘用书或截至响应文件递交截止时间前半年内供应商为其员工缴纳的任意1个月的社保证明复印件，否则不计分。</w:t>
            </w:r>
          </w:p>
        </w:tc>
        <w:tc>
          <w:tcPr>
            <w:tcW w:w="851" w:type="dxa"/>
            <w:noWrap/>
            <w:vAlign w:val="center"/>
          </w:tcPr>
          <w:p w14:paraId="1D8D815B">
            <w:pPr>
              <w:keepNext w:val="0"/>
              <w:keepLines w:val="0"/>
              <w:pageBreakBefore w:val="0"/>
              <w:kinsoku/>
              <w:wordWrap/>
              <w:overflowPunct/>
              <w:topLinePunct w:val="0"/>
              <w:bidi w:val="0"/>
              <w:spacing w:line="36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78分</w:t>
            </w:r>
          </w:p>
        </w:tc>
      </w:tr>
      <w:tr w14:paraId="584A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dxa"/>
            <w:noWrap/>
            <w:vAlign w:val="center"/>
          </w:tcPr>
          <w:p w14:paraId="6B91D93D">
            <w:pPr>
              <w:keepNext w:val="0"/>
              <w:keepLines w:val="0"/>
              <w:pageBreakBefore w:val="0"/>
              <w:widowControl/>
              <w:kinsoku/>
              <w:wordWrap/>
              <w:overflowPunct/>
              <w:topLinePunct w:val="0"/>
              <w:bidi w:val="0"/>
              <w:spacing w:line="36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418" w:type="dxa"/>
            <w:noWrap/>
            <w:vAlign w:val="center"/>
          </w:tcPr>
          <w:p w14:paraId="22FA2BD9">
            <w:pPr>
              <w:keepNext w:val="0"/>
              <w:keepLines w:val="0"/>
              <w:pageBreakBefore w:val="0"/>
              <w:widowControl/>
              <w:kinsoku/>
              <w:wordWrap/>
              <w:overflowPunct/>
              <w:topLinePunct w:val="0"/>
              <w:bidi w:val="0"/>
              <w:spacing w:line="360" w:lineRule="exact"/>
              <w:ind w:left="0" w:leftChars="0" w:right="0" w:right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商务分</w:t>
            </w:r>
          </w:p>
        </w:tc>
        <w:tc>
          <w:tcPr>
            <w:tcW w:w="7139" w:type="dxa"/>
            <w:gridSpan w:val="2"/>
            <w:noWrap/>
            <w:vAlign w:val="center"/>
          </w:tcPr>
          <w:p w14:paraId="138C1725">
            <w:pPr>
              <w:keepNext w:val="0"/>
              <w:keepLines w:val="0"/>
              <w:pageBreakBefore w:val="0"/>
              <w:widowControl/>
              <w:kinsoku/>
              <w:wordWrap/>
              <w:overflowPunct/>
              <w:topLinePunct w:val="0"/>
              <w:bidi w:val="0"/>
              <w:spacing w:line="360" w:lineRule="exact"/>
              <w:ind w:left="0" w:leftChars="0" w:right="0" w:right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评审因素</w:t>
            </w:r>
            <w:r>
              <w:rPr>
                <w:rFonts w:hint="eastAsia" w:ascii="宋体" w:hAnsi="宋体" w:eastAsia="宋体" w:cs="宋体"/>
                <w:color w:val="auto"/>
                <w:kern w:val="0"/>
                <w:sz w:val="21"/>
                <w:szCs w:val="21"/>
                <w:highlight w:val="none"/>
                <w:lang w:eastAsia="zh-CN"/>
              </w:rPr>
              <w:t>具体内容</w:t>
            </w:r>
          </w:p>
        </w:tc>
      </w:tr>
      <w:tr w14:paraId="51B1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dxa"/>
            <w:noWrap/>
            <w:vAlign w:val="center"/>
          </w:tcPr>
          <w:p w14:paraId="68A61286">
            <w:pPr>
              <w:keepNext w:val="0"/>
              <w:keepLines w:val="0"/>
              <w:pageBreakBefore w:val="0"/>
              <w:widowControl/>
              <w:kinsoku/>
              <w:wordWrap/>
              <w:overflowPunct/>
              <w:topLinePunct w:val="0"/>
              <w:bidi w:val="0"/>
              <w:spacing w:line="36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p>
        </w:tc>
        <w:tc>
          <w:tcPr>
            <w:tcW w:w="1418" w:type="dxa"/>
            <w:noWrap/>
            <w:vAlign w:val="center"/>
          </w:tcPr>
          <w:p w14:paraId="0F6C1894">
            <w:pPr>
              <w:keepNext w:val="0"/>
              <w:keepLines w:val="0"/>
              <w:pageBreakBefore w:val="0"/>
              <w:widowControl/>
              <w:kinsoku/>
              <w:wordWrap/>
              <w:overflowPunct/>
              <w:topLinePunct w:val="0"/>
              <w:bidi w:val="0"/>
              <w:spacing w:line="36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项目业绩分</w:t>
            </w:r>
          </w:p>
        </w:tc>
        <w:tc>
          <w:tcPr>
            <w:tcW w:w="6288" w:type="dxa"/>
            <w:noWrap/>
            <w:vAlign w:val="center"/>
          </w:tcPr>
          <w:p w14:paraId="5BFBEA8B">
            <w:pPr>
              <w:pStyle w:val="15"/>
              <w:keepNext w:val="0"/>
              <w:keepLines w:val="0"/>
              <w:pageBreakBefore w:val="0"/>
              <w:kinsoku/>
              <w:wordWrap/>
              <w:overflowPunct/>
              <w:topLinePunct w:val="0"/>
              <w:bidi w:val="0"/>
              <w:spacing w:line="360" w:lineRule="exact"/>
              <w:ind w:left="0" w:leftChars="0" w:right="0" w:rightChars="0" w:firstLine="420" w:firstLineChars="20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供应商2022年1月1日至今具有的同类项目的业绩，每个项目得3分，满分12分。（响应文件中提供合同复印件，合同至少应反映签订双方名称、合同采购内容、双方盖章、签订时间）</w:t>
            </w:r>
          </w:p>
        </w:tc>
        <w:tc>
          <w:tcPr>
            <w:tcW w:w="851" w:type="dxa"/>
            <w:noWrap/>
            <w:vAlign w:val="center"/>
          </w:tcPr>
          <w:p w14:paraId="31833673">
            <w:pPr>
              <w:keepNext w:val="0"/>
              <w:keepLines w:val="0"/>
              <w:pageBreakBefore w:val="0"/>
              <w:widowControl/>
              <w:kinsoku/>
              <w:wordWrap/>
              <w:overflowPunct/>
              <w:topLinePunct w:val="0"/>
              <w:bidi w:val="0"/>
              <w:spacing w:line="36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12分</w:t>
            </w:r>
          </w:p>
        </w:tc>
      </w:tr>
      <w:tr w14:paraId="7C9A0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dxa"/>
            <w:noWrap/>
            <w:vAlign w:val="center"/>
          </w:tcPr>
          <w:p w14:paraId="244C409D">
            <w:pPr>
              <w:keepNext w:val="0"/>
              <w:keepLines w:val="0"/>
              <w:pageBreakBefore w:val="0"/>
              <w:widowControl/>
              <w:kinsoku/>
              <w:wordWrap/>
              <w:overflowPunct/>
              <w:topLinePunct w:val="0"/>
              <w:bidi w:val="0"/>
              <w:spacing w:line="36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1418" w:type="dxa"/>
            <w:noWrap/>
            <w:vAlign w:val="center"/>
          </w:tcPr>
          <w:p w14:paraId="27550B8C">
            <w:pPr>
              <w:keepNext w:val="0"/>
              <w:keepLines w:val="0"/>
              <w:pageBreakBefore w:val="0"/>
              <w:widowControl/>
              <w:kinsoku/>
              <w:wordWrap/>
              <w:overflowPunct/>
              <w:topLinePunct w:val="0"/>
              <w:bidi w:val="0"/>
              <w:spacing w:line="36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政策功能分（服务类项目不适用）</w:t>
            </w:r>
          </w:p>
        </w:tc>
        <w:tc>
          <w:tcPr>
            <w:tcW w:w="6288" w:type="dxa"/>
            <w:noWrap/>
            <w:vAlign w:val="top"/>
          </w:tcPr>
          <w:p w14:paraId="1B5DE26F">
            <w:pPr>
              <w:pStyle w:val="15"/>
              <w:keepNext w:val="0"/>
              <w:keepLines w:val="0"/>
              <w:pageBreakBefore w:val="0"/>
              <w:kinsoku/>
              <w:wordWrap/>
              <w:overflowPunct/>
              <w:topLinePunct w:val="0"/>
              <w:bidi w:val="0"/>
              <w:spacing w:line="360" w:lineRule="exact"/>
              <w:ind w:left="0" w:leftChars="0" w:right="0" w:rightChars="0" w:firstLine="420" w:firstLineChars="20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属于财政部《节能产品政府采购品目清单》内优先采购（清单内未标注“★”的品目）的产品[响应文件中提供有效的认证证书复印件及品目清单（标注出竞标产品在品目清单中所属的品目），并加盖供应商电子签章]，根据其所占项目（或者分标）预算金额比例得0至</w:t>
            </w:r>
            <w:r>
              <w:rPr>
                <w:rFonts w:hint="eastAsia" w:ascii="宋体" w:hAnsi="宋体" w:eastAsia="宋体" w:cs="宋体"/>
                <w:bCs/>
                <w:color w:val="auto"/>
                <w:kern w:val="2"/>
                <w:sz w:val="21"/>
                <w:szCs w:val="21"/>
                <w:highlight w:val="none"/>
                <w:u w:val="single"/>
                <w:lang w:val="en-US" w:eastAsia="zh-CN"/>
              </w:rPr>
              <w:t>/</w:t>
            </w:r>
            <w:r>
              <w:rPr>
                <w:rFonts w:hint="eastAsia" w:ascii="宋体" w:hAnsi="宋体" w:eastAsia="宋体" w:cs="宋体"/>
                <w:bCs/>
                <w:color w:val="auto"/>
                <w:kern w:val="2"/>
                <w:sz w:val="21"/>
                <w:szCs w:val="21"/>
                <w:highlight w:val="none"/>
                <w:lang w:val="en-US" w:eastAsia="zh-CN"/>
              </w:rPr>
              <w:t>分，满分</w:t>
            </w:r>
            <w:r>
              <w:rPr>
                <w:rFonts w:hint="eastAsia" w:ascii="宋体" w:hAnsi="宋体" w:eastAsia="宋体" w:cs="宋体"/>
                <w:bCs/>
                <w:color w:val="auto"/>
                <w:kern w:val="2"/>
                <w:sz w:val="21"/>
                <w:szCs w:val="21"/>
                <w:highlight w:val="none"/>
                <w:u w:val="single"/>
                <w:lang w:val="en-US" w:eastAsia="zh-CN"/>
              </w:rPr>
              <w:t>/</w:t>
            </w:r>
            <w:r>
              <w:rPr>
                <w:rFonts w:hint="eastAsia" w:ascii="宋体" w:hAnsi="宋体" w:eastAsia="宋体" w:cs="宋体"/>
                <w:bCs/>
                <w:color w:val="auto"/>
                <w:kern w:val="2"/>
                <w:sz w:val="21"/>
                <w:szCs w:val="21"/>
                <w:highlight w:val="none"/>
                <w:lang w:val="en-US" w:eastAsia="zh-CN"/>
              </w:rPr>
              <w:t>分。</w:t>
            </w:r>
          </w:p>
          <w:p w14:paraId="7F859600">
            <w:pPr>
              <w:pStyle w:val="15"/>
              <w:keepNext w:val="0"/>
              <w:keepLines w:val="0"/>
              <w:pageBreakBefore w:val="0"/>
              <w:kinsoku/>
              <w:wordWrap/>
              <w:overflowPunct/>
              <w:topLinePunct w:val="0"/>
              <w:bidi w:val="0"/>
              <w:spacing w:line="360" w:lineRule="exact"/>
              <w:ind w:left="0" w:leftChars="0" w:right="0" w:rightChars="0" w:firstLine="420" w:firstLineChars="20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属于财政部《环境标志产品政府采购品目清单》内的产品[响应文件中提供有效的认证证书复印件及品目清单（标注出竞标产品在品目清单中所属的品目），并加盖供应商电子签章]，根据其所占项目（或者分标）预算金额比例得0至</w:t>
            </w:r>
            <w:r>
              <w:rPr>
                <w:rFonts w:hint="eastAsia" w:ascii="宋体" w:hAnsi="宋体" w:eastAsia="宋体" w:cs="宋体"/>
                <w:bCs/>
                <w:color w:val="auto"/>
                <w:kern w:val="2"/>
                <w:sz w:val="21"/>
                <w:szCs w:val="21"/>
                <w:highlight w:val="none"/>
                <w:u w:val="single"/>
                <w:lang w:val="en-US" w:eastAsia="zh-CN"/>
              </w:rPr>
              <w:t>/</w:t>
            </w:r>
            <w:r>
              <w:rPr>
                <w:rFonts w:hint="eastAsia" w:ascii="宋体" w:hAnsi="宋体" w:eastAsia="宋体" w:cs="宋体"/>
                <w:bCs/>
                <w:color w:val="auto"/>
                <w:kern w:val="2"/>
                <w:sz w:val="21"/>
                <w:szCs w:val="21"/>
                <w:highlight w:val="none"/>
                <w:lang w:val="en-US" w:eastAsia="zh-CN"/>
              </w:rPr>
              <w:t>分，满分</w:t>
            </w:r>
            <w:r>
              <w:rPr>
                <w:rFonts w:hint="eastAsia" w:ascii="宋体" w:hAnsi="宋体" w:eastAsia="宋体" w:cs="宋体"/>
                <w:bCs/>
                <w:color w:val="auto"/>
                <w:kern w:val="2"/>
                <w:sz w:val="21"/>
                <w:szCs w:val="21"/>
                <w:highlight w:val="none"/>
                <w:u w:val="single"/>
                <w:lang w:val="en-US" w:eastAsia="zh-CN"/>
              </w:rPr>
              <w:t>/</w:t>
            </w:r>
            <w:r>
              <w:rPr>
                <w:rFonts w:hint="eastAsia" w:ascii="宋体" w:hAnsi="宋体" w:eastAsia="宋体" w:cs="宋体"/>
                <w:bCs/>
                <w:color w:val="auto"/>
                <w:kern w:val="2"/>
                <w:sz w:val="21"/>
                <w:szCs w:val="21"/>
                <w:highlight w:val="none"/>
                <w:lang w:val="en-US" w:eastAsia="zh-CN"/>
              </w:rPr>
              <w:t>分</w:t>
            </w:r>
          </w:p>
        </w:tc>
        <w:tc>
          <w:tcPr>
            <w:tcW w:w="851" w:type="dxa"/>
            <w:noWrap/>
            <w:vAlign w:val="center"/>
          </w:tcPr>
          <w:p w14:paraId="0B662A12">
            <w:pPr>
              <w:keepNext w:val="0"/>
              <w:keepLines w:val="0"/>
              <w:pageBreakBefore w:val="0"/>
              <w:widowControl/>
              <w:kinsoku/>
              <w:wordWrap/>
              <w:overflowPunct/>
              <w:topLinePunct w:val="0"/>
              <w:bidi w:val="0"/>
              <w:spacing w:line="36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14:paraId="3EAA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9" w:type="dxa"/>
            <w:gridSpan w:val="3"/>
            <w:noWrap/>
            <w:vAlign w:val="top"/>
          </w:tcPr>
          <w:p w14:paraId="45C29A4E">
            <w:pPr>
              <w:pStyle w:val="15"/>
              <w:keepNext w:val="0"/>
              <w:keepLines w:val="0"/>
              <w:pageBreakBefore w:val="0"/>
              <w:kinsoku/>
              <w:wordWrap/>
              <w:overflowPunct/>
              <w:topLinePunct w:val="0"/>
              <w:bidi w:val="0"/>
              <w:spacing w:line="360" w:lineRule="exact"/>
              <w:ind w:left="0" w:leftChars="0" w:right="0" w:rightChars="0" w:firstLine="420" w:firstLineChars="20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总得分为以上各项评审因素得分合计</w:t>
            </w:r>
          </w:p>
        </w:tc>
        <w:tc>
          <w:tcPr>
            <w:tcW w:w="851" w:type="dxa"/>
            <w:noWrap/>
            <w:vAlign w:val="center"/>
          </w:tcPr>
          <w:p w14:paraId="7B82FF49">
            <w:pPr>
              <w:keepNext w:val="0"/>
              <w:keepLines w:val="0"/>
              <w:pageBreakBefore w:val="0"/>
              <w:widowControl/>
              <w:kinsoku/>
              <w:wordWrap/>
              <w:overflowPunct/>
              <w:topLinePunct w:val="0"/>
              <w:bidi w:val="0"/>
              <w:spacing w:line="360" w:lineRule="exact"/>
              <w:ind w:left="0" w:leftChars="0" w:right="0" w:rightChars="0"/>
              <w:jc w:val="center"/>
              <w:rPr>
                <w:rFonts w:hint="eastAsia" w:ascii="宋体" w:hAnsi="宋体" w:eastAsia="宋体" w:cs="宋体"/>
                <w:color w:val="auto"/>
                <w:kern w:val="0"/>
                <w:sz w:val="21"/>
                <w:szCs w:val="21"/>
                <w:highlight w:val="none"/>
              </w:rPr>
            </w:pPr>
          </w:p>
        </w:tc>
      </w:tr>
    </w:tbl>
    <w:p w14:paraId="5CA7B6A8">
      <w:pPr>
        <w:keepNext w:val="0"/>
        <w:keepLines w:val="0"/>
        <w:pageBreakBefore w:val="0"/>
        <w:kinsoku/>
        <w:wordWrap/>
        <w:overflowPunct/>
        <w:topLinePunct w:val="0"/>
        <w:bidi w:val="0"/>
        <w:spacing w:line="360" w:lineRule="exact"/>
        <w:ind w:firstLine="420" w:firstLineChars="200"/>
        <w:rPr>
          <w:rFonts w:ascii="宋体" w:hAnsi="宋体"/>
          <w:bCs/>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521942EB">
      <w:pPr>
        <w:keepNext w:val="0"/>
        <w:keepLines w:val="0"/>
        <w:pageBreakBefore w:val="0"/>
        <w:kinsoku/>
        <w:wordWrap/>
        <w:overflowPunct/>
        <w:topLinePunct w:val="0"/>
        <w:bidi w:val="0"/>
        <w:spacing w:line="360" w:lineRule="exact"/>
        <w:ind w:firstLine="422" w:firstLineChars="200"/>
        <w:rPr>
          <w:rFonts w:ascii="宋体" w:hAnsi="宋体" w:cs="宋体"/>
          <w:color w:val="auto"/>
          <w:highlight w:val="none"/>
        </w:rPr>
      </w:pPr>
      <w:r>
        <w:rPr>
          <w:rFonts w:hint="eastAsia" w:ascii="宋体" w:hAnsi="宋体"/>
          <w:b/>
          <w:color w:val="auto"/>
          <w:szCs w:val="21"/>
          <w:highlight w:val="none"/>
        </w:rPr>
        <w:t>8.供应商可以参与一个或多个分标的竞标，但是只允许成交1个分标，评审将以</w:t>
      </w:r>
      <w:r>
        <w:rPr>
          <w:rFonts w:hint="eastAsia" w:ascii="宋体" w:hAnsi="宋体"/>
          <w:b/>
          <w:color w:val="auto"/>
          <w:szCs w:val="21"/>
          <w:highlight w:val="none"/>
          <w:lang w:eastAsia="zh-CN"/>
        </w:rPr>
        <w:t>A分标→B分标</w:t>
      </w:r>
      <w:r>
        <w:rPr>
          <w:rFonts w:hint="eastAsia" w:ascii="宋体" w:hAnsi="宋体"/>
          <w:b/>
          <w:color w:val="auto"/>
          <w:szCs w:val="21"/>
          <w:highlight w:val="none"/>
        </w:rPr>
        <w:t>的顺序依次推荐成交候选人。</w:t>
      </w:r>
    </w:p>
    <w:p w14:paraId="71D2348C">
      <w:pPr>
        <w:pStyle w:val="3"/>
        <w:rPr>
          <w:color w:val="auto"/>
          <w:highlight w:val="none"/>
        </w:rPr>
      </w:pPr>
      <w:r>
        <w:rPr>
          <w:color w:val="auto"/>
          <w:highlight w:val="none"/>
        </w:rPr>
        <w:br w:type="page"/>
      </w:r>
    </w:p>
    <w:p w14:paraId="5405DC2E">
      <w:pPr>
        <w:rPr>
          <w:color w:val="auto"/>
          <w:highlight w:val="none"/>
        </w:rPr>
      </w:pPr>
    </w:p>
    <w:p w14:paraId="67711D0E">
      <w:pPr>
        <w:rPr>
          <w:color w:val="auto"/>
          <w:highlight w:val="none"/>
        </w:rPr>
      </w:pPr>
    </w:p>
    <w:p w14:paraId="576F803C">
      <w:pPr>
        <w:rPr>
          <w:color w:val="auto"/>
          <w:highlight w:val="none"/>
        </w:rPr>
      </w:pPr>
    </w:p>
    <w:p w14:paraId="38A71FD4">
      <w:pPr>
        <w:rPr>
          <w:color w:val="auto"/>
          <w:highlight w:val="none"/>
        </w:rPr>
      </w:pPr>
    </w:p>
    <w:p w14:paraId="221F3DD4">
      <w:pPr>
        <w:rPr>
          <w:color w:val="auto"/>
          <w:highlight w:val="none"/>
        </w:rPr>
      </w:pPr>
    </w:p>
    <w:p w14:paraId="051436F3">
      <w:pPr>
        <w:rPr>
          <w:color w:val="auto"/>
          <w:highlight w:val="none"/>
        </w:rPr>
      </w:pPr>
    </w:p>
    <w:p w14:paraId="37617932">
      <w:pPr>
        <w:rPr>
          <w:color w:val="auto"/>
          <w:highlight w:val="none"/>
        </w:rPr>
      </w:pPr>
    </w:p>
    <w:p w14:paraId="399AB9AE">
      <w:pPr>
        <w:rPr>
          <w:color w:val="auto"/>
          <w:highlight w:val="none"/>
        </w:rPr>
      </w:pPr>
    </w:p>
    <w:p w14:paraId="11B28909">
      <w:pPr>
        <w:rPr>
          <w:color w:val="auto"/>
          <w:highlight w:val="none"/>
        </w:rPr>
      </w:pPr>
    </w:p>
    <w:p w14:paraId="2D5C2443">
      <w:pPr>
        <w:rPr>
          <w:color w:val="auto"/>
          <w:highlight w:val="none"/>
        </w:rPr>
      </w:pPr>
    </w:p>
    <w:p w14:paraId="5EC4559B">
      <w:pPr>
        <w:rPr>
          <w:color w:val="auto"/>
          <w:highlight w:val="none"/>
        </w:rPr>
      </w:pPr>
    </w:p>
    <w:p w14:paraId="5C7803D3">
      <w:pPr>
        <w:rPr>
          <w:color w:val="auto"/>
          <w:highlight w:val="none"/>
        </w:rPr>
      </w:pPr>
    </w:p>
    <w:p w14:paraId="535CF03B">
      <w:pPr>
        <w:rPr>
          <w:color w:val="auto"/>
          <w:highlight w:val="none"/>
        </w:rPr>
      </w:pPr>
    </w:p>
    <w:p w14:paraId="7E32C1DB">
      <w:pPr>
        <w:pStyle w:val="3"/>
        <w:jc w:val="center"/>
        <w:rPr>
          <w:color w:val="auto"/>
          <w:highlight w:val="none"/>
        </w:rPr>
      </w:pPr>
      <w:bookmarkStart w:id="85" w:name="_Toc74323460"/>
      <w:r>
        <w:rPr>
          <w:rFonts w:hint="eastAsia"/>
          <w:color w:val="auto"/>
          <w:highlight w:val="none"/>
        </w:rPr>
        <w:t>第五章 响应文件格式</w:t>
      </w:r>
      <w:bookmarkEnd w:id="85"/>
    </w:p>
    <w:p w14:paraId="44583D29">
      <w:pPr>
        <w:spacing w:line="240" w:lineRule="atLeast"/>
        <w:rPr>
          <w:rFonts w:ascii="宋体" w:hAnsi="宋体"/>
          <w:b/>
          <w:color w:val="auto"/>
          <w:sz w:val="32"/>
          <w:szCs w:val="32"/>
          <w:highlight w:val="none"/>
        </w:rPr>
      </w:pPr>
    </w:p>
    <w:p w14:paraId="034CEBBE">
      <w:pPr>
        <w:spacing w:line="240" w:lineRule="atLeast"/>
        <w:rPr>
          <w:rFonts w:ascii="宋体" w:hAnsi="宋体"/>
          <w:b/>
          <w:color w:val="auto"/>
          <w:sz w:val="32"/>
          <w:szCs w:val="32"/>
          <w:highlight w:val="none"/>
        </w:rPr>
      </w:pPr>
    </w:p>
    <w:p w14:paraId="4B48FDB0">
      <w:pPr>
        <w:spacing w:line="240" w:lineRule="atLeast"/>
        <w:rPr>
          <w:rFonts w:ascii="宋体" w:hAnsi="宋体"/>
          <w:b/>
          <w:color w:val="auto"/>
          <w:sz w:val="32"/>
          <w:szCs w:val="32"/>
          <w:highlight w:val="none"/>
        </w:rPr>
      </w:pPr>
    </w:p>
    <w:p w14:paraId="516309E8">
      <w:pPr>
        <w:spacing w:line="240" w:lineRule="atLeast"/>
        <w:rPr>
          <w:rFonts w:ascii="宋体" w:hAnsi="宋体"/>
          <w:b/>
          <w:color w:val="auto"/>
          <w:sz w:val="32"/>
          <w:szCs w:val="32"/>
          <w:highlight w:val="none"/>
        </w:rPr>
      </w:pPr>
    </w:p>
    <w:p w14:paraId="11F5F6AF">
      <w:pPr>
        <w:spacing w:line="240" w:lineRule="atLeast"/>
        <w:rPr>
          <w:rFonts w:ascii="宋体" w:hAnsi="宋体"/>
          <w:b/>
          <w:color w:val="auto"/>
          <w:sz w:val="32"/>
          <w:szCs w:val="32"/>
          <w:highlight w:val="none"/>
        </w:rPr>
      </w:pPr>
    </w:p>
    <w:p w14:paraId="007462C6">
      <w:pPr>
        <w:spacing w:line="240" w:lineRule="atLeast"/>
        <w:rPr>
          <w:rFonts w:ascii="宋体" w:hAnsi="宋体"/>
          <w:b/>
          <w:color w:val="auto"/>
          <w:sz w:val="32"/>
          <w:szCs w:val="32"/>
          <w:highlight w:val="none"/>
        </w:rPr>
      </w:pPr>
    </w:p>
    <w:p w14:paraId="2B1919B2">
      <w:pPr>
        <w:spacing w:line="240" w:lineRule="atLeast"/>
        <w:rPr>
          <w:rFonts w:ascii="宋体" w:hAnsi="宋体"/>
          <w:b/>
          <w:color w:val="auto"/>
          <w:sz w:val="32"/>
          <w:szCs w:val="32"/>
          <w:highlight w:val="none"/>
        </w:rPr>
      </w:pPr>
    </w:p>
    <w:p w14:paraId="0F772DFE">
      <w:pPr>
        <w:spacing w:line="240" w:lineRule="atLeast"/>
        <w:rPr>
          <w:rFonts w:ascii="宋体" w:hAnsi="宋体"/>
          <w:b/>
          <w:color w:val="auto"/>
          <w:sz w:val="32"/>
          <w:szCs w:val="32"/>
          <w:highlight w:val="none"/>
        </w:rPr>
      </w:pPr>
    </w:p>
    <w:p w14:paraId="3A288E23">
      <w:pPr>
        <w:spacing w:line="240" w:lineRule="atLeast"/>
        <w:rPr>
          <w:rFonts w:ascii="宋体" w:hAnsi="宋体"/>
          <w:b/>
          <w:color w:val="auto"/>
          <w:sz w:val="32"/>
          <w:szCs w:val="32"/>
          <w:highlight w:val="none"/>
        </w:rPr>
      </w:pPr>
    </w:p>
    <w:p w14:paraId="29095EE6">
      <w:pPr>
        <w:spacing w:line="240" w:lineRule="atLeast"/>
        <w:rPr>
          <w:rFonts w:ascii="宋体" w:hAnsi="宋体"/>
          <w:b/>
          <w:color w:val="auto"/>
          <w:sz w:val="32"/>
          <w:szCs w:val="32"/>
          <w:highlight w:val="none"/>
        </w:rPr>
      </w:pPr>
    </w:p>
    <w:p w14:paraId="060D95D5">
      <w:pPr>
        <w:spacing w:line="240" w:lineRule="atLeast"/>
        <w:rPr>
          <w:rFonts w:ascii="宋体" w:hAnsi="宋体"/>
          <w:b/>
          <w:color w:val="auto"/>
          <w:sz w:val="32"/>
          <w:szCs w:val="32"/>
          <w:highlight w:val="none"/>
        </w:rPr>
      </w:pPr>
    </w:p>
    <w:p w14:paraId="4AD78E80">
      <w:pPr>
        <w:snapToGrid w:val="0"/>
        <w:spacing w:before="50" w:after="50"/>
        <w:outlineLvl w:val="1"/>
        <w:rPr>
          <w:rFonts w:ascii="宋体" w:hAnsi="宋体"/>
          <w:b/>
          <w:bCs/>
          <w:color w:val="auto"/>
          <w:sz w:val="24"/>
          <w:highlight w:val="none"/>
        </w:rPr>
      </w:pPr>
    </w:p>
    <w:p w14:paraId="45757A25">
      <w:pPr>
        <w:snapToGrid w:val="0"/>
        <w:spacing w:beforeLines="50" w:after="50"/>
        <w:jc w:val="center"/>
        <w:rPr>
          <w:rFonts w:ascii="仿宋_GB2312" w:hAnsi="仿宋_GB2312" w:eastAsia="仿宋_GB2312" w:cs="仿宋_GB2312"/>
          <w:bCs/>
          <w:color w:val="auto"/>
          <w:sz w:val="32"/>
          <w:szCs w:val="32"/>
          <w:highlight w:val="none"/>
        </w:rPr>
      </w:pPr>
    </w:p>
    <w:p w14:paraId="414D86FF">
      <w:pPr>
        <w:rPr>
          <w:b/>
          <w:color w:val="auto"/>
          <w:sz w:val="32"/>
          <w:szCs w:val="32"/>
          <w:highlight w:val="none"/>
        </w:rPr>
      </w:pPr>
      <w:bookmarkStart w:id="86" w:name="_Toc44229899"/>
      <w:bookmarkStart w:id="87" w:name="_Toc71366186"/>
      <w:bookmarkStart w:id="88" w:name="_Toc31723070"/>
      <w:bookmarkStart w:id="89" w:name="_Toc35611516"/>
      <w:bookmarkStart w:id="90" w:name="_Toc31728084"/>
      <w:bookmarkStart w:id="91" w:name="_Toc35611438"/>
      <w:r>
        <w:rPr>
          <w:b/>
          <w:color w:val="auto"/>
          <w:sz w:val="32"/>
          <w:szCs w:val="32"/>
          <w:highlight w:val="none"/>
        </w:rPr>
        <w:br w:type="page"/>
      </w:r>
      <w:r>
        <w:rPr>
          <w:rFonts w:hint="eastAsia"/>
          <w:b/>
          <w:color w:val="auto"/>
          <w:sz w:val="32"/>
          <w:szCs w:val="32"/>
          <w:highlight w:val="none"/>
        </w:rPr>
        <w:t>一、资格证明文件格式</w:t>
      </w:r>
      <w:bookmarkEnd w:id="86"/>
      <w:bookmarkEnd w:id="87"/>
      <w:bookmarkEnd w:id="88"/>
      <w:bookmarkEnd w:id="89"/>
      <w:bookmarkEnd w:id="90"/>
      <w:bookmarkEnd w:id="91"/>
    </w:p>
    <w:p w14:paraId="5D20F505">
      <w:pPr>
        <w:snapToGrid w:val="0"/>
        <w:spacing w:beforeLines="50" w:after="50" w:line="360" w:lineRule="auto"/>
        <w:jc w:val="left"/>
        <w:rPr>
          <w:rFonts w:ascii="宋体" w:hAnsi="宋体"/>
          <w:b/>
          <w:color w:val="auto"/>
          <w:sz w:val="24"/>
          <w:highlight w:val="none"/>
        </w:rPr>
      </w:pPr>
      <w:r>
        <w:rPr>
          <w:rFonts w:hint="eastAsia" w:ascii="宋体" w:hAnsi="宋体"/>
          <w:b/>
          <w:color w:val="auto"/>
          <w:sz w:val="32"/>
          <w:szCs w:val="32"/>
          <w:highlight w:val="none"/>
        </w:rPr>
        <w:t>1.资格证明文件封面格式：</w:t>
      </w:r>
    </w:p>
    <w:p w14:paraId="2DDC05B9">
      <w:pPr>
        <w:snapToGrid w:val="0"/>
        <w:spacing w:beforeLines="50" w:after="50"/>
        <w:jc w:val="center"/>
        <w:rPr>
          <w:rFonts w:ascii="宋体" w:hAnsi="宋体"/>
          <w:color w:val="auto"/>
          <w:sz w:val="44"/>
          <w:szCs w:val="44"/>
          <w:highlight w:val="none"/>
        </w:rPr>
      </w:pPr>
    </w:p>
    <w:p w14:paraId="441F7678">
      <w:pPr>
        <w:snapToGrid w:val="0"/>
        <w:spacing w:beforeLines="50" w:after="5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43E23575">
      <w:pPr>
        <w:snapToGrid w:val="0"/>
        <w:spacing w:beforeLines="50" w:after="50"/>
        <w:rPr>
          <w:rFonts w:ascii="宋体" w:hAnsi="宋体"/>
          <w:color w:val="auto"/>
          <w:sz w:val="24"/>
          <w:szCs w:val="20"/>
          <w:highlight w:val="none"/>
        </w:rPr>
      </w:pPr>
    </w:p>
    <w:p w14:paraId="1A72F9C3">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42CADDE7">
      <w:pPr>
        <w:snapToGrid w:val="0"/>
        <w:spacing w:beforeLines="50" w:after="50"/>
        <w:rPr>
          <w:rFonts w:ascii="宋体" w:hAnsi="宋体"/>
          <w:bCs/>
          <w:color w:val="auto"/>
          <w:sz w:val="24"/>
          <w:szCs w:val="20"/>
          <w:highlight w:val="none"/>
        </w:rPr>
      </w:pPr>
    </w:p>
    <w:p w14:paraId="2749A413">
      <w:pPr>
        <w:snapToGrid w:val="0"/>
        <w:spacing w:beforeLines="50" w:after="50"/>
        <w:rPr>
          <w:rFonts w:ascii="宋体" w:hAnsi="宋体"/>
          <w:bCs/>
          <w:color w:val="auto"/>
          <w:sz w:val="24"/>
          <w:szCs w:val="20"/>
          <w:highlight w:val="none"/>
        </w:rPr>
      </w:pPr>
    </w:p>
    <w:p w14:paraId="5C34D55A">
      <w:pPr>
        <w:snapToGrid w:val="0"/>
        <w:spacing w:beforeLines="50" w:after="50"/>
        <w:rPr>
          <w:rFonts w:ascii="宋体" w:hAnsi="宋体"/>
          <w:bCs/>
          <w:color w:val="auto"/>
          <w:sz w:val="24"/>
          <w:szCs w:val="20"/>
          <w:highlight w:val="none"/>
        </w:rPr>
      </w:pPr>
    </w:p>
    <w:p w14:paraId="6FA3E336">
      <w:pPr>
        <w:snapToGrid w:val="0"/>
        <w:spacing w:beforeLines="50" w:after="50"/>
        <w:rPr>
          <w:rFonts w:ascii="宋体" w:hAnsi="宋体"/>
          <w:bCs/>
          <w:color w:val="auto"/>
          <w:sz w:val="24"/>
          <w:szCs w:val="20"/>
          <w:highlight w:val="none"/>
        </w:rPr>
      </w:pPr>
    </w:p>
    <w:p w14:paraId="63D4B66B">
      <w:pPr>
        <w:snapToGrid w:val="0"/>
        <w:spacing w:beforeLines="50" w:after="50"/>
        <w:rPr>
          <w:rFonts w:ascii="宋体" w:hAnsi="宋体"/>
          <w:bCs/>
          <w:color w:val="auto"/>
          <w:sz w:val="24"/>
          <w:szCs w:val="20"/>
          <w:highlight w:val="none"/>
        </w:rPr>
      </w:pPr>
    </w:p>
    <w:p w14:paraId="4EF58C3D">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162116DD">
      <w:pPr>
        <w:snapToGrid w:val="0"/>
        <w:spacing w:beforeLines="50" w:after="50"/>
        <w:ind w:firstLine="720" w:firstLineChars="225"/>
        <w:rPr>
          <w:rFonts w:ascii="宋体" w:hAnsi="宋体" w:cs="仿宋_GB2312"/>
          <w:bCs/>
          <w:color w:val="auto"/>
          <w:sz w:val="32"/>
          <w:szCs w:val="32"/>
          <w:highlight w:val="none"/>
        </w:rPr>
      </w:pPr>
    </w:p>
    <w:p w14:paraId="5B692C42">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1874EA23">
      <w:pPr>
        <w:snapToGrid w:val="0"/>
        <w:spacing w:beforeLines="50" w:after="50"/>
        <w:ind w:firstLine="720" w:firstLineChars="225"/>
        <w:rPr>
          <w:rFonts w:ascii="宋体" w:hAnsi="宋体" w:cs="仿宋_GB2312"/>
          <w:bCs/>
          <w:color w:val="auto"/>
          <w:sz w:val="32"/>
          <w:szCs w:val="32"/>
          <w:highlight w:val="none"/>
        </w:rPr>
      </w:pPr>
    </w:p>
    <w:p w14:paraId="6091464D">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7B32AF0C">
      <w:pPr>
        <w:snapToGrid w:val="0"/>
        <w:spacing w:beforeLines="50" w:after="50"/>
        <w:ind w:firstLine="720" w:firstLineChars="225"/>
        <w:rPr>
          <w:rFonts w:ascii="宋体" w:hAnsi="宋体" w:cs="仿宋_GB2312"/>
          <w:bCs/>
          <w:color w:val="auto"/>
          <w:sz w:val="32"/>
          <w:szCs w:val="32"/>
          <w:highlight w:val="none"/>
        </w:rPr>
      </w:pPr>
    </w:p>
    <w:p w14:paraId="239678A7">
      <w:pPr>
        <w:pStyle w:val="7"/>
        <w:snapToGrid w:val="0"/>
        <w:spacing w:before="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5678ECA1">
      <w:pPr>
        <w:snapToGrid w:val="0"/>
        <w:spacing w:beforeLines="50" w:after="50"/>
        <w:ind w:firstLine="640" w:firstLineChars="200"/>
        <w:rPr>
          <w:rFonts w:ascii="宋体" w:hAnsi="宋体" w:cs="仿宋_GB2312"/>
          <w:bCs/>
          <w:color w:val="auto"/>
          <w:sz w:val="32"/>
          <w:szCs w:val="32"/>
          <w:highlight w:val="none"/>
        </w:rPr>
      </w:pPr>
    </w:p>
    <w:p w14:paraId="49B35ADF">
      <w:pPr>
        <w:pStyle w:val="7"/>
        <w:snapToGrid w:val="0"/>
        <w:spacing w:before="50" w:after="50"/>
        <w:ind w:firstLine="720" w:firstLineChars="225"/>
        <w:rPr>
          <w:rFonts w:ascii="宋体" w:hAnsi="宋体" w:cs="仿宋_GB2312"/>
          <w:bCs/>
          <w:color w:val="auto"/>
          <w:sz w:val="32"/>
          <w:szCs w:val="32"/>
          <w:highlight w:val="none"/>
        </w:rPr>
      </w:pPr>
    </w:p>
    <w:p w14:paraId="559AA4B5">
      <w:pPr>
        <w:pStyle w:val="7"/>
        <w:snapToGrid w:val="0"/>
        <w:spacing w:before="50" w:after="50"/>
        <w:ind w:firstLine="720" w:firstLineChars="225"/>
        <w:rPr>
          <w:rFonts w:ascii="宋体" w:hAnsi="宋体" w:cs="仿宋_GB2312"/>
          <w:bCs/>
          <w:color w:val="auto"/>
          <w:sz w:val="32"/>
          <w:szCs w:val="32"/>
          <w:highlight w:val="none"/>
        </w:rPr>
      </w:pPr>
    </w:p>
    <w:p w14:paraId="3E82E07C">
      <w:pPr>
        <w:pStyle w:val="7"/>
        <w:snapToGrid w:val="0"/>
        <w:spacing w:before="50" w:after="50"/>
        <w:ind w:firstLine="1280" w:firstLineChars="400"/>
        <w:rPr>
          <w:rFonts w:ascii="宋体" w:hAnsi="宋体" w:cs="仿宋_GB2312"/>
          <w:bCs/>
          <w:color w:val="auto"/>
          <w:sz w:val="32"/>
          <w:szCs w:val="32"/>
          <w:highlight w:val="none"/>
        </w:rPr>
      </w:pPr>
    </w:p>
    <w:p w14:paraId="6561C1F7">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7C2B0291">
      <w:pPr>
        <w:snapToGrid w:val="0"/>
        <w:spacing w:beforeLines="50" w:after="5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007175F3">
      <w:pPr>
        <w:snapToGrid w:val="0"/>
        <w:spacing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127DA459">
      <w:pPr>
        <w:snapToGrid w:val="0"/>
        <w:spacing w:beforeLines="50" w:after="50"/>
        <w:rPr>
          <w:rFonts w:ascii="宋体" w:hAnsi="宋体"/>
          <w:color w:val="auto"/>
          <w:sz w:val="24"/>
          <w:szCs w:val="20"/>
          <w:highlight w:val="none"/>
        </w:rPr>
      </w:pPr>
    </w:p>
    <w:p w14:paraId="05F5FA03">
      <w:pPr>
        <w:spacing w:line="300" w:lineRule="auto"/>
        <w:rPr>
          <w:rFonts w:ascii="宋体" w:hAnsi="宋体"/>
          <w:color w:val="auto"/>
          <w:szCs w:val="21"/>
          <w:highlight w:val="none"/>
        </w:rPr>
      </w:pPr>
    </w:p>
    <w:p w14:paraId="6BBEBB3F">
      <w:pPr>
        <w:spacing w:line="300" w:lineRule="auto"/>
        <w:rPr>
          <w:rFonts w:ascii="宋体" w:hAnsi="宋体"/>
          <w:color w:val="auto"/>
          <w:szCs w:val="21"/>
          <w:highlight w:val="none"/>
        </w:rPr>
      </w:pPr>
    </w:p>
    <w:p w14:paraId="68821860">
      <w:pPr>
        <w:spacing w:line="300" w:lineRule="auto"/>
        <w:rPr>
          <w:rFonts w:ascii="宋体" w:hAnsi="宋体"/>
          <w:color w:val="auto"/>
          <w:szCs w:val="21"/>
          <w:highlight w:val="none"/>
        </w:rPr>
      </w:pPr>
    </w:p>
    <w:p w14:paraId="537BCF8D">
      <w:pPr>
        <w:spacing w:line="300" w:lineRule="auto"/>
        <w:rPr>
          <w:rFonts w:ascii="宋体" w:hAnsi="宋体"/>
          <w:color w:val="auto"/>
          <w:szCs w:val="21"/>
          <w:highlight w:val="none"/>
        </w:rPr>
      </w:pPr>
    </w:p>
    <w:p w14:paraId="314D4B25">
      <w:pPr>
        <w:spacing w:line="300" w:lineRule="auto"/>
        <w:rPr>
          <w:rFonts w:ascii="宋体" w:hAnsi="宋体"/>
          <w:color w:val="auto"/>
          <w:szCs w:val="21"/>
          <w:highlight w:val="none"/>
        </w:rPr>
      </w:pPr>
    </w:p>
    <w:p w14:paraId="65C63153">
      <w:pPr>
        <w:spacing w:line="300" w:lineRule="auto"/>
        <w:rPr>
          <w:rFonts w:ascii="宋体" w:hAnsi="宋体"/>
          <w:color w:val="auto"/>
          <w:szCs w:val="21"/>
          <w:highlight w:val="none"/>
        </w:rPr>
      </w:pPr>
    </w:p>
    <w:p w14:paraId="609A544B">
      <w:pPr>
        <w:spacing w:line="300" w:lineRule="auto"/>
        <w:rPr>
          <w:rFonts w:ascii="宋体" w:hAnsi="宋体"/>
          <w:color w:val="auto"/>
          <w:szCs w:val="21"/>
          <w:highlight w:val="none"/>
        </w:rPr>
      </w:pPr>
    </w:p>
    <w:p w14:paraId="1A6B5221">
      <w:pPr>
        <w:spacing w:line="300" w:lineRule="auto"/>
        <w:rPr>
          <w:rFonts w:ascii="宋体" w:hAnsi="宋体"/>
          <w:color w:val="auto"/>
          <w:szCs w:val="21"/>
          <w:highlight w:val="none"/>
        </w:rPr>
      </w:pPr>
    </w:p>
    <w:p w14:paraId="147B2E7B">
      <w:pPr>
        <w:spacing w:line="300" w:lineRule="auto"/>
        <w:rPr>
          <w:rFonts w:ascii="宋体" w:hAnsi="宋体"/>
          <w:color w:val="auto"/>
          <w:szCs w:val="21"/>
          <w:highlight w:val="none"/>
        </w:rPr>
      </w:pPr>
    </w:p>
    <w:p w14:paraId="6D3E5BF0">
      <w:pPr>
        <w:spacing w:line="300" w:lineRule="auto"/>
        <w:rPr>
          <w:rFonts w:ascii="宋体" w:hAnsi="宋体"/>
          <w:color w:val="auto"/>
          <w:szCs w:val="21"/>
          <w:highlight w:val="none"/>
        </w:rPr>
      </w:pPr>
    </w:p>
    <w:p w14:paraId="3A4042D8">
      <w:pPr>
        <w:spacing w:line="300" w:lineRule="auto"/>
        <w:rPr>
          <w:rFonts w:ascii="宋体" w:hAnsi="宋体"/>
          <w:color w:val="auto"/>
          <w:szCs w:val="21"/>
          <w:highlight w:val="none"/>
        </w:rPr>
      </w:pPr>
    </w:p>
    <w:p w14:paraId="13569AAA">
      <w:pPr>
        <w:spacing w:line="300" w:lineRule="auto"/>
        <w:rPr>
          <w:rFonts w:ascii="宋体" w:hAnsi="宋体"/>
          <w:color w:val="auto"/>
          <w:szCs w:val="21"/>
          <w:highlight w:val="none"/>
        </w:rPr>
      </w:pPr>
    </w:p>
    <w:p w14:paraId="6FFAA253">
      <w:pPr>
        <w:spacing w:line="300" w:lineRule="auto"/>
        <w:rPr>
          <w:rFonts w:ascii="宋体" w:hAnsi="宋体"/>
          <w:color w:val="auto"/>
          <w:szCs w:val="21"/>
          <w:highlight w:val="none"/>
        </w:rPr>
      </w:pPr>
    </w:p>
    <w:p w14:paraId="11E63268">
      <w:pPr>
        <w:spacing w:line="300" w:lineRule="auto"/>
        <w:rPr>
          <w:rFonts w:ascii="宋体" w:hAnsi="宋体"/>
          <w:color w:val="auto"/>
          <w:szCs w:val="21"/>
          <w:highlight w:val="none"/>
        </w:rPr>
      </w:pPr>
    </w:p>
    <w:p w14:paraId="6CD28111">
      <w:pPr>
        <w:spacing w:line="300" w:lineRule="auto"/>
        <w:rPr>
          <w:rFonts w:ascii="宋体" w:hAnsi="宋体"/>
          <w:color w:val="auto"/>
          <w:szCs w:val="21"/>
          <w:highlight w:val="none"/>
        </w:rPr>
      </w:pPr>
    </w:p>
    <w:p w14:paraId="440D813C">
      <w:pPr>
        <w:spacing w:line="320" w:lineRule="exact"/>
        <w:jc w:val="left"/>
        <w:rPr>
          <w:rFonts w:ascii="宋体" w:hAnsi="宋体"/>
          <w:color w:val="auto"/>
          <w:szCs w:val="21"/>
          <w:highlight w:val="none"/>
        </w:rPr>
      </w:pPr>
      <w:r>
        <w:rPr>
          <w:rFonts w:ascii="宋体" w:hAnsi="宋体"/>
          <w:color w:val="auto"/>
          <w:szCs w:val="21"/>
          <w:highlight w:val="none"/>
        </w:rPr>
        <w:br w:type="page"/>
      </w:r>
    </w:p>
    <w:p w14:paraId="74AFB50A">
      <w:pPr>
        <w:snapToGrid w:val="0"/>
        <w:spacing w:beforeLines="50" w:after="50"/>
        <w:jc w:val="left"/>
        <w:rPr>
          <w:rFonts w:ascii="宋体" w:hAnsi="宋体"/>
          <w:b/>
          <w:color w:val="auto"/>
          <w:sz w:val="24"/>
          <w:highlight w:val="none"/>
        </w:rPr>
      </w:pPr>
      <w:r>
        <w:rPr>
          <w:rFonts w:hint="eastAsia" w:ascii="宋体" w:hAnsi="宋体"/>
          <w:b/>
          <w:color w:val="auto"/>
          <w:sz w:val="24"/>
          <w:highlight w:val="none"/>
        </w:rPr>
        <w:t>3.</w:t>
      </w:r>
      <w:r>
        <w:rPr>
          <w:rFonts w:hint="eastAsia" w:ascii="宋体" w:hAnsi="宋体"/>
          <w:b/>
          <w:color w:val="auto"/>
          <w:sz w:val="28"/>
          <w:szCs w:val="28"/>
          <w:highlight w:val="none"/>
        </w:rPr>
        <w:t>供应商直接控股股东信息表</w:t>
      </w:r>
    </w:p>
    <w:p w14:paraId="69FB3B31">
      <w:pPr>
        <w:snapToGrid w:val="0"/>
        <w:spacing w:before="50" w:afterLines="50"/>
        <w:jc w:val="center"/>
        <w:rPr>
          <w:rFonts w:ascii="宋体" w:hAnsi="宋体"/>
          <w:b/>
          <w:color w:val="auto"/>
          <w:sz w:val="28"/>
          <w:szCs w:val="28"/>
          <w:highlight w:val="none"/>
        </w:rPr>
      </w:pPr>
    </w:p>
    <w:p w14:paraId="70FD2AA3">
      <w:pPr>
        <w:snapToGrid w:val="0"/>
        <w:spacing w:before="50" w:afterLines="50" w:line="360" w:lineRule="auto"/>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tbl>
      <w:tblPr>
        <w:tblStyle w:val="24"/>
        <w:tblW w:w="9200" w:type="dxa"/>
        <w:tblInd w:w="-284" w:type="dxa"/>
        <w:shd w:val="clear" w:color="auto" w:fill="FBFBFB"/>
        <w:tblLayout w:type="fixed"/>
        <w:tblCellMar>
          <w:top w:w="0" w:type="dxa"/>
          <w:left w:w="0" w:type="dxa"/>
          <w:bottom w:w="0" w:type="dxa"/>
          <w:right w:w="0" w:type="dxa"/>
        </w:tblCellMar>
      </w:tblPr>
      <w:tblGrid>
        <w:gridCol w:w="1112"/>
        <w:gridCol w:w="2269"/>
        <w:gridCol w:w="1239"/>
        <w:gridCol w:w="3722"/>
        <w:gridCol w:w="858"/>
      </w:tblGrid>
      <w:tr w14:paraId="3204F3FA">
        <w:tblPrEx>
          <w:shd w:val="clear" w:color="auto" w:fill="FBFBFB"/>
          <w:tblCellMar>
            <w:top w:w="0" w:type="dxa"/>
            <w:left w:w="0" w:type="dxa"/>
            <w:bottom w:w="0" w:type="dxa"/>
            <w:right w:w="0" w:type="dxa"/>
          </w:tblCellMar>
        </w:tblPrEx>
        <w:trPr>
          <w:tblHeader/>
        </w:trPr>
        <w:tc>
          <w:tcPr>
            <w:tcW w:w="1112"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1BF9E47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0FBE512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30032AF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809F9F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5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44443C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06F96E4">
        <w:tblPrEx>
          <w:shd w:val="clear" w:color="auto" w:fill="FBFBFB"/>
          <w:tblCellMar>
            <w:top w:w="0" w:type="dxa"/>
            <w:left w:w="0" w:type="dxa"/>
            <w:bottom w:w="0" w:type="dxa"/>
            <w:right w:w="0" w:type="dxa"/>
          </w:tblCellMar>
        </w:tblPrEx>
        <w:tc>
          <w:tcPr>
            <w:tcW w:w="111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31B13D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2886BAE">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CEB188F">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0FF034D">
            <w:pPr>
              <w:spacing w:line="360" w:lineRule="auto"/>
              <w:jc w:val="center"/>
              <w:rPr>
                <w:rFonts w:ascii="宋体" w:hAnsi="宋体" w:cs="宋体"/>
                <w:color w:val="auto"/>
                <w:kern w:val="0"/>
                <w:sz w:val="24"/>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1A2D513">
            <w:pPr>
              <w:spacing w:line="360" w:lineRule="auto"/>
              <w:jc w:val="center"/>
              <w:rPr>
                <w:rFonts w:ascii="宋体" w:hAnsi="宋体" w:cs="宋体"/>
                <w:color w:val="auto"/>
                <w:kern w:val="0"/>
                <w:sz w:val="24"/>
                <w:highlight w:val="none"/>
              </w:rPr>
            </w:pPr>
          </w:p>
        </w:tc>
      </w:tr>
      <w:tr w14:paraId="114F2780">
        <w:tblPrEx>
          <w:shd w:val="clear" w:color="auto" w:fill="FBFBFB"/>
          <w:tblCellMar>
            <w:top w:w="0" w:type="dxa"/>
            <w:left w:w="0" w:type="dxa"/>
            <w:bottom w:w="0" w:type="dxa"/>
            <w:right w:w="0" w:type="dxa"/>
          </w:tblCellMar>
        </w:tblPrEx>
        <w:tc>
          <w:tcPr>
            <w:tcW w:w="111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00CFD5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D9A95F5">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262EB5A">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679D254">
            <w:pPr>
              <w:spacing w:line="360" w:lineRule="auto"/>
              <w:jc w:val="center"/>
              <w:rPr>
                <w:rFonts w:ascii="宋体" w:hAnsi="宋体" w:cs="宋体"/>
                <w:color w:val="auto"/>
                <w:kern w:val="0"/>
                <w:sz w:val="24"/>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44B6D05">
            <w:pPr>
              <w:spacing w:line="360" w:lineRule="auto"/>
              <w:jc w:val="center"/>
              <w:rPr>
                <w:rFonts w:ascii="宋体" w:hAnsi="宋体" w:cs="宋体"/>
                <w:color w:val="auto"/>
                <w:kern w:val="0"/>
                <w:sz w:val="24"/>
                <w:highlight w:val="none"/>
              </w:rPr>
            </w:pPr>
          </w:p>
        </w:tc>
      </w:tr>
      <w:tr w14:paraId="322A90E7">
        <w:tblPrEx>
          <w:shd w:val="clear" w:color="auto" w:fill="FBFBFB"/>
          <w:tblCellMar>
            <w:top w:w="0" w:type="dxa"/>
            <w:left w:w="0" w:type="dxa"/>
            <w:bottom w:w="0" w:type="dxa"/>
            <w:right w:w="0" w:type="dxa"/>
          </w:tblCellMar>
        </w:tblPrEx>
        <w:tc>
          <w:tcPr>
            <w:tcW w:w="111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CA410D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A681688">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B0D0A8F">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4ADCF1D">
            <w:pPr>
              <w:spacing w:line="360" w:lineRule="auto"/>
              <w:jc w:val="center"/>
              <w:rPr>
                <w:rFonts w:ascii="宋体" w:hAnsi="宋体" w:cs="宋体"/>
                <w:color w:val="auto"/>
                <w:kern w:val="0"/>
                <w:sz w:val="24"/>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CE8548D">
            <w:pPr>
              <w:spacing w:line="360" w:lineRule="auto"/>
              <w:jc w:val="center"/>
              <w:rPr>
                <w:rFonts w:ascii="宋体" w:hAnsi="宋体" w:cs="宋体"/>
                <w:color w:val="auto"/>
                <w:kern w:val="0"/>
                <w:sz w:val="24"/>
                <w:highlight w:val="none"/>
              </w:rPr>
            </w:pPr>
          </w:p>
        </w:tc>
      </w:tr>
      <w:tr w14:paraId="0108119D">
        <w:tblPrEx>
          <w:shd w:val="clear" w:color="auto" w:fill="FBFBFB"/>
          <w:tblCellMar>
            <w:top w:w="0" w:type="dxa"/>
            <w:left w:w="0" w:type="dxa"/>
            <w:bottom w:w="0" w:type="dxa"/>
            <w:right w:w="0" w:type="dxa"/>
          </w:tblCellMar>
        </w:tblPrEx>
        <w:tc>
          <w:tcPr>
            <w:tcW w:w="111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0BB4B8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7019D11">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6BAF590">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776E666">
            <w:pPr>
              <w:spacing w:line="360" w:lineRule="auto"/>
              <w:jc w:val="center"/>
              <w:rPr>
                <w:rFonts w:ascii="宋体" w:hAnsi="宋体" w:cs="宋体"/>
                <w:color w:val="auto"/>
                <w:kern w:val="0"/>
                <w:sz w:val="24"/>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12E592F">
            <w:pPr>
              <w:spacing w:line="360" w:lineRule="auto"/>
              <w:jc w:val="center"/>
              <w:rPr>
                <w:rFonts w:ascii="宋体" w:hAnsi="宋体" w:cs="宋体"/>
                <w:color w:val="auto"/>
                <w:kern w:val="0"/>
                <w:sz w:val="24"/>
                <w:highlight w:val="none"/>
              </w:rPr>
            </w:pPr>
          </w:p>
        </w:tc>
      </w:tr>
    </w:tbl>
    <w:p w14:paraId="3BD71BAA">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5BA12FEE">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7CBD004">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5FF5BD82">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olor w:val="auto"/>
          <w:sz w:val="24"/>
          <w:highlight w:val="none"/>
        </w:rPr>
        <w:t>”中填“无”。</w:t>
      </w:r>
    </w:p>
    <w:p w14:paraId="71D015D1">
      <w:pPr>
        <w:snapToGrid w:val="0"/>
        <w:spacing w:line="360" w:lineRule="auto"/>
        <w:jc w:val="left"/>
        <w:rPr>
          <w:rFonts w:ascii="宋体" w:hAnsi="宋体"/>
          <w:color w:val="auto"/>
          <w:sz w:val="24"/>
          <w:highlight w:val="none"/>
        </w:rPr>
      </w:pPr>
    </w:p>
    <w:p w14:paraId="1D4D7CEE">
      <w:pPr>
        <w:snapToGrid w:val="0"/>
        <w:spacing w:line="360" w:lineRule="auto"/>
        <w:jc w:val="left"/>
        <w:rPr>
          <w:rFonts w:ascii="宋体" w:hAnsi="宋体"/>
          <w:color w:val="auto"/>
          <w:sz w:val="24"/>
          <w:highlight w:val="none"/>
        </w:rPr>
      </w:pPr>
    </w:p>
    <w:p w14:paraId="627F685F">
      <w:pPr>
        <w:snapToGrid w:val="0"/>
        <w:spacing w:line="360" w:lineRule="auto"/>
        <w:jc w:val="left"/>
        <w:rPr>
          <w:rFonts w:ascii="宋体" w:hAnsi="宋体"/>
          <w:color w:val="auto"/>
          <w:sz w:val="24"/>
          <w:highlight w:val="none"/>
        </w:rPr>
      </w:pPr>
    </w:p>
    <w:p w14:paraId="0DB75D25">
      <w:pPr>
        <w:snapToGrid w:val="0"/>
        <w:spacing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60939F30">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供应商名称（电子签章）：</w:t>
      </w:r>
    </w:p>
    <w:p w14:paraId="511A37FF">
      <w:pPr>
        <w:snapToGrid w:val="0"/>
        <w:spacing w:line="360" w:lineRule="auto"/>
        <w:jc w:val="left"/>
        <w:rPr>
          <w:rFonts w:ascii="宋体" w:hAnsi="宋体"/>
          <w:color w:val="auto"/>
          <w:szCs w:val="21"/>
          <w:highlight w:val="none"/>
        </w:rPr>
      </w:pPr>
      <w:r>
        <w:rPr>
          <w:rFonts w:hint="eastAsia" w:ascii="宋体" w:hAnsi="宋体"/>
          <w:color w:val="auto"/>
          <w:sz w:val="24"/>
          <w:highlight w:val="none"/>
        </w:rPr>
        <w:t xml:space="preserve">                                    日期：    年   月   日</w:t>
      </w:r>
    </w:p>
    <w:p w14:paraId="527A1901">
      <w:pPr>
        <w:snapToGrid w:val="0"/>
        <w:jc w:val="center"/>
        <w:rPr>
          <w:rFonts w:ascii="宋体" w:hAnsi="宋体"/>
          <w:b/>
          <w:color w:val="auto"/>
          <w:sz w:val="28"/>
          <w:szCs w:val="28"/>
          <w:highlight w:val="none"/>
        </w:rPr>
      </w:pPr>
    </w:p>
    <w:p w14:paraId="672F3FB2">
      <w:pPr>
        <w:snapToGrid w:val="0"/>
        <w:spacing w:line="360" w:lineRule="auto"/>
        <w:jc w:val="left"/>
        <w:rPr>
          <w:rFonts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24"/>
          <w:highlight w:val="none"/>
        </w:rPr>
        <w:t>4.</w:t>
      </w:r>
      <w:r>
        <w:rPr>
          <w:rFonts w:hint="eastAsia" w:ascii="宋体" w:hAnsi="宋体"/>
          <w:b/>
          <w:color w:val="auto"/>
          <w:sz w:val="28"/>
          <w:szCs w:val="28"/>
          <w:highlight w:val="none"/>
        </w:rPr>
        <w:t>供应商直接管理关系信息表</w:t>
      </w:r>
    </w:p>
    <w:p w14:paraId="172C85FB">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rPr>
        <w:t>供应商直接管理关系信息表</w:t>
      </w:r>
    </w:p>
    <w:tbl>
      <w:tblPr>
        <w:tblStyle w:val="24"/>
        <w:tblW w:w="8930" w:type="dxa"/>
        <w:tblInd w:w="0" w:type="dxa"/>
        <w:shd w:val="clear" w:color="auto" w:fill="FBFBFB"/>
        <w:tblLayout w:type="fixed"/>
        <w:tblCellMar>
          <w:top w:w="0" w:type="dxa"/>
          <w:left w:w="0" w:type="dxa"/>
          <w:bottom w:w="0" w:type="dxa"/>
          <w:right w:w="0" w:type="dxa"/>
        </w:tblCellMar>
      </w:tblPr>
      <w:tblGrid>
        <w:gridCol w:w="1005"/>
        <w:gridCol w:w="2659"/>
        <w:gridCol w:w="3924"/>
        <w:gridCol w:w="1342"/>
      </w:tblGrid>
      <w:tr w14:paraId="6F00687B">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012B57C5">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1E3C0F2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6B99C0E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342"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2DEF5E9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7E53CBD">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38A2A2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972388E">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637AEC6">
            <w:pPr>
              <w:spacing w:line="360" w:lineRule="auto"/>
              <w:jc w:val="center"/>
              <w:rPr>
                <w:rFonts w:ascii="宋体" w:hAnsi="宋体" w:cs="宋体"/>
                <w:color w:val="auto"/>
                <w:kern w:val="0"/>
                <w:sz w:val="24"/>
                <w:highlight w:val="none"/>
              </w:rPr>
            </w:pPr>
          </w:p>
        </w:tc>
        <w:tc>
          <w:tcPr>
            <w:tcW w:w="134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B729EAF">
            <w:pPr>
              <w:spacing w:line="360" w:lineRule="auto"/>
              <w:jc w:val="center"/>
              <w:rPr>
                <w:rFonts w:ascii="宋体" w:hAnsi="宋体" w:cs="宋体"/>
                <w:color w:val="auto"/>
                <w:kern w:val="0"/>
                <w:sz w:val="24"/>
                <w:highlight w:val="none"/>
              </w:rPr>
            </w:pPr>
          </w:p>
        </w:tc>
      </w:tr>
      <w:tr w14:paraId="2175289C">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3CD6A4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DF08878">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5ECD836">
            <w:pPr>
              <w:spacing w:line="360" w:lineRule="auto"/>
              <w:jc w:val="center"/>
              <w:rPr>
                <w:rFonts w:ascii="宋体" w:hAnsi="宋体" w:cs="宋体"/>
                <w:color w:val="auto"/>
                <w:kern w:val="0"/>
                <w:sz w:val="24"/>
                <w:highlight w:val="none"/>
              </w:rPr>
            </w:pPr>
          </w:p>
        </w:tc>
        <w:tc>
          <w:tcPr>
            <w:tcW w:w="134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A562500">
            <w:pPr>
              <w:spacing w:line="360" w:lineRule="auto"/>
              <w:jc w:val="center"/>
              <w:rPr>
                <w:rFonts w:ascii="宋体" w:hAnsi="宋体" w:cs="宋体"/>
                <w:color w:val="auto"/>
                <w:kern w:val="0"/>
                <w:sz w:val="24"/>
                <w:highlight w:val="none"/>
              </w:rPr>
            </w:pPr>
          </w:p>
        </w:tc>
      </w:tr>
      <w:tr w14:paraId="41EE2DF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F7B508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3AC29D9">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9EFE7F7">
            <w:pPr>
              <w:spacing w:line="360" w:lineRule="auto"/>
              <w:jc w:val="center"/>
              <w:rPr>
                <w:rFonts w:ascii="宋体" w:hAnsi="宋体" w:cs="宋体"/>
                <w:color w:val="auto"/>
                <w:kern w:val="0"/>
                <w:sz w:val="24"/>
                <w:highlight w:val="none"/>
              </w:rPr>
            </w:pPr>
          </w:p>
        </w:tc>
        <w:tc>
          <w:tcPr>
            <w:tcW w:w="134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29C2BC9">
            <w:pPr>
              <w:spacing w:line="360" w:lineRule="auto"/>
              <w:jc w:val="center"/>
              <w:rPr>
                <w:rFonts w:ascii="宋体" w:hAnsi="宋体" w:cs="宋体"/>
                <w:color w:val="auto"/>
                <w:kern w:val="0"/>
                <w:sz w:val="24"/>
                <w:highlight w:val="none"/>
              </w:rPr>
            </w:pPr>
          </w:p>
        </w:tc>
      </w:tr>
      <w:tr w14:paraId="439E5B2B">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E98E0E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99C38C1">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112A03F">
            <w:pPr>
              <w:spacing w:line="360" w:lineRule="auto"/>
              <w:jc w:val="center"/>
              <w:rPr>
                <w:rFonts w:ascii="宋体" w:hAnsi="宋体" w:cs="宋体"/>
                <w:color w:val="auto"/>
                <w:kern w:val="0"/>
                <w:sz w:val="24"/>
                <w:highlight w:val="none"/>
              </w:rPr>
            </w:pPr>
          </w:p>
        </w:tc>
        <w:tc>
          <w:tcPr>
            <w:tcW w:w="134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EC883E4">
            <w:pPr>
              <w:spacing w:line="360" w:lineRule="auto"/>
              <w:jc w:val="center"/>
              <w:rPr>
                <w:rFonts w:ascii="宋体" w:hAnsi="宋体" w:cs="宋体"/>
                <w:color w:val="auto"/>
                <w:kern w:val="0"/>
                <w:sz w:val="24"/>
                <w:highlight w:val="none"/>
              </w:rPr>
            </w:pPr>
          </w:p>
        </w:tc>
      </w:tr>
    </w:tbl>
    <w:p w14:paraId="73986958">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7B685CB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363DCA96">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31CA057A">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olor w:val="auto"/>
          <w:sz w:val="24"/>
          <w:highlight w:val="none"/>
        </w:rPr>
        <w:t>”中填“无”。</w:t>
      </w:r>
    </w:p>
    <w:p w14:paraId="11175D10">
      <w:pPr>
        <w:snapToGrid w:val="0"/>
        <w:spacing w:line="360" w:lineRule="auto"/>
        <w:jc w:val="left"/>
        <w:rPr>
          <w:rFonts w:ascii="宋体" w:hAnsi="宋体"/>
          <w:color w:val="auto"/>
          <w:sz w:val="24"/>
          <w:highlight w:val="none"/>
        </w:rPr>
      </w:pPr>
    </w:p>
    <w:p w14:paraId="0B6F46EA">
      <w:pPr>
        <w:snapToGrid w:val="0"/>
        <w:spacing w:line="360" w:lineRule="auto"/>
        <w:jc w:val="left"/>
        <w:rPr>
          <w:rFonts w:ascii="宋体" w:hAnsi="宋体"/>
          <w:color w:val="auto"/>
          <w:sz w:val="24"/>
          <w:highlight w:val="none"/>
        </w:rPr>
      </w:pPr>
    </w:p>
    <w:p w14:paraId="551DC4DF">
      <w:pPr>
        <w:snapToGrid w:val="0"/>
        <w:spacing w:line="360" w:lineRule="auto"/>
        <w:jc w:val="left"/>
        <w:rPr>
          <w:rFonts w:ascii="宋体" w:hAnsi="宋体"/>
          <w:color w:val="auto"/>
          <w:sz w:val="24"/>
          <w:highlight w:val="none"/>
        </w:rPr>
      </w:pPr>
    </w:p>
    <w:p w14:paraId="2B406D60">
      <w:pPr>
        <w:snapToGrid w:val="0"/>
        <w:spacing w:line="360" w:lineRule="auto"/>
        <w:jc w:val="left"/>
        <w:rPr>
          <w:color w:val="auto"/>
          <w:sz w:val="24"/>
          <w:highlight w:val="none"/>
        </w:rPr>
      </w:pPr>
    </w:p>
    <w:p w14:paraId="0B2A69C4">
      <w:pPr>
        <w:snapToGrid w:val="0"/>
        <w:spacing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354EE6B1">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供应商名称（电子签章）：</w:t>
      </w:r>
    </w:p>
    <w:p w14:paraId="1BD16AFD">
      <w:pPr>
        <w:snapToGrid w:val="0"/>
        <w:spacing w:line="360" w:lineRule="auto"/>
        <w:ind w:right="480" w:firstLine="240" w:firstLineChars="100"/>
        <w:jc w:val="left"/>
        <w:rPr>
          <w:rFonts w:ascii="宋体" w:hAnsi="宋体"/>
          <w:color w:val="auto"/>
          <w:szCs w:val="21"/>
          <w:highlight w:val="none"/>
        </w:rPr>
      </w:pPr>
      <w:r>
        <w:rPr>
          <w:rFonts w:hint="eastAsia" w:ascii="宋体" w:hAnsi="宋体"/>
          <w:color w:val="auto"/>
          <w:sz w:val="24"/>
          <w:highlight w:val="none"/>
        </w:rPr>
        <w:t xml:space="preserve">                                日期：    年   月   日</w:t>
      </w:r>
    </w:p>
    <w:p w14:paraId="0B9407B7">
      <w:pPr>
        <w:snapToGrid w:val="0"/>
        <w:spacing w:beforeLines="50" w:after="50"/>
        <w:jc w:val="left"/>
        <w:rPr>
          <w:rFonts w:ascii="宋体" w:hAnsi="宋体"/>
          <w:color w:val="auto"/>
          <w:sz w:val="24"/>
          <w:highlight w:val="none"/>
        </w:rPr>
      </w:pPr>
    </w:p>
    <w:p w14:paraId="47F28520">
      <w:pPr>
        <w:snapToGrid w:val="0"/>
        <w:spacing w:before="50" w:afterLines="50"/>
        <w:jc w:val="left"/>
        <w:rPr>
          <w:rFonts w:ascii="宋体" w:hAnsi="宋体"/>
          <w:color w:val="auto"/>
          <w:szCs w:val="21"/>
          <w:highlight w:val="none"/>
        </w:rPr>
      </w:pPr>
    </w:p>
    <w:p w14:paraId="08A020E2">
      <w:pPr>
        <w:snapToGrid w:val="0"/>
        <w:spacing w:beforeLines="50" w:after="50"/>
        <w:jc w:val="left"/>
        <w:rPr>
          <w:rFonts w:ascii="宋体" w:hAnsi="宋体"/>
          <w:b/>
          <w:color w:val="auto"/>
          <w:sz w:val="24"/>
          <w:szCs w:val="20"/>
          <w:highlight w:val="none"/>
        </w:rPr>
      </w:pPr>
    </w:p>
    <w:p w14:paraId="07BE38C2">
      <w:pPr>
        <w:snapToGrid w:val="0"/>
        <w:spacing w:beforeLines="50" w:after="50"/>
        <w:ind w:left="142"/>
        <w:jc w:val="left"/>
        <w:rPr>
          <w:rFonts w:ascii="宋体" w:hAnsi="宋体"/>
          <w:b/>
          <w:color w:val="auto"/>
          <w:sz w:val="24"/>
          <w:highlight w:val="none"/>
        </w:rPr>
      </w:pPr>
    </w:p>
    <w:p w14:paraId="08DE2646">
      <w:pPr>
        <w:snapToGrid w:val="0"/>
        <w:spacing w:beforeLines="50" w:after="50"/>
        <w:ind w:left="142"/>
        <w:jc w:val="left"/>
        <w:rPr>
          <w:rFonts w:ascii="宋体" w:hAnsi="宋体"/>
          <w:b/>
          <w:color w:val="auto"/>
          <w:sz w:val="24"/>
          <w:highlight w:val="none"/>
        </w:rPr>
      </w:pPr>
    </w:p>
    <w:p w14:paraId="3ABB504A">
      <w:pPr>
        <w:snapToGrid w:val="0"/>
        <w:spacing w:beforeLines="50" w:after="50"/>
        <w:ind w:left="142"/>
        <w:jc w:val="left"/>
        <w:rPr>
          <w:rFonts w:ascii="宋体" w:hAnsi="宋体"/>
          <w:b/>
          <w:color w:val="auto"/>
          <w:sz w:val="24"/>
          <w:highlight w:val="none"/>
        </w:rPr>
      </w:pPr>
    </w:p>
    <w:p w14:paraId="54209D17">
      <w:pPr>
        <w:snapToGrid w:val="0"/>
        <w:spacing w:beforeLines="50" w:after="50"/>
        <w:ind w:left="142"/>
        <w:jc w:val="left"/>
        <w:rPr>
          <w:rFonts w:ascii="宋体" w:hAnsi="宋体"/>
          <w:b/>
          <w:color w:val="auto"/>
          <w:sz w:val="24"/>
          <w:highlight w:val="none"/>
        </w:rPr>
      </w:pPr>
    </w:p>
    <w:p w14:paraId="30F0AB1A">
      <w:pPr>
        <w:snapToGrid w:val="0"/>
        <w:spacing w:beforeLines="50" w:after="50"/>
        <w:ind w:left="142"/>
        <w:jc w:val="left"/>
        <w:rPr>
          <w:rFonts w:ascii="宋体" w:hAnsi="宋体"/>
          <w:b/>
          <w:color w:val="auto"/>
          <w:sz w:val="24"/>
          <w:highlight w:val="none"/>
        </w:rPr>
      </w:pPr>
    </w:p>
    <w:p w14:paraId="6F844301">
      <w:pPr>
        <w:snapToGrid w:val="0"/>
        <w:spacing w:beforeLines="50" w:after="50"/>
        <w:ind w:left="142"/>
        <w:jc w:val="left"/>
        <w:rPr>
          <w:rFonts w:ascii="宋体" w:hAnsi="宋体"/>
          <w:b/>
          <w:color w:val="auto"/>
          <w:sz w:val="24"/>
          <w:szCs w:val="20"/>
          <w:highlight w:val="none"/>
        </w:rPr>
      </w:pPr>
      <w:r>
        <w:rPr>
          <w:rFonts w:hint="eastAsia" w:ascii="宋体" w:hAnsi="宋体"/>
          <w:b/>
          <w:color w:val="auto"/>
          <w:sz w:val="24"/>
          <w:highlight w:val="none"/>
        </w:rPr>
        <w:t>5.竞标声明</w:t>
      </w:r>
    </w:p>
    <w:p w14:paraId="0945D37B">
      <w:pPr>
        <w:spacing w:line="320" w:lineRule="exact"/>
        <w:jc w:val="center"/>
        <w:rPr>
          <w:rFonts w:ascii="宋体" w:hAnsi="宋体"/>
          <w:color w:val="auto"/>
          <w:sz w:val="28"/>
          <w:szCs w:val="28"/>
          <w:highlight w:val="none"/>
        </w:rPr>
      </w:pPr>
    </w:p>
    <w:p w14:paraId="38F3BE75">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竞标声明</w:t>
      </w:r>
    </w:p>
    <w:p w14:paraId="46C67C3C">
      <w:pPr>
        <w:spacing w:line="320" w:lineRule="exact"/>
        <w:jc w:val="center"/>
        <w:rPr>
          <w:rFonts w:ascii="宋体" w:hAnsi="宋体"/>
          <w:color w:val="auto"/>
          <w:sz w:val="24"/>
          <w:szCs w:val="20"/>
          <w:highlight w:val="none"/>
        </w:rPr>
      </w:pPr>
    </w:p>
    <w:p w14:paraId="74D01AB3">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0EFDC7C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p>
    <w:p w14:paraId="3C2F977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54B3313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1B16DC7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3BCA555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0597FA6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034DA16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2B594B8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674FE08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2BF878A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075A4B8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6614AF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43C77E3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AFF78D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8A44D1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75B932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6AD5E86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7EC138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6FF6CE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5C6A51E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p>
    <w:p w14:paraId="5465EA40">
      <w:pPr>
        <w:pStyle w:val="15"/>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7.与本磋商有关的一切正式往来信函请寄：邮政编号：</w:t>
      </w:r>
    </w:p>
    <w:p w14:paraId="3168CDF2">
      <w:pPr>
        <w:pStyle w:val="15"/>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 电子邮箱：</w:t>
      </w:r>
    </w:p>
    <w:p w14:paraId="7E93D360">
      <w:pPr>
        <w:pStyle w:val="14"/>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  账号：</w:t>
      </w:r>
    </w:p>
    <w:p w14:paraId="6868B9BA">
      <w:pPr>
        <w:pStyle w:val="14"/>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67024487">
      <w:pPr>
        <w:pStyle w:val="14"/>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3A13BA1F">
      <w:pPr>
        <w:spacing w:line="360" w:lineRule="auto"/>
        <w:contextualSpacing/>
        <w:jc w:val="left"/>
        <w:rPr>
          <w:rFonts w:ascii="宋体" w:hAnsi="宋体"/>
          <w:b/>
          <w:color w:val="auto"/>
          <w:sz w:val="24"/>
          <w:highlight w:val="none"/>
        </w:rPr>
      </w:pPr>
      <w:r>
        <w:rPr>
          <w:rFonts w:hint="eastAsia" w:ascii="宋体" w:hAnsi="宋体" w:cs="宋体"/>
          <w:b/>
          <w:color w:val="auto"/>
          <w:sz w:val="24"/>
          <w:highlight w:val="none"/>
        </w:rPr>
        <w:t>注：</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14:paraId="042B246B">
      <w:pPr>
        <w:spacing w:line="360" w:lineRule="auto"/>
        <w:contextualSpacing/>
        <w:jc w:val="left"/>
        <w:rPr>
          <w:rFonts w:ascii="宋体" w:hAnsi="宋体" w:cs="宋体"/>
          <w:color w:val="auto"/>
          <w:szCs w:val="21"/>
          <w:highlight w:val="none"/>
        </w:rPr>
      </w:pPr>
    </w:p>
    <w:p w14:paraId="38A4E305">
      <w:pPr>
        <w:spacing w:line="360" w:lineRule="auto"/>
        <w:ind w:firstLine="1575" w:firstLineChars="750"/>
        <w:contextualSpacing/>
        <w:rPr>
          <w:color w:val="auto"/>
          <w:highlight w:val="none"/>
        </w:rPr>
      </w:pPr>
      <w:r>
        <w:rPr>
          <w:rFonts w:hint="eastAsia"/>
          <w:color w:val="auto"/>
          <w:highlight w:val="none"/>
        </w:rPr>
        <w:t>法定代表人或者委托代理人（签字或者电子签名）：</w:t>
      </w:r>
    </w:p>
    <w:p w14:paraId="2F58446D">
      <w:pPr>
        <w:spacing w:line="360" w:lineRule="auto"/>
        <w:ind w:firstLine="3780" w:firstLineChars="1800"/>
        <w:contextualSpacing/>
        <w:rPr>
          <w:rFonts w:ascii="宋体" w:hAnsi="宋体" w:cs="宋体"/>
          <w:color w:val="auto"/>
          <w:szCs w:val="21"/>
          <w:highlight w:val="none"/>
          <w:u w:val="single"/>
        </w:rPr>
      </w:pPr>
      <w:r>
        <w:rPr>
          <w:rFonts w:hint="eastAsia"/>
          <w:color w:val="auto"/>
          <w:highlight w:val="none"/>
        </w:rPr>
        <w:t>供应商名称（电子签章）：</w:t>
      </w:r>
    </w:p>
    <w:p w14:paraId="37AB2E8D">
      <w:pPr>
        <w:pStyle w:val="14"/>
        <w:tabs>
          <w:tab w:val="left" w:pos="939"/>
        </w:tabs>
        <w:spacing w:line="360" w:lineRule="auto"/>
        <w:ind w:left="0" w:leftChars="0" w:firstLine="420" w:firstLineChars="200"/>
        <w:rPr>
          <w:color w:val="auto"/>
          <w:sz w:val="24"/>
          <w:highlight w:val="none"/>
        </w:rPr>
      </w:pPr>
      <w:r>
        <w:rPr>
          <w:rFonts w:hint="eastAsia"/>
          <w:color w:val="auto"/>
          <w:highlight w:val="none"/>
        </w:rPr>
        <w:t xml:space="preserve"> 年    月    日</w:t>
      </w:r>
    </w:p>
    <w:p w14:paraId="561A85B1">
      <w:pPr>
        <w:pStyle w:val="7"/>
        <w:overflowPunct w:val="0"/>
        <w:spacing w:line="520" w:lineRule="exact"/>
        <w:ind w:firstLine="0"/>
        <w:jc w:val="center"/>
        <w:rPr>
          <w:rFonts w:ascii="方正小标宋简体" w:hAnsi="方正小标宋简体" w:eastAsia="方正小标宋简体" w:cs="方正小标宋简体"/>
          <w:color w:val="auto"/>
          <w:sz w:val="44"/>
          <w:szCs w:val="44"/>
          <w:highlight w:val="none"/>
        </w:rPr>
      </w:pPr>
      <w:r>
        <w:rPr>
          <w:rFonts w:hint="eastAsia"/>
          <w:color w:val="auto"/>
          <w:sz w:val="24"/>
          <w:highlight w:val="none"/>
        </w:rPr>
        <w:br w:type="page"/>
      </w:r>
      <w:r>
        <w:rPr>
          <w:rFonts w:hint="eastAsia" w:ascii="方正小标宋简体" w:hAnsi="方正小标宋简体" w:eastAsia="方正小标宋简体" w:cs="方正小标宋简体"/>
          <w:color w:val="auto"/>
          <w:sz w:val="44"/>
          <w:szCs w:val="44"/>
          <w:highlight w:val="none"/>
        </w:rPr>
        <w:t>联合体竞标协议书</w:t>
      </w:r>
    </w:p>
    <w:p w14:paraId="31C82D3C">
      <w:pPr>
        <w:pStyle w:val="7"/>
        <w:overflowPunct w:val="0"/>
        <w:spacing w:line="360" w:lineRule="auto"/>
        <w:ind w:firstLine="0"/>
        <w:rPr>
          <w:rFonts w:ascii="宋体" w:hAnsi="宋体"/>
          <w:color w:val="auto"/>
          <w:sz w:val="24"/>
          <w:szCs w:val="24"/>
          <w:highlight w:val="none"/>
        </w:rPr>
      </w:pPr>
    </w:p>
    <w:p w14:paraId="2A8190CF">
      <w:pPr>
        <w:pStyle w:val="7"/>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（所有成员单位名称）自愿组成（联合体名称）联合体，共同参加（项目名称）采购项目竞标。现就联合体竞标事宜订立如下协议。</w:t>
      </w:r>
    </w:p>
    <w:p w14:paraId="575BFA75">
      <w:pPr>
        <w:pStyle w:val="7"/>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1.</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rPr>
        <w:t>（某成员单位名称）为（联合体名称）牵头人。</w:t>
      </w:r>
    </w:p>
    <w:p w14:paraId="290BFB74">
      <w:pPr>
        <w:pStyle w:val="7"/>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52A8330C">
      <w:pPr>
        <w:pStyle w:val="7"/>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4196D48F">
      <w:pPr>
        <w:pStyle w:val="7"/>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4.联合体各成员单位内部的职责分工如下：。</w:t>
      </w:r>
    </w:p>
    <w:p w14:paraId="49038D77">
      <w:pPr>
        <w:pStyle w:val="7"/>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5.本</w:t>
      </w:r>
      <w:r>
        <w:rPr>
          <w:rFonts w:hint="eastAsia" w:ascii="宋体" w:hAnsi="宋体" w:cs="仿宋_GB2312"/>
          <w:color w:val="auto"/>
          <w:spacing w:val="-6"/>
          <w:sz w:val="24"/>
          <w:szCs w:val="24"/>
          <w:highlight w:val="none"/>
        </w:rPr>
        <w:t>协议书自所有成员单位法定代表人（单位负责人）或者其委托代理人签字或者盖单位章之日起生效，合同履行完毕后自动失效。</w:t>
      </w:r>
    </w:p>
    <w:p w14:paraId="32AA17E9">
      <w:pPr>
        <w:pStyle w:val="7"/>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6.本协议书一式</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rPr>
        <w:t>份，联合体成员和采购人各执一份。</w:t>
      </w:r>
    </w:p>
    <w:p w14:paraId="08CA5C5A">
      <w:pPr>
        <w:pStyle w:val="7"/>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注：本协议书应附法定代表人身份证明书；有委托代理的，应附授权委托书（格式自拟）。</w:t>
      </w:r>
    </w:p>
    <w:p w14:paraId="57EB7E1C">
      <w:pPr>
        <w:pStyle w:val="7"/>
        <w:overflowPunct w:val="0"/>
        <w:spacing w:line="360" w:lineRule="auto"/>
        <w:ind w:firstLineChars="175"/>
        <w:contextualSpacing/>
        <w:rPr>
          <w:rFonts w:ascii="宋体" w:hAnsi="宋体" w:cs="仿宋_GB2312"/>
          <w:color w:val="auto"/>
          <w:sz w:val="24"/>
          <w:szCs w:val="24"/>
          <w:highlight w:val="none"/>
        </w:rPr>
      </w:pPr>
    </w:p>
    <w:p w14:paraId="01101D61">
      <w:pPr>
        <w:pStyle w:val="7"/>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联合体牵头人名称（电子签章）：</w:t>
      </w:r>
    </w:p>
    <w:p w14:paraId="68624226">
      <w:pPr>
        <w:pStyle w:val="7"/>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37136588">
      <w:pPr>
        <w:pStyle w:val="7"/>
        <w:overflowPunct w:val="0"/>
        <w:spacing w:line="360" w:lineRule="auto"/>
        <w:ind w:firstLine="0"/>
        <w:contextualSpacing/>
        <w:rPr>
          <w:rFonts w:ascii="宋体" w:hAnsi="宋体" w:cs="仿宋_GB2312"/>
          <w:color w:val="auto"/>
          <w:sz w:val="24"/>
          <w:szCs w:val="24"/>
          <w:highlight w:val="none"/>
        </w:rPr>
      </w:pPr>
    </w:p>
    <w:p w14:paraId="0395EC6A">
      <w:pPr>
        <w:pStyle w:val="7"/>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46CF5B64">
      <w:pPr>
        <w:pStyle w:val="7"/>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1CC9672E">
      <w:pPr>
        <w:pStyle w:val="7"/>
        <w:overflowPunct w:val="0"/>
        <w:spacing w:line="360" w:lineRule="auto"/>
        <w:ind w:firstLine="0"/>
        <w:contextualSpacing/>
        <w:rPr>
          <w:rFonts w:ascii="宋体" w:hAnsi="宋体" w:cs="仿宋_GB2312"/>
          <w:color w:val="auto"/>
          <w:sz w:val="24"/>
          <w:szCs w:val="24"/>
          <w:highlight w:val="none"/>
        </w:rPr>
      </w:pPr>
    </w:p>
    <w:p w14:paraId="4F59DB2C">
      <w:pPr>
        <w:pStyle w:val="7"/>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0221D875">
      <w:pPr>
        <w:pStyle w:val="7"/>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29617FE6">
      <w:pPr>
        <w:pStyle w:val="7"/>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w:t>
      </w:r>
    </w:p>
    <w:p w14:paraId="3A645CF3">
      <w:pPr>
        <w:spacing w:line="360" w:lineRule="auto"/>
        <w:ind w:right="480" w:firstLine="240" w:firstLineChars="100"/>
        <w:contextualSpacing/>
        <w:jc w:val="center"/>
        <w:rPr>
          <w:rFonts w:ascii="宋体" w:hAnsi="宋体" w:cs="仿宋_GB2312"/>
          <w:color w:val="auto"/>
          <w:sz w:val="24"/>
          <w:highlight w:val="none"/>
        </w:rPr>
      </w:pPr>
    </w:p>
    <w:p w14:paraId="7F16C30C">
      <w:pPr>
        <w:spacing w:line="360" w:lineRule="auto"/>
        <w:ind w:right="480" w:firstLine="240" w:firstLineChars="100"/>
        <w:contextualSpacing/>
        <w:jc w:val="center"/>
        <w:rPr>
          <w:rFonts w:ascii="宋体" w:hAnsi="宋体"/>
          <w:b/>
          <w:bCs/>
          <w:color w:val="auto"/>
          <w:sz w:val="32"/>
          <w:szCs w:val="32"/>
          <w:highlight w:val="none"/>
        </w:rPr>
      </w:pPr>
      <w:r>
        <w:rPr>
          <w:rFonts w:hint="eastAsia" w:ascii="宋体" w:hAnsi="宋体" w:cs="仿宋_GB2312"/>
          <w:color w:val="auto"/>
          <w:sz w:val="24"/>
          <w:highlight w:val="none"/>
        </w:rPr>
        <w:t xml:space="preserve">                                                年  </w:t>
      </w:r>
      <w:r>
        <w:rPr>
          <w:rFonts w:hint="eastAsia" w:ascii="宋体" w:hAnsi="宋体" w:cs="仿宋_GB2312"/>
          <w:color w:val="auto"/>
          <w:sz w:val="24"/>
          <w:highlight w:val="none"/>
        </w:rPr>
        <w:tab/>
      </w:r>
      <w:r>
        <w:rPr>
          <w:rFonts w:hint="eastAsia" w:ascii="宋体" w:hAnsi="宋体" w:cs="仿宋_GB2312"/>
          <w:color w:val="auto"/>
          <w:sz w:val="24"/>
          <w:highlight w:val="none"/>
        </w:rPr>
        <w:t xml:space="preserve">月  </w:t>
      </w:r>
      <w:r>
        <w:rPr>
          <w:rFonts w:hint="eastAsia" w:ascii="宋体" w:hAnsi="宋体" w:cs="仿宋_GB2312"/>
          <w:color w:val="auto"/>
          <w:sz w:val="24"/>
          <w:highlight w:val="none"/>
        </w:rPr>
        <w:tab/>
      </w:r>
      <w:r>
        <w:rPr>
          <w:rFonts w:hint="eastAsia" w:ascii="宋体" w:hAnsi="宋体" w:cs="仿宋_GB2312"/>
          <w:color w:val="auto"/>
          <w:sz w:val="24"/>
          <w:highlight w:val="none"/>
        </w:rPr>
        <w:t>日</w:t>
      </w:r>
    </w:p>
    <w:p w14:paraId="41CC8FA0">
      <w:pPr>
        <w:spacing w:line="360" w:lineRule="auto"/>
        <w:ind w:right="420"/>
        <w:contextualSpacing/>
        <w:jc w:val="left"/>
        <w:rPr>
          <w:rFonts w:ascii="宋体" w:hAnsi="宋体"/>
          <w:b/>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5B40DF25">
      <w:pPr>
        <w:snapToGrid w:val="0"/>
        <w:spacing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14:paraId="26051953">
      <w:pPr>
        <w:snapToGrid w:val="0"/>
        <w:spacing w:beforeLines="50" w:after="50"/>
        <w:rPr>
          <w:rFonts w:ascii="宋体" w:hAnsi="宋体"/>
          <w:bCs/>
          <w:color w:val="auto"/>
          <w:sz w:val="32"/>
          <w:szCs w:val="20"/>
          <w:highlight w:val="none"/>
        </w:rPr>
      </w:pPr>
    </w:p>
    <w:p w14:paraId="63399C52">
      <w:pPr>
        <w:snapToGrid w:val="0"/>
        <w:spacing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7F19CADC">
      <w:pPr>
        <w:snapToGrid w:val="0"/>
        <w:spacing w:beforeLines="50" w:after="50"/>
        <w:rPr>
          <w:rFonts w:ascii="宋体" w:hAnsi="宋体"/>
          <w:color w:val="auto"/>
          <w:sz w:val="24"/>
          <w:szCs w:val="20"/>
          <w:highlight w:val="none"/>
        </w:rPr>
      </w:pPr>
    </w:p>
    <w:p w14:paraId="448A90B7">
      <w:pPr>
        <w:snapToGrid w:val="0"/>
        <w:spacing w:beforeLines="50" w:after="50"/>
        <w:rPr>
          <w:rFonts w:ascii="宋体" w:hAnsi="宋体"/>
          <w:color w:val="auto"/>
          <w:sz w:val="24"/>
          <w:szCs w:val="20"/>
          <w:highlight w:val="none"/>
        </w:rPr>
      </w:pPr>
    </w:p>
    <w:p w14:paraId="6D348A9C">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00106830">
      <w:pPr>
        <w:snapToGrid w:val="0"/>
        <w:spacing w:beforeLines="50" w:after="50"/>
        <w:rPr>
          <w:rFonts w:ascii="宋体" w:hAnsi="宋体"/>
          <w:bCs/>
          <w:color w:val="auto"/>
          <w:sz w:val="24"/>
          <w:szCs w:val="20"/>
          <w:highlight w:val="none"/>
        </w:rPr>
      </w:pPr>
    </w:p>
    <w:p w14:paraId="376076C9">
      <w:pPr>
        <w:snapToGrid w:val="0"/>
        <w:spacing w:beforeLines="50" w:after="50"/>
        <w:rPr>
          <w:rFonts w:ascii="宋体" w:hAnsi="宋体"/>
          <w:bCs/>
          <w:color w:val="auto"/>
          <w:sz w:val="24"/>
          <w:szCs w:val="20"/>
          <w:highlight w:val="none"/>
        </w:rPr>
      </w:pPr>
    </w:p>
    <w:p w14:paraId="53276E8E">
      <w:pPr>
        <w:snapToGrid w:val="0"/>
        <w:spacing w:beforeLines="50" w:after="50"/>
        <w:rPr>
          <w:rFonts w:ascii="宋体" w:hAnsi="宋体"/>
          <w:bCs/>
          <w:color w:val="auto"/>
          <w:sz w:val="24"/>
          <w:szCs w:val="20"/>
          <w:highlight w:val="none"/>
        </w:rPr>
      </w:pPr>
    </w:p>
    <w:p w14:paraId="4BCFEACF">
      <w:pPr>
        <w:snapToGrid w:val="0"/>
        <w:spacing w:beforeLines="50" w:after="50"/>
        <w:rPr>
          <w:rFonts w:ascii="宋体" w:hAnsi="宋体"/>
          <w:bCs/>
          <w:color w:val="auto"/>
          <w:sz w:val="24"/>
          <w:szCs w:val="20"/>
          <w:highlight w:val="none"/>
        </w:rPr>
      </w:pPr>
    </w:p>
    <w:p w14:paraId="06FD3D57">
      <w:pPr>
        <w:snapToGrid w:val="0"/>
        <w:spacing w:beforeLines="50" w:after="50"/>
        <w:rPr>
          <w:rFonts w:ascii="宋体" w:hAnsi="宋体"/>
          <w:bCs/>
          <w:color w:val="auto"/>
          <w:sz w:val="24"/>
          <w:szCs w:val="20"/>
          <w:highlight w:val="none"/>
        </w:rPr>
      </w:pPr>
    </w:p>
    <w:p w14:paraId="5EE64E7C">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59ACD648">
      <w:pPr>
        <w:snapToGrid w:val="0"/>
        <w:spacing w:beforeLines="50" w:after="50"/>
        <w:ind w:firstLine="720" w:firstLineChars="225"/>
        <w:rPr>
          <w:rFonts w:ascii="宋体" w:hAnsi="宋体" w:cs="仿宋_GB2312"/>
          <w:bCs/>
          <w:color w:val="auto"/>
          <w:sz w:val="32"/>
          <w:szCs w:val="32"/>
          <w:highlight w:val="none"/>
        </w:rPr>
      </w:pPr>
    </w:p>
    <w:p w14:paraId="73F3DB3F">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72F55160">
      <w:pPr>
        <w:snapToGrid w:val="0"/>
        <w:spacing w:beforeLines="50" w:after="50"/>
        <w:ind w:firstLine="720" w:firstLineChars="225"/>
        <w:rPr>
          <w:rFonts w:ascii="宋体" w:hAnsi="宋体" w:cs="仿宋_GB2312"/>
          <w:bCs/>
          <w:color w:val="auto"/>
          <w:sz w:val="32"/>
          <w:szCs w:val="32"/>
          <w:highlight w:val="none"/>
        </w:rPr>
      </w:pPr>
    </w:p>
    <w:p w14:paraId="052E1059">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79865679">
      <w:pPr>
        <w:snapToGrid w:val="0"/>
        <w:spacing w:beforeLines="50" w:after="50"/>
        <w:ind w:firstLine="720" w:firstLineChars="225"/>
        <w:rPr>
          <w:rFonts w:ascii="宋体" w:hAnsi="宋体" w:cs="仿宋_GB2312"/>
          <w:bCs/>
          <w:color w:val="auto"/>
          <w:sz w:val="32"/>
          <w:szCs w:val="32"/>
          <w:highlight w:val="none"/>
        </w:rPr>
      </w:pPr>
    </w:p>
    <w:p w14:paraId="03077B12">
      <w:pPr>
        <w:pStyle w:val="7"/>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6A9BAEC2">
      <w:pPr>
        <w:pStyle w:val="7"/>
        <w:snapToGrid w:val="0"/>
        <w:spacing w:before="50" w:after="50"/>
        <w:ind w:firstLine="640" w:firstLineChars="200"/>
        <w:rPr>
          <w:rFonts w:ascii="宋体" w:hAnsi="宋体" w:cs="仿宋_GB2312"/>
          <w:bCs/>
          <w:color w:val="auto"/>
          <w:sz w:val="32"/>
          <w:szCs w:val="32"/>
          <w:highlight w:val="none"/>
        </w:rPr>
      </w:pPr>
    </w:p>
    <w:p w14:paraId="2D8070C1">
      <w:pPr>
        <w:pStyle w:val="7"/>
        <w:snapToGrid w:val="0"/>
        <w:spacing w:before="50" w:after="50"/>
        <w:ind w:firstLine="720" w:firstLineChars="225"/>
        <w:rPr>
          <w:rFonts w:ascii="宋体" w:hAnsi="宋体" w:cs="仿宋_GB2312"/>
          <w:bCs/>
          <w:color w:val="auto"/>
          <w:sz w:val="32"/>
          <w:szCs w:val="32"/>
          <w:highlight w:val="none"/>
        </w:rPr>
      </w:pPr>
    </w:p>
    <w:p w14:paraId="06D54A53">
      <w:pPr>
        <w:pStyle w:val="7"/>
        <w:snapToGrid w:val="0"/>
        <w:spacing w:before="50" w:after="50"/>
        <w:ind w:firstLine="0"/>
        <w:rPr>
          <w:rFonts w:ascii="宋体" w:hAnsi="宋体" w:cs="仿宋_GB2312"/>
          <w:bCs/>
          <w:color w:val="auto"/>
          <w:sz w:val="32"/>
          <w:szCs w:val="32"/>
          <w:highlight w:val="none"/>
        </w:rPr>
      </w:pPr>
    </w:p>
    <w:p w14:paraId="27DFA9E0">
      <w:pPr>
        <w:pStyle w:val="7"/>
        <w:snapToGrid w:val="0"/>
        <w:spacing w:before="50" w:after="50"/>
        <w:ind w:firstLine="1280" w:firstLineChars="400"/>
        <w:rPr>
          <w:rFonts w:ascii="宋体" w:hAnsi="宋体" w:cs="仿宋_GB2312"/>
          <w:bCs/>
          <w:color w:val="auto"/>
          <w:sz w:val="32"/>
          <w:szCs w:val="32"/>
          <w:highlight w:val="none"/>
        </w:rPr>
      </w:pPr>
    </w:p>
    <w:p w14:paraId="188F78BF">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4EA981D1">
      <w:pPr>
        <w:snapToGrid w:val="0"/>
        <w:spacing w:beforeLines="50" w:after="50" w:line="360" w:lineRule="auto"/>
        <w:ind w:left="142"/>
        <w:jc w:val="left"/>
        <w:rPr>
          <w:rFonts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4D8AE446">
      <w:pPr>
        <w:spacing w:line="520" w:lineRule="exact"/>
        <w:jc w:val="center"/>
        <w:rPr>
          <w:rFonts w:ascii="方正小标宋简体" w:hAnsi="方正小标宋简体" w:eastAsia="方正小标宋简体" w:cs="方正小标宋简体"/>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竞  标  报  价  表</w:t>
      </w:r>
    </w:p>
    <w:p w14:paraId="0294D671">
      <w:pPr>
        <w:spacing w:line="440" w:lineRule="exact"/>
        <w:jc w:val="center"/>
        <w:rPr>
          <w:rFonts w:ascii="方正小标宋简体" w:hAnsi="方正小标宋简体" w:eastAsia="方正小标宋简体" w:cs="方正小标宋简体"/>
          <w:bCs/>
          <w:color w:val="auto"/>
          <w:sz w:val="32"/>
          <w:szCs w:val="32"/>
          <w:highlight w:val="none"/>
        </w:rPr>
      </w:pPr>
    </w:p>
    <w:p w14:paraId="61D8DD1C">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项目名称：项目编号：</w:t>
      </w:r>
    </w:p>
    <w:p w14:paraId="3701B802">
      <w:pPr>
        <w:spacing w:line="360" w:lineRule="auto"/>
        <w:contextualSpacing/>
        <w:rPr>
          <w:rFonts w:ascii="宋体" w:hAnsi="宋体" w:cs="宋体"/>
          <w:color w:val="auto"/>
          <w:szCs w:val="21"/>
          <w:highlight w:val="none"/>
          <w:u w:val="single"/>
        </w:rPr>
      </w:pPr>
      <w:r>
        <w:rPr>
          <w:rFonts w:hint="eastAsia" w:ascii="宋体" w:hAnsi="宋体" w:cs="宋体"/>
          <w:color w:val="auto"/>
          <w:szCs w:val="21"/>
          <w:highlight w:val="none"/>
        </w:rPr>
        <w:t>分标（如有）：</w:t>
      </w:r>
      <w:r>
        <w:rPr>
          <w:rFonts w:hint="eastAsia" w:ascii="宋体" w:hAnsi="宋体" w:cs="宋体"/>
          <w:color w:val="auto"/>
          <w:szCs w:val="21"/>
          <w:highlight w:val="none"/>
          <w:u w:val="single"/>
        </w:rPr>
        <w:t>A分标</w:t>
      </w:r>
    </w:p>
    <w:p w14:paraId="56D32538">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供应商名称：</w:t>
      </w:r>
    </w:p>
    <w:p w14:paraId="72EB2C42">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 xml:space="preserve">                                                单位：元</w:t>
      </w:r>
    </w:p>
    <w:tbl>
      <w:tblPr>
        <w:tblStyle w:val="24"/>
        <w:tblW w:w="4998"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
        <w:gridCol w:w="3839"/>
        <w:gridCol w:w="382"/>
        <w:gridCol w:w="372"/>
        <w:gridCol w:w="1194"/>
        <w:gridCol w:w="1194"/>
        <w:gridCol w:w="1204"/>
      </w:tblGrid>
      <w:tr w14:paraId="3108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00" w:type="pct"/>
            <w:tcBorders>
              <w:top w:val="single" w:color="auto" w:sz="4" w:space="0"/>
              <w:left w:val="single" w:color="auto" w:sz="4" w:space="0"/>
              <w:bottom w:val="single" w:color="auto" w:sz="4" w:space="0"/>
              <w:right w:val="single" w:color="auto" w:sz="4" w:space="0"/>
            </w:tcBorders>
            <w:noWrap/>
            <w:vAlign w:val="center"/>
          </w:tcPr>
          <w:p w14:paraId="6B6D8D45">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252" w:type="pct"/>
            <w:tcBorders>
              <w:top w:val="single" w:color="auto" w:sz="4" w:space="0"/>
              <w:left w:val="single" w:color="auto" w:sz="4" w:space="0"/>
              <w:bottom w:val="single" w:color="auto" w:sz="4" w:space="0"/>
              <w:right w:val="single" w:color="auto" w:sz="4" w:space="0"/>
            </w:tcBorders>
            <w:noWrap/>
            <w:vAlign w:val="center"/>
          </w:tcPr>
          <w:p w14:paraId="63D2BDA3">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224" w:type="pct"/>
            <w:tcBorders>
              <w:top w:val="single" w:color="auto" w:sz="4" w:space="0"/>
              <w:left w:val="single" w:color="auto" w:sz="4" w:space="0"/>
              <w:bottom w:val="single" w:color="auto" w:sz="4" w:space="0"/>
              <w:right w:val="single" w:color="auto" w:sz="4" w:space="0"/>
            </w:tcBorders>
            <w:noWrap/>
            <w:vAlign w:val="center"/>
          </w:tcPr>
          <w:p w14:paraId="67D84DBC">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218" w:type="pct"/>
            <w:tcBorders>
              <w:top w:val="single" w:color="auto" w:sz="4" w:space="0"/>
              <w:left w:val="single" w:color="auto" w:sz="4" w:space="0"/>
              <w:bottom w:val="single" w:color="auto" w:sz="4" w:space="0"/>
              <w:right w:val="single" w:color="auto" w:sz="4" w:space="0"/>
            </w:tcBorders>
            <w:noWrap/>
            <w:vAlign w:val="center"/>
          </w:tcPr>
          <w:p w14:paraId="11ACBF29">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700" w:type="pct"/>
            <w:tcBorders>
              <w:top w:val="single" w:color="auto" w:sz="4" w:space="0"/>
              <w:left w:val="single" w:color="auto" w:sz="4" w:space="0"/>
              <w:bottom w:val="single" w:color="auto" w:sz="4" w:space="0"/>
              <w:right w:val="single" w:color="auto" w:sz="4" w:space="0"/>
            </w:tcBorders>
            <w:noWrap/>
            <w:vAlign w:val="center"/>
          </w:tcPr>
          <w:p w14:paraId="0E974F38">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分项预算金额</w:t>
            </w:r>
          </w:p>
        </w:tc>
        <w:tc>
          <w:tcPr>
            <w:tcW w:w="700" w:type="pct"/>
            <w:tcBorders>
              <w:top w:val="single" w:color="auto" w:sz="4" w:space="0"/>
              <w:left w:val="single" w:color="auto" w:sz="4" w:space="0"/>
              <w:bottom w:val="single" w:color="auto" w:sz="4" w:space="0"/>
              <w:right w:val="single" w:color="auto" w:sz="4" w:space="0"/>
            </w:tcBorders>
            <w:noWrap/>
            <w:vAlign w:val="center"/>
          </w:tcPr>
          <w:p w14:paraId="451EBC8D">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单价</w:t>
            </w:r>
          </w:p>
        </w:tc>
        <w:tc>
          <w:tcPr>
            <w:tcW w:w="702" w:type="pct"/>
            <w:tcBorders>
              <w:top w:val="single" w:color="auto" w:sz="4" w:space="0"/>
              <w:left w:val="single" w:color="auto" w:sz="4" w:space="0"/>
              <w:bottom w:val="single" w:color="auto" w:sz="4" w:space="0"/>
              <w:right w:val="single" w:color="auto" w:sz="4" w:space="0"/>
            </w:tcBorders>
            <w:noWrap/>
            <w:vAlign w:val="center"/>
          </w:tcPr>
          <w:p w14:paraId="1169186C">
            <w:pPr>
              <w:spacing w:line="400" w:lineRule="exact"/>
              <w:contextualSpacing/>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分项合计</w:t>
            </w:r>
          </w:p>
        </w:tc>
      </w:tr>
      <w:tr w14:paraId="697F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00" w:type="pct"/>
            <w:tcBorders>
              <w:top w:val="single" w:color="auto" w:sz="4" w:space="0"/>
              <w:left w:val="single" w:color="auto" w:sz="4" w:space="0"/>
              <w:bottom w:val="single" w:color="auto" w:sz="4" w:space="0"/>
              <w:right w:val="single" w:color="auto" w:sz="4" w:space="0"/>
            </w:tcBorders>
            <w:noWrap/>
            <w:vAlign w:val="center"/>
          </w:tcPr>
          <w:p w14:paraId="462E19B1">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1</w:t>
            </w:r>
          </w:p>
        </w:tc>
        <w:tc>
          <w:tcPr>
            <w:tcW w:w="2252" w:type="pct"/>
            <w:tcBorders>
              <w:top w:val="single" w:color="auto" w:sz="4" w:space="0"/>
              <w:left w:val="single" w:color="auto" w:sz="4" w:space="0"/>
              <w:bottom w:val="single" w:color="auto" w:sz="4" w:space="0"/>
              <w:right w:val="single" w:color="auto" w:sz="4" w:space="0"/>
            </w:tcBorders>
            <w:noWrap/>
            <w:vAlign w:val="center"/>
          </w:tcPr>
          <w:p w14:paraId="62338EF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小额贷款公司考核复评与现场检查</w:t>
            </w:r>
          </w:p>
        </w:tc>
        <w:tc>
          <w:tcPr>
            <w:tcW w:w="224" w:type="pct"/>
            <w:tcBorders>
              <w:top w:val="single" w:color="auto" w:sz="4" w:space="0"/>
              <w:left w:val="single" w:color="auto" w:sz="4" w:space="0"/>
              <w:bottom w:val="single" w:color="auto" w:sz="4" w:space="0"/>
              <w:right w:val="single" w:color="auto" w:sz="4" w:space="0"/>
            </w:tcBorders>
            <w:noWrap/>
            <w:vAlign w:val="center"/>
          </w:tcPr>
          <w:p w14:paraId="41FBEDB6">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1</w:t>
            </w:r>
          </w:p>
        </w:tc>
        <w:tc>
          <w:tcPr>
            <w:tcW w:w="218" w:type="pct"/>
            <w:tcBorders>
              <w:top w:val="single" w:color="auto" w:sz="4" w:space="0"/>
              <w:left w:val="single" w:color="auto" w:sz="4" w:space="0"/>
              <w:bottom w:val="single" w:color="auto" w:sz="4" w:space="0"/>
              <w:right w:val="single" w:color="auto" w:sz="4" w:space="0"/>
            </w:tcBorders>
            <w:noWrap/>
            <w:vAlign w:val="center"/>
          </w:tcPr>
          <w:p w14:paraId="6ACE04BF">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项</w:t>
            </w:r>
          </w:p>
        </w:tc>
        <w:tc>
          <w:tcPr>
            <w:tcW w:w="1194" w:type="dxa"/>
            <w:tcBorders>
              <w:top w:val="single" w:color="auto" w:sz="4" w:space="0"/>
              <w:left w:val="single" w:color="auto" w:sz="4" w:space="0"/>
              <w:bottom w:val="single" w:color="auto" w:sz="4" w:space="0"/>
              <w:right w:val="single" w:color="auto" w:sz="4" w:space="0"/>
            </w:tcBorders>
            <w:noWrap/>
            <w:vAlign w:val="center"/>
          </w:tcPr>
          <w:p w14:paraId="2F01101A">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36</w:t>
            </w:r>
            <w:r>
              <w:rPr>
                <w:rFonts w:hint="eastAsia" w:ascii="宋体" w:hAnsi="宋体" w:cs="宋体"/>
                <w:color w:val="auto"/>
                <w:szCs w:val="21"/>
                <w:highlight w:val="none"/>
                <w:lang w:eastAsia="zh-CN"/>
              </w:rPr>
              <w:t>0000.00</w:t>
            </w:r>
          </w:p>
        </w:tc>
        <w:tc>
          <w:tcPr>
            <w:tcW w:w="700" w:type="pct"/>
            <w:tcBorders>
              <w:top w:val="single" w:color="auto" w:sz="4" w:space="0"/>
              <w:left w:val="single" w:color="auto" w:sz="4" w:space="0"/>
              <w:bottom w:val="single" w:color="auto" w:sz="4" w:space="0"/>
              <w:right w:val="single" w:color="auto" w:sz="4" w:space="0"/>
            </w:tcBorders>
            <w:noWrap/>
            <w:vAlign w:val="center"/>
          </w:tcPr>
          <w:p w14:paraId="6A695A16">
            <w:pPr>
              <w:spacing w:line="400" w:lineRule="exact"/>
              <w:contextualSpacing/>
              <w:jc w:val="center"/>
              <w:rPr>
                <w:rFonts w:ascii="宋体" w:hAnsi="宋体" w:cs="宋体"/>
                <w:color w:val="auto"/>
                <w:szCs w:val="21"/>
                <w:highlight w:val="none"/>
              </w:rPr>
            </w:pPr>
          </w:p>
        </w:tc>
        <w:tc>
          <w:tcPr>
            <w:tcW w:w="702" w:type="pct"/>
            <w:tcBorders>
              <w:top w:val="single" w:color="auto" w:sz="4" w:space="0"/>
              <w:left w:val="single" w:color="auto" w:sz="4" w:space="0"/>
              <w:bottom w:val="single" w:color="auto" w:sz="4" w:space="0"/>
              <w:right w:val="single" w:color="auto" w:sz="4" w:space="0"/>
            </w:tcBorders>
            <w:noWrap/>
            <w:vAlign w:val="center"/>
          </w:tcPr>
          <w:p w14:paraId="3F827C51">
            <w:pPr>
              <w:spacing w:line="400" w:lineRule="exact"/>
              <w:contextualSpacing/>
              <w:jc w:val="center"/>
              <w:rPr>
                <w:rFonts w:ascii="宋体" w:hAnsi="宋体" w:cs="宋体"/>
                <w:color w:val="auto"/>
                <w:szCs w:val="21"/>
                <w:highlight w:val="none"/>
              </w:rPr>
            </w:pPr>
          </w:p>
        </w:tc>
      </w:tr>
      <w:tr w14:paraId="358D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00" w:type="pct"/>
            <w:tcBorders>
              <w:top w:val="single" w:color="auto" w:sz="4" w:space="0"/>
              <w:left w:val="single" w:color="auto" w:sz="4" w:space="0"/>
              <w:bottom w:val="single" w:color="auto" w:sz="4" w:space="0"/>
              <w:right w:val="single" w:color="auto" w:sz="4" w:space="0"/>
            </w:tcBorders>
            <w:noWrap/>
            <w:vAlign w:val="center"/>
          </w:tcPr>
          <w:p w14:paraId="6B0324CC">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2</w:t>
            </w:r>
          </w:p>
        </w:tc>
        <w:tc>
          <w:tcPr>
            <w:tcW w:w="2252" w:type="pct"/>
            <w:tcBorders>
              <w:top w:val="single" w:color="auto" w:sz="4" w:space="0"/>
              <w:left w:val="single" w:color="auto" w:sz="4" w:space="0"/>
              <w:bottom w:val="single" w:color="auto" w:sz="4" w:space="0"/>
              <w:right w:val="single" w:color="auto" w:sz="4" w:space="0"/>
            </w:tcBorders>
            <w:noWrap/>
            <w:vAlign w:val="center"/>
          </w:tcPr>
          <w:p w14:paraId="676E9B4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典当行现场检查与监管评级</w:t>
            </w:r>
          </w:p>
        </w:tc>
        <w:tc>
          <w:tcPr>
            <w:tcW w:w="224" w:type="pct"/>
            <w:tcBorders>
              <w:top w:val="single" w:color="auto" w:sz="4" w:space="0"/>
              <w:left w:val="single" w:color="auto" w:sz="4" w:space="0"/>
              <w:bottom w:val="single" w:color="auto" w:sz="4" w:space="0"/>
              <w:right w:val="single" w:color="auto" w:sz="4" w:space="0"/>
            </w:tcBorders>
            <w:noWrap/>
            <w:vAlign w:val="center"/>
          </w:tcPr>
          <w:p w14:paraId="29121070">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1</w:t>
            </w:r>
          </w:p>
        </w:tc>
        <w:tc>
          <w:tcPr>
            <w:tcW w:w="218" w:type="pct"/>
            <w:tcBorders>
              <w:top w:val="single" w:color="auto" w:sz="4" w:space="0"/>
              <w:left w:val="single" w:color="auto" w:sz="4" w:space="0"/>
              <w:bottom w:val="single" w:color="auto" w:sz="4" w:space="0"/>
              <w:right w:val="single" w:color="auto" w:sz="4" w:space="0"/>
            </w:tcBorders>
            <w:noWrap/>
            <w:vAlign w:val="center"/>
          </w:tcPr>
          <w:p w14:paraId="538E0EE7">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项</w:t>
            </w:r>
          </w:p>
        </w:tc>
        <w:tc>
          <w:tcPr>
            <w:tcW w:w="1194" w:type="dxa"/>
            <w:tcBorders>
              <w:top w:val="single" w:color="auto" w:sz="4" w:space="0"/>
              <w:left w:val="single" w:color="auto" w:sz="4" w:space="0"/>
              <w:bottom w:val="single" w:color="auto" w:sz="4" w:space="0"/>
              <w:right w:val="single" w:color="auto" w:sz="4" w:space="0"/>
            </w:tcBorders>
            <w:noWrap/>
            <w:vAlign w:val="center"/>
          </w:tcPr>
          <w:p w14:paraId="136EC9AF">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15</w:t>
            </w:r>
            <w:r>
              <w:rPr>
                <w:rFonts w:hint="eastAsia" w:ascii="宋体" w:hAnsi="宋体" w:cs="宋体"/>
                <w:color w:val="auto"/>
                <w:szCs w:val="21"/>
                <w:highlight w:val="none"/>
                <w:lang w:eastAsia="zh-CN"/>
              </w:rPr>
              <w:t>0000.00</w:t>
            </w:r>
          </w:p>
        </w:tc>
        <w:tc>
          <w:tcPr>
            <w:tcW w:w="700" w:type="pct"/>
            <w:tcBorders>
              <w:top w:val="single" w:color="auto" w:sz="4" w:space="0"/>
              <w:left w:val="single" w:color="auto" w:sz="4" w:space="0"/>
              <w:bottom w:val="single" w:color="auto" w:sz="4" w:space="0"/>
              <w:right w:val="single" w:color="auto" w:sz="4" w:space="0"/>
            </w:tcBorders>
            <w:noWrap/>
            <w:vAlign w:val="center"/>
          </w:tcPr>
          <w:p w14:paraId="3421CC9C">
            <w:pPr>
              <w:spacing w:line="400" w:lineRule="exact"/>
              <w:contextualSpacing/>
              <w:jc w:val="center"/>
              <w:rPr>
                <w:rFonts w:ascii="宋体" w:hAnsi="宋体" w:cs="宋体"/>
                <w:color w:val="auto"/>
                <w:szCs w:val="21"/>
                <w:highlight w:val="none"/>
              </w:rPr>
            </w:pPr>
          </w:p>
        </w:tc>
        <w:tc>
          <w:tcPr>
            <w:tcW w:w="702" w:type="pct"/>
            <w:tcBorders>
              <w:top w:val="single" w:color="auto" w:sz="4" w:space="0"/>
              <w:left w:val="single" w:color="auto" w:sz="4" w:space="0"/>
              <w:bottom w:val="single" w:color="auto" w:sz="4" w:space="0"/>
              <w:right w:val="single" w:color="auto" w:sz="4" w:space="0"/>
            </w:tcBorders>
            <w:noWrap/>
            <w:vAlign w:val="center"/>
          </w:tcPr>
          <w:p w14:paraId="4C620373">
            <w:pPr>
              <w:spacing w:line="400" w:lineRule="exact"/>
              <w:contextualSpacing/>
              <w:jc w:val="center"/>
              <w:rPr>
                <w:rFonts w:ascii="宋体" w:hAnsi="宋体" w:cs="宋体"/>
                <w:color w:val="auto"/>
                <w:szCs w:val="21"/>
                <w:highlight w:val="none"/>
              </w:rPr>
            </w:pPr>
          </w:p>
        </w:tc>
      </w:tr>
      <w:tr w14:paraId="6700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00" w:type="pct"/>
            <w:tcBorders>
              <w:top w:val="single" w:color="auto" w:sz="4" w:space="0"/>
              <w:left w:val="single" w:color="auto" w:sz="4" w:space="0"/>
              <w:bottom w:val="single" w:color="auto" w:sz="4" w:space="0"/>
              <w:right w:val="single" w:color="auto" w:sz="4" w:space="0"/>
            </w:tcBorders>
            <w:noWrap/>
            <w:vAlign w:val="center"/>
          </w:tcPr>
          <w:p w14:paraId="68618067">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3</w:t>
            </w:r>
          </w:p>
        </w:tc>
        <w:tc>
          <w:tcPr>
            <w:tcW w:w="2252" w:type="pct"/>
            <w:tcBorders>
              <w:top w:val="single" w:color="auto" w:sz="4" w:space="0"/>
              <w:left w:val="single" w:color="auto" w:sz="4" w:space="0"/>
              <w:bottom w:val="single" w:color="auto" w:sz="4" w:space="0"/>
              <w:right w:val="single" w:color="auto" w:sz="4" w:space="0"/>
            </w:tcBorders>
            <w:noWrap/>
            <w:vAlign w:val="center"/>
          </w:tcPr>
          <w:p w14:paraId="6DFD003E">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地方资产管理公司现场检查与监管评级</w:t>
            </w:r>
          </w:p>
        </w:tc>
        <w:tc>
          <w:tcPr>
            <w:tcW w:w="224" w:type="pct"/>
            <w:tcBorders>
              <w:top w:val="single" w:color="auto" w:sz="4" w:space="0"/>
              <w:left w:val="single" w:color="auto" w:sz="4" w:space="0"/>
              <w:bottom w:val="single" w:color="auto" w:sz="4" w:space="0"/>
              <w:right w:val="single" w:color="auto" w:sz="4" w:space="0"/>
            </w:tcBorders>
            <w:noWrap/>
            <w:vAlign w:val="center"/>
          </w:tcPr>
          <w:p w14:paraId="023A9108">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1</w:t>
            </w:r>
          </w:p>
        </w:tc>
        <w:tc>
          <w:tcPr>
            <w:tcW w:w="218" w:type="pct"/>
            <w:tcBorders>
              <w:top w:val="single" w:color="auto" w:sz="4" w:space="0"/>
              <w:left w:val="single" w:color="auto" w:sz="4" w:space="0"/>
              <w:bottom w:val="single" w:color="auto" w:sz="4" w:space="0"/>
              <w:right w:val="single" w:color="auto" w:sz="4" w:space="0"/>
            </w:tcBorders>
            <w:noWrap/>
            <w:vAlign w:val="center"/>
          </w:tcPr>
          <w:p w14:paraId="782AD1BA">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项</w:t>
            </w:r>
          </w:p>
        </w:tc>
        <w:tc>
          <w:tcPr>
            <w:tcW w:w="1194" w:type="dxa"/>
            <w:tcBorders>
              <w:top w:val="single" w:color="auto" w:sz="4" w:space="0"/>
              <w:left w:val="single" w:color="auto" w:sz="4" w:space="0"/>
              <w:bottom w:val="single" w:color="auto" w:sz="4" w:space="0"/>
              <w:right w:val="single" w:color="auto" w:sz="4" w:space="0"/>
            </w:tcBorders>
            <w:noWrap/>
            <w:vAlign w:val="center"/>
          </w:tcPr>
          <w:p w14:paraId="1B356A42">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0000.00</w:t>
            </w:r>
          </w:p>
        </w:tc>
        <w:tc>
          <w:tcPr>
            <w:tcW w:w="700" w:type="pct"/>
            <w:tcBorders>
              <w:top w:val="single" w:color="auto" w:sz="4" w:space="0"/>
              <w:left w:val="single" w:color="auto" w:sz="4" w:space="0"/>
              <w:bottom w:val="single" w:color="auto" w:sz="4" w:space="0"/>
              <w:right w:val="single" w:color="auto" w:sz="4" w:space="0"/>
            </w:tcBorders>
            <w:noWrap/>
            <w:vAlign w:val="center"/>
          </w:tcPr>
          <w:p w14:paraId="7DB335C7">
            <w:pPr>
              <w:spacing w:line="400" w:lineRule="exact"/>
              <w:contextualSpacing/>
              <w:jc w:val="center"/>
              <w:rPr>
                <w:rFonts w:ascii="宋体" w:hAnsi="宋体" w:cs="宋体"/>
                <w:color w:val="auto"/>
                <w:szCs w:val="21"/>
                <w:highlight w:val="none"/>
              </w:rPr>
            </w:pPr>
          </w:p>
        </w:tc>
        <w:tc>
          <w:tcPr>
            <w:tcW w:w="702" w:type="pct"/>
            <w:tcBorders>
              <w:top w:val="single" w:color="auto" w:sz="4" w:space="0"/>
              <w:left w:val="single" w:color="auto" w:sz="4" w:space="0"/>
              <w:bottom w:val="single" w:color="auto" w:sz="4" w:space="0"/>
              <w:right w:val="single" w:color="auto" w:sz="4" w:space="0"/>
            </w:tcBorders>
            <w:noWrap/>
            <w:vAlign w:val="center"/>
          </w:tcPr>
          <w:p w14:paraId="50A8D0A9">
            <w:pPr>
              <w:spacing w:line="400" w:lineRule="exact"/>
              <w:contextualSpacing/>
              <w:jc w:val="center"/>
              <w:rPr>
                <w:rFonts w:ascii="宋体" w:hAnsi="宋体" w:cs="宋体"/>
                <w:color w:val="auto"/>
                <w:szCs w:val="21"/>
                <w:highlight w:val="none"/>
              </w:rPr>
            </w:pPr>
          </w:p>
        </w:tc>
      </w:tr>
      <w:tr w14:paraId="3934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00" w:type="pct"/>
            <w:tcBorders>
              <w:top w:val="single" w:color="auto" w:sz="4" w:space="0"/>
              <w:left w:val="single" w:color="auto" w:sz="4" w:space="0"/>
              <w:bottom w:val="single" w:color="auto" w:sz="4" w:space="0"/>
              <w:right w:val="single" w:color="auto" w:sz="4" w:space="0"/>
            </w:tcBorders>
            <w:noWrap/>
            <w:vAlign w:val="center"/>
          </w:tcPr>
          <w:p w14:paraId="3938CAD0">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4</w:t>
            </w:r>
          </w:p>
        </w:tc>
        <w:tc>
          <w:tcPr>
            <w:tcW w:w="2252" w:type="pct"/>
            <w:tcBorders>
              <w:top w:val="single" w:color="auto" w:sz="4" w:space="0"/>
              <w:left w:val="single" w:color="auto" w:sz="4" w:space="0"/>
              <w:bottom w:val="single" w:color="auto" w:sz="4" w:space="0"/>
              <w:right w:val="single" w:color="auto" w:sz="4" w:space="0"/>
            </w:tcBorders>
            <w:noWrap/>
            <w:vAlign w:val="center"/>
          </w:tcPr>
          <w:p w14:paraId="15EBDED2">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跨境人民币结算奖补审核服务</w:t>
            </w:r>
          </w:p>
        </w:tc>
        <w:tc>
          <w:tcPr>
            <w:tcW w:w="224" w:type="pct"/>
            <w:tcBorders>
              <w:top w:val="single" w:color="auto" w:sz="4" w:space="0"/>
              <w:left w:val="single" w:color="auto" w:sz="4" w:space="0"/>
              <w:bottom w:val="single" w:color="auto" w:sz="4" w:space="0"/>
              <w:right w:val="single" w:color="auto" w:sz="4" w:space="0"/>
            </w:tcBorders>
            <w:noWrap/>
            <w:vAlign w:val="center"/>
          </w:tcPr>
          <w:p w14:paraId="6E072883">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1</w:t>
            </w:r>
          </w:p>
        </w:tc>
        <w:tc>
          <w:tcPr>
            <w:tcW w:w="218" w:type="pct"/>
            <w:tcBorders>
              <w:top w:val="single" w:color="auto" w:sz="4" w:space="0"/>
              <w:left w:val="single" w:color="auto" w:sz="4" w:space="0"/>
              <w:bottom w:val="single" w:color="auto" w:sz="4" w:space="0"/>
              <w:right w:val="single" w:color="auto" w:sz="4" w:space="0"/>
            </w:tcBorders>
            <w:noWrap/>
            <w:vAlign w:val="center"/>
          </w:tcPr>
          <w:p w14:paraId="021CB147">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项</w:t>
            </w:r>
          </w:p>
        </w:tc>
        <w:tc>
          <w:tcPr>
            <w:tcW w:w="1194" w:type="dxa"/>
            <w:tcBorders>
              <w:top w:val="single" w:color="auto" w:sz="4" w:space="0"/>
              <w:left w:val="single" w:color="auto" w:sz="4" w:space="0"/>
              <w:bottom w:val="single" w:color="auto" w:sz="4" w:space="0"/>
              <w:right w:val="single" w:color="auto" w:sz="4" w:space="0"/>
            </w:tcBorders>
            <w:noWrap/>
            <w:vAlign w:val="center"/>
          </w:tcPr>
          <w:p w14:paraId="56749F13">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0000.00</w:t>
            </w:r>
          </w:p>
        </w:tc>
        <w:tc>
          <w:tcPr>
            <w:tcW w:w="700" w:type="pct"/>
            <w:tcBorders>
              <w:top w:val="single" w:color="auto" w:sz="4" w:space="0"/>
              <w:left w:val="single" w:color="auto" w:sz="4" w:space="0"/>
              <w:bottom w:val="single" w:color="auto" w:sz="4" w:space="0"/>
              <w:right w:val="single" w:color="auto" w:sz="4" w:space="0"/>
            </w:tcBorders>
            <w:noWrap/>
            <w:vAlign w:val="center"/>
          </w:tcPr>
          <w:p w14:paraId="209F9211">
            <w:pPr>
              <w:spacing w:line="400" w:lineRule="exact"/>
              <w:contextualSpacing/>
              <w:jc w:val="center"/>
              <w:rPr>
                <w:rFonts w:ascii="宋体" w:hAnsi="宋体" w:cs="宋体"/>
                <w:color w:val="auto"/>
                <w:szCs w:val="21"/>
                <w:highlight w:val="none"/>
              </w:rPr>
            </w:pPr>
          </w:p>
        </w:tc>
        <w:tc>
          <w:tcPr>
            <w:tcW w:w="702" w:type="pct"/>
            <w:tcBorders>
              <w:top w:val="single" w:color="auto" w:sz="4" w:space="0"/>
              <w:left w:val="single" w:color="auto" w:sz="4" w:space="0"/>
              <w:bottom w:val="single" w:color="auto" w:sz="4" w:space="0"/>
              <w:right w:val="single" w:color="auto" w:sz="4" w:space="0"/>
            </w:tcBorders>
            <w:noWrap/>
            <w:vAlign w:val="center"/>
          </w:tcPr>
          <w:p w14:paraId="3AFD18F9">
            <w:pPr>
              <w:spacing w:line="400" w:lineRule="exact"/>
              <w:contextualSpacing/>
              <w:jc w:val="center"/>
              <w:rPr>
                <w:rFonts w:ascii="宋体" w:hAnsi="宋体" w:cs="宋体"/>
                <w:color w:val="auto"/>
                <w:szCs w:val="21"/>
                <w:highlight w:val="none"/>
              </w:rPr>
            </w:pPr>
          </w:p>
        </w:tc>
      </w:tr>
      <w:tr w14:paraId="3DE2E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00" w:type="pct"/>
            <w:tcBorders>
              <w:top w:val="single" w:color="auto" w:sz="4" w:space="0"/>
              <w:left w:val="single" w:color="auto" w:sz="4" w:space="0"/>
              <w:bottom w:val="single" w:color="auto" w:sz="4" w:space="0"/>
              <w:right w:val="single" w:color="auto" w:sz="4" w:space="0"/>
            </w:tcBorders>
            <w:noWrap/>
            <w:vAlign w:val="center"/>
          </w:tcPr>
          <w:p w14:paraId="127BB437">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5</w:t>
            </w:r>
          </w:p>
        </w:tc>
        <w:tc>
          <w:tcPr>
            <w:tcW w:w="2252" w:type="pct"/>
            <w:tcBorders>
              <w:top w:val="single" w:color="auto" w:sz="4" w:space="0"/>
              <w:left w:val="single" w:color="auto" w:sz="4" w:space="0"/>
              <w:bottom w:val="single" w:color="auto" w:sz="4" w:space="0"/>
              <w:right w:val="single" w:color="auto" w:sz="4" w:space="0"/>
            </w:tcBorders>
            <w:noWrap/>
            <w:vAlign w:val="center"/>
          </w:tcPr>
          <w:p w14:paraId="3FC73D0E">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直接融资奖补审核服务</w:t>
            </w:r>
          </w:p>
        </w:tc>
        <w:tc>
          <w:tcPr>
            <w:tcW w:w="224" w:type="pct"/>
            <w:tcBorders>
              <w:top w:val="single" w:color="auto" w:sz="4" w:space="0"/>
              <w:left w:val="single" w:color="auto" w:sz="4" w:space="0"/>
              <w:bottom w:val="single" w:color="auto" w:sz="4" w:space="0"/>
              <w:right w:val="single" w:color="auto" w:sz="4" w:space="0"/>
            </w:tcBorders>
            <w:noWrap/>
            <w:vAlign w:val="center"/>
          </w:tcPr>
          <w:p w14:paraId="121FCA42">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1</w:t>
            </w:r>
          </w:p>
        </w:tc>
        <w:tc>
          <w:tcPr>
            <w:tcW w:w="218" w:type="pct"/>
            <w:tcBorders>
              <w:top w:val="single" w:color="auto" w:sz="4" w:space="0"/>
              <w:left w:val="single" w:color="auto" w:sz="4" w:space="0"/>
              <w:bottom w:val="single" w:color="auto" w:sz="4" w:space="0"/>
              <w:right w:val="single" w:color="auto" w:sz="4" w:space="0"/>
            </w:tcBorders>
            <w:noWrap/>
            <w:vAlign w:val="center"/>
          </w:tcPr>
          <w:p w14:paraId="7EC199C5">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项</w:t>
            </w:r>
          </w:p>
        </w:tc>
        <w:tc>
          <w:tcPr>
            <w:tcW w:w="1194" w:type="dxa"/>
            <w:tcBorders>
              <w:top w:val="single" w:color="auto" w:sz="4" w:space="0"/>
              <w:left w:val="single" w:color="auto" w:sz="4" w:space="0"/>
              <w:bottom w:val="single" w:color="auto" w:sz="4" w:space="0"/>
              <w:right w:val="single" w:color="auto" w:sz="4" w:space="0"/>
            </w:tcBorders>
            <w:noWrap/>
            <w:vAlign w:val="center"/>
          </w:tcPr>
          <w:p w14:paraId="123064A4">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0000.00</w:t>
            </w:r>
          </w:p>
        </w:tc>
        <w:tc>
          <w:tcPr>
            <w:tcW w:w="700" w:type="pct"/>
            <w:tcBorders>
              <w:top w:val="single" w:color="auto" w:sz="4" w:space="0"/>
              <w:left w:val="single" w:color="auto" w:sz="4" w:space="0"/>
              <w:bottom w:val="single" w:color="auto" w:sz="4" w:space="0"/>
              <w:right w:val="single" w:color="auto" w:sz="4" w:space="0"/>
            </w:tcBorders>
            <w:noWrap/>
            <w:vAlign w:val="center"/>
          </w:tcPr>
          <w:p w14:paraId="6D24EA72">
            <w:pPr>
              <w:spacing w:line="400" w:lineRule="exact"/>
              <w:contextualSpacing/>
              <w:jc w:val="center"/>
              <w:rPr>
                <w:rFonts w:ascii="宋体" w:hAnsi="宋体" w:cs="宋体"/>
                <w:color w:val="auto"/>
                <w:szCs w:val="21"/>
                <w:highlight w:val="none"/>
              </w:rPr>
            </w:pPr>
          </w:p>
        </w:tc>
        <w:tc>
          <w:tcPr>
            <w:tcW w:w="702" w:type="pct"/>
            <w:tcBorders>
              <w:top w:val="single" w:color="auto" w:sz="4" w:space="0"/>
              <w:left w:val="single" w:color="auto" w:sz="4" w:space="0"/>
              <w:bottom w:val="single" w:color="auto" w:sz="4" w:space="0"/>
              <w:right w:val="single" w:color="auto" w:sz="4" w:space="0"/>
            </w:tcBorders>
            <w:noWrap/>
            <w:vAlign w:val="center"/>
          </w:tcPr>
          <w:p w14:paraId="25F83123">
            <w:pPr>
              <w:spacing w:line="400" w:lineRule="exact"/>
              <w:contextualSpacing/>
              <w:jc w:val="center"/>
              <w:rPr>
                <w:rFonts w:ascii="宋体" w:hAnsi="宋体" w:cs="宋体"/>
                <w:color w:val="auto"/>
                <w:szCs w:val="21"/>
                <w:highlight w:val="none"/>
              </w:rPr>
            </w:pPr>
          </w:p>
        </w:tc>
      </w:tr>
      <w:tr w14:paraId="4BD4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00" w:type="pct"/>
            <w:tcBorders>
              <w:top w:val="single" w:color="auto" w:sz="4" w:space="0"/>
              <w:left w:val="single" w:color="auto" w:sz="4" w:space="0"/>
              <w:bottom w:val="single" w:color="auto" w:sz="4" w:space="0"/>
              <w:right w:val="single" w:color="auto" w:sz="4" w:space="0"/>
            </w:tcBorders>
            <w:noWrap/>
            <w:vAlign w:val="center"/>
          </w:tcPr>
          <w:p w14:paraId="16BBBA8B">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6</w:t>
            </w:r>
          </w:p>
        </w:tc>
        <w:tc>
          <w:tcPr>
            <w:tcW w:w="2252" w:type="pct"/>
            <w:tcBorders>
              <w:top w:val="single" w:color="auto" w:sz="4" w:space="0"/>
              <w:left w:val="single" w:color="auto" w:sz="4" w:space="0"/>
              <w:bottom w:val="single" w:color="auto" w:sz="4" w:space="0"/>
              <w:right w:val="single" w:color="auto" w:sz="4" w:space="0"/>
            </w:tcBorders>
            <w:noWrap/>
            <w:vAlign w:val="center"/>
          </w:tcPr>
          <w:p w14:paraId="320D7757">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交易场所现场检查</w:t>
            </w:r>
          </w:p>
        </w:tc>
        <w:tc>
          <w:tcPr>
            <w:tcW w:w="224" w:type="pct"/>
            <w:tcBorders>
              <w:top w:val="single" w:color="auto" w:sz="4" w:space="0"/>
              <w:left w:val="single" w:color="auto" w:sz="4" w:space="0"/>
              <w:bottom w:val="single" w:color="auto" w:sz="4" w:space="0"/>
              <w:right w:val="single" w:color="auto" w:sz="4" w:space="0"/>
            </w:tcBorders>
            <w:noWrap/>
            <w:vAlign w:val="center"/>
          </w:tcPr>
          <w:p w14:paraId="6359DE4A">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1</w:t>
            </w:r>
          </w:p>
        </w:tc>
        <w:tc>
          <w:tcPr>
            <w:tcW w:w="218" w:type="pct"/>
            <w:tcBorders>
              <w:top w:val="single" w:color="auto" w:sz="4" w:space="0"/>
              <w:left w:val="single" w:color="auto" w:sz="4" w:space="0"/>
              <w:bottom w:val="single" w:color="auto" w:sz="4" w:space="0"/>
              <w:right w:val="single" w:color="auto" w:sz="4" w:space="0"/>
            </w:tcBorders>
            <w:noWrap/>
            <w:vAlign w:val="center"/>
          </w:tcPr>
          <w:p w14:paraId="1AD217DA">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项</w:t>
            </w:r>
          </w:p>
        </w:tc>
        <w:tc>
          <w:tcPr>
            <w:tcW w:w="1194" w:type="dxa"/>
            <w:tcBorders>
              <w:top w:val="single" w:color="auto" w:sz="4" w:space="0"/>
              <w:left w:val="single" w:color="auto" w:sz="4" w:space="0"/>
              <w:bottom w:val="single" w:color="auto" w:sz="4" w:space="0"/>
              <w:right w:val="single" w:color="auto" w:sz="4" w:space="0"/>
            </w:tcBorders>
            <w:noWrap/>
            <w:vAlign w:val="center"/>
          </w:tcPr>
          <w:p w14:paraId="295B7DB0">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24</w:t>
            </w:r>
            <w:r>
              <w:rPr>
                <w:rFonts w:hint="eastAsia" w:ascii="宋体" w:hAnsi="宋体" w:cs="宋体"/>
                <w:color w:val="auto"/>
                <w:szCs w:val="21"/>
                <w:highlight w:val="none"/>
                <w:lang w:eastAsia="zh-CN"/>
              </w:rPr>
              <w:t>0000.00</w:t>
            </w:r>
          </w:p>
        </w:tc>
        <w:tc>
          <w:tcPr>
            <w:tcW w:w="700" w:type="pct"/>
            <w:tcBorders>
              <w:top w:val="single" w:color="auto" w:sz="4" w:space="0"/>
              <w:left w:val="single" w:color="auto" w:sz="4" w:space="0"/>
              <w:bottom w:val="single" w:color="auto" w:sz="4" w:space="0"/>
              <w:right w:val="single" w:color="auto" w:sz="4" w:space="0"/>
            </w:tcBorders>
            <w:noWrap/>
            <w:vAlign w:val="center"/>
          </w:tcPr>
          <w:p w14:paraId="43F0D890">
            <w:pPr>
              <w:spacing w:line="400" w:lineRule="exact"/>
              <w:contextualSpacing/>
              <w:jc w:val="center"/>
              <w:rPr>
                <w:rFonts w:ascii="宋体" w:hAnsi="宋体" w:cs="宋体"/>
                <w:color w:val="auto"/>
                <w:szCs w:val="21"/>
                <w:highlight w:val="none"/>
              </w:rPr>
            </w:pPr>
          </w:p>
        </w:tc>
        <w:tc>
          <w:tcPr>
            <w:tcW w:w="702" w:type="pct"/>
            <w:tcBorders>
              <w:top w:val="single" w:color="auto" w:sz="4" w:space="0"/>
              <w:left w:val="single" w:color="auto" w:sz="4" w:space="0"/>
              <w:bottom w:val="single" w:color="auto" w:sz="4" w:space="0"/>
              <w:right w:val="single" w:color="auto" w:sz="4" w:space="0"/>
            </w:tcBorders>
            <w:noWrap/>
            <w:vAlign w:val="center"/>
          </w:tcPr>
          <w:p w14:paraId="2DE189D5">
            <w:pPr>
              <w:spacing w:line="400" w:lineRule="exact"/>
              <w:contextualSpacing/>
              <w:jc w:val="center"/>
              <w:rPr>
                <w:rFonts w:ascii="宋体" w:hAnsi="宋体" w:cs="宋体"/>
                <w:color w:val="auto"/>
                <w:szCs w:val="21"/>
                <w:highlight w:val="none"/>
              </w:rPr>
            </w:pPr>
          </w:p>
        </w:tc>
      </w:tr>
      <w:tr w14:paraId="6F33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14:paraId="100CBB40">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合计金额大写：人民币（¥）</w:t>
            </w:r>
          </w:p>
        </w:tc>
      </w:tr>
    </w:tbl>
    <w:p w14:paraId="0253AF0E">
      <w:pPr>
        <w:spacing w:line="400" w:lineRule="exact"/>
        <w:contextualSpacing/>
        <w:jc w:val="left"/>
        <w:rPr>
          <w:rFonts w:ascii="宋体" w:hAnsi="宋体" w:cs="宋体"/>
          <w:color w:val="auto"/>
          <w:szCs w:val="21"/>
          <w:highlight w:val="none"/>
        </w:rPr>
      </w:pPr>
      <w:r>
        <w:rPr>
          <w:rFonts w:hint="eastAsia" w:ascii="宋体" w:hAnsi="宋体" w:cs="宋体"/>
          <w:color w:val="auto"/>
          <w:szCs w:val="21"/>
          <w:highlight w:val="none"/>
        </w:rPr>
        <w:t>注：</w:t>
      </w:r>
    </w:p>
    <w:p w14:paraId="195E21D5">
      <w:pPr>
        <w:spacing w:line="400" w:lineRule="exact"/>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1. 供应商的报价表必须加盖供应商电子签章并由法定代表人或者委托代理人签字或者电子签名，</w:t>
      </w:r>
      <w:r>
        <w:rPr>
          <w:rFonts w:hint="eastAsia" w:ascii="宋体" w:hAnsi="宋体" w:cs="宋体"/>
          <w:b/>
          <w:color w:val="auto"/>
          <w:szCs w:val="21"/>
          <w:highlight w:val="none"/>
        </w:rPr>
        <w:t>否则其响应文件按无效处理</w:t>
      </w:r>
      <w:r>
        <w:rPr>
          <w:rFonts w:hint="eastAsia" w:ascii="宋体" w:hAnsi="宋体" w:cs="宋体"/>
          <w:color w:val="auto"/>
          <w:szCs w:val="21"/>
          <w:highlight w:val="none"/>
        </w:rPr>
        <w:t>。</w:t>
      </w:r>
    </w:p>
    <w:p w14:paraId="38350E44">
      <w:pPr>
        <w:spacing w:line="400" w:lineRule="exact"/>
        <w:ind w:firstLine="420" w:firstLineChars="200"/>
        <w:contextualSpacing/>
        <w:jc w:val="left"/>
        <w:rPr>
          <w:rFonts w:ascii="宋体" w:hAnsi="宋体" w:cs="宋体"/>
          <w:b/>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 xml:space="preserve"> 报价一经涂改，应在涂改处加盖供应商公章或者加盖电子签章或者由法定代表人或者授权委托人签字（或者电子签名）</w:t>
      </w:r>
      <w:r>
        <w:rPr>
          <w:rFonts w:hint="eastAsia" w:ascii="宋体" w:hAnsi="宋体" w:cs="宋体"/>
          <w:b/>
          <w:color w:val="auto"/>
          <w:szCs w:val="21"/>
          <w:highlight w:val="none"/>
        </w:rPr>
        <w:t>，否则其响应文件按无效处理。</w:t>
      </w:r>
    </w:p>
    <w:p w14:paraId="28EBE94E">
      <w:pPr>
        <w:spacing w:line="400" w:lineRule="exact"/>
        <w:ind w:firstLine="420" w:firstLineChars="200"/>
        <w:contextualSpacing/>
        <w:jc w:val="left"/>
        <w:rPr>
          <w:rFonts w:ascii="宋体" w:hAnsi="宋体" w:cs="宋体"/>
          <w:b/>
          <w:color w:val="auto"/>
          <w:szCs w:val="21"/>
          <w:highlight w:val="none"/>
        </w:rPr>
      </w:pPr>
      <w:r>
        <w:rPr>
          <w:rFonts w:hint="eastAsia" w:ascii="宋体" w:hAnsi="宋体" w:cs="宋体"/>
          <w:color w:val="auto"/>
          <w:szCs w:val="21"/>
          <w:highlight w:val="none"/>
        </w:rPr>
        <w:t>3.如为联合体竞标，“供应商名称”处必须列明联合体各方名称，标注联合体牵头人名称，</w:t>
      </w:r>
      <w:r>
        <w:rPr>
          <w:rFonts w:hint="eastAsia" w:ascii="宋体" w:hAnsi="宋体" w:cs="宋体"/>
          <w:b/>
          <w:color w:val="auto"/>
          <w:szCs w:val="21"/>
          <w:highlight w:val="none"/>
        </w:rPr>
        <w:t>否则其响应文件按无效响应处理。</w:t>
      </w:r>
    </w:p>
    <w:p w14:paraId="4CE33A16">
      <w:pPr>
        <w:spacing w:line="400" w:lineRule="exact"/>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4. 如为联合体竞标，</w:t>
      </w:r>
      <w:r>
        <w:rPr>
          <w:rFonts w:hint="eastAsia" w:ascii="宋体" w:hAnsi="宋体" w:cs="宋体"/>
          <w:color w:val="auto"/>
          <w:spacing w:val="-6"/>
          <w:szCs w:val="21"/>
          <w:highlight w:val="none"/>
        </w:rPr>
        <w:t xml:space="preserve"> 盖章处须加盖联合体牵头人电子签章</w:t>
      </w:r>
      <w:r>
        <w:rPr>
          <w:rFonts w:hint="eastAsia" w:ascii="宋体" w:hAnsi="宋体" w:cs="宋体"/>
          <w:color w:val="auto"/>
          <w:szCs w:val="21"/>
          <w:highlight w:val="none"/>
        </w:rPr>
        <w:t>，</w:t>
      </w:r>
      <w:r>
        <w:rPr>
          <w:rFonts w:hint="eastAsia" w:ascii="宋体" w:hAnsi="宋体" w:cs="宋体"/>
          <w:b/>
          <w:color w:val="auto"/>
          <w:szCs w:val="21"/>
          <w:highlight w:val="none"/>
        </w:rPr>
        <w:t>否则其响应文件按无效处理。</w:t>
      </w:r>
    </w:p>
    <w:p w14:paraId="414AF05D">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pacing w:val="-6"/>
          <w:szCs w:val="21"/>
          <w:highlight w:val="none"/>
        </w:rPr>
        <w:t>如有多分标，分别列明各分标的报价表，</w:t>
      </w:r>
      <w:r>
        <w:rPr>
          <w:rFonts w:hint="eastAsia" w:ascii="宋体" w:hAnsi="宋体" w:cs="宋体"/>
          <w:b/>
          <w:color w:val="auto"/>
          <w:spacing w:val="-6"/>
          <w:szCs w:val="21"/>
          <w:highlight w:val="none"/>
        </w:rPr>
        <w:t>否则其响应文件按无效响应处理。</w:t>
      </w:r>
    </w:p>
    <w:p w14:paraId="267577BF">
      <w:pPr>
        <w:spacing w:line="400" w:lineRule="exact"/>
        <w:contextualSpacing/>
        <w:rPr>
          <w:rFonts w:ascii="宋体" w:hAnsi="宋体" w:cs="宋体"/>
          <w:color w:val="auto"/>
          <w:szCs w:val="21"/>
          <w:highlight w:val="none"/>
        </w:rPr>
      </w:pPr>
    </w:p>
    <w:p w14:paraId="5A693BC4">
      <w:pPr>
        <w:spacing w:line="400" w:lineRule="exact"/>
        <w:ind w:firstLine="2310" w:firstLineChars="1100"/>
        <w:contextualSpacing/>
        <w:rPr>
          <w:rFonts w:ascii="宋体" w:hAnsi="宋体" w:cs="宋体"/>
          <w:color w:val="auto"/>
          <w:szCs w:val="21"/>
          <w:highlight w:val="none"/>
        </w:rPr>
      </w:pPr>
      <w:r>
        <w:rPr>
          <w:rFonts w:hint="eastAsia" w:ascii="宋体" w:hAnsi="宋体" w:cs="宋体"/>
          <w:color w:val="auto"/>
          <w:szCs w:val="21"/>
          <w:highlight w:val="none"/>
        </w:rPr>
        <w:t xml:space="preserve">法定代表人或者委托代理人（签字或者电子签名）：                    </w:t>
      </w:r>
    </w:p>
    <w:p w14:paraId="4EF5BDA4">
      <w:pPr>
        <w:spacing w:line="400" w:lineRule="exact"/>
        <w:ind w:firstLine="2310" w:firstLineChars="1100"/>
        <w:contextualSpacing/>
        <w:rPr>
          <w:rFonts w:ascii="宋体" w:hAnsi="宋体" w:cs="宋体"/>
          <w:color w:val="auto"/>
          <w:szCs w:val="21"/>
          <w:highlight w:val="none"/>
        </w:rPr>
      </w:pPr>
      <w:r>
        <w:rPr>
          <w:rFonts w:hint="eastAsia" w:ascii="宋体" w:hAnsi="宋体" w:cs="宋体"/>
          <w:color w:val="auto"/>
          <w:szCs w:val="21"/>
          <w:highlight w:val="none"/>
        </w:rPr>
        <w:t xml:space="preserve">供应商名称（电子签章）：      </w:t>
      </w:r>
    </w:p>
    <w:p w14:paraId="329C46BA">
      <w:pPr>
        <w:spacing w:line="400" w:lineRule="exact"/>
        <w:ind w:firstLine="3570" w:firstLineChars="1700"/>
        <w:contextualSpacing/>
        <w:rPr>
          <w:rFonts w:ascii="宋体" w:hAnsi="宋体" w:cs="宋体"/>
          <w:b/>
          <w:color w:val="auto"/>
          <w:szCs w:val="21"/>
          <w:highlight w:val="none"/>
        </w:rPr>
      </w:pPr>
      <w:r>
        <w:rPr>
          <w:rFonts w:hint="eastAsia" w:ascii="宋体" w:hAnsi="宋体" w:cs="宋体"/>
          <w:color w:val="auto"/>
          <w:szCs w:val="21"/>
          <w:highlight w:val="none"/>
        </w:rPr>
        <w:t>日期：   年   月   日</w:t>
      </w:r>
    </w:p>
    <w:p w14:paraId="7B97D09B">
      <w:pPr>
        <w:rPr>
          <w:rFonts w:ascii="宋体" w:hAnsi="宋体"/>
          <w:b/>
          <w:bCs/>
          <w:color w:val="auto"/>
          <w:sz w:val="32"/>
          <w:szCs w:val="32"/>
          <w:highlight w:val="none"/>
        </w:rPr>
      </w:pPr>
      <w:r>
        <w:rPr>
          <w:rFonts w:ascii="宋体" w:hAnsi="宋体"/>
          <w:b/>
          <w:bCs/>
          <w:color w:val="auto"/>
          <w:sz w:val="32"/>
          <w:szCs w:val="32"/>
          <w:highlight w:val="none"/>
        </w:rPr>
        <w:br w:type="page"/>
      </w:r>
    </w:p>
    <w:p w14:paraId="59D1F6D9">
      <w:pPr>
        <w:spacing w:line="520" w:lineRule="exact"/>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竞  标  报  价  表</w:t>
      </w:r>
    </w:p>
    <w:p w14:paraId="5EC5B5BD">
      <w:pPr>
        <w:spacing w:line="440" w:lineRule="exact"/>
        <w:jc w:val="center"/>
        <w:rPr>
          <w:rFonts w:ascii="方正小标宋简体" w:hAnsi="方正小标宋简体" w:eastAsia="方正小标宋简体" w:cs="方正小标宋简体"/>
          <w:bCs/>
          <w:color w:val="auto"/>
          <w:sz w:val="32"/>
          <w:szCs w:val="32"/>
          <w:highlight w:val="none"/>
        </w:rPr>
      </w:pPr>
    </w:p>
    <w:p w14:paraId="43237C30">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项目名称：项目编号：</w:t>
      </w:r>
    </w:p>
    <w:p w14:paraId="3A08375F">
      <w:pPr>
        <w:spacing w:line="360" w:lineRule="auto"/>
        <w:contextualSpacing/>
        <w:rPr>
          <w:rFonts w:ascii="宋体" w:hAnsi="宋体" w:cs="宋体"/>
          <w:color w:val="auto"/>
          <w:szCs w:val="21"/>
          <w:highlight w:val="none"/>
          <w:u w:val="single"/>
        </w:rPr>
      </w:pPr>
      <w:r>
        <w:rPr>
          <w:rFonts w:hint="eastAsia" w:ascii="宋体" w:hAnsi="宋体" w:cs="宋体"/>
          <w:color w:val="auto"/>
          <w:szCs w:val="21"/>
          <w:highlight w:val="none"/>
        </w:rPr>
        <w:t>分标（如有）：</w:t>
      </w:r>
      <w:r>
        <w:rPr>
          <w:rFonts w:hint="eastAsia" w:ascii="宋体" w:hAnsi="宋体" w:cs="宋体"/>
          <w:color w:val="auto"/>
          <w:szCs w:val="21"/>
          <w:highlight w:val="none"/>
          <w:u w:val="single"/>
        </w:rPr>
        <w:t>B分标</w:t>
      </w:r>
    </w:p>
    <w:p w14:paraId="264C3619">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供应商名称：</w:t>
      </w:r>
    </w:p>
    <w:p w14:paraId="232E8F44">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 xml:space="preserve">                                                单位：元</w:t>
      </w:r>
    </w:p>
    <w:tbl>
      <w:tblPr>
        <w:tblStyle w:val="24"/>
        <w:tblW w:w="4998"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
        <w:gridCol w:w="3839"/>
        <w:gridCol w:w="382"/>
        <w:gridCol w:w="372"/>
        <w:gridCol w:w="1194"/>
        <w:gridCol w:w="1194"/>
        <w:gridCol w:w="1204"/>
      </w:tblGrid>
      <w:tr w14:paraId="6A01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00" w:type="pct"/>
            <w:tcBorders>
              <w:top w:val="single" w:color="auto" w:sz="4" w:space="0"/>
              <w:left w:val="single" w:color="auto" w:sz="4" w:space="0"/>
              <w:bottom w:val="single" w:color="auto" w:sz="4" w:space="0"/>
              <w:right w:val="single" w:color="auto" w:sz="4" w:space="0"/>
            </w:tcBorders>
            <w:noWrap/>
            <w:vAlign w:val="center"/>
          </w:tcPr>
          <w:p w14:paraId="4BE84E13">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252" w:type="pct"/>
            <w:tcBorders>
              <w:top w:val="single" w:color="auto" w:sz="4" w:space="0"/>
              <w:left w:val="single" w:color="auto" w:sz="4" w:space="0"/>
              <w:bottom w:val="single" w:color="auto" w:sz="4" w:space="0"/>
              <w:right w:val="single" w:color="auto" w:sz="4" w:space="0"/>
            </w:tcBorders>
            <w:noWrap/>
            <w:vAlign w:val="center"/>
          </w:tcPr>
          <w:p w14:paraId="5CDE79EC">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224" w:type="pct"/>
            <w:tcBorders>
              <w:top w:val="single" w:color="auto" w:sz="4" w:space="0"/>
              <w:left w:val="single" w:color="auto" w:sz="4" w:space="0"/>
              <w:bottom w:val="single" w:color="auto" w:sz="4" w:space="0"/>
              <w:right w:val="single" w:color="auto" w:sz="4" w:space="0"/>
            </w:tcBorders>
            <w:noWrap/>
            <w:vAlign w:val="center"/>
          </w:tcPr>
          <w:p w14:paraId="338FF653">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218" w:type="pct"/>
            <w:tcBorders>
              <w:top w:val="single" w:color="auto" w:sz="4" w:space="0"/>
              <w:left w:val="single" w:color="auto" w:sz="4" w:space="0"/>
              <w:bottom w:val="single" w:color="auto" w:sz="4" w:space="0"/>
              <w:right w:val="single" w:color="auto" w:sz="4" w:space="0"/>
            </w:tcBorders>
            <w:noWrap/>
            <w:vAlign w:val="center"/>
          </w:tcPr>
          <w:p w14:paraId="3674743D">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700" w:type="pct"/>
            <w:tcBorders>
              <w:top w:val="single" w:color="auto" w:sz="4" w:space="0"/>
              <w:left w:val="single" w:color="auto" w:sz="4" w:space="0"/>
              <w:bottom w:val="single" w:color="auto" w:sz="4" w:space="0"/>
              <w:right w:val="single" w:color="auto" w:sz="4" w:space="0"/>
            </w:tcBorders>
            <w:noWrap/>
            <w:vAlign w:val="center"/>
          </w:tcPr>
          <w:p w14:paraId="6D43F1B8">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分项预算金额</w:t>
            </w:r>
          </w:p>
        </w:tc>
        <w:tc>
          <w:tcPr>
            <w:tcW w:w="1194" w:type="dxa"/>
            <w:tcBorders>
              <w:top w:val="single" w:color="auto" w:sz="4" w:space="0"/>
              <w:left w:val="single" w:color="auto" w:sz="4" w:space="0"/>
              <w:bottom w:val="single" w:color="auto" w:sz="4" w:space="0"/>
              <w:right w:val="single" w:color="auto" w:sz="4" w:space="0"/>
            </w:tcBorders>
            <w:noWrap/>
            <w:vAlign w:val="center"/>
          </w:tcPr>
          <w:p w14:paraId="7C23E177">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单价</w:t>
            </w:r>
          </w:p>
        </w:tc>
        <w:tc>
          <w:tcPr>
            <w:tcW w:w="1204" w:type="dxa"/>
            <w:tcBorders>
              <w:top w:val="single" w:color="auto" w:sz="4" w:space="0"/>
              <w:left w:val="single" w:color="auto" w:sz="4" w:space="0"/>
              <w:bottom w:val="single" w:color="auto" w:sz="4" w:space="0"/>
              <w:right w:val="single" w:color="auto" w:sz="4" w:space="0"/>
            </w:tcBorders>
            <w:noWrap/>
            <w:vAlign w:val="center"/>
          </w:tcPr>
          <w:p w14:paraId="05E94E48">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lang w:val="en-US" w:eastAsia="zh-CN"/>
              </w:rPr>
              <w:t>分项合计</w:t>
            </w:r>
          </w:p>
        </w:tc>
      </w:tr>
      <w:tr w14:paraId="5228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00" w:type="pct"/>
            <w:tcBorders>
              <w:top w:val="single" w:color="auto" w:sz="4" w:space="0"/>
              <w:left w:val="single" w:color="auto" w:sz="4" w:space="0"/>
              <w:bottom w:val="single" w:color="auto" w:sz="4" w:space="0"/>
              <w:right w:val="single" w:color="auto" w:sz="4" w:space="0"/>
            </w:tcBorders>
            <w:noWrap/>
            <w:vAlign w:val="center"/>
          </w:tcPr>
          <w:p w14:paraId="41C093CC">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1</w:t>
            </w:r>
          </w:p>
        </w:tc>
        <w:tc>
          <w:tcPr>
            <w:tcW w:w="3841" w:type="dxa"/>
            <w:tcBorders>
              <w:top w:val="single" w:color="auto" w:sz="4" w:space="0"/>
              <w:left w:val="single" w:color="auto" w:sz="4" w:space="0"/>
              <w:bottom w:val="single" w:color="auto" w:sz="4" w:space="0"/>
              <w:right w:val="single" w:color="auto" w:sz="4" w:space="0"/>
            </w:tcBorders>
            <w:noWrap/>
            <w:vAlign w:val="center"/>
          </w:tcPr>
          <w:p w14:paraId="22412B88">
            <w:pPr>
              <w:spacing w:line="440" w:lineRule="exact"/>
              <w:jc w:val="center"/>
              <w:rPr>
                <w:rFonts w:ascii="宋体" w:hAnsi="宋体" w:cs="宋体"/>
                <w:color w:val="auto"/>
                <w:szCs w:val="21"/>
                <w:highlight w:val="none"/>
              </w:rPr>
            </w:pPr>
            <w:r>
              <w:rPr>
                <w:rFonts w:hint="eastAsia" w:ascii="宋体" w:hAnsi="宋体" w:cs="Calibri"/>
                <w:color w:val="auto"/>
                <w:szCs w:val="21"/>
                <w:highlight w:val="none"/>
              </w:rPr>
              <w:t>融资担保公司现场检查与监管评级</w:t>
            </w:r>
          </w:p>
        </w:tc>
        <w:tc>
          <w:tcPr>
            <w:tcW w:w="224" w:type="pct"/>
            <w:tcBorders>
              <w:top w:val="single" w:color="auto" w:sz="4" w:space="0"/>
              <w:left w:val="single" w:color="auto" w:sz="4" w:space="0"/>
              <w:bottom w:val="single" w:color="auto" w:sz="4" w:space="0"/>
              <w:right w:val="single" w:color="auto" w:sz="4" w:space="0"/>
            </w:tcBorders>
            <w:noWrap/>
            <w:vAlign w:val="center"/>
          </w:tcPr>
          <w:p w14:paraId="14337F24">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1</w:t>
            </w:r>
          </w:p>
        </w:tc>
        <w:tc>
          <w:tcPr>
            <w:tcW w:w="218" w:type="pct"/>
            <w:tcBorders>
              <w:top w:val="single" w:color="auto" w:sz="4" w:space="0"/>
              <w:left w:val="single" w:color="auto" w:sz="4" w:space="0"/>
              <w:bottom w:val="single" w:color="auto" w:sz="4" w:space="0"/>
              <w:right w:val="single" w:color="auto" w:sz="4" w:space="0"/>
            </w:tcBorders>
            <w:noWrap/>
            <w:vAlign w:val="center"/>
          </w:tcPr>
          <w:p w14:paraId="646DBFAB">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项</w:t>
            </w:r>
          </w:p>
        </w:tc>
        <w:tc>
          <w:tcPr>
            <w:tcW w:w="1195" w:type="dxa"/>
            <w:tcBorders>
              <w:top w:val="single" w:color="auto" w:sz="4" w:space="0"/>
              <w:left w:val="single" w:color="auto" w:sz="4" w:space="0"/>
              <w:bottom w:val="single" w:color="auto" w:sz="4" w:space="0"/>
              <w:right w:val="single" w:color="auto" w:sz="4" w:space="0"/>
            </w:tcBorders>
            <w:noWrap/>
            <w:vAlign w:val="center"/>
          </w:tcPr>
          <w:p w14:paraId="72BCBCFA">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355000.00</w:t>
            </w:r>
          </w:p>
        </w:tc>
        <w:tc>
          <w:tcPr>
            <w:tcW w:w="700" w:type="pct"/>
            <w:tcBorders>
              <w:top w:val="single" w:color="auto" w:sz="4" w:space="0"/>
              <w:left w:val="single" w:color="auto" w:sz="4" w:space="0"/>
              <w:bottom w:val="single" w:color="auto" w:sz="4" w:space="0"/>
              <w:right w:val="single" w:color="auto" w:sz="4" w:space="0"/>
            </w:tcBorders>
            <w:noWrap/>
            <w:vAlign w:val="center"/>
          </w:tcPr>
          <w:p w14:paraId="42795430">
            <w:pPr>
              <w:spacing w:line="400" w:lineRule="exact"/>
              <w:contextualSpacing/>
              <w:jc w:val="center"/>
              <w:rPr>
                <w:rFonts w:ascii="宋体" w:hAnsi="宋体" w:cs="宋体"/>
                <w:color w:val="auto"/>
                <w:szCs w:val="21"/>
                <w:highlight w:val="none"/>
              </w:rPr>
            </w:pPr>
          </w:p>
        </w:tc>
        <w:tc>
          <w:tcPr>
            <w:tcW w:w="702" w:type="pct"/>
            <w:tcBorders>
              <w:top w:val="single" w:color="auto" w:sz="4" w:space="0"/>
              <w:left w:val="single" w:color="auto" w:sz="4" w:space="0"/>
              <w:bottom w:val="single" w:color="auto" w:sz="4" w:space="0"/>
              <w:right w:val="single" w:color="auto" w:sz="4" w:space="0"/>
            </w:tcBorders>
            <w:noWrap/>
            <w:vAlign w:val="center"/>
          </w:tcPr>
          <w:p w14:paraId="108F143E">
            <w:pPr>
              <w:spacing w:line="400" w:lineRule="exact"/>
              <w:contextualSpacing/>
              <w:jc w:val="center"/>
              <w:rPr>
                <w:rFonts w:ascii="宋体" w:hAnsi="宋体" w:cs="宋体"/>
                <w:color w:val="auto"/>
                <w:szCs w:val="21"/>
                <w:highlight w:val="none"/>
              </w:rPr>
            </w:pPr>
          </w:p>
        </w:tc>
      </w:tr>
      <w:tr w14:paraId="406A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00" w:type="pct"/>
            <w:tcBorders>
              <w:top w:val="single" w:color="auto" w:sz="4" w:space="0"/>
              <w:left w:val="single" w:color="auto" w:sz="4" w:space="0"/>
              <w:bottom w:val="single" w:color="auto" w:sz="4" w:space="0"/>
              <w:right w:val="single" w:color="auto" w:sz="4" w:space="0"/>
            </w:tcBorders>
            <w:noWrap/>
            <w:vAlign w:val="center"/>
          </w:tcPr>
          <w:p w14:paraId="439111B6">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2</w:t>
            </w:r>
          </w:p>
        </w:tc>
        <w:tc>
          <w:tcPr>
            <w:tcW w:w="3841" w:type="dxa"/>
            <w:tcBorders>
              <w:top w:val="single" w:color="auto" w:sz="4" w:space="0"/>
              <w:left w:val="single" w:color="auto" w:sz="4" w:space="0"/>
              <w:bottom w:val="single" w:color="auto" w:sz="4" w:space="0"/>
              <w:right w:val="single" w:color="auto" w:sz="4" w:space="0"/>
            </w:tcBorders>
            <w:noWrap/>
            <w:vAlign w:val="center"/>
          </w:tcPr>
          <w:p w14:paraId="3615D2E2">
            <w:pPr>
              <w:spacing w:line="440" w:lineRule="exact"/>
              <w:jc w:val="center"/>
              <w:rPr>
                <w:rFonts w:ascii="宋体" w:hAnsi="宋体" w:cs="宋体"/>
                <w:color w:val="auto"/>
                <w:szCs w:val="21"/>
                <w:highlight w:val="none"/>
              </w:rPr>
            </w:pPr>
            <w:r>
              <w:rPr>
                <w:rFonts w:hint="eastAsia" w:ascii="宋体" w:hAnsi="宋体" w:cs="Calibri"/>
                <w:color w:val="auto"/>
                <w:szCs w:val="21"/>
                <w:highlight w:val="none"/>
              </w:rPr>
              <w:t>融资租赁公司现场检查与监管评级</w:t>
            </w:r>
          </w:p>
        </w:tc>
        <w:tc>
          <w:tcPr>
            <w:tcW w:w="224" w:type="pct"/>
            <w:tcBorders>
              <w:top w:val="single" w:color="auto" w:sz="4" w:space="0"/>
              <w:left w:val="single" w:color="auto" w:sz="4" w:space="0"/>
              <w:bottom w:val="single" w:color="auto" w:sz="4" w:space="0"/>
              <w:right w:val="single" w:color="auto" w:sz="4" w:space="0"/>
            </w:tcBorders>
            <w:noWrap/>
            <w:vAlign w:val="center"/>
          </w:tcPr>
          <w:p w14:paraId="0FE8A028">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1</w:t>
            </w:r>
          </w:p>
        </w:tc>
        <w:tc>
          <w:tcPr>
            <w:tcW w:w="218" w:type="pct"/>
            <w:tcBorders>
              <w:top w:val="single" w:color="auto" w:sz="4" w:space="0"/>
              <w:left w:val="single" w:color="auto" w:sz="4" w:space="0"/>
              <w:bottom w:val="single" w:color="auto" w:sz="4" w:space="0"/>
              <w:right w:val="single" w:color="auto" w:sz="4" w:space="0"/>
            </w:tcBorders>
            <w:noWrap/>
            <w:vAlign w:val="center"/>
          </w:tcPr>
          <w:p w14:paraId="47102DFB">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项</w:t>
            </w:r>
          </w:p>
        </w:tc>
        <w:tc>
          <w:tcPr>
            <w:tcW w:w="1195" w:type="dxa"/>
            <w:tcBorders>
              <w:top w:val="single" w:color="auto" w:sz="4" w:space="0"/>
              <w:left w:val="single" w:color="auto" w:sz="4" w:space="0"/>
              <w:bottom w:val="single" w:color="auto" w:sz="4" w:space="0"/>
              <w:right w:val="single" w:color="auto" w:sz="4" w:space="0"/>
            </w:tcBorders>
            <w:noWrap/>
            <w:vAlign w:val="center"/>
          </w:tcPr>
          <w:p w14:paraId="1423AE29">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55000.00</w:t>
            </w:r>
          </w:p>
        </w:tc>
        <w:tc>
          <w:tcPr>
            <w:tcW w:w="700" w:type="pct"/>
            <w:tcBorders>
              <w:top w:val="single" w:color="auto" w:sz="4" w:space="0"/>
              <w:left w:val="single" w:color="auto" w:sz="4" w:space="0"/>
              <w:bottom w:val="single" w:color="auto" w:sz="4" w:space="0"/>
              <w:right w:val="single" w:color="auto" w:sz="4" w:space="0"/>
            </w:tcBorders>
            <w:noWrap/>
            <w:vAlign w:val="center"/>
          </w:tcPr>
          <w:p w14:paraId="7588C7C1">
            <w:pPr>
              <w:spacing w:line="400" w:lineRule="exact"/>
              <w:contextualSpacing/>
              <w:jc w:val="center"/>
              <w:rPr>
                <w:rFonts w:ascii="宋体" w:hAnsi="宋体" w:cs="宋体"/>
                <w:color w:val="auto"/>
                <w:szCs w:val="21"/>
                <w:highlight w:val="none"/>
              </w:rPr>
            </w:pPr>
          </w:p>
        </w:tc>
        <w:tc>
          <w:tcPr>
            <w:tcW w:w="702" w:type="pct"/>
            <w:tcBorders>
              <w:top w:val="single" w:color="auto" w:sz="4" w:space="0"/>
              <w:left w:val="single" w:color="auto" w:sz="4" w:space="0"/>
              <w:bottom w:val="single" w:color="auto" w:sz="4" w:space="0"/>
              <w:right w:val="single" w:color="auto" w:sz="4" w:space="0"/>
            </w:tcBorders>
            <w:noWrap/>
            <w:vAlign w:val="center"/>
          </w:tcPr>
          <w:p w14:paraId="44650F7C">
            <w:pPr>
              <w:spacing w:line="400" w:lineRule="exact"/>
              <w:contextualSpacing/>
              <w:jc w:val="center"/>
              <w:rPr>
                <w:rFonts w:ascii="宋体" w:hAnsi="宋体" w:cs="宋体"/>
                <w:color w:val="auto"/>
                <w:szCs w:val="21"/>
                <w:highlight w:val="none"/>
              </w:rPr>
            </w:pPr>
          </w:p>
        </w:tc>
      </w:tr>
      <w:tr w14:paraId="09E5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00" w:type="pct"/>
            <w:tcBorders>
              <w:top w:val="single" w:color="auto" w:sz="4" w:space="0"/>
              <w:left w:val="single" w:color="auto" w:sz="4" w:space="0"/>
              <w:bottom w:val="single" w:color="auto" w:sz="4" w:space="0"/>
              <w:right w:val="single" w:color="auto" w:sz="4" w:space="0"/>
            </w:tcBorders>
            <w:noWrap/>
            <w:vAlign w:val="center"/>
          </w:tcPr>
          <w:p w14:paraId="622FE253">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3</w:t>
            </w:r>
          </w:p>
        </w:tc>
        <w:tc>
          <w:tcPr>
            <w:tcW w:w="3841" w:type="dxa"/>
            <w:tcBorders>
              <w:top w:val="single" w:color="auto" w:sz="4" w:space="0"/>
              <w:left w:val="single" w:color="auto" w:sz="4" w:space="0"/>
              <w:bottom w:val="single" w:color="auto" w:sz="4" w:space="0"/>
              <w:right w:val="single" w:color="auto" w:sz="4" w:space="0"/>
            </w:tcBorders>
            <w:noWrap/>
            <w:vAlign w:val="center"/>
          </w:tcPr>
          <w:p w14:paraId="08AAE7C7">
            <w:pPr>
              <w:spacing w:line="440" w:lineRule="exact"/>
              <w:jc w:val="center"/>
              <w:rPr>
                <w:rFonts w:ascii="宋体" w:hAnsi="宋体" w:cs="宋体"/>
                <w:color w:val="auto"/>
                <w:szCs w:val="21"/>
                <w:highlight w:val="none"/>
              </w:rPr>
            </w:pPr>
            <w:r>
              <w:rPr>
                <w:rFonts w:hint="eastAsia" w:ascii="宋体" w:hAnsi="宋体" w:cs="Calibri"/>
                <w:color w:val="auto"/>
                <w:szCs w:val="21"/>
                <w:highlight w:val="none"/>
              </w:rPr>
              <w:t>商业保理公司现场检查与监管评级</w:t>
            </w:r>
          </w:p>
        </w:tc>
        <w:tc>
          <w:tcPr>
            <w:tcW w:w="224" w:type="pct"/>
            <w:tcBorders>
              <w:top w:val="single" w:color="auto" w:sz="4" w:space="0"/>
              <w:left w:val="single" w:color="auto" w:sz="4" w:space="0"/>
              <w:bottom w:val="single" w:color="auto" w:sz="4" w:space="0"/>
              <w:right w:val="single" w:color="auto" w:sz="4" w:space="0"/>
            </w:tcBorders>
            <w:noWrap/>
            <w:vAlign w:val="center"/>
          </w:tcPr>
          <w:p w14:paraId="52D3300E">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1</w:t>
            </w:r>
          </w:p>
        </w:tc>
        <w:tc>
          <w:tcPr>
            <w:tcW w:w="218" w:type="pct"/>
            <w:tcBorders>
              <w:top w:val="single" w:color="auto" w:sz="4" w:space="0"/>
              <w:left w:val="single" w:color="auto" w:sz="4" w:space="0"/>
              <w:bottom w:val="single" w:color="auto" w:sz="4" w:space="0"/>
              <w:right w:val="single" w:color="auto" w:sz="4" w:space="0"/>
            </w:tcBorders>
            <w:noWrap/>
            <w:vAlign w:val="center"/>
          </w:tcPr>
          <w:p w14:paraId="4924E89E">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项</w:t>
            </w:r>
          </w:p>
        </w:tc>
        <w:tc>
          <w:tcPr>
            <w:tcW w:w="1195" w:type="dxa"/>
            <w:tcBorders>
              <w:top w:val="single" w:color="auto" w:sz="4" w:space="0"/>
              <w:left w:val="single" w:color="auto" w:sz="4" w:space="0"/>
              <w:bottom w:val="single" w:color="auto" w:sz="4" w:space="0"/>
              <w:right w:val="single" w:color="auto" w:sz="4" w:space="0"/>
            </w:tcBorders>
            <w:noWrap/>
            <w:vAlign w:val="center"/>
          </w:tcPr>
          <w:p w14:paraId="36E72E9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40000.00</w:t>
            </w:r>
          </w:p>
        </w:tc>
        <w:tc>
          <w:tcPr>
            <w:tcW w:w="700" w:type="pct"/>
            <w:tcBorders>
              <w:top w:val="single" w:color="auto" w:sz="4" w:space="0"/>
              <w:left w:val="single" w:color="auto" w:sz="4" w:space="0"/>
              <w:bottom w:val="single" w:color="auto" w:sz="4" w:space="0"/>
              <w:right w:val="single" w:color="auto" w:sz="4" w:space="0"/>
            </w:tcBorders>
            <w:noWrap/>
            <w:vAlign w:val="center"/>
          </w:tcPr>
          <w:p w14:paraId="7CD301D5">
            <w:pPr>
              <w:spacing w:line="400" w:lineRule="exact"/>
              <w:contextualSpacing/>
              <w:jc w:val="center"/>
              <w:rPr>
                <w:rFonts w:ascii="宋体" w:hAnsi="宋体" w:cs="宋体"/>
                <w:color w:val="auto"/>
                <w:szCs w:val="21"/>
                <w:highlight w:val="none"/>
              </w:rPr>
            </w:pPr>
          </w:p>
        </w:tc>
        <w:tc>
          <w:tcPr>
            <w:tcW w:w="702" w:type="pct"/>
            <w:tcBorders>
              <w:top w:val="single" w:color="auto" w:sz="4" w:space="0"/>
              <w:left w:val="single" w:color="auto" w:sz="4" w:space="0"/>
              <w:bottom w:val="single" w:color="auto" w:sz="4" w:space="0"/>
              <w:right w:val="single" w:color="auto" w:sz="4" w:space="0"/>
            </w:tcBorders>
            <w:noWrap/>
            <w:vAlign w:val="center"/>
          </w:tcPr>
          <w:p w14:paraId="763EA66F">
            <w:pPr>
              <w:spacing w:line="400" w:lineRule="exact"/>
              <w:contextualSpacing/>
              <w:jc w:val="center"/>
              <w:rPr>
                <w:rFonts w:ascii="宋体" w:hAnsi="宋体" w:cs="宋体"/>
                <w:color w:val="auto"/>
                <w:szCs w:val="21"/>
                <w:highlight w:val="none"/>
              </w:rPr>
            </w:pPr>
          </w:p>
        </w:tc>
      </w:tr>
      <w:tr w14:paraId="6159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00" w:type="pct"/>
            <w:tcBorders>
              <w:top w:val="single" w:color="auto" w:sz="4" w:space="0"/>
              <w:left w:val="single" w:color="auto" w:sz="4" w:space="0"/>
              <w:bottom w:val="single" w:color="auto" w:sz="4" w:space="0"/>
              <w:right w:val="single" w:color="auto" w:sz="4" w:space="0"/>
            </w:tcBorders>
            <w:noWrap/>
            <w:vAlign w:val="center"/>
          </w:tcPr>
          <w:p w14:paraId="7AB417C4">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4</w:t>
            </w:r>
          </w:p>
        </w:tc>
        <w:tc>
          <w:tcPr>
            <w:tcW w:w="3841" w:type="dxa"/>
            <w:tcBorders>
              <w:top w:val="single" w:color="auto" w:sz="4" w:space="0"/>
              <w:left w:val="single" w:color="auto" w:sz="4" w:space="0"/>
              <w:bottom w:val="single" w:color="auto" w:sz="4" w:space="0"/>
              <w:right w:val="single" w:color="auto" w:sz="4" w:space="0"/>
            </w:tcBorders>
            <w:noWrap/>
            <w:vAlign w:val="center"/>
          </w:tcPr>
          <w:p w14:paraId="47A307C5">
            <w:pPr>
              <w:spacing w:line="440" w:lineRule="exact"/>
              <w:jc w:val="center"/>
              <w:rPr>
                <w:rFonts w:ascii="宋体" w:hAnsi="宋体" w:cs="宋体"/>
                <w:color w:val="auto"/>
                <w:szCs w:val="21"/>
                <w:highlight w:val="none"/>
              </w:rPr>
            </w:pPr>
            <w:r>
              <w:rPr>
                <w:rFonts w:hint="eastAsia" w:ascii="宋体" w:hAnsi="宋体" w:cs="仿宋_GB2312"/>
                <w:color w:val="auto"/>
                <w:szCs w:val="21"/>
                <w:highlight w:val="none"/>
              </w:rPr>
              <w:t>财政贴息资金申请项目审核服务</w:t>
            </w:r>
          </w:p>
        </w:tc>
        <w:tc>
          <w:tcPr>
            <w:tcW w:w="224" w:type="pct"/>
            <w:tcBorders>
              <w:top w:val="single" w:color="auto" w:sz="4" w:space="0"/>
              <w:left w:val="single" w:color="auto" w:sz="4" w:space="0"/>
              <w:bottom w:val="single" w:color="auto" w:sz="4" w:space="0"/>
              <w:right w:val="single" w:color="auto" w:sz="4" w:space="0"/>
            </w:tcBorders>
            <w:noWrap/>
            <w:vAlign w:val="center"/>
          </w:tcPr>
          <w:p w14:paraId="3F50A81D">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1</w:t>
            </w:r>
          </w:p>
        </w:tc>
        <w:tc>
          <w:tcPr>
            <w:tcW w:w="218" w:type="pct"/>
            <w:tcBorders>
              <w:top w:val="single" w:color="auto" w:sz="4" w:space="0"/>
              <w:left w:val="single" w:color="auto" w:sz="4" w:space="0"/>
              <w:bottom w:val="single" w:color="auto" w:sz="4" w:space="0"/>
              <w:right w:val="single" w:color="auto" w:sz="4" w:space="0"/>
            </w:tcBorders>
            <w:noWrap/>
            <w:vAlign w:val="center"/>
          </w:tcPr>
          <w:p w14:paraId="633DB12C">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项</w:t>
            </w:r>
          </w:p>
        </w:tc>
        <w:tc>
          <w:tcPr>
            <w:tcW w:w="1195" w:type="dxa"/>
            <w:tcBorders>
              <w:top w:val="single" w:color="auto" w:sz="4" w:space="0"/>
              <w:left w:val="single" w:color="auto" w:sz="4" w:space="0"/>
              <w:bottom w:val="single" w:color="auto" w:sz="4" w:space="0"/>
              <w:right w:val="single" w:color="auto" w:sz="4" w:space="0"/>
            </w:tcBorders>
            <w:noWrap/>
            <w:vAlign w:val="center"/>
          </w:tcPr>
          <w:p w14:paraId="059CF67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250000.00</w:t>
            </w:r>
          </w:p>
        </w:tc>
        <w:tc>
          <w:tcPr>
            <w:tcW w:w="700" w:type="pct"/>
            <w:tcBorders>
              <w:top w:val="single" w:color="auto" w:sz="4" w:space="0"/>
              <w:left w:val="single" w:color="auto" w:sz="4" w:space="0"/>
              <w:bottom w:val="single" w:color="auto" w:sz="4" w:space="0"/>
              <w:right w:val="single" w:color="auto" w:sz="4" w:space="0"/>
            </w:tcBorders>
            <w:noWrap/>
            <w:vAlign w:val="center"/>
          </w:tcPr>
          <w:p w14:paraId="032E467F">
            <w:pPr>
              <w:spacing w:line="400" w:lineRule="exact"/>
              <w:contextualSpacing/>
              <w:jc w:val="center"/>
              <w:rPr>
                <w:rFonts w:ascii="宋体" w:hAnsi="宋体" w:cs="宋体"/>
                <w:color w:val="auto"/>
                <w:szCs w:val="21"/>
                <w:highlight w:val="none"/>
              </w:rPr>
            </w:pPr>
          </w:p>
        </w:tc>
        <w:tc>
          <w:tcPr>
            <w:tcW w:w="702" w:type="pct"/>
            <w:tcBorders>
              <w:top w:val="single" w:color="auto" w:sz="4" w:space="0"/>
              <w:left w:val="single" w:color="auto" w:sz="4" w:space="0"/>
              <w:bottom w:val="single" w:color="auto" w:sz="4" w:space="0"/>
              <w:right w:val="single" w:color="auto" w:sz="4" w:space="0"/>
            </w:tcBorders>
            <w:noWrap/>
            <w:vAlign w:val="center"/>
          </w:tcPr>
          <w:p w14:paraId="0FAB2EE4">
            <w:pPr>
              <w:spacing w:line="400" w:lineRule="exact"/>
              <w:contextualSpacing/>
              <w:jc w:val="center"/>
              <w:rPr>
                <w:rFonts w:ascii="宋体" w:hAnsi="宋体" w:cs="宋体"/>
                <w:color w:val="auto"/>
                <w:szCs w:val="21"/>
                <w:highlight w:val="none"/>
              </w:rPr>
            </w:pPr>
          </w:p>
        </w:tc>
      </w:tr>
      <w:tr w14:paraId="17DEA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00" w:type="pct"/>
            <w:tcBorders>
              <w:top w:val="single" w:color="auto" w:sz="4" w:space="0"/>
              <w:left w:val="single" w:color="auto" w:sz="4" w:space="0"/>
              <w:bottom w:val="single" w:color="auto" w:sz="4" w:space="0"/>
              <w:right w:val="single" w:color="auto" w:sz="4" w:space="0"/>
            </w:tcBorders>
            <w:noWrap/>
            <w:vAlign w:val="center"/>
          </w:tcPr>
          <w:p w14:paraId="0B41C05E">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5</w:t>
            </w:r>
          </w:p>
        </w:tc>
        <w:tc>
          <w:tcPr>
            <w:tcW w:w="3841" w:type="dxa"/>
            <w:tcBorders>
              <w:top w:val="single" w:color="auto" w:sz="4" w:space="0"/>
              <w:left w:val="single" w:color="auto" w:sz="4" w:space="0"/>
              <w:bottom w:val="single" w:color="auto" w:sz="4" w:space="0"/>
              <w:right w:val="single" w:color="auto" w:sz="4" w:space="0"/>
            </w:tcBorders>
            <w:noWrap/>
            <w:vAlign w:val="center"/>
          </w:tcPr>
          <w:p w14:paraId="2FF10D3D">
            <w:pPr>
              <w:spacing w:line="440" w:lineRule="exact"/>
              <w:jc w:val="center"/>
              <w:rPr>
                <w:rFonts w:ascii="宋体" w:hAnsi="宋体" w:cs="宋体"/>
                <w:color w:val="auto"/>
                <w:szCs w:val="21"/>
                <w:highlight w:val="none"/>
              </w:rPr>
            </w:pPr>
            <w:r>
              <w:rPr>
                <w:rFonts w:hint="eastAsia" w:ascii="宋体" w:hAnsi="宋体" w:cs="Calibri"/>
                <w:color w:val="auto"/>
                <w:szCs w:val="21"/>
                <w:highlight w:val="none"/>
              </w:rPr>
              <w:t>保险资金奖补审核服务</w:t>
            </w:r>
          </w:p>
        </w:tc>
        <w:tc>
          <w:tcPr>
            <w:tcW w:w="224" w:type="pct"/>
            <w:tcBorders>
              <w:top w:val="single" w:color="auto" w:sz="4" w:space="0"/>
              <w:left w:val="single" w:color="auto" w:sz="4" w:space="0"/>
              <w:bottom w:val="single" w:color="auto" w:sz="4" w:space="0"/>
              <w:right w:val="single" w:color="auto" w:sz="4" w:space="0"/>
            </w:tcBorders>
            <w:noWrap/>
            <w:vAlign w:val="center"/>
          </w:tcPr>
          <w:p w14:paraId="17F4FDF4">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1</w:t>
            </w:r>
          </w:p>
        </w:tc>
        <w:tc>
          <w:tcPr>
            <w:tcW w:w="218" w:type="pct"/>
            <w:tcBorders>
              <w:top w:val="single" w:color="auto" w:sz="4" w:space="0"/>
              <w:left w:val="single" w:color="auto" w:sz="4" w:space="0"/>
              <w:bottom w:val="single" w:color="auto" w:sz="4" w:space="0"/>
              <w:right w:val="single" w:color="auto" w:sz="4" w:space="0"/>
            </w:tcBorders>
            <w:noWrap/>
            <w:vAlign w:val="center"/>
          </w:tcPr>
          <w:p w14:paraId="3665F9E9">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项</w:t>
            </w:r>
          </w:p>
        </w:tc>
        <w:tc>
          <w:tcPr>
            <w:tcW w:w="1195" w:type="dxa"/>
            <w:tcBorders>
              <w:top w:val="single" w:color="auto" w:sz="4" w:space="0"/>
              <w:left w:val="single" w:color="auto" w:sz="4" w:space="0"/>
              <w:bottom w:val="single" w:color="auto" w:sz="4" w:space="0"/>
              <w:right w:val="single" w:color="auto" w:sz="4" w:space="0"/>
            </w:tcBorders>
            <w:noWrap/>
            <w:vAlign w:val="center"/>
          </w:tcPr>
          <w:p w14:paraId="434A715D">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20000.00</w:t>
            </w:r>
          </w:p>
        </w:tc>
        <w:tc>
          <w:tcPr>
            <w:tcW w:w="700" w:type="pct"/>
            <w:tcBorders>
              <w:top w:val="single" w:color="auto" w:sz="4" w:space="0"/>
              <w:left w:val="single" w:color="auto" w:sz="4" w:space="0"/>
              <w:bottom w:val="single" w:color="auto" w:sz="4" w:space="0"/>
              <w:right w:val="single" w:color="auto" w:sz="4" w:space="0"/>
            </w:tcBorders>
            <w:noWrap/>
            <w:vAlign w:val="center"/>
          </w:tcPr>
          <w:p w14:paraId="6012F59B">
            <w:pPr>
              <w:spacing w:line="400" w:lineRule="exact"/>
              <w:contextualSpacing/>
              <w:jc w:val="center"/>
              <w:rPr>
                <w:rFonts w:ascii="宋体" w:hAnsi="宋体" w:cs="宋体"/>
                <w:color w:val="auto"/>
                <w:szCs w:val="21"/>
                <w:highlight w:val="none"/>
              </w:rPr>
            </w:pPr>
          </w:p>
        </w:tc>
        <w:tc>
          <w:tcPr>
            <w:tcW w:w="702" w:type="pct"/>
            <w:tcBorders>
              <w:top w:val="single" w:color="auto" w:sz="4" w:space="0"/>
              <w:left w:val="single" w:color="auto" w:sz="4" w:space="0"/>
              <w:bottom w:val="single" w:color="auto" w:sz="4" w:space="0"/>
              <w:right w:val="single" w:color="auto" w:sz="4" w:space="0"/>
            </w:tcBorders>
            <w:noWrap/>
            <w:vAlign w:val="center"/>
          </w:tcPr>
          <w:p w14:paraId="61EB6DFB">
            <w:pPr>
              <w:spacing w:line="400" w:lineRule="exact"/>
              <w:contextualSpacing/>
              <w:jc w:val="center"/>
              <w:rPr>
                <w:rFonts w:ascii="宋体" w:hAnsi="宋体" w:cs="宋体"/>
                <w:color w:val="auto"/>
                <w:szCs w:val="21"/>
                <w:highlight w:val="none"/>
              </w:rPr>
            </w:pPr>
          </w:p>
        </w:tc>
      </w:tr>
      <w:tr w14:paraId="725B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14:paraId="5BC6ED6F">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合计金额大写：人民币（¥）</w:t>
            </w:r>
          </w:p>
        </w:tc>
      </w:tr>
    </w:tbl>
    <w:p w14:paraId="5E513082">
      <w:pPr>
        <w:spacing w:line="400" w:lineRule="exact"/>
        <w:contextualSpacing/>
        <w:jc w:val="left"/>
        <w:rPr>
          <w:rFonts w:ascii="宋体" w:hAnsi="宋体" w:cs="宋体"/>
          <w:color w:val="auto"/>
          <w:szCs w:val="21"/>
          <w:highlight w:val="none"/>
        </w:rPr>
      </w:pPr>
      <w:r>
        <w:rPr>
          <w:rFonts w:hint="eastAsia" w:ascii="宋体" w:hAnsi="宋体" w:cs="宋体"/>
          <w:color w:val="auto"/>
          <w:szCs w:val="21"/>
          <w:highlight w:val="none"/>
        </w:rPr>
        <w:t>注：</w:t>
      </w:r>
    </w:p>
    <w:p w14:paraId="1B2576CA">
      <w:pPr>
        <w:spacing w:line="400" w:lineRule="exact"/>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1. 供应商的报价表必须加盖供应商电子签章并由法定代表人或者委托代理人签字或者电子签名，</w:t>
      </w:r>
      <w:r>
        <w:rPr>
          <w:rFonts w:hint="eastAsia" w:ascii="宋体" w:hAnsi="宋体" w:cs="宋体"/>
          <w:b/>
          <w:color w:val="auto"/>
          <w:szCs w:val="21"/>
          <w:highlight w:val="none"/>
        </w:rPr>
        <w:t>否则其响应文件按无效处理</w:t>
      </w:r>
      <w:r>
        <w:rPr>
          <w:rFonts w:hint="eastAsia" w:ascii="宋体" w:hAnsi="宋体" w:cs="宋体"/>
          <w:color w:val="auto"/>
          <w:szCs w:val="21"/>
          <w:highlight w:val="none"/>
        </w:rPr>
        <w:t>。</w:t>
      </w:r>
    </w:p>
    <w:p w14:paraId="6F69ADCA">
      <w:pPr>
        <w:spacing w:line="400" w:lineRule="exact"/>
        <w:ind w:firstLine="420" w:firstLineChars="200"/>
        <w:contextualSpacing/>
        <w:jc w:val="left"/>
        <w:rPr>
          <w:rFonts w:ascii="宋体" w:hAnsi="宋体" w:cs="宋体"/>
          <w:b/>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 xml:space="preserve"> 报价一经涂改，应在涂改处加盖供应商公章或者加盖电子签章或者由法定代表人或者授权委托人签字（或者电子签名）</w:t>
      </w:r>
      <w:r>
        <w:rPr>
          <w:rFonts w:hint="eastAsia" w:ascii="宋体" w:hAnsi="宋体" w:cs="宋体"/>
          <w:b/>
          <w:color w:val="auto"/>
          <w:szCs w:val="21"/>
          <w:highlight w:val="none"/>
        </w:rPr>
        <w:t>，否则其响应文件按无效处理。</w:t>
      </w:r>
    </w:p>
    <w:p w14:paraId="05C35D60">
      <w:pPr>
        <w:spacing w:line="400" w:lineRule="exact"/>
        <w:ind w:firstLine="420" w:firstLineChars="200"/>
        <w:contextualSpacing/>
        <w:jc w:val="left"/>
        <w:rPr>
          <w:rFonts w:ascii="宋体" w:hAnsi="宋体" w:cs="宋体"/>
          <w:b/>
          <w:color w:val="auto"/>
          <w:szCs w:val="21"/>
          <w:highlight w:val="none"/>
        </w:rPr>
      </w:pPr>
      <w:r>
        <w:rPr>
          <w:rFonts w:hint="eastAsia" w:ascii="宋体" w:hAnsi="宋体" w:cs="宋体"/>
          <w:color w:val="auto"/>
          <w:szCs w:val="21"/>
          <w:highlight w:val="none"/>
        </w:rPr>
        <w:t>3.如为联合体竞标，“供应商名称”处必须列明联合体各方名称，标注联合体牵头人名称，</w:t>
      </w:r>
      <w:r>
        <w:rPr>
          <w:rFonts w:hint="eastAsia" w:ascii="宋体" w:hAnsi="宋体" w:cs="宋体"/>
          <w:b/>
          <w:color w:val="auto"/>
          <w:szCs w:val="21"/>
          <w:highlight w:val="none"/>
        </w:rPr>
        <w:t>否则其响应文件按无效响应处理。</w:t>
      </w:r>
    </w:p>
    <w:p w14:paraId="12136B8C">
      <w:pPr>
        <w:spacing w:line="400" w:lineRule="exact"/>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4. 如为联合体竞标，</w:t>
      </w:r>
      <w:r>
        <w:rPr>
          <w:rFonts w:hint="eastAsia" w:ascii="宋体" w:hAnsi="宋体" w:cs="宋体"/>
          <w:color w:val="auto"/>
          <w:spacing w:val="-6"/>
          <w:szCs w:val="21"/>
          <w:highlight w:val="none"/>
        </w:rPr>
        <w:t xml:space="preserve"> 盖章处须加盖联合体牵头人电子签章</w:t>
      </w:r>
      <w:r>
        <w:rPr>
          <w:rFonts w:hint="eastAsia" w:ascii="宋体" w:hAnsi="宋体" w:cs="宋体"/>
          <w:color w:val="auto"/>
          <w:szCs w:val="21"/>
          <w:highlight w:val="none"/>
        </w:rPr>
        <w:t>，</w:t>
      </w:r>
      <w:r>
        <w:rPr>
          <w:rFonts w:hint="eastAsia" w:ascii="宋体" w:hAnsi="宋体" w:cs="宋体"/>
          <w:b/>
          <w:color w:val="auto"/>
          <w:szCs w:val="21"/>
          <w:highlight w:val="none"/>
        </w:rPr>
        <w:t>否则其响应文件按无效处理。</w:t>
      </w:r>
    </w:p>
    <w:p w14:paraId="1B916430">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pacing w:val="-6"/>
          <w:szCs w:val="21"/>
          <w:highlight w:val="none"/>
        </w:rPr>
        <w:t>如有多分标，分别列明各分标的报价表，</w:t>
      </w:r>
      <w:r>
        <w:rPr>
          <w:rFonts w:hint="eastAsia" w:ascii="宋体" w:hAnsi="宋体" w:cs="宋体"/>
          <w:b/>
          <w:color w:val="auto"/>
          <w:spacing w:val="-6"/>
          <w:szCs w:val="21"/>
          <w:highlight w:val="none"/>
        </w:rPr>
        <w:t>否则其响应文件按无效响应处理。</w:t>
      </w:r>
    </w:p>
    <w:p w14:paraId="2FF39997">
      <w:pPr>
        <w:spacing w:line="400" w:lineRule="exact"/>
        <w:contextualSpacing/>
        <w:rPr>
          <w:rFonts w:ascii="宋体" w:hAnsi="宋体" w:cs="宋体"/>
          <w:color w:val="auto"/>
          <w:szCs w:val="21"/>
          <w:highlight w:val="none"/>
        </w:rPr>
      </w:pPr>
    </w:p>
    <w:p w14:paraId="33EAC030">
      <w:pPr>
        <w:spacing w:line="400" w:lineRule="exact"/>
        <w:ind w:firstLine="2310" w:firstLineChars="1100"/>
        <w:contextualSpacing/>
        <w:rPr>
          <w:rFonts w:ascii="宋体" w:hAnsi="宋体" w:cs="宋体"/>
          <w:color w:val="auto"/>
          <w:szCs w:val="21"/>
          <w:highlight w:val="none"/>
        </w:rPr>
      </w:pPr>
      <w:r>
        <w:rPr>
          <w:rFonts w:hint="eastAsia" w:ascii="宋体" w:hAnsi="宋体" w:cs="宋体"/>
          <w:color w:val="auto"/>
          <w:szCs w:val="21"/>
          <w:highlight w:val="none"/>
        </w:rPr>
        <w:t xml:space="preserve">法定代表人或者委托代理人（签字或者电子签名）：                    </w:t>
      </w:r>
    </w:p>
    <w:p w14:paraId="451B3434">
      <w:pPr>
        <w:spacing w:line="400" w:lineRule="exact"/>
        <w:ind w:firstLine="2310" w:firstLineChars="1100"/>
        <w:contextualSpacing/>
        <w:rPr>
          <w:rFonts w:ascii="宋体" w:hAnsi="宋体" w:cs="宋体"/>
          <w:color w:val="auto"/>
          <w:szCs w:val="21"/>
          <w:highlight w:val="none"/>
        </w:rPr>
      </w:pPr>
      <w:r>
        <w:rPr>
          <w:rFonts w:hint="eastAsia" w:ascii="宋体" w:hAnsi="宋体" w:cs="宋体"/>
          <w:color w:val="auto"/>
          <w:szCs w:val="21"/>
          <w:highlight w:val="none"/>
        </w:rPr>
        <w:t xml:space="preserve">供应商名称（电子签章）：      </w:t>
      </w:r>
    </w:p>
    <w:p w14:paraId="6262889D">
      <w:pPr>
        <w:spacing w:line="400" w:lineRule="exact"/>
        <w:ind w:firstLine="3570" w:firstLineChars="1700"/>
        <w:contextualSpacing/>
        <w:rPr>
          <w:rFonts w:ascii="宋体" w:hAnsi="宋体" w:cs="宋体"/>
          <w:b/>
          <w:color w:val="auto"/>
          <w:szCs w:val="21"/>
          <w:highlight w:val="none"/>
        </w:rPr>
      </w:pPr>
      <w:r>
        <w:rPr>
          <w:rFonts w:hint="eastAsia" w:ascii="宋体" w:hAnsi="宋体" w:cs="宋体"/>
          <w:color w:val="auto"/>
          <w:szCs w:val="21"/>
          <w:highlight w:val="none"/>
        </w:rPr>
        <w:t>日期：   年   月   日</w:t>
      </w:r>
    </w:p>
    <w:p w14:paraId="17D42A3D">
      <w:pPr>
        <w:spacing w:line="360" w:lineRule="auto"/>
        <w:ind w:right="420"/>
        <w:contextualSpacing/>
        <w:jc w:val="left"/>
        <w:rPr>
          <w:rFonts w:ascii="宋体" w:hAnsi="宋体"/>
          <w:b/>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三、</w:t>
      </w:r>
      <w:r>
        <w:rPr>
          <w:rFonts w:hint="eastAsia" w:ascii="宋体" w:hAnsi="宋体"/>
          <w:b/>
          <w:color w:val="auto"/>
          <w:sz w:val="32"/>
          <w:szCs w:val="32"/>
          <w:highlight w:val="none"/>
        </w:rPr>
        <w:t xml:space="preserve">商务技术文件格式 </w:t>
      </w:r>
    </w:p>
    <w:p w14:paraId="110225C3">
      <w:pPr>
        <w:snapToGrid w:val="0"/>
        <w:spacing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19895837">
      <w:pPr>
        <w:snapToGrid w:val="0"/>
        <w:spacing w:beforeLines="50" w:after="50"/>
        <w:rPr>
          <w:rFonts w:ascii="宋体" w:hAnsi="宋体"/>
          <w:bCs/>
          <w:color w:val="auto"/>
          <w:sz w:val="32"/>
          <w:szCs w:val="20"/>
          <w:highlight w:val="none"/>
        </w:rPr>
      </w:pPr>
    </w:p>
    <w:p w14:paraId="167DED87">
      <w:pPr>
        <w:snapToGrid w:val="0"/>
        <w:spacing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708EE7B3">
      <w:pPr>
        <w:snapToGrid w:val="0"/>
        <w:spacing w:beforeLines="50" w:after="50"/>
        <w:rPr>
          <w:rFonts w:ascii="宋体" w:hAnsi="宋体"/>
          <w:color w:val="auto"/>
          <w:sz w:val="24"/>
          <w:szCs w:val="20"/>
          <w:highlight w:val="none"/>
        </w:rPr>
      </w:pPr>
    </w:p>
    <w:p w14:paraId="472EFB3B">
      <w:pPr>
        <w:snapToGrid w:val="0"/>
        <w:spacing w:beforeLines="50" w:after="50"/>
        <w:rPr>
          <w:rFonts w:ascii="宋体" w:hAnsi="宋体"/>
          <w:color w:val="auto"/>
          <w:sz w:val="24"/>
          <w:szCs w:val="20"/>
          <w:highlight w:val="none"/>
        </w:rPr>
      </w:pPr>
    </w:p>
    <w:p w14:paraId="0545E8F0">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40560CCC">
      <w:pPr>
        <w:snapToGrid w:val="0"/>
        <w:spacing w:beforeLines="50" w:after="50"/>
        <w:rPr>
          <w:rFonts w:ascii="宋体" w:hAnsi="宋体"/>
          <w:bCs/>
          <w:color w:val="auto"/>
          <w:sz w:val="24"/>
          <w:szCs w:val="20"/>
          <w:highlight w:val="none"/>
        </w:rPr>
      </w:pPr>
    </w:p>
    <w:p w14:paraId="1F2A94D9">
      <w:pPr>
        <w:snapToGrid w:val="0"/>
        <w:spacing w:beforeLines="50" w:after="50"/>
        <w:rPr>
          <w:rFonts w:ascii="宋体" w:hAnsi="宋体"/>
          <w:bCs/>
          <w:color w:val="auto"/>
          <w:sz w:val="24"/>
          <w:szCs w:val="20"/>
          <w:highlight w:val="none"/>
        </w:rPr>
      </w:pPr>
    </w:p>
    <w:p w14:paraId="22AA492B">
      <w:pPr>
        <w:snapToGrid w:val="0"/>
        <w:spacing w:beforeLines="50" w:after="50"/>
        <w:rPr>
          <w:rFonts w:ascii="宋体" w:hAnsi="宋体"/>
          <w:bCs/>
          <w:color w:val="auto"/>
          <w:sz w:val="24"/>
          <w:szCs w:val="20"/>
          <w:highlight w:val="none"/>
        </w:rPr>
      </w:pPr>
    </w:p>
    <w:p w14:paraId="4712CA3D">
      <w:pPr>
        <w:snapToGrid w:val="0"/>
        <w:spacing w:beforeLines="50" w:after="50"/>
        <w:rPr>
          <w:rFonts w:ascii="宋体" w:hAnsi="宋体"/>
          <w:bCs/>
          <w:color w:val="auto"/>
          <w:sz w:val="24"/>
          <w:szCs w:val="20"/>
          <w:highlight w:val="none"/>
        </w:rPr>
      </w:pPr>
    </w:p>
    <w:p w14:paraId="03709F10">
      <w:pPr>
        <w:snapToGrid w:val="0"/>
        <w:spacing w:beforeLines="50" w:after="50"/>
        <w:rPr>
          <w:rFonts w:ascii="宋体" w:hAnsi="宋体"/>
          <w:bCs/>
          <w:color w:val="auto"/>
          <w:sz w:val="24"/>
          <w:szCs w:val="20"/>
          <w:highlight w:val="none"/>
        </w:rPr>
      </w:pPr>
    </w:p>
    <w:p w14:paraId="21CEDF30">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4245712D">
      <w:pPr>
        <w:snapToGrid w:val="0"/>
        <w:spacing w:beforeLines="50" w:after="50"/>
        <w:ind w:firstLine="720" w:firstLineChars="225"/>
        <w:rPr>
          <w:rFonts w:ascii="宋体" w:hAnsi="宋体" w:cs="仿宋_GB2312"/>
          <w:bCs/>
          <w:color w:val="auto"/>
          <w:sz w:val="32"/>
          <w:szCs w:val="32"/>
          <w:highlight w:val="none"/>
        </w:rPr>
      </w:pPr>
    </w:p>
    <w:p w14:paraId="47910384">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77856D90">
      <w:pPr>
        <w:snapToGrid w:val="0"/>
        <w:spacing w:beforeLines="50" w:after="50"/>
        <w:ind w:firstLine="720" w:firstLineChars="225"/>
        <w:rPr>
          <w:rFonts w:ascii="宋体" w:hAnsi="宋体" w:cs="仿宋_GB2312"/>
          <w:bCs/>
          <w:color w:val="auto"/>
          <w:sz w:val="32"/>
          <w:szCs w:val="32"/>
          <w:highlight w:val="none"/>
        </w:rPr>
      </w:pPr>
    </w:p>
    <w:p w14:paraId="0BD136FD">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7A305AA4">
      <w:pPr>
        <w:snapToGrid w:val="0"/>
        <w:spacing w:beforeLines="50" w:after="50"/>
        <w:ind w:firstLine="720" w:firstLineChars="225"/>
        <w:rPr>
          <w:rFonts w:ascii="宋体" w:hAnsi="宋体" w:cs="仿宋_GB2312"/>
          <w:bCs/>
          <w:color w:val="auto"/>
          <w:sz w:val="32"/>
          <w:szCs w:val="32"/>
          <w:highlight w:val="none"/>
        </w:rPr>
      </w:pPr>
    </w:p>
    <w:p w14:paraId="27071905">
      <w:pPr>
        <w:pStyle w:val="7"/>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50455D68">
      <w:pPr>
        <w:pStyle w:val="7"/>
        <w:snapToGrid w:val="0"/>
        <w:spacing w:before="50" w:after="50"/>
        <w:ind w:firstLine="640" w:firstLineChars="200"/>
        <w:rPr>
          <w:rFonts w:ascii="宋体" w:hAnsi="宋体" w:cs="仿宋_GB2312"/>
          <w:bCs/>
          <w:color w:val="auto"/>
          <w:sz w:val="32"/>
          <w:szCs w:val="32"/>
          <w:highlight w:val="none"/>
        </w:rPr>
      </w:pPr>
    </w:p>
    <w:p w14:paraId="6FD54DC3">
      <w:pPr>
        <w:pStyle w:val="7"/>
        <w:snapToGrid w:val="0"/>
        <w:spacing w:before="50" w:after="50"/>
        <w:ind w:firstLine="720" w:firstLineChars="225"/>
        <w:rPr>
          <w:rFonts w:ascii="宋体" w:hAnsi="宋体" w:cs="仿宋_GB2312"/>
          <w:bCs/>
          <w:color w:val="auto"/>
          <w:sz w:val="32"/>
          <w:szCs w:val="32"/>
          <w:highlight w:val="none"/>
        </w:rPr>
      </w:pPr>
    </w:p>
    <w:p w14:paraId="23A9B299">
      <w:pPr>
        <w:pStyle w:val="7"/>
        <w:snapToGrid w:val="0"/>
        <w:spacing w:before="50" w:after="50"/>
        <w:ind w:firstLine="0"/>
        <w:rPr>
          <w:rFonts w:ascii="宋体" w:hAnsi="宋体" w:cs="仿宋_GB2312"/>
          <w:bCs/>
          <w:color w:val="auto"/>
          <w:sz w:val="32"/>
          <w:szCs w:val="32"/>
          <w:highlight w:val="none"/>
        </w:rPr>
      </w:pPr>
    </w:p>
    <w:p w14:paraId="5EC3D236">
      <w:pPr>
        <w:pStyle w:val="7"/>
        <w:snapToGrid w:val="0"/>
        <w:spacing w:before="50" w:after="50"/>
        <w:ind w:firstLine="1280" w:firstLineChars="400"/>
        <w:rPr>
          <w:rFonts w:ascii="宋体" w:hAnsi="宋体" w:cs="仿宋_GB2312"/>
          <w:bCs/>
          <w:color w:val="auto"/>
          <w:sz w:val="32"/>
          <w:szCs w:val="32"/>
          <w:highlight w:val="none"/>
        </w:rPr>
      </w:pPr>
    </w:p>
    <w:p w14:paraId="511DC078">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238347EE">
      <w:pPr>
        <w:snapToGrid w:val="0"/>
        <w:spacing w:beforeLines="50" w:after="50" w:line="360" w:lineRule="auto"/>
        <w:ind w:right="480" w:firstLine="240" w:firstLineChars="100"/>
        <w:jc w:val="left"/>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3C778626">
      <w:pPr>
        <w:snapToGrid w:val="0"/>
        <w:spacing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58348AC0">
      <w:pPr>
        <w:spacing w:line="400" w:lineRule="exact"/>
        <w:rPr>
          <w:rFonts w:ascii="仿宋_GB2312" w:hAnsi="仿宋_GB2312" w:eastAsia="仿宋_GB2312" w:cs="仿宋_GB2312"/>
          <w:color w:val="auto"/>
          <w:sz w:val="32"/>
          <w:szCs w:val="32"/>
          <w:highlight w:val="none"/>
        </w:rPr>
      </w:pPr>
    </w:p>
    <w:p w14:paraId="2928A037">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44981F85">
      <w:pPr>
        <w:spacing w:line="360" w:lineRule="auto"/>
        <w:ind w:firstLine="640" w:firstLineChars="200"/>
        <w:contextualSpacing/>
        <w:rPr>
          <w:rFonts w:ascii="仿宋_GB2312" w:hAnsi="仿宋_GB2312" w:eastAsia="仿宋_GB2312" w:cs="仿宋_GB2312"/>
          <w:color w:val="auto"/>
          <w:sz w:val="32"/>
          <w:szCs w:val="32"/>
          <w:highlight w:val="none"/>
        </w:rPr>
      </w:pPr>
    </w:p>
    <w:p w14:paraId="60FEA1E7">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52F5BD9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28A305F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4205A2F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26123DF0">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69F92AF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512868E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322A8CEA">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680F64B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023D09E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1095FEE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671B8CF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490CC50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6BF1AEA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1AFA000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77588A6E">
      <w:pPr>
        <w:spacing w:line="360" w:lineRule="auto"/>
        <w:ind w:firstLine="480" w:firstLineChars="200"/>
        <w:contextualSpacing/>
        <w:rPr>
          <w:rFonts w:ascii="宋体" w:hAnsi="宋体" w:cs="仿宋_GB2312"/>
          <w:color w:val="auto"/>
          <w:sz w:val="24"/>
          <w:highlight w:val="none"/>
        </w:rPr>
      </w:pPr>
    </w:p>
    <w:p w14:paraId="6B052C96">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64EE7616">
      <w:pPr>
        <w:spacing w:line="360" w:lineRule="auto"/>
        <w:contextualSpacing/>
        <w:rPr>
          <w:rFonts w:ascii="宋体" w:hAnsi="宋体" w:cs="仿宋_GB2312"/>
          <w:color w:val="auto"/>
          <w:sz w:val="24"/>
          <w:highlight w:val="none"/>
        </w:rPr>
      </w:pPr>
    </w:p>
    <w:p w14:paraId="6ABC2525">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供应商名称（电子签章）：</w:t>
      </w:r>
    </w:p>
    <w:p w14:paraId="6991633F">
      <w:pPr>
        <w:spacing w:line="360" w:lineRule="auto"/>
        <w:ind w:firstLine="480" w:firstLineChars="200"/>
        <w:contextualSpacing/>
        <w:jc w:val="center"/>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28C6DF74">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24CA1AB3">
      <w:pPr>
        <w:spacing w:line="360" w:lineRule="auto"/>
        <w:ind w:left="540"/>
        <w:contextualSpacing/>
        <w:rPr>
          <w:rFonts w:ascii="仿宋_GB2312" w:hAnsi="仿宋_GB2312" w:eastAsia="仿宋_GB2312" w:cs="仿宋_GB2312"/>
          <w:color w:val="auto"/>
          <w:sz w:val="32"/>
          <w:szCs w:val="32"/>
          <w:highlight w:val="none"/>
        </w:rPr>
      </w:pPr>
    </w:p>
    <w:p w14:paraId="1C621E18">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p>
    <w:p w14:paraId="5BB6A16C">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    址：</w:t>
      </w:r>
    </w:p>
    <w:p w14:paraId="642FBECC">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    名：性     别：</w:t>
      </w:r>
    </w:p>
    <w:p w14:paraId="29652A3E">
      <w:pPr>
        <w:spacing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    龄：职     务：</w:t>
      </w:r>
    </w:p>
    <w:p w14:paraId="09B0B244">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p>
    <w:p w14:paraId="3CD26050">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50FCF759">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14:paraId="111FD159">
      <w:pPr>
        <w:spacing w:line="360" w:lineRule="auto"/>
        <w:ind w:left="540"/>
        <w:contextualSpacing/>
        <w:rPr>
          <w:rFonts w:ascii="宋体" w:hAnsi="宋体" w:cs="仿宋_GB2312"/>
          <w:color w:val="auto"/>
          <w:sz w:val="24"/>
          <w:highlight w:val="none"/>
        </w:rPr>
      </w:pPr>
    </w:p>
    <w:p w14:paraId="3F1C48E9">
      <w:pPr>
        <w:spacing w:line="360" w:lineRule="auto"/>
        <w:ind w:left="540"/>
        <w:contextualSpacing/>
        <w:rPr>
          <w:rFonts w:ascii="宋体" w:hAnsi="宋体" w:cs="仿宋_GB2312"/>
          <w:color w:val="auto"/>
          <w:sz w:val="24"/>
          <w:highlight w:val="none"/>
        </w:rPr>
      </w:pPr>
    </w:p>
    <w:p w14:paraId="317BBA01">
      <w:pPr>
        <w:spacing w:line="360" w:lineRule="auto"/>
        <w:ind w:left="540"/>
        <w:contextualSpacing/>
        <w:rPr>
          <w:rFonts w:ascii="宋体" w:hAnsi="宋体" w:cs="仿宋_GB2312"/>
          <w:color w:val="auto"/>
          <w:sz w:val="24"/>
          <w:highlight w:val="none"/>
        </w:rPr>
      </w:pPr>
    </w:p>
    <w:p w14:paraId="038FE655">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7B4ACBDE">
      <w:pPr>
        <w:spacing w:line="360" w:lineRule="auto"/>
        <w:ind w:left="540"/>
        <w:contextualSpacing/>
        <w:rPr>
          <w:rFonts w:ascii="宋体" w:hAnsi="宋体" w:cs="仿宋_GB2312"/>
          <w:color w:val="auto"/>
          <w:sz w:val="24"/>
          <w:highlight w:val="none"/>
        </w:rPr>
      </w:pPr>
    </w:p>
    <w:p w14:paraId="2E53C97E">
      <w:pPr>
        <w:spacing w:line="360" w:lineRule="auto"/>
        <w:ind w:left="540" w:leftChars="257" w:right="480" w:firstLine="2280" w:firstLineChars="950"/>
        <w:contextualSpacing/>
        <w:rPr>
          <w:rFonts w:ascii="宋体" w:hAnsi="宋体" w:cs="仿宋_GB2312"/>
          <w:color w:val="auto"/>
          <w:sz w:val="24"/>
          <w:highlight w:val="none"/>
        </w:rPr>
      </w:pPr>
      <w:r>
        <w:rPr>
          <w:rFonts w:hint="eastAsia" w:ascii="宋体" w:hAnsi="宋体" w:cs="仿宋_GB2312"/>
          <w:color w:val="auto"/>
          <w:sz w:val="24"/>
          <w:highlight w:val="none"/>
        </w:rPr>
        <w:t>供应商名称（电子签章）：</w:t>
      </w:r>
    </w:p>
    <w:p w14:paraId="3B183862">
      <w:pPr>
        <w:spacing w:line="360" w:lineRule="auto"/>
        <w:ind w:firstLine="5040" w:firstLineChars="2100"/>
        <w:contextualSpacing/>
        <w:rPr>
          <w:rFonts w:ascii="宋体" w:hAnsi="宋体" w:cs="仿宋_GB2312"/>
          <w:color w:val="auto"/>
          <w:sz w:val="24"/>
          <w:highlight w:val="none"/>
        </w:rPr>
      </w:pPr>
      <w:r>
        <w:rPr>
          <w:rFonts w:hint="eastAsia" w:ascii="宋体" w:hAnsi="宋体" w:cs="仿宋_GB2312"/>
          <w:color w:val="auto"/>
          <w:sz w:val="24"/>
          <w:highlight w:val="none"/>
        </w:rPr>
        <w:t>年月日</w:t>
      </w:r>
    </w:p>
    <w:p w14:paraId="500EA2A9">
      <w:pPr>
        <w:spacing w:line="360" w:lineRule="auto"/>
        <w:contextualSpacing/>
        <w:jc w:val="center"/>
        <w:rPr>
          <w:rFonts w:ascii="宋体" w:hAnsi="宋体" w:cs="仿宋_GB2312"/>
          <w:b/>
          <w:color w:val="auto"/>
          <w:sz w:val="24"/>
          <w:highlight w:val="none"/>
        </w:rPr>
      </w:pPr>
    </w:p>
    <w:p w14:paraId="0F12C2D1">
      <w:pPr>
        <w:spacing w:line="360" w:lineRule="auto"/>
        <w:contextualSpacing/>
        <w:jc w:val="left"/>
        <w:rPr>
          <w:rFonts w:ascii="宋体" w:hAnsi="宋体" w:cs="仿宋_GB2312"/>
          <w:color w:val="auto"/>
          <w:sz w:val="24"/>
          <w:highlight w:val="none"/>
        </w:rPr>
      </w:pPr>
    </w:p>
    <w:p w14:paraId="52EA7C64">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39CD0CB2">
      <w:pPr>
        <w:adjustRightInd w:val="0"/>
        <w:snapToGrid w:val="0"/>
        <w:spacing w:line="300" w:lineRule="auto"/>
        <w:jc w:val="left"/>
        <w:rPr>
          <w:rFonts w:ascii="宋体" w:hAnsi="宋体"/>
          <w:b/>
          <w:color w:val="auto"/>
          <w:szCs w:val="21"/>
          <w:highlight w:val="none"/>
        </w:rPr>
      </w:pPr>
    </w:p>
    <w:p w14:paraId="65A80688">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p>
    <w:p w14:paraId="0DFF0ABF">
      <w:pPr>
        <w:spacing w:line="520" w:lineRule="exact"/>
        <w:jc w:val="center"/>
        <w:rPr>
          <w:rFonts w:ascii="方正小标宋简体" w:hAnsi="方正小标宋简体" w:eastAsia="方正小标宋简体" w:cs="方正小标宋简体"/>
          <w:color w:val="auto"/>
          <w:sz w:val="44"/>
          <w:szCs w:val="44"/>
          <w:highlight w:val="none"/>
        </w:rPr>
      </w:pPr>
      <w:bookmarkStart w:id="92" w:name="_Hlk65853643"/>
      <w:r>
        <w:rPr>
          <w:rFonts w:hint="eastAsia" w:ascii="方正小标宋简体" w:hAnsi="方正小标宋简体" w:eastAsia="方正小标宋简体" w:cs="方正小标宋简体"/>
          <w:color w:val="auto"/>
          <w:sz w:val="44"/>
          <w:szCs w:val="44"/>
          <w:highlight w:val="none"/>
        </w:rPr>
        <w:t>授权委托书</w:t>
      </w:r>
    </w:p>
    <w:p w14:paraId="144C5A84">
      <w:pPr>
        <w:spacing w:line="52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（非联合体竞标格式）</w:t>
      </w:r>
    </w:p>
    <w:p w14:paraId="58DD1950">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47EF69B5">
      <w:pPr>
        <w:spacing w:line="520" w:lineRule="exact"/>
        <w:rPr>
          <w:rFonts w:ascii="仿宋_GB2312" w:hAnsi="仿宋_GB2312" w:eastAsia="仿宋_GB2312" w:cs="仿宋_GB2312"/>
          <w:color w:val="auto"/>
          <w:sz w:val="32"/>
          <w:szCs w:val="32"/>
          <w:highlight w:val="none"/>
        </w:rPr>
      </w:pPr>
    </w:p>
    <w:p w14:paraId="0E348030">
      <w:pPr>
        <w:spacing w:line="360" w:lineRule="auto"/>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175E4AC5">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sym w:font="Wingdings 2" w:char="00A3"/>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以我方的名义参加项目的竞标活动，并代表我方全权办理针对上述项目的所有采购程序和环节的具体事务和签署相关文件。</w:t>
      </w:r>
    </w:p>
    <w:p w14:paraId="47588189">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38DE4FE1">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6CFBF7E9">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1F522360">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1AA75CC5">
      <w:pPr>
        <w:spacing w:line="360" w:lineRule="auto"/>
        <w:rPr>
          <w:rFonts w:ascii="宋体" w:hAnsi="宋体" w:cs="仿宋_GB2312"/>
          <w:color w:val="auto"/>
          <w:sz w:val="24"/>
          <w:highlight w:val="none"/>
        </w:rPr>
      </w:pPr>
    </w:p>
    <w:p w14:paraId="0D4E197F">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w:t>
      </w:r>
    </w:p>
    <w:p w14:paraId="175D9468">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法定代表人（签字或者盖章或者电子签名）：                    </w:t>
      </w:r>
    </w:p>
    <w:p w14:paraId="7B9D2909">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6DFFE82F">
      <w:pPr>
        <w:spacing w:line="360" w:lineRule="auto"/>
        <w:contextualSpacing/>
        <w:rPr>
          <w:rFonts w:ascii="宋体" w:hAnsi="宋体" w:cs="仿宋_GB2312"/>
          <w:color w:val="auto"/>
          <w:sz w:val="24"/>
          <w:highlight w:val="none"/>
        </w:rPr>
      </w:pPr>
    </w:p>
    <w:p w14:paraId="4DCAF252">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供应商名称（电子签章）：                      </w:t>
      </w:r>
    </w:p>
    <w:p w14:paraId="7282FAE5">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5B33AE4D">
      <w:pPr>
        <w:spacing w:line="360" w:lineRule="auto"/>
        <w:rPr>
          <w:rFonts w:ascii="宋体" w:hAnsi="宋体" w:cs="仿宋_GB2312"/>
          <w:color w:val="auto"/>
          <w:sz w:val="24"/>
          <w:highlight w:val="none"/>
        </w:rPr>
      </w:pPr>
    </w:p>
    <w:p w14:paraId="556238F4">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10D063A6">
      <w:pPr>
        <w:spacing w:line="360" w:lineRule="auto"/>
        <w:ind w:firstLine="480" w:firstLineChars="200"/>
        <w:jc w:val="left"/>
        <w:rPr>
          <w:rFonts w:ascii="宋体" w:hAnsi="宋体" w:cs="仿宋_GB2312"/>
          <w:color w:val="auto"/>
          <w:sz w:val="24"/>
          <w:highlight w:val="none"/>
        </w:rPr>
      </w:pPr>
      <w:r>
        <w:rPr>
          <w:rFonts w:ascii="宋体" w:hAnsi="宋体" w:cs="仿宋_GB2312"/>
          <w:color w:val="auto"/>
          <w:sz w:val="24"/>
          <w:highlight w:val="none"/>
        </w:rPr>
        <w:t>2.</w:t>
      </w:r>
      <w:bookmarkStart w:id="93" w:name="_Hlk65853109"/>
      <w:bookmarkStart w:id="94" w:name="_Hlk65853542"/>
      <w:r>
        <w:rPr>
          <w:rFonts w:hint="eastAsia" w:ascii="宋体" w:hAnsi="宋体" w:cs="仿宋_GB2312"/>
          <w:color w:val="auto"/>
          <w:sz w:val="24"/>
          <w:highlight w:val="none"/>
        </w:rPr>
        <w:t>法人、其他组织竞标时“我方”是指“我单位”，自然人竞标时“我方”是指“本人”。</w:t>
      </w:r>
      <w:bookmarkEnd w:id="93"/>
    </w:p>
    <w:bookmarkEnd w:id="94"/>
    <w:p w14:paraId="2A7B148E">
      <w:pPr>
        <w:spacing w:line="360" w:lineRule="auto"/>
        <w:ind w:firstLine="420" w:firstLineChars="200"/>
        <w:jc w:val="left"/>
        <w:rPr>
          <w:rFonts w:ascii="仿宋_GB2312" w:hAnsi="仿宋_GB2312" w:eastAsia="仿宋_GB2312" w:cs="仿宋_GB2312"/>
          <w:color w:val="auto"/>
          <w:szCs w:val="21"/>
          <w:highlight w:val="none"/>
        </w:rPr>
      </w:pPr>
    </w:p>
    <w:p w14:paraId="4C7C0080">
      <w:pPr>
        <w:spacing w:line="500" w:lineRule="exact"/>
        <w:jc w:val="center"/>
        <w:rPr>
          <w:rFonts w:ascii="方正小标宋简体" w:hAnsi="方正小标宋简体" w:eastAsia="方正小标宋简体" w:cs="方正小标宋简体"/>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550C359C">
      <w:pPr>
        <w:spacing w:line="50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（联合体竞标格式）</w:t>
      </w:r>
    </w:p>
    <w:p w14:paraId="21592427">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30B85947">
      <w:pPr>
        <w:spacing w:line="500" w:lineRule="exact"/>
        <w:jc w:val="center"/>
        <w:rPr>
          <w:rFonts w:ascii="方正小标宋简体" w:hAnsi="方正小标宋简体" w:eastAsia="方正小标宋简体" w:cs="方正小标宋简体"/>
          <w:color w:val="auto"/>
          <w:sz w:val="44"/>
          <w:szCs w:val="44"/>
          <w:highlight w:val="none"/>
        </w:rPr>
      </w:pPr>
    </w:p>
    <w:p w14:paraId="20CE8941">
      <w:pPr>
        <w:spacing w:line="500" w:lineRule="exact"/>
        <w:jc w:val="center"/>
        <w:rPr>
          <w:rFonts w:ascii="仿宋_GB2312" w:hAnsi="仿宋_GB2312" w:eastAsia="仿宋_GB2312" w:cs="仿宋_GB2312"/>
          <w:color w:val="auto"/>
          <w:sz w:val="32"/>
          <w:szCs w:val="32"/>
          <w:highlight w:val="none"/>
        </w:rPr>
      </w:pPr>
    </w:p>
    <w:p w14:paraId="5D669E73">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192F8E4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7E6E754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06ED5D6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10FC4DF7">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附：法定代表人身份证明书及委托代理人有效身份证正反面复印件</w:t>
      </w:r>
    </w:p>
    <w:p w14:paraId="78DB082A">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牵头人法定代表人（签字或者盖章或者电子签名）：</w:t>
      </w:r>
    </w:p>
    <w:p w14:paraId="1CFCDC4C">
      <w:pPr>
        <w:spacing w:line="360" w:lineRule="auto"/>
        <w:ind w:firstLine="3120" w:firstLineChars="1300"/>
        <w:contextualSpacing/>
        <w:rPr>
          <w:rFonts w:ascii="宋体" w:hAnsi="宋体" w:cs="仿宋_GB2312"/>
          <w:color w:val="auto"/>
          <w:sz w:val="24"/>
          <w:highlight w:val="none"/>
        </w:rPr>
      </w:pPr>
      <w:r>
        <w:rPr>
          <w:rFonts w:hint="eastAsia" w:ascii="宋体" w:hAnsi="宋体" w:cs="仿宋_GB2312"/>
          <w:color w:val="auto"/>
          <w:sz w:val="24"/>
          <w:highlight w:val="none"/>
        </w:rPr>
        <w:t>牵头人名称（电子签章）：</w:t>
      </w:r>
    </w:p>
    <w:p w14:paraId="769376A5">
      <w:pPr>
        <w:spacing w:line="360" w:lineRule="auto"/>
        <w:ind w:firstLine="3840" w:firstLineChars="16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5BF75A0B">
      <w:pPr>
        <w:spacing w:line="360" w:lineRule="auto"/>
        <w:contextualSpacing/>
        <w:rPr>
          <w:rFonts w:ascii="宋体" w:hAnsi="宋体" w:cs="仿宋_GB2312"/>
          <w:color w:val="auto"/>
          <w:sz w:val="24"/>
          <w:highlight w:val="none"/>
        </w:rPr>
      </w:pPr>
    </w:p>
    <w:p w14:paraId="3824601A">
      <w:pPr>
        <w:spacing w:line="360" w:lineRule="auto"/>
        <w:ind w:firstLine="3120" w:firstLineChars="1300"/>
        <w:contextualSpacing/>
        <w:rPr>
          <w:rFonts w:ascii="宋体" w:hAnsi="宋体" w:cs="仿宋_GB2312"/>
          <w:color w:val="auto"/>
          <w:sz w:val="24"/>
          <w:highlight w:val="none"/>
        </w:rPr>
      </w:pPr>
      <w:r>
        <w:rPr>
          <w:rFonts w:hint="eastAsia" w:ascii="宋体" w:hAnsi="宋体" w:cs="仿宋_GB2312"/>
          <w:color w:val="auto"/>
          <w:sz w:val="24"/>
          <w:highlight w:val="none"/>
        </w:rPr>
        <w:t>被授权人（签字或者电子签名）：</w:t>
      </w:r>
    </w:p>
    <w:p w14:paraId="3B490877">
      <w:pPr>
        <w:spacing w:line="360" w:lineRule="auto"/>
        <w:ind w:firstLine="3840" w:firstLineChars="16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2F012728">
      <w:pPr>
        <w:spacing w:line="360" w:lineRule="auto"/>
        <w:contextualSpacing/>
        <w:rPr>
          <w:rFonts w:ascii="宋体" w:hAnsi="宋体" w:cs="仿宋_GB2312"/>
          <w:color w:val="auto"/>
          <w:sz w:val="24"/>
          <w:highlight w:val="none"/>
        </w:rPr>
      </w:pPr>
    </w:p>
    <w:p w14:paraId="6FDCAB9E">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63A736D0">
      <w:pPr>
        <w:spacing w:line="360" w:lineRule="auto"/>
        <w:ind w:firstLine="480" w:firstLineChars="200"/>
        <w:jc w:val="left"/>
        <w:rPr>
          <w:rFonts w:ascii="宋体" w:hAnsi="宋体" w:cs="仿宋_GB2312"/>
          <w:color w:val="auto"/>
          <w:spacing w:val="-11"/>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bookmarkEnd w:id="92"/>
    <w:p w14:paraId="2AA2A544">
      <w:pPr>
        <w:spacing w:line="500" w:lineRule="exact"/>
        <w:jc w:val="center"/>
        <w:rPr>
          <w:rFonts w:ascii="方正小标宋简体" w:hAnsi="方正小标宋简体" w:eastAsia="方正小标宋简体" w:cs="方正小标宋简体"/>
          <w:bCs/>
          <w:color w:val="auto"/>
          <w:sz w:val="44"/>
          <w:szCs w:val="44"/>
          <w:highlight w:val="none"/>
        </w:rPr>
      </w:pPr>
      <w:r>
        <w:rPr>
          <w:rFonts w:hint="eastAsia" w:ascii="仿宋_GB2312" w:hAnsi="仿宋_GB2312" w:eastAsia="仿宋_GB2312" w:cs="仿宋_GB2312"/>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商务要求偏离表格式</w:t>
      </w:r>
    </w:p>
    <w:p w14:paraId="3750211B">
      <w:pPr>
        <w:spacing w:line="360" w:lineRule="auto"/>
        <w:contextualSpacing/>
        <w:jc w:val="left"/>
        <w:rPr>
          <w:rFonts w:ascii="宋体" w:hAnsi="宋体"/>
          <w:color w:val="auto"/>
          <w:sz w:val="24"/>
          <w:highlight w:val="none"/>
        </w:rPr>
      </w:pPr>
    </w:p>
    <w:p w14:paraId="30A77D0A">
      <w:pPr>
        <w:pStyle w:val="15"/>
        <w:spacing w:line="360" w:lineRule="auto"/>
        <w:contextualSpacing/>
        <w:rPr>
          <w:rFonts w:hAnsi="宋体" w:cs="仿宋_GB2312"/>
          <w:color w:val="auto"/>
          <w:sz w:val="24"/>
          <w:szCs w:val="24"/>
          <w:highlight w:val="none"/>
        </w:rPr>
      </w:pPr>
      <w:r>
        <w:rPr>
          <w:rFonts w:hint="eastAsia" w:hAnsi="宋体" w:cs="仿宋_GB2312"/>
          <w:color w:val="auto"/>
          <w:sz w:val="24"/>
          <w:szCs w:val="24"/>
          <w:highlight w:val="none"/>
        </w:rPr>
        <w:t>所竞分标：</w:t>
      </w:r>
    </w:p>
    <w:p w14:paraId="628505C7">
      <w:pPr>
        <w:spacing w:line="360" w:lineRule="auto"/>
        <w:contextualSpacing/>
        <w:jc w:val="left"/>
        <w:rPr>
          <w:rFonts w:ascii="宋体" w:hAnsi="宋体" w:cs="仿宋_GB2312"/>
          <w:color w:val="auto"/>
          <w:sz w:val="24"/>
          <w:highlight w:val="none"/>
          <w:u w:val="single"/>
        </w:rPr>
      </w:pPr>
    </w:p>
    <w:tbl>
      <w:tblPr>
        <w:tblStyle w:val="24"/>
        <w:tblpPr w:leftFromText="180" w:rightFromText="180" w:vertAnchor="text" w:horzAnchor="margin" w:tblpY="-9"/>
        <w:tblOverlap w:val="never"/>
        <w:tblW w:w="890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1708"/>
      </w:tblGrid>
      <w:tr w14:paraId="63E6D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3A8CEBF8">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noWrap/>
            <w:vAlign w:val="center"/>
          </w:tcPr>
          <w:p w14:paraId="5CE10844">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noWrap/>
            <w:vAlign w:val="center"/>
          </w:tcPr>
          <w:p w14:paraId="56969848">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供应商的响应</w:t>
            </w:r>
          </w:p>
        </w:tc>
        <w:tc>
          <w:tcPr>
            <w:tcW w:w="1708" w:type="dxa"/>
            <w:tcBorders>
              <w:top w:val="single" w:color="auto" w:sz="4" w:space="0"/>
              <w:left w:val="single" w:color="auto" w:sz="4" w:space="0"/>
              <w:bottom w:val="single" w:color="auto" w:sz="4" w:space="0"/>
              <w:right w:val="single" w:color="auto" w:sz="4" w:space="0"/>
            </w:tcBorders>
            <w:noWrap/>
            <w:vAlign w:val="center"/>
          </w:tcPr>
          <w:p w14:paraId="15BC644D">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偏离说明</w:t>
            </w:r>
          </w:p>
        </w:tc>
      </w:tr>
      <w:tr w14:paraId="09AA2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6006F767">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0A20E45B">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51ADB16C">
            <w:pPr>
              <w:spacing w:line="360" w:lineRule="auto"/>
              <w:contextualSpacing/>
              <w:jc w:val="center"/>
              <w:rPr>
                <w:rFonts w:ascii="宋体" w:hAnsi="宋体" w:cs="仿宋_GB2312"/>
                <w:color w:val="auto"/>
                <w:sz w:val="24"/>
                <w:highlight w:val="none"/>
              </w:rPr>
            </w:pPr>
          </w:p>
        </w:tc>
        <w:tc>
          <w:tcPr>
            <w:tcW w:w="1708" w:type="dxa"/>
            <w:tcBorders>
              <w:top w:val="single" w:color="auto" w:sz="4" w:space="0"/>
              <w:left w:val="single" w:color="auto" w:sz="4" w:space="0"/>
              <w:bottom w:val="single" w:color="auto" w:sz="4" w:space="0"/>
              <w:right w:val="single" w:color="auto" w:sz="4" w:space="0"/>
            </w:tcBorders>
            <w:noWrap/>
            <w:vAlign w:val="center"/>
          </w:tcPr>
          <w:p w14:paraId="6AC58037">
            <w:pPr>
              <w:spacing w:line="360" w:lineRule="auto"/>
              <w:contextualSpacing/>
              <w:jc w:val="center"/>
              <w:rPr>
                <w:rFonts w:ascii="宋体" w:hAnsi="宋体" w:cs="仿宋_GB2312"/>
                <w:color w:val="auto"/>
                <w:sz w:val="24"/>
                <w:highlight w:val="none"/>
              </w:rPr>
            </w:pPr>
          </w:p>
        </w:tc>
      </w:tr>
      <w:tr w14:paraId="65D11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11CE6D69">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607C12EE">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3659A055">
            <w:pPr>
              <w:spacing w:line="360" w:lineRule="auto"/>
              <w:ind w:left="43"/>
              <w:contextualSpacing/>
              <w:jc w:val="center"/>
              <w:rPr>
                <w:rFonts w:ascii="宋体" w:hAnsi="宋体" w:cs="仿宋_GB2312"/>
                <w:color w:val="auto"/>
                <w:sz w:val="24"/>
                <w:highlight w:val="none"/>
              </w:rPr>
            </w:pPr>
          </w:p>
        </w:tc>
        <w:tc>
          <w:tcPr>
            <w:tcW w:w="1708" w:type="dxa"/>
            <w:tcBorders>
              <w:top w:val="single" w:color="auto" w:sz="4" w:space="0"/>
              <w:left w:val="single" w:color="auto" w:sz="4" w:space="0"/>
              <w:bottom w:val="single" w:color="auto" w:sz="4" w:space="0"/>
              <w:right w:val="single" w:color="auto" w:sz="4" w:space="0"/>
            </w:tcBorders>
            <w:noWrap/>
            <w:vAlign w:val="center"/>
          </w:tcPr>
          <w:p w14:paraId="24816EC4">
            <w:pPr>
              <w:spacing w:line="360" w:lineRule="auto"/>
              <w:ind w:left="43"/>
              <w:contextualSpacing/>
              <w:jc w:val="center"/>
              <w:rPr>
                <w:rFonts w:ascii="宋体" w:hAnsi="宋体" w:cs="仿宋_GB2312"/>
                <w:color w:val="auto"/>
                <w:sz w:val="24"/>
                <w:highlight w:val="none"/>
              </w:rPr>
            </w:pPr>
          </w:p>
        </w:tc>
      </w:tr>
      <w:tr w14:paraId="57D64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ign w:val="center"/>
          </w:tcPr>
          <w:p w14:paraId="3BA9F819">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noWrap/>
            <w:vAlign w:val="center"/>
          </w:tcPr>
          <w:p w14:paraId="3A7066C8">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7C29D01F">
            <w:pPr>
              <w:spacing w:line="360" w:lineRule="auto"/>
              <w:contextualSpacing/>
              <w:jc w:val="center"/>
              <w:rPr>
                <w:rFonts w:ascii="宋体" w:hAnsi="宋体" w:cs="仿宋_GB2312"/>
                <w:color w:val="auto"/>
                <w:sz w:val="24"/>
                <w:highlight w:val="none"/>
              </w:rPr>
            </w:pPr>
          </w:p>
        </w:tc>
        <w:tc>
          <w:tcPr>
            <w:tcW w:w="1708" w:type="dxa"/>
            <w:tcBorders>
              <w:top w:val="single" w:color="auto" w:sz="4" w:space="0"/>
              <w:left w:val="single" w:color="auto" w:sz="4" w:space="0"/>
              <w:bottom w:val="single" w:color="auto" w:sz="4" w:space="0"/>
              <w:right w:val="single" w:color="auto" w:sz="4" w:space="0"/>
            </w:tcBorders>
            <w:noWrap/>
            <w:vAlign w:val="center"/>
          </w:tcPr>
          <w:p w14:paraId="0A87ACCB">
            <w:pPr>
              <w:spacing w:line="360" w:lineRule="auto"/>
              <w:contextualSpacing/>
              <w:jc w:val="center"/>
              <w:rPr>
                <w:rFonts w:ascii="宋体" w:hAnsi="宋体" w:cs="仿宋_GB2312"/>
                <w:color w:val="auto"/>
                <w:sz w:val="24"/>
                <w:highlight w:val="none"/>
              </w:rPr>
            </w:pPr>
          </w:p>
        </w:tc>
      </w:tr>
    </w:tbl>
    <w:p w14:paraId="384F5AA3">
      <w:pPr>
        <w:pStyle w:val="11"/>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注：</w:t>
      </w:r>
    </w:p>
    <w:p w14:paraId="5008F051">
      <w:pPr>
        <w:pStyle w:val="11"/>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1. 说明：应对照磋商文件“第三章 采购需求”中的商务要求逐条作出明确响应，并作出偏离说明。</w:t>
      </w:r>
    </w:p>
    <w:p w14:paraId="6FE7964A">
      <w:pPr>
        <w:spacing w:line="360" w:lineRule="auto"/>
        <w:contextualSpacing/>
        <w:jc w:val="left"/>
        <w:rPr>
          <w:rFonts w:ascii="宋体" w:hAnsi="宋体" w:cs="仿宋_GB2312"/>
          <w:color w:val="auto"/>
          <w:sz w:val="24"/>
          <w:highlight w:val="none"/>
          <w:u w:val="singl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w:t>
      </w:r>
    </w:p>
    <w:p w14:paraId="2346CEA2">
      <w:pPr>
        <w:spacing w:line="360" w:lineRule="auto"/>
        <w:ind w:right="-817" w:rightChars="-389"/>
        <w:contextualSpacing/>
        <w:rPr>
          <w:rFonts w:ascii="宋体" w:hAnsi="宋体" w:cs="仿宋_GB2312"/>
          <w:color w:val="auto"/>
          <w:sz w:val="24"/>
          <w:highlight w:val="none"/>
        </w:rPr>
      </w:pPr>
    </w:p>
    <w:p w14:paraId="21CDAE42">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5175B1BF">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09F5CC46">
      <w:pPr>
        <w:spacing w:line="360" w:lineRule="auto"/>
        <w:ind w:right="-817" w:rightChars="-389" w:firstLine="4080" w:firstLineChars="1700"/>
        <w:contextualSpacing/>
        <w:rPr>
          <w:rFonts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73B57C1A">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5B7F2651">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6EF8FE57">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50A91842">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18090C94">
      <w:pPr>
        <w:adjustRightInd w:val="0"/>
        <w:snapToGrid w:val="0"/>
        <w:spacing w:line="520" w:lineRule="exact"/>
        <w:rPr>
          <w:rFonts w:ascii="宋体" w:hAnsi="宋体"/>
          <w:color w:val="auto"/>
          <w:szCs w:val="21"/>
          <w:highlight w:val="none"/>
          <w:u w:val="single"/>
        </w:rPr>
      </w:pPr>
    </w:p>
    <w:p w14:paraId="5FD5168A">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技术要求偏离表</w:t>
      </w:r>
    </w:p>
    <w:p w14:paraId="7DB8DAC2">
      <w:pPr>
        <w:spacing w:line="520" w:lineRule="exact"/>
        <w:rPr>
          <w:rFonts w:ascii="仿宋_GB2312" w:hAnsi="仿宋_GB2312" w:eastAsia="仿宋_GB2312" w:cs="仿宋_GB2312"/>
          <w:color w:val="auto"/>
          <w:sz w:val="32"/>
          <w:szCs w:val="32"/>
          <w:highlight w:val="none"/>
        </w:rPr>
      </w:pPr>
    </w:p>
    <w:p w14:paraId="34B56D35">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p>
    <w:p w14:paraId="7B0530EE">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采购项目名称：</w:t>
      </w:r>
    </w:p>
    <w:p w14:paraId="612441F7">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分标号：</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58"/>
        <w:gridCol w:w="858"/>
        <w:gridCol w:w="2849"/>
        <w:gridCol w:w="2564"/>
        <w:gridCol w:w="1399"/>
      </w:tblGrid>
      <w:tr w14:paraId="760391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262ACB4C">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95" w:name="_Toc297193185"/>
            <w:bookmarkStart w:id="96" w:name="_Toc301781611"/>
            <w:bookmarkStart w:id="97" w:name="_Toc295404981"/>
            <w:bookmarkStart w:id="98" w:name="_Toc173211900"/>
            <w:bookmarkStart w:id="99" w:name="_Toc373333689"/>
            <w:bookmarkStart w:id="100" w:name="_Toc383699906"/>
            <w:bookmarkStart w:id="101" w:name="_Toc173066401"/>
            <w:bookmarkStart w:id="102" w:name="_Toc254970588"/>
            <w:bookmarkStart w:id="103" w:name="_Toc254970729"/>
            <w:r>
              <w:rPr>
                <w:rFonts w:hint="eastAsia" w:ascii="宋体" w:hAnsi="宋体" w:eastAsia="宋体" w:cs="仿宋_GB2312"/>
                <w:color w:val="auto"/>
                <w:kern w:val="2"/>
                <w:sz w:val="24"/>
                <w:szCs w:val="24"/>
                <w:highlight w:val="none"/>
                <w:lang w:val="en-US" w:eastAsia="zh-CN"/>
              </w:rPr>
              <w:t>序号</w:t>
            </w:r>
            <w:bookmarkEnd w:id="95"/>
            <w:bookmarkEnd w:id="96"/>
            <w:bookmarkEnd w:id="97"/>
            <w:bookmarkEnd w:id="98"/>
            <w:bookmarkEnd w:id="99"/>
            <w:bookmarkEnd w:id="100"/>
            <w:bookmarkEnd w:id="101"/>
            <w:bookmarkEnd w:id="102"/>
            <w:bookmarkEnd w:id="103"/>
          </w:p>
        </w:tc>
        <w:tc>
          <w:tcPr>
            <w:tcW w:w="503" w:type="pct"/>
            <w:tcBorders>
              <w:right w:val="single" w:color="auto" w:sz="4" w:space="0"/>
            </w:tcBorders>
            <w:noWrap/>
            <w:vAlign w:val="center"/>
          </w:tcPr>
          <w:p w14:paraId="1E9FBEAD">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名称</w:t>
            </w:r>
          </w:p>
        </w:tc>
        <w:tc>
          <w:tcPr>
            <w:tcW w:w="1670" w:type="pct"/>
            <w:tcBorders>
              <w:left w:val="single" w:color="auto" w:sz="4" w:space="0"/>
            </w:tcBorders>
            <w:noWrap/>
            <w:vAlign w:val="center"/>
          </w:tcPr>
          <w:p w14:paraId="3F58C2E6">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磋商文件技术要求</w:t>
            </w:r>
          </w:p>
        </w:tc>
        <w:tc>
          <w:tcPr>
            <w:tcW w:w="1503" w:type="pct"/>
            <w:noWrap/>
            <w:vAlign w:val="center"/>
          </w:tcPr>
          <w:p w14:paraId="453CFC68">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104" w:name="_Toc173066403"/>
            <w:bookmarkStart w:id="105" w:name="_Toc254970731"/>
            <w:bookmarkStart w:id="106" w:name="_Toc254970590"/>
            <w:bookmarkStart w:id="107" w:name="_Toc297193187"/>
            <w:bookmarkStart w:id="108" w:name="_Toc373333691"/>
            <w:bookmarkStart w:id="109" w:name="_Toc301781613"/>
            <w:bookmarkStart w:id="110" w:name="_Toc383699908"/>
            <w:bookmarkStart w:id="111" w:name="_Toc295404983"/>
            <w:bookmarkStart w:id="112" w:name="_Toc173211902"/>
            <w:r>
              <w:rPr>
                <w:rFonts w:hint="eastAsia" w:ascii="宋体" w:hAnsi="宋体" w:eastAsia="宋体" w:cs="仿宋_GB2312"/>
                <w:color w:val="auto"/>
                <w:kern w:val="2"/>
                <w:sz w:val="24"/>
                <w:szCs w:val="24"/>
                <w:highlight w:val="none"/>
                <w:lang w:val="en-US" w:eastAsia="zh-CN"/>
              </w:rPr>
              <w:t>竞标响应</w:t>
            </w:r>
            <w:bookmarkEnd w:id="104"/>
            <w:bookmarkEnd w:id="105"/>
            <w:bookmarkEnd w:id="106"/>
            <w:bookmarkEnd w:id="107"/>
            <w:bookmarkEnd w:id="108"/>
            <w:bookmarkEnd w:id="109"/>
            <w:bookmarkEnd w:id="110"/>
            <w:bookmarkEnd w:id="111"/>
            <w:bookmarkEnd w:id="112"/>
          </w:p>
        </w:tc>
        <w:tc>
          <w:tcPr>
            <w:tcW w:w="820" w:type="pct"/>
            <w:noWrap/>
            <w:vAlign w:val="center"/>
          </w:tcPr>
          <w:p w14:paraId="7C4FCA2A">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113" w:name="_Toc383699909"/>
            <w:bookmarkStart w:id="114" w:name="_Toc254970591"/>
            <w:bookmarkStart w:id="115" w:name="_Toc297193188"/>
            <w:bookmarkStart w:id="116" w:name="_Toc173211903"/>
            <w:bookmarkStart w:id="117" w:name="_Toc301781614"/>
            <w:bookmarkStart w:id="118" w:name="_Toc173066404"/>
            <w:bookmarkStart w:id="119" w:name="_Toc373333692"/>
            <w:bookmarkStart w:id="120" w:name="_Toc254970732"/>
            <w:bookmarkStart w:id="121" w:name="_Toc295404984"/>
            <w:r>
              <w:rPr>
                <w:rFonts w:hint="eastAsia" w:ascii="宋体" w:hAnsi="宋体" w:eastAsia="宋体" w:cs="仿宋_GB2312"/>
                <w:color w:val="auto"/>
                <w:kern w:val="2"/>
                <w:sz w:val="24"/>
                <w:szCs w:val="24"/>
                <w:highlight w:val="none"/>
                <w:lang w:val="en-US" w:eastAsia="zh-CN"/>
              </w:rPr>
              <w:t>偏离</w:t>
            </w:r>
            <w:bookmarkEnd w:id="113"/>
            <w:bookmarkEnd w:id="114"/>
            <w:bookmarkEnd w:id="115"/>
            <w:bookmarkEnd w:id="116"/>
            <w:bookmarkEnd w:id="117"/>
            <w:bookmarkEnd w:id="118"/>
            <w:bookmarkEnd w:id="119"/>
            <w:bookmarkEnd w:id="120"/>
            <w:bookmarkEnd w:id="121"/>
            <w:bookmarkStart w:id="122" w:name="_Toc254970592"/>
            <w:bookmarkStart w:id="123" w:name="_Toc301781615"/>
            <w:bookmarkStart w:id="124" w:name="_Toc173211904"/>
            <w:bookmarkStart w:id="125" w:name="_Toc373333693"/>
            <w:bookmarkStart w:id="126" w:name="_Toc295404985"/>
            <w:bookmarkStart w:id="127" w:name="_Toc173066405"/>
            <w:bookmarkStart w:id="128" w:name="_Toc383699910"/>
            <w:bookmarkStart w:id="129" w:name="_Toc254970733"/>
            <w:bookmarkStart w:id="130" w:name="_Toc297193189"/>
            <w:r>
              <w:rPr>
                <w:rFonts w:hint="eastAsia" w:ascii="宋体" w:hAnsi="宋体" w:eastAsia="宋体" w:cs="仿宋_GB2312"/>
                <w:color w:val="auto"/>
                <w:kern w:val="2"/>
                <w:sz w:val="24"/>
                <w:szCs w:val="24"/>
                <w:highlight w:val="none"/>
                <w:lang w:val="en-US" w:eastAsia="zh-CN"/>
              </w:rPr>
              <w:t>说明</w:t>
            </w:r>
            <w:bookmarkEnd w:id="122"/>
            <w:bookmarkEnd w:id="123"/>
            <w:bookmarkEnd w:id="124"/>
            <w:bookmarkEnd w:id="125"/>
            <w:bookmarkEnd w:id="126"/>
            <w:bookmarkEnd w:id="127"/>
            <w:bookmarkEnd w:id="128"/>
            <w:bookmarkEnd w:id="129"/>
            <w:bookmarkEnd w:id="130"/>
          </w:p>
        </w:tc>
      </w:tr>
      <w:tr w14:paraId="0ACBBA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2B1D8599">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131" w:name="_Toc173211905"/>
            <w:bookmarkStart w:id="132" w:name="_Toc173066406"/>
            <w:bookmarkStart w:id="133" w:name="_Toc254970593"/>
            <w:bookmarkStart w:id="134" w:name="_Toc295404986"/>
            <w:bookmarkStart w:id="135" w:name="_Toc301781616"/>
            <w:bookmarkStart w:id="136" w:name="_Toc373333694"/>
            <w:bookmarkStart w:id="137" w:name="_Toc254970734"/>
            <w:bookmarkStart w:id="138" w:name="_Toc383699911"/>
            <w:bookmarkStart w:id="139" w:name="_Toc297193190"/>
            <w:r>
              <w:rPr>
                <w:rFonts w:hint="eastAsia" w:ascii="宋体" w:hAnsi="宋体" w:eastAsia="宋体" w:cs="仿宋_GB2312"/>
                <w:color w:val="auto"/>
                <w:kern w:val="2"/>
                <w:sz w:val="24"/>
                <w:szCs w:val="24"/>
                <w:highlight w:val="none"/>
                <w:lang w:val="en-US" w:eastAsia="zh-CN"/>
              </w:rPr>
              <w:t>1</w:t>
            </w:r>
            <w:bookmarkEnd w:id="131"/>
            <w:bookmarkEnd w:id="132"/>
            <w:bookmarkEnd w:id="133"/>
            <w:bookmarkEnd w:id="134"/>
            <w:bookmarkEnd w:id="135"/>
            <w:bookmarkEnd w:id="136"/>
            <w:bookmarkEnd w:id="137"/>
            <w:bookmarkEnd w:id="138"/>
            <w:bookmarkEnd w:id="139"/>
          </w:p>
        </w:tc>
        <w:tc>
          <w:tcPr>
            <w:tcW w:w="503" w:type="pct"/>
            <w:tcBorders>
              <w:right w:val="single" w:color="auto" w:sz="4" w:space="0"/>
            </w:tcBorders>
            <w:noWrap/>
            <w:vAlign w:val="center"/>
          </w:tcPr>
          <w:p w14:paraId="062E9C03">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670" w:type="pct"/>
            <w:tcBorders>
              <w:left w:val="single" w:color="auto" w:sz="4" w:space="0"/>
            </w:tcBorders>
            <w:noWrap/>
            <w:vAlign w:val="center"/>
          </w:tcPr>
          <w:p w14:paraId="49FECBD9">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503" w:type="pct"/>
            <w:noWrap/>
            <w:vAlign w:val="center"/>
          </w:tcPr>
          <w:p w14:paraId="4E81BEB4">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820" w:type="pct"/>
            <w:noWrap/>
            <w:vAlign w:val="center"/>
          </w:tcPr>
          <w:p w14:paraId="702C3640">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r>
      <w:tr w14:paraId="7915D3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7358433D">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140" w:name="_Toc301781617"/>
            <w:bookmarkStart w:id="141" w:name="_Toc295404987"/>
            <w:bookmarkStart w:id="142" w:name="_Toc254970735"/>
            <w:bookmarkStart w:id="143" w:name="_Toc254970594"/>
            <w:bookmarkStart w:id="144" w:name="_Toc173211906"/>
            <w:bookmarkStart w:id="145" w:name="_Toc297193191"/>
            <w:bookmarkStart w:id="146" w:name="_Toc373333695"/>
            <w:bookmarkStart w:id="147" w:name="_Toc383699912"/>
            <w:bookmarkStart w:id="148" w:name="_Toc173066407"/>
            <w:r>
              <w:rPr>
                <w:rFonts w:hint="eastAsia" w:ascii="宋体" w:hAnsi="宋体" w:eastAsia="宋体" w:cs="仿宋_GB2312"/>
                <w:color w:val="auto"/>
                <w:kern w:val="2"/>
                <w:sz w:val="24"/>
                <w:szCs w:val="24"/>
                <w:highlight w:val="none"/>
                <w:lang w:val="en-US" w:eastAsia="zh-CN"/>
              </w:rPr>
              <w:t>2</w:t>
            </w:r>
            <w:bookmarkEnd w:id="140"/>
            <w:bookmarkEnd w:id="141"/>
            <w:bookmarkEnd w:id="142"/>
            <w:bookmarkEnd w:id="143"/>
            <w:bookmarkEnd w:id="144"/>
            <w:bookmarkEnd w:id="145"/>
            <w:bookmarkEnd w:id="146"/>
            <w:bookmarkEnd w:id="147"/>
            <w:bookmarkEnd w:id="148"/>
          </w:p>
        </w:tc>
        <w:tc>
          <w:tcPr>
            <w:tcW w:w="503" w:type="pct"/>
            <w:tcBorders>
              <w:right w:val="single" w:color="auto" w:sz="4" w:space="0"/>
            </w:tcBorders>
            <w:noWrap/>
            <w:vAlign w:val="center"/>
          </w:tcPr>
          <w:p w14:paraId="6B0FD839">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670" w:type="pct"/>
            <w:tcBorders>
              <w:left w:val="single" w:color="auto" w:sz="4" w:space="0"/>
            </w:tcBorders>
            <w:noWrap/>
            <w:vAlign w:val="center"/>
          </w:tcPr>
          <w:p w14:paraId="54DFE3F6">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503" w:type="pct"/>
            <w:noWrap/>
            <w:vAlign w:val="center"/>
          </w:tcPr>
          <w:p w14:paraId="7CDE90CC">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820" w:type="pct"/>
            <w:noWrap/>
            <w:vAlign w:val="center"/>
          </w:tcPr>
          <w:p w14:paraId="2EB8B795">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r>
      <w:tr w14:paraId="729B58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7E4855B6">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149" w:name="_Toc297193192"/>
            <w:bookmarkStart w:id="150" w:name="_Toc173211907"/>
            <w:bookmarkStart w:id="151" w:name="_Toc383699913"/>
            <w:bookmarkStart w:id="152" w:name="_Toc301781618"/>
            <w:bookmarkStart w:id="153" w:name="_Toc295404988"/>
            <w:bookmarkStart w:id="154" w:name="_Toc254970595"/>
            <w:bookmarkStart w:id="155" w:name="_Toc254970736"/>
            <w:bookmarkStart w:id="156" w:name="_Toc373333696"/>
            <w:bookmarkStart w:id="157" w:name="_Toc173066408"/>
            <w:r>
              <w:rPr>
                <w:rFonts w:hint="eastAsia" w:ascii="宋体" w:hAnsi="宋体" w:eastAsia="宋体" w:cs="仿宋_GB2312"/>
                <w:color w:val="auto"/>
                <w:kern w:val="2"/>
                <w:sz w:val="24"/>
                <w:szCs w:val="24"/>
                <w:highlight w:val="none"/>
                <w:lang w:val="en-US" w:eastAsia="zh-CN"/>
              </w:rPr>
              <w:t>3</w:t>
            </w:r>
            <w:bookmarkEnd w:id="149"/>
            <w:bookmarkEnd w:id="150"/>
            <w:bookmarkEnd w:id="151"/>
            <w:bookmarkEnd w:id="152"/>
            <w:bookmarkEnd w:id="153"/>
            <w:bookmarkEnd w:id="154"/>
            <w:bookmarkEnd w:id="155"/>
            <w:bookmarkEnd w:id="156"/>
            <w:bookmarkEnd w:id="157"/>
          </w:p>
        </w:tc>
        <w:tc>
          <w:tcPr>
            <w:tcW w:w="503" w:type="pct"/>
            <w:tcBorders>
              <w:right w:val="single" w:color="auto" w:sz="4" w:space="0"/>
            </w:tcBorders>
            <w:noWrap/>
            <w:vAlign w:val="center"/>
          </w:tcPr>
          <w:p w14:paraId="234AE97C">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670" w:type="pct"/>
            <w:tcBorders>
              <w:left w:val="single" w:color="auto" w:sz="4" w:space="0"/>
            </w:tcBorders>
            <w:noWrap/>
            <w:vAlign w:val="center"/>
          </w:tcPr>
          <w:p w14:paraId="1D127B67">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503" w:type="pct"/>
            <w:noWrap/>
            <w:vAlign w:val="center"/>
          </w:tcPr>
          <w:p w14:paraId="16B11B58">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820" w:type="pct"/>
            <w:noWrap/>
            <w:vAlign w:val="center"/>
          </w:tcPr>
          <w:p w14:paraId="033F7FCF">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r>
      <w:tr w14:paraId="532DD1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jc w:val="center"/>
        </w:trPr>
        <w:tc>
          <w:tcPr>
            <w:tcW w:w="503" w:type="pct"/>
            <w:noWrap/>
            <w:vAlign w:val="center"/>
          </w:tcPr>
          <w:p w14:paraId="1BF1F082">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158" w:name="_Toc295404989"/>
            <w:bookmarkStart w:id="159" w:name="_Toc173066409"/>
            <w:bookmarkStart w:id="160" w:name="_Toc173211908"/>
            <w:bookmarkStart w:id="161" w:name="_Toc297193193"/>
            <w:bookmarkStart w:id="162" w:name="_Toc254970737"/>
            <w:bookmarkStart w:id="163" w:name="_Toc254970596"/>
            <w:bookmarkStart w:id="164" w:name="_Toc383699914"/>
            <w:bookmarkStart w:id="165" w:name="_Toc301781619"/>
            <w:bookmarkStart w:id="166" w:name="_Toc373333697"/>
            <w:r>
              <w:rPr>
                <w:rFonts w:hint="eastAsia" w:ascii="宋体" w:hAnsi="宋体" w:eastAsia="宋体" w:cs="仿宋_GB2312"/>
                <w:color w:val="auto"/>
                <w:kern w:val="2"/>
                <w:sz w:val="24"/>
                <w:szCs w:val="24"/>
                <w:highlight w:val="none"/>
                <w:lang w:val="en-US" w:eastAsia="zh-CN"/>
              </w:rPr>
              <w:t>4</w:t>
            </w:r>
            <w:bookmarkEnd w:id="158"/>
            <w:bookmarkEnd w:id="159"/>
            <w:bookmarkEnd w:id="160"/>
            <w:bookmarkEnd w:id="161"/>
            <w:bookmarkEnd w:id="162"/>
            <w:bookmarkEnd w:id="163"/>
            <w:bookmarkEnd w:id="164"/>
            <w:bookmarkEnd w:id="165"/>
            <w:bookmarkEnd w:id="166"/>
          </w:p>
        </w:tc>
        <w:tc>
          <w:tcPr>
            <w:tcW w:w="503" w:type="pct"/>
            <w:tcBorders>
              <w:right w:val="single" w:color="auto" w:sz="4" w:space="0"/>
            </w:tcBorders>
            <w:noWrap/>
            <w:vAlign w:val="center"/>
          </w:tcPr>
          <w:p w14:paraId="4783A83E">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670" w:type="pct"/>
            <w:tcBorders>
              <w:left w:val="single" w:color="auto" w:sz="4" w:space="0"/>
            </w:tcBorders>
            <w:noWrap/>
            <w:vAlign w:val="center"/>
          </w:tcPr>
          <w:p w14:paraId="28CEFB9C">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503" w:type="pct"/>
            <w:noWrap/>
            <w:vAlign w:val="center"/>
          </w:tcPr>
          <w:p w14:paraId="20C03C5F">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820" w:type="pct"/>
            <w:noWrap/>
            <w:vAlign w:val="center"/>
          </w:tcPr>
          <w:p w14:paraId="67A507BB">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r>
      <w:tr w14:paraId="0D0425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2D860B45">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167" w:name="_Toc295404990"/>
            <w:bookmarkStart w:id="168" w:name="_Toc173066410"/>
            <w:bookmarkStart w:id="169" w:name="_Toc383699915"/>
            <w:bookmarkStart w:id="170" w:name="_Toc254970597"/>
            <w:bookmarkStart w:id="171" w:name="_Toc254970738"/>
            <w:bookmarkStart w:id="172" w:name="_Toc173211909"/>
            <w:bookmarkStart w:id="173" w:name="_Toc297193194"/>
            <w:bookmarkStart w:id="174" w:name="_Toc301781620"/>
            <w:bookmarkStart w:id="175" w:name="_Toc373333698"/>
            <w:r>
              <w:rPr>
                <w:rFonts w:hint="eastAsia" w:ascii="宋体" w:hAnsi="宋体" w:eastAsia="宋体" w:cs="仿宋_GB2312"/>
                <w:color w:val="auto"/>
                <w:kern w:val="2"/>
                <w:sz w:val="24"/>
                <w:szCs w:val="24"/>
                <w:highlight w:val="none"/>
                <w:lang w:val="en-US" w:eastAsia="zh-CN"/>
              </w:rPr>
              <w:t>5</w:t>
            </w:r>
            <w:bookmarkEnd w:id="167"/>
            <w:bookmarkEnd w:id="168"/>
            <w:bookmarkEnd w:id="169"/>
            <w:bookmarkEnd w:id="170"/>
            <w:bookmarkEnd w:id="171"/>
            <w:bookmarkEnd w:id="172"/>
            <w:bookmarkEnd w:id="173"/>
            <w:bookmarkEnd w:id="174"/>
            <w:bookmarkEnd w:id="175"/>
          </w:p>
        </w:tc>
        <w:tc>
          <w:tcPr>
            <w:tcW w:w="503" w:type="pct"/>
            <w:tcBorders>
              <w:right w:val="single" w:color="auto" w:sz="4" w:space="0"/>
            </w:tcBorders>
            <w:noWrap/>
            <w:vAlign w:val="center"/>
          </w:tcPr>
          <w:p w14:paraId="1644DB07">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670" w:type="pct"/>
            <w:tcBorders>
              <w:left w:val="single" w:color="auto" w:sz="4" w:space="0"/>
            </w:tcBorders>
            <w:noWrap/>
            <w:vAlign w:val="center"/>
          </w:tcPr>
          <w:p w14:paraId="30C8C219">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503" w:type="pct"/>
            <w:noWrap/>
            <w:vAlign w:val="center"/>
          </w:tcPr>
          <w:p w14:paraId="3BF75FC7">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820" w:type="pct"/>
            <w:noWrap/>
            <w:vAlign w:val="center"/>
          </w:tcPr>
          <w:p w14:paraId="6E084522">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r>
      <w:tr w14:paraId="6C4FA3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noWrap/>
            <w:vAlign w:val="center"/>
          </w:tcPr>
          <w:p w14:paraId="669C1015">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176" w:name="_Toc254970602"/>
            <w:bookmarkStart w:id="177" w:name="_Toc173066415"/>
            <w:bookmarkStart w:id="178" w:name="_Toc254970743"/>
            <w:bookmarkStart w:id="179" w:name="_Toc173211914"/>
            <w:bookmarkStart w:id="180" w:name="_Toc373333699"/>
            <w:bookmarkStart w:id="181" w:name="_Toc383699916"/>
            <w:bookmarkStart w:id="182" w:name="_Toc301781621"/>
            <w:bookmarkStart w:id="183" w:name="_Toc295404991"/>
            <w:bookmarkStart w:id="184" w:name="_Toc297193195"/>
            <w:r>
              <w:rPr>
                <w:rFonts w:hint="eastAsia" w:ascii="宋体" w:hAnsi="宋体" w:eastAsia="宋体" w:cs="仿宋_GB2312"/>
                <w:color w:val="auto"/>
                <w:kern w:val="2"/>
                <w:sz w:val="24"/>
                <w:szCs w:val="24"/>
                <w:highlight w:val="none"/>
                <w:lang w:val="en-US" w:eastAsia="zh-CN"/>
              </w:rPr>
              <w:t>…</w:t>
            </w:r>
            <w:bookmarkEnd w:id="176"/>
            <w:bookmarkEnd w:id="177"/>
            <w:bookmarkEnd w:id="178"/>
            <w:bookmarkEnd w:id="179"/>
            <w:bookmarkEnd w:id="180"/>
            <w:bookmarkEnd w:id="181"/>
            <w:bookmarkEnd w:id="182"/>
            <w:bookmarkEnd w:id="183"/>
            <w:bookmarkEnd w:id="184"/>
          </w:p>
        </w:tc>
        <w:tc>
          <w:tcPr>
            <w:tcW w:w="503" w:type="pct"/>
            <w:tcBorders>
              <w:right w:val="single" w:color="auto" w:sz="4" w:space="0"/>
            </w:tcBorders>
            <w:noWrap/>
            <w:vAlign w:val="center"/>
          </w:tcPr>
          <w:p w14:paraId="6BC1D893">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670" w:type="pct"/>
            <w:tcBorders>
              <w:left w:val="single" w:color="auto" w:sz="4" w:space="0"/>
            </w:tcBorders>
            <w:noWrap/>
            <w:vAlign w:val="center"/>
          </w:tcPr>
          <w:p w14:paraId="1B3B88D9">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503" w:type="pct"/>
            <w:noWrap/>
            <w:vAlign w:val="center"/>
          </w:tcPr>
          <w:p w14:paraId="2113E4C2">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820" w:type="pct"/>
            <w:tcBorders>
              <w:right w:val="single" w:color="auto" w:sz="4" w:space="0"/>
            </w:tcBorders>
            <w:noWrap/>
            <w:vAlign w:val="center"/>
          </w:tcPr>
          <w:p w14:paraId="0BD62680">
            <w:pPr>
              <w:pStyle w:val="13"/>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r>
    </w:tbl>
    <w:p w14:paraId="1706D84B">
      <w:pPr>
        <w:adjustRightInd w:val="0"/>
        <w:spacing w:line="360" w:lineRule="auto"/>
        <w:contextualSpacing/>
        <w:rPr>
          <w:rFonts w:ascii="宋体" w:hAnsi="宋体" w:cs="仿宋_GB2312"/>
          <w:color w:val="auto"/>
          <w:sz w:val="24"/>
          <w:highlight w:val="none"/>
        </w:rPr>
      </w:pPr>
    </w:p>
    <w:p w14:paraId="6FEA83A5">
      <w:pPr>
        <w:pStyle w:val="13"/>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0C67B0F5">
      <w:pPr>
        <w:pStyle w:val="13"/>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 采购需求”中的技术要求逐条作出明确响应，并作出偏离说明。</w:t>
      </w:r>
    </w:p>
    <w:p w14:paraId="3EB66700">
      <w:pPr>
        <w:pStyle w:val="13"/>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14:paraId="7F985466">
      <w:pPr>
        <w:spacing w:line="360" w:lineRule="auto"/>
        <w:ind w:right="-817" w:rightChars="-389"/>
        <w:contextualSpacing/>
        <w:rPr>
          <w:rFonts w:ascii="宋体" w:hAnsi="宋体" w:cs="仿宋_GB2312"/>
          <w:color w:val="auto"/>
          <w:sz w:val="24"/>
          <w:highlight w:val="none"/>
        </w:rPr>
      </w:pPr>
    </w:p>
    <w:p w14:paraId="2BD50BC2">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019AF10C">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06B6ACBE">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430E396C">
      <w:pPr>
        <w:snapToGrid w:val="0"/>
        <w:spacing w:beforeLines="50" w:after="50"/>
        <w:ind w:left="142"/>
        <w:jc w:val="left"/>
        <w:rPr>
          <w:rFonts w:ascii="宋体" w:hAnsi="宋体"/>
          <w:b/>
          <w:color w:val="auto"/>
          <w:sz w:val="24"/>
          <w:highlight w:val="none"/>
        </w:rPr>
      </w:pPr>
      <w:r>
        <w:rPr>
          <w:rFonts w:ascii="宋体" w:hAnsi="宋体" w:cs="仿宋_GB2312"/>
          <w:color w:val="auto"/>
          <w:sz w:val="24"/>
          <w:highlight w:val="none"/>
        </w:rPr>
        <w:br w:type="page"/>
      </w:r>
      <w:r>
        <w:rPr>
          <w:rFonts w:hint="eastAsia" w:ascii="宋体" w:hAnsi="宋体"/>
          <w:b/>
          <w:color w:val="auto"/>
          <w:sz w:val="24"/>
          <w:highlight w:val="none"/>
        </w:rPr>
        <w:t>项目实施人员一览表格式</w:t>
      </w:r>
    </w:p>
    <w:p w14:paraId="3F0E5B4F">
      <w:pPr>
        <w:snapToGrid w:val="0"/>
        <w:spacing w:beforeLines="50" w:after="50"/>
        <w:ind w:left="142"/>
        <w:jc w:val="left"/>
        <w:rPr>
          <w:rFonts w:ascii="宋体" w:hAnsi="宋体"/>
          <w:b/>
          <w:color w:val="auto"/>
          <w:sz w:val="24"/>
          <w:highlight w:val="none"/>
        </w:rPr>
      </w:pPr>
    </w:p>
    <w:p w14:paraId="07913666">
      <w:pPr>
        <w:spacing w:line="360" w:lineRule="auto"/>
        <w:ind w:left="142"/>
        <w:contextualSpacing/>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36929FFA">
      <w:pPr>
        <w:pStyle w:val="15"/>
        <w:spacing w:line="360" w:lineRule="auto"/>
        <w:contextualSpacing/>
        <w:rPr>
          <w:color w:val="auto"/>
          <w:sz w:val="24"/>
          <w:szCs w:val="24"/>
          <w:highlight w:val="none"/>
        </w:rPr>
      </w:pPr>
      <w:r>
        <w:rPr>
          <w:rFonts w:hint="eastAsia"/>
          <w:color w:val="auto"/>
          <w:sz w:val="24"/>
          <w:szCs w:val="24"/>
          <w:highlight w:val="none"/>
        </w:rPr>
        <w:t>所竞分标：</w:t>
      </w:r>
      <w:r>
        <w:rPr>
          <w:rFonts w:hint="eastAsia"/>
          <w:color w:val="auto"/>
          <w:sz w:val="24"/>
          <w:szCs w:val="24"/>
          <w:highlight w:val="none"/>
          <w:u w:val="single"/>
        </w:rPr>
        <w:t>A</w:t>
      </w:r>
      <w:r>
        <w:rPr>
          <w:rFonts w:hint="eastAsia"/>
          <w:color w:val="auto"/>
          <w:sz w:val="24"/>
          <w:szCs w:val="24"/>
          <w:highlight w:val="none"/>
        </w:rPr>
        <w:t>分标</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1529"/>
        <w:gridCol w:w="723"/>
        <w:gridCol w:w="408"/>
        <w:gridCol w:w="2994"/>
        <w:gridCol w:w="599"/>
        <w:gridCol w:w="1079"/>
        <w:gridCol w:w="790"/>
      </w:tblGrid>
      <w:tr w14:paraId="5C19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noWrap/>
            <w:vAlign w:val="center"/>
          </w:tcPr>
          <w:p w14:paraId="0E1E94F3">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96" w:type="pct"/>
            <w:noWrap/>
            <w:vAlign w:val="center"/>
          </w:tcPr>
          <w:p w14:paraId="7B4121BA">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lang w:val="en-US" w:eastAsia="zh-CN"/>
              </w:rPr>
              <w:t>团队</w:t>
            </w:r>
            <w:r>
              <w:rPr>
                <w:rFonts w:hint="eastAsia" w:ascii="宋体" w:hAnsi="宋体" w:cs="宋体"/>
                <w:color w:val="auto"/>
                <w:szCs w:val="21"/>
                <w:highlight w:val="none"/>
              </w:rPr>
              <w:t>组别</w:t>
            </w:r>
          </w:p>
        </w:tc>
        <w:tc>
          <w:tcPr>
            <w:tcW w:w="423" w:type="pct"/>
            <w:noWrap/>
            <w:vAlign w:val="center"/>
          </w:tcPr>
          <w:p w14:paraId="221A29FC">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239" w:type="pct"/>
            <w:noWrap/>
            <w:vAlign w:val="center"/>
          </w:tcPr>
          <w:p w14:paraId="6E96BF4B">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755" w:type="pct"/>
            <w:noWrap/>
            <w:vAlign w:val="center"/>
          </w:tcPr>
          <w:p w14:paraId="2377140A">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专业技术资格（职称）或者职业资格或者执业资格证或者其他证书</w:t>
            </w:r>
          </w:p>
        </w:tc>
        <w:tc>
          <w:tcPr>
            <w:tcW w:w="351" w:type="pct"/>
            <w:noWrap/>
            <w:vAlign w:val="center"/>
          </w:tcPr>
          <w:p w14:paraId="23C4F3C0">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证书编号</w:t>
            </w:r>
          </w:p>
        </w:tc>
        <w:tc>
          <w:tcPr>
            <w:tcW w:w="632" w:type="pct"/>
            <w:noWrap/>
            <w:vAlign w:val="center"/>
          </w:tcPr>
          <w:p w14:paraId="4A563BA7">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参加本单位工作时间</w:t>
            </w:r>
          </w:p>
        </w:tc>
        <w:tc>
          <w:tcPr>
            <w:tcW w:w="463" w:type="pct"/>
            <w:noWrap/>
            <w:vAlign w:val="center"/>
          </w:tcPr>
          <w:p w14:paraId="3EF20F51">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劳动合同编号</w:t>
            </w:r>
          </w:p>
        </w:tc>
      </w:tr>
      <w:tr w14:paraId="19A2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noWrap/>
            <w:vAlign w:val="center"/>
          </w:tcPr>
          <w:p w14:paraId="45D89766">
            <w:pPr>
              <w:spacing w:line="360" w:lineRule="auto"/>
              <w:contextualSpacing/>
              <w:jc w:val="center"/>
              <w:rPr>
                <w:rFonts w:ascii="宋体" w:hAnsi="宋体" w:cs="宋体"/>
                <w:color w:val="auto"/>
                <w:szCs w:val="21"/>
                <w:highlight w:val="none"/>
              </w:rPr>
            </w:pPr>
          </w:p>
        </w:tc>
        <w:tc>
          <w:tcPr>
            <w:tcW w:w="896" w:type="pct"/>
            <w:noWrap/>
            <w:vAlign w:val="center"/>
          </w:tcPr>
          <w:p w14:paraId="523A1804">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小额贷款公司现场检查</w:t>
            </w:r>
            <w:r>
              <w:rPr>
                <w:rFonts w:hint="eastAsia" w:ascii="宋体" w:hAnsi="宋体" w:cs="宋体"/>
                <w:color w:val="auto"/>
                <w:szCs w:val="21"/>
                <w:highlight w:val="none"/>
                <w:lang w:eastAsia="zh-CN"/>
              </w:rPr>
              <w:t>与监管评级</w:t>
            </w:r>
          </w:p>
        </w:tc>
        <w:tc>
          <w:tcPr>
            <w:tcW w:w="423" w:type="pct"/>
            <w:noWrap/>
            <w:vAlign w:val="center"/>
          </w:tcPr>
          <w:p w14:paraId="38F4B3E1">
            <w:pPr>
              <w:spacing w:line="360" w:lineRule="auto"/>
              <w:contextualSpacing/>
              <w:jc w:val="center"/>
              <w:rPr>
                <w:rFonts w:ascii="宋体" w:hAnsi="宋体" w:cs="宋体"/>
                <w:color w:val="auto"/>
                <w:szCs w:val="21"/>
                <w:highlight w:val="none"/>
              </w:rPr>
            </w:pPr>
          </w:p>
        </w:tc>
        <w:tc>
          <w:tcPr>
            <w:tcW w:w="239" w:type="pct"/>
            <w:noWrap/>
            <w:vAlign w:val="center"/>
          </w:tcPr>
          <w:p w14:paraId="32FE4707">
            <w:pPr>
              <w:spacing w:line="360" w:lineRule="auto"/>
              <w:contextualSpacing/>
              <w:jc w:val="center"/>
              <w:rPr>
                <w:rFonts w:ascii="宋体" w:hAnsi="宋体" w:cs="宋体"/>
                <w:color w:val="auto"/>
                <w:szCs w:val="21"/>
                <w:highlight w:val="none"/>
              </w:rPr>
            </w:pPr>
          </w:p>
        </w:tc>
        <w:tc>
          <w:tcPr>
            <w:tcW w:w="1755" w:type="pct"/>
            <w:noWrap/>
            <w:vAlign w:val="center"/>
          </w:tcPr>
          <w:p w14:paraId="79EE0757">
            <w:pPr>
              <w:spacing w:line="360" w:lineRule="auto"/>
              <w:contextualSpacing/>
              <w:jc w:val="center"/>
              <w:rPr>
                <w:rFonts w:ascii="宋体" w:hAnsi="宋体" w:cs="宋体"/>
                <w:color w:val="auto"/>
                <w:szCs w:val="21"/>
                <w:highlight w:val="none"/>
              </w:rPr>
            </w:pPr>
          </w:p>
        </w:tc>
        <w:tc>
          <w:tcPr>
            <w:tcW w:w="351" w:type="pct"/>
            <w:noWrap/>
            <w:vAlign w:val="center"/>
          </w:tcPr>
          <w:p w14:paraId="42E9F193">
            <w:pPr>
              <w:spacing w:line="360" w:lineRule="auto"/>
              <w:contextualSpacing/>
              <w:jc w:val="center"/>
              <w:rPr>
                <w:rFonts w:ascii="宋体" w:hAnsi="宋体" w:cs="宋体"/>
                <w:color w:val="auto"/>
                <w:szCs w:val="21"/>
                <w:highlight w:val="none"/>
              </w:rPr>
            </w:pPr>
          </w:p>
        </w:tc>
        <w:tc>
          <w:tcPr>
            <w:tcW w:w="632" w:type="pct"/>
            <w:noWrap/>
            <w:vAlign w:val="center"/>
          </w:tcPr>
          <w:p w14:paraId="1C93DDBB">
            <w:pPr>
              <w:spacing w:line="360" w:lineRule="auto"/>
              <w:contextualSpacing/>
              <w:jc w:val="center"/>
              <w:rPr>
                <w:rFonts w:ascii="宋体" w:hAnsi="宋体" w:cs="宋体"/>
                <w:color w:val="auto"/>
                <w:szCs w:val="21"/>
                <w:highlight w:val="none"/>
              </w:rPr>
            </w:pPr>
          </w:p>
        </w:tc>
        <w:tc>
          <w:tcPr>
            <w:tcW w:w="463" w:type="pct"/>
            <w:noWrap/>
            <w:vAlign w:val="center"/>
          </w:tcPr>
          <w:p w14:paraId="6F58C056">
            <w:pPr>
              <w:spacing w:line="360" w:lineRule="auto"/>
              <w:contextualSpacing/>
              <w:jc w:val="center"/>
              <w:rPr>
                <w:rFonts w:ascii="宋体" w:hAnsi="宋体" w:cs="宋体"/>
                <w:color w:val="auto"/>
                <w:szCs w:val="21"/>
                <w:highlight w:val="none"/>
              </w:rPr>
            </w:pPr>
          </w:p>
        </w:tc>
      </w:tr>
      <w:tr w14:paraId="6679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noWrap/>
            <w:vAlign w:val="center"/>
          </w:tcPr>
          <w:p w14:paraId="08DD8CA4">
            <w:pPr>
              <w:spacing w:line="360" w:lineRule="auto"/>
              <w:contextualSpacing/>
              <w:jc w:val="center"/>
              <w:rPr>
                <w:rFonts w:ascii="宋体" w:hAnsi="宋体" w:cs="宋体"/>
                <w:color w:val="auto"/>
                <w:szCs w:val="21"/>
                <w:highlight w:val="none"/>
              </w:rPr>
            </w:pPr>
          </w:p>
        </w:tc>
        <w:tc>
          <w:tcPr>
            <w:tcW w:w="896" w:type="pct"/>
            <w:noWrap/>
            <w:vAlign w:val="center"/>
          </w:tcPr>
          <w:p w14:paraId="60332034">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小额贷款公司现场检查</w:t>
            </w:r>
            <w:r>
              <w:rPr>
                <w:rFonts w:hint="eastAsia" w:ascii="宋体" w:hAnsi="宋体" w:cs="宋体"/>
                <w:color w:val="auto"/>
                <w:szCs w:val="21"/>
                <w:highlight w:val="none"/>
                <w:lang w:eastAsia="zh-CN"/>
              </w:rPr>
              <w:t>与监管评级</w:t>
            </w:r>
          </w:p>
        </w:tc>
        <w:tc>
          <w:tcPr>
            <w:tcW w:w="423" w:type="pct"/>
            <w:noWrap/>
            <w:vAlign w:val="center"/>
          </w:tcPr>
          <w:p w14:paraId="3F3C85DD">
            <w:pPr>
              <w:spacing w:line="360" w:lineRule="auto"/>
              <w:contextualSpacing/>
              <w:jc w:val="center"/>
              <w:rPr>
                <w:rFonts w:ascii="宋体" w:hAnsi="宋体" w:cs="宋体"/>
                <w:color w:val="auto"/>
                <w:szCs w:val="21"/>
                <w:highlight w:val="none"/>
              </w:rPr>
            </w:pPr>
          </w:p>
        </w:tc>
        <w:tc>
          <w:tcPr>
            <w:tcW w:w="239" w:type="pct"/>
            <w:noWrap/>
            <w:vAlign w:val="center"/>
          </w:tcPr>
          <w:p w14:paraId="7D6BDE6F">
            <w:pPr>
              <w:spacing w:line="360" w:lineRule="auto"/>
              <w:contextualSpacing/>
              <w:jc w:val="center"/>
              <w:rPr>
                <w:rFonts w:ascii="宋体" w:hAnsi="宋体" w:cs="宋体"/>
                <w:color w:val="auto"/>
                <w:szCs w:val="21"/>
                <w:highlight w:val="none"/>
              </w:rPr>
            </w:pPr>
          </w:p>
        </w:tc>
        <w:tc>
          <w:tcPr>
            <w:tcW w:w="1755" w:type="pct"/>
            <w:noWrap/>
            <w:vAlign w:val="center"/>
          </w:tcPr>
          <w:p w14:paraId="67F99FE9">
            <w:pPr>
              <w:spacing w:line="360" w:lineRule="auto"/>
              <w:contextualSpacing/>
              <w:jc w:val="center"/>
              <w:rPr>
                <w:rFonts w:ascii="宋体" w:hAnsi="宋体" w:cs="宋体"/>
                <w:color w:val="auto"/>
                <w:szCs w:val="21"/>
                <w:highlight w:val="none"/>
              </w:rPr>
            </w:pPr>
          </w:p>
        </w:tc>
        <w:tc>
          <w:tcPr>
            <w:tcW w:w="351" w:type="pct"/>
            <w:noWrap/>
            <w:vAlign w:val="center"/>
          </w:tcPr>
          <w:p w14:paraId="6AD03A25">
            <w:pPr>
              <w:spacing w:line="360" w:lineRule="auto"/>
              <w:contextualSpacing/>
              <w:jc w:val="center"/>
              <w:rPr>
                <w:rFonts w:ascii="宋体" w:hAnsi="宋体" w:cs="宋体"/>
                <w:color w:val="auto"/>
                <w:szCs w:val="21"/>
                <w:highlight w:val="none"/>
              </w:rPr>
            </w:pPr>
          </w:p>
        </w:tc>
        <w:tc>
          <w:tcPr>
            <w:tcW w:w="632" w:type="pct"/>
            <w:noWrap/>
            <w:vAlign w:val="center"/>
          </w:tcPr>
          <w:p w14:paraId="3540D096">
            <w:pPr>
              <w:spacing w:line="360" w:lineRule="auto"/>
              <w:contextualSpacing/>
              <w:jc w:val="center"/>
              <w:rPr>
                <w:rFonts w:ascii="宋体" w:hAnsi="宋体" w:cs="宋体"/>
                <w:color w:val="auto"/>
                <w:szCs w:val="21"/>
                <w:highlight w:val="none"/>
              </w:rPr>
            </w:pPr>
          </w:p>
        </w:tc>
        <w:tc>
          <w:tcPr>
            <w:tcW w:w="463" w:type="pct"/>
            <w:noWrap/>
            <w:vAlign w:val="center"/>
          </w:tcPr>
          <w:p w14:paraId="0089DAC9">
            <w:pPr>
              <w:spacing w:line="360" w:lineRule="auto"/>
              <w:contextualSpacing/>
              <w:jc w:val="center"/>
              <w:rPr>
                <w:rFonts w:ascii="宋体" w:hAnsi="宋体" w:cs="宋体"/>
                <w:color w:val="auto"/>
                <w:szCs w:val="21"/>
                <w:highlight w:val="none"/>
              </w:rPr>
            </w:pPr>
          </w:p>
        </w:tc>
      </w:tr>
      <w:tr w14:paraId="6CC7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noWrap/>
            <w:vAlign w:val="center"/>
          </w:tcPr>
          <w:p w14:paraId="150811B3">
            <w:pPr>
              <w:spacing w:line="360" w:lineRule="auto"/>
              <w:contextualSpacing/>
              <w:jc w:val="center"/>
              <w:rPr>
                <w:rFonts w:ascii="宋体" w:hAnsi="宋体" w:cs="宋体"/>
                <w:color w:val="auto"/>
                <w:szCs w:val="21"/>
                <w:highlight w:val="none"/>
              </w:rPr>
            </w:pPr>
          </w:p>
        </w:tc>
        <w:tc>
          <w:tcPr>
            <w:tcW w:w="896" w:type="pct"/>
            <w:noWrap/>
            <w:vAlign w:val="center"/>
          </w:tcPr>
          <w:p w14:paraId="6A14AC01">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w:t>
            </w:r>
          </w:p>
        </w:tc>
        <w:tc>
          <w:tcPr>
            <w:tcW w:w="423" w:type="pct"/>
            <w:noWrap/>
            <w:vAlign w:val="center"/>
          </w:tcPr>
          <w:p w14:paraId="28D1641B">
            <w:pPr>
              <w:spacing w:line="360" w:lineRule="auto"/>
              <w:contextualSpacing/>
              <w:jc w:val="center"/>
              <w:rPr>
                <w:rFonts w:ascii="宋体" w:hAnsi="宋体" w:cs="宋体"/>
                <w:color w:val="auto"/>
                <w:szCs w:val="21"/>
                <w:highlight w:val="none"/>
              </w:rPr>
            </w:pPr>
          </w:p>
        </w:tc>
        <w:tc>
          <w:tcPr>
            <w:tcW w:w="239" w:type="pct"/>
            <w:noWrap/>
            <w:vAlign w:val="center"/>
          </w:tcPr>
          <w:p w14:paraId="22EB3C7B">
            <w:pPr>
              <w:spacing w:line="360" w:lineRule="auto"/>
              <w:contextualSpacing/>
              <w:jc w:val="center"/>
              <w:rPr>
                <w:rFonts w:ascii="宋体" w:hAnsi="宋体" w:cs="宋体"/>
                <w:color w:val="auto"/>
                <w:szCs w:val="21"/>
                <w:highlight w:val="none"/>
              </w:rPr>
            </w:pPr>
          </w:p>
        </w:tc>
        <w:tc>
          <w:tcPr>
            <w:tcW w:w="1755" w:type="pct"/>
            <w:noWrap/>
            <w:vAlign w:val="center"/>
          </w:tcPr>
          <w:p w14:paraId="615D5DFD">
            <w:pPr>
              <w:spacing w:line="360" w:lineRule="auto"/>
              <w:contextualSpacing/>
              <w:jc w:val="center"/>
              <w:rPr>
                <w:rFonts w:ascii="宋体" w:hAnsi="宋体" w:cs="宋体"/>
                <w:color w:val="auto"/>
                <w:szCs w:val="21"/>
                <w:highlight w:val="none"/>
              </w:rPr>
            </w:pPr>
          </w:p>
        </w:tc>
        <w:tc>
          <w:tcPr>
            <w:tcW w:w="351" w:type="pct"/>
            <w:noWrap/>
            <w:vAlign w:val="center"/>
          </w:tcPr>
          <w:p w14:paraId="22A9447A">
            <w:pPr>
              <w:spacing w:line="360" w:lineRule="auto"/>
              <w:contextualSpacing/>
              <w:jc w:val="center"/>
              <w:rPr>
                <w:rFonts w:ascii="宋体" w:hAnsi="宋体" w:cs="宋体"/>
                <w:color w:val="auto"/>
                <w:szCs w:val="21"/>
                <w:highlight w:val="none"/>
              </w:rPr>
            </w:pPr>
          </w:p>
        </w:tc>
        <w:tc>
          <w:tcPr>
            <w:tcW w:w="632" w:type="pct"/>
            <w:noWrap/>
            <w:vAlign w:val="center"/>
          </w:tcPr>
          <w:p w14:paraId="15B0D0F2">
            <w:pPr>
              <w:spacing w:line="360" w:lineRule="auto"/>
              <w:contextualSpacing/>
              <w:jc w:val="center"/>
              <w:rPr>
                <w:rFonts w:ascii="宋体" w:hAnsi="宋体" w:cs="宋体"/>
                <w:color w:val="auto"/>
                <w:szCs w:val="21"/>
                <w:highlight w:val="none"/>
              </w:rPr>
            </w:pPr>
          </w:p>
        </w:tc>
        <w:tc>
          <w:tcPr>
            <w:tcW w:w="463" w:type="pct"/>
            <w:noWrap/>
            <w:vAlign w:val="center"/>
          </w:tcPr>
          <w:p w14:paraId="73A083FA">
            <w:pPr>
              <w:spacing w:line="360" w:lineRule="auto"/>
              <w:contextualSpacing/>
              <w:jc w:val="center"/>
              <w:rPr>
                <w:rFonts w:ascii="宋体" w:hAnsi="宋体" w:cs="宋体"/>
                <w:color w:val="auto"/>
                <w:szCs w:val="21"/>
                <w:highlight w:val="none"/>
              </w:rPr>
            </w:pPr>
          </w:p>
        </w:tc>
      </w:tr>
      <w:tr w14:paraId="2738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noWrap/>
            <w:vAlign w:val="center"/>
          </w:tcPr>
          <w:p w14:paraId="4A127E5C">
            <w:pPr>
              <w:spacing w:line="360" w:lineRule="auto"/>
              <w:contextualSpacing/>
              <w:jc w:val="center"/>
              <w:rPr>
                <w:rFonts w:ascii="宋体" w:hAnsi="宋体" w:cs="宋体"/>
                <w:color w:val="auto"/>
                <w:szCs w:val="21"/>
                <w:highlight w:val="none"/>
              </w:rPr>
            </w:pPr>
          </w:p>
        </w:tc>
        <w:tc>
          <w:tcPr>
            <w:tcW w:w="896" w:type="pct"/>
            <w:noWrap/>
            <w:vAlign w:val="center"/>
          </w:tcPr>
          <w:p w14:paraId="2BDDF2B6">
            <w:pPr>
              <w:spacing w:line="360" w:lineRule="auto"/>
              <w:contextualSpacing/>
              <w:jc w:val="center"/>
              <w:rPr>
                <w:rFonts w:ascii="宋体" w:hAnsi="宋体" w:cs="宋体"/>
                <w:color w:val="auto"/>
                <w:szCs w:val="21"/>
                <w:highlight w:val="none"/>
              </w:rPr>
            </w:pPr>
            <w:r>
              <w:rPr>
                <w:rFonts w:hint="eastAsia" w:ascii="宋体" w:hAnsi="宋体" w:cs="Calibri"/>
                <w:color w:val="auto"/>
                <w:szCs w:val="21"/>
                <w:highlight w:val="none"/>
              </w:rPr>
              <w:t>典当行现场检查与监管评级</w:t>
            </w:r>
          </w:p>
        </w:tc>
        <w:tc>
          <w:tcPr>
            <w:tcW w:w="423" w:type="pct"/>
            <w:noWrap/>
            <w:vAlign w:val="center"/>
          </w:tcPr>
          <w:p w14:paraId="63D7D88F">
            <w:pPr>
              <w:spacing w:line="360" w:lineRule="auto"/>
              <w:contextualSpacing/>
              <w:jc w:val="center"/>
              <w:rPr>
                <w:rFonts w:ascii="宋体" w:hAnsi="宋体" w:cs="宋体"/>
                <w:color w:val="auto"/>
                <w:szCs w:val="21"/>
                <w:highlight w:val="none"/>
              </w:rPr>
            </w:pPr>
          </w:p>
        </w:tc>
        <w:tc>
          <w:tcPr>
            <w:tcW w:w="239" w:type="pct"/>
            <w:noWrap/>
            <w:vAlign w:val="center"/>
          </w:tcPr>
          <w:p w14:paraId="46F439D5">
            <w:pPr>
              <w:spacing w:line="360" w:lineRule="auto"/>
              <w:contextualSpacing/>
              <w:jc w:val="center"/>
              <w:rPr>
                <w:rFonts w:ascii="宋体" w:hAnsi="宋体" w:cs="宋体"/>
                <w:color w:val="auto"/>
                <w:szCs w:val="21"/>
                <w:highlight w:val="none"/>
              </w:rPr>
            </w:pPr>
          </w:p>
        </w:tc>
        <w:tc>
          <w:tcPr>
            <w:tcW w:w="1755" w:type="pct"/>
            <w:noWrap/>
            <w:vAlign w:val="center"/>
          </w:tcPr>
          <w:p w14:paraId="6D20164A">
            <w:pPr>
              <w:spacing w:line="360" w:lineRule="auto"/>
              <w:contextualSpacing/>
              <w:jc w:val="center"/>
              <w:rPr>
                <w:rFonts w:ascii="宋体" w:hAnsi="宋体" w:cs="宋体"/>
                <w:color w:val="auto"/>
                <w:szCs w:val="21"/>
                <w:highlight w:val="none"/>
              </w:rPr>
            </w:pPr>
          </w:p>
        </w:tc>
        <w:tc>
          <w:tcPr>
            <w:tcW w:w="351" w:type="pct"/>
            <w:noWrap/>
            <w:vAlign w:val="center"/>
          </w:tcPr>
          <w:p w14:paraId="0220D195">
            <w:pPr>
              <w:spacing w:line="360" w:lineRule="auto"/>
              <w:contextualSpacing/>
              <w:jc w:val="center"/>
              <w:rPr>
                <w:rFonts w:ascii="宋体" w:hAnsi="宋体" w:cs="宋体"/>
                <w:color w:val="auto"/>
                <w:szCs w:val="21"/>
                <w:highlight w:val="none"/>
              </w:rPr>
            </w:pPr>
          </w:p>
        </w:tc>
        <w:tc>
          <w:tcPr>
            <w:tcW w:w="632" w:type="pct"/>
            <w:noWrap/>
            <w:vAlign w:val="center"/>
          </w:tcPr>
          <w:p w14:paraId="3710741B">
            <w:pPr>
              <w:spacing w:line="360" w:lineRule="auto"/>
              <w:contextualSpacing/>
              <w:jc w:val="center"/>
              <w:rPr>
                <w:rFonts w:ascii="宋体" w:hAnsi="宋体" w:cs="宋体"/>
                <w:color w:val="auto"/>
                <w:szCs w:val="21"/>
                <w:highlight w:val="none"/>
              </w:rPr>
            </w:pPr>
          </w:p>
        </w:tc>
        <w:tc>
          <w:tcPr>
            <w:tcW w:w="463" w:type="pct"/>
            <w:noWrap/>
            <w:vAlign w:val="center"/>
          </w:tcPr>
          <w:p w14:paraId="2DBCF3F8">
            <w:pPr>
              <w:spacing w:line="360" w:lineRule="auto"/>
              <w:contextualSpacing/>
              <w:jc w:val="center"/>
              <w:rPr>
                <w:rFonts w:ascii="宋体" w:hAnsi="宋体" w:cs="宋体"/>
                <w:color w:val="auto"/>
                <w:szCs w:val="21"/>
                <w:highlight w:val="none"/>
              </w:rPr>
            </w:pPr>
          </w:p>
        </w:tc>
      </w:tr>
      <w:tr w14:paraId="5A21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8" w:type="pct"/>
            <w:noWrap/>
            <w:vAlign w:val="center"/>
          </w:tcPr>
          <w:p w14:paraId="5D7484D8">
            <w:pPr>
              <w:spacing w:line="360" w:lineRule="auto"/>
              <w:contextualSpacing/>
              <w:jc w:val="center"/>
              <w:rPr>
                <w:rFonts w:ascii="宋体" w:hAnsi="宋体" w:cs="宋体"/>
                <w:color w:val="auto"/>
                <w:szCs w:val="21"/>
                <w:highlight w:val="none"/>
              </w:rPr>
            </w:pPr>
          </w:p>
        </w:tc>
        <w:tc>
          <w:tcPr>
            <w:tcW w:w="896" w:type="pct"/>
            <w:noWrap/>
            <w:vAlign w:val="center"/>
          </w:tcPr>
          <w:p w14:paraId="122BEF55">
            <w:pPr>
              <w:spacing w:line="360" w:lineRule="auto"/>
              <w:contextualSpacing/>
              <w:jc w:val="center"/>
              <w:rPr>
                <w:rFonts w:ascii="宋体" w:hAnsi="宋体" w:cs="宋体"/>
                <w:color w:val="auto"/>
                <w:szCs w:val="21"/>
                <w:highlight w:val="none"/>
              </w:rPr>
            </w:pPr>
            <w:r>
              <w:rPr>
                <w:rFonts w:hint="eastAsia" w:ascii="宋体" w:hAnsi="宋体" w:cs="Calibri"/>
                <w:color w:val="auto"/>
                <w:szCs w:val="21"/>
                <w:highlight w:val="none"/>
              </w:rPr>
              <w:t>典当行现场检查与监管评级</w:t>
            </w:r>
          </w:p>
        </w:tc>
        <w:tc>
          <w:tcPr>
            <w:tcW w:w="423" w:type="pct"/>
            <w:noWrap/>
            <w:vAlign w:val="center"/>
          </w:tcPr>
          <w:p w14:paraId="6EF08C01">
            <w:pPr>
              <w:spacing w:line="360" w:lineRule="auto"/>
              <w:contextualSpacing/>
              <w:jc w:val="center"/>
              <w:rPr>
                <w:rFonts w:ascii="宋体" w:hAnsi="宋体" w:cs="宋体"/>
                <w:color w:val="auto"/>
                <w:szCs w:val="21"/>
                <w:highlight w:val="none"/>
              </w:rPr>
            </w:pPr>
          </w:p>
        </w:tc>
        <w:tc>
          <w:tcPr>
            <w:tcW w:w="239" w:type="pct"/>
            <w:noWrap/>
            <w:vAlign w:val="center"/>
          </w:tcPr>
          <w:p w14:paraId="21568E81">
            <w:pPr>
              <w:spacing w:line="360" w:lineRule="auto"/>
              <w:contextualSpacing/>
              <w:jc w:val="center"/>
              <w:rPr>
                <w:rFonts w:ascii="宋体" w:hAnsi="宋体" w:cs="宋体"/>
                <w:color w:val="auto"/>
                <w:szCs w:val="21"/>
                <w:highlight w:val="none"/>
              </w:rPr>
            </w:pPr>
          </w:p>
        </w:tc>
        <w:tc>
          <w:tcPr>
            <w:tcW w:w="1755" w:type="pct"/>
            <w:noWrap/>
            <w:vAlign w:val="center"/>
          </w:tcPr>
          <w:p w14:paraId="0A33E7C5">
            <w:pPr>
              <w:spacing w:line="360" w:lineRule="auto"/>
              <w:contextualSpacing/>
              <w:jc w:val="center"/>
              <w:rPr>
                <w:rFonts w:ascii="宋体" w:hAnsi="宋体" w:cs="宋体"/>
                <w:color w:val="auto"/>
                <w:szCs w:val="21"/>
                <w:highlight w:val="none"/>
              </w:rPr>
            </w:pPr>
          </w:p>
        </w:tc>
        <w:tc>
          <w:tcPr>
            <w:tcW w:w="351" w:type="pct"/>
            <w:noWrap/>
            <w:vAlign w:val="center"/>
          </w:tcPr>
          <w:p w14:paraId="5E6488AC">
            <w:pPr>
              <w:spacing w:line="360" w:lineRule="auto"/>
              <w:contextualSpacing/>
              <w:jc w:val="center"/>
              <w:rPr>
                <w:rFonts w:ascii="宋体" w:hAnsi="宋体" w:cs="宋体"/>
                <w:color w:val="auto"/>
                <w:szCs w:val="21"/>
                <w:highlight w:val="none"/>
              </w:rPr>
            </w:pPr>
          </w:p>
        </w:tc>
        <w:tc>
          <w:tcPr>
            <w:tcW w:w="632" w:type="pct"/>
            <w:noWrap/>
            <w:vAlign w:val="center"/>
          </w:tcPr>
          <w:p w14:paraId="5F197B8B">
            <w:pPr>
              <w:spacing w:line="360" w:lineRule="auto"/>
              <w:contextualSpacing/>
              <w:jc w:val="center"/>
              <w:rPr>
                <w:rFonts w:ascii="宋体" w:hAnsi="宋体" w:cs="宋体"/>
                <w:color w:val="auto"/>
                <w:szCs w:val="21"/>
                <w:highlight w:val="none"/>
              </w:rPr>
            </w:pPr>
          </w:p>
        </w:tc>
        <w:tc>
          <w:tcPr>
            <w:tcW w:w="463" w:type="pct"/>
            <w:noWrap/>
            <w:vAlign w:val="center"/>
          </w:tcPr>
          <w:p w14:paraId="00F80F9D">
            <w:pPr>
              <w:spacing w:line="360" w:lineRule="auto"/>
              <w:contextualSpacing/>
              <w:jc w:val="center"/>
              <w:rPr>
                <w:rFonts w:ascii="宋体" w:hAnsi="宋体" w:cs="宋体"/>
                <w:color w:val="auto"/>
                <w:szCs w:val="21"/>
                <w:highlight w:val="none"/>
              </w:rPr>
            </w:pPr>
          </w:p>
        </w:tc>
      </w:tr>
      <w:tr w14:paraId="7437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noWrap/>
            <w:vAlign w:val="center"/>
          </w:tcPr>
          <w:p w14:paraId="3CCC3B6D">
            <w:pPr>
              <w:spacing w:line="360" w:lineRule="auto"/>
              <w:contextualSpacing/>
              <w:jc w:val="center"/>
              <w:rPr>
                <w:rFonts w:ascii="宋体" w:hAnsi="宋体" w:cs="宋体"/>
                <w:color w:val="auto"/>
                <w:szCs w:val="21"/>
                <w:highlight w:val="none"/>
              </w:rPr>
            </w:pPr>
          </w:p>
        </w:tc>
        <w:tc>
          <w:tcPr>
            <w:tcW w:w="896" w:type="pct"/>
            <w:noWrap/>
            <w:vAlign w:val="center"/>
          </w:tcPr>
          <w:p w14:paraId="5765DE7B">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w:t>
            </w:r>
          </w:p>
        </w:tc>
        <w:tc>
          <w:tcPr>
            <w:tcW w:w="423" w:type="pct"/>
            <w:noWrap/>
            <w:vAlign w:val="center"/>
          </w:tcPr>
          <w:p w14:paraId="2EA2CAF3">
            <w:pPr>
              <w:spacing w:line="360" w:lineRule="auto"/>
              <w:contextualSpacing/>
              <w:jc w:val="center"/>
              <w:rPr>
                <w:rFonts w:ascii="宋体" w:hAnsi="宋体" w:cs="宋体"/>
                <w:color w:val="auto"/>
                <w:szCs w:val="21"/>
                <w:highlight w:val="none"/>
              </w:rPr>
            </w:pPr>
          </w:p>
        </w:tc>
        <w:tc>
          <w:tcPr>
            <w:tcW w:w="239" w:type="pct"/>
            <w:noWrap/>
            <w:vAlign w:val="center"/>
          </w:tcPr>
          <w:p w14:paraId="1979B6C9">
            <w:pPr>
              <w:spacing w:line="360" w:lineRule="auto"/>
              <w:contextualSpacing/>
              <w:jc w:val="center"/>
              <w:rPr>
                <w:rFonts w:ascii="宋体" w:hAnsi="宋体" w:cs="宋体"/>
                <w:color w:val="auto"/>
                <w:szCs w:val="21"/>
                <w:highlight w:val="none"/>
              </w:rPr>
            </w:pPr>
          </w:p>
        </w:tc>
        <w:tc>
          <w:tcPr>
            <w:tcW w:w="1755" w:type="pct"/>
            <w:noWrap/>
            <w:vAlign w:val="center"/>
          </w:tcPr>
          <w:p w14:paraId="521D862C">
            <w:pPr>
              <w:spacing w:line="360" w:lineRule="auto"/>
              <w:contextualSpacing/>
              <w:jc w:val="center"/>
              <w:rPr>
                <w:rFonts w:ascii="宋体" w:hAnsi="宋体" w:cs="宋体"/>
                <w:color w:val="auto"/>
                <w:szCs w:val="21"/>
                <w:highlight w:val="none"/>
              </w:rPr>
            </w:pPr>
          </w:p>
        </w:tc>
        <w:tc>
          <w:tcPr>
            <w:tcW w:w="351" w:type="pct"/>
            <w:noWrap/>
            <w:vAlign w:val="center"/>
          </w:tcPr>
          <w:p w14:paraId="5DB96693">
            <w:pPr>
              <w:spacing w:line="360" w:lineRule="auto"/>
              <w:contextualSpacing/>
              <w:jc w:val="center"/>
              <w:rPr>
                <w:rFonts w:ascii="宋体" w:hAnsi="宋体" w:cs="宋体"/>
                <w:color w:val="auto"/>
                <w:szCs w:val="21"/>
                <w:highlight w:val="none"/>
              </w:rPr>
            </w:pPr>
          </w:p>
        </w:tc>
        <w:tc>
          <w:tcPr>
            <w:tcW w:w="632" w:type="pct"/>
            <w:noWrap/>
            <w:vAlign w:val="center"/>
          </w:tcPr>
          <w:p w14:paraId="562C8876">
            <w:pPr>
              <w:spacing w:line="360" w:lineRule="auto"/>
              <w:contextualSpacing/>
              <w:jc w:val="center"/>
              <w:rPr>
                <w:rFonts w:ascii="宋体" w:hAnsi="宋体" w:cs="宋体"/>
                <w:color w:val="auto"/>
                <w:szCs w:val="21"/>
                <w:highlight w:val="none"/>
              </w:rPr>
            </w:pPr>
          </w:p>
        </w:tc>
        <w:tc>
          <w:tcPr>
            <w:tcW w:w="463" w:type="pct"/>
            <w:noWrap/>
            <w:vAlign w:val="center"/>
          </w:tcPr>
          <w:p w14:paraId="58093728">
            <w:pPr>
              <w:spacing w:line="360" w:lineRule="auto"/>
              <w:contextualSpacing/>
              <w:jc w:val="center"/>
              <w:rPr>
                <w:rFonts w:ascii="宋体" w:hAnsi="宋体" w:cs="宋体"/>
                <w:color w:val="auto"/>
                <w:szCs w:val="21"/>
                <w:highlight w:val="none"/>
              </w:rPr>
            </w:pPr>
          </w:p>
        </w:tc>
      </w:tr>
      <w:tr w14:paraId="7CD8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noWrap/>
            <w:vAlign w:val="center"/>
          </w:tcPr>
          <w:p w14:paraId="69FA470E">
            <w:pPr>
              <w:spacing w:line="360" w:lineRule="auto"/>
              <w:contextualSpacing/>
              <w:jc w:val="center"/>
              <w:rPr>
                <w:rFonts w:ascii="宋体" w:hAnsi="宋体" w:cs="宋体"/>
                <w:color w:val="auto"/>
                <w:szCs w:val="21"/>
                <w:highlight w:val="none"/>
              </w:rPr>
            </w:pPr>
          </w:p>
        </w:tc>
        <w:tc>
          <w:tcPr>
            <w:tcW w:w="896" w:type="pct"/>
            <w:noWrap/>
            <w:vAlign w:val="center"/>
          </w:tcPr>
          <w:p w14:paraId="547F2A22">
            <w:pPr>
              <w:spacing w:line="440" w:lineRule="exact"/>
              <w:jc w:val="center"/>
              <w:rPr>
                <w:rFonts w:ascii="宋体" w:hAnsi="宋体" w:cs="宋体"/>
                <w:color w:val="auto"/>
                <w:szCs w:val="21"/>
                <w:highlight w:val="none"/>
              </w:rPr>
            </w:pPr>
            <w:r>
              <w:rPr>
                <w:rFonts w:hint="eastAsia" w:ascii="宋体" w:hAnsi="宋体" w:cs="仿宋_GB2312"/>
                <w:color w:val="auto"/>
                <w:szCs w:val="21"/>
                <w:highlight w:val="none"/>
              </w:rPr>
              <w:t>地方资产管理公司现场检查与监管评级</w:t>
            </w:r>
          </w:p>
        </w:tc>
        <w:tc>
          <w:tcPr>
            <w:tcW w:w="423" w:type="pct"/>
            <w:noWrap/>
            <w:vAlign w:val="center"/>
          </w:tcPr>
          <w:p w14:paraId="0F77BA03">
            <w:pPr>
              <w:spacing w:line="360" w:lineRule="auto"/>
              <w:contextualSpacing/>
              <w:jc w:val="center"/>
              <w:rPr>
                <w:rFonts w:ascii="宋体" w:hAnsi="宋体" w:cs="宋体"/>
                <w:color w:val="auto"/>
                <w:szCs w:val="21"/>
                <w:highlight w:val="none"/>
              </w:rPr>
            </w:pPr>
          </w:p>
        </w:tc>
        <w:tc>
          <w:tcPr>
            <w:tcW w:w="239" w:type="pct"/>
            <w:noWrap/>
            <w:vAlign w:val="center"/>
          </w:tcPr>
          <w:p w14:paraId="137B4FEA">
            <w:pPr>
              <w:spacing w:line="360" w:lineRule="auto"/>
              <w:contextualSpacing/>
              <w:jc w:val="center"/>
              <w:rPr>
                <w:rFonts w:ascii="宋体" w:hAnsi="宋体" w:cs="宋体"/>
                <w:color w:val="auto"/>
                <w:szCs w:val="21"/>
                <w:highlight w:val="none"/>
              </w:rPr>
            </w:pPr>
          </w:p>
        </w:tc>
        <w:tc>
          <w:tcPr>
            <w:tcW w:w="1755" w:type="pct"/>
            <w:noWrap/>
            <w:vAlign w:val="center"/>
          </w:tcPr>
          <w:p w14:paraId="24E335FA">
            <w:pPr>
              <w:spacing w:line="360" w:lineRule="auto"/>
              <w:contextualSpacing/>
              <w:jc w:val="center"/>
              <w:rPr>
                <w:rFonts w:ascii="宋体" w:hAnsi="宋体" w:cs="宋体"/>
                <w:color w:val="auto"/>
                <w:szCs w:val="21"/>
                <w:highlight w:val="none"/>
              </w:rPr>
            </w:pPr>
          </w:p>
        </w:tc>
        <w:tc>
          <w:tcPr>
            <w:tcW w:w="351" w:type="pct"/>
            <w:noWrap/>
            <w:vAlign w:val="center"/>
          </w:tcPr>
          <w:p w14:paraId="6DCF61DB">
            <w:pPr>
              <w:spacing w:line="360" w:lineRule="auto"/>
              <w:contextualSpacing/>
              <w:jc w:val="center"/>
              <w:rPr>
                <w:rFonts w:ascii="宋体" w:hAnsi="宋体" w:cs="宋体"/>
                <w:color w:val="auto"/>
                <w:szCs w:val="21"/>
                <w:highlight w:val="none"/>
              </w:rPr>
            </w:pPr>
          </w:p>
        </w:tc>
        <w:tc>
          <w:tcPr>
            <w:tcW w:w="632" w:type="pct"/>
            <w:noWrap/>
            <w:vAlign w:val="center"/>
          </w:tcPr>
          <w:p w14:paraId="5D4AFD7F">
            <w:pPr>
              <w:spacing w:line="360" w:lineRule="auto"/>
              <w:contextualSpacing/>
              <w:jc w:val="center"/>
              <w:rPr>
                <w:rFonts w:ascii="宋体" w:hAnsi="宋体" w:cs="宋体"/>
                <w:color w:val="auto"/>
                <w:szCs w:val="21"/>
                <w:highlight w:val="none"/>
              </w:rPr>
            </w:pPr>
          </w:p>
        </w:tc>
        <w:tc>
          <w:tcPr>
            <w:tcW w:w="463" w:type="pct"/>
            <w:noWrap/>
            <w:vAlign w:val="center"/>
          </w:tcPr>
          <w:p w14:paraId="2DDD218E">
            <w:pPr>
              <w:spacing w:line="360" w:lineRule="auto"/>
              <w:contextualSpacing/>
              <w:jc w:val="center"/>
              <w:rPr>
                <w:rFonts w:ascii="宋体" w:hAnsi="宋体" w:cs="宋体"/>
                <w:color w:val="auto"/>
                <w:szCs w:val="21"/>
                <w:highlight w:val="none"/>
              </w:rPr>
            </w:pPr>
          </w:p>
        </w:tc>
      </w:tr>
      <w:tr w14:paraId="1D35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noWrap/>
            <w:vAlign w:val="center"/>
          </w:tcPr>
          <w:p w14:paraId="7DD4AC59">
            <w:pPr>
              <w:spacing w:line="360" w:lineRule="auto"/>
              <w:contextualSpacing/>
              <w:jc w:val="center"/>
              <w:rPr>
                <w:rFonts w:ascii="宋体" w:hAnsi="宋体" w:cs="宋体"/>
                <w:color w:val="auto"/>
                <w:szCs w:val="21"/>
                <w:highlight w:val="none"/>
              </w:rPr>
            </w:pPr>
          </w:p>
        </w:tc>
        <w:tc>
          <w:tcPr>
            <w:tcW w:w="896" w:type="pct"/>
            <w:noWrap/>
            <w:vAlign w:val="center"/>
          </w:tcPr>
          <w:p w14:paraId="60276479">
            <w:pPr>
              <w:spacing w:line="440" w:lineRule="exact"/>
              <w:jc w:val="center"/>
              <w:rPr>
                <w:rFonts w:ascii="宋体" w:hAnsi="宋体" w:cs="宋体"/>
                <w:color w:val="auto"/>
                <w:szCs w:val="21"/>
                <w:highlight w:val="none"/>
              </w:rPr>
            </w:pPr>
            <w:r>
              <w:rPr>
                <w:rFonts w:hint="eastAsia" w:ascii="宋体" w:hAnsi="宋体" w:cs="仿宋_GB2312"/>
                <w:color w:val="auto"/>
                <w:szCs w:val="21"/>
                <w:highlight w:val="none"/>
              </w:rPr>
              <w:t>地方资产管理公司现场检查与监管评级</w:t>
            </w:r>
          </w:p>
        </w:tc>
        <w:tc>
          <w:tcPr>
            <w:tcW w:w="423" w:type="pct"/>
            <w:noWrap/>
            <w:vAlign w:val="center"/>
          </w:tcPr>
          <w:p w14:paraId="62601696">
            <w:pPr>
              <w:spacing w:line="360" w:lineRule="auto"/>
              <w:contextualSpacing/>
              <w:jc w:val="center"/>
              <w:rPr>
                <w:rFonts w:ascii="宋体" w:hAnsi="宋体" w:cs="宋体"/>
                <w:color w:val="auto"/>
                <w:szCs w:val="21"/>
                <w:highlight w:val="none"/>
              </w:rPr>
            </w:pPr>
          </w:p>
        </w:tc>
        <w:tc>
          <w:tcPr>
            <w:tcW w:w="239" w:type="pct"/>
            <w:noWrap/>
            <w:vAlign w:val="center"/>
          </w:tcPr>
          <w:p w14:paraId="13A11D58">
            <w:pPr>
              <w:spacing w:line="360" w:lineRule="auto"/>
              <w:contextualSpacing/>
              <w:jc w:val="center"/>
              <w:rPr>
                <w:rFonts w:ascii="宋体" w:hAnsi="宋体" w:cs="宋体"/>
                <w:color w:val="auto"/>
                <w:szCs w:val="21"/>
                <w:highlight w:val="none"/>
              </w:rPr>
            </w:pPr>
          </w:p>
        </w:tc>
        <w:tc>
          <w:tcPr>
            <w:tcW w:w="1755" w:type="pct"/>
            <w:noWrap/>
            <w:vAlign w:val="center"/>
          </w:tcPr>
          <w:p w14:paraId="033BCCEA">
            <w:pPr>
              <w:spacing w:line="360" w:lineRule="auto"/>
              <w:contextualSpacing/>
              <w:jc w:val="center"/>
              <w:rPr>
                <w:rFonts w:ascii="宋体" w:hAnsi="宋体" w:cs="宋体"/>
                <w:color w:val="auto"/>
                <w:szCs w:val="21"/>
                <w:highlight w:val="none"/>
              </w:rPr>
            </w:pPr>
          </w:p>
        </w:tc>
        <w:tc>
          <w:tcPr>
            <w:tcW w:w="351" w:type="pct"/>
            <w:noWrap/>
            <w:vAlign w:val="center"/>
          </w:tcPr>
          <w:p w14:paraId="325C2620">
            <w:pPr>
              <w:spacing w:line="360" w:lineRule="auto"/>
              <w:contextualSpacing/>
              <w:jc w:val="center"/>
              <w:rPr>
                <w:rFonts w:ascii="宋体" w:hAnsi="宋体" w:cs="宋体"/>
                <w:color w:val="auto"/>
                <w:szCs w:val="21"/>
                <w:highlight w:val="none"/>
              </w:rPr>
            </w:pPr>
          </w:p>
        </w:tc>
        <w:tc>
          <w:tcPr>
            <w:tcW w:w="632" w:type="pct"/>
            <w:noWrap/>
            <w:vAlign w:val="center"/>
          </w:tcPr>
          <w:p w14:paraId="5051A308">
            <w:pPr>
              <w:spacing w:line="360" w:lineRule="auto"/>
              <w:contextualSpacing/>
              <w:jc w:val="center"/>
              <w:rPr>
                <w:rFonts w:ascii="宋体" w:hAnsi="宋体" w:cs="宋体"/>
                <w:color w:val="auto"/>
                <w:szCs w:val="21"/>
                <w:highlight w:val="none"/>
              </w:rPr>
            </w:pPr>
          </w:p>
        </w:tc>
        <w:tc>
          <w:tcPr>
            <w:tcW w:w="463" w:type="pct"/>
            <w:noWrap/>
            <w:vAlign w:val="center"/>
          </w:tcPr>
          <w:p w14:paraId="691B056E">
            <w:pPr>
              <w:spacing w:line="360" w:lineRule="auto"/>
              <w:contextualSpacing/>
              <w:jc w:val="center"/>
              <w:rPr>
                <w:rFonts w:ascii="宋体" w:hAnsi="宋体" w:cs="宋体"/>
                <w:color w:val="auto"/>
                <w:szCs w:val="21"/>
                <w:highlight w:val="none"/>
              </w:rPr>
            </w:pPr>
          </w:p>
        </w:tc>
      </w:tr>
      <w:tr w14:paraId="0742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noWrap/>
            <w:vAlign w:val="center"/>
          </w:tcPr>
          <w:p w14:paraId="0A1000EE">
            <w:pPr>
              <w:spacing w:line="360" w:lineRule="auto"/>
              <w:contextualSpacing/>
              <w:jc w:val="center"/>
              <w:rPr>
                <w:rFonts w:ascii="宋体" w:hAnsi="宋体" w:cs="宋体"/>
                <w:color w:val="auto"/>
                <w:szCs w:val="21"/>
                <w:highlight w:val="none"/>
              </w:rPr>
            </w:pPr>
          </w:p>
        </w:tc>
        <w:tc>
          <w:tcPr>
            <w:tcW w:w="896" w:type="pct"/>
            <w:noWrap/>
            <w:vAlign w:val="center"/>
          </w:tcPr>
          <w:p w14:paraId="7D10F1B7">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423" w:type="pct"/>
            <w:noWrap/>
            <w:vAlign w:val="center"/>
          </w:tcPr>
          <w:p w14:paraId="66F31E41">
            <w:pPr>
              <w:spacing w:line="360" w:lineRule="auto"/>
              <w:contextualSpacing/>
              <w:jc w:val="center"/>
              <w:rPr>
                <w:rFonts w:ascii="宋体" w:hAnsi="宋体" w:cs="宋体"/>
                <w:color w:val="auto"/>
                <w:szCs w:val="21"/>
                <w:highlight w:val="none"/>
              </w:rPr>
            </w:pPr>
          </w:p>
        </w:tc>
        <w:tc>
          <w:tcPr>
            <w:tcW w:w="239" w:type="pct"/>
            <w:noWrap/>
            <w:vAlign w:val="center"/>
          </w:tcPr>
          <w:p w14:paraId="33940B4D">
            <w:pPr>
              <w:spacing w:line="360" w:lineRule="auto"/>
              <w:contextualSpacing/>
              <w:jc w:val="center"/>
              <w:rPr>
                <w:rFonts w:ascii="宋体" w:hAnsi="宋体" w:cs="宋体"/>
                <w:color w:val="auto"/>
                <w:szCs w:val="21"/>
                <w:highlight w:val="none"/>
              </w:rPr>
            </w:pPr>
          </w:p>
        </w:tc>
        <w:tc>
          <w:tcPr>
            <w:tcW w:w="1755" w:type="pct"/>
            <w:noWrap/>
            <w:vAlign w:val="center"/>
          </w:tcPr>
          <w:p w14:paraId="20D8E797">
            <w:pPr>
              <w:spacing w:line="360" w:lineRule="auto"/>
              <w:contextualSpacing/>
              <w:jc w:val="center"/>
              <w:rPr>
                <w:rFonts w:ascii="宋体" w:hAnsi="宋体" w:cs="宋体"/>
                <w:color w:val="auto"/>
                <w:szCs w:val="21"/>
                <w:highlight w:val="none"/>
              </w:rPr>
            </w:pPr>
          </w:p>
        </w:tc>
        <w:tc>
          <w:tcPr>
            <w:tcW w:w="351" w:type="pct"/>
            <w:noWrap/>
            <w:vAlign w:val="center"/>
          </w:tcPr>
          <w:p w14:paraId="234889FD">
            <w:pPr>
              <w:spacing w:line="360" w:lineRule="auto"/>
              <w:contextualSpacing/>
              <w:jc w:val="center"/>
              <w:rPr>
                <w:rFonts w:ascii="宋体" w:hAnsi="宋体" w:cs="宋体"/>
                <w:color w:val="auto"/>
                <w:szCs w:val="21"/>
                <w:highlight w:val="none"/>
              </w:rPr>
            </w:pPr>
          </w:p>
        </w:tc>
        <w:tc>
          <w:tcPr>
            <w:tcW w:w="632" w:type="pct"/>
            <w:noWrap/>
            <w:vAlign w:val="center"/>
          </w:tcPr>
          <w:p w14:paraId="46CEFBF1">
            <w:pPr>
              <w:spacing w:line="360" w:lineRule="auto"/>
              <w:contextualSpacing/>
              <w:jc w:val="center"/>
              <w:rPr>
                <w:rFonts w:ascii="宋体" w:hAnsi="宋体" w:cs="宋体"/>
                <w:color w:val="auto"/>
                <w:szCs w:val="21"/>
                <w:highlight w:val="none"/>
              </w:rPr>
            </w:pPr>
          </w:p>
        </w:tc>
        <w:tc>
          <w:tcPr>
            <w:tcW w:w="463" w:type="pct"/>
            <w:noWrap/>
            <w:vAlign w:val="center"/>
          </w:tcPr>
          <w:p w14:paraId="6132CE95">
            <w:pPr>
              <w:spacing w:line="360" w:lineRule="auto"/>
              <w:contextualSpacing/>
              <w:jc w:val="center"/>
              <w:rPr>
                <w:rFonts w:ascii="宋体" w:hAnsi="宋体" w:cs="宋体"/>
                <w:color w:val="auto"/>
                <w:szCs w:val="21"/>
                <w:highlight w:val="none"/>
              </w:rPr>
            </w:pPr>
          </w:p>
        </w:tc>
      </w:tr>
      <w:tr w14:paraId="1335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noWrap/>
            <w:vAlign w:val="center"/>
          </w:tcPr>
          <w:p w14:paraId="2F9A692A">
            <w:pPr>
              <w:spacing w:line="360" w:lineRule="auto"/>
              <w:contextualSpacing/>
              <w:jc w:val="center"/>
              <w:rPr>
                <w:rFonts w:ascii="宋体" w:hAnsi="宋体" w:cs="宋体"/>
                <w:color w:val="auto"/>
                <w:szCs w:val="21"/>
                <w:highlight w:val="none"/>
              </w:rPr>
            </w:pPr>
          </w:p>
        </w:tc>
        <w:tc>
          <w:tcPr>
            <w:tcW w:w="896" w:type="pct"/>
            <w:noWrap/>
            <w:vAlign w:val="center"/>
          </w:tcPr>
          <w:p w14:paraId="632B7F45">
            <w:pPr>
              <w:spacing w:line="440" w:lineRule="exact"/>
              <w:jc w:val="center"/>
              <w:rPr>
                <w:rFonts w:ascii="宋体" w:hAnsi="宋体" w:cs="宋体"/>
                <w:color w:val="auto"/>
                <w:szCs w:val="21"/>
                <w:highlight w:val="none"/>
              </w:rPr>
            </w:pPr>
            <w:r>
              <w:rPr>
                <w:rFonts w:hint="eastAsia" w:ascii="宋体" w:hAnsi="宋体" w:cs="仿宋_GB2312"/>
                <w:color w:val="auto"/>
                <w:szCs w:val="21"/>
                <w:highlight w:val="none"/>
              </w:rPr>
              <w:t>跨境人民币结算奖补审核服务</w:t>
            </w:r>
          </w:p>
        </w:tc>
        <w:tc>
          <w:tcPr>
            <w:tcW w:w="423" w:type="pct"/>
            <w:noWrap/>
            <w:vAlign w:val="center"/>
          </w:tcPr>
          <w:p w14:paraId="48CEA3F9">
            <w:pPr>
              <w:spacing w:line="360" w:lineRule="auto"/>
              <w:contextualSpacing/>
              <w:jc w:val="center"/>
              <w:rPr>
                <w:rFonts w:ascii="宋体" w:hAnsi="宋体" w:cs="宋体"/>
                <w:color w:val="auto"/>
                <w:szCs w:val="21"/>
                <w:highlight w:val="none"/>
              </w:rPr>
            </w:pPr>
          </w:p>
        </w:tc>
        <w:tc>
          <w:tcPr>
            <w:tcW w:w="239" w:type="pct"/>
            <w:noWrap/>
            <w:vAlign w:val="center"/>
          </w:tcPr>
          <w:p w14:paraId="242235F1">
            <w:pPr>
              <w:spacing w:line="360" w:lineRule="auto"/>
              <w:contextualSpacing/>
              <w:jc w:val="center"/>
              <w:rPr>
                <w:rFonts w:ascii="宋体" w:hAnsi="宋体" w:cs="宋体"/>
                <w:color w:val="auto"/>
                <w:szCs w:val="21"/>
                <w:highlight w:val="none"/>
              </w:rPr>
            </w:pPr>
          </w:p>
        </w:tc>
        <w:tc>
          <w:tcPr>
            <w:tcW w:w="1755" w:type="pct"/>
            <w:noWrap/>
            <w:vAlign w:val="center"/>
          </w:tcPr>
          <w:p w14:paraId="59FF1378">
            <w:pPr>
              <w:spacing w:line="360" w:lineRule="auto"/>
              <w:contextualSpacing/>
              <w:jc w:val="center"/>
              <w:rPr>
                <w:rFonts w:ascii="宋体" w:hAnsi="宋体" w:cs="宋体"/>
                <w:color w:val="auto"/>
                <w:szCs w:val="21"/>
                <w:highlight w:val="none"/>
              </w:rPr>
            </w:pPr>
          </w:p>
        </w:tc>
        <w:tc>
          <w:tcPr>
            <w:tcW w:w="351" w:type="pct"/>
            <w:noWrap/>
            <w:vAlign w:val="center"/>
          </w:tcPr>
          <w:p w14:paraId="4C8A48E8">
            <w:pPr>
              <w:spacing w:line="360" w:lineRule="auto"/>
              <w:contextualSpacing/>
              <w:jc w:val="center"/>
              <w:rPr>
                <w:rFonts w:ascii="宋体" w:hAnsi="宋体" w:cs="宋体"/>
                <w:color w:val="auto"/>
                <w:szCs w:val="21"/>
                <w:highlight w:val="none"/>
              </w:rPr>
            </w:pPr>
          </w:p>
        </w:tc>
        <w:tc>
          <w:tcPr>
            <w:tcW w:w="632" w:type="pct"/>
            <w:noWrap/>
            <w:vAlign w:val="center"/>
          </w:tcPr>
          <w:p w14:paraId="5123C9A9">
            <w:pPr>
              <w:spacing w:line="360" w:lineRule="auto"/>
              <w:contextualSpacing/>
              <w:jc w:val="center"/>
              <w:rPr>
                <w:rFonts w:ascii="宋体" w:hAnsi="宋体" w:cs="宋体"/>
                <w:color w:val="auto"/>
                <w:szCs w:val="21"/>
                <w:highlight w:val="none"/>
              </w:rPr>
            </w:pPr>
          </w:p>
        </w:tc>
        <w:tc>
          <w:tcPr>
            <w:tcW w:w="463" w:type="pct"/>
            <w:noWrap/>
            <w:vAlign w:val="center"/>
          </w:tcPr>
          <w:p w14:paraId="5636FA4B">
            <w:pPr>
              <w:spacing w:line="360" w:lineRule="auto"/>
              <w:contextualSpacing/>
              <w:jc w:val="center"/>
              <w:rPr>
                <w:rFonts w:ascii="宋体" w:hAnsi="宋体" w:cs="宋体"/>
                <w:color w:val="auto"/>
                <w:szCs w:val="21"/>
                <w:highlight w:val="none"/>
              </w:rPr>
            </w:pPr>
          </w:p>
        </w:tc>
      </w:tr>
      <w:tr w14:paraId="47A9F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noWrap/>
            <w:vAlign w:val="center"/>
          </w:tcPr>
          <w:p w14:paraId="120FD0AF">
            <w:pPr>
              <w:spacing w:line="360" w:lineRule="auto"/>
              <w:contextualSpacing/>
              <w:jc w:val="center"/>
              <w:rPr>
                <w:rFonts w:ascii="宋体" w:hAnsi="宋体" w:cs="宋体"/>
                <w:color w:val="auto"/>
                <w:szCs w:val="21"/>
                <w:highlight w:val="none"/>
              </w:rPr>
            </w:pPr>
          </w:p>
        </w:tc>
        <w:tc>
          <w:tcPr>
            <w:tcW w:w="896" w:type="pct"/>
            <w:noWrap/>
            <w:vAlign w:val="center"/>
          </w:tcPr>
          <w:p w14:paraId="4E13DA0B">
            <w:pPr>
              <w:spacing w:line="440" w:lineRule="exact"/>
              <w:jc w:val="center"/>
              <w:rPr>
                <w:rFonts w:ascii="宋体" w:hAnsi="宋体" w:cs="宋体"/>
                <w:color w:val="auto"/>
                <w:szCs w:val="21"/>
                <w:highlight w:val="none"/>
              </w:rPr>
            </w:pPr>
            <w:r>
              <w:rPr>
                <w:rFonts w:hint="eastAsia" w:ascii="宋体" w:hAnsi="宋体" w:cs="仿宋_GB2312"/>
                <w:color w:val="auto"/>
                <w:szCs w:val="21"/>
                <w:highlight w:val="none"/>
              </w:rPr>
              <w:t>跨境人民币结算奖补审核服务</w:t>
            </w:r>
          </w:p>
        </w:tc>
        <w:tc>
          <w:tcPr>
            <w:tcW w:w="423" w:type="pct"/>
            <w:noWrap/>
            <w:vAlign w:val="center"/>
          </w:tcPr>
          <w:p w14:paraId="1446D12B">
            <w:pPr>
              <w:spacing w:line="360" w:lineRule="auto"/>
              <w:contextualSpacing/>
              <w:jc w:val="center"/>
              <w:rPr>
                <w:rFonts w:ascii="宋体" w:hAnsi="宋体" w:cs="宋体"/>
                <w:color w:val="auto"/>
                <w:szCs w:val="21"/>
                <w:highlight w:val="none"/>
              </w:rPr>
            </w:pPr>
          </w:p>
        </w:tc>
        <w:tc>
          <w:tcPr>
            <w:tcW w:w="239" w:type="pct"/>
            <w:noWrap/>
            <w:vAlign w:val="center"/>
          </w:tcPr>
          <w:p w14:paraId="052091CD">
            <w:pPr>
              <w:spacing w:line="360" w:lineRule="auto"/>
              <w:contextualSpacing/>
              <w:jc w:val="center"/>
              <w:rPr>
                <w:rFonts w:ascii="宋体" w:hAnsi="宋体" w:cs="宋体"/>
                <w:color w:val="auto"/>
                <w:szCs w:val="21"/>
                <w:highlight w:val="none"/>
              </w:rPr>
            </w:pPr>
          </w:p>
        </w:tc>
        <w:tc>
          <w:tcPr>
            <w:tcW w:w="1755" w:type="pct"/>
            <w:noWrap/>
            <w:vAlign w:val="center"/>
          </w:tcPr>
          <w:p w14:paraId="5BC6201F">
            <w:pPr>
              <w:spacing w:line="360" w:lineRule="auto"/>
              <w:contextualSpacing/>
              <w:jc w:val="center"/>
              <w:rPr>
                <w:rFonts w:ascii="宋体" w:hAnsi="宋体" w:cs="宋体"/>
                <w:color w:val="auto"/>
                <w:szCs w:val="21"/>
                <w:highlight w:val="none"/>
              </w:rPr>
            </w:pPr>
          </w:p>
        </w:tc>
        <w:tc>
          <w:tcPr>
            <w:tcW w:w="351" w:type="pct"/>
            <w:noWrap/>
            <w:vAlign w:val="center"/>
          </w:tcPr>
          <w:p w14:paraId="3FBE0856">
            <w:pPr>
              <w:spacing w:line="360" w:lineRule="auto"/>
              <w:contextualSpacing/>
              <w:jc w:val="center"/>
              <w:rPr>
                <w:rFonts w:ascii="宋体" w:hAnsi="宋体" w:cs="宋体"/>
                <w:color w:val="auto"/>
                <w:szCs w:val="21"/>
                <w:highlight w:val="none"/>
              </w:rPr>
            </w:pPr>
          </w:p>
        </w:tc>
        <w:tc>
          <w:tcPr>
            <w:tcW w:w="632" w:type="pct"/>
            <w:noWrap/>
            <w:vAlign w:val="center"/>
          </w:tcPr>
          <w:p w14:paraId="5E9A4AEC">
            <w:pPr>
              <w:spacing w:line="360" w:lineRule="auto"/>
              <w:contextualSpacing/>
              <w:jc w:val="center"/>
              <w:rPr>
                <w:rFonts w:ascii="宋体" w:hAnsi="宋体" w:cs="宋体"/>
                <w:color w:val="auto"/>
                <w:szCs w:val="21"/>
                <w:highlight w:val="none"/>
              </w:rPr>
            </w:pPr>
          </w:p>
        </w:tc>
        <w:tc>
          <w:tcPr>
            <w:tcW w:w="463" w:type="pct"/>
            <w:noWrap/>
            <w:vAlign w:val="center"/>
          </w:tcPr>
          <w:p w14:paraId="57DF673E">
            <w:pPr>
              <w:spacing w:line="360" w:lineRule="auto"/>
              <w:contextualSpacing/>
              <w:jc w:val="center"/>
              <w:rPr>
                <w:rFonts w:ascii="宋体" w:hAnsi="宋体" w:cs="宋体"/>
                <w:color w:val="auto"/>
                <w:szCs w:val="21"/>
                <w:highlight w:val="none"/>
              </w:rPr>
            </w:pPr>
          </w:p>
        </w:tc>
      </w:tr>
      <w:tr w14:paraId="7EDCA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noWrap/>
            <w:vAlign w:val="center"/>
          </w:tcPr>
          <w:p w14:paraId="399C92B6">
            <w:pPr>
              <w:spacing w:line="360" w:lineRule="auto"/>
              <w:contextualSpacing/>
              <w:jc w:val="center"/>
              <w:rPr>
                <w:rFonts w:ascii="宋体" w:hAnsi="宋体" w:cs="宋体"/>
                <w:color w:val="auto"/>
                <w:szCs w:val="21"/>
                <w:highlight w:val="none"/>
              </w:rPr>
            </w:pPr>
          </w:p>
        </w:tc>
        <w:tc>
          <w:tcPr>
            <w:tcW w:w="896" w:type="pct"/>
            <w:noWrap/>
            <w:vAlign w:val="center"/>
          </w:tcPr>
          <w:p w14:paraId="693F15DE">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423" w:type="pct"/>
            <w:noWrap/>
            <w:vAlign w:val="center"/>
          </w:tcPr>
          <w:p w14:paraId="1EBDBE56">
            <w:pPr>
              <w:spacing w:line="360" w:lineRule="auto"/>
              <w:contextualSpacing/>
              <w:jc w:val="center"/>
              <w:rPr>
                <w:rFonts w:ascii="宋体" w:hAnsi="宋体" w:cs="宋体"/>
                <w:color w:val="auto"/>
                <w:szCs w:val="21"/>
                <w:highlight w:val="none"/>
              </w:rPr>
            </w:pPr>
          </w:p>
        </w:tc>
        <w:tc>
          <w:tcPr>
            <w:tcW w:w="239" w:type="pct"/>
            <w:noWrap/>
            <w:vAlign w:val="center"/>
          </w:tcPr>
          <w:p w14:paraId="2B1F4E6D">
            <w:pPr>
              <w:spacing w:line="360" w:lineRule="auto"/>
              <w:contextualSpacing/>
              <w:jc w:val="center"/>
              <w:rPr>
                <w:rFonts w:ascii="宋体" w:hAnsi="宋体" w:cs="宋体"/>
                <w:color w:val="auto"/>
                <w:szCs w:val="21"/>
                <w:highlight w:val="none"/>
              </w:rPr>
            </w:pPr>
          </w:p>
        </w:tc>
        <w:tc>
          <w:tcPr>
            <w:tcW w:w="1755" w:type="pct"/>
            <w:noWrap/>
            <w:vAlign w:val="center"/>
          </w:tcPr>
          <w:p w14:paraId="420C3BDD">
            <w:pPr>
              <w:spacing w:line="360" w:lineRule="auto"/>
              <w:contextualSpacing/>
              <w:jc w:val="center"/>
              <w:rPr>
                <w:rFonts w:ascii="宋体" w:hAnsi="宋体" w:cs="宋体"/>
                <w:color w:val="auto"/>
                <w:szCs w:val="21"/>
                <w:highlight w:val="none"/>
              </w:rPr>
            </w:pPr>
          </w:p>
        </w:tc>
        <w:tc>
          <w:tcPr>
            <w:tcW w:w="351" w:type="pct"/>
            <w:noWrap/>
            <w:vAlign w:val="center"/>
          </w:tcPr>
          <w:p w14:paraId="7B347C2E">
            <w:pPr>
              <w:spacing w:line="360" w:lineRule="auto"/>
              <w:contextualSpacing/>
              <w:jc w:val="center"/>
              <w:rPr>
                <w:rFonts w:ascii="宋体" w:hAnsi="宋体" w:cs="宋体"/>
                <w:color w:val="auto"/>
                <w:szCs w:val="21"/>
                <w:highlight w:val="none"/>
              </w:rPr>
            </w:pPr>
          </w:p>
        </w:tc>
        <w:tc>
          <w:tcPr>
            <w:tcW w:w="632" w:type="pct"/>
            <w:noWrap/>
            <w:vAlign w:val="center"/>
          </w:tcPr>
          <w:p w14:paraId="5196C425">
            <w:pPr>
              <w:spacing w:line="360" w:lineRule="auto"/>
              <w:contextualSpacing/>
              <w:jc w:val="center"/>
              <w:rPr>
                <w:rFonts w:ascii="宋体" w:hAnsi="宋体" w:cs="宋体"/>
                <w:color w:val="auto"/>
                <w:szCs w:val="21"/>
                <w:highlight w:val="none"/>
              </w:rPr>
            </w:pPr>
          </w:p>
        </w:tc>
        <w:tc>
          <w:tcPr>
            <w:tcW w:w="463" w:type="pct"/>
            <w:noWrap/>
            <w:vAlign w:val="center"/>
          </w:tcPr>
          <w:p w14:paraId="2A301407">
            <w:pPr>
              <w:spacing w:line="360" w:lineRule="auto"/>
              <w:contextualSpacing/>
              <w:jc w:val="center"/>
              <w:rPr>
                <w:rFonts w:ascii="宋体" w:hAnsi="宋体" w:cs="宋体"/>
                <w:color w:val="auto"/>
                <w:szCs w:val="21"/>
                <w:highlight w:val="none"/>
              </w:rPr>
            </w:pPr>
          </w:p>
        </w:tc>
      </w:tr>
      <w:tr w14:paraId="0748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noWrap/>
            <w:vAlign w:val="center"/>
          </w:tcPr>
          <w:p w14:paraId="0C846917">
            <w:pPr>
              <w:spacing w:line="360" w:lineRule="auto"/>
              <w:contextualSpacing/>
              <w:jc w:val="center"/>
              <w:rPr>
                <w:rFonts w:ascii="宋体" w:hAnsi="宋体" w:cs="宋体"/>
                <w:color w:val="auto"/>
                <w:szCs w:val="21"/>
                <w:highlight w:val="none"/>
              </w:rPr>
            </w:pPr>
          </w:p>
        </w:tc>
        <w:tc>
          <w:tcPr>
            <w:tcW w:w="896" w:type="pct"/>
            <w:shd w:val="clear" w:color="auto" w:fill="auto"/>
            <w:noWrap/>
            <w:vAlign w:val="center"/>
          </w:tcPr>
          <w:p w14:paraId="2925F0E0">
            <w:pPr>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仿宋_GB2312"/>
                <w:color w:val="auto"/>
                <w:szCs w:val="21"/>
                <w:highlight w:val="none"/>
              </w:rPr>
              <w:t>直接融资奖补审核服务</w:t>
            </w:r>
          </w:p>
        </w:tc>
        <w:tc>
          <w:tcPr>
            <w:tcW w:w="423" w:type="pct"/>
            <w:noWrap/>
            <w:vAlign w:val="center"/>
          </w:tcPr>
          <w:p w14:paraId="691C4BF6">
            <w:pPr>
              <w:spacing w:line="360" w:lineRule="auto"/>
              <w:contextualSpacing/>
              <w:jc w:val="center"/>
              <w:rPr>
                <w:rFonts w:ascii="宋体" w:hAnsi="宋体" w:cs="宋体"/>
                <w:color w:val="auto"/>
                <w:szCs w:val="21"/>
                <w:highlight w:val="none"/>
              </w:rPr>
            </w:pPr>
          </w:p>
        </w:tc>
        <w:tc>
          <w:tcPr>
            <w:tcW w:w="239" w:type="pct"/>
            <w:noWrap/>
            <w:vAlign w:val="center"/>
          </w:tcPr>
          <w:p w14:paraId="36418204">
            <w:pPr>
              <w:spacing w:line="360" w:lineRule="auto"/>
              <w:contextualSpacing/>
              <w:jc w:val="center"/>
              <w:rPr>
                <w:rFonts w:ascii="宋体" w:hAnsi="宋体" w:cs="宋体"/>
                <w:color w:val="auto"/>
                <w:szCs w:val="21"/>
                <w:highlight w:val="none"/>
              </w:rPr>
            </w:pPr>
          </w:p>
        </w:tc>
        <w:tc>
          <w:tcPr>
            <w:tcW w:w="1755" w:type="pct"/>
            <w:noWrap/>
            <w:vAlign w:val="center"/>
          </w:tcPr>
          <w:p w14:paraId="0A061765">
            <w:pPr>
              <w:spacing w:line="360" w:lineRule="auto"/>
              <w:contextualSpacing/>
              <w:jc w:val="center"/>
              <w:rPr>
                <w:rFonts w:ascii="宋体" w:hAnsi="宋体" w:cs="宋体"/>
                <w:color w:val="auto"/>
                <w:szCs w:val="21"/>
                <w:highlight w:val="none"/>
              </w:rPr>
            </w:pPr>
          </w:p>
        </w:tc>
        <w:tc>
          <w:tcPr>
            <w:tcW w:w="351" w:type="pct"/>
            <w:noWrap/>
            <w:vAlign w:val="center"/>
          </w:tcPr>
          <w:p w14:paraId="65684290">
            <w:pPr>
              <w:spacing w:line="360" w:lineRule="auto"/>
              <w:contextualSpacing/>
              <w:jc w:val="center"/>
              <w:rPr>
                <w:rFonts w:ascii="宋体" w:hAnsi="宋体" w:cs="宋体"/>
                <w:color w:val="auto"/>
                <w:szCs w:val="21"/>
                <w:highlight w:val="none"/>
              </w:rPr>
            </w:pPr>
          </w:p>
        </w:tc>
        <w:tc>
          <w:tcPr>
            <w:tcW w:w="632" w:type="pct"/>
            <w:noWrap/>
            <w:vAlign w:val="center"/>
          </w:tcPr>
          <w:p w14:paraId="5819929B">
            <w:pPr>
              <w:spacing w:line="360" w:lineRule="auto"/>
              <w:contextualSpacing/>
              <w:jc w:val="center"/>
              <w:rPr>
                <w:rFonts w:ascii="宋体" w:hAnsi="宋体" w:cs="宋体"/>
                <w:color w:val="auto"/>
                <w:szCs w:val="21"/>
                <w:highlight w:val="none"/>
              </w:rPr>
            </w:pPr>
          </w:p>
        </w:tc>
        <w:tc>
          <w:tcPr>
            <w:tcW w:w="463" w:type="pct"/>
            <w:noWrap/>
            <w:vAlign w:val="center"/>
          </w:tcPr>
          <w:p w14:paraId="6DD7D28E">
            <w:pPr>
              <w:spacing w:line="360" w:lineRule="auto"/>
              <w:contextualSpacing/>
              <w:jc w:val="center"/>
              <w:rPr>
                <w:rFonts w:ascii="宋体" w:hAnsi="宋体" w:cs="宋体"/>
                <w:color w:val="auto"/>
                <w:szCs w:val="21"/>
                <w:highlight w:val="none"/>
              </w:rPr>
            </w:pPr>
          </w:p>
        </w:tc>
      </w:tr>
      <w:tr w14:paraId="3AFC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noWrap/>
            <w:vAlign w:val="center"/>
          </w:tcPr>
          <w:p w14:paraId="354ADC79">
            <w:pPr>
              <w:spacing w:line="360" w:lineRule="auto"/>
              <w:contextualSpacing/>
              <w:jc w:val="center"/>
              <w:rPr>
                <w:rFonts w:ascii="宋体" w:hAnsi="宋体" w:cs="宋体"/>
                <w:color w:val="auto"/>
                <w:szCs w:val="21"/>
                <w:highlight w:val="none"/>
              </w:rPr>
            </w:pPr>
          </w:p>
        </w:tc>
        <w:tc>
          <w:tcPr>
            <w:tcW w:w="896" w:type="pct"/>
            <w:shd w:val="clear" w:color="auto" w:fill="auto"/>
            <w:noWrap/>
            <w:vAlign w:val="center"/>
          </w:tcPr>
          <w:p w14:paraId="59A1EC7B">
            <w:pPr>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仿宋_GB2312"/>
                <w:color w:val="auto"/>
                <w:szCs w:val="21"/>
                <w:highlight w:val="none"/>
              </w:rPr>
              <w:t>直接融资奖补审核服务</w:t>
            </w:r>
          </w:p>
        </w:tc>
        <w:tc>
          <w:tcPr>
            <w:tcW w:w="423" w:type="pct"/>
            <w:noWrap/>
            <w:vAlign w:val="center"/>
          </w:tcPr>
          <w:p w14:paraId="6C1E127A">
            <w:pPr>
              <w:spacing w:line="360" w:lineRule="auto"/>
              <w:contextualSpacing/>
              <w:jc w:val="center"/>
              <w:rPr>
                <w:rFonts w:ascii="宋体" w:hAnsi="宋体" w:cs="宋体"/>
                <w:color w:val="auto"/>
                <w:szCs w:val="21"/>
                <w:highlight w:val="none"/>
              </w:rPr>
            </w:pPr>
          </w:p>
        </w:tc>
        <w:tc>
          <w:tcPr>
            <w:tcW w:w="239" w:type="pct"/>
            <w:noWrap/>
            <w:vAlign w:val="center"/>
          </w:tcPr>
          <w:p w14:paraId="33F71E41">
            <w:pPr>
              <w:spacing w:line="360" w:lineRule="auto"/>
              <w:contextualSpacing/>
              <w:jc w:val="center"/>
              <w:rPr>
                <w:rFonts w:ascii="宋体" w:hAnsi="宋体" w:cs="宋体"/>
                <w:color w:val="auto"/>
                <w:szCs w:val="21"/>
                <w:highlight w:val="none"/>
              </w:rPr>
            </w:pPr>
          </w:p>
        </w:tc>
        <w:tc>
          <w:tcPr>
            <w:tcW w:w="1755" w:type="pct"/>
            <w:noWrap/>
            <w:vAlign w:val="center"/>
          </w:tcPr>
          <w:p w14:paraId="707FF39D">
            <w:pPr>
              <w:spacing w:line="360" w:lineRule="auto"/>
              <w:contextualSpacing/>
              <w:jc w:val="center"/>
              <w:rPr>
                <w:rFonts w:ascii="宋体" w:hAnsi="宋体" w:cs="宋体"/>
                <w:color w:val="auto"/>
                <w:szCs w:val="21"/>
                <w:highlight w:val="none"/>
              </w:rPr>
            </w:pPr>
          </w:p>
        </w:tc>
        <w:tc>
          <w:tcPr>
            <w:tcW w:w="351" w:type="pct"/>
            <w:noWrap/>
            <w:vAlign w:val="center"/>
          </w:tcPr>
          <w:p w14:paraId="65D78623">
            <w:pPr>
              <w:spacing w:line="360" w:lineRule="auto"/>
              <w:contextualSpacing/>
              <w:jc w:val="center"/>
              <w:rPr>
                <w:rFonts w:ascii="宋体" w:hAnsi="宋体" w:cs="宋体"/>
                <w:color w:val="auto"/>
                <w:szCs w:val="21"/>
                <w:highlight w:val="none"/>
              </w:rPr>
            </w:pPr>
          </w:p>
        </w:tc>
        <w:tc>
          <w:tcPr>
            <w:tcW w:w="632" w:type="pct"/>
            <w:noWrap/>
            <w:vAlign w:val="center"/>
          </w:tcPr>
          <w:p w14:paraId="2C5FCD91">
            <w:pPr>
              <w:spacing w:line="360" w:lineRule="auto"/>
              <w:contextualSpacing/>
              <w:jc w:val="center"/>
              <w:rPr>
                <w:rFonts w:ascii="宋体" w:hAnsi="宋体" w:cs="宋体"/>
                <w:color w:val="auto"/>
                <w:szCs w:val="21"/>
                <w:highlight w:val="none"/>
              </w:rPr>
            </w:pPr>
          </w:p>
        </w:tc>
        <w:tc>
          <w:tcPr>
            <w:tcW w:w="463" w:type="pct"/>
            <w:noWrap/>
            <w:vAlign w:val="center"/>
          </w:tcPr>
          <w:p w14:paraId="464EA49F">
            <w:pPr>
              <w:spacing w:line="360" w:lineRule="auto"/>
              <w:contextualSpacing/>
              <w:jc w:val="center"/>
              <w:rPr>
                <w:rFonts w:ascii="宋体" w:hAnsi="宋体" w:cs="宋体"/>
                <w:color w:val="auto"/>
                <w:szCs w:val="21"/>
                <w:highlight w:val="none"/>
              </w:rPr>
            </w:pPr>
          </w:p>
        </w:tc>
      </w:tr>
      <w:tr w14:paraId="2D2B0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noWrap/>
            <w:vAlign w:val="center"/>
          </w:tcPr>
          <w:p w14:paraId="3210ADE1">
            <w:pPr>
              <w:spacing w:line="360" w:lineRule="auto"/>
              <w:contextualSpacing/>
              <w:jc w:val="center"/>
              <w:rPr>
                <w:rFonts w:ascii="宋体" w:hAnsi="宋体" w:cs="宋体"/>
                <w:color w:val="auto"/>
                <w:szCs w:val="21"/>
                <w:highlight w:val="none"/>
              </w:rPr>
            </w:pPr>
          </w:p>
        </w:tc>
        <w:tc>
          <w:tcPr>
            <w:tcW w:w="896" w:type="pct"/>
            <w:noWrap/>
            <w:vAlign w:val="center"/>
          </w:tcPr>
          <w:p w14:paraId="1FE0A31D">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423" w:type="pct"/>
            <w:noWrap/>
            <w:vAlign w:val="center"/>
          </w:tcPr>
          <w:p w14:paraId="71C62740">
            <w:pPr>
              <w:spacing w:line="360" w:lineRule="auto"/>
              <w:contextualSpacing/>
              <w:jc w:val="center"/>
              <w:rPr>
                <w:rFonts w:ascii="宋体" w:hAnsi="宋体" w:cs="宋体"/>
                <w:color w:val="auto"/>
                <w:szCs w:val="21"/>
                <w:highlight w:val="none"/>
              </w:rPr>
            </w:pPr>
          </w:p>
        </w:tc>
        <w:tc>
          <w:tcPr>
            <w:tcW w:w="239" w:type="pct"/>
            <w:noWrap/>
            <w:vAlign w:val="center"/>
          </w:tcPr>
          <w:p w14:paraId="3E17E35C">
            <w:pPr>
              <w:spacing w:line="360" w:lineRule="auto"/>
              <w:contextualSpacing/>
              <w:jc w:val="center"/>
              <w:rPr>
                <w:rFonts w:ascii="宋体" w:hAnsi="宋体" w:cs="宋体"/>
                <w:color w:val="auto"/>
                <w:szCs w:val="21"/>
                <w:highlight w:val="none"/>
              </w:rPr>
            </w:pPr>
          </w:p>
        </w:tc>
        <w:tc>
          <w:tcPr>
            <w:tcW w:w="1755" w:type="pct"/>
            <w:noWrap/>
            <w:vAlign w:val="center"/>
          </w:tcPr>
          <w:p w14:paraId="749CAD12">
            <w:pPr>
              <w:spacing w:line="360" w:lineRule="auto"/>
              <w:contextualSpacing/>
              <w:jc w:val="center"/>
              <w:rPr>
                <w:rFonts w:ascii="宋体" w:hAnsi="宋体" w:cs="宋体"/>
                <w:color w:val="auto"/>
                <w:szCs w:val="21"/>
                <w:highlight w:val="none"/>
              </w:rPr>
            </w:pPr>
          </w:p>
        </w:tc>
        <w:tc>
          <w:tcPr>
            <w:tcW w:w="351" w:type="pct"/>
            <w:noWrap/>
            <w:vAlign w:val="center"/>
          </w:tcPr>
          <w:p w14:paraId="49DF1A35">
            <w:pPr>
              <w:spacing w:line="360" w:lineRule="auto"/>
              <w:contextualSpacing/>
              <w:jc w:val="center"/>
              <w:rPr>
                <w:rFonts w:ascii="宋体" w:hAnsi="宋体" w:cs="宋体"/>
                <w:color w:val="auto"/>
                <w:szCs w:val="21"/>
                <w:highlight w:val="none"/>
              </w:rPr>
            </w:pPr>
          </w:p>
        </w:tc>
        <w:tc>
          <w:tcPr>
            <w:tcW w:w="632" w:type="pct"/>
            <w:noWrap/>
            <w:vAlign w:val="center"/>
          </w:tcPr>
          <w:p w14:paraId="009A7669">
            <w:pPr>
              <w:spacing w:line="360" w:lineRule="auto"/>
              <w:contextualSpacing/>
              <w:jc w:val="center"/>
              <w:rPr>
                <w:rFonts w:ascii="宋体" w:hAnsi="宋体" w:cs="宋体"/>
                <w:color w:val="auto"/>
                <w:szCs w:val="21"/>
                <w:highlight w:val="none"/>
              </w:rPr>
            </w:pPr>
          </w:p>
        </w:tc>
        <w:tc>
          <w:tcPr>
            <w:tcW w:w="463" w:type="pct"/>
            <w:noWrap/>
            <w:vAlign w:val="center"/>
          </w:tcPr>
          <w:p w14:paraId="4E46924A">
            <w:pPr>
              <w:spacing w:line="360" w:lineRule="auto"/>
              <w:contextualSpacing/>
              <w:jc w:val="center"/>
              <w:rPr>
                <w:rFonts w:ascii="宋体" w:hAnsi="宋体" w:cs="宋体"/>
                <w:color w:val="auto"/>
                <w:szCs w:val="21"/>
                <w:highlight w:val="none"/>
              </w:rPr>
            </w:pPr>
          </w:p>
        </w:tc>
      </w:tr>
      <w:tr w14:paraId="068E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noWrap/>
            <w:vAlign w:val="center"/>
          </w:tcPr>
          <w:p w14:paraId="5A08FF76">
            <w:pPr>
              <w:spacing w:line="360" w:lineRule="auto"/>
              <w:contextualSpacing/>
              <w:jc w:val="center"/>
              <w:rPr>
                <w:rFonts w:ascii="宋体" w:hAnsi="宋体" w:cs="宋体"/>
                <w:color w:val="auto"/>
                <w:szCs w:val="21"/>
                <w:highlight w:val="none"/>
              </w:rPr>
            </w:pPr>
          </w:p>
        </w:tc>
        <w:tc>
          <w:tcPr>
            <w:tcW w:w="896" w:type="pct"/>
            <w:noWrap/>
            <w:vAlign w:val="center"/>
          </w:tcPr>
          <w:p w14:paraId="4DCE415C">
            <w:pPr>
              <w:spacing w:line="440" w:lineRule="exact"/>
              <w:jc w:val="center"/>
              <w:rPr>
                <w:rFonts w:ascii="宋体" w:hAnsi="宋体" w:cs="宋体"/>
                <w:color w:val="auto"/>
                <w:szCs w:val="21"/>
                <w:highlight w:val="none"/>
              </w:rPr>
            </w:pPr>
            <w:r>
              <w:rPr>
                <w:rFonts w:hint="eastAsia" w:ascii="宋体" w:hAnsi="宋体" w:cs="Calibri"/>
                <w:color w:val="auto"/>
                <w:szCs w:val="21"/>
                <w:highlight w:val="none"/>
              </w:rPr>
              <w:t>交易场所现场检查</w:t>
            </w:r>
          </w:p>
        </w:tc>
        <w:tc>
          <w:tcPr>
            <w:tcW w:w="423" w:type="pct"/>
            <w:noWrap/>
            <w:vAlign w:val="center"/>
          </w:tcPr>
          <w:p w14:paraId="4B3FAF53">
            <w:pPr>
              <w:spacing w:line="360" w:lineRule="auto"/>
              <w:contextualSpacing/>
              <w:jc w:val="center"/>
              <w:rPr>
                <w:rFonts w:ascii="宋体" w:hAnsi="宋体" w:cs="宋体"/>
                <w:color w:val="auto"/>
                <w:szCs w:val="21"/>
                <w:highlight w:val="none"/>
              </w:rPr>
            </w:pPr>
          </w:p>
        </w:tc>
        <w:tc>
          <w:tcPr>
            <w:tcW w:w="239" w:type="pct"/>
            <w:noWrap/>
            <w:vAlign w:val="center"/>
          </w:tcPr>
          <w:p w14:paraId="49EEDD6D">
            <w:pPr>
              <w:spacing w:line="360" w:lineRule="auto"/>
              <w:contextualSpacing/>
              <w:jc w:val="center"/>
              <w:rPr>
                <w:rFonts w:ascii="宋体" w:hAnsi="宋体" w:cs="宋体"/>
                <w:color w:val="auto"/>
                <w:szCs w:val="21"/>
                <w:highlight w:val="none"/>
              </w:rPr>
            </w:pPr>
          </w:p>
        </w:tc>
        <w:tc>
          <w:tcPr>
            <w:tcW w:w="1755" w:type="pct"/>
            <w:noWrap/>
            <w:vAlign w:val="center"/>
          </w:tcPr>
          <w:p w14:paraId="13B4CDE7">
            <w:pPr>
              <w:spacing w:line="360" w:lineRule="auto"/>
              <w:contextualSpacing/>
              <w:jc w:val="center"/>
              <w:rPr>
                <w:rFonts w:ascii="宋体" w:hAnsi="宋体" w:cs="宋体"/>
                <w:color w:val="auto"/>
                <w:szCs w:val="21"/>
                <w:highlight w:val="none"/>
              </w:rPr>
            </w:pPr>
          </w:p>
        </w:tc>
        <w:tc>
          <w:tcPr>
            <w:tcW w:w="351" w:type="pct"/>
            <w:noWrap/>
            <w:vAlign w:val="center"/>
          </w:tcPr>
          <w:p w14:paraId="401AEFDF">
            <w:pPr>
              <w:spacing w:line="360" w:lineRule="auto"/>
              <w:contextualSpacing/>
              <w:jc w:val="center"/>
              <w:rPr>
                <w:rFonts w:ascii="宋体" w:hAnsi="宋体" w:cs="宋体"/>
                <w:color w:val="auto"/>
                <w:szCs w:val="21"/>
                <w:highlight w:val="none"/>
              </w:rPr>
            </w:pPr>
          </w:p>
        </w:tc>
        <w:tc>
          <w:tcPr>
            <w:tcW w:w="632" w:type="pct"/>
            <w:noWrap/>
            <w:vAlign w:val="center"/>
          </w:tcPr>
          <w:p w14:paraId="39C71072">
            <w:pPr>
              <w:spacing w:line="360" w:lineRule="auto"/>
              <w:contextualSpacing/>
              <w:jc w:val="center"/>
              <w:rPr>
                <w:rFonts w:ascii="宋体" w:hAnsi="宋体" w:cs="宋体"/>
                <w:color w:val="auto"/>
                <w:szCs w:val="21"/>
                <w:highlight w:val="none"/>
              </w:rPr>
            </w:pPr>
          </w:p>
        </w:tc>
        <w:tc>
          <w:tcPr>
            <w:tcW w:w="463" w:type="pct"/>
            <w:noWrap/>
            <w:vAlign w:val="center"/>
          </w:tcPr>
          <w:p w14:paraId="4BF08F5A">
            <w:pPr>
              <w:spacing w:line="360" w:lineRule="auto"/>
              <w:contextualSpacing/>
              <w:jc w:val="center"/>
              <w:rPr>
                <w:rFonts w:ascii="宋体" w:hAnsi="宋体" w:cs="宋体"/>
                <w:color w:val="auto"/>
                <w:szCs w:val="21"/>
                <w:highlight w:val="none"/>
              </w:rPr>
            </w:pPr>
          </w:p>
        </w:tc>
      </w:tr>
      <w:tr w14:paraId="0A3C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noWrap/>
            <w:vAlign w:val="center"/>
          </w:tcPr>
          <w:p w14:paraId="124FAE8C">
            <w:pPr>
              <w:spacing w:line="360" w:lineRule="auto"/>
              <w:contextualSpacing/>
              <w:jc w:val="center"/>
              <w:rPr>
                <w:rFonts w:ascii="宋体" w:hAnsi="宋体" w:cs="宋体"/>
                <w:color w:val="auto"/>
                <w:szCs w:val="21"/>
                <w:highlight w:val="none"/>
              </w:rPr>
            </w:pPr>
          </w:p>
        </w:tc>
        <w:tc>
          <w:tcPr>
            <w:tcW w:w="896" w:type="pct"/>
            <w:noWrap/>
            <w:vAlign w:val="center"/>
          </w:tcPr>
          <w:p w14:paraId="6943DC84">
            <w:pPr>
              <w:spacing w:line="360" w:lineRule="auto"/>
              <w:contextualSpacing/>
              <w:jc w:val="center"/>
              <w:rPr>
                <w:rFonts w:ascii="宋体" w:hAnsi="宋体" w:cs="宋体"/>
                <w:color w:val="auto"/>
                <w:szCs w:val="21"/>
                <w:highlight w:val="none"/>
              </w:rPr>
            </w:pPr>
            <w:r>
              <w:rPr>
                <w:rFonts w:hint="eastAsia" w:ascii="宋体" w:hAnsi="宋体" w:cs="Calibri"/>
                <w:color w:val="auto"/>
                <w:szCs w:val="21"/>
                <w:highlight w:val="none"/>
              </w:rPr>
              <w:t>交易场所现场检查</w:t>
            </w:r>
          </w:p>
        </w:tc>
        <w:tc>
          <w:tcPr>
            <w:tcW w:w="423" w:type="pct"/>
            <w:noWrap/>
            <w:vAlign w:val="center"/>
          </w:tcPr>
          <w:p w14:paraId="2BB4E42F">
            <w:pPr>
              <w:spacing w:line="360" w:lineRule="auto"/>
              <w:contextualSpacing/>
              <w:jc w:val="center"/>
              <w:rPr>
                <w:rFonts w:ascii="宋体" w:hAnsi="宋体" w:cs="宋体"/>
                <w:color w:val="auto"/>
                <w:szCs w:val="21"/>
                <w:highlight w:val="none"/>
              </w:rPr>
            </w:pPr>
          </w:p>
        </w:tc>
        <w:tc>
          <w:tcPr>
            <w:tcW w:w="239" w:type="pct"/>
            <w:noWrap/>
            <w:vAlign w:val="center"/>
          </w:tcPr>
          <w:p w14:paraId="2481B9C7">
            <w:pPr>
              <w:spacing w:line="360" w:lineRule="auto"/>
              <w:contextualSpacing/>
              <w:jc w:val="center"/>
              <w:rPr>
                <w:rFonts w:ascii="宋体" w:hAnsi="宋体" w:cs="宋体"/>
                <w:color w:val="auto"/>
                <w:szCs w:val="21"/>
                <w:highlight w:val="none"/>
              </w:rPr>
            </w:pPr>
          </w:p>
        </w:tc>
        <w:tc>
          <w:tcPr>
            <w:tcW w:w="1755" w:type="pct"/>
            <w:noWrap/>
            <w:vAlign w:val="center"/>
          </w:tcPr>
          <w:p w14:paraId="37B9309A">
            <w:pPr>
              <w:spacing w:line="360" w:lineRule="auto"/>
              <w:contextualSpacing/>
              <w:jc w:val="center"/>
              <w:rPr>
                <w:rFonts w:ascii="宋体" w:hAnsi="宋体" w:cs="宋体"/>
                <w:color w:val="auto"/>
                <w:szCs w:val="21"/>
                <w:highlight w:val="none"/>
              </w:rPr>
            </w:pPr>
          </w:p>
        </w:tc>
        <w:tc>
          <w:tcPr>
            <w:tcW w:w="351" w:type="pct"/>
            <w:noWrap/>
            <w:vAlign w:val="center"/>
          </w:tcPr>
          <w:p w14:paraId="0E380A6E">
            <w:pPr>
              <w:spacing w:line="360" w:lineRule="auto"/>
              <w:contextualSpacing/>
              <w:jc w:val="center"/>
              <w:rPr>
                <w:rFonts w:ascii="宋体" w:hAnsi="宋体" w:cs="宋体"/>
                <w:color w:val="auto"/>
                <w:szCs w:val="21"/>
                <w:highlight w:val="none"/>
              </w:rPr>
            </w:pPr>
          </w:p>
        </w:tc>
        <w:tc>
          <w:tcPr>
            <w:tcW w:w="632" w:type="pct"/>
            <w:noWrap/>
            <w:vAlign w:val="center"/>
          </w:tcPr>
          <w:p w14:paraId="50F71493">
            <w:pPr>
              <w:spacing w:line="360" w:lineRule="auto"/>
              <w:contextualSpacing/>
              <w:jc w:val="center"/>
              <w:rPr>
                <w:rFonts w:ascii="宋体" w:hAnsi="宋体" w:cs="宋体"/>
                <w:color w:val="auto"/>
                <w:szCs w:val="21"/>
                <w:highlight w:val="none"/>
              </w:rPr>
            </w:pPr>
          </w:p>
        </w:tc>
        <w:tc>
          <w:tcPr>
            <w:tcW w:w="463" w:type="pct"/>
            <w:noWrap/>
            <w:vAlign w:val="center"/>
          </w:tcPr>
          <w:p w14:paraId="59C24A00">
            <w:pPr>
              <w:spacing w:line="360" w:lineRule="auto"/>
              <w:contextualSpacing/>
              <w:jc w:val="center"/>
              <w:rPr>
                <w:rFonts w:ascii="宋体" w:hAnsi="宋体" w:cs="宋体"/>
                <w:color w:val="auto"/>
                <w:szCs w:val="21"/>
                <w:highlight w:val="none"/>
              </w:rPr>
            </w:pPr>
          </w:p>
        </w:tc>
      </w:tr>
      <w:tr w14:paraId="6BBD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noWrap/>
            <w:vAlign w:val="center"/>
          </w:tcPr>
          <w:p w14:paraId="14209EFF">
            <w:pPr>
              <w:spacing w:line="360" w:lineRule="auto"/>
              <w:contextualSpacing/>
              <w:jc w:val="center"/>
              <w:rPr>
                <w:rFonts w:ascii="宋体" w:hAnsi="宋体" w:cs="宋体"/>
                <w:color w:val="auto"/>
                <w:szCs w:val="21"/>
                <w:highlight w:val="none"/>
              </w:rPr>
            </w:pPr>
          </w:p>
        </w:tc>
        <w:tc>
          <w:tcPr>
            <w:tcW w:w="896" w:type="pct"/>
            <w:noWrap/>
            <w:vAlign w:val="center"/>
          </w:tcPr>
          <w:p w14:paraId="33EE2299">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w:t>
            </w:r>
          </w:p>
        </w:tc>
        <w:tc>
          <w:tcPr>
            <w:tcW w:w="423" w:type="pct"/>
            <w:noWrap/>
            <w:vAlign w:val="center"/>
          </w:tcPr>
          <w:p w14:paraId="38ACE894">
            <w:pPr>
              <w:spacing w:line="360" w:lineRule="auto"/>
              <w:contextualSpacing/>
              <w:jc w:val="center"/>
              <w:rPr>
                <w:rFonts w:ascii="宋体" w:hAnsi="宋体" w:cs="宋体"/>
                <w:color w:val="auto"/>
                <w:szCs w:val="21"/>
                <w:highlight w:val="none"/>
              </w:rPr>
            </w:pPr>
          </w:p>
        </w:tc>
        <w:tc>
          <w:tcPr>
            <w:tcW w:w="239" w:type="pct"/>
            <w:noWrap/>
            <w:vAlign w:val="center"/>
          </w:tcPr>
          <w:p w14:paraId="3B564E65">
            <w:pPr>
              <w:spacing w:line="360" w:lineRule="auto"/>
              <w:contextualSpacing/>
              <w:jc w:val="center"/>
              <w:rPr>
                <w:rFonts w:ascii="宋体" w:hAnsi="宋体" w:cs="宋体"/>
                <w:color w:val="auto"/>
                <w:szCs w:val="21"/>
                <w:highlight w:val="none"/>
              </w:rPr>
            </w:pPr>
          </w:p>
        </w:tc>
        <w:tc>
          <w:tcPr>
            <w:tcW w:w="1755" w:type="pct"/>
            <w:noWrap/>
            <w:vAlign w:val="center"/>
          </w:tcPr>
          <w:p w14:paraId="5F307A27">
            <w:pPr>
              <w:spacing w:line="360" w:lineRule="auto"/>
              <w:contextualSpacing/>
              <w:jc w:val="center"/>
              <w:rPr>
                <w:rFonts w:ascii="宋体" w:hAnsi="宋体" w:cs="宋体"/>
                <w:color w:val="auto"/>
                <w:szCs w:val="21"/>
                <w:highlight w:val="none"/>
              </w:rPr>
            </w:pPr>
          </w:p>
        </w:tc>
        <w:tc>
          <w:tcPr>
            <w:tcW w:w="351" w:type="pct"/>
            <w:noWrap/>
            <w:vAlign w:val="center"/>
          </w:tcPr>
          <w:p w14:paraId="6154BF94">
            <w:pPr>
              <w:spacing w:line="360" w:lineRule="auto"/>
              <w:contextualSpacing/>
              <w:jc w:val="center"/>
              <w:rPr>
                <w:rFonts w:ascii="宋体" w:hAnsi="宋体" w:cs="宋体"/>
                <w:color w:val="auto"/>
                <w:szCs w:val="21"/>
                <w:highlight w:val="none"/>
              </w:rPr>
            </w:pPr>
          </w:p>
        </w:tc>
        <w:tc>
          <w:tcPr>
            <w:tcW w:w="632" w:type="pct"/>
            <w:noWrap/>
            <w:vAlign w:val="center"/>
          </w:tcPr>
          <w:p w14:paraId="56070CDF">
            <w:pPr>
              <w:spacing w:line="360" w:lineRule="auto"/>
              <w:contextualSpacing/>
              <w:jc w:val="center"/>
              <w:rPr>
                <w:rFonts w:ascii="宋体" w:hAnsi="宋体" w:cs="宋体"/>
                <w:color w:val="auto"/>
                <w:szCs w:val="21"/>
                <w:highlight w:val="none"/>
              </w:rPr>
            </w:pPr>
          </w:p>
        </w:tc>
        <w:tc>
          <w:tcPr>
            <w:tcW w:w="463" w:type="pct"/>
            <w:noWrap/>
            <w:vAlign w:val="center"/>
          </w:tcPr>
          <w:p w14:paraId="5C227F3B">
            <w:pPr>
              <w:spacing w:line="360" w:lineRule="auto"/>
              <w:contextualSpacing/>
              <w:jc w:val="center"/>
              <w:rPr>
                <w:rFonts w:ascii="宋体" w:hAnsi="宋体" w:cs="宋体"/>
                <w:color w:val="auto"/>
                <w:szCs w:val="21"/>
                <w:highlight w:val="none"/>
              </w:rPr>
            </w:pPr>
          </w:p>
        </w:tc>
      </w:tr>
    </w:tbl>
    <w:p w14:paraId="619F0681">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705A7776">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在填写时，如本表格不适合供应商的实际情况，可根据本表格式自行制表填写。</w:t>
      </w:r>
    </w:p>
    <w:p w14:paraId="11F24054">
      <w:pPr>
        <w:spacing w:line="360" w:lineRule="auto"/>
        <w:contextualSpacing/>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供应商应当附本表所列证书的复印件并加盖供应商电子签章。</w:t>
      </w:r>
    </w:p>
    <w:p w14:paraId="587E95EB">
      <w:pPr>
        <w:spacing w:line="360" w:lineRule="auto"/>
        <w:contextualSpacing/>
        <w:rPr>
          <w:rFonts w:ascii="宋体" w:hAnsi="宋体"/>
          <w:color w:val="auto"/>
          <w:sz w:val="24"/>
          <w:highlight w:val="none"/>
        </w:rPr>
      </w:pPr>
    </w:p>
    <w:p w14:paraId="777AA63D">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p>
    <w:p w14:paraId="120CD0E5">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供应商名称（电子签章）：           日 期：</w:t>
      </w:r>
    </w:p>
    <w:p w14:paraId="0C2CB9D3">
      <w:pPr>
        <w:spacing w:line="360" w:lineRule="auto"/>
        <w:ind w:left="142"/>
        <w:contextualSpacing/>
        <w:jc w:val="center"/>
        <w:rPr>
          <w:rFonts w:ascii="宋体" w:hAnsi="宋体"/>
          <w:b/>
          <w:color w:val="auto"/>
          <w:sz w:val="32"/>
          <w:szCs w:val="32"/>
          <w:highlight w:val="none"/>
        </w:rPr>
      </w:pPr>
      <w:r>
        <w:rPr>
          <w:rFonts w:ascii="宋体" w:hAnsi="宋体"/>
          <w:color w:val="auto"/>
          <w:sz w:val="24"/>
          <w:szCs w:val="20"/>
          <w:highlight w:val="none"/>
        </w:rPr>
        <w:br w:type="page"/>
      </w:r>
      <w:r>
        <w:rPr>
          <w:rFonts w:hint="eastAsia" w:ascii="宋体" w:hAnsi="宋体"/>
          <w:b/>
          <w:color w:val="auto"/>
          <w:sz w:val="32"/>
          <w:szCs w:val="32"/>
          <w:highlight w:val="none"/>
        </w:rPr>
        <w:t>项目实施人员一览表</w:t>
      </w:r>
    </w:p>
    <w:p w14:paraId="0B62694C">
      <w:pPr>
        <w:pStyle w:val="15"/>
        <w:spacing w:line="360" w:lineRule="auto"/>
        <w:contextualSpacing/>
        <w:rPr>
          <w:color w:val="auto"/>
          <w:sz w:val="24"/>
          <w:szCs w:val="24"/>
          <w:highlight w:val="none"/>
        </w:rPr>
      </w:pPr>
      <w:r>
        <w:rPr>
          <w:rFonts w:hint="eastAsia"/>
          <w:color w:val="auto"/>
          <w:sz w:val="24"/>
          <w:szCs w:val="24"/>
          <w:highlight w:val="none"/>
        </w:rPr>
        <w:t>所竞分标：</w:t>
      </w:r>
      <w:r>
        <w:rPr>
          <w:rFonts w:hint="eastAsia"/>
          <w:color w:val="auto"/>
          <w:sz w:val="24"/>
          <w:szCs w:val="24"/>
          <w:highlight w:val="none"/>
          <w:u w:val="single"/>
        </w:rPr>
        <w:t>B</w:t>
      </w:r>
      <w:r>
        <w:rPr>
          <w:rFonts w:hint="eastAsia"/>
          <w:color w:val="auto"/>
          <w:sz w:val="24"/>
          <w:szCs w:val="24"/>
          <w:highlight w:val="none"/>
        </w:rPr>
        <w:t>分标</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1523"/>
        <w:gridCol w:w="584"/>
        <w:gridCol w:w="413"/>
        <w:gridCol w:w="3076"/>
        <w:gridCol w:w="609"/>
        <w:gridCol w:w="1103"/>
        <w:gridCol w:w="807"/>
      </w:tblGrid>
      <w:tr w14:paraId="5D88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noWrap/>
            <w:vAlign w:val="center"/>
          </w:tcPr>
          <w:p w14:paraId="2144B071">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92" w:type="pct"/>
            <w:noWrap/>
            <w:vAlign w:val="center"/>
          </w:tcPr>
          <w:p w14:paraId="366F1709">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lang w:val="en-US" w:eastAsia="zh-CN"/>
              </w:rPr>
              <w:t>团队</w:t>
            </w:r>
            <w:r>
              <w:rPr>
                <w:rFonts w:hint="eastAsia" w:ascii="宋体" w:hAnsi="宋体" w:cs="宋体"/>
                <w:color w:val="auto"/>
                <w:szCs w:val="21"/>
                <w:highlight w:val="none"/>
              </w:rPr>
              <w:t>组别</w:t>
            </w:r>
          </w:p>
        </w:tc>
        <w:tc>
          <w:tcPr>
            <w:tcW w:w="342" w:type="pct"/>
            <w:noWrap/>
            <w:vAlign w:val="center"/>
          </w:tcPr>
          <w:p w14:paraId="68FD6A17">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242" w:type="pct"/>
            <w:noWrap/>
            <w:vAlign w:val="center"/>
          </w:tcPr>
          <w:p w14:paraId="7A7A67C6">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802" w:type="pct"/>
            <w:noWrap/>
            <w:vAlign w:val="center"/>
          </w:tcPr>
          <w:p w14:paraId="11B27086">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专业技术资格（职称）或者职业资格或者执业资格证或者其他证书</w:t>
            </w:r>
          </w:p>
        </w:tc>
        <w:tc>
          <w:tcPr>
            <w:tcW w:w="357" w:type="pct"/>
            <w:noWrap/>
            <w:vAlign w:val="center"/>
          </w:tcPr>
          <w:p w14:paraId="28D00782">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证书编号</w:t>
            </w:r>
          </w:p>
        </w:tc>
        <w:tc>
          <w:tcPr>
            <w:tcW w:w="646" w:type="pct"/>
            <w:noWrap/>
            <w:vAlign w:val="center"/>
          </w:tcPr>
          <w:p w14:paraId="031F4FA9">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参加本单位工作时间</w:t>
            </w:r>
          </w:p>
        </w:tc>
        <w:tc>
          <w:tcPr>
            <w:tcW w:w="473" w:type="pct"/>
            <w:noWrap/>
            <w:vAlign w:val="center"/>
          </w:tcPr>
          <w:p w14:paraId="75F3E464">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劳动合同编号</w:t>
            </w:r>
          </w:p>
        </w:tc>
      </w:tr>
      <w:tr w14:paraId="5FA6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noWrap/>
            <w:vAlign w:val="center"/>
          </w:tcPr>
          <w:p w14:paraId="6AC8D376">
            <w:pPr>
              <w:spacing w:line="360" w:lineRule="auto"/>
              <w:contextualSpacing/>
              <w:jc w:val="center"/>
              <w:rPr>
                <w:rFonts w:ascii="宋体" w:hAnsi="宋体" w:cs="宋体"/>
                <w:color w:val="auto"/>
                <w:szCs w:val="21"/>
                <w:highlight w:val="none"/>
              </w:rPr>
            </w:pPr>
          </w:p>
        </w:tc>
        <w:tc>
          <w:tcPr>
            <w:tcW w:w="892" w:type="pct"/>
            <w:noWrap/>
            <w:vAlign w:val="center"/>
          </w:tcPr>
          <w:p w14:paraId="2C46A709">
            <w:pPr>
              <w:spacing w:line="440" w:lineRule="exact"/>
              <w:jc w:val="center"/>
              <w:rPr>
                <w:rFonts w:ascii="宋体" w:hAnsi="宋体" w:cs="宋体"/>
                <w:color w:val="auto"/>
                <w:szCs w:val="21"/>
                <w:highlight w:val="none"/>
              </w:rPr>
            </w:pPr>
            <w:r>
              <w:rPr>
                <w:rFonts w:hint="eastAsia" w:ascii="宋体" w:hAnsi="宋体" w:cs="Calibri"/>
                <w:color w:val="auto"/>
                <w:szCs w:val="21"/>
                <w:highlight w:val="none"/>
              </w:rPr>
              <w:t>融资担保公司现场检查与监管评级</w:t>
            </w:r>
          </w:p>
        </w:tc>
        <w:tc>
          <w:tcPr>
            <w:tcW w:w="342" w:type="pct"/>
            <w:noWrap/>
            <w:vAlign w:val="center"/>
          </w:tcPr>
          <w:p w14:paraId="0D566F8D">
            <w:pPr>
              <w:spacing w:line="360" w:lineRule="auto"/>
              <w:contextualSpacing/>
              <w:jc w:val="center"/>
              <w:rPr>
                <w:rFonts w:ascii="宋体" w:hAnsi="宋体" w:cs="宋体"/>
                <w:color w:val="auto"/>
                <w:szCs w:val="21"/>
                <w:highlight w:val="none"/>
              </w:rPr>
            </w:pPr>
          </w:p>
        </w:tc>
        <w:tc>
          <w:tcPr>
            <w:tcW w:w="242" w:type="pct"/>
            <w:noWrap/>
            <w:vAlign w:val="center"/>
          </w:tcPr>
          <w:p w14:paraId="678D3C44">
            <w:pPr>
              <w:spacing w:line="360" w:lineRule="auto"/>
              <w:contextualSpacing/>
              <w:jc w:val="center"/>
              <w:rPr>
                <w:rFonts w:ascii="宋体" w:hAnsi="宋体" w:cs="宋体"/>
                <w:color w:val="auto"/>
                <w:szCs w:val="21"/>
                <w:highlight w:val="none"/>
              </w:rPr>
            </w:pPr>
          </w:p>
        </w:tc>
        <w:tc>
          <w:tcPr>
            <w:tcW w:w="1802" w:type="pct"/>
            <w:noWrap/>
            <w:vAlign w:val="center"/>
          </w:tcPr>
          <w:p w14:paraId="4969B106">
            <w:pPr>
              <w:spacing w:line="360" w:lineRule="auto"/>
              <w:contextualSpacing/>
              <w:jc w:val="center"/>
              <w:rPr>
                <w:rFonts w:ascii="宋体" w:hAnsi="宋体" w:cs="宋体"/>
                <w:color w:val="auto"/>
                <w:szCs w:val="21"/>
                <w:highlight w:val="none"/>
              </w:rPr>
            </w:pPr>
          </w:p>
        </w:tc>
        <w:tc>
          <w:tcPr>
            <w:tcW w:w="357" w:type="pct"/>
            <w:noWrap/>
            <w:vAlign w:val="center"/>
          </w:tcPr>
          <w:p w14:paraId="0A1410B4">
            <w:pPr>
              <w:spacing w:line="360" w:lineRule="auto"/>
              <w:contextualSpacing/>
              <w:jc w:val="center"/>
              <w:rPr>
                <w:rFonts w:ascii="宋体" w:hAnsi="宋体" w:cs="宋体"/>
                <w:color w:val="auto"/>
                <w:szCs w:val="21"/>
                <w:highlight w:val="none"/>
              </w:rPr>
            </w:pPr>
          </w:p>
        </w:tc>
        <w:tc>
          <w:tcPr>
            <w:tcW w:w="646" w:type="pct"/>
            <w:noWrap/>
            <w:vAlign w:val="center"/>
          </w:tcPr>
          <w:p w14:paraId="5D6B11BF">
            <w:pPr>
              <w:spacing w:line="360" w:lineRule="auto"/>
              <w:contextualSpacing/>
              <w:jc w:val="center"/>
              <w:rPr>
                <w:rFonts w:ascii="宋体" w:hAnsi="宋体" w:cs="宋体"/>
                <w:color w:val="auto"/>
                <w:szCs w:val="21"/>
                <w:highlight w:val="none"/>
              </w:rPr>
            </w:pPr>
          </w:p>
        </w:tc>
        <w:tc>
          <w:tcPr>
            <w:tcW w:w="473" w:type="pct"/>
            <w:noWrap/>
            <w:vAlign w:val="center"/>
          </w:tcPr>
          <w:p w14:paraId="6C517AA2">
            <w:pPr>
              <w:spacing w:line="360" w:lineRule="auto"/>
              <w:contextualSpacing/>
              <w:jc w:val="center"/>
              <w:rPr>
                <w:rFonts w:ascii="宋体" w:hAnsi="宋体" w:cs="宋体"/>
                <w:color w:val="auto"/>
                <w:szCs w:val="21"/>
                <w:highlight w:val="none"/>
              </w:rPr>
            </w:pPr>
          </w:p>
        </w:tc>
      </w:tr>
      <w:tr w14:paraId="1A0C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noWrap/>
            <w:vAlign w:val="center"/>
          </w:tcPr>
          <w:p w14:paraId="06294F53">
            <w:pPr>
              <w:spacing w:line="360" w:lineRule="auto"/>
              <w:contextualSpacing/>
              <w:jc w:val="center"/>
              <w:rPr>
                <w:rFonts w:ascii="宋体" w:hAnsi="宋体" w:cs="宋体"/>
                <w:color w:val="auto"/>
                <w:szCs w:val="21"/>
                <w:highlight w:val="none"/>
              </w:rPr>
            </w:pPr>
          </w:p>
        </w:tc>
        <w:tc>
          <w:tcPr>
            <w:tcW w:w="892" w:type="pct"/>
            <w:noWrap/>
            <w:vAlign w:val="center"/>
          </w:tcPr>
          <w:p w14:paraId="42F62B76">
            <w:pPr>
              <w:spacing w:line="440" w:lineRule="exact"/>
              <w:jc w:val="center"/>
              <w:rPr>
                <w:rFonts w:ascii="宋体" w:hAnsi="宋体" w:cs="宋体"/>
                <w:color w:val="auto"/>
                <w:szCs w:val="21"/>
                <w:highlight w:val="none"/>
              </w:rPr>
            </w:pPr>
            <w:r>
              <w:rPr>
                <w:rFonts w:hint="eastAsia" w:ascii="宋体" w:hAnsi="宋体" w:cs="Calibri"/>
                <w:color w:val="auto"/>
                <w:szCs w:val="21"/>
                <w:highlight w:val="none"/>
              </w:rPr>
              <w:t>融资担保公司现场检查与监管评级</w:t>
            </w:r>
          </w:p>
        </w:tc>
        <w:tc>
          <w:tcPr>
            <w:tcW w:w="342" w:type="pct"/>
            <w:noWrap/>
            <w:vAlign w:val="center"/>
          </w:tcPr>
          <w:p w14:paraId="3AEF326D">
            <w:pPr>
              <w:spacing w:line="360" w:lineRule="auto"/>
              <w:contextualSpacing/>
              <w:jc w:val="center"/>
              <w:rPr>
                <w:rFonts w:ascii="宋体" w:hAnsi="宋体" w:cs="宋体"/>
                <w:color w:val="auto"/>
                <w:szCs w:val="21"/>
                <w:highlight w:val="none"/>
              </w:rPr>
            </w:pPr>
          </w:p>
        </w:tc>
        <w:tc>
          <w:tcPr>
            <w:tcW w:w="242" w:type="pct"/>
            <w:noWrap/>
            <w:vAlign w:val="center"/>
          </w:tcPr>
          <w:p w14:paraId="01EC0674">
            <w:pPr>
              <w:spacing w:line="360" w:lineRule="auto"/>
              <w:contextualSpacing/>
              <w:jc w:val="center"/>
              <w:rPr>
                <w:rFonts w:ascii="宋体" w:hAnsi="宋体" w:cs="宋体"/>
                <w:color w:val="auto"/>
                <w:szCs w:val="21"/>
                <w:highlight w:val="none"/>
              </w:rPr>
            </w:pPr>
          </w:p>
        </w:tc>
        <w:tc>
          <w:tcPr>
            <w:tcW w:w="1802" w:type="pct"/>
            <w:noWrap/>
            <w:vAlign w:val="center"/>
          </w:tcPr>
          <w:p w14:paraId="005B659D">
            <w:pPr>
              <w:spacing w:line="360" w:lineRule="auto"/>
              <w:contextualSpacing/>
              <w:jc w:val="center"/>
              <w:rPr>
                <w:rFonts w:ascii="宋体" w:hAnsi="宋体" w:cs="宋体"/>
                <w:color w:val="auto"/>
                <w:szCs w:val="21"/>
                <w:highlight w:val="none"/>
              </w:rPr>
            </w:pPr>
          </w:p>
        </w:tc>
        <w:tc>
          <w:tcPr>
            <w:tcW w:w="357" w:type="pct"/>
            <w:noWrap/>
            <w:vAlign w:val="center"/>
          </w:tcPr>
          <w:p w14:paraId="754438A8">
            <w:pPr>
              <w:spacing w:line="360" w:lineRule="auto"/>
              <w:contextualSpacing/>
              <w:jc w:val="center"/>
              <w:rPr>
                <w:rFonts w:ascii="宋体" w:hAnsi="宋体" w:cs="宋体"/>
                <w:color w:val="auto"/>
                <w:szCs w:val="21"/>
                <w:highlight w:val="none"/>
              </w:rPr>
            </w:pPr>
          </w:p>
        </w:tc>
        <w:tc>
          <w:tcPr>
            <w:tcW w:w="646" w:type="pct"/>
            <w:noWrap/>
            <w:vAlign w:val="center"/>
          </w:tcPr>
          <w:p w14:paraId="36D395DD">
            <w:pPr>
              <w:spacing w:line="360" w:lineRule="auto"/>
              <w:contextualSpacing/>
              <w:jc w:val="center"/>
              <w:rPr>
                <w:rFonts w:ascii="宋体" w:hAnsi="宋体" w:cs="宋体"/>
                <w:color w:val="auto"/>
                <w:szCs w:val="21"/>
                <w:highlight w:val="none"/>
              </w:rPr>
            </w:pPr>
          </w:p>
        </w:tc>
        <w:tc>
          <w:tcPr>
            <w:tcW w:w="473" w:type="pct"/>
            <w:noWrap/>
            <w:vAlign w:val="center"/>
          </w:tcPr>
          <w:p w14:paraId="0D3B0749">
            <w:pPr>
              <w:spacing w:line="360" w:lineRule="auto"/>
              <w:contextualSpacing/>
              <w:jc w:val="center"/>
              <w:rPr>
                <w:rFonts w:ascii="宋体" w:hAnsi="宋体" w:cs="宋体"/>
                <w:color w:val="auto"/>
                <w:szCs w:val="21"/>
                <w:highlight w:val="none"/>
              </w:rPr>
            </w:pPr>
          </w:p>
        </w:tc>
      </w:tr>
      <w:tr w14:paraId="0C0E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noWrap/>
            <w:vAlign w:val="center"/>
          </w:tcPr>
          <w:p w14:paraId="50184100">
            <w:pPr>
              <w:spacing w:line="360" w:lineRule="auto"/>
              <w:contextualSpacing/>
              <w:jc w:val="center"/>
              <w:rPr>
                <w:rFonts w:ascii="宋体" w:hAnsi="宋体" w:cs="宋体"/>
                <w:color w:val="auto"/>
                <w:szCs w:val="21"/>
                <w:highlight w:val="none"/>
              </w:rPr>
            </w:pPr>
          </w:p>
        </w:tc>
        <w:tc>
          <w:tcPr>
            <w:tcW w:w="892" w:type="pct"/>
            <w:noWrap/>
            <w:vAlign w:val="center"/>
          </w:tcPr>
          <w:p w14:paraId="6CD44A7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342" w:type="pct"/>
            <w:noWrap/>
            <w:vAlign w:val="center"/>
          </w:tcPr>
          <w:p w14:paraId="5F983BA4">
            <w:pPr>
              <w:spacing w:line="360" w:lineRule="auto"/>
              <w:contextualSpacing/>
              <w:jc w:val="center"/>
              <w:rPr>
                <w:rFonts w:ascii="宋体" w:hAnsi="宋体" w:cs="宋体"/>
                <w:color w:val="auto"/>
                <w:szCs w:val="21"/>
                <w:highlight w:val="none"/>
              </w:rPr>
            </w:pPr>
          </w:p>
        </w:tc>
        <w:tc>
          <w:tcPr>
            <w:tcW w:w="242" w:type="pct"/>
            <w:noWrap/>
            <w:vAlign w:val="center"/>
          </w:tcPr>
          <w:p w14:paraId="6D41320E">
            <w:pPr>
              <w:spacing w:line="360" w:lineRule="auto"/>
              <w:contextualSpacing/>
              <w:jc w:val="center"/>
              <w:rPr>
                <w:rFonts w:ascii="宋体" w:hAnsi="宋体" w:cs="宋体"/>
                <w:color w:val="auto"/>
                <w:szCs w:val="21"/>
                <w:highlight w:val="none"/>
              </w:rPr>
            </w:pPr>
          </w:p>
        </w:tc>
        <w:tc>
          <w:tcPr>
            <w:tcW w:w="1802" w:type="pct"/>
            <w:noWrap/>
            <w:vAlign w:val="center"/>
          </w:tcPr>
          <w:p w14:paraId="59636F44">
            <w:pPr>
              <w:spacing w:line="360" w:lineRule="auto"/>
              <w:contextualSpacing/>
              <w:jc w:val="center"/>
              <w:rPr>
                <w:rFonts w:ascii="宋体" w:hAnsi="宋体" w:cs="宋体"/>
                <w:color w:val="auto"/>
                <w:szCs w:val="21"/>
                <w:highlight w:val="none"/>
              </w:rPr>
            </w:pPr>
          </w:p>
        </w:tc>
        <w:tc>
          <w:tcPr>
            <w:tcW w:w="357" w:type="pct"/>
            <w:noWrap/>
            <w:vAlign w:val="center"/>
          </w:tcPr>
          <w:p w14:paraId="46CCC935">
            <w:pPr>
              <w:spacing w:line="360" w:lineRule="auto"/>
              <w:contextualSpacing/>
              <w:jc w:val="center"/>
              <w:rPr>
                <w:rFonts w:ascii="宋体" w:hAnsi="宋体" w:cs="宋体"/>
                <w:color w:val="auto"/>
                <w:szCs w:val="21"/>
                <w:highlight w:val="none"/>
              </w:rPr>
            </w:pPr>
          </w:p>
        </w:tc>
        <w:tc>
          <w:tcPr>
            <w:tcW w:w="646" w:type="pct"/>
            <w:noWrap/>
            <w:vAlign w:val="center"/>
          </w:tcPr>
          <w:p w14:paraId="216D7C5E">
            <w:pPr>
              <w:spacing w:line="360" w:lineRule="auto"/>
              <w:contextualSpacing/>
              <w:jc w:val="center"/>
              <w:rPr>
                <w:rFonts w:ascii="宋体" w:hAnsi="宋体" w:cs="宋体"/>
                <w:color w:val="auto"/>
                <w:szCs w:val="21"/>
                <w:highlight w:val="none"/>
              </w:rPr>
            </w:pPr>
          </w:p>
        </w:tc>
        <w:tc>
          <w:tcPr>
            <w:tcW w:w="473" w:type="pct"/>
            <w:noWrap/>
            <w:vAlign w:val="center"/>
          </w:tcPr>
          <w:p w14:paraId="4A3D19D4">
            <w:pPr>
              <w:spacing w:line="360" w:lineRule="auto"/>
              <w:contextualSpacing/>
              <w:jc w:val="center"/>
              <w:rPr>
                <w:rFonts w:ascii="宋体" w:hAnsi="宋体" w:cs="宋体"/>
                <w:color w:val="auto"/>
                <w:szCs w:val="21"/>
                <w:highlight w:val="none"/>
              </w:rPr>
            </w:pPr>
          </w:p>
        </w:tc>
      </w:tr>
      <w:tr w14:paraId="075E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noWrap/>
            <w:vAlign w:val="center"/>
          </w:tcPr>
          <w:p w14:paraId="009B6CC3">
            <w:pPr>
              <w:spacing w:line="360" w:lineRule="auto"/>
              <w:contextualSpacing/>
              <w:jc w:val="center"/>
              <w:rPr>
                <w:rFonts w:ascii="宋体" w:hAnsi="宋体" w:cs="宋体"/>
                <w:color w:val="auto"/>
                <w:szCs w:val="21"/>
                <w:highlight w:val="none"/>
              </w:rPr>
            </w:pPr>
          </w:p>
        </w:tc>
        <w:tc>
          <w:tcPr>
            <w:tcW w:w="892" w:type="pct"/>
            <w:noWrap/>
            <w:vAlign w:val="center"/>
          </w:tcPr>
          <w:p w14:paraId="4CB93757">
            <w:pPr>
              <w:spacing w:line="440" w:lineRule="exact"/>
              <w:jc w:val="center"/>
              <w:rPr>
                <w:rFonts w:ascii="宋体" w:hAnsi="宋体" w:cs="宋体"/>
                <w:color w:val="auto"/>
                <w:szCs w:val="21"/>
                <w:highlight w:val="none"/>
              </w:rPr>
            </w:pPr>
            <w:r>
              <w:rPr>
                <w:rFonts w:hint="eastAsia" w:ascii="宋体" w:hAnsi="宋体" w:cs="Calibri"/>
                <w:color w:val="auto"/>
                <w:szCs w:val="21"/>
                <w:highlight w:val="none"/>
              </w:rPr>
              <w:t>融资租赁公司现场检查与监管评级</w:t>
            </w:r>
          </w:p>
        </w:tc>
        <w:tc>
          <w:tcPr>
            <w:tcW w:w="342" w:type="pct"/>
            <w:noWrap/>
            <w:vAlign w:val="center"/>
          </w:tcPr>
          <w:p w14:paraId="46576E1D">
            <w:pPr>
              <w:spacing w:line="360" w:lineRule="auto"/>
              <w:contextualSpacing/>
              <w:jc w:val="center"/>
              <w:rPr>
                <w:rFonts w:ascii="宋体" w:hAnsi="宋体" w:cs="宋体"/>
                <w:color w:val="auto"/>
                <w:szCs w:val="21"/>
                <w:highlight w:val="none"/>
              </w:rPr>
            </w:pPr>
          </w:p>
        </w:tc>
        <w:tc>
          <w:tcPr>
            <w:tcW w:w="242" w:type="pct"/>
            <w:noWrap/>
            <w:vAlign w:val="center"/>
          </w:tcPr>
          <w:p w14:paraId="600F29DE">
            <w:pPr>
              <w:spacing w:line="360" w:lineRule="auto"/>
              <w:contextualSpacing/>
              <w:jc w:val="center"/>
              <w:rPr>
                <w:rFonts w:ascii="宋体" w:hAnsi="宋体" w:cs="宋体"/>
                <w:color w:val="auto"/>
                <w:szCs w:val="21"/>
                <w:highlight w:val="none"/>
              </w:rPr>
            </w:pPr>
          </w:p>
        </w:tc>
        <w:tc>
          <w:tcPr>
            <w:tcW w:w="1802" w:type="pct"/>
            <w:noWrap/>
            <w:vAlign w:val="center"/>
          </w:tcPr>
          <w:p w14:paraId="75DBF765">
            <w:pPr>
              <w:spacing w:line="360" w:lineRule="auto"/>
              <w:contextualSpacing/>
              <w:jc w:val="center"/>
              <w:rPr>
                <w:rFonts w:ascii="宋体" w:hAnsi="宋体" w:cs="宋体"/>
                <w:color w:val="auto"/>
                <w:szCs w:val="21"/>
                <w:highlight w:val="none"/>
              </w:rPr>
            </w:pPr>
          </w:p>
        </w:tc>
        <w:tc>
          <w:tcPr>
            <w:tcW w:w="357" w:type="pct"/>
            <w:noWrap/>
            <w:vAlign w:val="center"/>
          </w:tcPr>
          <w:p w14:paraId="7F67211C">
            <w:pPr>
              <w:spacing w:line="360" w:lineRule="auto"/>
              <w:contextualSpacing/>
              <w:jc w:val="center"/>
              <w:rPr>
                <w:rFonts w:ascii="宋体" w:hAnsi="宋体" w:cs="宋体"/>
                <w:color w:val="auto"/>
                <w:szCs w:val="21"/>
                <w:highlight w:val="none"/>
              </w:rPr>
            </w:pPr>
          </w:p>
        </w:tc>
        <w:tc>
          <w:tcPr>
            <w:tcW w:w="646" w:type="pct"/>
            <w:noWrap/>
            <w:vAlign w:val="center"/>
          </w:tcPr>
          <w:p w14:paraId="3DD6BFC6">
            <w:pPr>
              <w:spacing w:line="360" w:lineRule="auto"/>
              <w:contextualSpacing/>
              <w:jc w:val="center"/>
              <w:rPr>
                <w:rFonts w:ascii="宋体" w:hAnsi="宋体" w:cs="宋体"/>
                <w:color w:val="auto"/>
                <w:szCs w:val="21"/>
                <w:highlight w:val="none"/>
              </w:rPr>
            </w:pPr>
          </w:p>
        </w:tc>
        <w:tc>
          <w:tcPr>
            <w:tcW w:w="473" w:type="pct"/>
            <w:noWrap/>
            <w:vAlign w:val="center"/>
          </w:tcPr>
          <w:p w14:paraId="4E4BD80C">
            <w:pPr>
              <w:spacing w:line="360" w:lineRule="auto"/>
              <w:contextualSpacing/>
              <w:jc w:val="center"/>
              <w:rPr>
                <w:rFonts w:ascii="宋体" w:hAnsi="宋体" w:cs="宋体"/>
                <w:color w:val="auto"/>
                <w:szCs w:val="21"/>
                <w:highlight w:val="none"/>
              </w:rPr>
            </w:pPr>
          </w:p>
        </w:tc>
      </w:tr>
      <w:tr w14:paraId="1430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noWrap/>
            <w:vAlign w:val="center"/>
          </w:tcPr>
          <w:p w14:paraId="21B50654">
            <w:pPr>
              <w:spacing w:line="360" w:lineRule="auto"/>
              <w:contextualSpacing/>
              <w:jc w:val="center"/>
              <w:rPr>
                <w:rFonts w:ascii="宋体" w:hAnsi="宋体" w:cs="宋体"/>
                <w:color w:val="auto"/>
                <w:szCs w:val="21"/>
                <w:highlight w:val="none"/>
              </w:rPr>
            </w:pPr>
          </w:p>
        </w:tc>
        <w:tc>
          <w:tcPr>
            <w:tcW w:w="892" w:type="pct"/>
            <w:noWrap/>
            <w:vAlign w:val="center"/>
          </w:tcPr>
          <w:p w14:paraId="64EE46CF">
            <w:pPr>
              <w:spacing w:line="440" w:lineRule="exact"/>
              <w:jc w:val="center"/>
              <w:rPr>
                <w:rFonts w:ascii="宋体" w:hAnsi="宋体" w:cs="宋体"/>
                <w:color w:val="auto"/>
                <w:szCs w:val="21"/>
                <w:highlight w:val="none"/>
              </w:rPr>
            </w:pPr>
            <w:r>
              <w:rPr>
                <w:rFonts w:hint="eastAsia" w:ascii="宋体" w:hAnsi="宋体" w:cs="Calibri"/>
                <w:color w:val="auto"/>
                <w:szCs w:val="21"/>
                <w:highlight w:val="none"/>
              </w:rPr>
              <w:t>融资租赁公司现场检查与监管评级</w:t>
            </w:r>
          </w:p>
        </w:tc>
        <w:tc>
          <w:tcPr>
            <w:tcW w:w="342" w:type="pct"/>
            <w:noWrap/>
            <w:vAlign w:val="center"/>
          </w:tcPr>
          <w:p w14:paraId="636D4ABA">
            <w:pPr>
              <w:spacing w:line="360" w:lineRule="auto"/>
              <w:contextualSpacing/>
              <w:jc w:val="center"/>
              <w:rPr>
                <w:rFonts w:ascii="宋体" w:hAnsi="宋体" w:cs="宋体"/>
                <w:color w:val="auto"/>
                <w:szCs w:val="21"/>
                <w:highlight w:val="none"/>
              </w:rPr>
            </w:pPr>
          </w:p>
        </w:tc>
        <w:tc>
          <w:tcPr>
            <w:tcW w:w="242" w:type="pct"/>
            <w:noWrap/>
            <w:vAlign w:val="center"/>
          </w:tcPr>
          <w:p w14:paraId="52F43558">
            <w:pPr>
              <w:spacing w:line="360" w:lineRule="auto"/>
              <w:contextualSpacing/>
              <w:jc w:val="center"/>
              <w:rPr>
                <w:rFonts w:ascii="宋体" w:hAnsi="宋体" w:cs="宋体"/>
                <w:color w:val="auto"/>
                <w:szCs w:val="21"/>
                <w:highlight w:val="none"/>
              </w:rPr>
            </w:pPr>
          </w:p>
        </w:tc>
        <w:tc>
          <w:tcPr>
            <w:tcW w:w="1802" w:type="pct"/>
            <w:noWrap/>
            <w:vAlign w:val="center"/>
          </w:tcPr>
          <w:p w14:paraId="2A534BF4">
            <w:pPr>
              <w:spacing w:line="360" w:lineRule="auto"/>
              <w:contextualSpacing/>
              <w:jc w:val="center"/>
              <w:rPr>
                <w:rFonts w:ascii="宋体" w:hAnsi="宋体" w:cs="宋体"/>
                <w:color w:val="auto"/>
                <w:szCs w:val="21"/>
                <w:highlight w:val="none"/>
              </w:rPr>
            </w:pPr>
          </w:p>
        </w:tc>
        <w:tc>
          <w:tcPr>
            <w:tcW w:w="357" w:type="pct"/>
            <w:noWrap/>
            <w:vAlign w:val="center"/>
          </w:tcPr>
          <w:p w14:paraId="4F17A887">
            <w:pPr>
              <w:spacing w:line="360" w:lineRule="auto"/>
              <w:contextualSpacing/>
              <w:jc w:val="center"/>
              <w:rPr>
                <w:rFonts w:ascii="宋体" w:hAnsi="宋体" w:cs="宋体"/>
                <w:color w:val="auto"/>
                <w:szCs w:val="21"/>
                <w:highlight w:val="none"/>
              </w:rPr>
            </w:pPr>
          </w:p>
        </w:tc>
        <w:tc>
          <w:tcPr>
            <w:tcW w:w="646" w:type="pct"/>
            <w:noWrap/>
            <w:vAlign w:val="center"/>
          </w:tcPr>
          <w:p w14:paraId="7B6A2E8F">
            <w:pPr>
              <w:spacing w:line="360" w:lineRule="auto"/>
              <w:contextualSpacing/>
              <w:jc w:val="center"/>
              <w:rPr>
                <w:rFonts w:ascii="宋体" w:hAnsi="宋体" w:cs="宋体"/>
                <w:color w:val="auto"/>
                <w:szCs w:val="21"/>
                <w:highlight w:val="none"/>
              </w:rPr>
            </w:pPr>
          </w:p>
        </w:tc>
        <w:tc>
          <w:tcPr>
            <w:tcW w:w="473" w:type="pct"/>
            <w:noWrap/>
            <w:vAlign w:val="center"/>
          </w:tcPr>
          <w:p w14:paraId="2CD0C72C">
            <w:pPr>
              <w:spacing w:line="360" w:lineRule="auto"/>
              <w:contextualSpacing/>
              <w:jc w:val="center"/>
              <w:rPr>
                <w:rFonts w:ascii="宋体" w:hAnsi="宋体" w:cs="宋体"/>
                <w:color w:val="auto"/>
                <w:szCs w:val="21"/>
                <w:highlight w:val="none"/>
              </w:rPr>
            </w:pPr>
          </w:p>
        </w:tc>
      </w:tr>
      <w:tr w14:paraId="2C47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noWrap/>
            <w:vAlign w:val="center"/>
          </w:tcPr>
          <w:p w14:paraId="1ED5AD6E">
            <w:pPr>
              <w:spacing w:line="360" w:lineRule="auto"/>
              <w:contextualSpacing/>
              <w:jc w:val="center"/>
              <w:rPr>
                <w:rFonts w:ascii="宋体" w:hAnsi="宋体" w:cs="宋体"/>
                <w:color w:val="auto"/>
                <w:szCs w:val="21"/>
                <w:highlight w:val="none"/>
              </w:rPr>
            </w:pPr>
          </w:p>
        </w:tc>
        <w:tc>
          <w:tcPr>
            <w:tcW w:w="892" w:type="pct"/>
            <w:noWrap/>
            <w:vAlign w:val="center"/>
          </w:tcPr>
          <w:p w14:paraId="660A3C79">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342" w:type="pct"/>
            <w:noWrap/>
            <w:vAlign w:val="center"/>
          </w:tcPr>
          <w:p w14:paraId="3E5B6C0B">
            <w:pPr>
              <w:spacing w:line="360" w:lineRule="auto"/>
              <w:contextualSpacing/>
              <w:jc w:val="center"/>
              <w:rPr>
                <w:rFonts w:ascii="宋体" w:hAnsi="宋体" w:cs="宋体"/>
                <w:color w:val="auto"/>
                <w:szCs w:val="21"/>
                <w:highlight w:val="none"/>
              </w:rPr>
            </w:pPr>
          </w:p>
        </w:tc>
        <w:tc>
          <w:tcPr>
            <w:tcW w:w="242" w:type="pct"/>
            <w:noWrap/>
            <w:vAlign w:val="center"/>
          </w:tcPr>
          <w:p w14:paraId="67462403">
            <w:pPr>
              <w:spacing w:line="360" w:lineRule="auto"/>
              <w:contextualSpacing/>
              <w:jc w:val="center"/>
              <w:rPr>
                <w:rFonts w:ascii="宋体" w:hAnsi="宋体" w:cs="宋体"/>
                <w:color w:val="auto"/>
                <w:szCs w:val="21"/>
                <w:highlight w:val="none"/>
              </w:rPr>
            </w:pPr>
          </w:p>
        </w:tc>
        <w:tc>
          <w:tcPr>
            <w:tcW w:w="1802" w:type="pct"/>
            <w:noWrap/>
            <w:vAlign w:val="center"/>
          </w:tcPr>
          <w:p w14:paraId="655336A2">
            <w:pPr>
              <w:spacing w:line="360" w:lineRule="auto"/>
              <w:contextualSpacing/>
              <w:jc w:val="center"/>
              <w:rPr>
                <w:rFonts w:ascii="宋体" w:hAnsi="宋体" w:cs="宋体"/>
                <w:color w:val="auto"/>
                <w:szCs w:val="21"/>
                <w:highlight w:val="none"/>
              </w:rPr>
            </w:pPr>
          </w:p>
        </w:tc>
        <w:tc>
          <w:tcPr>
            <w:tcW w:w="357" w:type="pct"/>
            <w:noWrap/>
            <w:vAlign w:val="center"/>
          </w:tcPr>
          <w:p w14:paraId="2867F724">
            <w:pPr>
              <w:spacing w:line="360" w:lineRule="auto"/>
              <w:contextualSpacing/>
              <w:jc w:val="center"/>
              <w:rPr>
                <w:rFonts w:ascii="宋体" w:hAnsi="宋体" w:cs="宋体"/>
                <w:color w:val="auto"/>
                <w:szCs w:val="21"/>
                <w:highlight w:val="none"/>
              </w:rPr>
            </w:pPr>
          </w:p>
        </w:tc>
        <w:tc>
          <w:tcPr>
            <w:tcW w:w="646" w:type="pct"/>
            <w:noWrap/>
            <w:vAlign w:val="center"/>
          </w:tcPr>
          <w:p w14:paraId="30418473">
            <w:pPr>
              <w:spacing w:line="360" w:lineRule="auto"/>
              <w:contextualSpacing/>
              <w:jc w:val="center"/>
              <w:rPr>
                <w:rFonts w:ascii="宋体" w:hAnsi="宋体" w:cs="宋体"/>
                <w:color w:val="auto"/>
                <w:szCs w:val="21"/>
                <w:highlight w:val="none"/>
              </w:rPr>
            </w:pPr>
          </w:p>
        </w:tc>
        <w:tc>
          <w:tcPr>
            <w:tcW w:w="473" w:type="pct"/>
            <w:noWrap/>
            <w:vAlign w:val="center"/>
          </w:tcPr>
          <w:p w14:paraId="0ADC24B7">
            <w:pPr>
              <w:spacing w:line="360" w:lineRule="auto"/>
              <w:contextualSpacing/>
              <w:jc w:val="center"/>
              <w:rPr>
                <w:rFonts w:ascii="宋体" w:hAnsi="宋体" w:cs="宋体"/>
                <w:color w:val="auto"/>
                <w:szCs w:val="21"/>
                <w:highlight w:val="none"/>
              </w:rPr>
            </w:pPr>
          </w:p>
        </w:tc>
      </w:tr>
      <w:tr w14:paraId="2605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noWrap/>
            <w:vAlign w:val="center"/>
          </w:tcPr>
          <w:p w14:paraId="6C3F2826">
            <w:pPr>
              <w:spacing w:line="360" w:lineRule="auto"/>
              <w:contextualSpacing/>
              <w:jc w:val="center"/>
              <w:rPr>
                <w:rFonts w:ascii="宋体" w:hAnsi="宋体" w:cs="宋体"/>
                <w:color w:val="auto"/>
                <w:szCs w:val="21"/>
                <w:highlight w:val="none"/>
              </w:rPr>
            </w:pPr>
          </w:p>
        </w:tc>
        <w:tc>
          <w:tcPr>
            <w:tcW w:w="892" w:type="pct"/>
            <w:noWrap/>
            <w:vAlign w:val="center"/>
          </w:tcPr>
          <w:p w14:paraId="50C1CBF6">
            <w:pPr>
              <w:spacing w:line="440" w:lineRule="exact"/>
              <w:jc w:val="center"/>
              <w:rPr>
                <w:rFonts w:ascii="宋体" w:hAnsi="宋体" w:cs="宋体"/>
                <w:color w:val="auto"/>
                <w:szCs w:val="21"/>
                <w:highlight w:val="none"/>
              </w:rPr>
            </w:pPr>
            <w:r>
              <w:rPr>
                <w:rFonts w:hint="eastAsia" w:ascii="宋体" w:hAnsi="宋体" w:cs="Calibri"/>
                <w:color w:val="auto"/>
                <w:szCs w:val="21"/>
                <w:highlight w:val="none"/>
              </w:rPr>
              <w:t>商业保理公司现场检查与监管评级</w:t>
            </w:r>
          </w:p>
        </w:tc>
        <w:tc>
          <w:tcPr>
            <w:tcW w:w="342" w:type="pct"/>
            <w:noWrap/>
            <w:vAlign w:val="center"/>
          </w:tcPr>
          <w:p w14:paraId="3D67AEF0">
            <w:pPr>
              <w:spacing w:line="360" w:lineRule="auto"/>
              <w:contextualSpacing/>
              <w:jc w:val="center"/>
              <w:rPr>
                <w:rFonts w:ascii="宋体" w:hAnsi="宋体" w:cs="宋体"/>
                <w:color w:val="auto"/>
                <w:szCs w:val="21"/>
                <w:highlight w:val="none"/>
              </w:rPr>
            </w:pPr>
          </w:p>
        </w:tc>
        <w:tc>
          <w:tcPr>
            <w:tcW w:w="242" w:type="pct"/>
            <w:noWrap/>
            <w:vAlign w:val="center"/>
          </w:tcPr>
          <w:p w14:paraId="356D624B">
            <w:pPr>
              <w:spacing w:line="360" w:lineRule="auto"/>
              <w:contextualSpacing/>
              <w:jc w:val="center"/>
              <w:rPr>
                <w:rFonts w:ascii="宋体" w:hAnsi="宋体" w:cs="宋体"/>
                <w:color w:val="auto"/>
                <w:szCs w:val="21"/>
                <w:highlight w:val="none"/>
              </w:rPr>
            </w:pPr>
          </w:p>
        </w:tc>
        <w:tc>
          <w:tcPr>
            <w:tcW w:w="1802" w:type="pct"/>
            <w:noWrap/>
            <w:vAlign w:val="center"/>
          </w:tcPr>
          <w:p w14:paraId="1F655109">
            <w:pPr>
              <w:spacing w:line="360" w:lineRule="auto"/>
              <w:contextualSpacing/>
              <w:jc w:val="center"/>
              <w:rPr>
                <w:rFonts w:ascii="宋体" w:hAnsi="宋体" w:cs="宋体"/>
                <w:color w:val="auto"/>
                <w:szCs w:val="21"/>
                <w:highlight w:val="none"/>
              </w:rPr>
            </w:pPr>
          </w:p>
        </w:tc>
        <w:tc>
          <w:tcPr>
            <w:tcW w:w="357" w:type="pct"/>
            <w:noWrap/>
            <w:vAlign w:val="center"/>
          </w:tcPr>
          <w:p w14:paraId="676CCCB9">
            <w:pPr>
              <w:spacing w:line="360" w:lineRule="auto"/>
              <w:contextualSpacing/>
              <w:jc w:val="center"/>
              <w:rPr>
                <w:rFonts w:ascii="宋体" w:hAnsi="宋体" w:cs="宋体"/>
                <w:color w:val="auto"/>
                <w:szCs w:val="21"/>
                <w:highlight w:val="none"/>
              </w:rPr>
            </w:pPr>
          </w:p>
        </w:tc>
        <w:tc>
          <w:tcPr>
            <w:tcW w:w="646" w:type="pct"/>
            <w:noWrap/>
            <w:vAlign w:val="center"/>
          </w:tcPr>
          <w:p w14:paraId="47161306">
            <w:pPr>
              <w:spacing w:line="360" w:lineRule="auto"/>
              <w:contextualSpacing/>
              <w:jc w:val="center"/>
              <w:rPr>
                <w:rFonts w:ascii="宋体" w:hAnsi="宋体" w:cs="宋体"/>
                <w:color w:val="auto"/>
                <w:szCs w:val="21"/>
                <w:highlight w:val="none"/>
              </w:rPr>
            </w:pPr>
          </w:p>
        </w:tc>
        <w:tc>
          <w:tcPr>
            <w:tcW w:w="473" w:type="pct"/>
            <w:noWrap/>
            <w:vAlign w:val="center"/>
          </w:tcPr>
          <w:p w14:paraId="7FFA4162">
            <w:pPr>
              <w:spacing w:line="360" w:lineRule="auto"/>
              <w:contextualSpacing/>
              <w:jc w:val="center"/>
              <w:rPr>
                <w:rFonts w:ascii="宋体" w:hAnsi="宋体" w:cs="宋体"/>
                <w:color w:val="auto"/>
                <w:szCs w:val="21"/>
                <w:highlight w:val="none"/>
              </w:rPr>
            </w:pPr>
          </w:p>
        </w:tc>
      </w:tr>
      <w:tr w14:paraId="583CB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noWrap/>
            <w:vAlign w:val="center"/>
          </w:tcPr>
          <w:p w14:paraId="3298FE8B">
            <w:pPr>
              <w:spacing w:line="360" w:lineRule="auto"/>
              <w:contextualSpacing/>
              <w:jc w:val="center"/>
              <w:rPr>
                <w:rFonts w:ascii="宋体" w:hAnsi="宋体" w:cs="宋体"/>
                <w:color w:val="auto"/>
                <w:szCs w:val="21"/>
                <w:highlight w:val="none"/>
              </w:rPr>
            </w:pPr>
          </w:p>
        </w:tc>
        <w:tc>
          <w:tcPr>
            <w:tcW w:w="892" w:type="pct"/>
            <w:noWrap/>
            <w:vAlign w:val="center"/>
          </w:tcPr>
          <w:p w14:paraId="09093CA3">
            <w:pPr>
              <w:spacing w:line="440" w:lineRule="exact"/>
              <w:jc w:val="center"/>
              <w:rPr>
                <w:rFonts w:ascii="宋体" w:hAnsi="宋体" w:cs="宋体"/>
                <w:color w:val="auto"/>
                <w:szCs w:val="21"/>
                <w:highlight w:val="none"/>
              </w:rPr>
            </w:pPr>
            <w:r>
              <w:rPr>
                <w:rFonts w:hint="eastAsia" w:ascii="宋体" w:hAnsi="宋体" w:cs="Calibri"/>
                <w:color w:val="auto"/>
                <w:szCs w:val="21"/>
                <w:highlight w:val="none"/>
              </w:rPr>
              <w:t>商业保理公司现场检查与监管评级</w:t>
            </w:r>
          </w:p>
        </w:tc>
        <w:tc>
          <w:tcPr>
            <w:tcW w:w="342" w:type="pct"/>
            <w:noWrap/>
            <w:vAlign w:val="center"/>
          </w:tcPr>
          <w:p w14:paraId="359E3847">
            <w:pPr>
              <w:spacing w:line="360" w:lineRule="auto"/>
              <w:contextualSpacing/>
              <w:jc w:val="center"/>
              <w:rPr>
                <w:rFonts w:ascii="宋体" w:hAnsi="宋体" w:cs="宋体"/>
                <w:color w:val="auto"/>
                <w:szCs w:val="21"/>
                <w:highlight w:val="none"/>
              </w:rPr>
            </w:pPr>
          </w:p>
        </w:tc>
        <w:tc>
          <w:tcPr>
            <w:tcW w:w="242" w:type="pct"/>
            <w:noWrap/>
            <w:vAlign w:val="center"/>
          </w:tcPr>
          <w:p w14:paraId="3D8B5604">
            <w:pPr>
              <w:spacing w:line="360" w:lineRule="auto"/>
              <w:contextualSpacing/>
              <w:jc w:val="center"/>
              <w:rPr>
                <w:rFonts w:ascii="宋体" w:hAnsi="宋体" w:cs="宋体"/>
                <w:color w:val="auto"/>
                <w:szCs w:val="21"/>
                <w:highlight w:val="none"/>
              </w:rPr>
            </w:pPr>
          </w:p>
        </w:tc>
        <w:tc>
          <w:tcPr>
            <w:tcW w:w="1802" w:type="pct"/>
            <w:noWrap/>
            <w:vAlign w:val="center"/>
          </w:tcPr>
          <w:p w14:paraId="7CAE66D3">
            <w:pPr>
              <w:spacing w:line="360" w:lineRule="auto"/>
              <w:contextualSpacing/>
              <w:jc w:val="center"/>
              <w:rPr>
                <w:rFonts w:ascii="宋体" w:hAnsi="宋体" w:cs="宋体"/>
                <w:color w:val="auto"/>
                <w:szCs w:val="21"/>
                <w:highlight w:val="none"/>
              </w:rPr>
            </w:pPr>
          </w:p>
        </w:tc>
        <w:tc>
          <w:tcPr>
            <w:tcW w:w="357" w:type="pct"/>
            <w:noWrap/>
            <w:vAlign w:val="center"/>
          </w:tcPr>
          <w:p w14:paraId="1901AE22">
            <w:pPr>
              <w:spacing w:line="360" w:lineRule="auto"/>
              <w:contextualSpacing/>
              <w:jc w:val="center"/>
              <w:rPr>
                <w:rFonts w:ascii="宋体" w:hAnsi="宋体" w:cs="宋体"/>
                <w:color w:val="auto"/>
                <w:szCs w:val="21"/>
                <w:highlight w:val="none"/>
              </w:rPr>
            </w:pPr>
          </w:p>
        </w:tc>
        <w:tc>
          <w:tcPr>
            <w:tcW w:w="646" w:type="pct"/>
            <w:noWrap/>
            <w:vAlign w:val="center"/>
          </w:tcPr>
          <w:p w14:paraId="3C769807">
            <w:pPr>
              <w:spacing w:line="360" w:lineRule="auto"/>
              <w:contextualSpacing/>
              <w:jc w:val="center"/>
              <w:rPr>
                <w:rFonts w:ascii="宋体" w:hAnsi="宋体" w:cs="宋体"/>
                <w:color w:val="auto"/>
                <w:szCs w:val="21"/>
                <w:highlight w:val="none"/>
              </w:rPr>
            </w:pPr>
          </w:p>
        </w:tc>
        <w:tc>
          <w:tcPr>
            <w:tcW w:w="473" w:type="pct"/>
            <w:noWrap/>
            <w:vAlign w:val="center"/>
          </w:tcPr>
          <w:p w14:paraId="138B9048">
            <w:pPr>
              <w:spacing w:line="360" w:lineRule="auto"/>
              <w:contextualSpacing/>
              <w:jc w:val="center"/>
              <w:rPr>
                <w:rFonts w:ascii="宋体" w:hAnsi="宋体" w:cs="宋体"/>
                <w:color w:val="auto"/>
                <w:szCs w:val="21"/>
                <w:highlight w:val="none"/>
              </w:rPr>
            </w:pPr>
          </w:p>
        </w:tc>
      </w:tr>
      <w:tr w14:paraId="0F51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noWrap/>
            <w:vAlign w:val="center"/>
          </w:tcPr>
          <w:p w14:paraId="15D4A7B9">
            <w:pPr>
              <w:spacing w:line="360" w:lineRule="auto"/>
              <w:contextualSpacing/>
              <w:jc w:val="center"/>
              <w:rPr>
                <w:rFonts w:ascii="宋体" w:hAnsi="宋体" w:cs="宋体"/>
                <w:color w:val="auto"/>
                <w:szCs w:val="21"/>
                <w:highlight w:val="none"/>
              </w:rPr>
            </w:pPr>
          </w:p>
        </w:tc>
        <w:tc>
          <w:tcPr>
            <w:tcW w:w="892" w:type="pct"/>
            <w:noWrap/>
            <w:vAlign w:val="center"/>
          </w:tcPr>
          <w:p w14:paraId="44051437">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342" w:type="pct"/>
            <w:noWrap/>
            <w:vAlign w:val="center"/>
          </w:tcPr>
          <w:p w14:paraId="24F36F32">
            <w:pPr>
              <w:spacing w:line="360" w:lineRule="auto"/>
              <w:contextualSpacing/>
              <w:jc w:val="center"/>
              <w:rPr>
                <w:rFonts w:ascii="宋体" w:hAnsi="宋体" w:cs="宋体"/>
                <w:color w:val="auto"/>
                <w:szCs w:val="21"/>
                <w:highlight w:val="none"/>
              </w:rPr>
            </w:pPr>
          </w:p>
        </w:tc>
        <w:tc>
          <w:tcPr>
            <w:tcW w:w="242" w:type="pct"/>
            <w:noWrap/>
            <w:vAlign w:val="center"/>
          </w:tcPr>
          <w:p w14:paraId="1882A85C">
            <w:pPr>
              <w:spacing w:line="360" w:lineRule="auto"/>
              <w:contextualSpacing/>
              <w:jc w:val="center"/>
              <w:rPr>
                <w:rFonts w:ascii="宋体" w:hAnsi="宋体" w:cs="宋体"/>
                <w:color w:val="auto"/>
                <w:szCs w:val="21"/>
                <w:highlight w:val="none"/>
              </w:rPr>
            </w:pPr>
          </w:p>
        </w:tc>
        <w:tc>
          <w:tcPr>
            <w:tcW w:w="1802" w:type="pct"/>
            <w:noWrap/>
            <w:vAlign w:val="center"/>
          </w:tcPr>
          <w:p w14:paraId="18ACDC78">
            <w:pPr>
              <w:spacing w:line="360" w:lineRule="auto"/>
              <w:contextualSpacing/>
              <w:jc w:val="center"/>
              <w:rPr>
                <w:rFonts w:ascii="宋体" w:hAnsi="宋体" w:cs="宋体"/>
                <w:color w:val="auto"/>
                <w:szCs w:val="21"/>
                <w:highlight w:val="none"/>
              </w:rPr>
            </w:pPr>
          </w:p>
        </w:tc>
        <w:tc>
          <w:tcPr>
            <w:tcW w:w="357" w:type="pct"/>
            <w:noWrap/>
            <w:vAlign w:val="center"/>
          </w:tcPr>
          <w:p w14:paraId="038719B9">
            <w:pPr>
              <w:spacing w:line="360" w:lineRule="auto"/>
              <w:contextualSpacing/>
              <w:jc w:val="center"/>
              <w:rPr>
                <w:rFonts w:ascii="宋体" w:hAnsi="宋体" w:cs="宋体"/>
                <w:color w:val="auto"/>
                <w:szCs w:val="21"/>
                <w:highlight w:val="none"/>
              </w:rPr>
            </w:pPr>
          </w:p>
        </w:tc>
        <w:tc>
          <w:tcPr>
            <w:tcW w:w="646" w:type="pct"/>
            <w:noWrap/>
            <w:vAlign w:val="center"/>
          </w:tcPr>
          <w:p w14:paraId="3CA5D25B">
            <w:pPr>
              <w:spacing w:line="360" w:lineRule="auto"/>
              <w:contextualSpacing/>
              <w:jc w:val="center"/>
              <w:rPr>
                <w:rFonts w:ascii="宋体" w:hAnsi="宋体" w:cs="宋体"/>
                <w:color w:val="auto"/>
                <w:szCs w:val="21"/>
                <w:highlight w:val="none"/>
              </w:rPr>
            </w:pPr>
          </w:p>
        </w:tc>
        <w:tc>
          <w:tcPr>
            <w:tcW w:w="473" w:type="pct"/>
            <w:noWrap/>
            <w:vAlign w:val="center"/>
          </w:tcPr>
          <w:p w14:paraId="3900745F">
            <w:pPr>
              <w:spacing w:line="360" w:lineRule="auto"/>
              <w:contextualSpacing/>
              <w:jc w:val="center"/>
              <w:rPr>
                <w:rFonts w:ascii="宋体" w:hAnsi="宋体" w:cs="宋体"/>
                <w:color w:val="auto"/>
                <w:szCs w:val="21"/>
                <w:highlight w:val="none"/>
              </w:rPr>
            </w:pPr>
          </w:p>
        </w:tc>
      </w:tr>
      <w:tr w14:paraId="7F21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noWrap/>
            <w:vAlign w:val="center"/>
          </w:tcPr>
          <w:p w14:paraId="3991101E">
            <w:pPr>
              <w:spacing w:line="360" w:lineRule="auto"/>
              <w:contextualSpacing/>
              <w:jc w:val="center"/>
              <w:rPr>
                <w:rFonts w:ascii="宋体" w:hAnsi="宋体" w:cs="宋体"/>
                <w:color w:val="auto"/>
                <w:szCs w:val="21"/>
                <w:highlight w:val="none"/>
              </w:rPr>
            </w:pPr>
          </w:p>
        </w:tc>
        <w:tc>
          <w:tcPr>
            <w:tcW w:w="892" w:type="pct"/>
            <w:noWrap/>
            <w:vAlign w:val="center"/>
          </w:tcPr>
          <w:p w14:paraId="0F0A050E">
            <w:pPr>
              <w:spacing w:line="440" w:lineRule="exact"/>
              <w:jc w:val="center"/>
              <w:rPr>
                <w:rFonts w:ascii="宋体" w:hAnsi="宋体" w:cs="宋体"/>
                <w:color w:val="auto"/>
                <w:szCs w:val="21"/>
                <w:highlight w:val="none"/>
              </w:rPr>
            </w:pPr>
            <w:r>
              <w:rPr>
                <w:rFonts w:hint="eastAsia" w:ascii="宋体" w:hAnsi="宋体" w:cs="仿宋_GB2312"/>
                <w:color w:val="auto"/>
                <w:szCs w:val="21"/>
                <w:highlight w:val="none"/>
              </w:rPr>
              <w:t>财政贴息资金申请项目审核服务</w:t>
            </w:r>
          </w:p>
        </w:tc>
        <w:tc>
          <w:tcPr>
            <w:tcW w:w="342" w:type="pct"/>
            <w:noWrap/>
            <w:vAlign w:val="center"/>
          </w:tcPr>
          <w:p w14:paraId="636338F3">
            <w:pPr>
              <w:spacing w:line="360" w:lineRule="auto"/>
              <w:contextualSpacing/>
              <w:jc w:val="center"/>
              <w:rPr>
                <w:rFonts w:ascii="宋体" w:hAnsi="宋体" w:cs="宋体"/>
                <w:color w:val="auto"/>
                <w:szCs w:val="21"/>
                <w:highlight w:val="none"/>
              </w:rPr>
            </w:pPr>
          </w:p>
        </w:tc>
        <w:tc>
          <w:tcPr>
            <w:tcW w:w="242" w:type="pct"/>
            <w:noWrap/>
            <w:vAlign w:val="center"/>
          </w:tcPr>
          <w:p w14:paraId="6E44AE37">
            <w:pPr>
              <w:spacing w:line="360" w:lineRule="auto"/>
              <w:contextualSpacing/>
              <w:jc w:val="center"/>
              <w:rPr>
                <w:rFonts w:ascii="宋体" w:hAnsi="宋体" w:cs="宋体"/>
                <w:color w:val="auto"/>
                <w:szCs w:val="21"/>
                <w:highlight w:val="none"/>
              </w:rPr>
            </w:pPr>
          </w:p>
        </w:tc>
        <w:tc>
          <w:tcPr>
            <w:tcW w:w="1802" w:type="pct"/>
            <w:noWrap/>
            <w:vAlign w:val="center"/>
          </w:tcPr>
          <w:p w14:paraId="57069605">
            <w:pPr>
              <w:spacing w:line="360" w:lineRule="auto"/>
              <w:contextualSpacing/>
              <w:jc w:val="center"/>
              <w:rPr>
                <w:rFonts w:ascii="宋体" w:hAnsi="宋体" w:cs="宋体"/>
                <w:color w:val="auto"/>
                <w:szCs w:val="21"/>
                <w:highlight w:val="none"/>
              </w:rPr>
            </w:pPr>
          </w:p>
        </w:tc>
        <w:tc>
          <w:tcPr>
            <w:tcW w:w="357" w:type="pct"/>
            <w:noWrap/>
            <w:vAlign w:val="center"/>
          </w:tcPr>
          <w:p w14:paraId="5C79AB12">
            <w:pPr>
              <w:spacing w:line="360" w:lineRule="auto"/>
              <w:contextualSpacing/>
              <w:jc w:val="center"/>
              <w:rPr>
                <w:rFonts w:ascii="宋体" w:hAnsi="宋体" w:cs="宋体"/>
                <w:color w:val="auto"/>
                <w:szCs w:val="21"/>
                <w:highlight w:val="none"/>
              </w:rPr>
            </w:pPr>
          </w:p>
        </w:tc>
        <w:tc>
          <w:tcPr>
            <w:tcW w:w="646" w:type="pct"/>
            <w:noWrap/>
            <w:vAlign w:val="center"/>
          </w:tcPr>
          <w:p w14:paraId="40634776">
            <w:pPr>
              <w:spacing w:line="360" w:lineRule="auto"/>
              <w:contextualSpacing/>
              <w:jc w:val="center"/>
              <w:rPr>
                <w:rFonts w:ascii="宋体" w:hAnsi="宋体" w:cs="宋体"/>
                <w:color w:val="auto"/>
                <w:szCs w:val="21"/>
                <w:highlight w:val="none"/>
              </w:rPr>
            </w:pPr>
          </w:p>
        </w:tc>
        <w:tc>
          <w:tcPr>
            <w:tcW w:w="473" w:type="pct"/>
            <w:noWrap/>
            <w:vAlign w:val="center"/>
          </w:tcPr>
          <w:p w14:paraId="699EAF21">
            <w:pPr>
              <w:spacing w:line="360" w:lineRule="auto"/>
              <w:contextualSpacing/>
              <w:jc w:val="center"/>
              <w:rPr>
                <w:rFonts w:ascii="宋体" w:hAnsi="宋体" w:cs="宋体"/>
                <w:color w:val="auto"/>
                <w:szCs w:val="21"/>
                <w:highlight w:val="none"/>
              </w:rPr>
            </w:pPr>
          </w:p>
        </w:tc>
      </w:tr>
      <w:tr w14:paraId="3FAE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noWrap/>
            <w:vAlign w:val="center"/>
          </w:tcPr>
          <w:p w14:paraId="678A7395">
            <w:pPr>
              <w:spacing w:line="360" w:lineRule="auto"/>
              <w:contextualSpacing/>
              <w:jc w:val="center"/>
              <w:rPr>
                <w:rFonts w:ascii="宋体" w:hAnsi="宋体" w:cs="宋体"/>
                <w:color w:val="auto"/>
                <w:szCs w:val="21"/>
                <w:highlight w:val="none"/>
              </w:rPr>
            </w:pPr>
          </w:p>
        </w:tc>
        <w:tc>
          <w:tcPr>
            <w:tcW w:w="892" w:type="pct"/>
            <w:noWrap/>
            <w:vAlign w:val="center"/>
          </w:tcPr>
          <w:p w14:paraId="27916AFD">
            <w:pPr>
              <w:spacing w:line="440" w:lineRule="exact"/>
              <w:jc w:val="center"/>
              <w:rPr>
                <w:rFonts w:ascii="宋体" w:hAnsi="宋体" w:cs="宋体"/>
                <w:color w:val="auto"/>
                <w:szCs w:val="21"/>
                <w:highlight w:val="none"/>
              </w:rPr>
            </w:pPr>
            <w:r>
              <w:rPr>
                <w:rFonts w:hint="eastAsia" w:ascii="宋体" w:hAnsi="宋体" w:cs="仿宋_GB2312"/>
                <w:color w:val="auto"/>
                <w:szCs w:val="21"/>
                <w:highlight w:val="none"/>
              </w:rPr>
              <w:t>财政贴息资金申请项目审核服务</w:t>
            </w:r>
          </w:p>
        </w:tc>
        <w:tc>
          <w:tcPr>
            <w:tcW w:w="342" w:type="pct"/>
            <w:noWrap/>
            <w:vAlign w:val="center"/>
          </w:tcPr>
          <w:p w14:paraId="4928A41A">
            <w:pPr>
              <w:spacing w:line="360" w:lineRule="auto"/>
              <w:contextualSpacing/>
              <w:jc w:val="center"/>
              <w:rPr>
                <w:rFonts w:ascii="宋体" w:hAnsi="宋体" w:cs="宋体"/>
                <w:color w:val="auto"/>
                <w:szCs w:val="21"/>
                <w:highlight w:val="none"/>
              </w:rPr>
            </w:pPr>
          </w:p>
        </w:tc>
        <w:tc>
          <w:tcPr>
            <w:tcW w:w="242" w:type="pct"/>
            <w:noWrap/>
            <w:vAlign w:val="center"/>
          </w:tcPr>
          <w:p w14:paraId="3CB836A5">
            <w:pPr>
              <w:spacing w:line="360" w:lineRule="auto"/>
              <w:contextualSpacing/>
              <w:jc w:val="center"/>
              <w:rPr>
                <w:rFonts w:ascii="宋体" w:hAnsi="宋体" w:cs="宋体"/>
                <w:color w:val="auto"/>
                <w:szCs w:val="21"/>
                <w:highlight w:val="none"/>
              </w:rPr>
            </w:pPr>
          </w:p>
        </w:tc>
        <w:tc>
          <w:tcPr>
            <w:tcW w:w="1802" w:type="pct"/>
            <w:noWrap/>
            <w:vAlign w:val="center"/>
          </w:tcPr>
          <w:p w14:paraId="1CB45452">
            <w:pPr>
              <w:spacing w:line="360" w:lineRule="auto"/>
              <w:contextualSpacing/>
              <w:jc w:val="center"/>
              <w:rPr>
                <w:rFonts w:ascii="宋体" w:hAnsi="宋体" w:cs="宋体"/>
                <w:color w:val="auto"/>
                <w:szCs w:val="21"/>
                <w:highlight w:val="none"/>
              </w:rPr>
            </w:pPr>
          </w:p>
        </w:tc>
        <w:tc>
          <w:tcPr>
            <w:tcW w:w="357" w:type="pct"/>
            <w:noWrap/>
            <w:vAlign w:val="center"/>
          </w:tcPr>
          <w:p w14:paraId="04EBEADC">
            <w:pPr>
              <w:spacing w:line="360" w:lineRule="auto"/>
              <w:contextualSpacing/>
              <w:jc w:val="center"/>
              <w:rPr>
                <w:rFonts w:ascii="宋体" w:hAnsi="宋体" w:cs="宋体"/>
                <w:color w:val="auto"/>
                <w:szCs w:val="21"/>
                <w:highlight w:val="none"/>
              </w:rPr>
            </w:pPr>
          </w:p>
        </w:tc>
        <w:tc>
          <w:tcPr>
            <w:tcW w:w="646" w:type="pct"/>
            <w:noWrap/>
            <w:vAlign w:val="center"/>
          </w:tcPr>
          <w:p w14:paraId="347E8309">
            <w:pPr>
              <w:spacing w:line="360" w:lineRule="auto"/>
              <w:contextualSpacing/>
              <w:jc w:val="center"/>
              <w:rPr>
                <w:rFonts w:ascii="宋体" w:hAnsi="宋体" w:cs="宋体"/>
                <w:color w:val="auto"/>
                <w:szCs w:val="21"/>
                <w:highlight w:val="none"/>
              </w:rPr>
            </w:pPr>
          </w:p>
        </w:tc>
        <w:tc>
          <w:tcPr>
            <w:tcW w:w="473" w:type="pct"/>
            <w:noWrap/>
            <w:vAlign w:val="center"/>
          </w:tcPr>
          <w:p w14:paraId="6F42180C">
            <w:pPr>
              <w:spacing w:line="360" w:lineRule="auto"/>
              <w:contextualSpacing/>
              <w:jc w:val="center"/>
              <w:rPr>
                <w:rFonts w:ascii="宋体" w:hAnsi="宋体" w:cs="宋体"/>
                <w:color w:val="auto"/>
                <w:szCs w:val="21"/>
                <w:highlight w:val="none"/>
              </w:rPr>
            </w:pPr>
          </w:p>
        </w:tc>
      </w:tr>
      <w:tr w14:paraId="2057C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noWrap/>
            <w:vAlign w:val="center"/>
          </w:tcPr>
          <w:p w14:paraId="2640612D">
            <w:pPr>
              <w:spacing w:line="360" w:lineRule="auto"/>
              <w:contextualSpacing/>
              <w:jc w:val="center"/>
              <w:rPr>
                <w:rFonts w:ascii="宋体" w:hAnsi="宋体" w:cs="宋体"/>
                <w:color w:val="auto"/>
                <w:szCs w:val="21"/>
                <w:highlight w:val="none"/>
              </w:rPr>
            </w:pPr>
          </w:p>
        </w:tc>
        <w:tc>
          <w:tcPr>
            <w:tcW w:w="892" w:type="pct"/>
            <w:noWrap/>
            <w:vAlign w:val="center"/>
          </w:tcPr>
          <w:p w14:paraId="5206AA51">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342" w:type="pct"/>
            <w:noWrap/>
            <w:vAlign w:val="center"/>
          </w:tcPr>
          <w:p w14:paraId="75994C6D">
            <w:pPr>
              <w:spacing w:line="360" w:lineRule="auto"/>
              <w:contextualSpacing/>
              <w:jc w:val="center"/>
              <w:rPr>
                <w:rFonts w:ascii="宋体" w:hAnsi="宋体" w:cs="宋体"/>
                <w:color w:val="auto"/>
                <w:szCs w:val="21"/>
                <w:highlight w:val="none"/>
              </w:rPr>
            </w:pPr>
          </w:p>
        </w:tc>
        <w:tc>
          <w:tcPr>
            <w:tcW w:w="242" w:type="pct"/>
            <w:noWrap/>
            <w:vAlign w:val="center"/>
          </w:tcPr>
          <w:p w14:paraId="02528D40">
            <w:pPr>
              <w:spacing w:line="360" w:lineRule="auto"/>
              <w:contextualSpacing/>
              <w:jc w:val="center"/>
              <w:rPr>
                <w:rFonts w:ascii="宋体" w:hAnsi="宋体" w:cs="宋体"/>
                <w:color w:val="auto"/>
                <w:szCs w:val="21"/>
                <w:highlight w:val="none"/>
              </w:rPr>
            </w:pPr>
          </w:p>
        </w:tc>
        <w:tc>
          <w:tcPr>
            <w:tcW w:w="1802" w:type="pct"/>
            <w:noWrap/>
            <w:vAlign w:val="center"/>
          </w:tcPr>
          <w:p w14:paraId="6F70C95E">
            <w:pPr>
              <w:spacing w:line="360" w:lineRule="auto"/>
              <w:contextualSpacing/>
              <w:jc w:val="center"/>
              <w:rPr>
                <w:rFonts w:ascii="宋体" w:hAnsi="宋体" w:cs="宋体"/>
                <w:color w:val="auto"/>
                <w:szCs w:val="21"/>
                <w:highlight w:val="none"/>
              </w:rPr>
            </w:pPr>
          </w:p>
        </w:tc>
        <w:tc>
          <w:tcPr>
            <w:tcW w:w="357" w:type="pct"/>
            <w:noWrap/>
            <w:vAlign w:val="center"/>
          </w:tcPr>
          <w:p w14:paraId="764D23C1">
            <w:pPr>
              <w:spacing w:line="360" w:lineRule="auto"/>
              <w:contextualSpacing/>
              <w:jc w:val="center"/>
              <w:rPr>
                <w:rFonts w:ascii="宋体" w:hAnsi="宋体" w:cs="宋体"/>
                <w:color w:val="auto"/>
                <w:szCs w:val="21"/>
                <w:highlight w:val="none"/>
              </w:rPr>
            </w:pPr>
          </w:p>
        </w:tc>
        <w:tc>
          <w:tcPr>
            <w:tcW w:w="646" w:type="pct"/>
            <w:noWrap/>
            <w:vAlign w:val="center"/>
          </w:tcPr>
          <w:p w14:paraId="490C8AAD">
            <w:pPr>
              <w:spacing w:line="360" w:lineRule="auto"/>
              <w:contextualSpacing/>
              <w:jc w:val="center"/>
              <w:rPr>
                <w:rFonts w:ascii="宋体" w:hAnsi="宋体" w:cs="宋体"/>
                <w:color w:val="auto"/>
                <w:szCs w:val="21"/>
                <w:highlight w:val="none"/>
              </w:rPr>
            </w:pPr>
          </w:p>
        </w:tc>
        <w:tc>
          <w:tcPr>
            <w:tcW w:w="473" w:type="pct"/>
            <w:noWrap/>
            <w:vAlign w:val="center"/>
          </w:tcPr>
          <w:p w14:paraId="63833A02">
            <w:pPr>
              <w:spacing w:line="360" w:lineRule="auto"/>
              <w:contextualSpacing/>
              <w:jc w:val="center"/>
              <w:rPr>
                <w:rFonts w:ascii="宋体" w:hAnsi="宋体" w:cs="宋体"/>
                <w:color w:val="auto"/>
                <w:szCs w:val="21"/>
                <w:highlight w:val="none"/>
              </w:rPr>
            </w:pPr>
          </w:p>
        </w:tc>
      </w:tr>
      <w:tr w14:paraId="66DE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noWrap/>
            <w:vAlign w:val="center"/>
          </w:tcPr>
          <w:p w14:paraId="4ADC0BAD">
            <w:pPr>
              <w:spacing w:line="360" w:lineRule="auto"/>
              <w:contextualSpacing/>
              <w:jc w:val="center"/>
              <w:rPr>
                <w:rFonts w:ascii="宋体" w:hAnsi="宋体" w:cs="宋体"/>
                <w:color w:val="auto"/>
                <w:szCs w:val="21"/>
                <w:highlight w:val="none"/>
              </w:rPr>
            </w:pPr>
          </w:p>
        </w:tc>
        <w:tc>
          <w:tcPr>
            <w:tcW w:w="892" w:type="pct"/>
            <w:noWrap/>
            <w:vAlign w:val="center"/>
          </w:tcPr>
          <w:p w14:paraId="4EB031E2">
            <w:pPr>
              <w:spacing w:line="440" w:lineRule="exact"/>
              <w:jc w:val="center"/>
              <w:rPr>
                <w:rFonts w:ascii="宋体" w:hAnsi="宋体" w:cs="宋体"/>
                <w:color w:val="auto"/>
                <w:szCs w:val="21"/>
                <w:highlight w:val="none"/>
              </w:rPr>
            </w:pPr>
            <w:r>
              <w:rPr>
                <w:rFonts w:hint="eastAsia" w:ascii="宋体" w:hAnsi="宋体" w:cs="Calibri"/>
                <w:color w:val="auto"/>
                <w:szCs w:val="21"/>
                <w:highlight w:val="none"/>
              </w:rPr>
              <w:t>保险资金奖补审核服务</w:t>
            </w:r>
          </w:p>
        </w:tc>
        <w:tc>
          <w:tcPr>
            <w:tcW w:w="342" w:type="pct"/>
            <w:noWrap/>
            <w:vAlign w:val="center"/>
          </w:tcPr>
          <w:p w14:paraId="07F2138E">
            <w:pPr>
              <w:spacing w:line="360" w:lineRule="auto"/>
              <w:contextualSpacing/>
              <w:jc w:val="center"/>
              <w:rPr>
                <w:rFonts w:ascii="宋体" w:hAnsi="宋体" w:cs="宋体"/>
                <w:color w:val="auto"/>
                <w:szCs w:val="21"/>
                <w:highlight w:val="none"/>
              </w:rPr>
            </w:pPr>
          </w:p>
        </w:tc>
        <w:tc>
          <w:tcPr>
            <w:tcW w:w="242" w:type="pct"/>
            <w:noWrap/>
            <w:vAlign w:val="center"/>
          </w:tcPr>
          <w:p w14:paraId="7C72D135">
            <w:pPr>
              <w:spacing w:line="360" w:lineRule="auto"/>
              <w:contextualSpacing/>
              <w:jc w:val="center"/>
              <w:rPr>
                <w:rFonts w:ascii="宋体" w:hAnsi="宋体" w:cs="宋体"/>
                <w:color w:val="auto"/>
                <w:szCs w:val="21"/>
                <w:highlight w:val="none"/>
              </w:rPr>
            </w:pPr>
          </w:p>
        </w:tc>
        <w:tc>
          <w:tcPr>
            <w:tcW w:w="1802" w:type="pct"/>
            <w:noWrap/>
            <w:vAlign w:val="center"/>
          </w:tcPr>
          <w:p w14:paraId="264FD022">
            <w:pPr>
              <w:spacing w:line="360" w:lineRule="auto"/>
              <w:contextualSpacing/>
              <w:jc w:val="center"/>
              <w:rPr>
                <w:rFonts w:ascii="宋体" w:hAnsi="宋体" w:cs="宋体"/>
                <w:color w:val="auto"/>
                <w:szCs w:val="21"/>
                <w:highlight w:val="none"/>
              </w:rPr>
            </w:pPr>
          </w:p>
        </w:tc>
        <w:tc>
          <w:tcPr>
            <w:tcW w:w="357" w:type="pct"/>
            <w:noWrap/>
            <w:vAlign w:val="center"/>
          </w:tcPr>
          <w:p w14:paraId="51485821">
            <w:pPr>
              <w:spacing w:line="360" w:lineRule="auto"/>
              <w:contextualSpacing/>
              <w:jc w:val="center"/>
              <w:rPr>
                <w:rFonts w:ascii="宋体" w:hAnsi="宋体" w:cs="宋体"/>
                <w:color w:val="auto"/>
                <w:szCs w:val="21"/>
                <w:highlight w:val="none"/>
              </w:rPr>
            </w:pPr>
          </w:p>
        </w:tc>
        <w:tc>
          <w:tcPr>
            <w:tcW w:w="646" w:type="pct"/>
            <w:noWrap/>
            <w:vAlign w:val="center"/>
          </w:tcPr>
          <w:p w14:paraId="3E119049">
            <w:pPr>
              <w:spacing w:line="360" w:lineRule="auto"/>
              <w:contextualSpacing/>
              <w:jc w:val="center"/>
              <w:rPr>
                <w:rFonts w:ascii="宋体" w:hAnsi="宋体" w:cs="宋体"/>
                <w:color w:val="auto"/>
                <w:szCs w:val="21"/>
                <w:highlight w:val="none"/>
              </w:rPr>
            </w:pPr>
          </w:p>
        </w:tc>
        <w:tc>
          <w:tcPr>
            <w:tcW w:w="473" w:type="pct"/>
            <w:noWrap/>
            <w:vAlign w:val="center"/>
          </w:tcPr>
          <w:p w14:paraId="6232D96E">
            <w:pPr>
              <w:spacing w:line="360" w:lineRule="auto"/>
              <w:contextualSpacing/>
              <w:jc w:val="center"/>
              <w:rPr>
                <w:rFonts w:ascii="宋体" w:hAnsi="宋体" w:cs="宋体"/>
                <w:color w:val="auto"/>
                <w:szCs w:val="21"/>
                <w:highlight w:val="none"/>
              </w:rPr>
            </w:pPr>
          </w:p>
        </w:tc>
      </w:tr>
      <w:tr w14:paraId="7814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noWrap/>
            <w:vAlign w:val="center"/>
          </w:tcPr>
          <w:p w14:paraId="092EEB72">
            <w:pPr>
              <w:spacing w:line="360" w:lineRule="auto"/>
              <w:contextualSpacing/>
              <w:jc w:val="center"/>
              <w:rPr>
                <w:rFonts w:ascii="宋体" w:hAnsi="宋体" w:cs="宋体"/>
                <w:color w:val="auto"/>
                <w:szCs w:val="21"/>
                <w:highlight w:val="none"/>
              </w:rPr>
            </w:pPr>
          </w:p>
        </w:tc>
        <w:tc>
          <w:tcPr>
            <w:tcW w:w="892" w:type="pct"/>
            <w:noWrap/>
            <w:vAlign w:val="center"/>
          </w:tcPr>
          <w:p w14:paraId="051FAC60">
            <w:pPr>
              <w:spacing w:line="360" w:lineRule="auto"/>
              <w:contextualSpacing/>
              <w:jc w:val="center"/>
              <w:rPr>
                <w:rFonts w:ascii="宋体" w:hAnsi="宋体" w:cs="宋体"/>
                <w:color w:val="auto"/>
                <w:szCs w:val="21"/>
                <w:highlight w:val="none"/>
              </w:rPr>
            </w:pPr>
            <w:r>
              <w:rPr>
                <w:rFonts w:hint="eastAsia" w:ascii="宋体" w:hAnsi="宋体" w:cs="Calibri"/>
                <w:color w:val="auto"/>
                <w:szCs w:val="21"/>
                <w:highlight w:val="none"/>
              </w:rPr>
              <w:t>保险资金奖补审核服务</w:t>
            </w:r>
          </w:p>
        </w:tc>
        <w:tc>
          <w:tcPr>
            <w:tcW w:w="342" w:type="pct"/>
            <w:noWrap/>
            <w:vAlign w:val="center"/>
          </w:tcPr>
          <w:p w14:paraId="61493D33">
            <w:pPr>
              <w:spacing w:line="360" w:lineRule="auto"/>
              <w:contextualSpacing/>
              <w:jc w:val="center"/>
              <w:rPr>
                <w:rFonts w:ascii="宋体" w:hAnsi="宋体" w:cs="宋体"/>
                <w:color w:val="auto"/>
                <w:szCs w:val="21"/>
                <w:highlight w:val="none"/>
              </w:rPr>
            </w:pPr>
          </w:p>
        </w:tc>
        <w:tc>
          <w:tcPr>
            <w:tcW w:w="242" w:type="pct"/>
            <w:noWrap/>
            <w:vAlign w:val="center"/>
          </w:tcPr>
          <w:p w14:paraId="04B41B69">
            <w:pPr>
              <w:spacing w:line="360" w:lineRule="auto"/>
              <w:contextualSpacing/>
              <w:jc w:val="center"/>
              <w:rPr>
                <w:rFonts w:ascii="宋体" w:hAnsi="宋体" w:cs="宋体"/>
                <w:color w:val="auto"/>
                <w:szCs w:val="21"/>
                <w:highlight w:val="none"/>
              </w:rPr>
            </w:pPr>
          </w:p>
        </w:tc>
        <w:tc>
          <w:tcPr>
            <w:tcW w:w="1802" w:type="pct"/>
            <w:noWrap/>
            <w:vAlign w:val="center"/>
          </w:tcPr>
          <w:p w14:paraId="29777A83">
            <w:pPr>
              <w:spacing w:line="360" w:lineRule="auto"/>
              <w:contextualSpacing/>
              <w:jc w:val="center"/>
              <w:rPr>
                <w:rFonts w:ascii="宋体" w:hAnsi="宋体" w:cs="宋体"/>
                <w:color w:val="auto"/>
                <w:szCs w:val="21"/>
                <w:highlight w:val="none"/>
              </w:rPr>
            </w:pPr>
          </w:p>
        </w:tc>
        <w:tc>
          <w:tcPr>
            <w:tcW w:w="357" w:type="pct"/>
            <w:noWrap/>
            <w:vAlign w:val="center"/>
          </w:tcPr>
          <w:p w14:paraId="6006FE76">
            <w:pPr>
              <w:spacing w:line="360" w:lineRule="auto"/>
              <w:contextualSpacing/>
              <w:jc w:val="center"/>
              <w:rPr>
                <w:rFonts w:ascii="宋体" w:hAnsi="宋体" w:cs="宋体"/>
                <w:color w:val="auto"/>
                <w:szCs w:val="21"/>
                <w:highlight w:val="none"/>
              </w:rPr>
            </w:pPr>
          </w:p>
        </w:tc>
        <w:tc>
          <w:tcPr>
            <w:tcW w:w="646" w:type="pct"/>
            <w:noWrap/>
            <w:vAlign w:val="center"/>
          </w:tcPr>
          <w:p w14:paraId="0DEE335F">
            <w:pPr>
              <w:spacing w:line="360" w:lineRule="auto"/>
              <w:contextualSpacing/>
              <w:jc w:val="center"/>
              <w:rPr>
                <w:rFonts w:ascii="宋体" w:hAnsi="宋体" w:cs="宋体"/>
                <w:color w:val="auto"/>
                <w:szCs w:val="21"/>
                <w:highlight w:val="none"/>
              </w:rPr>
            </w:pPr>
          </w:p>
        </w:tc>
        <w:tc>
          <w:tcPr>
            <w:tcW w:w="473" w:type="pct"/>
            <w:noWrap/>
            <w:vAlign w:val="center"/>
          </w:tcPr>
          <w:p w14:paraId="54B3C8E3">
            <w:pPr>
              <w:spacing w:line="360" w:lineRule="auto"/>
              <w:contextualSpacing/>
              <w:jc w:val="center"/>
              <w:rPr>
                <w:rFonts w:ascii="宋体" w:hAnsi="宋体" w:cs="宋体"/>
                <w:color w:val="auto"/>
                <w:szCs w:val="21"/>
                <w:highlight w:val="none"/>
              </w:rPr>
            </w:pPr>
          </w:p>
        </w:tc>
      </w:tr>
      <w:tr w14:paraId="6E3D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noWrap/>
            <w:vAlign w:val="center"/>
          </w:tcPr>
          <w:p w14:paraId="7EE1E01F">
            <w:pPr>
              <w:spacing w:line="360" w:lineRule="auto"/>
              <w:contextualSpacing/>
              <w:jc w:val="center"/>
              <w:rPr>
                <w:rFonts w:ascii="宋体" w:hAnsi="宋体" w:cs="宋体"/>
                <w:color w:val="auto"/>
                <w:szCs w:val="21"/>
                <w:highlight w:val="none"/>
              </w:rPr>
            </w:pPr>
          </w:p>
        </w:tc>
        <w:tc>
          <w:tcPr>
            <w:tcW w:w="892" w:type="pct"/>
            <w:noWrap/>
            <w:vAlign w:val="center"/>
          </w:tcPr>
          <w:p w14:paraId="5C1BB9C3">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w:t>
            </w:r>
          </w:p>
        </w:tc>
        <w:tc>
          <w:tcPr>
            <w:tcW w:w="342" w:type="pct"/>
            <w:noWrap/>
            <w:vAlign w:val="center"/>
          </w:tcPr>
          <w:p w14:paraId="51405D49">
            <w:pPr>
              <w:spacing w:line="360" w:lineRule="auto"/>
              <w:contextualSpacing/>
              <w:jc w:val="center"/>
              <w:rPr>
                <w:rFonts w:ascii="宋体" w:hAnsi="宋体" w:cs="宋体"/>
                <w:color w:val="auto"/>
                <w:szCs w:val="21"/>
                <w:highlight w:val="none"/>
              </w:rPr>
            </w:pPr>
          </w:p>
        </w:tc>
        <w:tc>
          <w:tcPr>
            <w:tcW w:w="242" w:type="pct"/>
            <w:noWrap/>
            <w:vAlign w:val="center"/>
          </w:tcPr>
          <w:p w14:paraId="045DC612">
            <w:pPr>
              <w:spacing w:line="360" w:lineRule="auto"/>
              <w:contextualSpacing/>
              <w:jc w:val="center"/>
              <w:rPr>
                <w:rFonts w:ascii="宋体" w:hAnsi="宋体" w:cs="宋体"/>
                <w:color w:val="auto"/>
                <w:szCs w:val="21"/>
                <w:highlight w:val="none"/>
              </w:rPr>
            </w:pPr>
          </w:p>
        </w:tc>
        <w:tc>
          <w:tcPr>
            <w:tcW w:w="1802" w:type="pct"/>
            <w:noWrap/>
            <w:vAlign w:val="center"/>
          </w:tcPr>
          <w:p w14:paraId="15A26092">
            <w:pPr>
              <w:spacing w:line="360" w:lineRule="auto"/>
              <w:contextualSpacing/>
              <w:jc w:val="center"/>
              <w:rPr>
                <w:rFonts w:ascii="宋体" w:hAnsi="宋体" w:cs="宋体"/>
                <w:color w:val="auto"/>
                <w:szCs w:val="21"/>
                <w:highlight w:val="none"/>
              </w:rPr>
            </w:pPr>
          </w:p>
        </w:tc>
        <w:tc>
          <w:tcPr>
            <w:tcW w:w="357" w:type="pct"/>
            <w:noWrap/>
            <w:vAlign w:val="center"/>
          </w:tcPr>
          <w:p w14:paraId="760AC4D4">
            <w:pPr>
              <w:spacing w:line="360" w:lineRule="auto"/>
              <w:contextualSpacing/>
              <w:jc w:val="center"/>
              <w:rPr>
                <w:rFonts w:ascii="宋体" w:hAnsi="宋体" w:cs="宋体"/>
                <w:color w:val="auto"/>
                <w:szCs w:val="21"/>
                <w:highlight w:val="none"/>
              </w:rPr>
            </w:pPr>
          </w:p>
        </w:tc>
        <w:tc>
          <w:tcPr>
            <w:tcW w:w="646" w:type="pct"/>
            <w:noWrap/>
            <w:vAlign w:val="center"/>
          </w:tcPr>
          <w:p w14:paraId="6B5B8858">
            <w:pPr>
              <w:spacing w:line="360" w:lineRule="auto"/>
              <w:contextualSpacing/>
              <w:jc w:val="center"/>
              <w:rPr>
                <w:rFonts w:ascii="宋体" w:hAnsi="宋体" w:cs="宋体"/>
                <w:color w:val="auto"/>
                <w:szCs w:val="21"/>
                <w:highlight w:val="none"/>
              </w:rPr>
            </w:pPr>
          </w:p>
        </w:tc>
        <w:tc>
          <w:tcPr>
            <w:tcW w:w="473" w:type="pct"/>
            <w:noWrap/>
            <w:vAlign w:val="center"/>
          </w:tcPr>
          <w:p w14:paraId="2517D4F8">
            <w:pPr>
              <w:spacing w:line="360" w:lineRule="auto"/>
              <w:contextualSpacing/>
              <w:jc w:val="center"/>
              <w:rPr>
                <w:rFonts w:ascii="宋体" w:hAnsi="宋体" w:cs="宋体"/>
                <w:color w:val="auto"/>
                <w:szCs w:val="21"/>
                <w:highlight w:val="none"/>
              </w:rPr>
            </w:pPr>
          </w:p>
        </w:tc>
      </w:tr>
    </w:tbl>
    <w:p w14:paraId="5F0041D3">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0BD4746B">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在填写时，如本表格不适合供应商的实际情况，可根据本表格式自行制表填写。</w:t>
      </w:r>
    </w:p>
    <w:p w14:paraId="100DB0C2">
      <w:pPr>
        <w:spacing w:line="360" w:lineRule="auto"/>
        <w:contextualSpacing/>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供应商应当附本表所列证书的复印件</w:t>
      </w:r>
      <w:r>
        <w:rPr>
          <w:rFonts w:hint="eastAsia" w:ascii="宋体" w:hAnsi="宋体"/>
          <w:color w:val="auto"/>
          <w:sz w:val="24"/>
          <w:szCs w:val="20"/>
          <w:highlight w:val="none"/>
          <w:lang w:val="en-US" w:eastAsia="zh-CN"/>
        </w:rPr>
        <w:t>或相关证明文件</w:t>
      </w:r>
      <w:r>
        <w:rPr>
          <w:rFonts w:hint="eastAsia" w:ascii="宋体" w:hAnsi="宋体"/>
          <w:color w:val="auto"/>
          <w:sz w:val="24"/>
          <w:szCs w:val="20"/>
          <w:highlight w:val="none"/>
        </w:rPr>
        <w:t>并加盖供应商电子签章。</w:t>
      </w:r>
    </w:p>
    <w:p w14:paraId="3CFAFD7C">
      <w:pPr>
        <w:spacing w:line="360" w:lineRule="auto"/>
        <w:contextualSpacing/>
        <w:rPr>
          <w:rFonts w:ascii="宋体" w:hAnsi="宋体"/>
          <w:color w:val="auto"/>
          <w:sz w:val="24"/>
          <w:highlight w:val="none"/>
        </w:rPr>
      </w:pPr>
    </w:p>
    <w:p w14:paraId="7FF5BDD9">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p>
    <w:p w14:paraId="5A47FFC2">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供应商名称（电子签章）：           日 期：</w:t>
      </w:r>
    </w:p>
    <w:p w14:paraId="55861D53">
      <w:pPr>
        <w:rPr>
          <w:rFonts w:ascii="方正小标宋简体" w:hAnsi="方正小标宋简体" w:eastAsia="方正小标宋简体" w:cs="方正小标宋简体"/>
          <w:bCs/>
          <w:color w:val="auto"/>
          <w:szCs w:val="21"/>
          <w:highlight w:val="none"/>
        </w:rPr>
      </w:pPr>
      <w:r>
        <w:rPr>
          <w:rFonts w:hint="eastAsia" w:ascii="方正小标宋简体" w:hAnsi="方正小标宋简体" w:eastAsia="方正小标宋简体" w:cs="方正小标宋简体"/>
          <w:bCs/>
          <w:color w:val="auto"/>
          <w:szCs w:val="21"/>
          <w:highlight w:val="none"/>
        </w:rPr>
        <w:br w:type="page"/>
      </w:r>
    </w:p>
    <w:p w14:paraId="6CB128AA">
      <w:pPr>
        <w:snapToGrid w:val="0"/>
        <w:spacing w:beforeLines="50" w:after="50"/>
        <w:jc w:val="left"/>
        <w:rPr>
          <w:rFonts w:ascii="方正小标宋简体" w:hAnsi="方正小标宋简体" w:eastAsia="方正小标宋简体" w:cs="方正小标宋简体"/>
          <w:bCs/>
          <w:color w:val="auto"/>
          <w:szCs w:val="21"/>
          <w:highlight w:val="none"/>
        </w:rPr>
      </w:pPr>
      <w:r>
        <w:rPr>
          <w:rFonts w:hint="eastAsia" w:ascii="方正小标宋简体" w:hAnsi="方正小标宋简体" w:eastAsia="方正小标宋简体" w:cs="方正小标宋简体"/>
          <w:bCs/>
          <w:color w:val="auto"/>
          <w:szCs w:val="21"/>
          <w:highlight w:val="none"/>
        </w:rPr>
        <w:t>代理服务费承诺书（如本项目为采购人支付代理服务费的，无需提供）</w:t>
      </w:r>
    </w:p>
    <w:p w14:paraId="3356CAB8">
      <w:pPr>
        <w:snapToGrid w:val="0"/>
        <w:spacing w:beforeLines="50" w:after="50"/>
        <w:jc w:val="left"/>
        <w:rPr>
          <w:rFonts w:ascii="方正小标宋简体" w:hAnsi="方正小标宋简体" w:eastAsia="方正小标宋简体" w:cs="方正小标宋简体"/>
          <w:bCs/>
          <w:color w:val="auto"/>
          <w:szCs w:val="21"/>
          <w:highlight w:val="none"/>
        </w:rPr>
      </w:pPr>
    </w:p>
    <w:p w14:paraId="03E72B1C">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代理服务费承诺书</w:t>
      </w:r>
    </w:p>
    <w:p w14:paraId="22B1EA26">
      <w:pPr>
        <w:snapToGrid w:val="0"/>
        <w:spacing w:beforeLines="50" w:after="50"/>
        <w:jc w:val="center"/>
        <w:rPr>
          <w:rFonts w:ascii="宋体" w:hAnsi="宋体"/>
          <w:b/>
          <w:color w:val="auto"/>
          <w:sz w:val="24"/>
          <w:highlight w:val="none"/>
        </w:rPr>
      </w:pPr>
    </w:p>
    <w:p w14:paraId="21FF53EB">
      <w:pPr>
        <w:spacing w:line="360" w:lineRule="auto"/>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招标代理机构名称</w:t>
      </w:r>
      <w:r>
        <w:rPr>
          <w:rFonts w:hint="eastAsia" w:ascii="宋体" w:hAnsi="宋体"/>
          <w:color w:val="auto"/>
          <w:sz w:val="24"/>
          <w:highlight w:val="none"/>
        </w:rPr>
        <w:t>：</w:t>
      </w:r>
    </w:p>
    <w:p w14:paraId="76124C3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本单位参加了贵方组织的</w:t>
      </w:r>
      <w:r>
        <w:rPr>
          <w:rFonts w:hint="eastAsia" w:ascii="宋体" w:hAnsi="宋体"/>
          <w:color w:val="auto"/>
          <w:sz w:val="24"/>
          <w:highlight w:val="none"/>
          <w:u w:val="single"/>
        </w:rPr>
        <w:t xml:space="preserve">  项目名称（项目编号）  </w:t>
      </w:r>
      <w:r>
        <w:rPr>
          <w:rFonts w:hint="eastAsia" w:ascii="宋体" w:hAnsi="宋体"/>
          <w:color w:val="auto"/>
          <w:sz w:val="24"/>
          <w:highlight w:val="none"/>
        </w:rPr>
        <w:t>项目， 在此说明如下：</w:t>
      </w:r>
    </w:p>
    <w:p w14:paraId="1FF239EC">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1.我方承诺，若本单位成交，保证在发出成交通知书之后，按本项目采购文件的规定标准向贵单位一次性足额支付代理服务费， 在领取成交通知书后，由于被质疑、投诉或者其他原因而导致成交结果改变，我方将放弃对已缴纳的成交服务费追还的一切权利。</w:t>
      </w:r>
    </w:p>
    <w:p w14:paraId="0E2D5053">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2.本单位选择第种方式作为代理服务费开票类型：</w:t>
      </w:r>
    </w:p>
    <w:p w14:paraId="132E3ECC">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第一种方式：开具增值税普通发票。开票信息如下：</w:t>
      </w:r>
    </w:p>
    <w:p w14:paraId="1E6BA46F">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3FF5A57B">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5099EEBD">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第二种方式：开具增值税专用发票，开票信息如下：</w:t>
      </w:r>
    </w:p>
    <w:p w14:paraId="2B518AE7">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71FEC221">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6486A67E">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（3）在税局登记的地址</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7D1921D4">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（4）在税局登记的电话</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21F367D4">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（5）开户银行</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64550AE7">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（6）银行账户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013E53E6">
      <w:pPr>
        <w:spacing w:line="440" w:lineRule="exact"/>
        <w:rPr>
          <w:rFonts w:ascii="宋体" w:hAnsi="宋体"/>
          <w:color w:val="auto"/>
          <w:sz w:val="24"/>
          <w:highlight w:val="none"/>
        </w:rPr>
      </w:pPr>
    </w:p>
    <w:p w14:paraId="400C1ED8">
      <w:pPr>
        <w:spacing w:line="440" w:lineRule="exact"/>
        <w:rPr>
          <w:rFonts w:ascii="宋体" w:hAnsi="宋体"/>
          <w:color w:val="auto"/>
          <w:sz w:val="24"/>
          <w:highlight w:val="none"/>
        </w:rPr>
      </w:pPr>
    </w:p>
    <w:p w14:paraId="26804562">
      <w:pPr>
        <w:spacing w:line="440" w:lineRule="exact"/>
        <w:rPr>
          <w:rFonts w:ascii="宋体" w:hAnsi="宋体"/>
          <w:color w:val="auto"/>
          <w:sz w:val="24"/>
          <w:highlight w:val="none"/>
        </w:rPr>
      </w:pPr>
    </w:p>
    <w:p w14:paraId="2838DFFA">
      <w:pPr>
        <w:snapToGrid w:val="0"/>
        <w:spacing w:line="360" w:lineRule="auto"/>
        <w:ind w:left="-2" w:leftChars="-1" w:right="-817" w:rightChars="-389" w:firstLine="1920" w:firstLineChars="800"/>
        <w:rPr>
          <w:rFonts w:ascii="宋体" w:hAnsi="宋体"/>
          <w:color w:val="auto"/>
          <w:sz w:val="24"/>
          <w:highlight w:val="none"/>
        </w:rPr>
      </w:pPr>
      <w:r>
        <w:rPr>
          <w:rFonts w:hint="eastAsia" w:ascii="宋体" w:hAnsi="宋体"/>
          <w:color w:val="auto"/>
          <w:sz w:val="24"/>
          <w:highlight w:val="none"/>
        </w:rPr>
        <w:t xml:space="preserve">法定代表人或者委托代理人（签字或者电子签名）： </w:t>
      </w:r>
    </w:p>
    <w:p w14:paraId="5615F590">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供应商公章（电子签章）：</w:t>
      </w:r>
    </w:p>
    <w:p w14:paraId="59FAE11A">
      <w:pPr>
        <w:snapToGrid w:val="0"/>
        <w:spacing w:line="360" w:lineRule="auto"/>
        <w:ind w:right="480" w:firstLine="240" w:firstLineChars="100"/>
        <w:jc w:val="left"/>
        <w:rPr>
          <w:rFonts w:ascii="宋体" w:hAnsi="宋体"/>
          <w:color w:val="auto"/>
          <w:szCs w:val="21"/>
          <w:highlight w:val="none"/>
        </w:rPr>
        <w:sectPr>
          <w:pgSz w:w="11906" w:h="16838"/>
          <w:pgMar w:top="1440" w:right="1797" w:bottom="1440" w:left="1797" w:header="851" w:footer="992" w:gutter="0"/>
          <w:cols w:space="720" w:num="1"/>
        </w:sectPr>
      </w:pPr>
      <w:r>
        <w:rPr>
          <w:rFonts w:hint="eastAsia" w:ascii="宋体" w:hAnsi="宋体"/>
          <w:color w:val="auto"/>
          <w:sz w:val="24"/>
          <w:highlight w:val="none"/>
        </w:rPr>
        <w:t xml:space="preserve">                                    日期：    年   月   日</w:t>
      </w:r>
    </w:p>
    <w:p w14:paraId="0E85D3E1">
      <w:pPr>
        <w:snapToGrid w:val="0"/>
        <w:spacing w:before="50" w:afterLines="50"/>
        <w:jc w:val="left"/>
        <w:rPr>
          <w:rFonts w:ascii="宋体" w:hAnsi="宋体"/>
          <w:color w:val="auto"/>
          <w:sz w:val="24"/>
          <w:szCs w:val="20"/>
          <w:highlight w:val="none"/>
        </w:rPr>
      </w:pPr>
    </w:p>
    <w:p w14:paraId="26E9137F">
      <w:pPr>
        <w:spacing w:line="300" w:lineRule="auto"/>
        <w:rPr>
          <w:rFonts w:ascii="宋体" w:hAnsi="宋体"/>
          <w:color w:val="auto"/>
          <w:szCs w:val="21"/>
          <w:highlight w:val="none"/>
        </w:rPr>
      </w:pPr>
      <w:r>
        <w:rPr>
          <w:rFonts w:hint="eastAsia" w:ascii="宋体" w:hAnsi="宋体"/>
          <w:b/>
          <w:bCs/>
          <w:color w:val="auto"/>
          <w:sz w:val="24"/>
          <w:highlight w:val="none"/>
        </w:rPr>
        <w:t>其他文书、文件格式</w:t>
      </w:r>
    </w:p>
    <w:p w14:paraId="3BD12F46">
      <w:pPr>
        <w:jc w:val="center"/>
        <w:rPr>
          <w:rFonts w:ascii="方正小标宋简体" w:hAnsi="方正小标宋简体" w:eastAsia="方正小标宋简体" w:cs="方正小标宋简体"/>
          <w:color w:val="auto"/>
          <w:sz w:val="44"/>
          <w:szCs w:val="44"/>
          <w:highlight w:val="none"/>
        </w:rPr>
      </w:pPr>
      <w:bookmarkStart w:id="185" w:name="_Toc71365926"/>
      <w:r>
        <w:rPr>
          <w:rFonts w:hint="eastAsia" w:ascii="方正小标宋简体" w:hAnsi="方正小标宋简体" w:eastAsia="方正小标宋简体" w:cs="方正小标宋简体"/>
          <w:color w:val="auto"/>
          <w:sz w:val="44"/>
          <w:szCs w:val="44"/>
          <w:highlight w:val="none"/>
        </w:rPr>
        <w:t>中小企业声明函（服务）</w:t>
      </w:r>
      <w:bookmarkEnd w:id="185"/>
    </w:p>
    <w:p w14:paraId="1B3DCCE8">
      <w:pPr>
        <w:spacing w:before="2" w:line="500" w:lineRule="exact"/>
        <w:ind w:firstLine="708" w:firstLineChars="294"/>
        <w:rPr>
          <w:rFonts w:ascii="宋体" w:hAnsi="宋体" w:cs="宋体"/>
          <w:b/>
          <w:bCs/>
          <w:color w:val="auto"/>
          <w:sz w:val="24"/>
          <w:highlight w:val="none"/>
        </w:rPr>
      </w:pPr>
    </w:p>
    <w:p w14:paraId="69D55E35">
      <w:pPr>
        <w:pStyle w:val="12"/>
        <w:spacing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服务全部由符合政策要求的中小企业承接。相关企业（含联合体中的中小企业、签订分包意向协议的中小企业）的具体情况如下：</w:t>
      </w:r>
    </w:p>
    <w:p w14:paraId="34D44B63">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5CAED240">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5558665E">
      <w:pPr>
        <w:pStyle w:val="12"/>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7457FE15">
      <w:pPr>
        <w:pStyle w:val="12"/>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11655483">
      <w:pPr>
        <w:pStyle w:val="12"/>
        <w:spacing w:before="25"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441A5AA4">
      <w:pPr>
        <w:pStyle w:val="12"/>
        <w:spacing w:before="56" w:line="500" w:lineRule="exact"/>
        <w:ind w:right="1808" w:firstLine="705" w:firstLineChars="294"/>
        <w:rPr>
          <w:rFonts w:ascii="宋体" w:hAnsi="宋体"/>
          <w:color w:val="auto"/>
          <w:sz w:val="24"/>
          <w:highlight w:val="none"/>
        </w:rPr>
      </w:pPr>
    </w:p>
    <w:p w14:paraId="77B4A801">
      <w:pPr>
        <w:pStyle w:val="12"/>
        <w:spacing w:before="56" w:line="500" w:lineRule="exact"/>
        <w:ind w:right="650" w:firstLine="5625" w:firstLineChars="2344"/>
        <w:rPr>
          <w:rFonts w:ascii="宋体" w:hAnsi="宋体"/>
          <w:color w:val="auto"/>
          <w:sz w:val="24"/>
          <w:highlight w:val="none"/>
        </w:rPr>
      </w:pPr>
      <w:r>
        <w:rPr>
          <w:rFonts w:ascii="宋体" w:hAnsi="宋体"/>
          <w:color w:val="auto"/>
          <w:sz w:val="24"/>
          <w:highlight w:val="none"/>
        </w:rPr>
        <w:t xml:space="preserve">企业名称（章）： </w:t>
      </w:r>
    </w:p>
    <w:p w14:paraId="30C5BC3A">
      <w:pPr>
        <w:pStyle w:val="12"/>
        <w:spacing w:before="56"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p>
    <w:p w14:paraId="4E6CCAED">
      <w:pPr>
        <w:spacing w:line="520" w:lineRule="exact"/>
        <w:jc w:val="left"/>
        <w:rPr>
          <w:rFonts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7F98F3C">
      <w:pPr>
        <w:spacing w:line="520" w:lineRule="exact"/>
        <w:jc w:val="center"/>
        <w:rPr>
          <w:rFonts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3575F322">
      <w:pPr>
        <w:spacing w:line="360" w:lineRule="auto"/>
        <w:contextualSpacing/>
        <w:rPr>
          <w:rFonts w:ascii="仿宋_GB2312" w:hAnsi="仿宋_GB2312" w:eastAsia="仿宋_GB2312" w:cs="仿宋_GB2312"/>
          <w:color w:val="auto"/>
          <w:sz w:val="32"/>
          <w:szCs w:val="32"/>
          <w:highlight w:val="none"/>
        </w:rPr>
      </w:pPr>
    </w:p>
    <w:p w14:paraId="179490A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9DBD5BB">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066B788A">
      <w:pPr>
        <w:spacing w:line="360" w:lineRule="auto"/>
        <w:contextualSpacing/>
        <w:rPr>
          <w:rFonts w:ascii="宋体" w:hAnsi="宋体" w:cs="仿宋_GB2312"/>
          <w:color w:val="auto"/>
          <w:sz w:val="24"/>
          <w:highlight w:val="none"/>
        </w:rPr>
      </w:pPr>
    </w:p>
    <w:p w14:paraId="2DC783A2">
      <w:pPr>
        <w:spacing w:line="360" w:lineRule="auto"/>
        <w:contextualSpacing/>
        <w:rPr>
          <w:rFonts w:ascii="宋体" w:hAnsi="宋体" w:cs="仿宋_GB2312"/>
          <w:color w:val="auto"/>
          <w:sz w:val="24"/>
          <w:highlight w:val="none"/>
        </w:rPr>
      </w:pPr>
    </w:p>
    <w:p w14:paraId="26ABDB09">
      <w:pPr>
        <w:spacing w:line="360" w:lineRule="auto"/>
        <w:contextualSpacing/>
        <w:rPr>
          <w:rFonts w:ascii="宋体" w:hAnsi="宋体" w:cs="仿宋_GB2312"/>
          <w:color w:val="auto"/>
          <w:sz w:val="24"/>
          <w:highlight w:val="none"/>
        </w:rPr>
      </w:pPr>
    </w:p>
    <w:p w14:paraId="4E798135">
      <w:pPr>
        <w:spacing w:line="360" w:lineRule="auto"/>
        <w:ind w:firstLine="2400" w:firstLineChars="1000"/>
        <w:contextualSpacing/>
        <w:rPr>
          <w:rFonts w:ascii="宋体" w:hAnsi="宋体" w:cs="仿宋_GB2312"/>
          <w:color w:val="auto"/>
          <w:sz w:val="24"/>
          <w:highlight w:val="none"/>
        </w:rPr>
      </w:pPr>
      <w:r>
        <w:rPr>
          <w:rFonts w:hint="eastAsia" w:ascii="宋体" w:hAnsi="宋体" w:cs="仿宋_GB2312"/>
          <w:color w:val="auto"/>
          <w:sz w:val="24"/>
          <w:highlight w:val="none"/>
        </w:rPr>
        <w:t>单位名称（盖章）：</w:t>
      </w:r>
    </w:p>
    <w:p w14:paraId="0845B78D">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日  期：</w:t>
      </w:r>
    </w:p>
    <w:p w14:paraId="700D5B2F">
      <w:pPr>
        <w:spacing w:line="360" w:lineRule="auto"/>
        <w:contextualSpacing/>
        <w:rPr>
          <w:rFonts w:ascii="宋体" w:hAnsi="宋体" w:cs="仿宋_GB2312"/>
          <w:color w:val="auto"/>
          <w:sz w:val="24"/>
          <w:highlight w:val="none"/>
        </w:rPr>
      </w:pPr>
    </w:p>
    <w:p w14:paraId="05909146">
      <w:pPr>
        <w:spacing w:line="360" w:lineRule="auto"/>
        <w:contextualSpacing/>
        <w:rPr>
          <w:rFonts w:ascii="宋体" w:hAnsi="宋体" w:cs="仿宋_GB2312"/>
          <w:color w:val="auto"/>
          <w:sz w:val="24"/>
          <w:highlight w:val="none"/>
        </w:rPr>
      </w:pPr>
    </w:p>
    <w:p w14:paraId="03C43CBE">
      <w:pPr>
        <w:spacing w:line="360" w:lineRule="auto"/>
        <w:contextualSpacing/>
        <w:rPr>
          <w:rFonts w:ascii="宋体" w:hAnsi="宋体" w:cs="仿宋_GB2312"/>
          <w:color w:val="auto"/>
          <w:sz w:val="24"/>
          <w:highlight w:val="none"/>
        </w:rPr>
      </w:pPr>
    </w:p>
    <w:p w14:paraId="5F0873E7">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3403CC60">
      <w:pPr>
        <w:spacing w:line="360" w:lineRule="auto"/>
        <w:jc w:val="center"/>
        <w:rPr>
          <w:rFonts w:ascii="宋体" w:hAnsi="宋体" w:cs="仿宋_GB2312"/>
          <w:color w:val="auto"/>
          <w:sz w:val="24"/>
          <w:highlight w:val="none"/>
        </w:rPr>
      </w:pPr>
      <w:r>
        <w:rPr>
          <w:rFonts w:ascii="宋体" w:hAnsi="宋体" w:cs="仿宋_GB2312"/>
          <w:color w:val="auto"/>
          <w:sz w:val="24"/>
          <w:highlight w:val="none"/>
        </w:rPr>
        <w:br w:type="page"/>
      </w:r>
    </w:p>
    <w:p w14:paraId="5C232F5D">
      <w:pPr>
        <w:spacing w:line="360" w:lineRule="auto"/>
        <w:jc w:val="center"/>
        <w:rPr>
          <w:rFonts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7FA5F592">
      <w:pPr>
        <w:pStyle w:val="15"/>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111CAFF6">
      <w:pPr>
        <w:pStyle w:val="15"/>
        <w:spacing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质疑供应商：</w:t>
      </w:r>
    </w:p>
    <w:p w14:paraId="17985B8C">
      <w:pPr>
        <w:pStyle w:val="15"/>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46DF1A48">
      <w:pPr>
        <w:pStyle w:val="15"/>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Ansi="宋体"/>
          <w:bCs/>
          <w:color w:val="auto"/>
          <w:sz w:val="24"/>
          <w:szCs w:val="24"/>
          <w:highlight w:val="none"/>
        </w:rPr>
        <w:t>联系电话</w:t>
      </w:r>
      <w:r>
        <w:rPr>
          <w:rFonts w:hint="eastAsia" w:hAnsi="宋体"/>
          <w:bCs/>
          <w:color w:val="auto"/>
          <w:sz w:val="24"/>
          <w:szCs w:val="24"/>
          <w:highlight w:val="none"/>
        </w:rPr>
        <w:t>：</w:t>
      </w:r>
    </w:p>
    <w:p w14:paraId="570985FE">
      <w:pPr>
        <w:pStyle w:val="15"/>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授权代表：</w:t>
      </w:r>
    </w:p>
    <w:p w14:paraId="674886C5">
      <w:pPr>
        <w:pStyle w:val="15"/>
        <w:spacing w:line="360" w:lineRule="auto"/>
        <w:ind w:firstLine="480" w:firstLineChars="200"/>
        <w:contextualSpacing/>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p>
    <w:p w14:paraId="40E92A4F">
      <w:pPr>
        <w:pStyle w:val="15"/>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6C4721BF">
      <w:pPr>
        <w:pStyle w:val="15"/>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二、质疑项目基本情况：</w:t>
      </w:r>
    </w:p>
    <w:p w14:paraId="45DA554E">
      <w:pPr>
        <w:pStyle w:val="15"/>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p>
    <w:p w14:paraId="72BB9633">
      <w:pPr>
        <w:pStyle w:val="15"/>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p>
    <w:p w14:paraId="7039DF30">
      <w:pPr>
        <w:pStyle w:val="1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p>
    <w:p w14:paraId="192E5186">
      <w:pPr>
        <w:pStyle w:val="1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p>
    <w:p w14:paraId="2C696711">
      <w:pPr>
        <w:pStyle w:val="15"/>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□采购文件   采购文件获取日期：</w:t>
      </w:r>
    </w:p>
    <w:p w14:paraId="72AC793A">
      <w:pPr>
        <w:pStyle w:val="15"/>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 xml:space="preserve">□采购过程   </w:t>
      </w:r>
    </w:p>
    <w:p w14:paraId="562D59D9">
      <w:pPr>
        <w:pStyle w:val="15"/>
        <w:spacing w:line="360" w:lineRule="auto"/>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 xml:space="preserve">□成交结果   </w:t>
      </w:r>
    </w:p>
    <w:p w14:paraId="4053D123">
      <w:pPr>
        <w:pStyle w:val="15"/>
        <w:spacing w:line="360" w:lineRule="auto"/>
        <w:ind w:left="25" w:leftChars="12" w:firstLine="472"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14:paraId="3656F0F0">
      <w:pPr>
        <w:pStyle w:val="1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质疑事项1：</w:t>
      </w:r>
    </w:p>
    <w:p w14:paraId="7922BC1A">
      <w:pPr>
        <w:pStyle w:val="1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p>
    <w:p w14:paraId="2CA35533">
      <w:pPr>
        <w:pStyle w:val="1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p>
    <w:p w14:paraId="2F2CBEE6">
      <w:pPr>
        <w:pStyle w:val="1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质疑事项2</w:t>
      </w:r>
    </w:p>
    <w:p w14:paraId="79C6553E">
      <w:pPr>
        <w:pStyle w:val="15"/>
        <w:spacing w:line="360" w:lineRule="auto"/>
        <w:ind w:left="25" w:leftChars="12" w:firstLine="472" w:firstLineChars="197"/>
        <w:contextualSpacing/>
        <w:rPr>
          <w:rFonts w:hAnsi="宋体"/>
          <w:color w:val="auto"/>
          <w:sz w:val="24"/>
          <w:szCs w:val="24"/>
          <w:highlight w:val="none"/>
        </w:rPr>
      </w:pPr>
      <w:r>
        <w:rPr>
          <w:rFonts w:hAnsi="宋体"/>
          <w:color w:val="auto"/>
          <w:sz w:val="24"/>
          <w:szCs w:val="24"/>
          <w:highlight w:val="none"/>
        </w:rPr>
        <w:t>……</w:t>
      </w:r>
    </w:p>
    <w:p w14:paraId="1D1301DF">
      <w:pPr>
        <w:pStyle w:val="1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p>
    <w:p w14:paraId="68177C1D">
      <w:pPr>
        <w:pStyle w:val="1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p>
    <w:p w14:paraId="531BD118">
      <w:pPr>
        <w:pStyle w:val="15"/>
        <w:spacing w:line="360" w:lineRule="auto"/>
        <w:ind w:left="25" w:leftChars="12" w:firstLine="352" w:firstLineChars="147"/>
        <w:contextualSpacing/>
        <w:rPr>
          <w:rFonts w:hAnsi="宋体"/>
          <w:color w:val="auto"/>
          <w:sz w:val="24"/>
          <w:szCs w:val="24"/>
          <w:highlight w:val="none"/>
        </w:rPr>
      </w:pPr>
    </w:p>
    <w:p w14:paraId="54B62774">
      <w:pPr>
        <w:pStyle w:val="1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                                       公章：</w:t>
      </w:r>
    </w:p>
    <w:p w14:paraId="19D0D43E">
      <w:pPr>
        <w:pStyle w:val="15"/>
        <w:spacing w:line="360" w:lineRule="auto"/>
        <w:ind w:firstLine="480" w:firstLineChars="200"/>
        <w:contextualSpacing/>
        <w:rPr>
          <w:rFonts w:hAnsi="宋体"/>
          <w:b/>
          <w:color w:val="auto"/>
          <w:sz w:val="24"/>
          <w:szCs w:val="24"/>
          <w:highlight w:val="none"/>
        </w:rPr>
      </w:pPr>
      <w:r>
        <w:rPr>
          <w:rFonts w:hint="eastAsia" w:hAnsi="宋体"/>
          <w:color w:val="auto"/>
          <w:sz w:val="24"/>
          <w:szCs w:val="24"/>
          <w:highlight w:val="none"/>
        </w:rPr>
        <w:t>日期：</w:t>
      </w:r>
    </w:p>
    <w:p w14:paraId="63CE882E">
      <w:pPr>
        <w:pStyle w:val="15"/>
        <w:spacing w:line="360" w:lineRule="auto"/>
        <w:ind w:firstLine="482" w:firstLineChars="200"/>
        <w:contextualSpacing/>
        <w:rPr>
          <w:rFonts w:hint="eastAsia" w:hAnsi="宋体"/>
          <w:b/>
          <w:color w:val="auto"/>
          <w:sz w:val="24"/>
          <w:szCs w:val="24"/>
          <w:highlight w:val="none"/>
        </w:rPr>
      </w:pPr>
    </w:p>
    <w:p w14:paraId="3538481F">
      <w:pPr>
        <w:pStyle w:val="15"/>
        <w:spacing w:line="360" w:lineRule="auto"/>
        <w:ind w:firstLine="482" w:firstLineChars="200"/>
        <w:contextualSpacing/>
        <w:rPr>
          <w:rFonts w:hAnsi="宋体"/>
          <w:b/>
          <w:color w:val="auto"/>
          <w:sz w:val="24"/>
          <w:szCs w:val="24"/>
          <w:highlight w:val="none"/>
        </w:rPr>
      </w:pPr>
      <w:r>
        <w:rPr>
          <w:rFonts w:hint="eastAsia" w:hAnsi="宋体"/>
          <w:b/>
          <w:color w:val="auto"/>
          <w:sz w:val="24"/>
          <w:szCs w:val="24"/>
          <w:highlight w:val="none"/>
        </w:rPr>
        <w:t>说明：</w:t>
      </w:r>
    </w:p>
    <w:p w14:paraId="27C29E49">
      <w:pPr>
        <w:pStyle w:val="15"/>
        <w:spacing w:line="360" w:lineRule="auto"/>
        <w:ind w:left="25" w:leftChars="12" w:firstLine="354" w:firstLineChars="147"/>
        <w:contextualSpacing/>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3ABE43A7">
      <w:pPr>
        <w:pStyle w:val="15"/>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F411587">
      <w:pPr>
        <w:pStyle w:val="15"/>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708869E5">
      <w:pPr>
        <w:pStyle w:val="15"/>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4D9F82F8">
      <w:pPr>
        <w:pStyle w:val="15"/>
        <w:spacing w:line="360" w:lineRule="auto"/>
        <w:ind w:left="25" w:leftChars="12" w:firstLine="354" w:firstLineChars="147"/>
        <w:contextualSpacing/>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33E96B7F">
      <w:pPr>
        <w:pStyle w:val="15"/>
        <w:snapToGrid w:val="0"/>
        <w:rPr>
          <w:b/>
          <w:color w:val="auto"/>
          <w:sz w:val="24"/>
          <w:szCs w:val="24"/>
          <w:highlight w:val="none"/>
        </w:rPr>
      </w:pPr>
    </w:p>
    <w:p w14:paraId="3D3CC364">
      <w:pPr>
        <w:rPr>
          <w:color w:val="auto"/>
          <w:sz w:val="32"/>
          <w:szCs w:val="40"/>
          <w:highlight w:val="none"/>
        </w:rPr>
      </w:pPr>
    </w:p>
    <w:p w14:paraId="256034FD">
      <w:pPr>
        <w:rPr>
          <w:color w:val="auto"/>
          <w:sz w:val="32"/>
          <w:szCs w:val="40"/>
          <w:highlight w:val="none"/>
        </w:rPr>
      </w:pPr>
    </w:p>
    <w:p w14:paraId="155BF94A">
      <w:pPr>
        <w:rPr>
          <w:color w:val="auto"/>
          <w:sz w:val="32"/>
          <w:szCs w:val="40"/>
          <w:highlight w:val="none"/>
        </w:rPr>
      </w:pPr>
    </w:p>
    <w:p w14:paraId="1EE76709">
      <w:pPr>
        <w:rPr>
          <w:color w:val="auto"/>
          <w:sz w:val="32"/>
          <w:szCs w:val="40"/>
          <w:highlight w:val="none"/>
        </w:rPr>
      </w:pPr>
    </w:p>
    <w:p w14:paraId="4764D467">
      <w:pPr>
        <w:rPr>
          <w:color w:val="auto"/>
          <w:sz w:val="32"/>
          <w:szCs w:val="40"/>
          <w:highlight w:val="none"/>
        </w:rPr>
      </w:pPr>
    </w:p>
    <w:p w14:paraId="2C14F0E6">
      <w:pPr>
        <w:rPr>
          <w:color w:val="auto"/>
          <w:sz w:val="32"/>
          <w:szCs w:val="40"/>
          <w:highlight w:val="none"/>
        </w:rPr>
      </w:pPr>
    </w:p>
    <w:p w14:paraId="16AC133D">
      <w:pPr>
        <w:rPr>
          <w:color w:val="auto"/>
          <w:sz w:val="32"/>
          <w:szCs w:val="40"/>
          <w:highlight w:val="none"/>
        </w:rPr>
      </w:pPr>
    </w:p>
    <w:p w14:paraId="293E51EA">
      <w:pPr>
        <w:rPr>
          <w:color w:val="auto"/>
          <w:sz w:val="32"/>
          <w:szCs w:val="40"/>
          <w:highlight w:val="none"/>
        </w:rPr>
      </w:pPr>
    </w:p>
    <w:p w14:paraId="735D3699">
      <w:pPr>
        <w:rPr>
          <w:color w:val="auto"/>
          <w:sz w:val="32"/>
          <w:szCs w:val="40"/>
          <w:highlight w:val="none"/>
        </w:rPr>
      </w:pPr>
    </w:p>
    <w:p w14:paraId="73397929">
      <w:pPr>
        <w:rPr>
          <w:color w:val="auto"/>
          <w:sz w:val="32"/>
          <w:szCs w:val="40"/>
          <w:highlight w:val="none"/>
        </w:rPr>
      </w:pPr>
    </w:p>
    <w:p w14:paraId="01A20F27">
      <w:pPr>
        <w:rPr>
          <w:color w:val="auto"/>
          <w:sz w:val="32"/>
          <w:szCs w:val="40"/>
          <w:highlight w:val="none"/>
        </w:rPr>
      </w:pPr>
    </w:p>
    <w:p w14:paraId="089B481C">
      <w:pPr>
        <w:rPr>
          <w:color w:val="auto"/>
          <w:sz w:val="32"/>
          <w:szCs w:val="40"/>
          <w:highlight w:val="none"/>
        </w:rPr>
      </w:pPr>
    </w:p>
    <w:p w14:paraId="4665A631">
      <w:pPr>
        <w:rPr>
          <w:color w:val="auto"/>
          <w:sz w:val="32"/>
          <w:szCs w:val="40"/>
          <w:highlight w:val="none"/>
        </w:rPr>
      </w:pPr>
    </w:p>
    <w:p w14:paraId="420EEEA0">
      <w:pPr>
        <w:rPr>
          <w:color w:val="auto"/>
          <w:sz w:val="32"/>
          <w:szCs w:val="40"/>
          <w:highlight w:val="none"/>
        </w:rPr>
      </w:pPr>
    </w:p>
    <w:p w14:paraId="3F691C18">
      <w:pPr>
        <w:rPr>
          <w:color w:val="auto"/>
          <w:sz w:val="32"/>
          <w:szCs w:val="40"/>
          <w:highlight w:val="none"/>
        </w:rPr>
      </w:pPr>
    </w:p>
    <w:p w14:paraId="003C3089">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28F923E8">
      <w:pPr>
        <w:pStyle w:val="15"/>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0829D96C">
      <w:pPr>
        <w:pStyle w:val="1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p>
    <w:p w14:paraId="19239210">
      <w:pPr>
        <w:pStyle w:val="15"/>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2F72B5B1">
      <w:pPr>
        <w:pStyle w:val="1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法定代表人/主要负责人：</w:t>
      </w:r>
    </w:p>
    <w:p w14:paraId="0F5D04C9">
      <w:pPr>
        <w:pStyle w:val="15"/>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p>
    <w:p w14:paraId="00FA3D2D">
      <w:pPr>
        <w:pStyle w:val="1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Ansi="宋体"/>
          <w:bCs/>
          <w:color w:val="auto"/>
          <w:sz w:val="24"/>
          <w:szCs w:val="24"/>
          <w:highlight w:val="none"/>
        </w:rPr>
        <w:t>联系</w:t>
      </w:r>
      <w:r>
        <w:rPr>
          <w:rFonts w:hint="eastAsia" w:hAnsi="宋体"/>
          <w:bCs/>
          <w:color w:val="auto"/>
          <w:sz w:val="24"/>
          <w:szCs w:val="24"/>
          <w:highlight w:val="none"/>
        </w:rPr>
        <w:t>电话：</w:t>
      </w:r>
    </w:p>
    <w:p w14:paraId="765830E1">
      <w:pPr>
        <w:pStyle w:val="15"/>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p>
    <w:p w14:paraId="43568EB6">
      <w:pPr>
        <w:pStyle w:val="15"/>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4C7C79D2">
      <w:pPr>
        <w:pStyle w:val="15"/>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被投诉人1：</w:t>
      </w:r>
    </w:p>
    <w:p w14:paraId="5FBADC55">
      <w:pPr>
        <w:pStyle w:val="1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p>
    <w:p w14:paraId="3A2BE2DC">
      <w:pPr>
        <w:pStyle w:val="15"/>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664A67D0">
      <w:pPr>
        <w:pStyle w:val="1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0A4DD618">
      <w:pPr>
        <w:pStyle w:val="15"/>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被投诉人2：</w:t>
      </w:r>
    </w:p>
    <w:p w14:paraId="5B85DF86">
      <w:pPr>
        <w:pStyle w:val="15"/>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w:t>
      </w:r>
    </w:p>
    <w:p w14:paraId="7732A6A3">
      <w:pPr>
        <w:pStyle w:val="1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p>
    <w:p w14:paraId="54841924">
      <w:pPr>
        <w:pStyle w:val="15"/>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699C17BA">
      <w:pPr>
        <w:pStyle w:val="15"/>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22974717">
      <w:pPr>
        <w:pStyle w:val="15"/>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14F00F71">
      <w:pPr>
        <w:pStyle w:val="15"/>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p>
    <w:p w14:paraId="5AA15C76">
      <w:pPr>
        <w:pStyle w:val="15"/>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p>
    <w:p w14:paraId="4CC91B07">
      <w:pPr>
        <w:pStyle w:val="15"/>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p>
    <w:p w14:paraId="7091EC2D">
      <w:pPr>
        <w:pStyle w:val="15"/>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p>
    <w:p w14:paraId="686F6AD8">
      <w:pPr>
        <w:pStyle w:val="15"/>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2564A830">
      <w:pPr>
        <w:pStyle w:val="15"/>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13AF4337">
      <w:pPr>
        <w:pStyle w:val="15"/>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42B35397">
      <w:pPr>
        <w:pStyle w:val="15"/>
        <w:spacing w:line="360" w:lineRule="auto"/>
        <w:ind w:firstLine="480" w:firstLineChars="200"/>
        <w:rPr>
          <w:rFonts w:hAnsi="宋体"/>
          <w:color w:val="auto"/>
          <w:sz w:val="24"/>
          <w:szCs w:val="24"/>
          <w:highlight w:val="none"/>
        </w:rPr>
      </w:pPr>
      <w:r>
        <w:rPr>
          <w:rFonts w:hint="eastAsia" w:hAnsi="宋体"/>
          <w:color w:val="auto"/>
          <w:sz w:val="24"/>
          <w:szCs w:val="24"/>
          <w:highlight w:val="none"/>
        </w:rPr>
        <w:t>投诉人于年月日，向提出质疑，质疑事项为：</w:t>
      </w:r>
    </w:p>
    <w:p w14:paraId="197C258E">
      <w:pPr>
        <w:pStyle w:val="15"/>
        <w:spacing w:line="360" w:lineRule="auto"/>
        <w:ind w:firstLine="241"/>
        <w:rPr>
          <w:rFonts w:hAnsi="宋体"/>
          <w:bCs/>
          <w:color w:val="auto"/>
          <w:sz w:val="24"/>
          <w:szCs w:val="24"/>
          <w:highlight w:val="none"/>
          <w:u w:val="single"/>
        </w:rPr>
      </w:pPr>
    </w:p>
    <w:p w14:paraId="727CD50E">
      <w:pPr>
        <w:pStyle w:val="15"/>
        <w:spacing w:line="360" w:lineRule="auto"/>
        <w:ind w:firstLine="241"/>
        <w:rPr>
          <w:rFonts w:hAnsi="宋体"/>
          <w:bCs/>
          <w:color w:val="auto"/>
          <w:sz w:val="24"/>
          <w:szCs w:val="24"/>
          <w:highlight w:val="none"/>
          <w:u w:val="single"/>
        </w:rPr>
      </w:pPr>
    </w:p>
    <w:p w14:paraId="7AA96D97">
      <w:pPr>
        <w:pStyle w:val="15"/>
        <w:spacing w:line="360" w:lineRule="auto"/>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rPr>
        <w:t>年月日，</w:t>
      </w:r>
      <w:r>
        <w:rPr>
          <w:rFonts w:hint="eastAsia" w:hAnsi="宋体"/>
          <w:bCs/>
          <w:color w:val="auto"/>
          <w:sz w:val="24"/>
          <w:szCs w:val="24"/>
          <w:highlight w:val="none"/>
        </w:rPr>
        <w:t xml:space="preserve">就质疑事项作出了答复/没有在法定期限内作出答复。                                                                                             </w:t>
      </w:r>
    </w:p>
    <w:p w14:paraId="6985A7AC">
      <w:pPr>
        <w:pStyle w:val="15"/>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0F8E4953">
      <w:pPr>
        <w:pStyle w:val="15"/>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p>
    <w:p w14:paraId="47632378">
      <w:pPr>
        <w:pStyle w:val="15"/>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p>
    <w:p w14:paraId="26AE94C2">
      <w:pPr>
        <w:pStyle w:val="15"/>
        <w:spacing w:line="360" w:lineRule="auto"/>
        <w:ind w:left="25" w:leftChars="12" w:firstLine="472" w:firstLineChars="197"/>
        <w:rPr>
          <w:rFonts w:hAnsi="宋体"/>
          <w:color w:val="auto"/>
          <w:sz w:val="24"/>
          <w:szCs w:val="24"/>
          <w:highlight w:val="none"/>
        </w:rPr>
      </w:pPr>
    </w:p>
    <w:p w14:paraId="2C09246D">
      <w:pPr>
        <w:pStyle w:val="15"/>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p>
    <w:p w14:paraId="76EDF2DD">
      <w:pPr>
        <w:pStyle w:val="15"/>
        <w:spacing w:line="360" w:lineRule="auto"/>
        <w:ind w:left="25" w:leftChars="12" w:firstLine="352" w:firstLineChars="147"/>
        <w:rPr>
          <w:rFonts w:hAnsi="宋体"/>
          <w:bCs/>
          <w:color w:val="auto"/>
          <w:sz w:val="24"/>
          <w:szCs w:val="24"/>
          <w:highlight w:val="none"/>
          <w:u w:val="single"/>
        </w:rPr>
      </w:pPr>
    </w:p>
    <w:p w14:paraId="2F217DDC">
      <w:pPr>
        <w:pStyle w:val="15"/>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p>
    <w:p w14:paraId="400FD12D">
      <w:pPr>
        <w:pStyle w:val="15"/>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70285D11">
      <w:pPr>
        <w:pStyle w:val="15"/>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2837EDF0">
      <w:pPr>
        <w:pStyle w:val="15"/>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p>
    <w:p w14:paraId="6F388023">
      <w:pPr>
        <w:pStyle w:val="15"/>
        <w:spacing w:line="360" w:lineRule="auto"/>
        <w:ind w:left="25" w:leftChars="12" w:firstLine="352" w:firstLineChars="147"/>
        <w:rPr>
          <w:rFonts w:hAnsi="宋体"/>
          <w:color w:val="auto"/>
          <w:sz w:val="24"/>
          <w:szCs w:val="24"/>
          <w:highlight w:val="none"/>
        </w:rPr>
      </w:pPr>
    </w:p>
    <w:p w14:paraId="18E7983D">
      <w:pPr>
        <w:pStyle w:val="15"/>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44B8BF94">
      <w:pPr>
        <w:pStyle w:val="15"/>
        <w:spacing w:line="360" w:lineRule="auto"/>
        <w:ind w:left="25" w:leftChars="12" w:firstLine="352" w:firstLineChars="147"/>
        <w:rPr>
          <w:rFonts w:hAnsi="宋体"/>
          <w:color w:val="auto"/>
          <w:sz w:val="24"/>
          <w:szCs w:val="24"/>
          <w:highlight w:val="none"/>
        </w:rPr>
      </w:pPr>
    </w:p>
    <w:p w14:paraId="33E6EE8B">
      <w:pPr>
        <w:pStyle w:val="15"/>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6B45E4C3">
      <w:pPr>
        <w:pStyle w:val="15"/>
        <w:spacing w:line="360" w:lineRule="auto"/>
        <w:ind w:left="25" w:leftChars="12" w:firstLine="475" w:firstLineChars="197"/>
        <w:rPr>
          <w:rFonts w:hAnsi="宋体"/>
          <w:b/>
          <w:color w:val="auto"/>
          <w:sz w:val="24"/>
          <w:szCs w:val="24"/>
          <w:highlight w:val="none"/>
        </w:rPr>
      </w:pPr>
    </w:p>
    <w:p w14:paraId="148F7001">
      <w:pPr>
        <w:pStyle w:val="15"/>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14:paraId="4BC075B6">
      <w:pPr>
        <w:pStyle w:val="15"/>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0FE5EA38">
      <w:pPr>
        <w:pStyle w:val="15"/>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DD33E0A">
      <w:pPr>
        <w:pStyle w:val="15"/>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331E5152">
      <w:pPr>
        <w:pStyle w:val="15"/>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62BFD1F0">
      <w:pPr>
        <w:pStyle w:val="15"/>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4A1B7DA1">
      <w:pPr>
        <w:pStyle w:val="15"/>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03EC74C9">
      <w:pPr>
        <w:pStyle w:val="3"/>
        <w:jc w:val="center"/>
        <w:rPr>
          <w:color w:val="auto"/>
          <w:highlight w:val="none"/>
        </w:rPr>
      </w:pPr>
      <w:bookmarkStart w:id="186" w:name="_Toc74323461"/>
    </w:p>
    <w:p w14:paraId="20745EDE">
      <w:pPr>
        <w:pStyle w:val="3"/>
        <w:jc w:val="center"/>
        <w:rPr>
          <w:color w:val="auto"/>
          <w:highlight w:val="none"/>
        </w:rPr>
      </w:pPr>
      <w:r>
        <w:rPr>
          <w:rFonts w:hint="eastAsia"/>
          <w:color w:val="auto"/>
          <w:highlight w:val="none"/>
        </w:rPr>
        <w:t>第六章 合同文本</w:t>
      </w:r>
      <w:bookmarkEnd w:id="186"/>
    </w:p>
    <w:p w14:paraId="38E09886">
      <w:pPr>
        <w:snapToGrid w:val="0"/>
        <w:spacing w:line="360" w:lineRule="auto"/>
        <w:rPr>
          <w:rFonts w:hint="eastAsia" w:ascii="宋体" w:hAnsi="宋体"/>
          <w:b/>
          <w:color w:val="auto"/>
          <w:sz w:val="32"/>
          <w:szCs w:val="32"/>
          <w:highlight w:val="none"/>
        </w:rPr>
      </w:pPr>
      <w:r>
        <w:rPr>
          <w:rFonts w:ascii="宋体" w:hAnsi="宋体" w:cs="Courier New"/>
          <w:b/>
          <w:color w:val="auto"/>
          <w:sz w:val="32"/>
          <w:szCs w:val="32"/>
          <w:highlight w:val="none"/>
        </w:rPr>
        <w:br w:type="page"/>
      </w:r>
      <w:r>
        <w:rPr>
          <w:rFonts w:hint="eastAsia" w:ascii="宋体" w:hAnsi="宋体"/>
          <w:b/>
          <w:color w:val="auto"/>
          <w:sz w:val="32"/>
          <w:szCs w:val="32"/>
          <w:highlight w:val="none"/>
        </w:rPr>
        <w:t xml:space="preserve">一般服务类（参考）： </w:t>
      </w:r>
    </w:p>
    <w:p w14:paraId="724400AD">
      <w:pPr>
        <w:pStyle w:val="2"/>
        <w:jc w:val="center"/>
        <w:rPr>
          <w:rFonts w:hint="eastAsia" w:eastAsia="宋体"/>
          <w:color w:val="auto"/>
          <w:highlight w:val="none"/>
          <w:lang w:eastAsia="zh-CN"/>
        </w:rPr>
      </w:pPr>
      <w:r>
        <w:rPr>
          <w:rFonts w:hint="eastAsia" w:hAnsi="宋体"/>
          <w:b/>
          <w:color w:val="auto"/>
          <w:sz w:val="32"/>
          <w:szCs w:val="32"/>
          <w:highlight w:val="none"/>
          <w:lang w:eastAsia="zh-CN"/>
        </w:rPr>
        <w:t>《</w:t>
      </w:r>
      <w:r>
        <w:rPr>
          <w:rFonts w:hint="eastAsia" w:hAnsi="宋体"/>
          <w:b/>
          <w:color w:val="auto"/>
          <w:sz w:val="32"/>
          <w:szCs w:val="32"/>
          <w:highlight w:val="none"/>
          <w:lang w:val="en-US" w:eastAsia="zh-CN"/>
        </w:rPr>
        <w:t>合同书</w:t>
      </w:r>
      <w:r>
        <w:rPr>
          <w:rFonts w:hint="eastAsia" w:hAnsi="宋体"/>
          <w:b/>
          <w:color w:val="auto"/>
          <w:sz w:val="32"/>
          <w:szCs w:val="32"/>
          <w:highlight w:val="none"/>
          <w:lang w:eastAsia="zh-CN"/>
        </w:rPr>
        <w:t>》</w:t>
      </w:r>
    </w:p>
    <w:p w14:paraId="681904A0">
      <w:pPr>
        <w:widowControl/>
        <w:jc w:val="left"/>
        <w:rPr>
          <w:rFonts w:ascii="宋体" w:hAnsi="宋体" w:cs="Courier New"/>
          <w:b/>
          <w:color w:val="auto"/>
          <w:szCs w:val="21"/>
          <w:highlight w:val="none"/>
        </w:rPr>
      </w:pPr>
    </w:p>
    <w:p w14:paraId="5C864B0A">
      <w:pPr>
        <w:spacing w:line="480" w:lineRule="atLeast"/>
        <w:ind w:right="-45"/>
        <w:rPr>
          <w:rFonts w:ascii="宋体" w:hAnsi="宋体" w:cs="Calibri"/>
          <w:color w:val="auto"/>
          <w:sz w:val="24"/>
          <w:highlight w:val="none"/>
        </w:rPr>
      </w:pPr>
      <w:r>
        <w:rPr>
          <w:rFonts w:hint="eastAsia" w:ascii="宋体" w:hAnsi="宋体" w:cs="Calibri"/>
          <w:color w:val="auto"/>
          <w:sz w:val="24"/>
          <w:highlight w:val="none"/>
        </w:rPr>
        <w:t>采购计划号：</w:t>
      </w:r>
    </w:p>
    <w:p w14:paraId="648A3BA7">
      <w:pPr>
        <w:spacing w:line="480" w:lineRule="atLeast"/>
        <w:ind w:right="-45"/>
        <w:rPr>
          <w:rFonts w:ascii="宋体" w:hAnsi="宋体" w:cs="Calibri"/>
          <w:bCs/>
          <w:color w:val="auto"/>
          <w:sz w:val="24"/>
          <w:highlight w:val="none"/>
          <w:u w:val="single"/>
        </w:rPr>
      </w:pPr>
      <w:r>
        <w:rPr>
          <w:rFonts w:hint="eastAsia" w:ascii="宋体" w:hAnsi="宋体" w:cs="Calibri"/>
          <w:bCs/>
          <w:color w:val="auto"/>
          <w:sz w:val="24"/>
          <w:highlight w:val="none"/>
        </w:rPr>
        <w:t>合同编号：</w:t>
      </w:r>
    </w:p>
    <w:p w14:paraId="1AD9A87B">
      <w:pPr>
        <w:spacing w:line="480" w:lineRule="atLeast"/>
        <w:rPr>
          <w:rFonts w:ascii="宋体" w:hAnsi="宋体" w:cs="Calibri"/>
          <w:color w:val="auto"/>
          <w:sz w:val="24"/>
          <w:highlight w:val="none"/>
        </w:rPr>
      </w:pPr>
      <w:r>
        <w:rPr>
          <w:rFonts w:hint="eastAsia" w:ascii="宋体" w:hAnsi="宋体" w:cs="Calibri"/>
          <w:color w:val="auto"/>
          <w:sz w:val="24"/>
          <w:highlight w:val="none"/>
        </w:rPr>
        <w:t>采购人（甲方）：</w:t>
      </w:r>
    </w:p>
    <w:p w14:paraId="0AFBA0A7">
      <w:pPr>
        <w:spacing w:line="480" w:lineRule="atLeast"/>
        <w:rPr>
          <w:rFonts w:ascii="宋体" w:hAnsi="宋体" w:cs="Calibri"/>
          <w:color w:val="auto"/>
          <w:sz w:val="24"/>
          <w:highlight w:val="none"/>
        </w:rPr>
      </w:pPr>
      <w:r>
        <w:rPr>
          <w:rFonts w:hint="eastAsia" w:ascii="宋体" w:hAnsi="宋体" w:cs="Calibri"/>
          <w:color w:val="auto"/>
          <w:sz w:val="24"/>
          <w:highlight w:val="none"/>
        </w:rPr>
        <w:t>供应商（乙方）：</w:t>
      </w:r>
    </w:p>
    <w:p w14:paraId="57AD7734">
      <w:pPr>
        <w:spacing w:line="480" w:lineRule="atLeast"/>
        <w:rPr>
          <w:rFonts w:ascii="宋体" w:hAnsi="宋体" w:cs="Calibri"/>
          <w:color w:val="auto"/>
          <w:sz w:val="24"/>
          <w:highlight w:val="none"/>
          <w:u w:val="single"/>
        </w:rPr>
      </w:pPr>
      <w:r>
        <w:rPr>
          <w:rFonts w:hint="eastAsia" w:ascii="宋体" w:hAnsi="宋体" w:cs="Calibri"/>
          <w:color w:val="auto"/>
          <w:sz w:val="24"/>
          <w:highlight w:val="none"/>
        </w:rPr>
        <w:t>项目名称：</w:t>
      </w:r>
    </w:p>
    <w:p w14:paraId="0A36D2E5">
      <w:pPr>
        <w:spacing w:line="480" w:lineRule="atLeast"/>
        <w:rPr>
          <w:rFonts w:ascii="宋体" w:hAnsi="宋体" w:cs="Calibri"/>
          <w:color w:val="auto"/>
          <w:sz w:val="24"/>
          <w:highlight w:val="none"/>
          <w:u w:val="single"/>
        </w:rPr>
      </w:pPr>
      <w:r>
        <w:rPr>
          <w:rFonts w:hint="eastAsia" w:ascii="宋体" w:hAnsi="宋体" w:cs="Calibri"/>
          <w:color w:val="auto"/>
          <w:sz w:val="24"/>
          <w:highlight w:val="none"/>
        </w:rPr>
        <w:t>项目编号：</w:t>
      </w:r>
    </w:p>
    <w:p w14:paraId="0779CA0D">
      <w:pPr>
        <w:spacing w:line="480" w:lineRule="atLeast"/>
        <w:rPr>
          <w:rFonts w:ascii="宋体" w:hAnsi="宋体" w:cs="Calibri"/>
          <w:color w:val="auto"/>
          <w:sz w:val="24"/>
          <w:highlight w:val="none"/>
          <w:u w:val="single"/>
        </w:rPr>
      </w:pPr>
      <w:r>
        <w:rPr>
          <w:rFonts w:hint="eastAsia" w:ascii="宋体" w:hAnsi="宋体" w:cs="Calibri"/>
          <w:color w:val="auto"/>
          <w:sz w:val="24"/>
          <w:highlight w:val="none"/>
        </w:rPr>
        <w:t>签订地点：</w:t>
      </w:r>
    </w:p>
    <w:p w14:paraId="592733EE">
      <w:pPr>
        <w:spacing w:line="480" w:lineRule="atLeast"/>
        <w:rPr>
          <w:rFonts w:ascii="宋体" w:hAnsi="宋体" w:cs="Calibri"/>
          <w:color w:val="auto"/>
          <w:sz w:val="24"/>
          <w:highlight w:val="none"/>
          <w:u w:val="single"/>
        </w:rPr>
      </w:pPr>
      <w:r>
        <w:rPr>
          <w:rFonts w:hint="eastAsia" w:ascii="宋体" w:hAnsi="宋体" w:cs="Calibri"/>
          <w:color w:val="auto"/>
          <w:sz w:val="24"/>
          <w:highlight w:val="none"/>
        </w:rPr>
        <w:t>签订时间：</w:t>
      </w:r>
    </w:p>
    <w:p w14:paraId="220239D6">
      <w:pPr>
        <w:spacing w:line="480" w:lineRule="atLeast"/>
        <w:ind w:firstLine="480" w:firstLineChars="200"/>
        <w:rPr>
          <w:rFonts w:ascii="宋体" w:hAnsi="宋体" w:cs="Calibri"/>
          <w:color w:val="auto"/>
          <w:sz w:val="24"/>
          <w:highlight w:val="none"/>
        </w:rPr>
      </w:pPr>
    </w:p>
    <w:p w14:paraId="34FDE20B">
      <w:pPr>
        <w:spacing w:line="48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根据《中华人民共和国政府采购法》、《中华人民共和国民法典》等法律、法规规定，按照</w:t>
      </w:r>
      <w:r>
        <w:rPr>
          <w:rFonts w:hint="eastAsia" w:ascii="宋体" w:hAnsi="宋体" w:cs="Calibri"/>
          <w:color w:val="auto"/>
          <w:sz w:val="24"/>
          <w:highlight w:val="none"/>
        </w:rPr>
        <w:t>竞争性磋商文件规定条款和乙方响应文件及其承诺，甲乙双方签订本合同。</w:t>
      </w:r>
    </w:p>
    <w:p w14:paraId="58FC0768">
      <w:pPr>
        <w:spacing w:line="480" w:lineRule="atLeast"/>
        <w:ind w:firstLine="482" w:firstLineChars="200"/>
        <w:rPr>
          <w:rFonts w:ascii="宋体" w:hAnsi="宋体" w:cs="宋体"/>
          <w:b/>
          <w:color w:val="auto"/>
          <w:sz w:val="24"/>
          <w:highlight w:val="none"/>
        </w:rPr>
      </w:pPr>
      <w:r>
        <w:rPr>
          <w:rFonts w:hint="eastAsia" w:ascii="宋体" w:hAnsi="宋体" w:cs="宋体"/>
          <w:b/>
          <w:color w:val="auto"/>
          <w:sz w:val="24"/>
          <w:highlight w:val="none"/>
        </w:rPr>
        <w:t>第一条　合同标的</w:t>
      </w:r>
    </w:p>
    <w:p w14:paraId="6AB17269">
      <w:pPr>
        <w:spacing w:line="48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1、项目一览表</w:t>
      </w:r>
    </w:p>
    <w:tbl>
      <w:tblPr>
        <w:tblStyle w:val="24"/>
        <w:tblW w:w="4997"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3776"/>
        <w:gridCol w:w="928"/>
        <w:gridCol w:w="1755"/>
        <w:gridCol w:w="1499"/>
      </w:tblGrid>
      <w:tr w14:paraId="2442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right"/>
        </w:trPr>
        <w:tc>
          <w:tcPr>
            <w:tcW w:w="328" w:type="pct"/>
            <w:tcBorders>
              <w:top w:val="single" w:color="auto" w:sz="4" w:space="0"/>
              <w:left w:val="single" w:color="auto" w:sz="4" w:space="0"/>
              <w:bottom w:val="single" w:color="auto" w:sz="4" w:space="0"/>
              <w:right w:val="single" w:color="auto" w:sz="4" w:space="0"/>
            </w:tcBorders>
            <w:noWrap w:val="0"/>
            <w:vAlign w:val="center"/>
          </w:tcPr>
          <w:p w14:paraId="3308E7B6">
            <w:pPr>
              <w:spacing w:line="480" w:lineRule="atLeast"/>
              <w:jc w:val="center"/>
              <w:rPr>
                <w:rFonts w:ascii="宋体" w:hAnsi="宋体" w:cs="仿宋_GB2312"/>
                <w:color w:val="auto"/>
                <w:sz w:val="24"/>
                <w:highlight w:val="none"/>
              </w:rPr>
            </w:pPr>
            <w:r>
              <w:rPr>
                <w:rFonts w:ascii="宋体" w:hAnsi="宋体" w:cs="仿宋_GB2312"/>
                <w:color w:val="auto"/>
                <w:sz w:val="24"/>
                <w:highlight w:val="none"/>
              </w:rPr>
              <w:t>序号</w:t>
            </w:r>
          </w:p>
        </w:tc>
        <w:tc>
          <w:tcPr>
            <w:tcW w:w="2217" w:type="pct"/>
            <w:tcBorders>
              <w:top w:val="single" w:color="auto" w:sz="4" w:space="0"/>
              <w:left w:val="single" w:color="auto" w:sz="4" w:space="0"/>
              <w:bottom w:val="single" w:color="auto" w:sz="4" w:space="0"/>
              <w:right w:val="single" w:color="auto" w:sz="4" w:space="0"/>
            </w:tcBorders>
            <w:noWrap w:val="0"/>
            <w:vAlign w:val="center"/>
          </w:tcPr>
          <w:p w14:paraId="27072F08">
            <w:pPr>
              <w:spacing w:line="480" w:lineRule="atLeast"/>
              <w:jc w:val="center"/>
              <w:rPr>
                <w:rFonts w:ascii="宋体" w:hAnsi="宋体" w:cs="仿宋_GB2312"/>
                <w:color w:val="auto"/>
                <w:sz w:val="24"/>
                <w:highlight w:val="none"/>
              </w:rPr>
            </w:pPr>
            <w:r>
              <w:rPr>
                <w:rFonts w:ascii="宋体" w:hAnsi="宋体" w:cs="仿宋_GB2312"/>
                <w:color w:val="auto"/>
                <w:sz w:val="24"/>
                <w:highlight w:val="none"/>
              </w:rPr>
              <w:t>服务名称</w:t>
            </w:r>
          </w:p>
        </w:tc>
        <w:tc>
          <w:tcPr>
            <w:tcW w:w="545" w:type="pct"/>
            <w:tcBorders>
              <w:top w:val="single" w:color="auto" w:sz="4" w:space="0"/>
              <w:left w:val="single" w:color="auto" w:sz="4" w:space="0"/>
              <w:bottom w:val="single" w:color="auto" w:sz="4" w:space="0"/>
              <w:right w:val="single" w:color="auto" w:sz="4" w:space="0"/>
            </w:tcBorders>
            <w:noWrap w:val="0"/>
            <w:vAlign w:val="center"/>
          </w:tcPr>
          <w:p w14:paraId="2ADAE95B">
            <w:pPr>
              <w:spacing w:line="480" w:lineRule="atLeast"/>
              <w:jc w:val="center"/>
              <w:rPr>
                <w:rFonts w:ascii="宋体" w:hAnsi="宋体" w:cs="仿宋_GB2312"/>
                <w:color w:val="auto"/>
                <w:sz w:val="24"/>
                <w:highlight w:val="none"/>
              </w:rPr>
            </w:pPr>
            <w:r>
              <w:rPr>
                <w:rFonts w:hint="eastAsia" w:ascii="宋体" w:hAnsi="宋体" w:cs="仿宋_GB2312"/>
                <w:color w:val="auto"/>
                <w:sz w:val="24"/>
                <w:highlight w:val="none"/>
              </w:rPr>
              <w:t>数量</w:t>
            </w:r>
          </w:p>
        </w:tc>
        <w:tc>
          <w:tcPr>
            <w:tcW w:w="1030" w:type="pct"/>
            <w:tcBorders>
              <w:top w:val="single" w:color="auto" w:sz="4" w:space="0"/>
              <w:left w:val="single" w:color="auto" w:sz="4" w:space="0"/>
              <w:bottom w:val="single" w:color="auto" w:sz="4" w:space="0"/>
              <w:right w:val="single" w:color="auto" w:sz="4" w:space="0"/>
            </w:tcBorders>
            <w:noWrap w:val="0"/>
            <w:vAlign w:val="center"/>
          </w:tcPr>
          <w:p w14:paraId="2E39944A">
            <w:pPr>
              <w:spacing w:line="480" w:lineRule="atLeast"/>
              <w:jc w:val="center"/>
              <w:rPr>
                <w:rFonts w:ascii="宋体" w:hAnsi="宋体" w:cs="仿宋_GB2312"/>
                <w:color w:val="auto"/>
                <w:sz w:val="24"/>
                <w:highlight w:val="none"/>
              </w:rPr>
            </w:pPr>
            <w:r>
              <w:rPr>
                <w:rFonts w:hint="eastAsia" w:ascii="宋体" w:hAnsi="宋体" w:cs="仿宋_GB2312"/>
                <w:color w:val="auto"/>
                <w:sz w:val="24"/>
                <w:highlight w:val="none"/>
              </w:rPr>
              <w:t>单项</w:t>
            </w:r>
            <w:r>
              <w:rPr>
                <w:rFonts w:ascii="宋体" w:hAnsi="宋体" w:cs="仿宋_GB2312"/>
                <w:color w:val="auto"/>
                <w:sz w:val="24"/>
                <w:highlight w:val="none"/>
              </w:rPr>
              <w:t>报价</w:t>
            </w:r>
            <w:r>
              <w:rPr>
                <w:rFonts w:hint="eastAsia" w:ascii="宋体" w:hAnsi="宋体" w:cs="仿宋_GB2312"/>
                <w:color w:val="auto"/>
                <w:sz w:val="24"/>
                <w:highlight w:val="none"/>
              </w:rPr>
              <w:t>(元)</w:t>
            </w:r>
          </w:p>
        </w:tc>
        <w:tc>
          <w:tcPr>
            <w:tcW w:w="878" w:type="pct"/>
            <w:tcBorders>
              <w:top w:val="single" w:color="auto" w:sz="4" w:space="0"/>
              <w:left w:val="single" w:color="auto" w:sz="4" w:space="0"/>
              <w:bottom w:val="single" w:color="auto" w:sz="4" w:space="0"/>
              <w:right w:val="single" w:color="auto" w:sz="4" w:space="0"/>
            </w:tcBorders>
            <w:noWrap w:val="0"/>
            <w:vAlign w:val="center"/>
          </w:tcPr>
          <w:p w14:paraId="30E6B222">
            <w:pPr>
              <w:spacing w:line="480" w:lineRule="atLeast"/>
              <w:jc w:val="center"/>
              <w:rPr>
                <w:rFonts w:ascii="宋体" w:hAnsi="宋体" w:cs="仿宋_GB2312"/>
                <w:color w:val="auto"/>
                <w:sz w:val="24"/>
                <w:highlight w:val="none"/>
              </w:rPr>
            </w:pPr>
            <w:r>
              <w:rPr>
                <w:rFonts w:hint="eastAsia" w:ascii="宋体" w:hAnsi="宋体" w:cs="仿宋_GB2312"/>
                <w:color w:val="auto"/>
                <w:sz w:val="24"/>
                <w:highlight w:val="none"/>
              </w:rPr>
              <w:t>总</w:t>
            </w:r>
            <w:r>
              <w:rPr>
                <w:rFonts w:ascii="宋体" w:hAnsi="宋体" w:cs="仿宋_GB2312"/>
                <w:color w:val="auto"/>
                <w:sz w:val="24"/>
                <w:highlight w:val="none"/>
              </w:rPr>
              <w:t>价</w:t>
            </w:r>
            <w:r>
              <w:rPr>
                <w:rFonts w:hint="eastAsia" w:ascii="宋体" w:hAnsi="宋体" w:cs="仿宋_GB2312"/>
                <w:color w:val="auto"/>
                <w:sz w:val="24"/>
                <w:highlight w:val="none"/>
              </w:rPr>
              <w:t>(元)</w:t>
            </w:r>
          </w:p>
        </w:tc>
      </w:tr>
      <w:tr w14:paraId="0ECC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right"/>
        </w:trPr>
        <w:tc>
          <w:tcPr>
            <w:tcW w:w="328" w:type="pct"/>
            <w:tcBorders>
              <w:top w:val="single" w:color="auto" w:sz="4" w:space="0"/>
              <w:left w:val="single" w:color="auto" w:sz="4" w:space="0"/>
              <w:bottom w:val="single" w:color="auto" w:sz="4" w:space="0"/>
              <w:right w:val="single" w:color="auto" w:sz="4" w:space="0"/>
            </w:tcBorders>
            <w:noWrap w:val="0"/>
            <w:vAlign w:val="center"/>
          </w:tcPr>
          <w:p w14:paraId="7CCAD12D">
            <w:pPr>
              <w:spacing w:line="480" w:lineRule="atLeast"/>
              <w:jc w:val="left"/>
              <w:rPr>
                <w:rFonts w:ascii="宋体" w:hAnsi="宋体" w:cs="仿宋_GB2312"/>
                <w:color w:val="auto"/>
                <w:sz w:val="24"/>
                <w:highlight w:val="none"/>
              </w:rPr>
            </w:pPr>
            <w:r>
              <w:rPr>
                <w:rFonts w:ascii="宋体" w:hAnsi="宋体" w:cs="仿宋_GB2312"/>
                <w:color w:val="auto"/>
                <w:sz w:val="24"/>
                <w:highlight w:val="none"/>
              </w:rPr>
              <w:t>1</w:t>
            </w:r>
          </w:p>
        </w:tc>
        <w:tc>
          <w:tcPr>
            <w:tcW w:w="2217" w:type="pct"/>
            <w:tcBorders>
              <w:top w:val="single" w:color="auto" w:sz="4" w:space="0"/>
              <w:left w:val="single" w:color="auto" w:sz="4" w:space="0"/>
              <w:bottom w:val="single" w:color="auto" w:sz="4" w:space="0"/>
              <w:right w:val="single" w:color="auto" w:sz="4" w:space="0"/>
            </w:tcBorders>
            <w:noWrap w:val="0"/>
            <w:vAlign w:val="center"/>
          </w:tcPr>
          <w:p w14:paraId="542C0A60">
            <w:pPr>
              <w:widowControl/>
              <w:snapToGrid w:val="0"/>
              <w:spacing w:line="380" w:lineRule="exact"/>
              <w:jc w:val="center"/>
              <w:rPr>
                <w:rFonts w:ascii="宋体" w:hAnsi="宋体" w:cs="仿宋_GB2312"/>
                <w:color w:val="auto"/>
                <w:sz w:val="24"/>
                <w:highlight w:val="none"/>
              </w:rPr>
            </w:pPr>
          </w:p>
        </w:tc>
        <w:tc>
          <w:tcPr>
            <w:tcW w:w="545" w:type="pct"/>
            <w:tcBorders>
              <w:top w:val="single" w:color="auto" w:sz="4" w:space="0"/>
              <w:left w:val="single" w:color="auto" w:sz="4" w:space="0"/>
              <w:bottom w:val="single" w:color="auto" w:sz="4" w:space="0"/>
              <w:right w:val="single" w:color="auto" w:sz="4" w:space="0"/>
            </w:tcBorders>
            <w:noWrap w:val="0"/>
            <w:vAlign w:val="center"/>
          </w:tcPr>
          <w:p w14:paraId="67035B6D">
            <w:pPr>
              <w:spacing w:line="480" w:lineRule="atLeast"/>
              <w:jc w:val="center"/>
              <w:rPr>
                <w:rFonts w:ascii="宋体" w:hAnsi="宋体" w:cs="宋体"/>
                <w:color w:val="auto"/>
                <w:sz w:val="24"/>
                <w:highlight w:val="none"/>
              </w:rPr>
            </w:pPr>
            <w:r>
              <w:rPr>
                <w:rFonts w:hint="eastAsia" w:ascii="宋体" w:hAnsi="宋体" w:cs="宋体"/>
                <w:color w:val="auto"/>
                <w:sz w:val="24"/>
                <w:highlight w:val="none"/>
              </w:rPr>
              <w:t>1项</w:t>
            </w:r>
          </w:p>
        </w:tc>
        <w:tc>
          <w:tcPr>
            <w:tcW w:w="1030" w:type="pct"/>
            <w:tcBorders>
              <w:top w:val="single" w:color="auto" w:sz="4" w:space="0"/>
              <w:left w:val="single" w:color="auto" w:sz="4" w:space="0"/>
              <w:bottom w:val="single" w:color="auto" w:sz="4" w:space="0"/>
              <w:right w:val="single" w:color="auto" w:sz="4" w:space="0"/>
            </w:tcBorders>
            <w:noWrap w:val="0"/>
            <w:vAlign w:val="center"/>
          </w:tcPr>
          <w:p w14:paraId="633B543A">
            <w:pPr>
              <w:spacing w:line="480" w:lineRule="atLeast"/>
              <w:jc w:val="center"/>
              <w:rPr>
                <w:rFonts w:ascii="宋体" w:hAnsi="宋体" w:cs="宋体"/>
                <w:color w:val="auto"/>
                <w:sz w:val="24"/>
                <w:highlight w:val="none"/>
              </w:rPr>
            </w:pPr>
          </w:p>
        </w:tc>
        <w:tc>
          <w:tcPr>
            <w:tcW w:w="878" w:type="pct"/>
            <w:tcBorders>
              <w:top w:val="single" w:color="auto" w:sz="4" w:space="0"/>
              <w:left w:val="single" w:color="auto" w:sz="4" w:space="0"/>
              <w:bottom w:val="single" w:color="auto" w:sz="4" w:space="0"/>
              <w:right w:val="single" w:color="auto" w:sz="4" w:space="0"/>
            </w:tcBorders>
            <w:noWrap w:val="0"/>
            <w:vAlign w:val="center"/>
          </w:tcPr>
          <w:p w14:paraId="4B366CED">
            <w:pPr>
              <w:spacing w:line="480" w:lineRule="atLeast"/>
              <w:jc w:val="center"/>
              <w:rPr>
                <w:rFonts w:ascii="宋体" w:hAnsi="宋体" w:cs="宋体"/>
                <w:color w:val="auto"/>
                <w:sz w:val="24"/>
                <w:highlight w:val="none"/>
              </w:rPr>
            </w:pPr>
          </w:p>
        </w:tc>
      </w:tr>
      <w:tr w14:paraId="10AB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right"/>
        </w:trPr>
        <w:tc>
          <w:tcPr>
            <w:tcW w:w="328" w:type="pct"/>
            <w:tcBorders>
              <w:top w:val="single" w:color="auto" w:sz="4" w:space="0"/>
              <w:left w:val="single" w:color="auto" w:sz="4" w:space="0"/>
              <w:bottom w:val="single" w:color="auto" w:sz="4" w:space="0"/>
              <w:right w:val="single" w:color="auto" w:sz="4" w:space="0"/>
            </w:tcBorders>
            <w:noWrap w:val="0"/>
            <w:vAlign w:val="center"/>
          </w:tcPr>
          <w:p w14:paraId="69F7A4E6">
            <w:pPr>
              <w:spacing w:line="480" w:lineRule="atLeast"/>
              <w:jc w:val="left"/>
              <w:rPr>
                <w:rFonts w:ascii="宋体" w:hAnsi="宋体" w:cs="仿宋_GB2312"/>
                <w:color w:val="auto"/>
                <w:sz w:val="24"/>
                <w:highlight w:val="none"/>
              </w:rPr>
            </w:pPr>
            <w:r>
              <w:rPr>
                <w:rFonts w:hint="eastAsia" w:ascii="宋体" w:hAnsi="宋体" w:cs="仿宋_GB2312"/>
                <w:color w:val="auto"/>
                <w:sz w:val="24"/>
                <w:highlight w:val="none"/>
              </w:rPr>
              <w:t>2</w:t>
            </w:r>
          </w:p>
        </w:tc>
        <w:tc>
          <w:tcPr>
            <w:tcW w:w="2217" w:type="pct"/>
            <w:tcBorders>
              <w:top w:val="single" w:color="auto" w:sz="4" w:space="0"/>
              <w:left w:val="single" w:color="auto" w:sz="4" w:space="0"/>
              <w:bottom w:val="single" w:color="auto" w:sz="4" w:space="0"/>
              <w:right w:val="single" w:color="auto" w:sz="4" w:space="0"/>
            </w:tcBorders>
            <w:noWrap w:val="0"/>
            <w:vAlign w:val="center"/>
          </w:tcPr>
          <w:p w14:paraId="2BA525EA">
            <w:pPr>
              <w:spacing w:line="480" w:lineRule="atLeast"/>
              <w:jc w:val="center"/>
              <w:rPr>
                <w:rFonts w:ascii="宋体" w:hAnsi="宋体" w:cs="仿宋_GB2312"/>
                <w:color w:val="auto"/>
                <w:sz w:val="24"/>
                <w:highlight w:val="none"/>
              </w:rPr>
            </w:pPr>
          </w:p>
        </w:tc>
        <w:tc>
          <w:tcPr>
            <w:tcW w:w="545" w:type="pct"/>
            <w:tcBorders>
              <w:top w:val="single" w:color="auto" w:sz="4" w:space="0"/>
              <w:left w:val="single" w:color="auto" w:sz="4" w:space="0"/>
              <w:bottom w:val="single" w:color="auto" w:sz="4" w:space="0"/>
              <w:right w:val="single" w:color="auto" w:sz="4" w:space="0"/>
            </w:tcBorders>
            <w:noWrap w:val="0"/>
            <w:vAlign w:val="center"/>
          </w:tcPr>
          <w:p w14:paraId="345D6E8F">
            <w:pPr>
              <w:spacing w:line="480" w:lineRule="atLeast"/>
              <w:jc w:val="center"/>
              <w:rPr>
                <w:rFonts w:ascii="宋体" w:hAnsi="宋体" w:cs="宋体"/>
                <w:color w:val="auto"/>
                <w:sz w:val="24"/>
                <w:highlight w:val="none"/>
              </w:rPr>
            </w:pPr>
            <w:r>
              <w:rPr>
                <w:rFonts w:hint="eastAsia" w:ascii="宋体" w:hAnsi="宋体" w:cs="宋体"/>
                <w:color w:val="auto"/>
                <w:sz w:val="24"/>
                <w:highlight w:val="none"/>
              </w:rPr>
              <w:t>1项</w:t>
            </w:r>
          </w:p>
        </w:tc>
        <w:tc>
          <w:tcPr>
            <w:tcW w:w="1030" w:type="pct"/>
            <w:tcBorders>
              <w:top w:val="single" w:color="auto" w:sz="4" w:space="0"/>
              <w:left w:val="single" w:color="auto" w:sz="4" w:space="0"/>
              <w:bottom w:val="single" w:color="auto" w:sz="4" w:space="0"/>
              <w:right w:val="single" w:color="auto" w:sz="4" w:space="0"/>
            </w:tcBorders>
            <w:noWrap w:val="0"/>
            <w:vAlign w:val="center"/>
          </w:tcPr>
          <w:p w14:paraId="74B7CC1F">
            <w:pPr>
              <w:spacing w:line="480" w:lineRule="atLeast"/>
              <w:jc w:val="center"/>
              <w:rPr>
                <w:rFonts w:ascii="宋体" w:hAnsi="宋体" w:cs="宋体"/>
                <w:color w:val="auto"/>
                <w:sz w:val="24"/>
                <w:highlight w:val="none"/>
              </w:rPr>
            </w:pPr>
          </w:p>
        </w:tc>
        <w:tc>
          <w:tcPr>
            <w:tcW w:w="878" w:type="pct"/>
            <w:tcBorders>
              <w:top w:val="single" w:color="auto" w:sz="4" w:space="0"/>
              <w:left w:val="single" w:color="auto" w:sz="4" w:space="0"/>
              <w:bottom w:val="single" w:color="auto" w:sz="4" w:space="0"/>
              <w:right w:val="single" w:color="auto" w:sz="4" w:space="0"/>
            </w:tcBorders>
            <w:noWrap w:val="0"/>
            <w:vAlign w:val="center"/>
          </w:tcPr>
          <w:p w14:paraId="3C7B8736">
            <w:pPr>
              <w:spacing w:line="480" w:lineRule="atLeast"/>
              <w:jc w:val="center"/>
              <w:rPr>
                <w:rFonts w:ascii="宋体" w:hAnsi="宋体" w:cs="宋体"/>
                <w:color w:val="auto"/>
                <w:sz w:val="24"/>
                <w:highlight w:val="none"/>
              </w:rPr>
            </w:pPr>
          </w:p>
        </w:tc>
      </w:tr>
      <w:tr w14:paraId="2F1B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right"/>
        </w:trPr>
        <w:tc>
          <w:tcPr>
            <w:tcW w:w="328" w:type="pct"/>
            <w:tcBorders>
              <w:top w:val="single" w:color="auto" w:sz="4" w:space="0"/>
              <w:left w:val="single" w:color="auto" w:sz="4" w:space="0"/>
              <w:bottom w:val="single" w:color="auto" w:sz="4" w:space="0"/>
              <w:right w:val="single" w:color="auto" w:sz="4" w:space="0"/>
            </w:tcBorders>
            <w:noWrap w:val="0"/>
            <w:vAlign w:val="center"/>
          </w:tcPr>
          <w:p w14:paraId="25DED5BB">
            <w:pPr>
              <w:spacing w:line="480" w:lineRule="atLeast"/>
              <w:jc w:val="left"/>
              <w:rPr>
                <w:rFonts w:ascii="宋体" w:hAnsi="宋体" w:cs="仿宋_GB2312"/>
                <w:color w:val="auto"/>
                <w:sz w:val="24"/>
                <w:highlight w:val="none"/>
              </w:rPr>
            </w:pPr>
            <w:r>
              <w:rPr>
                <w:rFonts w:hint="eastAsia" w:ascii="宋体" w:hAnsi="宋体" w:cs="仿宋_GB2312"/>
                <w:color w:val="auto"/>
                <w:sz w:val="24"/>
                <w:highlight w:val="none"/>
              </w:rPr>
              <w:t>3</w:t>
            </w:r>
          </w:p>
        </w:tc>
        <w:tc>
          <w:tcPr>
            <w:tcW w:w="2217" w:type="pct"/>
            <w:tcBorders>
              <w:top w:val="single" w:color="auto" w:sz="4" w:space="0"/>
              <w:left w:val="single" w:color="auto" w:sz="4" w:space="0"/>
              <w:bottom w:val="single" w:color="auto" w:sz="4" w:space="0"/>
              <w:right w:val="single" w:color="auto" w:sz="4" w:space="0"/>
            </w:tcBorders>
            <w:noWrap w:val="0"/>
            <w:vAlign w:val="center"/>
          </w:tcPr>
          <w:p w14:paraId="42A53663">
            <w:pPr>
              <w:spacing w:line="480" w:lineRule="atLeast"/>
              <w:jc w:val="center"/>
              <w:rPr>
                <w:rFonts w:ascii="宋体" w:hAnsi="宋体" w:cs="仿宋_GB2312"/>
                <w:color w:val="auto"/>
                <w:sz w:val="24"/>
                <w:highlight w:val="none"/>
              </w:rPr>
            </w:pPr>
          </w:p>
        </w:tc>
        <w:tc>
          <w:tcPr>
            <w:tcW w:w="545" w:type="pct"/>
            <w:tcBorders>
              <w:top w:val="single" w:color="auto" w:sz="4" w:space="0"/>
              <w:left w:val="single" w:color="auto" w:sz="4" w:space="0"/>
              <w:bottom w:val="single" w:color="auto" w:sz="4" w:space="0"/>
              <w:right w:val="single" w:color="auto" w:sz="4" w:space="0"/>
            </w:tcBorders>
            <w:noWrap w:val="0"/>
            <w:vAlign w:val="center"/>
          </w:tcPr>
          <w:p w14:paraId="5F1F9E6C">
            <w:pPr>
              <w:spacing w:line="480" w:lineRule="atLeast"/>
              <w:jc w:val="center"/>
              <w:rPr>
                <w:rFonts w:ascii="宋体" w:hAnsi="宋体" w:cs="宋体"/>
                <w:color w:val="auto"/>
                <w:sz w:val="24"/>
                <w:highlight w:val="none"/>
              </w:rPr>
            </w:pPr>
            <w:r>
              <w:rPr>
                <w:rFonts w:hint="eastAsia" w:ascii="宋体" w:hAnsi="宋体" w:cs="宋体"/>
                <w:color w:val="auto"/>
                <w:sz w:val="24"/>
                <w:highlight w:val="none"/>
              </w:rPr>
              <w:t>1项</w:t>
            </w:r>
          </w:p>
        </w:tc>
        <w:tc>
          <w:tcPr>
            <w:tcW w:w="1030" w:type="pct"/>
            <w:tcBorders>
              <w:top w:val="single" w:color="auto" w:sz="4" w:space="0"/>
              <w:left w:val="single" w:color="auto" w:sz="4" w:space="0"/>
              <w:bottom w:val="single" w:color="auto" w:sz="4" w:space="0"/>
              <w:right w:val="single" w:color="auto" w:sz="4" w:space="0"/>
            </w:tcBorders>
            <w:noWrap w:val="0"/>
            <w:vAlign w:val="center"/>
          </w:tcPr>
          <w:p w14:paraId="66F91102">
            <w:pPr>
              <w:spacing w:line="480" w:lineRule="atLeast"/>
              <w:jc w:val="center"/>
              <w:rPr>
                <w:rFonts w:ascii="宋体" w:hAnsi="宋体" w:cs="宋体"/>
                <w:color w:val="auto"/>
                <w:sz w:val="24"/>
                <w:highlight w:val="none"/>
              </w:rPr>
            </w:pPr>
          </w:p>
        </w:tc>
        <w:tc>
          <w:tcPr>
            <w:tcW w:w="878" w:type="pct"/>
            <w:tcBorders>
              <w:top w:val="single" w:color="auto" w:sz="4" w:space="0"/>
              <w:left w:val="single" w:color="auto" w:sz="4" w:space="0"/>
              <w:bottom w:val="single" w:color="auto" w:sz="4" w:space="0"/>
              <w:right w:val="single" w:color="auto" w:sz="4" w:space="0"/>
            </w:tcBorders>
            <w:noWrap w:val="0"/>
            <w:vAlign w:val="center"/>
          </w:tcPr>
          <w:p w14:paraId="0ADE48B7">
            <w:pPr>
              <w:spacing w:line="480" w:lineRule="atLeast"/>
              <w:jc w:val="center"/>
              <w:rPr>
                <w:rFonts w:ascii="宋体" w:hAnsi="宋体" w:cs="宋体"/>
                <w:color w:val="auto"/>
                <w:sz w:val="24"/>
                <w:highlight w:val="none"/>
              </w:rPr>
            </w:pPr>
          </w:p>
        </w:tc>
      </w:tr>
      <w:tr w14:paraId="0A2A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right"/>
        </w:trPr>
        <w:tc>
          <w:tcPr>
            <w:tcW w:w="328" w:type="pct"/>
            <w:tcBorders>
              <w:top w:val="single" w:color="auto" w:sz="4" w:space="0"/>
              <w:left w:val="single" w:color="auto" w:sz="4" w:space="0"/>
              <w:bottom w:val="single" w:color="auto" w:sz="4" w:space="0"/>
              <w:right w:val="single" w:color="auto" w:sz="4" w:space="0"/>
            </w:tcBorders>
            <w:noWrap w:val="0"/>
            <w:vAlign w:val="center"/>
          </w:tcPr>
          <w:p w14:paraId="586D7F3C">
            <w:pPr>
              <w:spacing w:line="480" w:lineRule="atLeast"/>
              <w:jc w:val="left"/>
              <w:rPr>
                <w:rFonts w:ascii="宋体" w:hAnsi="宋体" w:cs="仿宋_GB2312"/>
                <w:color w:val="auto"/>
                <w:sz w:val="24"/>
                <w:highlight w:val="none"/>
              </w:rPr>
            </w:pPr>
            <w:r>
              <w:rPr>
                <w:rFonts w:hint="eastAsia" w:ascii="宋体" w:hAnsi="宋体" w:cs="仿宋_GB2312"/>
                <w:color w:val="auto"/>
                <w:sz w:val="24"/>
                <w:highlight w:val="none"/>
              </w:rPr>
              <w:t>4</w:t>
            </w:r>
          </w:p>
        </w:tc>
        <w:tc>
          <w:tcPr>
            <w:tcW w:w="2217" w:type="pct"/>
            <w:tcBorders>
              <w:top w:val="single" w:color="auto" w:sz="4" w:space="0"/>
              <w:left w:val="single" w:color="auto" w:sz="4" w:space="0"/>
              <w:bottom w:val="single" w:color="auto" w:sz="4" w:space="0"/>
              <w:right w:val="single" w:color="auto" w:sz="4" w:space="0"/>
            </w:tcBorders>
            <w:noWrap w:val="0"/>
            <w:vAlign w:val="center"/>
          </w:tcPr>
          <w:p w14:paraId="1A0A5FEF">
            <w:pPr>
              <w:spacing w:line="480" w:lineRule="atLeast"/>
              <w:jc w:val="center"/>
              <w:rPr>
                <w:rFonts w:ascii="宋体" w:hAnsi="宋体" w:cs="仿宋_GB2312"/>
                <w:color w:val="auto"/>
                <w:sz w:val="24"/>
                <w:highlight w:val="none"/>
              </w:rPr>
            </w:pPr>
          </w:p>
        </w:tc>
        <w:tc>
          <w:tcPr>
            <w:tcW w:w="545" w:type="pct"/>
            <w:tcBorders>
              <w:top w:val="single" w:color="auto" w:sz="4" w:space="0"/>
              <w:left w:val="single" w:color="auto" w:sz="4" w:space="0"/>
              <w:bottom w:val="single" w:color="auto" w:sz="4" w:space="0"/>
              <w:right w:val="single" w:color="auto" w:sz="4" w:space="0"/>
            </w:tcBorders>
            <w:noWrap w:val="0"/>
            <w:vAlign w:val="center"/>
          </w:tcPr>
          <w:p w14:paraId="5CF5BFA5">
            <w:pPr>
              <w:spacing w:line="480" w:lineRule="atLeast"/>
              <w:jc w:val="center"/>
              <w:rPr>
                <w:rFonts w:ascii="宋体" w:hAnsi="宋体" w:cs="宋体"/>
                <w:color w:val="auto"/>
                <w:sz w:val="24"/>
                <w:highlight w:val="none"/>
              </w:rPr>
            </w:pPr>
            <w:r>
              <w:rPr>
                <w:rFonts w:hint="eastAsia" w:ascii="宋体" w:hAnsi="宋体" w:cs="宋体"/>
                <w:color w:val="auto"/>
                <w:sz w:val="24"/>
                <w:highlight w:val="none"/>
              </w:rPr>
              <w:t>1项</w:t>
            </w:r>
          </w:p>
        </w:tc>
        <w:tc>
          <w:tcPr>
            <w:tcW w:w="1030" w:type="pct"/>
            <w:tcBorders>
              <w:top w:val="single" w:color="auto" w:sz="4" w:space="0"/>
              <w:left w:val="single" w:color="auto" w:sz="4" w:space="0"/>
              <w:bottom w:val="single" w:color="auto" w:sz="4" w:space="0"/>
              <w:right w:val="single" w:color="auto" w:sz="4" w:space="0"/>
            </w:tcBorders>
            <w:noWrap w:val="0"/>
            <w:vAlign w:val="center"/>
          </w:tcPr>
          <w:p w14:paraId="66A27079">
            <w:pPr>
              <w:spacing w:line="480" w:lineRule="atLeast"/>
              <w:jc w:val="center"/>
              <w:rPr>
                <w:rFonts w:ascii="宋体" w:hAnsi="宋体" w:cs="宋体"/>
                <w:color w:val="auto"/>
                <w:sz w:val="24"/>
                <w:highlight w:val="none"/>
              </w:rPr>
            </w:pPr>
          </w:p>
        </w:tc>
        <w:tc>
          <w:tcPr>
            <w:tcW w:w="878" w:type="pct"/>
            <w:tcBorders>
              <w:top w:val="single" w:color="auto" w:sz="4" w:space="0"/>
              <w:left w:val="single" w:color="auto" w:sz="4" w:space="0"/>
              <w:bottom w:val="single" w:color="auto" w:sz="4" w:space="0"/>
              <w:right w:val="single" w:color="auto" w:sz="4" w:space="0"/>
            </w:tcBorders>
            <w:noWrap w:val="0"/>
            <w:vAlign w:val="center"/>
          </w:tcPr>
          <w:p w14:paraId="3245703D">
            <w:pPr>
              <w:spacing w:line="480" w:lineRule="atLeast"/>
              <w:jc w:val="center"/>
              <w:rPr>
                <w:rFonts w:ascii="宋体" w:hAnsi="宋体" w:cs="宋体"/>
                <w:color w:val="auto"/>
                <w:sz w:val="24"/>
                <w:highlight w:val="none"/>
              </w:rPr>
            </w:pPr>
          </w:p>
        </w:tc>
      </w:tr>
      <w:tr w14:paraId="4151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right"/>
        </w:trPr>
        <w:tc>
          <w:tcPr>
            <w:tcW w:w="328" w:type="pct"/>
            <w:tcBorders>
              <w:top w:val="single" w:color="auto" w:sz="4" w:space="0"/>
              <w:left w:val="single" w:color="auto" w:sz="4" w:space="0"/>
              <w:bottom w:val="single" w:color="auto" w:sz="4" w:space="0"/>
              <w:right w:val="single" w:color="auto" w:sz="4" w:space="0"/>
            </w:tcBorders>
            <w:noWrap w:val="0"/>
            <w:vAlign w:val="center"/>
          </w:tcPr>
          <w:p w14:paraId="506C47D7">
            <w:pPr>
              <w:spacing w:line="480" w:lineRule="atLeast"/>
              <w:jc w:val="left"/>
              <w:rPr>
                <w:rFonts w:ascii="宋体" w:hAnsi="宋体" w:cs="仿宋_GB2312"/>
                <w:color w:val="auto"/>
                <w:sz w:val="24"/>
                <w:highlight w:val="none"/>
              </w:rPr>
            </w:pPr>
            <w:r>
              <w:rPr>
                <w:rFonts w:hint="eastAsia" w:ascii="宋体" w:hAnsi="宋体" w:cs="仿宋_GB2312"/>
                <w:color w:val="auto"/>
                <w:sz w:val="24"/>
                <w:highlight w:val="none"/>
              </w:rPr>
              <w:t>5</w:t>
            </w:r>
          </w:p>
        </w:tc>
        <w:tc>
          <w:tcPr>
            <w:tcW w:w="2217" w:type="pct"/>
            <w:tcBorders>
              <w:top w:val="single" w:color="auto" w:sz="4" w:space="0"/>
              <w:left w:val="single" w:color="auto" w:sz="4" w:space="0"/>
              <w:bottom w:val="single" w:color="auto" w:sz="4" w:space="0"/>
              <w:right w:val="single" w:color="auto" w:sz="4" w:space="0"/>
            </w:tcBorders>
            <w:noWrap w:val="0"/>
            <w:vAlign w:val="center"/>
          </w:tcPr>
          <w:p w14:paraId="5CFE5EFF">
            <w:pPr>
              <w:spacing w:line="480" w:lineRule="atLeast"/>
              <w:jc w:val="center"/>
              <w:rPr>
                <w:rFonts w:ascii="宋体" w:hAnsi="宋体" w:cs="仿宋_GB2312"/>
                <w:color w:val="auto"/>
                <w:sz w:val="24"/>
                <w:highlight w:val="none"/>
              </w:rPr>
            </w:pPr>
          </w:p>
        </w:tc>
        <w:tc>
          <w:tcPr>
            <w:tcW w:w="545" w:type="pct"/>
            <w:tcBorders>
              <w:top w:val="single" w:color="auto" w:sz="4" w:space="0"/>
              <w:left w:val="single" w:color="auto" w:sz="4" w:space="0"/>
              <w:bottom w:val="single" w:color="auto" w:sz="4" w:space="0"/>
              <w:right w:val="single" w:color="auto" w:sz="4" w:space="0"/>
            </w:tcBorders>
            <w:noWrap w:val="0"/>
            <w:vAlign w:val="center"/>
          </w:tcPr>
          <w:p w14:paraId="5BD2D757">
            <w:pPr>
              <w:spacing w:line="480" w:lineRule="atLeast"/>
              <w:jc w:val="center"/>
              <w:rPr>
                <w:rFonts w:ascii="宋体" w:hAnsi="宋体" w:cs="宋体"/>
                <w:color w:val="auto"/>
                <w:sz w:val="24"/>
                <w:highlight w:val="none"/>
              </w:rPr>
            </w:pPr>
            <w:r>
              <w:rPr>
                <w:rFonts w:hint="eastAsia" w:ascii="宋体" w:hAnsi="宋体" w:cs="宋体"/>
                <w:color w:val="auto"/>
                <w:sz w:val="24"/>
                <w:highlight w:val="none"/>
              </w:rPr>
              <w:t>1项</w:t>
            </w:r>
          </w:p>
        </w:tc>
        <w:tc>
          <w:tcPr>
            <w:tcW w:w="1030" w:type="pct"/>
            <w:tcBorders>
              <w:top w:val="single" w:color="auto" w:sz="4" w:space="0"/>
              <w:left w:val="single" w:color="auto" w:sz="4" w:space="0"/>
              <w:bottom w:val="single" w:color="auto" w:sz="4" w:space="0"/>
              <w:right w:val="single" w:color="auto" w:sz="4" w:space="0"/>
            </w:tcBorders>
            <w:noWrap w:val="0"/>
            <w:vAlign w:val="center"/>
          </w:tcPr>
          <w:p w14:paraId="58286096">
            <w:pPr>
              <w:spacing w:line="480" w:lineRule="atLeast"/>
              <w:jc w:val="center"/>
              <w:rPr>
                <w:rFonts w:ascii="宋体" w:hAnsi="宋体" w:cs="宋体"/>
                <w:color w:val="auto"/>
                <w:sz w:val="24"/>
                <w:highlight w:val="none"/>
              </w:rPr>
            </w:pPr>
          </w:p>
        </w:tc>
        <w:tc>
          <w:tcPr>
            <w:tcW w:w="878" w:type="pct"/>
            <w:tcBorders>
              <w:top w:val="single" w:color="auto" w:sz="4" w:space="0"/>
              <w:left w:val="single" w:color="auto" w:sz="4" w:space="0"/>
              <w:bottom w:val="single" w:color="auto" w:sz="4" w:space="0"/>
              <w:right w:val="single" w:color="auto" w:sz="4" w:space="0"/>
            </w:tcBorders>
            <w:noWrap w:val="0"/>
            <w:vAlign w:val="center"/>
          </w:tcPr>
          <w:p w14:paraId="14705D3F">
            <w:pPr>
              <w:spacing w:line="480" w:lineRule="atLeast"/>
              <w:jc w:val="center"/>
              <w:rPr>
                <w:rFonts w:ascii="宋体" w:hAnsi="宋体" w:cs="宋体"/>
                <w:color w:val="auto"/>
                <w:sz w:val="24"/>
                <w:highlight w:val="none"/>
              </w:rPr>
            </w:pPr>
          </w:p>
        </w:tc>
      </w:tr>
      <w:tr w14:paraId="3BE6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right"/>
        </w:trPr>
        <w:tc>
          <w:tcPr>
            <w:tcW w:w="328" w:type="pct"/>
            <w:tcBorders>
              <w:top w:val="single" w:color="auto" w:sz="4" w:space="0"/>
              <w:left w:val="single" w:color="auto" w:sz="4" w:space="0"/>
              <w:bottom w:val="single" w:color="auto" w:sz="4" w:space="0"/>
              <w:right w:val="single" w:color="auto" w:sz="4" w:space="0"/>
            </w:tcBorders>
            <w:noWrap w:val="0"/>
            <w:vAlign w:val="center"/>
          </w:tcPr>
          <w:p w14:paraId="75068F60">
            <w:pPr>
              <w:spacing w:line="480" w:lineRule="atLeast"/>
              <w:jc w:val="left"/>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6</w:t>
            </w:r>
          </w:p>
        </w:tc>
        <w:tc>
          <w:tcPr>
            <w:tcW w:w="2217" w:type="pct"/>
            <w:tcBorders>
              <w:top w:val="single" w:color="auto" w:sz="4" w:space="0"/>
              <w:left w:val="single" w:color="auto" w:sz="4" w:space="0"/>
              <w:bottom w:val="single" w:color="auto" w:sz="4" w:space="0"/>
              <w:right w:val="single" w:color="auto" w:sz="4" w:space="0"/>
            </w:tcBorders>
            <w:noWrap w:val="0"/>
            <w:vAlign w:val="center"/>
          </w:tcPr>
          <w:p w14:paraId="7C1F0C06">
            <w:pPr>
              <w:spacing w:line="480" w:lineRule="atLeast"/>
              <w:jc w:val="center"/>
              <w:rPr>
                <w:rFonts w:ascii="宋体" w:hAnsi="宋体" w:cs="仿宋_GB2312"/>
                <w:color w:val="auto"/>
                <w:sz w:val="24"/>
                <w:highlight w:val="none"/>
              </w:rPr>
            </w:pPr>
          </w:p>
        </w:tc>
        <w:tc>
          <w:tcPr>
            <w:tcW w:w="545" w:type="pct"/>
            <w:tcBorders>
              <w:top w:val="single" w:color="auto" w:sz="4" w:space="0"/>
              <w:left w:val="single" w:color="auto" w:sz="4" w:space="0"/>
              <w:bottom w:val="single" w:color="auto" w:sz="4" w:space="0"/>
              <w:right w:val="single" w:color="auto" w:sz="4" w:space="0"/>
            </w:tcBorders>
            <w:noWrap w:val="0"/>
            <w:vAlign w:val="center"/>
          </w:tcPr>
          <w:p w14:paraId="1E314830">
            <w:pPr>
              <w:spacing w:line="480" w:lineRule="atLeast"/>
              <w:jc w:val="center"/>
              <w:rPr>
                <w:rFonts w:hint="eastAsia" w:ascii="宋体" w:hAnsi="宋体" w:cs="宋体"/>
                <w:color w:val="auto"/>
                <w:sz w:val="24"/>
                <w:highlight w:val="none"/>
              </w:rPr>
            </w:pPr>
            <w:r>
              <w:rPr>
                <w:rFonts w:hint="eastAsia" w:ascii="宋体" w:hAnsi="宋体" w:cs="宋体"/>
                <w:color w:val="auto"/>
                <w:sz w:val="24"/>
                <w:highlight w:val="none"/>
              </w:rPr>
              <w:t>1项</w:t>
            </w:r>
          </w:p>
        </w:tc>
        <w:tc>
          <w:tcPr>
            <w:tcW w:w="1030" w:type="pct"/>
            <w:tcBorders>
              <w:top w:val="single" w:color="auto" w:sz="4" w:space="0"/>
              <w:left w:val="single" w:color="auto" w:sz="4" w:space="0"/>
              <w:bottom w:val="single" w:color="auto" w:sz="4" w:space="0"/>
              <w:right w:val="single" w:color="auto" w:sz="4" w:space="0"/>
            </w:tcBorders>
            <w:noWrap w:val="0"/>
            <w:vAlign w:val="center"/>
          </w:tcPr>
          <w:p w14:paraId="3AEB77DB">
            <w:pPr>
              <w:spacing w:line="480" w:lineRule="atLeast"/>
              <w:jc w:val="center"/>
              <w:rPr>
                <w:rFonts w:ascii="宋体" w:hAnsi="宋体" w:cs="宋体"/>
                <w:color w:val="auto"/>
                <w:sz w:val="24"/>
                <w:highlight w:val="none"/>
              </w:rPr>
            </w:pPr>
          </w:p>
        </w:tc>
        <w:tc>
          <w:tcPr>
            <w:tcW w:w="878" w:type="pct"/>
            <w:tcBorders>
              <w:top w:val="single" w:color="auto" w:sz="4" w:space="0"/>
              <w:left w:val="single" w:color="auto" w:sz="4" w:space="0"/>
              <w:bottom w:val="single" w:color="auto" w:sz="4" w:space="0"/>
              <w:right w:val="single" w:color="auto" w:sz="4" w:space="0"/>
            </w:tcBorders>
            <w:noWrap w:val="0"/>
            <w:vAlign w:val="center"/>
          </w:tcPr>
          <w:p w14:paraId="49AE1691">
            <w:pPr>
              <w:spacing w:line="480" w:lineRule="atLeast"/>
              <w:jc w:val="center"/>
              <w:rPr>
                <w:rFonts w:ascii="宋体" w:hAnsi="宋体" w:cs="宋体"/>
                <w:color w:val="auto"/>
                <w:sz w:val="24"/>
                <w:highlight w:val="none"/>
              </w:rPr>
            </w:pPr>
          </w:p>
        </w:tc>
      </w:tr>
      <w:tr w14:paraId="0A8E5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righ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071B6D61">
            <w:pPr>
              <w:snapToGrid w:val="0"/>
              <w:spacing w:before="50" w:after="50" w:line="480" w:lineRule="atLeast"/>
              <w:jc w:val="left"/>
              <w:rPr>
                <w:rFonts w:ascii="宋体" w:hAnsi="宋体" w:cs="仿宋_GB2312"/>
                <w:color w:val="auto"/>
                <w:sz w:val="24"/>
                <w:highlight w:val="none"/>
              </w:rPr>
            </w:pPr>
            <w:r>
              <w:rPr>
                <w:rFonts w:hint="eastAsia" w:ascii="宋体" w:hAnsi="宋体" w:cs="仿宋_GB2312"/>
                <w:color w:val="auto"/>
                <w:sz w:val="24"/>
                <w:highlight w:val="none"/>
              </w:rPr>
              <w:t>合计金额大写：</w:t>
            </w:r>
          </w:p>
        </w:tc>
      </w:tr>
    </w:tbl>
    <w:p w14:paraId="17753D1B">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2、合同合计金额包括</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为实现服务成果所需的资料收集费、调研考察费、工作经费等必要的保险费用和各项税金、其他培训、技术支持等费用、乙方在实施项目过程中的交通费、差旅费、住宿费、伙食费及完成本次检查工作所产生的其他费用（包括但不限于已经列出或未列举出的费用）</w:t>
      </w:r>
      <w:r>
        <w:rPr>
          <w:rFonts w:hint="eastAsia" w:ascii="宋体" w:hAnsi="宋体" w:cs="宋体"/>
          <w:color w:val="auto"/>
          <w:sz w:val="24"/>
          <w:highlight w:val="none"/>
          <w:lang w:eastAsia="zh-CN"/>
        </w:rPr>
        <w:t>。</w:t>
      </w:r>
      <w:r>
        <w:rPr>
          <w:rFonts w:hint="eastAsia" w:ascii="宋体" w:hAnsi="宋体" w:cs="宋体"/>
          <w:color w:val="auto"/>
          <w:sz w:val="24"/>
          <w:highlight w:val="none"/>
        </w:rPr>
        <w:t>除非双方同意并签订</w:t>
      </w:r>
      <w:r>
        <w:rPr>
          <w:rFonts w:hint="eastAsia" w:ascii="宋体" w:hAnsi="宋体" w:cs="宋体"/>
          <w:color w:val="auto"/>
          <w:sz w:val="24"/>
          <w:highlight w:val="none"/>
          <w:lang w:val="en-US" w:eastAsia="zh-CN"/>
        </w:rPr>
        <w:t>书面</w:t>
      </w:r>
      <w:r>
        <w:rPr>
          <w:rFonts w:hint="eastAsia" w:ascii="宋体" w:hAnsi="宋体" w:cs="宋体"/>
          <w:color w:val="auto"/>
          <w:sz w:val="24"/>
          <w:highlight w:val="none"/>
        </w:rPr>
        <w:t>补充协议，合同价款不因任何原因而增加。</w:t>
      </w:r>
    </w:p>
    <w:p w14:paraId="5708D793">
      <w:pPr>
        <w:spacing w:line="4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第二条　质量保证</w:t>
      </w:r>
    </w:p>
    <w:p w14:paraId="310CD03B">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31BC6C15">
      <w:pPr>
        <w:spacing w:line="46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第三条　权利保证</w:t>
      </w:r>
    </w:p>
    <w:p w14:paraId="3D39108F">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1、乙方应保证所提供服务在使用时不会侵犯任何第三方的专利权、商标权、工业设计权等知识产权及其他合法权利，且所有权、处分权等没有受到任何限制。</w:t>
      </w:r>
    </w:p>
    <w:p w14:paraId="554BC088">
      <w:pPr>
        <w:snapToGrid w:val="0"/>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乙方的保密义务持续有效，不因为本合同履行终止、解除或无效而解除。</w:t>
      </w:r>
    </w:p>
    <w:p w14:paraId="55190DFD">
      <w:pPr>
        <w:numPr>
          <w:ilvl w:val="0"/>
          <w:numId w:val="0"/>
        </w:numPr>
        <w:pBdr>
          <w:top w:val="none" w:color="auto" w:sz="0" w:space="0"/>
          <w:left w:val="none" w:color="auto" w:sz="0" w:space="0"/>
          <w:bottom w:val="none" w:color="auto" w:sz="0" w:space="0"/>
          <w:right w:val="none" w:color="auto" w:sz="0" w:space="0"/>
          <w:between w:val="none" w:color="auto" w:sz="0" w:space="0"/>
        </w:pBdr>
        <w:spacing w:line="460" w:lineRule="exact"/>
        <w:ind w:left="0" w:leftChars="0" w:firstLine="482" w:firstLineChars="200"/>
        <w:rPr>
          <w:rFonts w:hint="eastAsia" w:ascii="宋体" w:hAnsi="宋体" w:cs="宋体"/>
          <w:b/>
          <w:color w:val="auto"/>
          <w:kern w:val="2"/>
          <w:sz w:val="24"/>
          <w:szCs w:val="24"/>
          <w:highlight w:val="none"/>
          <w:lang w:val="en-US" w:eastAsia="zh-CN" w:bidi="ar-SA"/>
        </w:rPr>
      </w:pPr>
      <w:r>
        <w:rPr>
          <w:rFonts w:hint="eastAsia" w:ascii="宋体" w:hAnsi="宋体" w:cs="宋体"/>
          <w:b/>
          <w:color w:val="auto"/>
          <w:sz w:val="24"/>
          <w:highlight w:val="none"/>
          <w:lang w:val="en-US" w:eastAsia="zh-CN"/>
        </w:rPr>
        <w:t xml:space="preserve">第四条 </w:t>
      </w:r>
      <w:r>
        <w:rPr>
          <w:rFonts w:hint="eastAsia" w:ascii="宋体" w:hAnsi="宋体" w:cs="宋体"/>
          <w:b/>
          <w:color w:val="auto"/>
          <w:kern w:val="2"/>
          <w:sz w:val="24"/>
          <w:szCs w:val="24"/>
          <w:highlight w:val="none"/>
          <w:lang w:val="en-US" w:eastAsia="zh-CN" w:bidi="ar-SA"/>
        </w:rPr>
        <w:t>双方权利义务</w:t>
      </w:r>
    </w:p>
    <w:p w14:paraId="73AD5C78">
      <w:pPr>
        <w:snapToGrid/>
        <w:spacing w:line="460" w:lineRule="exact"/>
        <w:ind w:firstLine="482" w:firstLineChars="200"/>
        <w:rPr>
          <w:rFonts w:hint="eastAsia" w:ascii="宋体" w:hAnsi="宋体" w:eastAsia="宋体" w:cs="宋体"/>
          <w:b/>
          <w:color w:val="auto"/>
          <w:sz w:val="24"/>
          <w:highlight w:val="none"/>
          <w:lang w:val="en-US" w:eastAsia="zh-CN"/>
        </w:rPr>
      </w:pPr>
      <w:r>
        <w:rPr>
          <w:rFonts w:hint="eastAsia" w:ascii="宋体" w:hAnsi="宋体" w:cs="宋体"/>
          <w:b/>
          <w:color w:val="auto"/>
          <w:sz w:val="24"/>
          <w:szCs w:val="24"/>
          <w:highlight w:val="none"/>
          <w:u w:val="none"/>
        </w:rPr>
        <w:t>详见采购需求</w:t>
      </w:r>
    </w:p>
    <w:p w14:paraId="5A37D4BE">
      <w:pPr>
        <w:spacing w:line="46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第</w:t>
      </w: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条　交付和验收</w:t>
      </w:r>
    </w:p>
    <w:p w14:paraId="096BD1A8">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1、服务期限：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详见采购需求          </w:t>
      </w:r>
      <w:r>
        <w:rPr>
          <w:rFonts w:hint="eastAsia" w:ascii="宋体" w:hAnsi="宋体" w:cs="宋体"/>
          <w:color w:val="auto"/>
          <w:sz w:val="24"/>
          <w:highlight w:val="none"/>
          <w:u w:val="single"/>
        </w:rPr>
        <w:t>。</w:t>
      </w:r>
    </w:p>
    <w:p w14:paraId="0DF14FFF">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服务地点：</w:t>
      </w:r>
      <w:r>
        <w:rPr>
          <w:rFonts w:hint="eastAsia" w:ascii="宋体" w:hAnsi="宋体" w:cs="宋体"/>
          <w:color w:val="auto"/>
          <w:sz w:val="24"/>
          <w:highlight w:val="none"/>
          <w:u w:val="single"/>
          <w:lang w:val="en-US" w:eastAsia="zh-CN"/>
        </w:rPr>
        <w:t>详见采购需求</w:t>
      </w:r>
      <w:r>
        <w:rPr>
          <w:rFonts w:hint="eastAsia" w:ascii="宋体" w:hAnsi="宋体" w:cs="宋体"/>
          <w:color w:val="auto"/>
          <w:sz w:val="24"/>
          <w:highlight w:val="none"/>
          <w:u w:val="single"/>
        </w:rPr>
        <w:t>。</w:t>
      </w:r>
    </w:p>
    <w:p w14:paraId="22BDB1C0">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2、乙方应按响应文件的承诺向甲方提供相应的服务，并提供所服务内容的相关技术资料。</w:t>
      </w:r>
    </w:p>
    <w:p w14:paraId="5C8EC75F">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3、乙方提供不符合响应文件和本合同规定的服务成果，甲方有权拒绝接受。</w:t>
      </w:r>
    </w:p>
    <w:p w14:paraId="3D677B53">
      <w:pPr>
        <w:spacing w:line="460" w:lineRule="exact"/>
        <w:ind w:firstLine="480" w:firstLineChars="200"/>
        <w:rPr>
          <w:rFonts w:ascii="宋体" w:hAnsi="宋体" w:cs="Calibri"/>
          <w:color w:val="auto"/>
          <w:sz w:val="24"/>
          <w:highlight w:val="none"/>
        </w:rPr>
      </w:pPr>
      <w:r>
        <w:rPr>
          <w:rFonts w:hint="eastAsia" w:ascii="宋体" w:hAnsi="宋体" w:cs="Calibri"/>
          <w:color w:val="auto"/>
          <w:sz w:val="24"/>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40FF2D8F">
      <w:pPr>
        <w:spacing w:line="460" w:lineRule="exact"/>
        <w:ind w:firstLine="480" w:firstLineChars="200"/>
        <w:rPr>
          <w:rFonts w:ascii="宋体" w:hAnsi="宋体" w:cs="Calibri"/>
          <w:color w:val="auto"/>
          <w:sz w:val="24"/>
          <w:highlight w:val="none"/>
        </w:rPr>
      </w:pPr>
      <w:r>
        <w:rPr>
          <w:rFonts w:hint="eastAsia" w:ascii="宋体" w:hAnsi="宋体" w:cs="宋体"/>
          <w:color w:val="auto"/>
          <w:sz w:val="24"/>
          <w:highlight w:val="none"/>
        </w:rPr>
        <w:t>5、甲乙双方应按照《</w:t>
      </w:r>
      <w:r>
        <w:rPr>
          <w:rFonts w:ascii="宋体" w:hAnsi="宋体" w:cs="宋体"/>
          <w:color w:val="auto"/>
          <w:sz w:val="24"/>
          <w:highlight w:val="none"/>
        </w:rPr>
        <w:t>广西壮族自治区政府采购项目履约验收管理办法</w:t>
      </w:r>
      <w:r>
        <w:rPr>
          <w:rFonts w:hint="eastAsia" w:ascii="宋体" w:hAnsi="宋体" w:cs="宋体"/>
          <w:color w:val="auto"/>
          <w:sz w:val="24"/>
          <w:highlight w:val="none"/>
        </w:rPr>
        <w:t>》、双方合同、响应文件验收。</w:t>
      </w:r>
    </w:p>
    <w:p w14:paraId="6C10B955">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6、甲方在初步验收或最终验收过程中如发现乙方提供的服务成果不满足响应文件及本合同规定的，可暂缓向乙方付款，直到乙方及时完善并提交相应的服务成果且经甲方验收合格后，方可办理付款。</w:t>
      </w:r>
    </w:p>
    <w:p w14:paraId="6F75C40E">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7、甲方验收时以书面形式提出异议的，乙方应自收到甲方书面异议后五个工作日内及时予以解决，否则甲方有权不出具服务验收合格单。</w:t>
      </w:r>
    </w:p>
    <w:p w14:paraId="523D8F81">
      <w:pPr>
        <w:snapToGrid w:val="0"/>
        <w:spacing w:line="4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第</w:t>
      </w: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条  售后服务及培训</w:t>
      </w:r>
    </w:p>
    <w:p w14:paraId="67675A42">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1、乙方应按照国家有关法律法规和本合同所附的《售后服务承诺》要求为甲方提供相应的售后服务。</w:t>
      </w:r>
    </w:p>
    <w:p w14:paraId="1C072D3C">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2、甲方应提供必要测试条件（如场地、电源、水源等）。</w:t>
      </w:r>
    </w:p>
    <w:p w14:paraId="78E983CF">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3、乙方负责甲方有关人员的培训。培训时间、地点：</w:t>
      </w:r>
      <w:r>
        <w:rPr>
          <w:rFonts w:hint="eastAsia" w:ascii="宋体" w:hAnsi="宋体" w:cs="宋体"/>
          <w:color w:val="auto"/>
          <w:sz w:val="24"/>
          <w:highlight w:val="none"/>
          <w:u w:val="single"/>
        </w:rPr>
        <w:t>详见乙方响应</w:t>
      </w:r>
      <w:r>
        <w:rPr>
          <w:rFonts w:ascii="宋体" w:hAnsi="宋体" w:cs="宋体"/>
          <w:color w:val="auto"/>
          <w:sz w:val="24"/>
          <w:highlight w:val="none"/>
          <w:u w:val="single"/>
        </w:rPr>
        <w:t>文件</w:t>
      </w:r>
      <w:r>
        <w:rPr>
          <w:rFonts w:hint="eastAsia" w:ascii="宋体" w:hAnsi="宋体" w:cs="宋体"/>
          <w:color w:val="auto"/>
          <w:sz w:val="24"/>
          <w:highlight w:val="none"/>
        </w:rPr>
        <w:t>。</w:t>
      </w:r>
    </w:p>
    <w:p w14:paraId="6F8368FE">
      <w:pPr>
        <w:snapToGrid w:val="0"/>
        <w:spacing w:line="460" w:lineRule="exact"/>
        <w:ind w:firstLine="482" w:firstLineChars="200"/>
        <w:rPr>
          <w:rFonts w:ascii="宋体" w:hAnsi="宋体" w:cs="宋体"/>
          <w:color w:val="auto"/>
          <w:sz w:val="24"/>
          <w:highlight w:val="none"/>
          <w:u w:val="single"/>
        </w:rPr>
      </w:pPr>
      <w:r>
        <w:rPr>
          <w:rFonts w:hint="eastAsia" w:ascii="宋体" w:hAnsi="宋体" w:cs="宋体"/>
          <w:b/>
          <w:color w:val="auto"/>
          <w:sz w:val="24"/>
          <w:highlight w:val="none"/>
        </w:rPr>
        <w:t>第</w:t>
      </w: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条　付款方式</w:t>
      </w:r>
    </w:p>
    <w:p w14:paraId="7B5F5924">
      <w:pPr>
        <w:snapToGrid w:val="0"/>
        <w:spacing w:line="460" w:lineRule="exact"/>
        <w:ind w:firstLine="424" w:firstLineChars="177"/>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详见采购需求</w:t>
      </w:r>
      <w:r>
        <w:rPr>
          <w:rFonts w:hint="eastAsia" w:ascii="宋体" w:hAnsi="宋体" w:cs="宋体"/>
          <w:color w:val="auto"/>
          <w:sz w:val="24"/>
          <w:highlight w:val="none"/>
          <w:u w:val="single"/>
        </w:rPr>
        <w:t>。</w:t>
      </w:r>
    </w:p>
    <w:p w14:paraId="247C7D1D">
      <w:pPr>
        <w:snapToGrid w:val="0"/>
        <w:spacing w:line="4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第</w:t>
      </w: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条　履约保证金</w:t>
      </w:r>
    </w:p>
    <w:p w14:paraId="48AC0E16">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（无）</w:t>
      </w:r>
    </w:p>
    <w:p w14:paraId="703D2F09">
      <w:pPr>
        <w:spacing w:line="4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第</w:t>
      </w:r>
      <w:r>
        <w:rPr>
          <w:rFonts w:hint="eastAsia" w:ascii="宋体" w:hAnsi="宋体" w:cs="宋体"/>
          <w:b/>
          <w:color w:val="auto"/>
          <w:sz w:val="24"/>
          <w:highlight w:val="none"/>
          <w:lang w:val="en-US" w:eastAsia="zh-CN"/>
        </w:rPr>
        <w:t>九</w:t>
      </w:r>
      <w:r>
        <w:rPr>
          <w:rFonts w:hint="eastAsia" w:ascii="宋体" w:hAnsi="宋体" w:cs="宋体"/>
          <w:b/>
          <w:color w:val="auto"/>
          <w:sz w:val="24"/>
          <w:highlight w:val="none"/>
        </w:rPr>
        <w:t>条  税费</w:t>
      </w:r>
    </w:p>
    <w:p w14:paraId="0B17EDEF">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本合同执行中相关的一切税费均由乙方负担，合同另有约定的除外。</w:t>
      </w:r>
    </w:p>
    <w:p w14:paraId="1D886CBB">
      <w:pPr>
        <w:spacing w:line="4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第</w:t>
      </w:r>
      <w:r>
        <w:rPr>
          <w:rFonts w:hint="eastAsia" w:ascii="宋体" w:hAnsi="宋体" w:cs="宋体"/>
          <w:b/>
          <w:color w:val="auto"/>
          <w:sz w:val="24"/>
          <w:highlight w:val="none"/>
          <w:lang w:val="en-US" w:eastAsia="zh-CN"/>
        </w:rPr>
        <w:t>十</w:t>
      </w:r>
      <w:r>
        <w:rPr>
          <w:rFonts w:hint="eastAsia" w:ascii="宋体" w:hAnsi="宋体" w:cs="宋体"/>
          <w:b/>
          <w:color w:val="auto"/>
          <w:sz w:val="24"/>
          <w:highlight w:val="none"/>
        </w:rPr>
        <w:t>条　违约责任</w:t>
      </w:r>
    </w:p>
    <w:p w14:paraId="6FA0AC09">
      <w:pPr>
        <w:snapToGrid w:val="0"/>
        <w:spacing w:line="460" w:lineRule="exact"/>
        <w:ind w:firstLine="480" w:firstLineChars="200"/>
        <w:rPr>
          <w:rFonts w:hint="default" w:ascii="宋体" w:hAnsi="宋体" w:eastAsia="宋体" w:cs="宋体"/>
          <w:color w:val="auto"/>
          <w:sz w:val="24"/>
          <w:highlight w:val="none"/>
          <w:lang w:val="en-US" w:eastAsia="zh-CN"/>
        </w:rPr>
      </w:pPr>
      <w:r>
        <w:rPr>
          <w:rFonts w:hint="eastAsia" w:ascii="宋体" w:hAnsi="宋体" w:cs="Calibri"/>
          <w:color w:val="auto"/>
          <w:sz w:val="24"/>
          <w:highlight w:val="none"/>
        </w:rPr>
        <w:t>1、除不可抗力原因外，乙方没有按照合同规定的时间提供服务的，甲方可要求乙方每推迟一天按合同金额的</w:t>
      </w:r>
      <w:r>
        <w:rPr>
          <w:rFonts w:hint="eastAsia" w:ascii="宋体" w:hAnsi="宋体" w:cs="Calibri"/>
          <w:color w:val="auto"/>
          <w:sz w:val="24"/>
          <w:highlight w:val="none"/>
          <w:lang w:val="en-US" w:eastAsia="zh-CN"/>
        </w:rPr>
        <w:t>0.</w:t>
      </w:r>
      <w:r>
        <w:rPr>
          <w:rFonts w:hint="eastAsia" w:ascii="宋体" w:hAnsi="宋体" w:cs="Calibri"/>
          <w:color w:val="auto"/>
          <w:sz w:val="24"/>
          <w:highlight w:val="none"/>
        </w:rPr>
        <w:t>3‰支付违约金，该违约金累计不超过合同金额的10%。</w:t>
      </w:r>
      <w:r>
        <w:rPr>
          <w:rFonts w:hint="eastAsia" w:ascii="宋体" w:hAnsi="宋体" w:cs="Calibri"/>
          <w:color w:val="auto"/>
          <w:sz w:val="24"/>
          <w:highlight w:val="none"/>
          <w:lang w:val="en-US" w:eastAsia="zh-CN"/>
        </w:rPr>
        <w:t>乙方推迟超过30天的，甲方有权单方解除本合同。</w:t>
      </w:r>
    </w:p>
    <w:p w14:paraId="26A6BA30">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2、乙方提供的服务如侵犯了第三方合法权益而引发的任何纠纷或诉讼，均由乙方负责交涉并承担全部责任。</w:t>
      </w:r>
    </w:p>
    <w:p w14:paraId="69AD6F90">
      <w:pPr>
        <w:snapToGrid w:val="0"/>
        <w:spacing w:line="460" w:lineRule="exact"/>
        <w:ind w:firstLine="480" w:firstLineChars="200"/>
        <w:rPr>
          <w:rFonts w:ascii="宋体" w:hAnsi="宋体" w:cs="宋体"/>
          <w:color w:val="auto"/>
          <w:sz w:val="24"/>
          <w:highlight w:val="none"/>
        </w:rPr>
      </w:pPr>
      <w:r>
        <w:rPr>
          <w:rFonts w:ascii="宋体" w:hAnsi="宋体" w:cs="Calibri"/>
          <w:color w:val="auto"/>
          <w:sz w:val="24"/>
          <w:highlight w:val="none"/>
        </w:rPr>
        <w:t>3</w:t>
      </w:r>
      <w:r>
        <w:rPr>
          <w:rFonts w:hint="eastAsia" w:ascii="宋体" w:hAnsi="宋体" w:cs="Calibri"/>
          <w:color w:val="auto"/>
          <w:sz w:val="24"/>
          <w:highlight w:val="none"/>
        </w:rPr>
        <w:t>、甲方延期付款的，每天向乙方偿付延期款额</w:t>
      </w:r>
      <w:r>
        <w:rPr>
          <w:rFonts w:hint="eastAsia" w:ascii="宋体" w:hAnsi="宋体" w:cs="Calibri"/>
          <w:color w:val="auto"/>
          <w:sz w:val="24"/>
          <w:highlight w:val="none"/>
          <w:lang w:val="en-US" w:eastAsia="zh-CN"/>
        </w:rPr>
        <w:t>0.</w:t>
      </w:r>
      <w:r>
        <w:rPr>
          <w:rFonts w:hint="eastAsia" w:ascii="宋体" w:hAnsi="宋体" w:cs="Calibri"/>
          <w:color w:val="auto"/>
          <w:sz w:val="24"/>
          <w:highlight w:val="none"/>
        </w:rPr>
        <w:t>3‰滞纳金，但滞纳金累计不得超过延期款额5%。</w:t>
      </w:r>
    </w:p>
    <w:p w14:paraId="3CE4A166">
      <w:pPr>
        <w:spacing w:line="4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第十</w:t>
      </w:r>
      <w:r>
        <w:rPr>
          <w:rFonts w:hint="eastAsia" w:ascii="宋体" w:hAnsi="宋体" w:cs="宋体"/>
          <w:b/>
          <w:color w:val="auto"/>
          <w:sz w:val="24"/>
          <w:highlight w:val="none"/>
          <w:lang w:val="en-US" w:eastAsia="zh-CN"/>
        </w:rPr>
        <w:t>一</w:t>
      </w:r>
      <w:r>
        <w:rPr>
          <w:rFonts w:hint="eastAsia" w:ascii="宋体" w:hAnsi="宋体" w:cs="宋体"/>
          <w:b/>
          <w:color w:val="auto"/>
          <w:sz w:val="24"/>
          <w:highlight w:val="none"/>
        </w:rPr>
        <w:t>条  不可抗力事件处理</w:t>
      </w:r>
    </w:p>
    <w:p w14:paraId="6D6FF360">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14:paraId="7F1E5AF5">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14:paraId="295D767E">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3、不可抗力事件延续一百二十天以上，双方应通过友好协商，确定是否继续履行合同。</w:t>
      </w:r>
    </w:p>
    <w:p w14:paraId="7A9F2690">
      <w:pPr>
        <w:ind w:firstLine="482" w:firstLineChars="200"/>
        <w:rPr>
          <w:rFonts w:hint="eastAsia"/>
          <w:color w:val="auto"/>
          <w:highlight w:val="none"/>
          <w:lang w:val="en-US" w:eastAsia="zh-CN"/>
        </w:rPr>
      </w:pPr>
      <w:r>
        <w:rPr>
          <w:rFonts w:hint="eastAsia" w:ascii="宋体" w:hAnsi="宋体" w:cs="宋体"/>
          <w:b/>
          <w:color w:val="auto"/>
          <w:sz w:val="24"/>
          <w:highlight w:val="none"/>
          <w:lang w:val="en-US" w:eastAsia="zh-CN"/>
        </w:rPr>
        <w:t>第十二条  通知与送达</w:t>
      </w:r>
      <w:r>
        <w:rPr>
          <w:rFonts w:hint="eastAsia"/>
          <w:color w:val="auto"/>
          <w:highlight w:val="none"/>
          <w:lang w:val="en-US" w:eastAsia="zh-CN"/>
        </w:rPr>
        <w:t xml:space="preserve"> </w:t>
      </w:r>
    </w:p>
    <w:p w14:paraId="212DEFC4">
      <w:pPr>
        <w:spacing w:line="460" w:lineRule="exact"/>
        <w:ind w:firstLine="480" w:firstLineChars="200"/>
        <w:rPr>
          <w:rFonts w:hint="eastAsia" w:ascii="宋体" w:hAnsi="宋体" w:cs="宋体"/>
          <w:b w:val="0"/>
          <w:color w:val="auto"/>
          <w:sz w:val="24"/>
          <w:highlight w:val="none"/>
        </w:rPr>
      </w:pPr>
      <w:r>
        <w:rPr>
          <w:rFonts w:hint="eastAsia" w:ascii="宋体" w:hAnsi="宋体" w:cs="宋体"/>
          <w:color w:val="auto"/>
          <w:kern w:val="2"/>
          <w:sz w:val="24"/>
          <w:szCs w:val="24"/>
          <w:highlight w:val="none"/>
          <w:lang w:val="en-US" w:eastAsia="zh-CN"/>
        </w:rPr>
        <w:t>双方</w:t>
      </w:r>
      <w:r>
        <w:rPr>
          <w:rFonts w:hint="eastAsia" w:ascii="宋体" w:hAnsi="宋体" w:eastAsia="宋体" w:cs="宋体"/>
          <w:color w:val="auto"/>
          <w:kern w:val="2"/>
          <w:sz w:val="24"/>
          <w:szCs w:val="24"/>
          <w:highlight w:val="none"/>
        </w:rPr>
        <w:t>同意将在本合同中</w:t>
      </w:r>
      <w:r>
        <w:rPr>
          <w:rFonts w:hint="eastAsia" w:ascii="宋体" w:hAnsi="宋体" w:cs="宋体"/>
          <w:color w:val="auto"/>
          <w:kern w:val="2"/>
          <w:sz w:val="24"/>
          <w:szCs w:val="24"/>
          <w:highlight w:val="none"/>
          <w:lang w:val="en-US" w:eastAsia="zh-CN"/>
        </w:rPr>
        <w:t>载明的单位地址</w:t>
      </w:r>
      <w:r>
        <w:rPr>
          <w:rFonts w:hint="eastAsia" w:ascii="宋体" w:hAnsi="宋体" w:eastAsia="宋体" w:cs="宋体"/>
          <w:color w:val="auto"/>
          <w:kern w:val="2"/>
          <w:sz w:val="24"/>
          <w:szCs w:val="24"/>
          <w:highlight w:val="none"/>
        </w:rPr>
        <w:t>作为本合同履行、争议解决等相关法律</w:t>
      </w:r>
      <w:r>
        <w:rPr>
          <w:rFonts w:hint="eastAsia" w:ascii="宋体" w:hAnsi="宋体" w:cs="宋体"/>
          <w:color w:val="auto"/>
          <w:kern w:val="2"/>
          <w:sz w:val="24"/>
          <w:szCs w:val="24"/>
          <w:highlight w:val="none"/>
          <w:lang w:val="en-US" w:eastAsia="zh-CN"/>
        </w:rPr>
        <w:t>文件、诉讼</w:t>
      </w:r>
      <w:r>
        <w:rPr>
          <w:rFonts w:hint="eastAsia" w:ascii="宋体" w:hAnsi="宋体" w:eastAsia="宋体" w:cs="宋体"/>
          <w:color w:val="auto"/>
          <w:kern w:val="2"/>
          <w:sz w:val="24"/>
          <w:szCs w:val="24"/>
          <w:highlight w:val="none"/>
        </w:rPr>
        <w:t>文书</w:t>
      </w:r>
      <w:r>
        <w:rPr>
          <w:rFonts w:hint="eastAsia" w:ascii="宋体" w:hAnsi="宋体" w:cs="宋体"/>
          <w:color w:val="auto"/>
          <w:kern w:val="2"/>
          <w:sz w:val="24"/>
          <w:szCs w:val="24"/>
          <w:highlight w:val="none"/>
          <w:lang w:val="en-US" w:eastAsia="zh-CN"/>
        </w:rPr>
        <w:t>及通知等</w:t>
      </w:r>
      <w:r>
        <w:rPr>
          <w:rFonts w:hint="eastAsia" w:ascii="宋体" w:hAnsi="宋体" w:eastAsia="宋体" w:cs="宋体"/>
          <w:color w:val="auto"/>
          <w:kern w:val="2"/>
          <w:sz w:val="24"/>
          <w:szCs w:val="24"/>
          <w:highlight w:val="none"/>
        </w:rPr>
        <w:t>的送达地址。</w:t>
      </w:r>
      <w:r>
        <w:rPr>
          <w:rFonts w:hint="eastAsia" w:ascii="宋体" w:hAnsi="宋体" w:cs="宋体"/>
          <w:color w:val="auto"/>
          <w:kern w:val="2"/>
          <w:sz w:val="24"/>
          <w:szCs w:val="24"/>
          <w:highlight w:val="none"/>
          <w:lang w:val="en-US" w:eastAsia="zh-CN"/>
        </w:rPr>
        <w:t>双方往来函件自邮件</w:t>
      </w:r>
      <w:r>
        <w:rPr>
          <w:rFonts w:hint="eastAsia" w:ascii="宋体" w:hAnsi="宋体" w:eastAsia="宋体" w:cs="宋体"/>
          <w:color w:val="auto"/>
          <w:kern w:val="2"/>
          <w:sz w:val="24"/>
          <w:szCs w:val="24"/>
          <w:highlight w:val="none"/>
        </w:rPr>
        <w:t>、传真或挂号信</w:t>
      </w:r>
      <w:r>
        <w:rPr>
          <w:rFonts w:hint="eastAsia" w:ascii="宋体" w:hAnsi="宋体" w:cs="宋体"/>
          <w:color w:val="auto"/>
          <w:kern w:val="2"/>
          <w:sz w:val="24"/>
          <w:szCs w:val="24"/>
          <w:highlight w:val="none"/>
          <w:lang w:val="en-US" w:eastAsia="zh-CN"/>
        </w:rPr>
        <w:t>发出后3日视为送达对方</w:t>
      </w:r>
      <w:r>
        <w:rPr>
          <w:rFonts w:hint="eastAsia" w:ascii="宋体" w:hAnsi="宋体" w:eastAsia="宋体" w:cs="宋体"/>
          <w:color w:val="auto"/>
          <w:kern w:val="2"/>
          <w:sz w:val="24"/>
          <w:szCs w:val="24"/>
          <w:highlight w:val="none"/>
        </w:rPr>
        <w:t>。</w:t>
      </w:r>
    </w:p>
    <w:p w14:paraId="42F658A1">
      <w:pPr>
        <w:spacing w:line="46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第十</w:t>
      </w: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条  合同争议解决</w:t>
      </w:r>
    </w:p>
    <w:p w14:paraId="15A87339">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1、因服务质量问题发生争议的，应邀请国家认可的质量检测机构进行鉴定。服务符合标准的，鉴定费由甲方承担；服务不符合标准的，鉴定费由乙方承担。</w:t>
      </w:r>
    </w:p>
    <w:p w14:paraId="16DD3BA7">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2、因履行本合同引起的或与本合同有关的争议，甲乙双方应首先通过友好协商解决，如果协商不能解决，可向甲方所在地有管辖权人民法院提起诉讼。</w:t>
      </w:r>
    </w:p>
    <w:p w14:paraId="1128C689">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3、诉讼期间，本合同继续履行。</w:t>
      </w:r>
    </w:p>
    <w:p w14:paraId="23E0A213">
      <w:pPr>
        <w:spacing w:line="4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第十</w:t>
      </w: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条  合同生效及其它</w:t>
      </w:r>
    </w:p>
    <w:p w14:paraId="1AACF332">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1、合同经双方法定代表人或授权代表签字并加盖单位公章后生效（委托代理人签字的需后附法定代表人授权委托书，格式自拟）。</w:t>
      </w:r>
    </w:p>
    <w:p w14:paraId="64DC0552">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2、合同执行中涉及采购资金和采购内容修改或补充的，须经财政部门审批，并签书面补充协议报财政部门备案，方可作为主合同不可分割的一部分。</w:t>
      </w:r>
    </w:p>
    <w:p w14:paraId="5AD376DF">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3、本合同未尽事宜，遵照《中华人民共和国民法典》有关条文执行。</w:t>
      </w:r>
    </w:p>
    <w:p w14:paraId="74027C3C">
      <w:pPr>
        <w:spacing w:line="4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第十</w:t>
      </w: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条　合同的变更、终止与转让</w:t>
      </w:r>
    </w:p>
    <w:p w14:paraId="68AD8A52">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1、除《中华人民共和国政府采购法》第五十条规定的情形外，本合同一经签订，甲乙双方不得擅自变更、中止或终止。</w:t>
      </w:r>
    </w:p>
    <w:p w14:paraId="78055084">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2、乙方不得擅自转让其应履行的合同义务。</w:t>
      </w:r>
    </w:p>
    <w:p w14:paraId="0DC51599">
      <w:pPr>
        <w:spacing w:line="4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第十</w:t>
      </w: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条　合同附件</w:t>
      </w:r>
    </w:p>
    <w:p w14:paraId="17560535">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Calibri"/>
          <w:color w:val="auto"/>
          <w:sz w:val="24"/>
          <w:highlight w:val="none"/>
        </w:rPr>
        <w:t>成交通知书</w:t>
      </w:r>
      <w:r>
        <w:rPr>
          <w:rFonts w:hint="eastAsia" w:ascii="宋体" w:hAnsi="宋体" w:cs="宋体"/>
          <w:color w:val="auto"/>
          <w:sz w:val="24"/>
          <w:highlight w:val="none"/>
        </w:rPr>
        <w:t>；</w:t>
      </w:r>
    </w:p>
    <w:p w14:paraId="0305D52F">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2、竞标报价表；</w:t>
      </w:r>
    </w:p>
    <w:p w14:paraId="7D5660DF">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3、商务条款偏离表和技术需求偏离表；</w:t>
      </w:r>
    </w:p>
    <w:p w14:paraId="5F3A6E68">
      <w:pPr>
        <w:spacing w:line="460" w:lineRule="exact"/>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、售后服务承诺；</w:t>
      </w:r>
    </w:p>
    <w:p w14:paraId="67D8D6C8">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5、响应文件中的其他相关文件。</w:t>
      </w:r>
    </w:p>
    <w:p w14:paraId="1513BA71">
      <w:pPr>
        <w:spacing w:line="460" w:lineRule="exact"/>
        <w:ind w:firstLine="480" w:firstLineChars="200"/>
        <w:rPr>
          <w:rFonts w:ascii="宋体" w:hAns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、上述合同文件互相补充和解释。如果合同文件之间存在矛盾或不一致之处，以上述文件的排列顺序在先者为准。</w:t>
      </w:r>
    </w:p>
    <w:p w14:paraId="12983228">
      <w:pPr>
        <w:spacing w:line="480" w:lineRule="atLeast"/>
        <w:ind w:firstLine="482" w:firstLineChars="200"/>
        <w:rPr>
          <w:rFonts w:ascii="宋体" w:hAnsi="宋体" w:cs="宋体"/>
          <w:color w:val="auto"/>
          <w:sz w:val="24"/>
          <w:highlight w:val="none"/>
        </w:rPr>
      </w:pPr>
      <w:r>
        <w:rPr>
          <w:rFonts w:hint="eastAsia" w:ascii="宋体" w:hAnsi="宋体" w:cs="宋体"/>
          <w:b/>
          <w:color w:val="auto"/>
          <w:sz w:val="24"/>
          <w:highlight w:val="none"/>
        </w:rPr>
        <w:t>第十</w:t>
      </w: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条　</w:t>
      </w:r>
      <w:r>
        <w:rPr>
          <w:rFonts w:hint="eastAsia" w:ascii="宋体" w:hAnsi="宋体" w:cs="宋体"/>
          <w:color w:val="auto"/>
          <w:sz w:val="24"/>
          <w:highlight w:val="none"/>
        </w:rPr>
        <w:t>本合同一式伍份，具有同等法律效力，甲方</w:t>
      </w:r>
      <w:r>
        <w:rPr>
          <w:rFonts w:hint="eastAsia" w:ascii="宋体" w:hAnsi="宋体" w:cs="宋体"/>
          <w:color w:val="auto"/>
          <w:sz w:val="24"/>
          <w:highlight w:val="none"/>
          <w:lang w:val="en-US" w:eastAsia="zh-CN"/>
        </w:rPr>
        <w:t>叁</w:t>
      </w:r>
      <w:r>
        <w:rPr>
          <w:rFonts w:hint="eastAsia" w:ascii="宋体" w:hAnsi="宋体" w:cs="宋体"/>
          <w:color w:val="auto"/>
          <w:sz w:val="24"/>
          <w:highlight w:val="none"/>
        </w:rPr>
        <w:t>份，乙方</w:t>
      </w:r>
      <w:r>
        <w:rPr>
          <w:rFonts w:hint="eastAsia" w:ascii="宋体" w:hAnsi="宋体" w:cs="宋体"/>
          <w:color w:val="auto"/>
          <w:sz w:val="24"/>
          <w:highlight w:val="none"/>
          <w:lang w:val="en-US" w:eastAsia="zh-CN"/>
        </w:rPr>
        <w:t>壹</w:t>
      </w:r>
      <w:r>
        <w:rPr>
          <w:rFonts w:hint="eastAsia" w:ascii="宋体" w:hAnsi="宋体" w:cs="宋体"/>
          <w:color w:val="auto"/>
          <w:sz w:val="24"/>
          <w:highlight w:val="none"/>
        </w:rPr>
        <w:t>份,采购</w:t>
      </w:r>
      <w:r>
        <w:rPr>
          <w:rFonts w:ascii="宋体" w:hAnsi="宋体" w:cs="宋体"/>
          <w:color w:val="auto"/>
          <w:sz w:val="24"/>
          <w:highlight w:val="none"/>
        </w:rPr>
        <w:t>代理机构</w:t>
      </w:r>
      <w:r>
        <w:rPr>
          <w:rFonts w:hint="eastAsia" w:ascii="宋体" w:hAnsi="宋体" w:cs="宋体"/>
          <w:color w:val="auto"/>
          <w:sz w:val="24"/>
          <w:highlight w:val="none"/>
          <w:lang w:val="en-US" w:eastAsia="zh-CN"/>
        </w:rPr>
        <w:t>壹</w:t>
      </w:r>
      <w:r>
        <w:rPr>
          <w:rFonts w:hint="eastAsia" w:ascii="宋体" w:hAnsi="宋体" w:cs="宋体"/>
          <w:color w:val="auto"/>
          <w:sz w:val="24"/>
          <w:highlight w:val="none"/>
        </w:rPr>
        <w:t>份。</w:t>
      </w:r>
    </w:p>
    <w:p w14:paraId="020B98A0">
      <w:pPr>
        <w:spacing w:line="48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本合同自签订之日起七个工作日内，采购人或采购代理机构应当将合同副本报同级财政部门备案。</w:t>
      </w:r>
    </w:p>
    <w:p w14:paraId="0EA6ACC5">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本合同自签订之日起2个工作日内，甲方或采购代理机构应当将采购合同在广西壮族自治区财政厅指定的媒体上公告。</w:t>
      </w:r>
    </w:p>
    <w:tbl>
      <w:tblPr>
        <w:tblStyle w:val="24"/>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4"/>
        <w:gridCol w:w="4456"/>
      </w:tblGrid>
      <w:tr w14:paraId="4C73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3" w:hRule="atLeast"/>
        </w:trPr>
        <w:tc>
          <w:tcPr>
            <w:tcW w:w="4564" w:type="dxa"/>
            <w:tcBorders>
              <w:top w:val="single" w:color="auto" w:sz="4" w:space="0"/>
              <w:left w:val="single" w:color="auto" w:sz="4" w:space="0"/>
              <w:bottom w:val="single" w:color="auto" w:sz="4" w:space="0"/>
              <w:right w:val="single" w:color="auto" w:sz="4" w:space="0"/>
            </w:tcBorders>
            <w:noWrap w:val="0"/>
            <w:vAlign w:val="center"/>
          </w:tcPr>
          <w:p w14:paraId="140989A5">
            <w:pPr>
              <w:snapToGrid w:val="0"/>
              <w:spacing w:line="480" w:lineRule="atLeast"/>
              <w:rPr>
                <w:rFonts w:ascii="宋体" w:hAnsi="宋体" w:cs="宋体"/>
                <w:color w:val="auto"/>
                <w:sz w:val="24"/>
                <w:highlight w:val="none"/>
              </w:rPr>
            </w:pPr>
            <w:r>
              <w:rPr>
                <w:rFonts w:hint="eastAsia" w:ascii="宋体" w:hAnsi="宋体" w:cs="宋体"/>
                <w:color w:val="auto"/>
                <w:sz w:val="24"/>
                <w:highlight w:val="none"/>
              </w:rPr>
              <w:t>甲方：（章）</w:t>
            </w:r>
          </w:p>
          <w:p w14:paraId="596A9DB0">
            <w:pPr>
              <w:snapToGrid w:val="0"/>
              <w:spacing w:line="480" w:lineRule="atLeast"/>
              <w:rPr>
                <w:rFonts w:ascii="宋体" w:hAnsi="宋体" w:cs="宋体"/>
                <w:color w:val="auto"/>
                <w:sz w:val="24"/>
                <w:highlight w:val="none"/>
              </w:rPr>
            </w:pPr>
          </w:p>
          <w:p w14:paraId="20A4DA50">
            <w:pPr>
              <w:snapToGrid w:val="0"/>
              <w:spacing w:line="480" w:lineRule="atLeast"/>
              <w:ind w:firstLine="1080" w:firstLineChars="450"/>
              <w:jc w:val="right"/>
              <w:rPr>
                <w:rFonts w:ascii="宋体" w:hAnsi="宋体" w:cs="宋体"/>
                <w:color w:val="auto"/>
                <w:sz w:val="24"/>
                <w:highlight w:val="none"/>
              </w:rPr>
            </w:pPr>
          </w:p>
          <w:p w14:paraId="4A38F39D">
            <w:pPr>
              <w:snapToGrid w:val="0"/>
              <w:spacing w:line="480" w:lineRule="atLeast"/>
              <w:ind w:firstLine="1080" w:firstLineChars="450"/>
              <w:jc w:val="right"/>
              <w:rPr>
                <w:rFonts w:ascii="宋体" w:hAnsi="宋体" w:cs="宋体"/>
                <w:color w:val="auto"/>
                <w:sz w:val="24"/>
                <w:highlight w:val="none"/>
              </w:rPr>
            </w:pPr>
            <w:r>
              <w:rPr>
                <w:rFonts w:hint="eastAsia" w:ascii="宋体" w:hAnsi="宋体" w:cs="宋体"/>
                <w:color w:val="auto"/>
                <w:sz w:val="24"/>
                <w:highlight w:val="none"/>
              </w:rPr>
              <w:t>年   月   日</w:t>
            </w:r>
          </w:p>
        </w:tc>
        <w:tc>
          <w:tcPr>
            <w:tcW w:w="4456" w:type="dxa"/>
            <w:tcBorders>
              <w:top w:val="single" w:color="auto" w:sz="4" w:space="0"/>
              <w:left w:val="single" w:color="auto" w:sz="4" w:space="0"/>
              <w:bottom w:val="single" w:color="auto" w:sz="4" w:space="0"/>
              <w:right w:val="single" w:color="auto" w:sz="4" w:space="0"/>
            </w:tcBorders>
            <w:noWrap w:val="0"/>
            <w:vAlign w:val="center"/>
          </w:tcPr>
          <w:p w14:paraId="1FEE1429">
            <w:pPr>
              <w:snapToGrid w:val="0"/>
              <w:spacing w:line="480" w:lineRule="atLeast"/>
              <w:rPr>
                <w:rFonts w:ascii="宋体" w:hAnsi="宋体" w:cs="宋体"/>
                <w:color w:val="auto"/>
                <w:sz w:val="24"/>
                <w:highlight w:val="none"/>
              </w:rPr>
            </w:pPr>
            <w:r>
              <w:rPr>
                <w:rFonts w:hint="eastAsia" w:ascii="宋体" w:hAnsi="宋体" w:cs="宋体"/>
                <w:color w:val="auto"/>
                <w:sz w:val="24"/>
                <w:highlight w:val="none"/>
              </w:rPr>
              <w:t>乙方：（章）</w:t>
            </w:r>
          </w:p>
          <w:p w14:paraId="77E5737D">
            <w:pPr>
              <w:snapToGrid w:val="0"/>
              <w:spacing w:line="480" w:lineRule="atLeast"/>
              <w:rPr>
                <w:rFonts w:ascii="宋体" w:hAnsi="宋体" w:cs="宋体"/>
                <w:color w:val="auto"/>
                <w:sz w:val="24"/>
                <w:highlight w:val="none"/>
              </w:rPr>
            </w:pPr>
          </w:p>
          <w:p w14:paraId="0DA2A7B5">
            <w:pPr>
              <w:snapToGrid w:val="0"/>
              <w:spacing w:line="480" w:lineRule="atLeast"/>
              <w:jc w:val="right"/>
              <w:rPr>
                <w:rFonts w:ascii="宋体" w:hAnsi="宋体" w:cs="宋体"/>
                <w:color w:val="auto"/>
                <w:sz w:val="24"/>
                <w:highlight w:val="none"/>
              </w:rPr>
            </w:pPr>
          </w:p>
          <w:p w14:paraId="122EE2D8">
            <w:pPr>
              <w:snapToGrid w:val="0"/>
              <w:spacing w:line="480" w:lineRule="atLeast"/>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tc>
      </w:tr>
      <w:tr w14:paraId="53A88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4564" w:type="dxa"/>
            <w:tcBorders>
              <w:top w:val="single" w:color="auto" w:sz="4" w:space="0"/>
              <w:left w:val="single" w:color="auto" w:sz="4" w:space="0"/>
              <w:bottom w:val="single" w:color="auto" w:sz="4" w:space="0"/>
              <w:right w:val="single" w:color="auto" w:sz="4" w:space="0"/>
            </w:tcBorders>
            <w:noWrap w:val="0"/>
            <w:vAlign w:val="center"/>
          </w:tcPr>
          <w:p w14:paraId="2351611D">
            <w:pPr>
              <w:snapToGrid w:val="0"/>
              <w:spacing w:line="480" w:lineRule="atLeast"/>
              <w:rPr>
                <w:rFonts w:ascii="宋体" w:hAnsi="宋体" w:cs="宋体"/>
                <w:color w:val="auto"/>
                <w:sz w:val="24"/>
                <w:highlight w:val="none"/>
              </w:rPr>
            </w:pPr>
            <w:r>
              <w:rPr>
                <w:rFonts w:hint="eastAsia" w:ascii="宋体" w:hAnsi="宋体" w:cs="宋体"/>
                <w:color w:val="auto"/>
                <w:sz w:val="24"/>
                <w:highlight w:val="none"/>
              </w:rPr>
              <w:t>单位地址：</w:t>
            </w:r>
          </w:p>
        </w:tc>
        <w:tc>
          <w:tcPr>
            <w:tcW w:w="4456" w:type="dxa"/>
            <w:tcBorders>
              <w:top w:val="single" w:color="auto" w:sz="4" w:space="0"/>
              <w:left w:val="single" w:color="auto" w:sz="4" w:space="0"/>
              <w:bottom w:val="single" w:color="auto" w:sz="4" w:space="0"/>
              <w:right w:val="single" w:color="auto" w:sz="4" w:space="0"/>
            </w:tcBorders>
            <w:noWrap w:val="0"/>
            <w:vAlign w:val="center"/>
          </w:tcPr>
          <w:p w14:paraId="05D12BE8">
            <w:pPr>
              <w:snapToGrid w:val="0"/>
              <w:spacing w:line="480" w:lineRule="atLeast"/>
              <w:rPr>
                <w:rFonts w:ascii="宋体" w:hAnsi="宋体" w:cs="宋体"/>
                <w:color w:val="auto"/>
                <w:sz w:val="24"/>
                <w:highlight w:val="none"/>
              </w:rPr>
            </w:pPr>
            <w:r>
              <w:rPr>
                <w:rFonts w:hint="eastAsia" w:ascii="宋体" w:hAnsi="宋体" w:cs="宋体"/>
                <w:color w:val="auto"/>
                <w:sz w:val="24"/>
                <w:highlight w:val="none"/>
              </w:rPr>
              <w:t>单位地址：</w:t>
            </w:r>
          </w:p>
        </w:tc>
      </w:tr>
      <w:tr w14:paraId="08B9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4564" w:type="dxa"/>
            <w:tcBorders>
              <w:top w:val="single" w:color="auto" w:sz="4" w:space="0"/>
              <w:left w:val="single" w:color="auto" w:sz="4" w:space="0"/>
              <w:bottom w:val="single" w:color="auto" w:sz="4" w:space="0"/>
              <w:right w:val="single" w:color="auto" w:sz="4" w:space="0"/>
            </w:tcBorders>
            <w:noWrap w:val="0"/>
            <w:vAlign w:val="center"/>
          </w:tcPr>
          <w:p w14:paraId="020BA574">
            <w:pPr>
              <w:snapToGrid w:val="0"/>
              <w:spacing w:line="480" w:lineRule="atLeast"/>
              <w:rPr>
                <w:rFonts w:ascii="宋体" w:hAnsi="宋体" w:cs="宋体"/>
                <w:color w:val="auto"/>
                <w:sz w:val="24"/>
                <w:highlight w:val="none"/>
              </w:rPr>
            </w:pPr>
            <w:r>
              <w:rPr>
                <w:rFonts w:hint="eastAsia" w:ascii="宋体" w:hAnsi="宋体" w:cs="宋体"/>
                <w:color w:val="auto"/>
                <w:sz w:val="24"/>
                <w:highlight w:val="none"/>
              </w:rPr>
              <w:t>法定代表人：</w:t>
            </w:r>
          </w:p>
        </w:tc>
        <w:tc>
          <w:tcPr>
            <w:tcW w:w="4456" w:type="dxa"/>
            <w:tcBorders>
              <w:top w:val="single" w:color="auto" w:sz="4" w:space="0"/>
              <w:left w:val="single" w:color="auto" w:sz="4" w:space="0"/>
              <w:bottom w:val="single" w:color="auto" w:sz="4" w:space="0"/>
              <w:right w:val="single" w:color="auto" w:sz="4" w:space="0"/>
            </w:tcBorders>
            <w:noWrap w:val="0"/>
            <w:vAlign w:val="center"/>
          </w:tcPr>
          <w:p w14:paraId="6E4A72F5">
            <w:pPr>
              <w:snapToGrid w:val="0"/>
              <w:spacing w:line="480" w:lineRule="atLeast"/>
              <w:rPr>
                <w:rFonts w:ascii="宋体" w:hAnsi="宋体" w:cs="宋体"/>
                <w:color w:val="auto"/>
                <w:sz w:val="24"/>
                <w:highlight w:val="none"/>
              </w:rPr>
            </w:pPr>
            <w:r>
              <w:rPr>
                <w:rFonts w:hint="eastAsia" w:ascii="宋体" w:hAnsi="宋体" w:cs="宋体"/>
                <w:color w:val="auto"/>
                <w:sz w:val="24"/>
                <w:highlight w:val="none"/>
              </w:rPr>
              <w:t>法定代表人：</w:t>
            </w:r>
          </w:p>
        </w:tc>
      </w:tr>
      <w:tr w14:paraId="2483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4564" w:type="dxa"/>
            <w:tcBorders>
              <w:top w:val="single" w:color="auto" w:sz="4" w:space="0"/>
              <w:left w:val="single" w:color="auto" w:sz="4" w:space="0"/>
              <w:bottom w:val="single" w:color="auto" w:sz="4" w:space="0"/>
              <w:right w:val="single" w:color="auto" w:sz="4" w:space="0"/>
            </w:tcBorders>
            <w:noWrap w:val="0"/>
            <w:vAlign w:val="center"/>
          </w:tcPr>
          <w:p w14:paraId="3131FC9E">
            <w:pPr>
              <w:snapToGrid w:val="0"/>
              <w:spacing w:line="480" w:lineRule="atLeast"/>
              <w:rPr>
                <w:rFonts w:ascii="宋体" w:hAnsi="宋体" w:cs="宋体"/>
                <w:color w:val="auto"/>
                <w:sz w:val="24"/>
                <w:highlight w:val="none"/>
              </w:rPr>
            </w:pPr>
            <w:r>
              <w:rPr>
                <w:rFonts w:hint="eastAsia" w:ascii="宋体" w:hAnsi="宋体" w:cs="宋体"/>
                <w:color w:val="auto"/>
                <w:sz w:val="24"/>
                <w:highlight w:val="none"/>
              </w:rPr>
              <w:t>委托代理人：</w:t>
            </w:r>
          </w:p>
        </w:tc>
        <w:tc>
          <w:tcPr>
            <w:tcW w:w="4456" w:type="dxa"/>
            <w:tcBorders>
              <w:top w:val="single" w:color="auto" w:sz="4" w:space="0"/>
              <w:left w:val="single" w:color="auto" w:sz="4" w:space="0"/>
              <w:bottom w:val="single" w:color="auto" w:sz="4" w:space="0"/>
              <w:right w:val="single" w:color="auto" w:sz="4" w:space="0"/>
            </w:tcBorders>
            <w:noWrap w:val="0"/>
            <w:vAlign w:val="center"/>
          </w:tcPr>
          <w:p w14:paraId="421D5345">
            <w:pPr>
              <w:snapToGrid w:val="0"/>
              <w:spacing w:line="480" w:lineRule="atLeast"/>
              <w:rPr>
                <w:rFonts w:ascii="宋体" w:hAnsi="宋体" w:cs="宋体"/>
                <w:color w:val="auto"/>
                <w:sz w:val="24"/>
                <w:highlight w:val="none"/>
              </w:rPr>
            </w:pPr>
            <w:r>
              <w:rPr>
                <w:rFonts w:hint="eastAsia" w:ascii="宋体" w:hAnsi="宋体" w:cs="宋体"/>
                <w:color w:val="auto"/>
                <w:sz w:val="24"/>
                <w:highlight w:val="none"/>
              </w:rPr>
              <w:t>委托代理人：</w:t>
            </w:r>
          </w:p>
        </w:tc>
      </w:tr>
      <w:tr w14:paraId="26E64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4564" w:type="dxa"/>
            <w:tcBorders>
              <w:top w:val="single" w:color="auto" w:sz="4" w:space="0"/>
              <w:left w:val="single" w:color="auto" w:sz="4" w:space="0"/>
              <w:bottom w:val="single" w:color="auto" w:sz="4" w:space="0"/>
              <w:right w:val="single" w:color="auto" w:sz="4" w:space="0"/>
            </w:tcBorders>
            <w:noWrap w:val="0"/>
            <w:vAlign w:val="center"/>
          </w:tcPr>
          <w:p w14:paraId="1B036247">
            <w:pPr>
              <w:snapToGrid w:val="0"/>
              <w:spacing w:line="480" w:lineRule="atLeast"/>
              <w:rPr>
                <w:rFonts w:ascii="宋体" w:hAnsi="宋体" w:cs="宋体"/>
                <w:color w:val="auto"/>
                <w:sz w:val="24"/>
                <w:highlight w:val="none"/>
              </w:rPr>
            </w:pPr>
            <w:r>
              <w:rPr>
                <w:rFonts w:hint="eastAsia" w:ascii="宋体" w:hAnsi="宋体" w:cs="宋体"/>
                <w:color w:val="auto"/>
                <w:sz w:val="24"/>
                <w:highlight w:val="none"/>
              </w:rPr>
              <w:t>电话：</w:t>
            </w:r>
          </w:p>
        </w:tc>
        <w:tc>
          <w:tcPr>
            <w:tcW w:w="4456" w:type="dxa"/>
            <w:tcBorders>
              <w:top w:val="single" w:color="auto" w:sz="4" w:space="0"/>
              <w:left w:val="single" w:color="auto" w:sz="4" w:space="0"/>
              <w:bottom w:val="single" w:color="auto" w:sz="4" w:space="0"/>
              <w:right w:val="single" w:color="auto" w:sz="4" w:space="0"/>
            </w:tcBorders>
            <w:noWrap w:val="0"/>
            <w:vAlign w:val="center"/>
          </w:tcPr>
          <w:p w14:paraId="2D5EBDC6">
            <w:pPr>
              <w:snapToGrid w:val="0"/>
              <w:spacing w:line="480" w:lineRule="atLeast"/>
              <w:rPr>
                <w:rFonts w:ascii="宋体" w:hAnsi="宋体" w:cs="宋体"/>
                <w:color w:val="auto"/>
                <w:sz w:val="24"/>
                <w:highlight w:val="none"/>
              </w:rPr>
            </w:pPr>
            <w:r>
              <w:rPr>
                <w:rFonts w:hint="eastAsia" w:ascii="宋体" w:hAnsi="宋体" w:cs="宋体"/>
                <w:color w:val="auto"/>
                <w:sz w:val="24"/>
                <w:highlight w:val="none"/>
              </w:rPr>
              <w:t>电话：</w:t>
            </w:r>
          </w:p>
        </w:tc>
      </w:tr>
      <w:tr w14:paraId="5558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4564" w:type="dxa"/>
            <w:tcBorders>
              <w:top w:val="single" w:color="auto" w:sz="4" w:space="0"/>
              <w:left w:val="single" w:color="auto" w:sz="4" w:space="0"/>
              <w:bottom w:val="single" w:color="auto" w:sz="4" w:space="0"/>
              <w:right w:val="single" w:color="auto" w:sz="4" w:space="0"/>
            </w:tcBorders>
            <w:noWrap w:val="0"/>
            <w:vAlign w:val="center"/>
          </w:tcPr>
          <w:p w14:paraId="1E073A2A">
            <w:pPr>
              <w:snapToGrid w:val="0"/>
              <w:spacing w:line="480" w:lineRule="atLeast"/>
              <w:rPr>
                <w:rFonts w:ascii="宋体" w:hAnsi="宋体" w:cs="宋体"/>
                <w:color w:val="auto"/>
                <w:sz w:val="24"/>
                <w:highlight w:val="none"/>
              </w:rPr>
            </w:pPr>
            <w:r>
              <w:rPr>
                <w:rFonts w:hint="eastAsia" w:ascii="宋体" w:hAnsi="宋体" w:cs="宋体"/>
                <w:color w:val="auto"/>
                <w:sz w:val="24"/>
                <w:highlight w:val="none"/>
              </w:rPr>
              <w:t xml:space="preserve">开户银行： </w:t>
            </w:r>
          </w:p>
        </w:tc>
        <w:tc>
          <w:tcPr>
            <w:tcW w:w="4456" w:type="dxa"/>
            <w:tcBorders>
              <w:top w:val="single" w:color="auto" w:sz="4" w:space="0"/>
              <w:left w:val="single" w:color="auto" w:sz="4" w:space="0"/>
              <w:bottom w:val="single" w:color="auto" w:sz="4" w:space="0"/>
              <w:right w:val="single" w:color="auto" w:sz="4" w:space="0"/>
            </w:tcBorders>
            <w:noWrap w:val="0"/>
            <w:vAlign w:val="center"/>
          </w:tcPr>
          <w:p w14:paraId="57C956C4">
            <w:pPr>
              <w:snapToGrid w:val="0"/>
              <w:spacing w:line="480" w:lineRule="atLeast"/>
              <w:rPr>
                <w:rFonts w:ascii="宋体" w:hAnsi="宋体" w:cs="宋体"/>
                <w:color w:val="auto"/>
                <w:sz w:val="24"/>
                <w:highlight w:val="none"/>
              </w:rPr>
            </w:pPr>
            <w:r>
              <w:rPr>
                <w:rFonts w:hint="eastAsia" w:ascii="宋体" w:hAnsi="宋体" w:cs="宋体"/>
                <w:color w:val="auto"/>
                <w:sz w:val="24"/>
                <w:highlight w:val="none"/>
              </w:rPr>
              <w:t>开户银行：</w:t>
            </w:r>
          </w:p>
        </w:tc>
      </w:tr>
      <w:tr w14:paraId="705A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4564" w:type="dxa"/>
            <w:tcBorders>
              <w:top w:val="single" w:color="auto" w:sz="4" w:space="0"/>
              <w:left w:val="single" w:color="auto" w:sz="4" w:space="0"/>
              <w:bottom w:val="single" w:color="auto" w:sz="4" w:space="0"/>
              <w:right w:val="single" w:color="auto" w:sz="4" w:space="0"/>
            </w:tcBorders>
            <w:noWrap w:val="0"/>
            <w:vAlign w:val="center"/>
          </w:tcPr>
          <w:p w14:paraId="30A2CD10">
            <w:pPr>
              <w:snapToGrid w:val="0"/>
              <w:spacing w:line="480" w:lineRule="atLeast"/>
              <w:rPr>
                <w:rFonts w:ascii="宋体" w:hAnsi="宋体" w:cs="宋体"/>
                <w:color w:val="auto"/>
                <w:sz w:val="24"/>
                <w:highlight w:val="none"/>
              </w:rPr>
            </w:pPr>
            <w:r>
              <w:rPr>
                <w:rFonts w:hint="eastAsia" w:ascii="宋体" w:hAnsi="宋体" w:cs="宋体"/>
                <w:color w:val="auto"/>
                <w:sz w:val="24"/>
                <w:highlight w:val="none"/>
              </w:rPr>
              <w:t>账号：</w:t>
            </w:r>
          </w:p>
        </w:tc>
        <w:tc>
          <w:tcPr>
            <w:tcW w:w="4456" w:type="dxa"/>
            <w:tcBorders>
              <w:top w:val="single" w:color="auto" w:sz="4" w:space="0"/>
              <w:left w:val="single" w:color="auto" w:sz="4" w:space="0"/>
              <w:bottom w:val="single" w:color="auto" w:sz="4" w:space="0"/>
              <w:right w:val="single" w:color="auto" w:sz="4" w:space="0"/>
            </w:tcBorders>
            <w:noWrap w:val="0"/>
            <w:vAlign w:val="center"/>
          </w:tcPr>
          <w:p w14:paraId="733D2230">
            <w:pPr>
              <w:snapToGrid w:val="0"/>
              <w:spacing w:line="480" w:lineRule="atLeast"/>
              <w:rPr>
                <w:rFonts w:ascii="宋体" w:hAnsi="宋体" w:cs="宋体"/>
                <w:color w:val="auto"/>
                <w:sz w:val="24"/>
                <w:highlight w:val="none"/>
              </w:rPr>
            </w:pPr>
            <w:r>
              <w:rPr>
                <w:rFonts w:hint="eastAsia" w:ascii="宋体" w:hAnsi="宋体" w:cs="宋体"/>
                <w:color w:val="auto"/>
                <w:sz w:val="24"/>
                <w:highlight w:val="none"/>
              </w:rPr>
              <w:t>账号：</w:t>
            </w:r>
          </w:p>
        </w:tc>
      </w:tr>
      <w:tr w14:paraId="5C11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4564" w:type="dxa"/>
            <w:tcBorders>
              <w:top w:val="single" w:color="auto" w:sz="4" w:space="0"/>
              <w:left w:val="single" w:color="auto" w:sz="4" w:space="0"/>
              <w:bottom w:val="single" w:color="auto" w:sz="4" w:space="0"/>
              <w:right w:val="single" w:color="auto" w:sz="4" w:space="0"/>
            </w:tcBorders>
            <w:noWrap w:val="0"/>
            <w:vAlign w:val="center"/>
          </w:tcPr>
          <w:p w14:paraId="6DE30556">
            <w:pPr>
              <w:snapToGrid w:val="0"/>
              <w:spacing w:line="480" w:lineRule="atLeast"/>
              <w:rPr>
                <w:rFonts w:ascii="宋体" w:hAnsi="宋体" w:cs="宋体"/>
                <w:color w:val="auto"/>
                <w:sz w:val="24"/>
                <w:highlight w:val="none"/>
              </w:rPr>
            </w:pPr>
            <w:r>
              <w:rPr>
                <w:rFonts w:hint="eastAsia" w:ascii="宋体" w:hAnsi="宋体" w:cs="宋体"/>
                <w:color w:val="auto"/>
                <w:sz w:val="24"/>
                <w:highlight w:val="none"/>
              </w:rPr>
              <w:t>邮政编码：</w:t>
            </w:r>
          </w:p>
        </w:tc>
        <w:tc>
          <w:tcPr>
            <w:tcW w:w="4456" w:type="dxa"/>
            <w:tcBorders>
              <w:top w:val="single" w:color="auto" w:sz="4" w:space="0"/>
              <w:left w:val="single" w:color="auto" w:sz="4" w:space="0"/>
              <w:bottom w:val="single" w:color="auto" w:sz="4" w:space="0"/>
              <w:right w:val="single" w:color="auto" w:sz="4" w:space="0"/>
            </w:tcBorders>
            <w:noWrap w:val="0"/>
            <w:vAlign w:val="center"/>
          </w:tcPr>
          <w:p w14:paraId="26F074FC">
            <w:pPr>
              <w:snapToGrid w:val="0"/>
              <w:spacing w:line="480" w:lineRule="atLeast"/>
              <w:rPr>
                <w:rFonts w:ascii="宋体" w:hAnsi="宋体" w:cs="宋体"/>
                <w:color w:val="auto"/>
                <w:sz w:val="24"/>
                <w:highlight w:val="none"/>
              </w:rPr>
            </w:pPr>
            <w:r>
              <w:rPr>
                <w:rFonts w:hint="eastAsia" w:ascii="宋体" w:hAnsi="宋体" w:cs="宋体"/>
                <w:color w:val="auto"/>
                <w:sz w:val="24"/>
                <w:highlight w:val="none"/>
              </w:rPr>
              <w:t>邮政编码：</w:t>
            </w:r>
          </w:p>
        </w:tc>
      </w:tr>
    </w:tbl>
    <w:p w14:paraId="05ABBA27">
      <w:pPr>
        <w:pStyle w:val="12"/>
        <w:spacing w:after="0"/>
        <w:rPr>
          <w:rFonts w:ascii="宋体" w:hAnsi="宋体" w:cs="宋体"/>
          <w:color w:val="auto"/>
          <w:sz w:val="6"/>
          <w:szCs w:val="6"/>
          <w:highlight w:val="none"/>
        </w:rPr>
      </w:pPr>
    </w:p>
    <w:sectPr>
      <w:footerReference r:id="rId10" w:type="first"/>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06571">
    <w:pPr>
      <w:pStyle w:val="18"/>
      <w:tabs>
        <w:tab w:val="center" w:pos="4439"/>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53664">
    <w:pPr>
      <w:pStyle w:val="18"/>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2DCBD2B"/>
                      </w:txbxContent>
                    </wps:txbx>
                    <wps:bodyPr vert="horz" wrap="none" lIns="0" tIns="0" rIns="0" bIns="0" anchor="t" anchorCtr="0" upright="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8s0oE+UBAADPAwAA&#10;DgAAAAAAAAABACAAAAAeAQAAZHJzL2Uyb0RvYy54bWxQSwUGAAAAAAYABgBZAQAAdQUAAAAA&#10;">
              <v:fill on="f" focussize="0,0"/>
              <v:stroke on="f"/>
              <v:imagedata o:title=""/>
              <o:lock v:ext="edit" aspectratio="f"/>
              <v:textbox inset="0mm,0mm,0mm,0mm" style="mso-fit-shape-to-text:t;">
                <w:txbxContent>
                  <w:p w14:paraId="22DCBD2B"/>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77815">
    <w:pPr>
      <w:pStyle w:val="18"/>
      <w:tabs>
        <w:tab w:val="center" w:pos="4439"/>
        <w:tab w:val="clear" w:pos="4153"/>
      </w:tabs>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4A3C8B">
                          <w:pPr>
                            <w:pStyle w:val="18"/>
                          </w:pPr>
                          <w:r>
                            <w:fldChar w:fldCharType="begin"/>
                          </w:r>
                          <w:r>
                            <w:instrText xml:space="preserve"> PAGE  \* MERGEFORMAT </w:instrText>
                          </w:r>
                          <w:r>
                            <w:fldChar w:fldCharType="separate"/>
                          </w:r>
                          <w:r>
                            <w:t>60</w:t>
                          </w:r>
                          <w:r>
                            <w:fldChar w:fldCharType="end"/>
                          </w:r>
                        </w:p>
                      </w:txbxContent>
                    </wps:txbx>
                    <wps:bodyPr vert="horz" wrap="none" lIns="0" tIns="0" rIns="0" bIns="0" anchor="t" anchorCtr="0" upright="0">
                      <a:spAutoFit/>
                    </wps:bodyPr>
                  </wps:wsp>
                </a:graphicData>
              </a:graphic>
            </wp:anchor>
          </w:drawing>
        </mc:Choice>
        <mc:Fallback>
          <w:pict>
            <v:shape id="文本框 51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efweC+UBAADPAwAA&#10;DgAAAAAAAAABACAAAAAeAQAAZHJzL2Uyb0RvYy54bWxQSwUGAAAAAAYABgBZAQAAdQUAAAAA&#10;">
              <v:fill on="f" focussize="0,0"/>
              <v:stroke on="f"/>
              <v:imagedata o:title=""/>
              <o:lock v:ext="edit" aspectratio="f"/>
              <v:textbox inset="0mm,0mm,0mm,0mm" style="mso-fit-shape-to-text:t;">
                <w:txbxContent>
                  <w:p w14:paraId="134A3C8B">
                    <w:pPr>
                      <w:pStyle w:val="1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094AD">
    <w:pPr>
      <w:pStyle w:val="1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943484B">
                          <w:pPr>
                            <w:pStyle w:val="18"/>
                            <w:jc w:val="center"/>
                          </w:pPr>
                          <w:r>
                            <w:fldChar w:fldCharType="begin"/>
                          </w:r>
                          <w:r>
                            <w:instrText xml:space="preserve"> PAGE  \* MERGEFORMAT </w:instrText>
                          </w:r>
                          <w:r>
                            <w:fldChar w:fldCharType="separate"/>
                          </w:r>
                          <w:r>
                            <w:t>98</w:t>
                          </w:r>
                          <w:r>
                            <w:fldChar w:fldCharType="end"/>
                          </w:r>
                        </w:p>
                      </w:txbxContent>
                    </wps:txbx>
                    <wps:bodyPr vert="horz" wrap="none" lIns="0" tIns="0" rIns="0" bIns="0" anchor="t" anchorCtr="0" upright="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CMT+1b5AEAAM8DAAAO&#10;AAAAAAAAAAEAIAAAAB4BAABkcnMvZTJvRG9jLnhtbFBLBQYAAAAABgAGAFkBAAB0BQAAAAA=&#10;">
              <v:fill on="f" focussize="0,0"/>
              <v:stroke on="f"/>
              <v:imagedata o:title=""/>
              <o:lock v:ext="edit" aspectratio="f"/>
              <v:textbox inset="0mm,0mm,0mm,0mm" style="mso-fit-shape-to-text:t;">
                <w:txbxContent>
                  <w:p w14:paraId="0943484B">
                    <w:pPr>
                      <w:pStyle w:val="18"/>
                      <w:jc w:val="center"/>
                    </w:pPr>
                    <w:r>
                      <w:fldChar w:fldCharType="begin"/>
                    </w:r>
                    <w:r>
                      <w:instrText xml:space="preserve"> PAGE  \* MERGEFORMAT </w:instrText>
                    </w:r>
                    <w:r>
                      <w:fldChar w:fldCharType="separate"/>
                    </w:r>
                    <w:r>
                      <w:t>98</w:t>
                    </w:r>
                    <w:r>
                      <w:fldChar w:fldCharType="end"/>
                    </w:r>
                  </w:p>
                </w:txbxContent>
              </v:textbox>
            </v:shape>
          </w:pict>
        </mc:Fallback>
      </mc:AlternateContent>
    </w:r>
  </w:p>
  <w:p w14:paraId="5F3B7E50">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FF150">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944B8EE">
                          <w:pPr>
                            <w:pStyle w:val="18"/>
                          </w:pPr>
                          <w:r>
                            <w:fldChar w:fldCharType="begin"/>
                          </w:r>
                          <w:r>
                            <w:instrText xml:space="preserve"> PAGE  \* MERGEFORMAT </w:instrText>
                          </w:r>
                          <w:r>
                            <w:fldChar w:fldCharType="separate"/>
                          </w:r>
                          <w:r>
                            <w:t>84</w:t>
                          </w:r>
                          <w:r>
                            <w:fldChar w:fldCharType="end"/>
                          </w:r>
                        </w:p>
                      </w:txbxContent>
                    </wps:txbx>
                    <wps:bodyPr vert="horz" wrap="none" lIns="0" tIns="0" rIns="0" bIns="0" anchor="t" anchorCtr="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4JUPk5AEAAM8DAAAO&#10;AAAAAAAAAAEAIAAAAB4BAABkcnMvZTJvRG9jLnhtbFBLBQYAAAAABgAGAFkBAAB0BQAAAAA=&#10;">
              <v:fill on="f" focussize="0,0"/>
              <v:stroke on="f"/>
              <v:imagedata o:title=""/>
              <o:lock v:ext="edit" aspectratio="f"/>
              <v:textbox inset="0mm,0mm,0mm,0mm" style="mso-fit-shape-to-text:t;">
                <w:txbxContent>
                  <w:p w14:paraId="1944B8EE">
                    <w:pPr>
                      <w:pStyle w:val="18"/>
                    </w:pPr>
                    <w:r>
                      <w:fldChar w:fldCharType="begin"/>
                    </w:r>
                    <w:r>
                      <w:instrText xml:space="preserve"> PAGE  \* MERGEFORMAT </w:instrText>
                    </w:r>
                    <w:r>
                      <w:fldChar w:fldCharType="separate"/>
                    </w:r>
                    <w:r>
                      <w:t>84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6EA18">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06990">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7D151">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89DDA"/>
    <w:multiLevelType w:val="singleLevel"/>
    <w:tmpl w:val="EBE89DDA"/>
    <w:lvl w:ilvl="0" w:tentative="0">
      <w:start w:val="2"/>
      <w:numFmt w:val="decimal"/>
      <w:lvlText w:val="%1."/>
      <w:lvlJc w:val="left"/>
      <w:pPr>
        <w:tabs>
          <w:tab w:val="left" w:pos="312"/>
        </w:tabs>
      </w:pPr>
    </w:lvl>
  </w:abstractNum>
  <w:abstractNum w:abstractNumId="1">
    <w:nsid w:val="EDF65141"/>
    <w:multiLevelType w:val="singleLevel"/>
    <w:tmpl w:val="EDF65141"/>
    <w:lvl w:ilvl="0" w:tentative="0">
      <w:start w:val="1"/>
      <w:numFmt w:val="decimal"/>
      <w:suff w:val="nothing"/>
      <w:lvlText w:val="（%1）"/>
      <w:lvlJc w:val="left"/>
    </w:lvl>
  </w:abstractNum>
  <w:abstractNum w:abstractNumId="2">
    <w:nsid w:val="514220BC"/>
    <w:multiLevelType w:val="multilevel"/>
    <w:tmpl w:val="514220BC"/>
    <w:lvl w:ilvl="0" w:tentative="0">
      <w:start w:val="1"/>
      <w:numFmt w:val="decimal"/>
      <w:lvlText w:val="%1"/>
      <w:lvlJc w:val="left"/>
      <w:pPr>
        <w:ind w:left="0" w:firstLine="0"/>
      </w:pPr>
      <w:rPr>
        <w:rFonts w:hint="eastAsia"/>
      </w:rPr>
    </w:lvl>
    <w:lvl w:ilvl="1" w:tentative="0">
      <w:start w:val="1"/>
      <w:numFmt w:val="decimal"/>
      <w:lvlText w:val="%1.%2"/>
      <w:lvlJc w:val="left"/>
      <w:pPr>
        <w:ind w:left="142" w:firstLine="0"/>
      </w:pPr>
      <w:rPr>
        <w:rFonts w:hint="eastAsia"/>
      </w:rPr>
    </w:lvl>
    <w:lvl w:ilvl="2" w:tentative="0">
      <w:start w:val="1"/>
      <w:numFmt w:val="decimal"/>
      <w:lvlText w:val="%1.%2.%3"/>
      <w:lvlJc w:val="left"/>
      <w:pPr>
        <w:ind w:left="0" w:firstLine="0"/>
      </w:pPr>
      <w:rPr>
        <w:rFonts w:hint="eastAsia" w:ascii="宋体" w:hAnsi="宋体" w:eastAsia="宋体"/>
      </w:rPr>
    </w:lvl>
    <w:lvl w:ilvl="3" w:tentative="0">
      <w:start w:val="1"/>
      <w:numFmt w:val="decimal"/>
      <w:pStyle w:val="5"/>
      <w:lvlText w:val="%1.%2.%3.%4"/>
      <w:lvlJc w:val="left"/>
      <w:pPr>
        <w:ind w:left="0" w:firstLine="0"/>
      </w:pPr>
      <w:rPr>
        <w:rFonts w:hint="eastAsia" w:ascii="宋体" w:hAnsi="宋体" w:eastAsia="宋体"/>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6017C394"/>
    <w:multiLevelType w:val="singleLevel"/>
    <w:tmpl w:val="6017C394"/>
    <w:lvl w:ilvl="0" w:tentative="0">
      <w:start w:val="1"/>
      <w:numFmt w:val="decimal"/>
      <w:suff w:val="nothing"/>
      <w:lvlText w:val="%1."/>
      <w:lvlJc w:val="left"/>
    </w:lvl>
  </w:abstractNum>
  <w:abstractNum w:abstractNumId="4">
    <w:nsid w:val="625699D1"/>
    <w:multiLevelType w:val="singleLevel"/>
    <w:tmpl w:val="625699D1"/>
    <w:lvl w:ilvl="0" w:tentative="0">
      <w:start w:val="1"/>
      <w:numFmt w:val="decimal"/>
      <w:suff w:val="nothing"/>
      <w:lvlText w:val="%1."/>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14"/>
    <w:rsid w:val="000002E0"/>
    <w:rsid w:val="00000672"/>
    <w:rsid w:val="00000F29"/>
    <w:rsid w:val="00001013"/>
    <w:rsid w:val="00001799"/>
    <w:rsid w:val="00001AF2"/>
    <w:rsid w:val="00001ECA"/>
    <w:rsid w:val="00002D29"/>
    <w:rsid w:val="00003B93"/>
    <w:rsid w:val="0000474D"/>
    <w:rsid w:val="00005FDF"/>
    <w:rsid w:val="0000644A"/>
    <w:rsid w:val="000070B3"/>
    <w:rsid w:val="000076B8"/>
    <w:rsid w:val="000109DC"/>
    <w:rsid w:val="00010D39"/>
    <w:rsid w:val="0001172C"/>
    <w:rsid w:val="00011BC9"/>
    <w:rsid w:val="00012854"/>
    <w:rsid w:val="00012EA6"/>
    <w:rsid w:val="00013359"/>
    <w:rsid w:val="000139CF"/>
    <w:rsid w:val="00013AA4"/>
    <w:rsid w:val="00013DFE"/>
    <w:rsid w:val="000141EA"/>
    <w:rsid w:val="00016ABC"/>
    <w:rsid w:val="000177DB"/>
    <w:rsid w:val="000179C9"/>
    <w:rsid w:val="00017CCC"/>
    <w:rsid w:val="00020227"/>
    <w:rsid w:val="00020263"/>
    <w:rsid w:val="00020455"/>
    <w:rsid w:val="00020813"/>
    <w:rsid w:val="000215D0"/>
    <w:rsid w:val="000220B2"/>
    <w:rsid w:val="0002264C"/>
    <w:rsid w:val="00022731"/>
    <w:rsid w:val="00022792"/>
    <w:rsid w:val="00024463"/>
    <w:rsid w:val="00025461"/>
    <w:rsid w:val="00025636"/>
    <w:rsid w:val="00025E36"/>
    <w:rsid w:val="00026855"/>
    <w:rsid w:val="00026886"/>
    <w:rsid w:val="0002785D"/>
    <w:rsid w:val="000307BE"/>
    <w:rsid w:val="000329E0"/>
    <w:rsid w:val="0003328A"/>
    <w:rsid w:val="000346A4"/>
    <w:rsid w:val="000352E9"/>
    <w:rsid w:val="00035494"/>
    <w:rsid w:val="00036125"/>
    <w:rsid w:val="00036A07"/>
    <w:rsid w:val="0003780B"/>
    <w:rsid w:val="00040571"/>
    <w:rsid w:val="00040973"/>
    <w:rsid w:val="0004156E"/>
    <w:rsid w:val="00041713"/>
    <w:rsid w:val="0004440C"/>
    <w:rsid w:val="00046B5E"/>
    <w:rsid w:val="000470CB"/>
    <w:rsid w:val="000509D9"/>
    <w:rsid w:val="000512AF"/>
    <w:rsid w:val="00051ACB"/>
    <w:rsid w:val="000533E7"/>
    <w:rsid w:val="00055D41"/>
    <w:rsid w:val="00056EF6"/>
    <w:rsid w:val="00057CD6"/>
    <w:rsid w:val="00060DCE"/>
    <w:rsid w:val="000610E3"/>
    <w:rsid w:val="000614F3"/>
    <w:rsid w:val="000623B4"/>
    <w:rsid w:val="00062405"/>
    <w:rsid w:val="000634A7"/>
    <w:rsid w:val="00063B0B"/>
    <w:rsid w:val="00063F81"/>
    <w:rsid w:val="00064847"/>
    <w:rsid w:val="00065E08"/>
    <w:rsid w:val="00066786"/>
    <w:rsid w:val="000673E2"/>
    <w:rsid w:val="00067E4D"/>
    <w:rsid w:val="00067EF1"/>
    <w:rsid w:val="0007063F"/>
    <w:rsid w:val="000707FD"/>
    <w:rsid w:val="00070949"/>
    <w:rsid w:val="000711E4"/>
    <w:rsid w:val="00071E9B"/>
    <w:rsid w:val="000720A1"/>
    <w:rsid w:val="000724D9"/>
    <w:rsid w:val="00072AED"/>
    <w:rsid w:val="00073F47"/>
    <w:rsid w:val="0007492F"/>
    <w:rsid w:val="00074ED8"/>
    <w:rsid w:val="00075B7E"/>
    <w:rsid w:val="00077ACA"/>
    <w:rsid w:val="00077C70"/>
    <w:rsid w:val="000813B5"/>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6DA"/>
    <w:rsid w:val="00091AAB"/>
    <w:rsid w:val="00092442"/>
    <w:rsid w:val="000929EF"/>
    <w:rsid w:val="00092C26"/>
    <w:rsid w:val="000933BE"/>
    <w:rsid w:val="00094428"/>
    <w:rsid w:val="0009560F"/>
    <w:rsid w:val="0009588E"/>
    <w:rsid w:val="000959EE"/>
    <w:rsid w:val="00096DB9"/>
    <w:rsid w:val="00097183"/>
    <w:rsid w:val="000972CB"/>
    <w:rsid w:val="00097608"/>
    <w:rsid w:val="000A0F35"/>
    <w:rsid w:val="000A1175"/>
    <w:rsid w:val="000A13F3"/>
    <w:rsid w:val="000A1C18"/>
    <w:rsid w:val="000A23B1"/>
    <w:rsid w:val="000A2B0E"/>
    <w:rsid w:val="000A398F"/>
    <w:rsid w:val="000A448C"/>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37F2"/>
    <w:rsid w:val="000B3815"/>
    <w:rsid w:val="000B3C7B"/>
    <w:rsid w:val="000B3E68"/>
    <w:rsid w:val="000B4321"/>
    <w:rsid w:val="000B6A6B"/>
    <w:rsid w:val="000B6C95"/>
    <w:rsid w:val="000B79FC"/>
    <w:rsid w:val="000C1679"/>
    <w:rsid w:val="000C1EE3"/>
    <w:rsid w:val="000C3AE7"/>
    <w:rsid w:val="000C3CC9"/>
    <w:rsid w:val="000C59C6"/>
    <w:rsid w:val="000C6DE4"/>
    <w:rsid w:val="000C7202"/>
    <w:rsid w:val="000D0A89"/>
    <w:rsid w:val="000D1389"/>
    <w:rsid w:val="000D1798"/>
    <w:rsid w:val="000D2626"/>
    <w:rsid w:val="000D4016"/>
    <w:rsid w:val="000D411D"/>
    <w:rsid w:val="000D4589"/>
    <w:rsid w:val="000D4809"/>
    <w:rsid w:val="000D73DD"/>
    <w:rsid w:val="000E1C51"/>
    <w:rsid w:val="000E28AB"/>
    <w:rsid w:val="000E2E3E"/>
    <w:rsid w:val="000E3583"/>
    <w:rsid w:val="000E3AF0"/>
    <w:rsid w:val="000E4E04"/>
    <w:rsid w:val="000E693B"/>
    <w:rsid w:val="000E6D5C"/>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1D1B"/>
    <w:rsid w:val="00102676"/>
    <w:rsid w:val="00103646"/>
    <w:rsid w:val="00103918"/>
    <w:rsid w:val="00104897"/>
    <w:rsid w:val="00104EDE"/>
    <w:rsid w:val="00104F54"/>
    <w:rsid w:val="00105CDA"/>
    <w:rsid w:val="00106BEE"/>
    <w:rsid w:val="0010711C"/>
    <w:rsid w:val="00107368"/>
    <w:rsid w:val="00107BDF"/>
    <w:rsid w:val="00107C74"/>
    <w:rsid w:val="0011091C"/>
    <w:rsid w:val="00111266"/>
    <w:rsid w:val="001112EB"/>
    <w:rsid w:val="0011247D"/>
    <w:rsid w:val="00113678"/>
    <w:rsid w:val="00113A7D"/>
    <w:rsid w:val="00113C3E"/>
    <w:rsid w:val="00115E11"/>
    <w:rsid w:val="00115EEE"/>
    <w:rsid w:val="00115F56"/>
    <w:rsid w:val="00116999"/>
    <w:rsid w:val="00116CA9"/>
    <w:rsid w:val="00116F38"/>
    <w:rsid w:val="001170A4"/>
    <w:rsid w:val="00117AE7"/>
    <w:rsid w:val="00117B85"/>
    <w:rsid w:val="00117CBD"/>
    <w:rsid w:val="0012006A"/>
    <w:rsid w:val="00121979"/>
    <w:rsid w:val="00122064"/>
    <w:rsid w:val="00124341"/>
    <w:rsid w:val="00124492"/>
    <w:rsid w:val="00124B12"/>
    <w:rsid w:val="001250A0"/>
    <w:rsid w:val="001263B8"/>
    <w:rsid w:val="00130217"/>
    <w:rsid w:val="00130783"/>
    <w:rsid w:val="00130A47"/>
    <w:rsid w:val="00130FB0"/>
    <w:rsid w:val="00132B47"/>
    <w:rsid w:val="001337F8"/>
    <w:rsid w:val="001348B4"/>
    <w:rsid w:val="0013506E"/>
    <w:rsid w:val="001351CB"/>
    <w:rsid w:val="00135530"/>
    <w:rsid w:val="00135947"/>
    <w:rsid w:val="001359A2"/>
    <w:rsid w:val="00135F92"/>
    <w:rsid w:val="00136020"/>
    <w:rsid w:val="00136445"/>
    <w:rsid w:val="00136A9C"/>
    <w:rsid w:val="00137389"/>
    <w:rsid w:val="00140132"/>
    <w:rsid w:val="00141C9C"/>
    <w:rsid w:val="0014277F"/>
    <w:rsid w:val="001434BE"/>
    <w:rsid w:val="00143AAD"/>
    <w:rsid w:val="00144050"/>
    <w:rsid w:val="00144369"/>
    <w:rsid w:val="0014479F"/>
    <w:rsid w:val="001452B4"/>
    <w:rsid w:val="00145320"/>
    <w:rsid w:val="001476D3"/>
    <w:rsid w:val="001509CF"/>
    <w:rsid w:val="00150D1D"/>
    <w:rsid w:val="001525AA"/>
    <w:rsid w:val="00152A87"/>
    <w:rsid w:val="00152AC1"/>
    <w:rsid w:val="00153BB5"/>
    <w:rsid w:val="00154518"/>
    <w:rsid w:val="00156359"/>
    <w:rsid w:val="00156DD6"/>
    <w:rsid w:val="00156E60"/>
    <w:rsid w:val="0016086E"/>
    <w:rsid w:val="001609B9"/>
    <w:rsid w:val="00160D0C"/>
    <w:rsid w:val="00160DD1"/>
    <w:rsid w:val="00161172"/>
    <w:rsid w:val="00161998"/>
    <w:rsid w:val="00161E65"/>
    <w:rsid w:val="00162597"/>
    <w:rsid w:val="001629AF"/>
    <w:rsid w:val="001629FD"/>
    <w:rsid w:val="00163D82"/>
    <w:rsid w:val="0016428A"/>
    <w:rsid w:val="001647C9"/>
    <w:rsid w:val="00165627"/>
    <w:rsid w:val="001661A3"/>
    <w:rsid w:val="00167226"/>
    <w:rsid w:val="0016782B"/>
    <w:rsid w:val="0016784D"/>
    <w:rsid w:val="00167853"/>
    <w:rsid w:val="00167887"/>
    <w:rsid w:val="00172CA8"/>
    <w:rsid w:val="00173256"/>
    <w:rsid w:val="00173B0E"/>
    <w:rsid w:val="00173E03"/>
    <w:rsid w:val="0017512C"/>
    <w:rsid w:val="001756AF"/>
    <w:rsid w:val="0017586A"/>
    <w:rsid w:val="00175BA6"/>
    <w:rsid w:val="00175D6F"/>
    <w:rsid w:val="00176CA7"/>
    <w:rsid w:val="00176D0C"/>
    <w:rsid w:val="00176F8E"/>
    <w:rsid w:val="001778C5"/>
    <w:rsid w:val="00177E56"/>
    <w:rsid w:val="00177F0A"/>
    <w:rsid w:val="00180DA0"/>
    <w:rsid w:val="00181EAD"/>
    <w:rsid w:val="00182862"/>
    <w:rsid w:val="00183C7E"/>
    <w:rsid w:val="00184F57"/>
    <w:rsid w:val="00185091"/>
    <w:rsid w:val="00185544"/>
    <w:rsid w:val="00185617"/>
    <w:rsid w:val="00186FE1"/>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4222"/>
    <w:rsid w:val="001A50EA"/>
    <w:rsid w:val="001A5E24"/>
    <w:rsid w:val="001A661D"/>
    <w:rsid w:val="001A6795"/>
    <w:rsid w:val="001A6B27"/>
    <w:rsid w:val="001A6D8B"/>
    <w:rsid w:val="001A6DAA"/>
    <w:rsid w:val="001A7717"/>
    <w:rsid w:val="001A793A"/>
    <w:rsid w:val="001B125A"/>
    <w:rsid w:val="001B1EBA"/>
    <w:rsid w:val="001B2142"/>
    <w:rsid w:val="001B2F2B"/>
    <w:rsid w:val="001B327A"/>
    <w:rsid w:val="001B35DE"/>
    <w:rsid w:val="001B3A13"/>
    <w:rsid w:val="001B3F5C"/>
    <w:rsid w:val="001B466F"/>
    <w:rsid w:val="001B57C9"/>
    <w:rsid w:val="001B59FF"/>
    <w:rsid w:val="001B6512"/>
    <w:rsid w:val="001B65D7"/>
    <w:rsid w:val="001B6752"/>
    <w:rsid w:val="001B6768"/>
    <w:rsid w:val="001B6F1F"/>
    <w:rsid w:val="001B7ECC"/>
    <w:rsid w:val="001C025B"/>
    <w:rsid w:val="001C115F"/>
    <w:rsid w:val="001C1DED"/>
    <w:rsid w:val="001C1EAB"/>
    <w:rsid w:val="001C25A7"/>
    <w:rsid w:val="001C2775"/>
    <w:rsid w:val="001C318C"/>
    <w:rsid w:val="001C35C4"/>
    <w:rsid w:val="001C4287"/>
    <w:rsid w:val="001C4479"/>
    <w:rsid w:val="001C5190"/>
    <w:rsid w:val="001C6081"/>
    <w:rsid w:val="001C73EB"/>
    <w:rsid w:val="001C7B48"/>
    <w:rsid w:val="001D0CFB"/>
    <w:rsid w:val="001D1A0D"/>
    <w:rsid w:val="001D343C"/>
    <w:rsid w:val="001D4405"/>
    <w:rsid w:val="001D56E2"/>
    <w:rsid w:val="001D58A1"/>
    <w:rsid w:val="001D58C2"/>
    <w:rsid w:val="001D5A8A"/>
    <w:rsid w:val="001D61CA"/>
    <w:rsid w:val="001D6E87"/>
    <w:rsid w:val="001D735E"/>
    <w:rsid w:val="001D73C8"/>
    <w:rsid w:val="001D7BC6"/>
    <w:rsid w:val="001E129E"/>
    <w:rsid w:val="001E175C"/>
    <w:rsid w:val="001E1B0E"/>
    <w:rsid w:val="001E3B63"/>
    <w:rsid w:val="001E5A94"/>
    <w:rsid w:val="001F13FD"/>
    <w:rsid w:val="001F2A2E"/>
    <w:rsid w:val="001F3356"/>
    <w:rsid w:val="001F3C63"/>
    <w:rsid w:val="001F4460"/>
    <w:rsid w:val="001F6C96"/>
    <w:rsid w:val="001F711A"/>
    <w:rsid w:val="001F75B0"/>
    <w:rsid w:val="0020057C"/>
    <w:rsid w:val="0020083C"/>
    <w:rsid w:val="00200CE5"/>
    <w:rsid w:val="00200F7C"/>
    <w:rsid w:val="002014DB"/>
    <w:rsid w:val="0020150B"/>
    <w:rsid w:val="00201E12"/>
    <w:rsid w:val="00202295"/>
    <w:rsid w:val="002033B5"/>
    <w:rsid w:val="0020382C"/>
    <w:rsid w:val="0020437A"/>
    <w:rsid w:val="0020454C"/>
    <w:rsid w:val="00204740"/>
    <w:rsid w:val="00205129"/>
    <w:rsid w:val="0020521F"/>
    <w:rsid w:val="0020532C"/>
    <w:rsid w:val="002114C7"/>
    <w:rsid w:val="00211AEB"/>
    <w:rsid w:val="0021302C"/>
    <w:rsid w:val="00213B1C"/>
    <w:rsid w:val="00213F1E"/>
    <w:rsid w:val="00214202"/>
    <w:rsid w:val="002148E3"/>
    <w:rsid w:val="0021552D"/>
    <w:rsid w:val="002156AE"/>
    <w:rsid w:val="00215E99"/>
    <w:rsid w:val="0022054D"/>
    <w:rsid w:val="0022107B"/>
    <w:rsid w:val="00223DDB"/>
    <w:rsid w:val="00223FA4"/>
    <w:rsid w:val="00223FB0"/>
    <w:rsid w:val="0022405A"/>
    <w:rsid w:val="00224067"/>
    <w:rsid w:val="0022421C"/>
    <w:rsid w:val="00224C4A"/>
    <w:rsid w:val="00224E83"/>
    <w:rsid w:val="00225664"/>
    <w:rsid w:val="0022663D"/>
    <w:rsid w:val="00227C56"/>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0D75"/>
    <w:rsid w:val="002415AE"/>
    <w:rsid w:val="00241D3C"/>
    <w:rsid w:val="00242109"/>
    <w:rsid w:val="00243189"/>
    <w:rsid w:val="002439AB"/>
    <w:rsid w:val="00243C19"/>
    <w:rsid w:val="00244AE8"/>
    <w:rsid w:val="00244DC9"/>
    <w:rsid w:val="00245587"/>
    <w:rsid w:val="00245F2B"/>
    <w:rsid w:val="002466CD"/>
    <w:rsid w:val="00247F3A"/>
    <w:rsid w:val="00250122"/>
    <w:rsid w:val="0025024D"/>
    <w:rsid w:val="00250755"/>
    <w:rsid w:val="002508B7"/>
    <w:rsid w:val="00251043"/>
    <w:rsid w:val="00251C4A"/>
    <w:rsid w:val="0025271C"/>
    <w:rsid w:val="0025277A"/>
    <w:rsid w:val="002533CD"/>
    <w:rsid w:val="002535EA"/>
    <w:rsid w:val="00254EAB"/>
    <w:rsid w:val="002557AF"/>
    <w:rsid w:val="0025589C"/>
    <w:rsid w:val="00255B62"/>
    <w:rsid w:val="002566B1"/>
    <w:rsid w:val="002575E3"/>
    <w:rsid w:val="00257A74"/>
    <w:rsid w:val="00257C5D"/>
    <w:rsid w:val="002603C1"/>
    <w:rsid w:val="002609A1"/>
    <w:rsid w:val="002612B1"/>
    <w:rsid w:val="00265A12"/>
    <w:rsid w:val="00266165"/>
    <w:rsid w:val="00266F2C"/>
    <w:rsid w:val="0027125E"/>
    <w:rsid w:val="00271767"/>
    <w:rsid w:val="00272293"/>
    <w:rsid w:val="002723C8"/>
    <w:rsid w:val="00273633"/>
    <w:rsid w:val="00273C2A"/>
    <w:rsid w:val="00273CBE"/>
    <w:rsid w:val="002746B1"/>
    <w:rsid w:val="00274BAD"/>
    <w:rsid w:val="002807B0"/>
    <w:rsid w:val="00282D56"/>
    <w:rsid w:val="002835B0"/>
    <w:rsid w:val="00283C74"/>
    <w:rsid w:val="0028407E"/>
    <w:rsid w:val="0028410F"/>
    <w:rsid w:val="00284572"/>
    <w:rsid w:val="002850AA"/>
    <w:rsid w:val="00285221"/>
    <w:rsid w:val="00286FB5"/>
    <w:rsid w:val="00287763"/>
    <w:rsid w:val="00290606"/>
    <w:rsid w:val="002909B2"/>
    <w:rsid w:val="00291D6D"/>
    <w:rsid w:val="00291FF1"/>
    <w:rsid w:val="00292AA2"/>
    <w:rsid w:val="00293361"/>
    <w:rsid w:val="00294F10"/>
    <w:rsid w:val="002952B1"/>
    <w:rsid w:val="00295D11"/>
    <w:rsid w:val="00296FB6"/>
    <w:rsid w:val="002A0001"/>
    <w:rsid w:val="002A0BD9"/>
    <w:rsid w:val="002A0C3A"/>
    <w:rsid w:val="002A0DF8"/>
    <w:rsid w:val="002A0F1C"/>
    <w:rsid w:val="002A1130"/>
    <w:rsid w:val="002A1880"/>
    <w:rsid w:val="002A23B7"/>
    <w:rsid w:val="002A3A57"/>
    <w:rsid w:val="002A4B4F"/>
    <w:rsid w:val="002A57A8"/>
    <w:rsid w:val="002A6DEF"/>
    <w:rsid w:val="002A770B"/>
    <w:rsid w:val="002B013E"/>
    <w:rsid w:val="002B058D"/>
    <w:rsid w:val="002B0C16"/>
    <w:rsid w:val="002B2456"/>
    <w:rsid w:val="002B2AC5"/>
    <w:rsid w:val="002B3528"/>
    <w:rsid w:val="002B3539"/>
    <w:rsid w:val="002B4395"/>
    <w:rsid w:val="002B4532"/>
    <w:rsid w:val="002B4DD9"/>
    <w:rsid w:val="002B5042"/>
    <w:rsid w:val="002B69CC"/>
    <w:rsid w:val="002B6D71"/>
    <w:rsid w:val="002C03AE"/>
    <w:rsid w:val="002C0C1C"/>
    <w:rsid w:val="002C41BF"/>
    <w:rsid w:val="002C50F8"/>
    <w:rsid w:val="002C54C2"/>
    <w:rsid w:val="002C5D34"/>
    <w:rsid w:val="002C60BB"/>
    <w:rsid w:val="002C661A"/>
    <w:rsid w:val="002D0D6F"/>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68A7"/>
    <w:rsid w:val="002E6E6C"/>
    <w:rsid w:val="002F016E"/>
    <w:rsid w:val="002F0522"/>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2504"/>
    <w:rsid w:val="00312B89"/>
    <w:rsid w:val="00313026"/>
    <w:rsid w:val="00313913"/>
    <w:rsid w:val="0031421F"/>
    <w:rsid w:val="00314B31"/>
    <w:rsid w:val="00315A65"/>
    <w:rsid w:val="003165D7"/>
    <w:rsid w:val="0031666B"/>
    <w:rsid w:val="00316ABE"/>
    <w:rsid w:val="00317BA7"/>
    <w:rsid w:val="00320BE2"/>
    <w:rsid w:val="00321886"/>
    <w:rsid w:val="00321EDC"/>
    <w:rsid w:val="00323694"/>
    <w:rsid w:val="00323BE7"/>
    <w:rsid w:val="00324C3A"/>
    <w:rsid w:val="00324D63"/>
    <w:rsid w:val="003255AF"/>
    <w:rsid w:val="003256EB"/>
    <w:rsid w:val="003259DB"/>
    <w:rsid w:val="0032795B"/>
    <w:rsid w:val="003303CD"/>
    <w:rsid w:val="003314D9"/>
    <w:rsid w:val="00331653"/>
    <w:rsid w:val="00331A48"/>
    <w:rsid w:val="00331BCC"/>
    <w:rsid w:val="003330C9"/>
    <w:rsid w:val="0033364C"/>
    <w:rsid w:val="00334415"/>
    <w:rsid w:val="00334B8B"/>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4AE9"/>
    <w:rsid w:val="00355C0D"/>
    <w:rsid w:val="003566A9"/>
    <w:rsid w:val="00356988"/>
    <w:rsid w:val="003569D3"/>
    <w:rsid w:val="00356CE9"/>
    <w:rsid w:val="003570BB"/>
    <w:rsid w:val="00357128"/>
    <w:rsid w:val="0035755E"/>
    <w:rsid w:val="00357A80"/>
    <w:rsid w:val="00361441"/>
    <w:rsid w:val="00361B8B"/>
    <w:rsid w:val="00363F39"/>
    <w:rsid w:val="003640FC"/>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9D0"/>
    <w:rsid w:val="0038326A"/>
    <w:rsid w:val="0038444F"/>
    <w:rsid w:val="003861F0"/>
    <w:rsid w:val="00387051"/>
    <w:rsid w:val="00387ECF"/>
    <w:rsid w:val="0039021B"/>
    <w:rsid w:val="00390429"/>
    <w:rsid w:val="003906A0"/>
    <w:rsid w:val="003923D5"/>
    <w:rsid w:val="003931AF"/>
    <w:rsid w:val="0039366C"/>
    <w:rsid w:val="00393EC8"/>
    <w:rsid w:val="00395E42"/>
    <w:rsid w:val="00396409"/>
    <w:rsid w:val="00396A2D"/>
    <w:rsid w:val="00396FC3"/>
    <w:rsid w:val="003A1431"/>
    <w:rsid w:val="003A1A94"/>
    <w:rsid w:val="003A204E"/>
    <w:rsid w:val="003A2D25"/>
    <w:rsid w:val="003A5101"/>
    <w:rsid w:val="003A5728"/>
    <w:rsid w:val="003A60E7"/>
    <w:rsid w:val="003A7092"/>
    <w:rsid w:val="003A72A1"/>
    <w:rsid w:val="003A7611"/>
    <w:rsid w:val="003A7D1F"/>
    <w:rsid w:val="003B0B6A"/>
    <w:rsid w:val="003B22F7"/>
    <w:rsid w:val="003B29CF"/>
    <w:rsid w:val="003B3A90"/>
    <w:rsid w:val="003B3D01"/>
    <w:rsid w:val="003B534F"/>
    <w:rsid w:val="003B7A79"/>
    <w:rsid w:val="003C08FB"/>
    <w:rsid w:val="003C0FE1"/>
    <w:rsid w:val="003C151A"/>
    <w:rsid w:val="003C350C"/>
    <w:rsid w:val="003C3733"/>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0F4"/>
    <w:rsid w:val="003E59BB"/>
    <w:rsid w:val="003E6225"/>
    <w:rsid w:val="003E65AC"/>
    <w:rsid w:val="003E66AE"/>
    <w:rsid w:val="003E72B9"/>
    <w:rsid w:val="003E7612"/>
    <w:rsid w:val="003E7ED4"/>
    <w:rsid w:val="003F0CAA"/>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582F"/>
    <w:rsid w:val="00416112"/>
    <w:rsid w:val="00417A1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8D7"/>
    <w:rsid w:val="00432A94"/>
    <w:rsid w:val="00432C95"/>
    <w:rsid w:val="00433827"/>
    <w:rsid w:val="00433A40"/>
    <w:rsid w:val="00434B70"/>
    <w:rsid w:val="004360C8"/>
    <w:rsid w:val="00436823"/>
    <w:rsid w:val="004371D5"/>
    <w:rsid w:val="0044006B"/>
    <w:rsid w:val="0044033F"/>
    <w:rsid w:val="00440630"/>
    <w:rsid w:val="00441F0F"/>
    <w:rsid w:val="00442965"/>
    <w:rsid w:val="004432B6"/>
    <w:rsid w:val="004437B6"/>
    <w:rsid w:val="00444157"/>
    <w:rsid w:val="0044417C"/>
    <w:rsid w:val="00444DB3"/>
    <w:rsid w:val="00445617"/>
    <w:rsid w:val="00445A2F"/>
    <w:rsid w:val="00445E2D"/>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4AB7"/>
    <w:rsid w:val="00465DE5"/>
    <w:rsid w:val="00467EF8"/>
    <w:rsid w:val="00471AC3"/>
    <w:rsid w:val="00472429"/>
    <w:rsid w:val="004725E5"/>
    <w:rsid w:val="00472751"/>
    <w:rsid w:val="00473128"/>
    <w:rsid w:val="00475078"/>
    <w:rsid w:val="00475767"/>
    <w:rsid w:val="004779A0"/>
    <w:rsid w:val="004808E3"/>
    <w:rsid w:val="00481016"/>
    <w:rsid w:val="0048204C"/>
    <w:rsid w:val="004821BB"/>
    <w:rsid w:val="0048237A"/>
    <w:rsid w:val="004826FE"/>
    <w:rsid w:val="004827D5"/>
    <w:rsid w:val="00482AF2"/>
    <w:rsid w:val="004830C9"/>
    <w:rsid w:val="00483347"/>
    <w:rsid w:val="00483E2E"/>
    <w:rsid w:val="00484930"/>
    <w:rsid w:val="00484B69"/>
    <w:rsid w:val="00485406"/>
    <w:rsid w:val="0048590F"/>
    <w:rsid w:val="00486D60"/>
    <w:rsid w:val="00487E71"/>
    <w:rsid w:val="00491FA1"/>
    <w:rsid w:val="00492A25"/>
    <w:rsid w:val="004938A3"/>
    <w:rsid w:val="0049558B"/>
    <w:rsid w:val="00496350"/>
    <w:rsid w:val="0049797C"/>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FC3"/>
    <w:rsid w:val="004D7476"/>
    <w:rsid w:val="004D7716"/>
    <w:rsid w:val="004E0306"/>
    <w:rsid w:val="004E0572"/>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0E50"/>
    <w:rsid w:val="004F1D2A"/>
    <w:rsid w:val="004F243F"/>
    <w:rsid w:val="004F252C"/>
    <w:rsid w:val="004F2A29"/>
    <w:rsid w:val="004F36A3"/>
    <w:rsid w:val="004F3E0C"/>
    <w:rsid w:val="004F4308"/>
    <w:rsid w:val="004F7160"/>
    <w:rsid w:val="00500258"/>
    <w:rsid w:val="00500B2D"/>
    <w:rsid w:val="00501A99"/>
    <w:rsid w:val="005028C8"/>
    <w:rsid w:val="00503180"/>
    <w:rsid w:val="005038A4"/>
    <w:rsid w:val="00504CD4"/>
    <w:rsid w:val="0050524B"/>
    <w:rsid w:val="00505450"/>
    <w:rsid w:val="00505FC6"/>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20EF8"/>
    <w:rsid w:val="005210F7"/>
    <w:rsid w:val="00521753"/>
    <w:rsid w:val="0052239D"/>
    <w:rsid w:val="005224EE"/>
    <w:rsid w:val="00522879"/>
    <w:rsid w:val="00523BB1"/>
    <w:rsid w:val="00524B23"/>
    <w:rsid w:val="0052570E"/>
    <w:rsid w:val="005260CD"/>
    <w:rsid w:val="00526265"/>
    <w:rsid w:val="0052655D"/>
    <w:rsid w:val="005265E0"/>
    <w:rsid w:val="00526BC3"/>
    <w:rsid w:val="00530064"/>
    <w:rsid w:val="00531761"/>
    <w:rsid w:val="0053248F"/>
    <w:rsid w:val="005327AB"/>
    <w:rsid w:val="0053332A"/>
    <w:rsid w:val="0053358A"/>
    <w:rsid w:val="00534668"/>
    <w:rsid w:val="00534A6E"/>
    <w:rsid w:val="00534DDD"/>
    <w:rsid w:val="00535291"/>
    <w:rsid w:val="00535A94"/>
    <w:rsid w:val="00537874"/>
    <w:rsid w:val="0053795F"/>
    <w:rsid w:val="00537D3D"/>
    <w:rsid w:val="005403DA"/>
    <w:rsid w:val="00540511"/>
    <w:rsid w:val="00540578"/>
    <w:rsid w:val="00540808"/>
    <w:rsid w:val="0054080E"/>
    <w:rsid w:val="00540D1A"/>
    <w:rsid w:val="00540DE5"/>
    <w:rsid w:val="00540EA1"/>
    <w:rsid w:val="00541E5A"/>
    <w:rsid w:val="0054358E"/>
    <w:rsid w:val="00543AF4"/>
    <w:rsid w:val="00543F53"/>
    <w:rsid w:val="00544191"/>
    <w:rsid w:val="0054440C"/>
    <w:rsid w:val="005448EC"/>
    <w:rsid w:val="00544C0A"/>
    <w:rsid w:val="00544F39"/>
    <w:rsid w:val="005457FB"/>
    <w:rsid w:val="00546B96"/>
    <w:rsid w:val="00546F90"/>
    <w:rsid w:val="00547EFB"/>
    <w:rsid w:val="00550192"/>
    <w:rsid w:val="005522F2"/>
    <w:rsid w:val="005531DF"/>
    <w:rsid w:val="00553874"/>
    <w:rsid w:val="00553DCE"/>
    <w:rsid w:val="005541E0"/>
    <w:rsid w:val="00554577"/>
    <w:rsid w:val="00554AD8"/>
    <w:rsid w:val="00554F78"/>
    <w:rsid w:val="00555DA1"/>
    <w:rsid w:val="00556BF7"/>
    <w:rsid w:val="00556E53"/>
    <w:rsid w:val="00557F60"/>
    <w:rsid w:val="00561730"/>
    <w:rsid w:val="00561B97"/>
    <w:rsid w:val="00562149"/>
    <w:rsid w:val="005640EB"/>
    <w:rsid w:val="005666A4"/>
    <w:rsid w:val="00567B5D"/>
    <w:rsid w:val="00570757"/>
    <w:rsid w:val="00573733"/>
    <w:rsid w:val="00573F8B"/>
    <w:rsid w:val="00574554"/>
    <w:rsid w:val="00574E06"/>
    <w:rsid w:val="005751BB"/>
    <w:rsid w:val="00576089"/>
    <w:rsid w:val="005764B1"/>
    <w:rsid w:val="00576852"/>
    <w:rsid w:val="00576D06"/>
    <w:rsid w:val="005779E4"/>
    <w:rsid w:val="00580EC7"/>
    <w:rsid w:val="0058289C"/>
    <w:rsid w:val="005836C7"/>
    <w:rsid w:val="0058408E"/>
    <w:rsid w:val="005844C3"/>
    <w:rsid w:val="00585374"/>
    <w:rsid w:val="005854CA"/>
    <w:rsid w:val="00585FAB"/>
    <w:rsid w:val="00590B77"/>
    <w:rsid w:val="00590D9A"/>
    <w:rsid w:val="005913A3"/>
    <w:rsid w:val="00591A5A"/>
    <w:rsid w:val="005940D4"/>
    <w:rsid w:val="00594A7B"/>
    <w:rsid w:val="0059580E"/>
    <w:rsid w:val="00595D90"/>
    <w:rsid w:val="00596A6F"/>
    <w:rsid w:val="00596FCE"/>
    <w:rsid w:val="005A11BC"/>
    <w:rsid w:val="005A1525"/>
    <w:rsid w:val="005A1E17"/>
    <w:rsid w:val="005A252B"/>
    <w:rsid w:val="005A2A8F"/>
    <w:rsid w:val="005A3008"/>
    <w:rsid w:val="005A3204"/>
    <w:rsid w:val="005A3341"/>
    <w:rsid w:val="005A3C3D"/>
    <w:rsid w:val="005A46EC"/>
    <w:rsid w:val="005A5EAE"/>
    <w:rsid w:val="005A6407"/>
    <w:rsid w:val="005A726C"/>
    <w:rsid w:val="005B07EC"/>
    <w:rsid w:val="005B2B11"/>
    <w:rsid w:val="005B32A4"/>
    <w:rsid w:val="005B3371"/>
    <w:rsid w:val="005B338D"/>
    <w:rsid w:val="005B33A1"/>
    <w:rsid w:val="005B3852"/>
    <w:rsid w:val="005B3BAF"/>
    <w:rsid w:val="005B4DA3"/>
    <w:rsid w:val="005B5BEE"/>
    <w:rsid w:val="005B77D2"/>
    <w:rsid w:val="005C0195"/>
    <w:rsid w:val="005C019B"/>
    <w:rsid w:val="005C08D0"/>
    <w:rsid w:val="005C1AED"/>
    <w:rsid w:val="005C2136"/>
    <w:rsid w:val="005C30F5"/>
    <w:rsid w:val="005C3840"/>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1B9D"/>
    <w:rsid w:val="005E1BDA"/>
    <w:rsid w:val="005E2442"/>
    <w:rsid w:val="005E3111"/>
    <w:rsid w:val="005E3CA0"/>
    <w:rsid w:val="005E3F85"/>
    <w:rsid w:val="005E4A5F"/>
    <w:rsid w:val="005E516A"/>
    <w:rsid w:val="005E57B0"/>
    <w:rsid w:val="005E5B01"/>
    <w:rsid w:val="005E6D3B"/>
    <w:rsid w:val="005F009E"/>
    <w:rsid w:val="005F0DF1"/>
    <w:rsid w:val="005F1516"/>
    <w:rsid w:val="005F1A6F"/>
    <w:rsid w:val="005F229E"/>
    <w:rsid w:val="005F2564"/>
    <w:rsid w:val="005F3822"/>
    <w:rsid w:val="005F4635"/>
    <w:rsid w:val="005F4900"/>
    <w:rsid w:val="005F4E52"/>
    <w:rsid w:val="005F6D58"/>
    <w:rsid w:val="005F7383"/>
    <w:rsid w:val="0060058E"/>
    <w:rsid w:val="00602A3C"/>
    <w:rsid w:val="00603EFD"/>
    <w:rsid w:val="0060475B"/>
    <w:rsid w:val="00604BED"/>
    <w:rsid w:val="00604FB6"/>
    <w:rsid w:val="00605387"/>
    <w:rsid w:val="00606302"/>
    <w:rsid w:val="006076FD"/>
    <w:rsid w:val="00610811"/>
    <w:rsid w:val="0061143F"/>
    <w:rsid w:val="006114D8"/>
    <w:rsid w:val="00613553"/>
    <w:rsid w:val="00613601"/>
    <w:rsid w:val="00613791"/>
    <w:rsid w:val="006150D6"/>
    <w:rsid w:val="00615245"/>
    <w:rsid w:val="0061590D"/>
    <w:rsid w:val="00617699"/>
    <w:rsid w:val="00617EEE"/>
    <w:rsid w:val="00620A1F"/>
    <w:rsid w:val="0062169D"/>
    <w:rsid w:val="0062181E"/>
    <w:rsid w:val="0062211B"/>
    <w:rsid w:val="00622BB7"/>
    <w:rsid w:val="00622C1E"/>
    <w:rsid w:val="00623389"/>
    <w:rsid w:val="00623DAA"/>
    <w:rsid w:val="00623FAF"/>
    <w:rsid w:val="006265C4"/>
    <w:rsid w:val="0062678A"/>
    <w:rsid w:val="006270AF"/>
    <w:rsid w:val="00634367"/>
    <w:rsid w:val="00636CE3"/>
    <w:rsid w:val="00640082"/>
    <w:rsid w:val="00640291"/>
    <w:rsid w:val="00640EFE"/>
    <w:rsid w:val="00641D6D"/>
    <w:rsid w:val="00641FAC"/>
    <w:rsid w:val="00643664"/>
    <w:rsid w:val="00643CAA"/>
    <w:rsid w:val="00644F16"/>
    <w:rsid w:val="006455EB"/>
    <w:rsid w:val="006456C2"/>
    <w:rsid w:val="00645A65"/>
    <w:rsid w:val="00646959"/>
    <w:rsid w:val="00647729"/>
    <w:rsid w:val="006477F0"/>
    <w:rsid w:val="006478E4"/>
    <w:rsid w:val="0065171A"/>
    <w:rsid w:val="00652680"/>
    <w:rsid w:val="00653CDE"/>
    <w:rsid w:val="00654585"/>
    <w:rsid w:val="0065566E"/>
    <w:rsid w:val="00655AB6"/>
    <w:rsid w:val="00655EFA"/>
    <w:rsid w:val="00656061"/>
    <w:rsid w:val="00656281"/>
    <w:rsid w:val="0065636A"/>
    <w:rsid w:val="00657003"/>
    <w:rsid w:val="00660238"/>
    <w:rsid w:val="006602EF"/>
    <w:rsid w:val="00661277"/>
    <w:rsid w:val="006619E0"/>
    <w:rsid w:val="00663FEA"/>
    <w:rsid w:val="00664803"/>
    <w:rsid w:val="006657C5"/>
    <w:rsid w:val="00665D7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364"/>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1EB8"/>
    <w:rsid w:val="006A21DD"/>
    <w:rsid w:val="006A26C6"/>
    <w:rsid w:val="006A3302"/>
    <w:rsid w:val="006A3B28"/>
    <w:rsid w:val="006A4FEE"/>
    <w:rsid w:val="006A5549"/>
    <w:rsid w:val="006A703E"/>
    <w:rsid w:val="006A7BE3"/>
    <w:rsid w:val="006A7D32"/>
    <w:rsid w:val="006B01D1"/>
    <w:rsid w:val="006B0DF4"/>
    <w:rsid w:val="006B16EA"/>
    <w:rsid w:val="006B1780"/>
    <w:rsid w:val="006B21DC"/>
    <w:rsid w:val="006B224E"/>
    <w:rsid w:val="006B376E"/>
    <w:rsid w:val="006B4589"/>
    <w:rsid w:val="006B5157"/>
    <w:rsid w:val="006B610E"/>
    <w:rsid w:val="006B6805"/>
    <w:rsid w:val="006B6C07"/>
    <w:rsid w:val="006B6DE0"/>
    <w:rsid w:val="006C16C3"/>
    <w:rsid w:val="006C2187"/>
    <w:rsid w:val="006C27D9"/>
    <w:rsid w:val="006C32F4"/>
    <w:rsid w:val="006C3C54"/>
    <w:rsid w:val="006C4B6B"/>
    <w:rsid w:val="006C4CE1"/>
    <w:rsid w:val="006C4F9F"/>
    <w:rsid w:val="006C71A2"/>
    <w:rsid w:val="006C73EC"/>
    <w:rsid w:val="006D0C1D"/>
    <w:rsid w:val="006D28F3"/>
    <w:rsid w:val="006D2E9D"/>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FE9"/>
    <w:rsid w:val="006E32B0"/>
    <w:rsid w:val="006E348E"/>
    <w:rsid w:val="006E396A"/>
    <w:rsid w:val="006E3D63"/>
    <w:rsid w:val="006E58BF"/>
    <w:rsid w:val="006E5DD8"/>
    <w:rsid w:val="006E5EA1"/>
    <w:rsid w:val="006E6DEE"/>
    <w:rsid w:val="006E7D4B"/>
    <w:rsid w:val="006F018A"/>
    <w:rsid w:val="006F0760"/>
    <w:rsid w:val="006F11E2"/>
    <w:rsid w:val="006F2574"/>
    <w:rsid w:val="006F3231"/>
    <w:rsid w:val="006F3DE3"/>
    <w:rsid w:val="006F4787"/>
    <w:rsid w:val="006F61D8"/>
    <w:rsid w:val="006F62B7"/>
    <w:rsid w:val="006F70BC"/>
    <w:rsid w:val="006F726C"/>
    <w:rsid w:val="006F7E7C"/>
    <w:rsid w:val="0070174E"/>
    <w:rsid w:val="007018DB"/>
    <w:rsid w:val="00701DE6"/>
    <w:rsid w:val="00702740"/>
    <w:rsid w:val="0070381B"/>
    <w:rsid w:val="0070796C"/>
    <w:rsid w:val="007109BB"/>
    <w:rsid w:val="00710EBF"/>
    <w:rsid w:val="007110B8"/>
    <w:rsid w:val="0071209F"/>
    <w:rsid w:val="007125A2"/>
    <w:rsid w:val="00713DD9"/>
    <w:rsid w:val="00713F79"/>
    <w:rsid w:val="007148A8"/>
    <w:rsid w:val="00716AC8"/>
    <w:rsid w:val="00716E54"/>
    <w:rsid w:val="0072033C"/>
    <w:rsid w:val="00720B1B"/>
    <w:rsid w:val="00721062"/>
    <w:rsid w:val="00721E5D"/>
    <w:rsid w:val="007229D4"/>
    <w:rsid w:val="007230F8"/>
    <w:rsid w:val="007233F4"/>
    <w:rsid w:val="00724044"/>
    <w:rsid w:val="007243F2"/>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4142"/>
    <w:rsid w:val="007352EA"/>
    <w:rsid w:val="007356AC"/>
    <w:rsid w:val="0073792F"/>
    <w:rsid w:val="00737A15"/>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89C"/>
    <w:rsid w:val="00747DE2"/>
    <w:rsid w:val="007502D0"/>
    <w:rsid w:val="007504BF"/>
    <w:rsid w:val="007506CD"/>
    <w:rsid w:val="0075267F"/>
    <w:rsid w:val="007526EC"/>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153"/>
    <w:rsid w:val="007777CC"/>
    <w:rsid w:val="00777B32"/>
    <w:rsid w:val="0078051E"/>
    <w:rsid w:val="00781089"/>
    <w:rsid w:val="00781CB6"/>
    <w:rsid w:val="007838F3"/>
    <w:rsid w:val="007856FE"/>
    <w:rsid w:val="00785F46"/>
    <w:rsid w:val="007865F4"/>
    <w:rsid w:val="00786D5C"/>
    <w:rsid w:val="00786E96"/>
    <w:rsid w:val="00787BB6"/>
    <w:rsid w:val="00787DFF"/>
    <w:rsid w:val="00787F93"/>
    <w:rsid w:val="00791E6D"/>
    <w:rsid w:val="00791EB5"/>
    <w:rsid w:val="0079343F"/>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3BF0"/>
    <w:rsid w:val="007B7490"/>
    <w:rsid w:val="007C0525"/>
    <w:rsid w:val="007C13F7"/>
    <w:rsid w:val="007C1D77"/>
    <w:rsid w:val="007C218D"/>
    <w:rsid w:val="007C2D28"/>
    <w:rsid w:val="007C3E22"/>
    <w:rsid w:val="007C58C1"/>
    <w:rsid w:val="007C6218"/>
    <w:rsid w:val="007C6484"/>
    <w:rsid w:val="007C67C6"/>
    <w:rsid w:val="007C78BE"/>
    <w:rsid w:val="007C7A5D"/>
    <w:rsid w:val="007C7E59"/>
    <w:rsid w:val="007D0476"/>
    <w:rsid w:val="007D0B91"/>
    <w:rsid w:val="007D0FE7"/>
    <w:rsid w:val="007D1452"/>
    <w:rsid w:val="007D1563"/>
    <w:rsid w:val="007D3DCB"/>
    <w:rsid w:val="007D460C"/>
    <w:rsid w:val="007D4996"/>
    <w:rsid w:val="007D4AD3"/>
    <w:rsid w:val="007D5D19"/>
    <w:rsid w:val="007D5FDC"/>
    <w:rsid w:val="007D6176"/>
    <w:rsid w:val="007D69CD"/>
    <w:rsid w:val="007D6D68"/>
    <w:rsid w:val="007D7A3C"/>
    <w:rsid w:val="007E194F"/>
    <w:rsid w:val="007E32DA"/>
    <w:rsid w:val="007E4998"/>
    <w:rsid w:val="007E4A9C"/>
    <w:rsid w:val="007E6914"/>
    <w:rsid w:val="007E7F78"/>
    <w:rsid w:val="007F0179"/>
    <w:rsid w:val="007F2C13"/>
    <w:rsid w:val="007F2CEC"/>
    <w:rsid w:val="007F2ED1"/>
    <w:rsid w:val="007F3435"/>
    <w:rsid w:val="007F505D"/>
    <w:rsid w:val="007F531B"/>
    <w:rsid w:val="007F55DE"/>
    <w:rsid w:val="007F762D"/>
    <w:rsid w:val="007F78F0"/>
    <w:rsid w:val="007F78FF"/>
    <w:rsid w:val="008001C5"/>
    <w:rsid w:val="00800F6C"/>
    <w:rsid w:val="00801065"/>
    <w:rsid w:val="00802666"/>
    <w:rsid w:val="00802C0B"/>
    <w:rsid w:val="00805040"/>
    <w:rsid w:val="008051FC"/>
    <w:rsid w:val="008055A9"/>
    <w:rsid w:val="008056C4"/>
    <w:rsid w:val="008057FD"/>
    <w:rsid w:val="00805D8B"/>
    <w:rsid w:val="008100E6"/>
    <w:rsid w:val="0081010F"/>
    <w:rsid w:val="00810BB6"/>
    <w:rsid w:val="00810E8E"/>
    <w:rsid w:val="00812C44"/>
    <w:rsid w:val="008135E1"/>
    <w:rsid w:val="00813779"/>
    <w:rsid w:val="00813E26"/>
    <w:rsid w:val="0081481D"/>
    <w:rsid w:val="00814BE8"/>
    <w:rsid w:val="00814F6E"/>
    <w:rsid w:val="00815B84"/>
    <w:rsid w:val="00816342"/>
    <w:rsid w:val="008166F6"/>
    <w:rsid w:val="00816BE9"/>
    <w:rsid w:val="00817D10"/>
    <w:rsid w:val="00822518"/>
    <w:rsid w:val="008226F5"/>
    <w:rsid w:val="00823FC6"/>
    <w:rsid w:val="00824306"/>
    <w:rsid w:val="00825C74"/>
    <w:rsid w:val="00825CFA"/>
    <w:rsid w:val="00826AB9"/>
    <w:rsid w:val="00826E0E"/>
    <w:rsid w:val="00827D11"/>
    <w:rsid w:val="00827E0F"/>
    <w:rsid w:val="00827F6E"/>
    <w:rsid w:val="00831758"/>
    <w:rsid w:val="008317D9"/>
    <w:rsid w:val="00831AEC"/>
    <w:rsid w:val="0083279F"/>
    <w:rsid w:val="00832CE9"/>
    <w:rsid w:val="008334DB"/>
    <w:rsid w:val="00833B7F"/>
    <w:rsid w:val="00833E8E"/>
    <w:rsid w:val="00834906"/>
    <w:rsid w:val="00836075"/>
    <w:rsid w:val="00836417"/>
    <w:rsid w:val="00836D47"/>
    <w:rsid w:val="00837526"/>
    <w:rsid w:val="008407A7"/>
    <w:rsid w:val="0084322B"/>
    <w:rsid w:val="00843F81"/>
    <w:rsid w:val="00844087"/>
    <w:rsid w:val="008448F1"/>
    <w:rsid w:val="0084519E"/>
    <w:rsid w:val="00845CAE"/>
    <w:rsid w:val="008462C5"/>
    <w:rsid w:val="008462FA"/>
    <w:rsid w:val="00846370"/>
    <w:rsid w:val="00846873"/>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3A8E"/>
    <w:rsid w:val="0086407F"/>
    <w:rsid w:val="008645E3"/>
    <w:rsid w:val="0086486A"/>
    <w:rsid w:val="00864E79"/>
    <w:rsid w:val="0086572B"/>
    <w:rsid w:val="00866615"/>
    <w:rsid w:val="0086661F"/>
    <w:rsid w:val="00866A0D"/>
    <w:rsid w:val="00866DB5"/>
    <w:rsid w:val="0086701D"/>
    <w:rsid w:val="0086702B"/>
    <w:rsid w:val="008672E2"/>
    <w:rsid w:val="0086784E"/>
    <w:rsid w:val="00870E55"/>
    <w:rsid w:val="0087121C"/>
    <w:rsid w:val="00871FD2"/>
    <w:rsid w:val="00872084"/>
    <w:rsid w:val="00872827"/>
    <w:rsid w:val="00872A32"/>
    <w:rsid w:val="00874911"/>
    <w:rsid w:val="008754E4"/>
    <w:rsid w:val="00876EAE"/>
    <w:rsid w:val="00880106"/>
    <w:rsid w:val="00880F95"/>
    <w:rsid w:val="00882B44"/>
    <w:rsid w:val="008838AD"/>
    <w:rsid w:val="00885210"/>
    <w:rsid w:val="00885BC9"/>
    <w:rsid w:val="008864B3"/>
    <w:rsid w:val="008865E5"/>
    <w:rsid w:val="008871B0"/>
    <w:rsid w:val="00890B57"/>
    <w:rsid w:val="008916BA"/>
    <w:rsid w:val="00891795"/>
    <w:rsid w:val="0089217C"/>
    <w:rsid w:val="00892790"/>
    <w:rsid w:val="00893671"/>
    <w:rsid w:val="00895838"/>
    <w:rsid w:val="00895A1E"/>
    <w:rsid w:val="00895A72"/>
    <w:rsid w:val="00895CDF"/>
    <w:rsid w:val="00896679"/>
    <w:rsid w:val="008967E3"/>
    <w:rsid w:val="00896D8C"/>
    <w:rsid w:val="008A0FC9"/>
    <w:rsid w:val="008A1956"/>
    <w:rsid w:val="008A1A7C"/>
    <w:rsid w:val="008A2CE2"/>
    <w:rsid w:val="008A40D3"/>
    <w:rsid w:val="008A469C"/>
    <w:rsid w:val="008A50FB"/>
    <w:rsid w:val="008A51D1"/>
    <w:rsid w:val="008A5DCE"/>
    <w:rsid w:val="008A75D3"/>
    <w:rsid w:val="008B05DD"/>
    <w:rsid w:val="008B07B8"/>
    <w:rsid w:val="008B17E8"/>
    <w:rsid w:val="008B2C45"/>
    <w:rsid w:val="008B2E7C"/>
    <w:rsid w:val="008B399A"/>
    <w:rsid w:val="008B45F0"/>
    <w:rsid w:val="008B4A70"/>
    <w:rsid w:val="008B502F"/>
    <w:rsid w:val="008B6DFC"/>
    <w:rsid w:val="008B7227"/>
    <w:rsid w:val="008C02FB"/>
    <w:rsid w:val="008C04E0"/>
    <w:rsid w:val="008C191C"/>
    <w:rsid w:val="008C1DA4"/>
    <w:rsid w:val="008C1DC2"/>
    <w:rsid w:val="008C2138"/>
    <w:rsid w:val="008C29B0"/>
    <w:rsid w:val="008C2CD5"/>
    <w:rsid w:val="008C33AE"/>
    <w:rsid w:val="008C3618"/>
    <w:rsid w:val="008C39E7"/>
    <w:rsid w:val="008C43AD"/>
    <w:rsid w:val="008C6118"/>
    <w:rsid w:val="008C6341"/>
    <w:rsid w:val="008C653D"/>
    <w:rsid w:val="008C731F"/>
    <w:rsid w:val="008C74D9"/>
    <w:rsid w:val="008D2050"/>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227"/>
    <w:rsid w:val="008E562C"/>
    <w:rsid w:val="008E6540"/>
    <w:rsid w:val="008E6FBE"/>
    <w:rsid w:val="008E77D4"/>
    <w:rsid w:val="008E7ADD"/>
    <w:rsid w:val="008F091F"/>
    <w:rsid w:val="008F17B2"/>
    <w:rsid w:val="008F22B3"/>
    <w:rsid w:val="008F357B"/>
    <w:rsid w:val="008F44CA"/>
    <w:rsid w:val="008F49D3"/>
    <w:rsid w:val="008F6519"/>
    <w:rsid w:val="008F7012"/>
    <w:rsid w:val="008F7ADA"/>
    <w:rsid w:val="008F7B17"/>
    <w:rsid w:val="00900042"/>
    <w:rsid w:val="0090034B"/>
    <w:rsid w:val="0090087C"/>
    <w:rsid w:val="00901121"/>
    <w:rsid w:val="00902623"/>
    <w:rsid w:val="00902A67"/>
    <w:rsid w:val="00902C5E"/>
    <w:rsid w:val="00904BE4"/>
    <w:rsid w:val="0090504A"/>
    <w:rsid w:val="009051F5"/>
    <w:rsid w:val="00905221"/>
    <w:rsid w:val="00905664"/>
    <w:rsid w:val="00905A7C"/>
    <w:rsid w:val="00905D7E"/>
    <w:rsid w:val="0090601F"/>
    <w:rsid w:val="00907037"/>
    <w:rsid w:val="00907259"/>
    <w:rsid w:val="00910C5D"/>
    <w:rsid w:val="0091112C"/>
    <w:rsid w:val="0091160A"/>
    <w:rsid w:val="00912E04"/>
    <w:rsid w:val="00913258"/>
    <w:rsid w:val="00913851"/>
    <w:rsid w:val="00913BB0"/>
    <w:rsid w:val="0091456C"/>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21B1"/>
    <w:rsid w:val="009327F0"/>
    <w:rsid w:val="00932ED7"/>
    <w:rsid w:val="0093422D"/>
    <w:rsid w:val="0093483B"/>
    <w:rsid w:val="00934CF9"/>
    <w:rsid w:val="00934DD7"/>
    <w:rsid w:val="00935CB2"/>
    <w:rsid w:val="00935CE6"/>
    <w:rsid w:val="009369A9"/>
    <w:rsid w:val="00936CF7"/>
    <w:rsid w:val="00937783"/>
    <w:rsid w:val="00937EAD"/>
    <w:rsid w:val="00937F28"/>
    <w:rsid w:val="00940FE1"/>
    <w:rsid w:val="00941474"/>
    <w:rsid w:val="00942306"/>
    <w:rsid w:val="009424B8"/>
    <w:rsid w:val="009432E2"/>
    <w:rsid w:val="00944668"/>
    <w:rsid w:val="00944DC6"/>
    <w:rsid w:val="009458B0"/>
    <w:rsid w:val="00945B52"/>
    <w:rsid w:val="00945B7A"/>
    <w:rsid w:val="00945F05"/>
    <w:rsid w:val="00946348"/>
    <w:rsid w:val="00947224"/>
    <w:rsid w:val="00947797"/>
    <w:rsid w:val="009478A2"/>
    <w:rsid w:val="009533BD"/>
    <w:rsid w:val="009536FB"/>
    <w:rsid w:val="00953808"/>
    <w:rsid w:val="009539A6"/>
    <w:rsid w:val="00954032"/>
    <w:rsid w:val="00954537"/>
    <w:rsid w:val="0095472D"/>
    <w:rsid w:val="00955342"/>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70F18"/>
    <w:rsid w:val="00971CF1"/>
    <w:rsid w:val="00971F5D"/>
    <w:rsid w:val="009721E9"/>
    <w:rsid w:val="00973772"/>
    <w:rsid w:val="009747AF"/>
    <w:rsid w:val="0097560A"/>
    <w:rsid w:val="00975E1E"/>
    <w:rsid w:val="00975E70"/>
    <w:rsid w:val="009761DE"/>
    <w:rsid w:val="009766FA"/>
    <w:rsid w:val="00977CD6"/>
    <w:rsid w:val="00977EF4"/>
    <w:rsid w:val="0098048B"/>
    <w:rsid w:val="00980908"/>
    <w:rsid w:val="00980DF9"/>
    <w:rsid w:val="00981CD8"/>
    <w:rsid w:val="0098243D"/>
    <w:rsid w:val="00982D26"/>
    <w:rsid w:val="00983B6E"/>
    <w:rsid w:val="00983FE5"/>
    <w:rsid w:val="009849E9"/>
    <w:rsid w:val="00984AFF"/>
    <w:rsid w:val="009859E4"/>
    <w:rsid w:val="00985D7F"/>
    <w:rsid w:val="00987812"/>
    <w:rsid w:val="00990225"/>
    <w:rsid w:val="00991307"/>
    <w:rsid w:val="00991FAA"/>
    <w:rsid w:val="00992A13"/>
    <w:rsid w:val="00994AAD"/>
    <w:rsid w:val="00995150"/>
    <w:rsid w:val="00995D67"/>
    <w:rsid w:val="00997613"/>
    <w:rsid w:val="009A004F"/>
    <w:rsid w:val="009A013B"/>
    <w:rsid w:val="009A02F4"/>
    <w:rsid w:val="009A06BF"/>
    <w:rsid w:val="009A0A5C"/>
    <w:rsid w:val="009A0D17"/>
    <w:rsid w:val="009A2494"/>
    <w:rsid w:val="009A32B1"/>
    <w:rsid w:val="009A33A3"/>
    <w:rsid w:val="009A36F2"/>
    <w:rsid w:val="009A40C3"/>
    <w:rsid w:val="009A40D5"/>
    <w:rsid w:val="009A5268"/>
    <w:rsid w:val="009A57D0"/>
    <w:rsid w:val="009A6559"/>
    <w:rsid w:val="009A68FC"/>
    <w:rsid w:val="009A6CE4"/>
    <w:rsid w:val="009A7514"/>
    <w:rsid w:val="009A7E7A"/>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03C"/>
    <w:rsid w:val="009C6606"/>
    <w:rsid w:val="009C6CE5"/>
    <w:rsid w:val="009C6D50"/>
    <w:rsid w:val="009C72B2"/>
    <w:rsid w:val="009C7547"/>
    <w:rsid w:val="009D05EC"/>
    <w:rsid w:val="009D18D4"/>
    <w:rsid w:val="009D1FCF"/>
    <w:rsid w:val="009D2F60"/>
    <w:rsid w:val="009D3A2E"/>
    <w:rsid w:val="009D5ADE"/>
    <w:rsid w:val="009D5BAC"/>
    <w:rsid w:val="009D5C56"/>
    <w:rsid w:val="009D6265"/>
    <w:rsid w:val="009D64BD"/>
    <w:rsid w:val="009D6CB1"/>
    <w:rsid w:val="009E0286"/>
    <w:rsid w:val="009E153F"/>
    <w:rsid w:val="009E18C5"/>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740B"/>
    <w:rsid w:val="00A07ED3"/>
    <w:rsid w:val="00A10CA8"/>
    <w:rsid w:val="00A11042"/>
    <w:rsid w:val="00A12579"/>
    <w:rsid w:val="00A12CDC"/>
    <w:rsid w:val="00A133D8"/>
    <w:rsid w:val="00A15655"/>
    <w:rsid w:val="00A160B0"/>
    <w:rsid w:val="00A1740C"/>
    <w:rsid w:val="00A17904"/>
    <w:rsid w:val="00A20069"/>
    <w:rsid w:val="00A2244D"/>
    <w:rsid w:val="00A2253D"/>
    <w:rsid w:val="00A2267F"/>
    <w:rsid w:val="00A22CDB"/>
    <w:rsid w:val="00A247B8"/>
    <w:rsid w:val="00A2495A"/>
    <w:rsid w:val="00A24C7A"/>
    <w:rsid w:val="00A24D8F"/>
    <w:rsid w:val="00A25B8B"/>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188"/>
    <w:rsid w:val="00A41537"/>
    <w:rsid w:val="00A41737"/>
    <w:rsid w:val="00A42B8F"/>
    <w:rsid w:val="00A42D8E"/>
    <w:rsid w:val="00A43254"/>
    <w:rsid w:val="00A43896"/>
    <w:rsid w:val="00A43951"/>
    <w:rsid w:val="00A43A26"/>
    <w:rsid w:val="00A447A0"/>
    <w:rsid w:val="00A459F5"/>
    <w:rsid w:val="00A45FC0"/>
    <w:rsid w:val="00A46B74"/>
    <w:rsid w:val="00A47BF7"/>
    <w:rsid w:val="00A47ECC"/>
    <w:rsid w:val="00A50171"/>
    <w:rsid w:val="00A504FA"/>
    <w:rsid w:val="00A5102E"/>
    <w:rsid w:val="00A5132E"/>
    <w:rsid w:val="00A51375"/>
    <w:rsid w:val="00A51533"/>
    <w:rsid w:val="00A531D4"/>
    <w:rsid w:val="00A54572"/>
    <w:rsid w:val="00A56D4D"/>
    <w:rsid w:val="00A575B8"/>
    <w:rsid w:val="00A619BB"/>
    <w:rsid w:val="00A61C60"/>
    <w:rsid w:val="00A61ECB"/>
    <w:rsid w:val="00A6410C"/>
    <w:rsid w:val="00A647B1"/>
    <w:rsid w:val="00A64DEF"/>
    <w:rsid w:val="00A654D2"/>
    <w:rsid w:val="00A665DF"/>
    <w:rsid w:val="00A67FCC"/>
    <w:rsid w:val="00A705F5"/>
    <w:rsid w:val="00A70AA5"/>
    <w:rsid w:val="00A70C03"/>
    <w:rsid w:val="00A71256"/>
    <w:rsid w:val="00A7217B"/>
    <w:rsid w:val="00A722D7"/>
    <w:rsid w:val="00A723A3"/>
    <w:rsid w:val="00A73861"/>
    <w:rsid w:val="00A739A6"/>
    <w:rsid w:val="00A740ED"/>
    <w:rsid w:val="00A74C29"/>
    <w:rsid w:val="00A74C62"/>
    <w:rsid w:val="00A75EF9"/>
    <w:rsid w:val="00A7657C"/>
    <w:rsid w:val="00A8311C"/>
    <w:rsid w:val="00A835D0"/>
    <w:rsid w:val="00A84C5F"/>
    <w:rsid w:val="00A85930"/>
    <w:rsid w:val="00A863F7"/>
    <w:rsid w:val="00A86604"/>
    <w:rsid w:val="00A87519"/>
    <w:rsid w:val="00A9246D"/>
    <w:rsid w:val="00A92CCA"/>
    <w:rsid w:val="00A93BD0"/>
    <w:rsid w:val="00A93CC2"/>
    <w:rsid w:val="00A94D4B"/>
    <w:rsid w:val="00A974CC"/>
    <w:rsid w:val="00A97889"/>
    <w:rsid w:val="00AA05FB"/>
    <w:rsid w:val="00AA2001"/>
    <w:rsid w:val="00AA2B5C"/>
    <w:rsid w:val="00AA32D2"/>
    <w:rsid w:val="00AA3B8B"/>
    <w:rsid w:val="00AA4016"/>
    <w:rsid w:val="00AA4C1F"/>
    <w:rsid w:val="00AA5328"/>
    <w:rsid w:val="00AA5393"/>
    <w:rsid w:val="00AA63D4"/>
    <w:rsid w:val="00AA7A21"/>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5E9"/>
    <w:rsid w:val="00AC7D6D"/>
    <w:rsid w:val="00AD0091"/>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297"/>
    <w:rsid w:val="00AE33A6"/>
    <w:rsid w:val="00AE3513"/>
    <w:rsid w:val="00AE3729"/>
    <w:rsid w:val="00AE4A3E"/>
    <w:rsid w:val="00AE4CCE"/>
    <w:rsid w:val="00AE5C6A"/>
    <w:rsid w:val="00AE7280"/>
    <w:rsid w:val="00AF01FA"/>
    <w:rsid w:val="00AF033A"/>
    <w:rsid w:val="00AF1658"/>
    <w:rsid w:val="00AF1699"/>
    <w:rsid w:val="00AF1FD3"/>
    <w:rsid w:val="00AF2910"/>
    <w:rsid w:val="00AF34B8"/>
    <w:rsid w:val="00AF3896"/>
    <w:rsid w:val="00AF39C9"/>
    <w:rsid w:val="00AF3FC2"/>
    <w:rsid w:val="00AF4DEC"/>
    <w:rsid w:val="00B003FF"/>
    <w:rsid w:val="00B0098A"/>
    <w:rsid w:val="00B00A5F"/>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CDE"/>
    <w:rsid w:val="00B21D23"/>
    <w:rsid w:val="00B21F62"/>
    <w:rsid w:val="00B22CE0"/>
    <w:rsid w:val="00B23738"/>
    <w:rsid w:val="00B23BEF"/>
    <w:rsid w:val="00B24253"/>
    <w:rsid w:val="00B247BB"/>
    <w:rsid w:val="00B2504A"/>
    <w:rsid w:val="00B25EE6"/>
    <w:rsid w:val="00B3115A"/>
    <w:rsid w:val="00B3178B"/>
    <w:rsid w:val="00B31825"/>
    <w:rsid w:val="00B31A5C"/>
    <w:rsid w:val="00B32265"/>
    <w:rsid w:val="00B3276D"/>
    <w:rsid w:val="00B33B06"/>
    <w:rsid w:val="00B33C19"/>
    <w:rsid w:val="00B35A15"/>
    <w:rsid w:val="00B35B45"/>
    <w:rsid w:val="00B36165"/>
    <w:rsid w:val="00B36A99"/>
    <w:rsid w:val="00B42264"/>
    <w:rsid w:val="00B42EF9"/>
    <w:rsid w:val="00B434B2"/>
    <w:rsid w:val="00B43D45"/>
    <w:rsid w:val="00B459AF"/>
    <w:rsid w:val="00B468F2"/>
    <w:rsid w:val="00B469DE"/>
    <w:rsid w:val="00B47286"/>
    <w:rsid w:val="00B47EB4"/>
    <w:rsid w:val="00B50234"/>
    <w:rsid w:val="00B51BF4"/>
    <w:rsid w:val="00B52C68"/>
    <w:rsid w:val="00B5372B"/>
    <w:rsid w:val="00B542FE"/>
    <w:rsid w:val="00B55A1B"/>
    <w:rsid w:val="00B561DB"/>
    <w:rsid w:val="00B56DF9"/>
    <w:rsid w:val="00B56E80"/>
    <w:rsid w:val="00B571F1"/>
    <w:rsid w:val="00B600BD"/>
    <w:rsid w:val="00B60E4E"/>
    <w:rsid w:val="00B61274"/>
    <w:rsid w:val="00B61DCE"/>
    <w:rsid w:val="00B62188"/>
    <w:rsid w:val="00B62F79"/>
    <w:rsid w:val="00B62F82"/>
    <w:rsid w:val="00B6306A"/>
    <w:rsid w:val="00B635E3"/>
    <w:rsid w:val="00B662FF"/>
    <w:rsid w:val="00B66679"/>
    <w:rsid w:val="00B70145"/>
    <w:rsid w:val="00B71A92"/>
    <w:rsid w:val="00B721D8"/>
    <w:rsid w:val="00B730CA"/>
    <w:rsid w:val="00B732EA"/>
    <w:rsid w:val="00B73747"/>
    <w:rsid w:val="00B747C5"/>
    <w:rsid w:val="00B74F2F"/>
    <w:rsid w:val="00B753ED"/>
    <w:rsid w:val="00B7665F"/>
    <w:rsid w:val="00B769BC"/>
    <w:rsid w:val="00B770F7"/>
    <w:rsid w:val="00B77349"/>
    <w:rsid w:val="00B7761E"/>
    <w:rsid w:val="00B80A3D"/>
    <w:rsid w:val="00B80B04"/>
    <w:rsid w:val="00B821E4"/>
    <w:rsid w:val="00B823E0"/>
    <w:rsid w:val="00B8260D"/>
    <w:rsid w:val="00B82B78"/>
    <w:rsid w:val="00B845B4"/>
    <w:rsid w:val="00B84662"/>
    <w:rsid w:val="00B84C74"/>
    <w:rsid w:val="00B84CE9"/>
    <w:rsid w:val="00B85191"/>
    <w:rsid w:val="00B858A1"/>
    <w:rsid w:val="00B85FEC"/>
    <w:rsid w:val="00B864A3"/>
    <w:rsid w:val="00B86C2A"/>
    <w:rsid w:val="00B902A5"/>
    <w:rsid w:val="00B90420"/>
    <w:rsid w:val="00B90848"/>
    <w:rsid w:val="00B91146"/>
    <w:rsid w:val="00B913E4"/>
    <w:rsid w:val="00B91DB9"/>
    <w:rsid w:val="00B91FF3"/>
    <w:rsid w:val="00B925F8"/>
    <w:rsid w:val="00B93EFE"/>
    <w:rsid w:val="00B944B9"/>
    <w:rsid w:val="00B94956"/>
    <w:rsid w:val="00B94C7F"/>
    <w:rsid w:val="00B94E93"/>
    <w:rsid w:val="00B956B5"/>
    <w:rsid w:val="00B95956"/>
    <w:rsid w:val="00B96DF2"/>
    <w:rsid w:val="00B96E18"/>
    <w:rsid w:val="00B96F5A"/>
    <w:rsid w:val="00BA0B39"/>
    <w:rsid w:val="00BA0CB2"/>
    <w:rsid w:val="00BA0E26"/>
    <w:rsid w:val="00BA138B"/>
    <w:rsid w:val="00BA305B"/>
    <w:rsid w:val="00BA31BF"/>
    <w:rsid w:val="00BA3C0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3EA7"/>
    <w:rsid w:val="00BB5909"/>
    <w:rsid w:val="00BB5D16"/>
    <w:rsid w:val="00BB6180"/>
    <w:rsid w:val="00BB69E6"/>
    <w:rsid w:val="00BB7323"/>
    <w:rsid w:val="00BB7BE5"/>
    <w:rsid w:val="00BC08BD"/>
    <w:rsid w:val="00BC11E8"/>
    <w:rsid w:val="00BC1B7A"/>
    <w:rsid w:val="00BC2C17"/>
    <w:rsid w:val="00BC3ACD"/>
    <w:rsid w:val="00BC3B20"/>
    <w:rsid w:val="00BC3EE4"/>
    <w:rsid w:val="00BC588C"/>
    <w:rsid w:val="00BC6E73"/>
    <w:rsid w:val="00BC74D3"/>
    <w:rsid w:val="00BD0014"/>
    <w:rsid w:val="00BD01D8"/>
    <w:rsid w:val="00BD255F"/>
    <w:rsid w:val="00BD2895"/>
    <w:rsid w:val="00BD4236"/>
    <w:rsid w:val="00BD483B"/>
    <w:rsid w:val="00BD51F9"/>
    <w:rsid w:val="00BD5CD4"/>
    <w:rsid w:val="00BD65D9"/>
    <w:rsid w:val="00BD6DF3"/>
    <w:rsid w:val="00BD6E09"/>
    <w:rsid w:val="00BD6EF9"/>
    <w:rsid w:val="00BE04BC"/>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2E9"/>
    <w:rsid w:val="00BF2972"/>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31CF"/>
    <w:rsid w:val="00C047AB"/>
    <w:rsid w:val="00C058AF"/>
    <w:rsid w:val="00C075B6"/>
    <w:rsid w:val="00C124C1"/>
    <w:rsid w:val="00C128AE"/>
    <w:rsid w:val="00C12BA8"/>
    <w:rsid w:val="00C13094"/>
    <w:rsid w:val="00C136D6"/>
    <w:rsid w:val="00C13D5B"/>
    <w:rsid w:val="00C141D7"/>
    <w:rsid w:val="00C1711B"/>
    <w:rsid w:val="00C17AE2"/>
    <w:rsid w:val="00C20140"/>
    <w:rsid w:val="00C20848"/>
    <w:rsid w:val="00C20F27"/>
    <w:rsid w:val="00C215CF"/>
    <w:rsid w:val="00C2244B"/>
    <w:rsid w:val="00C22711"/>
    <w:rsid w:val="00C2280A"/>
    <w:rsid w:val="00C22B0D"/>
    <w:rsid w:val="00C22BFF"/>
    <w:rsid w:val="00C23522"/>
    <w:rsid w:val="00C240C1"/>
    <w:rsid w:val="00C244A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7027"/>
    <w:rsid w:val="00C373BF"/>
    <w:rsid w:val="00C37B19"/>
    <w:rsid w:val="00C41349"/>
    <w:rsid w:val="00C413CB"/>
    <w:rsid w:val="00C42752"/>
    <w:rsid w:val="00C42973"/>
    <w:rsid w:val="00C46B95"/>
    <w:rsid w:val="00C4712A"/>
    <w:rsid w:val="00C5034F"/>
    <w:rsid w:val="00C50830"/>
    <w:rsid w:val="00C52479"/>
    <w:rsid w:val="00C5266E"/>
    <w:rsid w:val="00C52C59"/>
    <w:rsid w:val="00C5349E"/>
    <w:rsid w:val="00C539FF"/>
    <w:rsid w:val="00C544BD"/>
    <w:rsid w:val="00C54D3D"/>
    <w:rsid w:val="00C55A30"/>
    <w:rsid w:val="00C56384"/>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23C"/>
    <w:rsid w:val="00C827B4"/>
    <w:rsid w:val="00C83214"/>
    <w:rsid w:val="00C8329F"/>
    <w:rsid w:val="00C84F8A"/>
    <w:rsid w:val="00C85BA4"/>
    <w:rsid w:val="00C8618F"/>
    <w:rsid w:val="00C8625D"/>
    <w:rsid w:val="00C90372"/>
    <w:rsid w:val="00C9041F"/>
    <w:rsid w:val="00C90A64"/>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010"/>
    <w:rsid w:val="00CB53E8"/>
    <w:rsid w:val="00CB594A"/>
    <w:rsid w:val="00CB5CB2"/>
    <w:rsid w:val="00CB6979"/>
    <w:rsid w:val="00CB7DDE"/>
    <w:rsid w:val="00CC0A3D"/>
    <w:rsid w:val="00CC2FF0"/>
    <w:rsid w:val="00CC3C53"/>
    <w:rsid w:val="00CC3D24"/>
    <w:rsid w:val="00CC3F91"/>
    <w:rsid w:val="00CC47EE"/>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5DAD"/>
    <w:rsid w:val="00CD72C5"/>
    <w:rsid w:val="00CD79A7"/>
    <w:rsid w:val="00CD7FAD"/>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55F9"/>
    <w:rsid w:val="00CF7074"/>
    <w:rsid w:val="00CF7495"/>
    <w:rsid w:val="00D01CF9"/>
    <w:rsid w:val="00D0334D"/>
    <w:rsid w:val="00D0374D"/>
    <w:rsid w:val="00D06D7B"/>
    <w:rsid w:val="00D06DA5"/>
    <w:rsid w:val="00D07191"/>
    <w:rsid w:val="00D07F1D"/>
    <w:rsid w:val="00D10558"/>
    <w:rsid w:val="00D11D4D"/>
    <w:rsid w:val="00D11DB1"/>
    <w:rsid w:val="00D126DC"/>
    <w:rsid w:val="00D12B03"/>
    <w:rsid w:val="00D13E70"/>
    <w:rsid w:val="00D13EE7"/>
    <w:rsid w:val="00D15FCD"/>
    <w:rsid w:val="00D16C58"/>
    <w:rsid w:val="00D17019"/>
    <w:rsid w:val="00D17FC8"/>
    <w:rsid w:val="00D2015B"/>
    <w:rsid w:val="00D20B44"/>
    <w:rsid w:val="00D21168"/>
    <w:rsid w:val="00D2385D"/>
    <w:rsid w:val="00D2438C"/>
    <w:rsid w:val="00D2585A"/>
    <w:rsid w:val="00D259B0"/>
    <w:rsid w:val="00D259C2"/>
    <w:rsid w:val="00D26C3F"/>
    <w:rsid w:val="00D27185"/>
    <w:rsid w:val="00D3028A"/>
    <w:rsid w:val="00D33488"/>
    <w:rsid w:val="00D33AB3"/>
    <w:rsid w:val="00D33F24"/>
    <w:rsid w:val="00D34160"/>
    <w:rsid w:val="00D346B8"/>
    <w:rsid w:val="00D34DCA"/>
    <w:rsid w:val="00D35AC8"/>
    <w:rsid w:val="00D36F87"/>
    <w:rsid w:val="00D37E4E"/>
    <w:rsid w:val="00D4032D"/>
    <w:rsid w:val="00D417D8"/>
    <w:rsid w:val="00D41F78"/>
    <w:rsid w:val="00D42E6C"/>
    <w:rsid w:val="00D4351C"/>
    <w:rsid w:val="00D43B80"/>
    <w:rsid w:val="00D44988"/>
    <w:rsid w:val="00D45B4C"/>
    <w:rsid w:val="00D45BA4"/>
    <w:rsid w:val="00D471AF"/>
    <w:rsid w:val="00D471E2"/>
    <w:rsid w:val="00D4724F"/>
    <w:rsid w:val="00D50519"/>
    <w:rsid w:val="00D50779"/>
    <w:rsid w:val="00D51601"/>
    <w:rsid w:val="00D51ECB"/>
    <w:rsid w:val="00D5264C"/>
    <w:rsid w:val="00D52BBC"/>
    <w:rsid w:val="00D537FE"/>
    <w:rsid w:val="00D53CC9"/>
    <w:rsid w:val="00D54A6A"/>
    <w:rsid w:val="00D54B8F"/>
    <w:rsid w:val="00D55848"/>
    <w:rsid w:val="00D55951"/>
    <w:rsid w:val="00D559F0"/>
    <w:rsid w:val="00D5650F"/>
    <w:rsid w:val="00D57EB6"/>
    <w:rsid w:val="00D608C0"/>
    <w:rsid w:val="00D60D6D"/>
    <w:rsid w:val="00D6128C"/>
    <w:rsid w:val="00D63B22"/>
    <w:rsid w:val="00D66D8B"/>
    <w:rsid w:val="00D70849"/>
    <w:rsid w:val="00D72297"/>
    <w:rsid w:val="00D72A1C"/>
    <w:rsid w:val="00D7308F"/>
    <w:rsid w:val="00D7313E"/>
    <w:rsid w:val="00D73580"/>
    <w:rsid w:val="00D73802"/>
    <w:rsid w:val="00D73C2C"/>
    <w:rsid w:val="00D73D52"/>
    <w:rsid w:val="00D745E7"/>
    <w:rsid w:val="00D75FDA"/>
    <w:rsid w:val="00D774E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0485"/>
    <w:rsid w:val="00DA1A3A"/>
    <w:rsid w:val="00DA2351"/>
    <w:rsid w:val="00DA249E"/>
    <w:rsid w:val="00DA2D3D"/>
    <w:rsid w:val="00DA3855"/>
    <w:rsid w:val="00DA39BA"/>
    <w:rsid w:val="00DA4C30"/>
    <w:rsid w:val="00DA6A44"/>
    <w:rsid w:val="00DA7A3C"/>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8BA"/>
    <w:rsid w:val="00DD2A18"/>
    <w:rsid w:val="00DD3044"/>
    <w:rsid w:val="00DD3985"/>
    <w:rsid w:val="00DD61E8"/>
    <w:rsid w:val="00DD62C0"/>
    <w:rsid w:val="00DD64DE"/>
    <w:rsid w:val="00DD66DE"/>
    <w:rsid w:val="00DD7859"/>
    <w:rsid w:val="00DD7B41"/>
    <w:rsid w:val="00DD7DB0"/>
    <w:rsid w:val="00DE0784"/>
    <w:rsid w:val="00DE0A1D"/>
    <w:rsid w:val="00DE15B2"/>
    <w:rsid w:val="00DE1A9A"/>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C9C"/>
    <w:rsid w:val="00E0219D"/>
    <w:rsid w:val="00E04C0F"/>
    <w:rsid w:val="00E0570B"/>
    <w:rsid w:val="00E069C5"/>
    <w:rsid w:val="00E10913"/>
    <w:rsid w:val="00E10B87"/>
    <w:rsid w:val="00E121CE"/>
    <w:rsid w:val="00E12209"/>
    <w:rsid w:val="00E1478B"/>
    <w:rsid w:val="00E14FAC"/>
    <w:rsid w:val="00E15007"/>
    <w:rsid w:val="00E16277"/>
    <w:rsid w:val="00E16EC7"/>
    <w:rsid w:val="00E17DCC"/>
    <w:rsid w:val="00E219CE"/>
    <w:rsid w:val="00E21D93"/>
    <w:rsid w:val="00E22D2A"/>
    <w:rsid w:val="00E24071"/>
    <w:rsid w:val="00E24DCA"/>
    <w:rsid w:val="00E24EBC"/>
    <w:rsid w:val="00E2522C"/>
    <w:rsid w:val="00E2552F"/>
    <w:rsid w:val="00E2599B"/>
    <w:rsid w:val="00E2710C"/>
    <w:rsid w:val="00E272BD"/>
    <w:rsid w:val="00E27428"/>
    <w:rsid w:val="00E305B4"/>
    <w:rsid w:val="00E31AFA"/>
    <w:rsid w:val="00E31CB7"/>
    <w:rsid w:val="00E324EE"/>
    <w:rsid w:val="00E34DB1"/>
    <w:rsid w:val="00E35931"/>
    <w:rsid w:val="00E359FF"/>
    <w:rsid w:val="00E3699A"/>
    <w:rsid w:val="00E402C5"/>
    <w:rsid w:val="00E402F4"/>
    <w:rsid w:val="00E405F1"/>
    <w:rsid w:val="00E417DB"/>
    <w:rsid w:val="00E43054"/>
    <w:rsid w:val="00E43655"/>
    <w:rsid w:val="00E44440"/>
    <w:rsid w:val="00E46013"/>
    <w:rsid w:val="00E47099"/>
    <w:rsid w:val="00E47284"/>
    <w:rsid w:val="00E477C3"/>
    <w:rsid w:val="00E506F1"/>
    <w:rsid w:val="00E51E16"/>
    <w:rsid w:val="00E52DED"/>
    <w:rsid w:val="00E53730"/>
    <w:rsid w:val="00E5438D"/>
    <w:rsid w:val="00E54511"/>
    <w:rsid w:val="00E54E50"/>
    <w:rsid w:val="00E55288"/>
    <w:rsid w:val="00E57577"/>
    <w:rsid w:val="00E62043"/>
    <w:rsid w:val="00E626B9"/>
    <w:rsid w:val="00E627C9"/>
    <w:rsid w:val="00E630F3"/>
    <w:rsid w:val="00E6332F"/>
    <w:rsid w:val="00E637C9"/>
    <w:rsid w:val="00E63B54"/>
    <w:rsid w:val="00E6402D"/>
    <w:rsid w:val="00E6680A"/>
    <w:rsid w:val="00E66F0D"/>
    <w:rsid w:val="00E70615"/>
    <w:rsid w:val="00E7161E"/>
    <w:rsid w:val="00E7207B"/>
    <w:rsid w:val="00E72DCE"/>
    <w:rsid w:val="00E7347A"/>
    <w:rsid w:val="00E75A47"/>
    <w:rsid w:val="00E75BB6"/>
    <w:rsid w:val="00E75D8C"/>
    <w:rsid w:val="00E777F2"/>
    <w:rsid w:val="00E802C9"/>
    <w:rsid w:val="00E80BFB"/>
    <w:rsid w:val="00E80EC2"/>
    <w:rsid w:val="00E80F0A"/>
    <w:rsid w:val="00E815D4"/>
    <w:rsid w:val="00E8291B"/>
    <w:rsid w:val="00E82E70"/>
    <w:rsid w:val="00E82F92"/>
    <w:rsid w:val="00E8395F"/>
    <w:rsid w:val="00E8410F"/>
    <w:rsid w:val="00E849D7"/>
    <w:rsid w:val="00E85E41"/>
    <w:rsid w:val="00E85EA1"/>
    <w:rsid w:val="00E86703"/>
    <w:rsid w:val="00E900DA"/>
    <w:rsid w:val="00E91044"/>
    <w:rsid w:val="00E910D3"/>
    <w:rsid w:val="00E9209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430A"/>
    <w:rsid w:val="00EB559F"/>
    <w:rsid w:val="00EB566C"/>
    <w:rsid w:val="00EB5A18"/>
    <w:rsid w:val="00EB5F3D"/>
    <w:rsid w:val="00EB6C97"/>
    <w:rsid w:val="00EC1CEB"/>
    <w:rsid w:val="00EC1DC0"/>
    <w:rsid w:val="00EC1DC2"/>
    <w:rsid w:val="00EC1E09"/>
    <w:rsid w:val="00EC210E"/>
    <w:rsid w:val="00EC21EC"/>
    <w:rsid w:val="00EC24B8"/>
    <w:rsid w:val="00EC268C"/>
    <w:rsid w:val="00EC3613"/>
    <w:rsid w:val="00EC3753"/>
    <w:rsid w:val="00EC4E71"/>
    <w:rsid w:val="00EC5F1C"/>
    <w:rsid w:val="00ED0365"/>
    <w:rsid w:val="00ED0865"/>
    <w:rsid w:val="00ED0C1C"/>
    <w:rsid w:val="00ED1C60"/>
    <w:rsid w:val="00ED2EB9"/>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73D0"/>
    <w:rsid w:val="00EE7CB0"/>
    <w:rsid w:val="00EF08A8"/>
    <w:rsid w:val="00EF167B"/>
    <w:rsid w:val="00EF2496"/>
    <w:rsid w:val="00EF41A8"/>
    <w:rsid w:val="00EF44FB"/>
    <w:rsid w:val="00EF5122"/>
    <w:rsid w:val="00EF5554"/>
    <w:rsid w:val="00EF5AD8"/>
    <w:rsid w:val="00EF6B90"/>
    <w:rsid w:val="00EF7807"/>
    <w:rsid w:val="00EF79F7"/>
    <w:rsid w:val="00F006C0"/>
    <w:rsid w:val="00F0125F"/>
    <w:rsid w:val="00F019AA"/>
    <w:rsid w:val="00F0267E"/>
    <w:rsid w:val="00F02686"/>
    <w:rsid w:val="00F026B0"/>
    <w:rsid w:val="00F030C0"/>
    <w:rsid w:val="00F03291"/>
    <w:rsid w:val="00F03A85"/>
    <w:rsid w:val="00F0459B"/>
    <w:rsid w:val="00F04DA4"/>
    <w:rsid w:val="00F04E15"/>
    <w:rsid w:val="00F05DF3"/>
    <w:rsid w:val="00F06829"/>
    <w:rsid w:val="00F069EA"/>
    <w:rsid w:val="00F070E5"/>
    <w:rsid w:val="00F07DDE"/>
    <w:rsid w:val="00F11675"/>
    <w:rsid w:val="00F123DA"/>
    <w:rsid w:val="00F12557"/>
    <w:rsid w:val="00F13599"/>
    <w:rsid w:val="00F13B28"/>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2FCF"/>
    <w:rsid w:val="00F436B2"/>
    <w:rsid w:val="00F43813"/>
    <w:rsid w:val="00F43FEE"/>
    <w:rsid w:val="00F4492F"/>
    <w:rsid w:val="00F45A72"/>
    <w:rsid w:val="00F46723"/>
    <w:rsid w:val="00F4706D"/>
    <w:rsid w:val="00F476E1"/>
    <w:rsid w:val="00F47D1D"/>
    <w:rsid w:val="00F47F29"/>
    <w:rsid w:val="00F50016"/>
    <w:rsid w:val="00F5118A"/>
    <w:rsid w:val="00F51A21"/>
    <w:rsid w:val="00F51A5A"/>
    <w:rsid w:val="00F522F7"/>
    <w:rsid w:val="00F52614"/>
    <w:rsid w:val="00F5276E"/>
    <w:rsid w:val="00F52E9F"/>
    <w:rsid w:val="00F53304"/>
    <w:rsid w:val="00F53B81"/>
    <w:rsid w:val="00F540FE"/>
    <w:rsid w:val="00F5459A"/>
    <w:rsid w:val="00F556FF"/>
    <w:rsid w:val="00F55D12"/>
    <w:rsid w:val="00F5687F"/>
    <w:rsid w:val="00F56D3F"/>
    <w:rsid w:val="00F575C7"/>
    <w:rsid w:val="00F57FD0"/>
    <w:rsid w:val="00F60305"/>
    <w:rsid w:val="00F61B12"/>
    <w:rsid w:val="00F61C70"/>
    <w:rsid w:val="00F6221F"/>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3F"/>
    <w:rsid w:val="00F81587"/>
    <w:rsid w:val="00F8288F"/>
    <w:rsid w:val="00F8376E"/>
    <w:rsid w:val="00F83C52"/>
    <w:rsid w:val="00F84802"/>
    <w:rsid w:val="00F85B72"/>
    <w:rsid w:val="00F86540"/>
    <w:rsid w:val="00F865CE"/>
    <w:rsid w:val="00F8766F"/>
    <w:rsid w:val="00F90282"/>
    <w:rsid w:val="00F91082"/>
    <w:rsid w:val="00F9116D"/>
    <w:rsid w:val="00F91342"/>
    <w:rsid w:val="00F91A9A"/>
    <w:rsid w:val="00F92634"/>
    <w:rsid w:val="00F933F3"/>
    <w:rsid w:val="00F93ABB"/>
    <w:rsid w:val="00F94D79"/>
    <w:rsid w:val="00F9658C"/>
    <w:rsid w:val="00F96EEB"/>
    <w:rsid w:val="00F97A7F"/>
    <w:rsid w:val="00F97CD0"/>
    <w:rsid w:val="00FA0889"/>
    <w:rsid w:val="00FA16E7"/>
    <w:rsid w:val="00FA31C7"/>
    <w:rsid w:val="00FA472D"/>
    <w:rsid w:val="00FA681F"/>
    <w:rsid w:val="00FB0CBF"/>
    <w:rsid w:val="00FB18F6"/>
    <w:rsid w:val="00FB2A52"/>
    <w:rsid w:val="00FB3F92"/>
    <w:rsid w:val="00FB52C7"/>
    <w:rsid w:val="00FB57DC"/>
    <w:rsid w:val="00FB6E19"/>
    <w:rsid w:val="00FB71F6"/>
    <w:rsid w:val="00FC07AF"/>
    <w:rsid w:val="00FC0AF8"/>
    <w:rsid w:val="00FC0B69"/>
    <w:rsid w:val="00FC1483"/>
    <w:rsid w:val="00FC1C47"/>
    <w:rsid w:val="00FC3102"/>
    <w:rsid w:val="00FC39ED"/>
    <w:rsid w:val="00FC4419"/>
    <w:rsid w:val="00FC47E2"/>
    <w:rsid w:val="00FC4AA5"/>
    <w:rsid w:val="00FC4B88"/>
    <w:rsid w:val="00FC4BB8"/>
    <w:rsid w:val="00FC5148"/>
    <w:rsid w:val="00FC6524"/>
    <w:rsid w:val="00FC6B58"/>
    <w:rsid w:val="00FC75AC"/>
    <w:rsid w:val="00FC7984"/>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5CE"/>
    <w:rsid w:val="00FF1C9B"/>
    <w:rsid w:val="00FF1D49"/>
    <w:rsid w:val="00FF203B"/>
    <w:rsid w:val="00FF2562"/>
    <w:rsid w:val="00FF3A41"/>
    <w:rsid w:val="00FF3E5B"/>
    <w:rsid w:val="00FF57E4"/>
    <w:rsid w:val="00FF78E5"/>
    <w:rsid w:val="011950B3"/>
    <w:rsid w:val="012C5FAF"/>
    <w:rsid w:val="01420759"/>
    <w:rsid w:val="017A4D63"/>
    <w:rsid w:val="01AF3D99"/>
    <w:rsid w:val="02511F9D"/>
    <w:rsid w:val="03A314B8"/>
    <w:rsid w:val="03D82B98"/>
    <w:rsid w:val="03F83E8B"/>
    <w:rsid w:val="053A715C"/>
    <w:rsid w:val="05C56868"/>
    <w:rsid w:val="07120F08"/>
    <w:rsid w:val="07A539BD"/>
    <w:rsid w:val="07B72767"/>
    <w:rsid w:val="07FFD734"/>
    <w:rsid w:val="08077E72"/>
    <w:rsid w:val="08304A3B"/>
    <w:rsid w:val="087552EE"/>
    <w:rsid w:val="08882DD0"/>
    <w:rsid w:val="096947D3"/>
    <w:rsid w:val="096F2AFB"/>
    <w:rsid w:val="09A96505"/>
    <w:rsid w:val="09CC2AAC"/>
    <w:rsid w:val="0A652D3E"/>
    <w:rsid w:val="0B326F2A"/>
    <w:rsid w:val="0BBF5E72"/>
    <w:rsid w:val="0C1E2888"/>
    <w:rsid w:val="0C92213C"/>
    <w:rsid w:val="0CC2027E"/>
    <w:rsid w:val="0D84032B"/>
    <w:rsid w:val="0DF05456"/>
    <w:rsid w:val="0F2A74C4"/>
    <w:rsid w:val="10A27F31"/>
    <w:rsid w:val="11927058"/>
    <w:rsid w:val="120E171E"/>
    <w:rsid w:val="12C53DDF"/>
    <w:rsid w:val="13AF4F03"/>
    <w:rsid w:val="14736E66"/>
    <w:rsid w:val="147F458F"/>
    <w:rsid w:val="14B14232"/>
    <w:rsid w:val="1534169A"/>
    <w:rsid w:val="158269DB"/>
    <w:rsid w:val="15C03E03"/>
    <w:rsid w:val="15C64A6B"/>
    <w:rsid w:val="162A25EB"/>
    <w:rsid w:val="16314266"/>
    <w:rsid w:val="16735895"/>
    <w:rsid w:val="16FD2A55"/>
    <w:rsid w:val="17067C1A"/>
    <w:rsid w:val="17366761"/>
    <w:rsid w:val="175F5FA2"/>
    <w:rsid w:val="177C01F0"/>
    <w:rsid w:val="179E3EFA"/>
    <w:rsid w:val="17CE6630"/>
    <w:rsid w:val="1A8E17A4"/>
    <w:rsid w:val="1AA21901"/>
    <w:rsid w:val="1AFF0AFE"/>
    <w:rsid w:val="1B4F19F8"/>
    <w:rsid w:val="1B7F42FC"/>
    <w:rsid w:val="1BC921FF"/>
    <w:rsid w:val="1BDB03F3"/>
    <w:rsid w:val="1ECC44FA"/>
    <w:rsid w:val="1F063325"/>
    <w:rsid w:val="1F213AA9"/>
    <w:rsid w:val="1FBC5DF5"/>
    <w:rsid w:val="1FF90588"/>
    <w:rsid w:val="208E1A58"/>
    <w:rsid w:val="208F14B4"/>
    <w:rsid w:val="20C3623F"/>
    <w:rsid w:val="21781212"/>
    <w:rsid w:val="21A30A00"/>
    <w:rsid w:val="21B83F86"/>
    <w:rsid w:val="221178A8"/>
    <w:rsid w:val="221213CF"/>
    <w:rsid w:val="22327A92"/>
    <w:rsid w:val="228C1F57"/>
    <w:rsid w:val="231D53A2"/>
    <w:rsid w:val="236D5383"/>
    <w:rsid w:val="23B7504C"/>
    <w:rsid w:val="2438284A"/>
    <w:rsid w:val="24571307"/>
    <w:rsid w:val="25110A2A"/>
    <w:rsid w:val="256C0944"/>
    <w:rsid w:val="25EF0B39"/>
    <w:rsid w:val="26446DE3"/>
    <w:rsid w:val="26647BE9"/>
    <w:rsid w:val="26877DFE"/>
    <w:rsid w:val="268F03F4"/>
    <w:rsid w:val="269669E7"/>
    <w:rsid w:val="26A270C1"/>
    <w:rsid w:val="26D7699F"/>
    <w:rsid w:val="27533EE6"/>
    <w:rsid w:val="275E5EB1"/>
    <w:rsid w:val="29D75F7F"/>
    <w:rsid w:val="2A9036A3"/>
    <w:rsid w:val="2AFD26C6"/>
    <w:rsid w:val="2B125386"/>
    <w:rsid w:val="2B774624"/>
    <w:rsid w:val="2C7A72BE"/>
    <w:rsid w:val="2C9A7D75"/>
    <w:rsid w:val="2CC17412"/>
    <w:rsid w:val="2D746964"/>
    <w:rsid w:val="2D7C1E99"/>
    <w:rsid w:val="2E9976CE"/>
    <w:rsid w:val="2EF01DEE"/>
    <w:rsid w:val="2F401D3C"/>
    <w:rsid w:val="2F5B24E1"/>
    <w:rsid w:val="2F6F57FB"/>
    <w:rsid w:val="2FA95C88"/>
    <w:rsid w:val="3041370F"/>
    <w:rsid w:val="30B87FED"/>
    <w:rsid w:val="312B50A3"/>
    <w:rsid w:val="31894FD2"/>
    <w:rsid w:val="32453A27"/>
    <w:rsid w:val="3263064A"/>
    <w:rsid w:val="32A26FF7"/>
    <w:rsid w:val="32A43132"/>
    <w:rsid w:val="32AC0C06"/>
    <w:rsid w:val="32E5636A"/>
    <w:rsid w:val="33344EF5"/>
    <w:rsid w:val="34FE5D5C"/>
    <w:rsid w:val="3537750C"/>
    <w:rsid w:val="3537798C"/>
    <w:rsid w:val="35A87D41"/>
    <w:rsid w:val="35C13FC9"/>
    <w:rsid w:val="36372B05"/>
    <w:rsid w:val="364257B6"/>
    <w:rsid w:val="364F7677"/>
    <w:rsid w:val="367A4DE5"/>
    <w:rsid w:val="37EA5922"/>
    <w:rsid w:val="38276B93"/>
    <w:rsid w:val="382E58B8"/>
    <w:rsid w:val="38AC3431"/>
    <w:rsid w:val="392F2E16"/>
    <w:rsid w:val="397B6568"/>
    <w:rsid w:val="39E00529"/>
    <w:rsid w:val="3A0B64A7"/>
    <w:rsid w:val="3A574DDA"/>
    <w:rsid w:val="3AD3075A"/>
    <w:rsid w:val="3AF74C02"/>
    <w:rsid w:val="3C0059A5"/>
    <w:rsid w:val="3C134E78"/>
    <w:rsid w:val="3DF2E816"/>
    <w:rsid w:val="3DF6345D"/>
    <w:rsid w:val="3E2B5515"/>
    <w:rsid w:val="3E4D4F28"/>
    <w:rsid w:val="3EA94A67"/>
    <w:rsid w:val="3ED92EC4"/>
    <w:rsid w:val="3EDA5B7D"/>
    <w:rsid w:val="3EE13701"/>
    <w:rsid w:val="3F1A4BB3"/>
    <w:rsid w:val="3FB550FE"/>
    <w:rsid w:val="3FBB601D"/>
    <w:rsid w:val="40192BA6"/>
    <w:rsid w:val="41766EA9"/>
    <w:rsid w:val="42550A18"/>
    <w:rsid w:val="425D4C60"/>
    <w:rsid w:val="429D496A"/>
    <w:rsid w:val="42F473A1"/>
    <w:rsid w:val="437217EA"/>
    <w:rsid w:val="43AB7156"/>
    <w:rsid w:val="44025750"/>
    <w:rsid w:val="441E62C0"/>
    <w:rsid w:val="44B024F1"/>
    <w:rsid w:val="45325D14"/>
    <w:rsid w:val="45811C7C"/>
    <w:rsid w:val="45906116"/>
    <w:rsid w:val="45931B8C"/>
    <w:rsid w:val="45941E41"/>
    <w:rsid w:val="45EF2552"/>
    <w:rsid w:val="46525B34"/>
    <w:rsid w:val="466074DB"/>
    <w:rsid w:val="468B3EFB"/>
    <w:rsid w:val="470A6193"/>
    <w:rsid w:val="47385210"/>
    <w:rsid w:val="475510F8"/>
    <w:rsid w:val="47DC4F5C"/>
    <w:rsid w:val="487D4E0F"/>
    <w:rsid w:val="48B40671"/>
    <w:rsid w:val="499B5738"/>
    <w:rsid w:val="499F244D"/>
    <w:rsid w:val="4A973F3F"/>
    <w:rsid w:val="4AF96BC7"/>
    <w:rsid w:val="4B6E1B34"/>
    <w:rsid w:val="4B862A85"/>
    <w:rsid w:val="4CEF36E2"/>
    <w:rsid w:val="4CEF4DC5"/>
    <w:rsid w:val="4DC70847"/>
    <w:rsid w:val="4E257655"/>
    <w:rsid w:val="4F372380"/>
    <w:rsid w:val="4F372FFB"/>
    <w:rsid w:val="5025116D"/>
    <w:rsid w:val="5175630B"/>
    <w:rsid w:val="521A1920"/>
    <w:rsid w:val="52395ECD"/>
    <w:rsid w:val="52C10D75"/>
    <w:rsid w:val="53C27FF8"/>
    <w:rsid w:val="54806794"/>
    <w:rsid w:val="549E1A80"/>
    <w:rsid w:val="54C658F4"/>
    <w:rsid w:val="550C4BD7"/>
    <w:rsid w:val="554C1D56"/>
    <w:rsid w:val="55572986"/>
    <w:rsid w:val="5570106F"/>
    <w:rsid w:val="565340FA"/>
    <w:rsid w:val="567C04B4"/>
    <w:rsid w:val="56AD5F59"/>
    <w:rsid w:val="56C60774"/>
    <w:rsid w:val="57604C35"/>
    <w:rsid w:val="57B12A52"/>
    <w:rsid w:val="57D933BF"/>
    <w:rsid w:val="58D10BEE"/>
    <w:rsid w:val="58F670FB"/>
    <w:rsid w:val="5A2F2CC8"/>
    <w:rsid w:val="5B6E5512"/>
    <w:rsid w:val="5BC9755C"/>
    <w:rsid w:val="5C10702D"/>
    <w:rsid w:val="5C152601"/>
    <w:rsid w:val="5C4A6929"/>
    <w:rsid w:val="5C591F03"/>
    <w:rsid w:val="5C8A1B2F"/>
    <w:rsid w:val="5DC71DAF"/>
    <w:rsid w:val="5E5764A6"/>
    <w:rsid w:val="5E9F4566"/>
    <w:rsid w:val="5F061C98"/>
    <w:rsid w:val="5F561B72"/>
    <w:rsid w:val="5FBD1518"/>
    <w:rsid w:val="60343EB1"/>
    <w:rsid w:val="606007BB"/>
    <w:rsid w:val="60AC7F66"/>
    <w:rsid w:val="60B054CC"/>
    <w:rsid w:val="61BF10D9"/>
    <w:rsid w:val="61C40EDD"/>
    <w:rsid w:val="61CE0FD7"/>
    <w:rsid w:val="61DB4036"/>
    <w:rsid w:val="62AC22DC"/>
    <w:rsid w:val="63A22BFD"/>
    <w:rsid w:val="64E45EF7"/>
    <w:rsid w:val="65333E96"/>
    <w:rsid w:val="653F3A61"/>
    <w:rsid w:val="667211A0"/>
    <w:rsid w:val="6691014E"/>
    <w:rsid w:val="66C87CCE"/>
    <w:rsid w:val="677435B2"/>
    <w:rsid w:val="67EF75F1"/>
    <w:rsid w:val="684F4F11"/>
    <w:rsid w:val="69124F16"/>
    <w:rsid w:val="69CD5C14"/>
    <w:rsid w:val="69CF0D33"/>
    <w:rsid w:val="6B3BEEF5"/>
    <w:rsid w:val="6B9946B3"/>
    <w:rsid w:val="6BA37CED"/>
    <w:rsid w:val="6BE518DA"/>
    <w:rsid w:val="6C276F3A"/>
    <w:rsid w:val="6C7007C7"/>
    <w:rsid w:val="6DE76850"/>
    <w:rsid w:val="6E26188C"/>
    <w:rsid w:val="6E5F458E"/>
    <w:rsid w:val="6FB20BD4"/>
    <w:rsid w:val="6FBA59BE"/>
    <w:rsid w:val="700D4050"/>
    <w:rsid w:val="70296B3E"/>
    <w:rsid w:val="70611204"/>
    <w:rsid w:val="707474D9"/>
    <w:rsid w:val="7165620F"/>
    <w:rsid w:val="717039F8"/>
    <w:rsid w:val="71C6750C"/>
    <w:rsid w:val="739F825A"/>
    <w:rsid w:val="748A5F0F"/>
    <w:rsid w:val="74D13AD5"/>
    <w:rsid w:val="74FA2C30"/>
    <w:rsid w:val="754D5C4B"/>
    <w:rsid w:val="75DFED29"/>
    <w:rsid w:val="768C2D9A"/>
    <w:rsid w:val="76A84D99"/>
    <w:rsid w:val="76BF1112"/>
    <w:rsid w:val="76C240A7"/>
    <w:rsid w:val="76DA416A"/>
    <w:rsid w:val="775246B7"/>
    <w:rsid w:val="77D32074"/>
    <w:rsid w:val="78112CFA"/>
    <w:rsid w:val="781E69D1"/>
    <w:rsid w:val="78E2714C"/>
    <w:rsid w:val="7901747F"/>
    <w:rsid w:val="7A263B6B"/>
    <w:rsid w:val="7A5D51E4"/>
    <w:rsid w:val="7ACB1D59"/>
    <w:rsid w:val="7AF46346"/>
    <w:rsid w:val="7B0F5EBF"/>
    <w:rsid w:val="7B130FB9"/>
    <w:rsid w:val="7B4B735D"/>
    <w:rsid w:val="7BD71E38"/>
    <w:rsid w:val="7BF64EDE"/>
    <w:rsid w:val="7C400C1E"/>
    <w:rsid w:val="7CDFF71D"/>
    <w:rsid w:val="7D5B5135"/>
    <w:rsid w:val="7DD11708"/>
    <w:rsid w:val="7DEE4A4F"/>
    <w:rsid w:val="7E7D6A00"/>
    <w:rsid w:val="7EAE6230"/>
    <w:rsid w:val="7EBD579E"/>
    <w:rsid w:val="7EC167BD"/>
    <w:rsid w:val="7EF130F3"/>
    <w:rsid w:val="7F272D9E"/>
    <w:rsid w:val="7F6E338A"/>
    <w:rsid w:val="7FBFCF79"/>
    <w:rsid w:val="7FFBD5D8"/>
    <w:rsid w:val="AFB5F3C9"/>
    <w:rsid w:val="B5FCEA0D"/>
    <w:rsid w:val="BBBF7356"/>
    <w:rsid w:val="BEB94502"/>
    <w:rsid w:val="C6DE599E"/>
    <w:rsid w:val="D9AE7DB3"/>
    <w:rsid w:val="DE65AD10"/>
    <w:rsid w:val="EFB5F45A"/>
    <w:rsid w:val="EFBF8881"/>
    <w:rsid w:val="EFBFFA74"/>
    <w:rsid w:val="F62C7227"/>
    <w:rsid w:val="F7BF35FB"/>
    <w:rsid w:val="F7FF47C3"/>
    <w:rsid w:val="F7FF86E0"/>
    <w:rsid w:val="FE5B34D6"/>
    <w:rsid w:val="FF2BFD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qFormat/>
    <w:uiPriority w:val="9"/>
    <w:pPr>
      <w:keepNext/>
      <w:keepLines/>
      <w:spacing w:before="260" w:after="260" w:line="416" w:lineRule="auto"/>
      <w:outlineLvl w:val="1"/>
    </w:pPr>
    <w:rPr>
      <w:rFonts w:ascii="Cambria" w:hAnsi="Cambria"/>
      <w:b/>
      <w:bCs/>
      <w:sz w:val="32"/>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7"/>
    <w:link w:val="34"/>
    <w:qFormat/>
    <w:uiPriority w:val="9"/>
    <w:pPr>
      <w:keepNext/>
      <w:keepLines/>
      <w:spacing w:before="280" w:after="290" w:line="376" w:lineRule="auto"/>
      <w:outlineLvl w:val="4"/>
    </w:pPr>
    <w:rPr>
      <w:b/>
      <w:bCs/>
      <w:sz w:val="28"/>
      <w:szCs w:val="28"/>
    </w:rPr>
  </w:style>
  <w:style w:type="paragraph" w:styleId="8">
    <w:name w:val="heading 8"/>
    <w:basedOn w:val="1"/>
    <w:next w:val="1"/>
    <w:link w:val="35"/>
    <w:qFormat/>
    <w:uiPriority w:val="9"/>
    <w:pPr>
      <w:keepNext/>
      <w:keepLines/>
      <w:spacing w:before="240" w:after="64" w:line="320" w:lineRule="auto"/>
      <w:outlineLvl w:val="7"/>
    </w:pPr>
    <w:rPr>
      <w:rFonts w:ascii="等线 Light" w:hAnsi="等线 Light" w:eastAsia="等线 Light"/>
      <w:sz w:val="24"/>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Normal Indent"/>
    <w:basedOn w:val="1"/>
    <w:qFormat/>
    <w:uiPriority w:val="0"/>
    <w:pPr>
      <w:ind w:firstLine="420"/>
    </w:pPr>
    <w:rPr>
      <w:szCs w:val="20"/>
    </w:rPr>
  </w:style>
  <w:style w:type="paragraph" w:styleId="9">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0">
    <w:name w:val="annotation text"/>
    <w:basedOn w:val="1"/>
    <w:link w:val="36"/>
    <w:qFormat/>
    <w:uiPriority w:val="0"/>
    <w:pPr>
      <w:jc w:val="left"/>
    </w:pPr>
  </w:style>
  <w:style w:type="paragraph" w:styleId="11">
    <w:name w:val="Body Text 3"/>
    <w:basedOn w:val="1"/>
    <w:link w:val="37"/>
    <w:unhideWhenUsed/>
    <w:qFormat/>
    <w:uiPriority w:val="99"/>
    <w:pPr>
      <w:spacing w:after="120"/>
    </w:pPr>
    <w:rPr>
      <w:sz w:val="16"/>
      <w:szCs w:val="16"/>
    </w:rPr>
  </w:style>
  <w:style w:type="paragraph" w:styleId="12">
    <w:name w:val="Body Text"/>
    <w:basedOn w:val="1"/>
    <w:link w:val="38"/>
    <w:unhideWhenUsed/>
    <w:qFormat/>
    <w:uiPriority w:val="0"/>
    <w:pPr>
      <w:spacing w:after="120"/>
    </w:pPr>
  </w:style>
  <w:style w:type="paragraph" w:styleId="13">
    <w:name w:val="Body Text Indent"/>
    <w:basedOn w:val="1"/>
    <w:link w:val="39"/>
    <w:qFormat/>
    <w:uiPriority w:val="0"/>
    <w:pPr>
      <w:ind w:firstLine="830" w:firstLineChars="352"/>
    </w:pPr>
    <w:rPr>
      <w:rFonts w:ascii="仿宋_GB2312" w:eastAsia="仿宋_GB2312"/>
      <w:kern w:val="0"/>
      <w:sz w:val="32"/>
      <w:szCs w:val="20"/>
    </w:rPr>
  </w:style>
  <w:style w:type="paragraph" w:styleId="14">
    <w:name w:val="List 2"/>
    <w:basedOn w:val="1"/>
    <w:unhideWhenUsed/>
    <w:qFormat/>
    <w:uiPriority w:val="99"/>
    <w:pPr>
      <w:ind w:left="100" w:leftChars="200" w:hanging="200" w:hangingChars="200"/>
      <w:contextualSpacing/>
    </w:pPr>
  </w:style>
  <w:style w:type="paragraph" w:styleId="15">
    <w:name w:val="Plain Text"/>
    <w:basedOn w:val="1"/>
    <w:link w:val="40"/>
    <w:qFormat/>
    <w:uiPriority w:val="0"/>
    <w:rPr>
      <w:rFonts w:ascii="宋体" w:hAnsi="Courier New"/>
      <w:kern w:val="0"/>
      <w:sz w:val="20"/>
      <w:szCs w:val="21"/>
    </w:rPr>
  </w:style>
  <w:style w:type="paragraph" w:styleId="16">
    <w:name w:val="Date"/>
    <w:basedOn w:val="1"/>
    <w:next w:val="1"/>
    <w:link w:val="41"/>
    <w:unhideWhenUsed/>
    <w:qFormat/>
    <w:uiPriority w:val="99"/>
    <w:pPr>
      <w:ind w:left="100" w:leftChars="2500"/>
    </w:pPr>
  </w:style>
  <w:style w:type="paragraph" w:styleId="17">
    <w:name w:val="Balloon Text"/>
    <w:basedOn w:val="1"/>
    <w:semiHidden/>
    <w:qFormat/>
    <w:uiPriority w:val="0"/>
    <w:rPr>
      <w:sz w:val="18"/>
      <w:szCs w:val="18"/>
    </w:rPr>
  </w:style>
  <w:style w:type="paragraph" w:styleId="18">
    <w:name w:val="footer"/>
    <w:basedOn w:val="1"/>
    <w:link w:val="42"/>
    <w:unhideWhenUsed/>
    <w:qFormat/>
    <w:uiPriority w:val="99"/>
    <w:pPr>
      <w:tabs>
        <w:tab w:val="center" w:pos="4153"/>
        <w:tab w:val="right" w:pos="8306"/>
      </w:tabs>
      <w:snapToGrid w:val="0"/>
      <w:jc w:val="left"/>
    </w:pPr>
    <w:rPr>
      <w:kern w:val="0"/>
      <w:sz w:val="18"/>
      <w:szCs w:val="18"/>
    </w:rPr>
  </w:style>
  <w:style w:type="paragraph" w:styleId="19">
    <w:name w:val="header"/>
    <w:basedOn w:val="1"/>
    <w:link w:val="4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unhideWhenUsed/>
    <w:qFormat/>
    <w:uiPriority w:val="39"/>
  </w:style>
  <w:style w:type="paragraph" w:styleId="21">
    <w:name w:val="toc 2"/>
    <w:basedOn w:val="1"/>
    <w:next w:val="1"/>
    <w:unhideWhenUsed/>
    <w:qFormat/>
    <w:uiPriority w:val="39"/>
    <w:pPr>
      <w:tabs>
        <w:tab w:val="right" w:leader="dot" w:pos="8296"/>
      </w:tabs>
      <w:ind w:left="420" w:leftChars="200"/>
    </w:pPr>
  </w:style>
  <w:style w:type="paragraph" w:styleId="22">
    <w:name w:val="Normal (Web)"/>
    <w:basedOn w:val="1"/>
    <w:unhideWhenUsed/>
    <w:qFormat/>
    <w:uiPriority w:val="99"/>
    <w:rPr>
      <w:rFonts w:ascii="Calibri" w:hAnsi="Calibri"/>
      <w:kern w:val="0"/>
      <w:sz w:val="24"/>
    </w:rPr>
  </w:style>
  <w:style w:type="paragraph" w:styleId="23">
    <w:name w:val="annotation subject"/>
    <w:basedOn w:val="10"/>
    <w:next w:val="10"/>
    <w:link w:val="44"/>
    <w:qFormat/>
    <w:uiPriority w:val="99"/>
    <w:rPr>
      <w:b/>
      <w:bCs/>
    </w:rPr>
  </w:style>
  <w:style w:type="table" w:styleId="25">
    <w:name w:val="Table Grid"/>
    <w:basedOn w:val="2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Strong"/>
    <w:basedOn w:val="26"/>
    <w:qFormat/>
    <w:uiPriority w:val="22"/>
    <w:rPr>
      <w:b/>
    </w:rPr>
  </w:style>
  <w:style w:type="character" w:styleId="28">
    <w:name w:val="endnote reference"/>
    <w:unhideWhenUsed/>
    <w:qFormat/>
    <w:uiPriority w:val="99"/>
    <w:rPr>
      <w:vertAlign w:val="superscript"/>
    </w:rPr>
  </w:style>
  <w:style w:type="character" w:styleId="29">
    <w:name w:val="Emphasis"/>
    <w:basedOn w:val="26"/>
    <w:qFormat/>
    <w:uiPriority w:val="20"/>
    <w:rPr>
      <w:i/>
    </w:rPr>
  </w:style>
  <w:style w:type="character" w:styleId="30">
    <w:name w:val="Hyperlink"/>
    <w:unhideWhenUsed/>
    <w:qFormat/>
    <w:uiPriority w:val="99"/>
    <w:rPr>
      <w:color w:val="0000FF"/>
      <w:u w:val="single"/>
    </w:rPr>
  </w:style>
  <w:style w:type="character" w:styleId="31">
    <w:name w:val="annotation reference"/>
    <w:qFormat/>
    <w:uiPriority w:val="0"/>
    <w:rPr>
      <w:sz w:val="21"/>
      <w:szCs w:val="21"/>
    </w:rPr>
  </w:style>
  <w:style w:type="character" w:customStyle="1" w:styleId="32">
    <w:name w:val="标题 1 Char"/>
    <w:link w:val="3"/>
    <w:qFormat/>
    <w:uiPriority w:val="9"/>
    <w:rPr>
      <w:b/>
      <w:bCs/>
      <w:kern w:val="44"/>
      <w:sz w:val="44"/>
      <w:szCs w:val="44"/>
    </w:rPr>
  </w:style>
  <w:style w:type="character" w:customStyle="1" w:styleId="33">
    <w:name w:val="标题 2 Char1"/>
    <w:link w:val="4"/>
    <w:qFormat/>
    <w:uiPriority w:val="9"/>
    <w:rPr>
      <w:rFonts w:ascii="Cambria" w:hAnsi="Cambria" w:eastAsia="宋体" w:cs="Times New Roman"/>
      <w:b/>
      <w:bCs/>
      <w:kern w:val="2"/>
      <w:sz w:val="32"/>
      <w:szCs w:val="32"/>
    </w:rPr>
  </w:style>
  <w:style w:type="character" w:customStyle="1" w:styleId="34">
    <w:name w:val="标题 5 Char"/>
    <w:link w:val="6"/>
    <w:semiHidden/>
    <w:qFormat/>
    <w:uiPriority w:val="9"/>
    <w:rPr>
      <w:rFonts w:ascii="Times New Roman" w:hAnsi="Times New Roman"/>
      <w:b/>
      <w:bCs/>
      <w:kern w:val="2"/>
      <w:sz w:val="28"/>
      <w:szCs w:val="28"/>
    </w:rPr>
  </w:style>
  <w:style w:type="character" w:customStyle="1" w:styleId="35">
    <w:name w:val="标题 8 Char1"/>
    <w:link w:val="8"/>
    <w:semiHidden/>
    <w:qFormat/>
    <w:uiPriority w:val="9"/>
    <w:rPr>
      <w:rFonts w:ascii="等线 Light" w:hAnsi="等线 Light" w:eastAsia="等线 Light" w:cs="Times New Roman"/>
      <w:kern w:val="2"/>
      <w:sz w:val="24"/>
      <w:szCs w:val="24"/>
    </w:rPr>
  </w:style>
  <w:style w:type="character" w:customStyle="1" w:styleId="36">
    <w:name w:val="批注文字 Char1"/>
    <w:link w:val="10"/>
    <w:qFormat/>
    <w:uiPriority w:val="0"/>
    <w:rPr>
      <w:rFonts w:ascii="Times New Roman" w:hAnsi="Times New Roman"/>
      <w:kern w:val="2"/>
      <w:sz w:val="21"/>
      <w:szCs w:val="24"/>
    </w:rPr>
  </w:style>
  <w:style w:type="character" w:customStyle="1" w:styleId="37">
    <w:name w:val="正文文本 3 Char"/>
    <w:link w:val="11"/>
    <w:semiHidden/>
    <w:qFormat/>
    <w:uiPriority w:val="99"/>
    <w:rPr>
      <w:kern w:val="2"/>
      <w:sz w:val="16"/>
      <w:szCs w:val="16"/>
    </w:rPr>
  </w:style>
  <w:style w:type="character" w:customStyle="1" w:styleId="38">
    <w:name w:val="正文文本 Char1"/>
    <w:link w:val="12"/>
    <w:qFormat/>
    <w:uiPriority w:val="0"/>
    <w:rPr>
      <w:rFonts w:ascii="Times New Roman" w:hAnsi="Times New Roman"/>
      <w:kern w:val="2"/>
      <w:sz w:val="21"/>
      <w:szCs w:val="24"/>
    </w:rPr>
  </w:style>
  <w:style w:type="character" w:customStyle="1" w:styleId="39">
    <w:name w:val="正文文本缩进 Char"/>
    <w:link w:val="13"/>
    <w:qFormat/>
    <w:uiPriority w:val="0"/>
    <w:rPr>
      <w:rFonts w:ascii="仿宋_GB2312" w:hAnsi="Times New Roman" w:eastAsia="仿宋_GB2312" w:cs="Times New Roman"/>
      <w:sz w:val="32"/>
      <w:szCs w:val="20"/>
    </w:rPr>
  </w:style>
  <w:style w:type="character" w:customStyle="1" w:styleId="40">
    <w:name w:val="纯文本 Char1"/>
    <w:link w:val="15"/>
    <w:qFormat/>
    <w:uiPriority w:val="0"/>
    <w:rPr>
      <w:rFonts w:ascii="宋体" w:hAnsi="Courier New" w:eastAsia="宋体" w:cs="Courier New"/>
      <w:szCs w:val="21"/>
    </w:rPr>
  </w:style>
  <w:style w:type="character" w:customStyle="1" w:styleId="41">
    <w:name w:val="日期 Char"/>
    <w:link w:val="16"/>
    <w:semiHidden/>
    <w:qFormat/>
    <w:uiPriority w:val="99"/>
    <w:rPr>
      <w:rFonts w:ascii="Times New Roman" w:hAnsi="Times New Roman"/>
      <w:kern w:val="2"/>
      <w:sz w:val="21"/>
      <w:szCs w:val="24"/>
    </w:rPr>
  </w:style>
  <w:style w:type="character" w:customStyle="1" w:styleId="42">
    <w:name w:val="页脚 Char"/>
    <w:link w:val="18"/>
    <w:qFormat/>
    <w:uiPriority w:val="99"/>
    <w:rPr>
      <w:sz w:val="18"/>
      <w:szCs w:val="18"/>
    </w:rPr>
  </w:style>
  <w:style w:type="character" w:customStyle="1" w:styleId="43">
    <w:name w:val="页眉 Char"/>
    <w:link w:val="19"/>
    <w:qFormat/>
    <w:uiPriority w:val="99"/>
    <w:rPr>
      <w:sz w:val="18"/>
      <w:szCs w:val="18"/>
    </w:rPr>
  </w:style>
  <w:style w:type="character" w:customStyle="1" w:styleId="44">
    <w:name w:val="批注主题 Char"/>
    <w:link w:val="23"/>
    <w:qFormat/>
    <w:uiPriority w:val="99"/>
    <w:rPr>
      <w:rFonts w:ascii="Times New Roman" w:hAnsi="Times New Roman"/>
      <w:b/>
      <w:bCs/>
      <w:kern w:val="2"/>
      <w:sz w:val="21"/>
      <w:szCs w:val="24"/>
    </w:rPr>
  </w:style>
  <w:style w:type="character" w:customStyle="1" w:styleId="45">
    <w:name w:val="标题 1 字符1"/>
    <w:qFormat/>
    <w:uiPriority w:val="0"/>
    <w:rPr>
      <w:b/>
      <w:bCs/>
      <w:kern w:val="44"/>
      <w:sz w:val="44"/>
      <w:szCs w:val="44"/>
    </w:rPr>
  </w:style>
  <w:style w:type="character" w:customStyle="1" w:styleId="46">
    <w:name w:val="textcontents"/>
    <w:qFormat/>
    <w:uiPriority w:val="0"/>
  </w:style>
  <w:style w:type="character" w:customStyle="1" w:styleId="47">
    <w:name w:val="批注文字 Char"/>
    <w:qFormat/>
    <w:uiPriority w:val="0"/>
    <w:rPr>
      <w:rFonts w:ascii="Times New Roman" w:hAnsi="Times New Roman"/>
      <w:kern w:val="2"/>
      <w:sz w:val="21"/>
      <w:szCs w:val="24"/>
    </w:rPr>
  </w:style>
  <w:style w:type="character" w:customStyle="1" w:styleId="48">
    <w:name w:val="纯文本 字符"/>
    <w:qFormat/>
    <w:uiPriority w:val="0"/>
    <w:rPr>
      <w:rFonts w:ascii="宋体" w:hAnsi="Courier New" w:eastAsia="宋体" w:cs="Courier New"/>
      <w:szCs w:val="21"/>
    </w:rPr>
  </w:style>
  <w:style w:type="character" w:customStyle="1" w:styleId="49">
    <w:name w:val="纯文本 Char"/>
    <w:qFormat/>
    <w:uiPriority w:val="0"/>
    <w:rPr>
      <w:rFonts w:ascii="宋体" w:hAnsi="Courier New" w:eastAsia="宋体" w:cs="Courier New"/>
      <w:szCs w:val="21"/>
    </w:rPr>
  </w:style>
  <w:style w:type="character" w:customStyle="1" w:styleId="50">
    <w:name w:val="纯文本 字符2"/>
    <w:qFormat/>
    <w:uiPriority w:val="0"/>
    <w:rPr>
      <w:rFonts w:ascii="宋体" w:hAnsi="Courier New" w:eastAsia="宋体" w:cs="Courier New"/>
      <w:szCs w:val="21"/>
    </w:rPr>
  </w:style>
  <w:style w:type="character" w:customStyle="1" w:styleId="51">
    <w:name w:val="批注文字 字符1"/>
    <w:qFormat/>
    <w:uiPriority w:val="0"/>
    <w:rPr>
      <w:rFonts w:ascii="Times New Roman" w:hAnsi="Times New Roman"/>
      <w:kern w:val="2"/>
      <w:sz w:val="21"/>
      <w:szCs w:val="24"/>
    </w:rPr>
  </w:style>
  <w:style w:type="character" w:customStyle="1" w:styleId="5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3">
    <w:name w:val="纯文本 字符1"/>
    <w:qFormat/>
    <w:uiPriority w:val="0"/>
    <w:rPr>
      <w:rFonts w:ascii="宋体" w:hAnsi="Courier New"/>
    </w:rPr>
  </w:style>
  <w:style w:type="character" w:customStyle="1" w:styleId="54">
    <w:name w:val="正文文本 Char"/>
    <w:qFormat/>
    <w:uiPriority w:val="99"/>
    <w:rPr>
      <w:rFonts w:ascii="Times New Roman" w:hAnsi="Times New Roman"/>
      <w:kern w:val="2"/>
      <w:sz w:val="21"/>
      <w:szCs w:val="24"/>
    </w:rPr>
  </w:style>
  <w:style w:type="character" w:customStyle="1" w:styleId="55">
    <w:name w:val="批注文字 字符"/>
    <w:qFormat/>
    <w:uiPriority w:val="0"/>
    <w:rPr>
      <w:rFonts w:ascii="Times New Roman" w:hAnsi="Times New Roman"/>
      <w:kern w:val="2"/>
      <w:sz w:val="21"/>
      <w:szCs w:val="24"/>
    </w:rPr>
  </w:style>
  <w:style w:type="character" w:customStyle="1" w:styleId="56">
    <w:name w:val="标题 2 Char"/>
    <w:qFormat/>
    <w:uiPriority w:val="9"/>
    <w:rPr>
      <w:rFonts w:ascii="Cambria" w:hAnsi="Cambria" w:eastAsia="宋体" w:cs="Times New Roman"/>
      <w:b/>
      <w:bCs/>
      <w:kern w:val="2"/>
      <w:sz w:val="32"/>
      <w:szCs w:val="32"/>
    </w:rPr>
  </w:style>
  <w:style w:type="character" w:customStyle="1" w:styleId="57">
    <w:name w:val="标题 8 Char"/>
    <w:qFormat/>
    <w:uiPriority w:val="0"/>
    <w:rPr>
      <w:rFonts w:ascii="Arial" w:hAnsi="Arial" w:eastAsia="黑体"/>
      <w:kern w:val="2"/>
      <w:sz w:val="24"/>
      <w:szCs w:val="24"/>
    </w:rPr>
  </w:style>
  <w:style w:type="character" w:customStyle="1" w:styleId="58">
    <w:name w:val="apple-style-span"/>
    <w:qFormat/>
    <w:uiPriority w:val="0"/>
  </w:style>
  <w:style w:type="paragraph" w:customStyle="1" w:styleId="59">
    <w:name w:val="默认段落字体 Para Char Char Char Char Char Char Char Char Char1 Char Char Char Char"/>
    <w:basedOn w:val="1"/>
    <w:qFormat/>
    <w:uiPriority w:val="0"/>
    <w:rPr>
      <w:rFonts w:ascii="Tahoma" w:hAnsi="Tahoma"/>
      <w:sz w:val="24"/>
      <w:szCs w:val="20"/>
    </w:rPr>
  </w:style>
  <w:style w:type="paragraph" w:customStyle="1" w:styleId="6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61">
    <w:name w:val="List Paragraph"/>
    <w:basedOn w:val="1"/>
    <w:qFormat/>
    <w:uiPriority w:val="34"/>
    <w:pPr>
      <w:ind w:firstLine="420" w:firstLineChars="200"/>
    </w:pPr>
  </w:style>
  <w:style w:type="paragraph" w:customStyle="1" w:styleId="62">
    <w:name w:val="Table Paragraph"/>
    <w:basedOn w:val="1"/>
    <w:qFormat/>
    <w:uiPriority w:val="1"/>
    <w:pPr>
      <w:jc w:val="left"/>
    </w:pPr>
    <w:rPr>
      <w:rFonts w:ascii="Calibri" w:hAnsi="Calibri"/>
      <w:kern w:val="0"/>
      <w:sz w:val="22"/>
      <w:szCs w:val="22"/>
      <w:lang w:eastAsia="en-US"/>
    </w:rPr>
  </w:style>
  <w:style w:type="character" w:customStyle="1" w:styleId="63">
    <w:name w:val="正文文本 字符"/>
    <w:qFormat/>
    <w:uiPriority w:val="0"/>
    <w:rPr>
      <w:rFonts w:ascii="Times New Roman" w:hAnsi="Times New Roman"/>
      <w:kern w:val="2"/>
      <w:sz w:val="21"/>
      <w:szCs w:val="24"/>
    </w:rPr>
  </w:style>
  <w:style w:type="character" w:customStyle="1" w:styleId="64">
    <w:name w:val="批注文字 Char2"/>
    <w:qFormat/>
    <w:uiPriority w:val="0"/>
    <w:rPr>
      <w:rFonts w:ascii="Times New Roman" w:hAnsi="Times New Roman"/>
      <w:kern w:val="2"/>
      <w:sz w:val="21"/>
      <w:szCs w:val="24"/>
    </w:rPr>
  </w:style>
  <w:style w:type="character" w:customStyle="1" w:styleId="65">
    <w:name w:val="正文2 Char Char"/>
    <w:link w:val="66"/>
    <w:qFormat/>
    <w:uiPriority w:val="0"/>
    <w:rPr>
      <w:kern w:val="2"/>
      <w:sz w:val="24"/>
    </w:rPr>
  </w:style>
  <w:style w:type="paragraph" w:customStyle="1" w:styleId="66">
    <w:name w:val="正文2"/>
    <w:basedOn w:val="1"/>
    <w:link w:val="65"/>
    <w:qFormat/>
    <w:uiPriority w:val="0"/>
    <w:pPr>
      <w:adjustRightInd w:val="0"/>
      <w:spacing w:before="156" w:line="360" w:lineRule="auto"/>
      <w:ind w:firstLine="510" w:firstLineChars="200"/>
    </w:pPr>
    <w:rPr>
      <w:sz w:val="24"/>
      <w:szCs w:val="20"/>
    </w:rPr>
  </w:style>
  <w:style w:type="paragraph" w:customStyle="1" w:styleId="6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8">
    <w:name w:val="列出段落1"/>
    <w:basedOn w:val="1"/>
    <w:qFormat/>
    <w:uiPriority w:val="0"/>
    <w:pPr>
      <w:ind w:firstLine="420" w:firstLineChars="200"/>
    </w:pPr>
    <w:rPr>
      <w:szCs w:val="21"/>
    </w:rPr>
  </w:style>
  <w:style w:type="paragraph" w:customStyle="1" w:styleId="69">
    <w:name w:val="Table Text"/>
    <w:basedOn w:val="1"/>
    <w:semiHidden/>
    <w:qFormat/>
    <w:uiPriority w:val="0"/>
    <w:rPr>
      <w:rFonts w:ascii="宋体" w:hAnsi="宋体" w:eastAsia="宋体" w:cs="宋体"/>
      <w:sz w:val="21"/>
      <w:szCs w:val="21"/>
      <w:lang w:val="en-US" w:eastAsia="en-US" w:bidi="ar-SA"/>
    </w:rPr>
  </w:style>
  <w:style w:type="table" w:customStyle="1" w:styleId="70">
    <w:name w:val="Table Normal"/>
    <w:unhideWhenUsed/>
    <w:qFormat/>
    <w:uiPriority w:val="0"/>
    <w:tblPr>
      <w:tblCellMar>
        <w:top w:w="0" w:type="dxa"/>
        <w:left w:w="0" w:type="dxa"/>
        <w:bottom w:w="0" w:type="dxa"/>
        <w:right w:w="0" w:type="dxa"/>
      </w:tblCellMar>
    </w:tblPr>
  </w:style>
  <w:style w:type="character" w:customStyle="1" w:styleId="71">
    <w:name w:val="font51"/>
    <w:basedOn w:val="26"/>
    <w:qFormat/>
    <w:uiPriority w:val="0"/>
    <w:rPr>
      <w:rFonts w:hint="eastAsia" w:ascii="仿宋_GB2312" w:eastAsia="仿宋_GB2312" w:cs="仿宋_GB2312"/>
      <w:color w:val="FF0000"/>
      <w:sz w:val="21"/>
      <w:szCs w:val="21"/>
      <w:u w:val="none"/>
    </w:rPr>
  </w:style>
  <w:style w:type="character" w:customStyle="1" w:styleId="72">
    <w:name w:val="font41"/>
    <w:basedOn w:val="26"/>
    <w:qFormat/>
    <w:uiPriority w:val="0"/>
    <w:rPr>
      <w:rFonts w:hint="eastAsia" w:ascii="仿宋_GB2312" w:eastAsia="仿宋_GB2312" w:cs="仿宋_GB2312"/>
      <w:color w:val="000000"/>
      <w:sz w:val="21"/>
      <w:szCs w:val="21"/>
      <w:u w:val="none"/>
    </w:rPr>
  </w:style>
  <w:style w:type="character" w:customStyle="1" w:styleId="73">
    <w:name w:val="font131"/>
    <w:basedOn w:val="26"/>
    <w:qFormat/>
    <w:uiPriority w:val="0"/>
    <w:rPr>
      <w:rFonts w:hint="eastAsia" w:ascii="宋体" w:hAnsi="宋体" w:eastAsia="宋体" w:cs="宋体"/>
      <w:color w:val="000000"/>
      <w:sz w:val="28"/>
      <w:szCs w:val="28"/>
      <w:u w:val="none"/>
    </w:rPr>
  </w:style>
  <w:style w:type="character" w:customStyle="1" w:styleId="74">
    <w:name w:val="font121"/>
    <w:basedOn w:val="26"/>
    <w:qFormat/>
    <w:uiPriority w:val="0"/>
    <w:rPr>
      <w:rFonts w:hint="eastAsia" w:ascii="宋体" w:hAnsi="宋体" w:eastAsia="宋体" w:cs="宋体"/>
      <w:color w:val="000000"/>
      <w:sz w:val="28"/>
      <w:szCs w:val="28"/>
      <w:u w:val="none"/>
    </w:rPr>
  </w:style>
  <w:style w:type="character" w:customStyle="1" w:styleId="75">
    <w:name w:val="font61"/>
    <w:basedOn w:val="26"/>
    <w:qFormat/>
    <w:uiPriority w:val="0"/>
    <w:rPr>
      <w:rFonts w:hint="default" w:ascii="Times New Roman" w:hAnsi="Times New Roman" w:cs="Times New Roman"/>
      <w:color w:val="000000"/>
      <w:sz w:val="28"/>
      <w:szCs w:val="28"/>
      <w:u w:val="none"/>
    </w:rPr>
  </w:style>
  <w:style w:type="character" w:customStyle="1" w:styleId="76">
    <w:name w:val="font151"/>
    <w:basedOn w:val="26"/>
    <w:qFormat/>
    <w:uiPriority w:val="0"/>
    <w:rPr>
      <w:rFonts w:hint="eastAsia" w:ascii="宋体" w:hAnsi="宋体" w:eastAsia="宋体" w:cs="宋体"/>
      <w:color w:val="0000FF"/>
      <w:sz w:val="28"/>
      <w:szCs w:val="28"/>
      <w:u w:val="none"/>
    </w:rPr>
  </w:style>
  <w:style w:type="character" w:customStyle="1" w:styleId="77">
    <w:name w:val="font81"/>
    <w:basedOn w:val="26"/>
    <w:qFormat/>
    <w:uiPriority w:val="0"/>
    <w:rPr>
      <w:rFonts w:hint="default" w:ascii="Times New Roman" w:hAnsi="Times New Roman" w:cs="Times New Roman"/>
      <w:color w:val="FF0000"/>
      <w:sz w:val="28"/>
      <w:szCs w:val="28"/>
      <w:u w:val="none"/>
    </w:rPr>
  </w:style>
  <w:style w:type="character" w:customStyle="1" w:styleId="78">
    <w:name w:val="font141"/>
    <w:basedOn w:val="26"/>
    <w:qFormat/>
    <w:uiPriority w:val="0"/>
    <w:rPr>
      <w:rFonts w:hint="eastAsia" w:ascii="宋体" w:hAnsi="宋体" w:eastAsia="宋体" w:cs="宋体"/>
      <w:color w:val="FF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161</Pages>
  <Words>28544</Words>
  <Characters>30279</Characters>
  <Lines>453</Lines>
  <Paragraphs>127</Paragraphs>
  <TotalTime>12</TotalTime>
  <ScaleCrop>false</ScaleCrop>
  <LinksUpToDate>false</LinksUpToDate>
  <CharactersWithSpaces>30626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2024-05-13T16:44:00Z</dcterms:created>
  <dc:creator>唐冰</dc:creator>
  <cp:lastModifiedBy>俏一</cp:lastModifiedBy>
  <cp:lastPrinted>2020-04-07T16:20:00Z</cp:lastPrinted>
  <dcterms:modified xsi:type="dcterms:W3CDTF">2025-04-30T08:23:15Z</dcterms:modified>
  <dc:title>竞争性谈判文件规范</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C744CCD21C5D48FABAF045C161498FA4_13</vt:lpwstr>
  </property>
  <property fmtid="{D5CDD505-2E9C-101B-9397-08002B2CF9AE}" pid="4" name="KSOTemplateDocerSaveRecord">
    <vt:lpwstr>eyJoZGlkIjoiYWRhMWIxZWQ5OTg5NmZlOWNhNTA2NTI5YTIzMjg0OWEiLCJ1c2VySWQiOiIxMTk4MTkzNTI0In0=</vt:lpwstr>
  </property>
</Properties>
</file>