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912E02">
      <w:pPr>
        <w:pStyle w:val="12"/>
        <w:spacing w:line="20" w:lineRule="exact"/>
        <w:ind w:left="344" w:firstLine="40"/>
        <w:rPr>
          <w:rFonts w:ascii="Times New Roman"/>
          <w:sz w:val="2"/>
        </w:rPr>
      </w:pPr>
    </w:p>
    <w:p w14:paraId="70E98C76">
      <w:pPr>
        <w:pStyle w:val="12"/>
        <w:ind w:firstLine="402"/>
        <w:rPr>
          <w:rFonts w:ascii="Times New Roman"/>
          <w:sz w:val="20"/>
        </w:rPr>
      </w:pPr>
    </w:p>
    <w:p w14:paraId="307A3DB0">
      <w:pPr>
        <w:pStyle w:val="12"/>
        <w:ind w:firstLine="402"/>
        <w:rPr>
          <w:rFonts w:ascii="Times New Roman"/>
          <w:sz w:val="20"/>
        </w:rPr>
      </w:pPr>
    </w:p>
    <w:p w14:paraId="3C845294">
      <w:pPr>
        <w:pStyle w:val="12"/>
        <w:ind w:firstLine="402"/>
        <w:rPr>
          <w:rFonts w:ascii="Times New Roman"/>
          <w:sz w:val="20"/>
        </w:rPr>
      </w:pPr>
    </w:p>
    <w:p w14:paraId="21E39823">
      <w:pPr>
        <w:pStyle w:val="12"/>
        <w:ind w:firstLine="402"/>
        <w:rPr>
          <w:rFonts w:ascii="Times New Roman"/>
          <w:sz w:val="20"/>
        </w:rPr>
      </w:pPr>
    </w:p>
    <w:p w14:paraId="2449369D">
      <w:pPr>
        <w:pStyle w:val="12"/>
        <w:spacing w:before="1"/>
        <w:rPr>
          <w:rFonts w:ascii="Times New Roman"/>
          <w:sz w:val="44"/>
          <w:szCs w:val="44"/>
        </w:rPr>
      </w:pPr>
    </w:p>
    <w:p w14:paraId="6BA168C1">
      <w:pPr>
        <w:spacing w:before="16"/>
        <w:ind w:right="317"/>
        <w:jc w:val="center"/>
        <w:rPr>
          <w:b/>
          <w:sz w:val="44"/>
          <w:szCs w:val="44"/>
        </w:rPr>
      </w:pPr>
      <w:bookmarkStart w:id="0" w:name="桂林通成工程咨询有限公司"/>
      <w:bookmarkEnd w:id="0"/>
      <w:r>
        <w:rPr>
          <w:rFonts w:hint="eastAsia"/>
          <w:b/>
          <w:sz w:val="44"/>
          <w:szCs w:val="44"/>
        </w:rPr>
        <w:t>广西建设工程机电设备招标中心有限公司</w:t>
      </w:r>
    </w:p>
    <w:p w14:paraId="2A259E87">
      <w:pPr>
        <w:spacing w:before="16"/>
        <w:ind w:right="317" w:firstLine="1205"/>
        <w:jc w:val="center"/>
        <w:rPr>
          <w:b/>
          <w:sz w:val="60"/>
        </w:rPr>
      </w:pPr>
      <w:r>
        <w:rPr>
          <w:rFonts w:hAnsi="宋体"/>
          <w:b/>
          <w:color w:val="auto"/>
          <w:sz w:val="24"/>
          <w:szCs w:val="24"/>
        </w:rPr>
        <w:drawing>
          <wp:anchor distT="0" distB="0" distL="114300" distR="114300" simplePos="0" relativeHeight="251673600" behindDoc="0" locked="0" layoutInCell="1" allowOverlap="1">
            <wp:simplePos x="0" y="0"/>
            <wp:positionH relativeFrom="column">
              <wp:posOffset>1532890</wp:posOffset>
            </wp:positionH>
            <wp:positionV relativeFrom="paragraph">
              <wp:posOffset>286385</wp:posOffset>
            </wp:positionV>
            <wp:extent cx="3129915" cy="2762885"/>
            <wp:effectExtent l="0" t="0" r="13335" b="18415"/>
            <wp:wrapNone/>
            <wp:docPr id="1" name="图片 1" descr="E:\2019年项目\1投标\花江校区代理\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2019年项目\1投标\花江校区代理\新logo.png"/>
                    <pic:cNvPicPr>
                      <a:picLocks noChangeAspect="1"/>
                    </pic:cNvPicPr>
                  </pic:nvPicPr>
                  <pic:blipFill>
                    <a:blip r:embed="rId16"/>
                    <a:stretch>
                      <a:fillRect/>
                    </a:stretch>
                  </pic:blipFill>
                  <pic:spPr>
                    <a:xfrm>
                      <a:off x="0" y="0"/>
                      <a:ext cx="3129915" cy="2762885"/>
                    </a:xfrm>
                    <a:prstGeom prst="rect">
                      <a:avLst/>
                    </a:prstGeom>
                    <a:noFill/>
                    <a:ln>
                      <a:noFill/>
                    </a:ln>
                  </pic:spPr>
                </pic:pic>
              </a:graphicData>
            </a:graphic>
          </wp:anchor>
        </w:drawing>
      </w:r>
    </w:p>
    <w:p w14:paraId="4E691B0A">
      <w:pPr>
        <w:pStyle w:val="12"/>
        <w:ind w:firstLine="1200"/>
        <w:rPr>
          <w:b/>
          <w:sz w:val="60"/>
        </w:rPr>
      </w:pPr>
    </w:p>
    <w:p w14:paraId="6FF36B8D">
      <w:pPr>
        <w:pStyle w:val="12"/>
        <w:spacing w:before="6"/>
        <w:ind w:firstLine="1660"/>
        <w:rPr>
          <w:b/>
          <w:sz w:val="83"/>
        </w:rPr>
      </w:pPr>
    </w:p>
    <w:p w14:paraId="7D8DBECB">
      <w:pPr>
        <w:pStyle w:val="22"/>
        <w:ind w:firstLine="1687"/>
      </w:pPr>
    </w:p>
    <w:p w14:paraId="378B18CF">
      <w:pPr>
        <w:pStyle w:val="22"/>
        <w:ind w:firstLine="1687"/>
      </w:pPr>
    </w:p>
    <w:p w14:paraId="579008D5">
      <w:pPr>
        <w:pStyle w:val="22"/>
        <w:ind w:firstLine="1687"/>
        <w:jc w:val="both"/>
        <w:rPr>
          <w:b w:val="0"/>
          <w:bCs w:val="0"/>
        </w:rPr>
      </w:pPr>
      <w:r>
        <w:rPr>
          <w:b w:val="0"/>
          <w:bCs w:val="0"/>
        </w:rPr>
        <w:t>竞争性磋商文件</w:t>
      </w:r>
    </w:p>
    <w:p w14:paraId="3AD94BED">
      <w:pPr>
        <w:pStyle w:val="12"/>
        <w:ind w:firstLine="1680"/>
        <w:rPr>
          <w:rFonts w:ascii="楷体"/>
          <w:b/>
          <w:sz w:val="84"/>
        </w:rPr>
      </w:pPr>
    </w:p>
    <w:p w14:paraId="0F986D94">
      <w:pPr>
        <w:keepNext w:val="0"/>
        <w:keepLines w:val="0"/>
        <w:pageBreakBefore w:val="0"/>
        <w:widowControl w:val="0"/>
        <w:kinsoku/>
        <w:wordWrap/>
        <w:overflowPunct/>
        <w:topLinePunct w:val="0"/>
        <w:autoSpaceDE w:val="0"/>
        <w:autoSpaceDN w:val="0"/>
        <w:bidi w:val="0"/>
        <w:adjustRightInd/>
        <w:snapToGrid/>
        <w:spacing w:line="480" w:lineRule="auto"/>
        <w:ind w:left="1962" w:leftChars="381" w:right="665" w:hanging="1124" w:hangingChars="400"/>
        <w:textAlignment w:val="auto"/>
        <w:rPr>
          <w:rFonts w:hint="eastAsia" w:eastAsia="宋体"/>
          <w:b/>
          <w:sz w:val="28"/>
          <w:szCs w:val="28"/>
          <w:lang w:eastAsia="zh-CN"/>
        </w:rPr>
      </w:pPr>
      <w:r>
        <w:rPr>
          <w:b/>
          <w:sz w:val="28"/>
          <w:szCs w:val="28"/>
        </w:rPr>
        <w:t>项目名称:</w:t>
      </w:r>
      <w:r>
        <w:rPr>
          <w:rFonts w:hint="eastAsia"/>
          <w:b/>
          <w:sz w:val="28"/>
          <w:szCs w:val="28"/>
          <w:lang w:eastAsia="zh-CN"/>
        </w:rPr>
        <w:t>广西壮族自治区临桂公路养护中心G322临桂艳滩村至罗江村K1662+000～K1663</w:t>
      </w:r>
      <w:r>
        <w:rPr>
          <w:rFonts w:hint="eastAsia"/>
          <w:b/>
          <w:sz w:val="28"/>
          <w:szCs w:val="28"/>
          <w:lang w:val="en-US" w:eastAsia="zh-CN"/>
        </w:rPr>
        <w:t>+000</w:t>
      </w:r>
      <w:r>
        <w:rPr>
          <w:rFonts w:hint="eastAsia"/>
          <w:b/>
          <w:sz w:val="28"/>
          <w:szCs w:val="28"/>
          <w:lang w:eastAsia="zh-CN"/>
        </w:rPr>
        <w:t>段路面修复养护工程</w:t>
      </w:r>
    </w:p>
    <w:p w14:paraId="3D257E4C">
      <w:pPr>
        <w:keepNext w:val="0"/>
        <w:keepLines w:val="0"/>
        <w:pageBreakBefore w:val="0"/>
        <w:widowControl w:val="0"/>
        <w:kinsoku/>
        <w:wordWrap/>
        <w:overflowPunct/>
        <w:topLinePunct w:val="0"/>
        <w:autoSpaceDE w:val="0"/>
        <w:autoSpaceDN w:val="0"/>
        <w:bidi w:val="0"/>
        <w:adjustRightInd/>
        <w:snapToGrid/>
        <w:spacing w:line="480" w:lineRule="auto"/>
        <w:ind w:right="665" w:firstLine="843" w:firstLineChars="300"/>
        <w:textAlignment w:val="auto"/>
        <w:rPr>
          <w:b/>
          <w:bCs/>
          <w:sz w:val="28"/>
          <w:szCs w:val="28"/>
          <w:highlight w:val="none"/>
        </w:rPr>
      </w:pPr>
      <w:r>
        <w:rPr>
          <w:b/>
          <w:sz w:val="28"/>
          <w:szCs w:val="28"/>
          <w:highlight w:val="none"/>
        </w:rPr>
        <w:t>项目编号：</w:t>
      </w:r>
      <w:bookmarkStart w:id="1" w:name="采购人：广西壮族自治区龙胜公路养护中心"/>
      <w:bookmarkEnd w:id="1"/>
      <w:r>
        <w:rPr>
          <w:b/>
          <w:sz w:val="28"/>
          <w:szCs w:val="28"/>
          <w:highlight w:val="none"/>
        </w:rPr>
        <w:t>GXZC2025-C2-000654-JGJD</w:t>
      </w:r>
    </w:p>
    <w:p w14:paraId="0DE5573D">
      <w:pPr>
        <w:keepNext w:val="0"/>
        <w:keepLines w:val="0"/>
        <w:pageBreakBefore w:val="0"/>
        <w:widowControl w:val="0"/>
        <w:kinsoku/>
        <w:wordWrap/>
        <w:overflowPunct/>
        <w:topLinePunct w:val="0"/>
        <w:autoSpaceDE w:val="0"/>
        <w:autoSpaceDN w:val="0"/>
        <w:bidi w:val="0"/>
        <w:adjustRightInd/>
        <w:snapToGrid/>
        <w:spacing w:line="480" w:lineRule="auto"/>
        <w:ind w:firstLine="843" w:firstLineChars="300"/>
        <w:textAlignment w:val="auto"/>
        <w:rPr>
          <w:rFonts w:hint="eastAsia" w:eastAsia="宋体"/>
          <w:b/>
          <w:bCs/>
          <w:sz w:val="28"/>
          <w:szCs w:val="28"/>
          <w:lang w:eastAsia="zh-CN"/>
        </w:rPr>
      </w:pPr>
      <w:r>
        <w:rPr>
          <w:b/>
          <w:bCs/>
          <w:sz w:val="28"/>
          <w:szCs w:val="28"/>
        </w:rPr>
        <w:t>采购人：</w:t>
      </w:r>
      <w:bookmarkStart w:id="2" w:name="采购代理机构：桂林通成工程咨询有限公司"/>
      <w:bookmarkEnd w:id="2"/>
      <w:r>
        <w:rPr>
          <w:rFonts w:hint="eastAsia"/>
          <w:b/>
          <w:bCs/>
          <w:sz w:val="28"/>
          <w:szCs w:val="28"/>
          <w:lang w:eastAsia="zh-CN"/>
        </w:rPr>
        <w:t xml:space="preserve">广西壮族自治区临桂公路养护中心 </w:t>
      </w:r>
    </w:p>
    <w:p w14:paraId="276E9197">
      <w:pPr>
        <w:keepNext w:val="0"/>
        <w:keepLines w:val="0"/>
        <w:pageBreakBefore w:val="0"/>
        <w:widowControl w:val="0"/>
        <w:kinsoku/>
        <w:wordWrap/>
        <w:overflowPunct/>
        <w:topLinePunct w:val="0"/>
        <w:autoSpaceDE w:val="0"/>
        <w:autoSpaceDN w:val="0"/>
        <w:bidi w:val="0"/>
        <w:adjustRightInd/>
        <w:snapToGrid/>
        <w:spacing w:line="480" w:lineRule="auto"/>
        <w:ind w:firstLine="843" w:firstLineChars="300"/>
        <w:jc w:val="both"/>
        <w:textAlignment w:val="auto"/>
        <w:rPr>
          <w:b/>
          <w:bCs/>
          <w:sz w:val="28"/>
          <w:szCs w:val="28"/>
        </w:rPr>
      </w:pPr>
      <w:r>
        <w:rPr>
          <w:rFonts w:hint="eastAsia"/>
          <w:b/>
          <w:bCs/>
          <w:sz w:val="28"/>
          <w:szCs w:val="28"/>
          <w:lang w:eastAsia="zh-CN"/>
        </w:rPr>
        <w:t>采</w:t>
      </w:r>
      <w:r>
        <w:rPr>
          <w:b/>
          <w:bCs/>
          <w:sz w:val="28"/>
          <w:szCs w:val="28"/>
        </w:rPr>
        <w:t>购代理机构：</w:t>
      </w:r>
      <w:r>
        <w:rPr>
          <w:rFonts w:hint="eastAsia" w:ascii="宋体" w:hAnsi="宋体" w:eastAsia="宋体" w:cs="宋体"/>
          <w:b/>
          <w:bCs/>
          <w:sz w:val="28"/>
          <w:szCs w:val="28"/>
        </w:rPr>
        <w:t>广西建设工程机电设备招标中心有限公司</w:t>
      </w:r>
    </w:p>
    <w:p w14:paraId="3F76E220">
      <w:pPr>
        <w:spacing w:line="360" w:lineRule="auto"/>
        <w:ind w:firstLine="643"/>
        <w:jc w:val="center"/>
        <w:rPr>
          <w:b/>
          <w:bCs/>
          <w:sz w:val="28"/>
          <w:szCs w:val="28"/>
        </w:rPr>
      </w:pPr>
    </w:p>
    <w:p w14:paraId="4D2D81EC">
      <w:pPr>
        <w:spacing w:line="360" w:lineRule="auto"/>
        <w:ind w:firstLine="643"/>
        <w:jc w:val="center"/>
        <w:rPr>
          <w:b/>
          <w:bCs/>
          <w:sz w:val="28"/>
          <w:szCs w:val="28"/>
        </w:rPr>
      </w:pPr>
      <w:r>
        <w:rPr>
          <w:b/>
          <w:bCs/>
          <w:sz w:val="28"/>
          <w:szCs w:val="28"/>
        </w:rPr>
        <w:t>202</w:t>
      </w:r>
      <w:r>
        <w:rPr>
          <w:rFonts w:hint="eastAsia"/>
          <w:b/>
          <w:bCs/>
          <w:sz w:val="28"/>
          <w:szCs w:val="28"/>
        </w:rPr>
        <w:t>5</w:t>
      </w:r>
      <w:r>
        <w:rPr>
          <w:b/>
          <w:bCs/>
          <w:sz w:val="28"/>
          <w:szCs w:val="28"/>
        </w:rPr>
        <w:t>年</w:t>
      </w:r>
      <w:r>
        <w:rPr>
          <w:rFonts w:hint="eastAsia"/>
          <w:b/>
          <w:bCs/>
          <w:sz w:val="28"/>
          <w:szCs w:val="28"/>
          <w:lang w:val="en-US" w:eastAsia="zh-CN"/>
        </w:rPr>
        <w:t>4</w:t>
      </w:r>
      <w:r>
        <w:rPr>
          <w:b/>
          <w:bCs/>
          <w:sz w:val="28"/>
          <w:szCs w:val="28"/>
        </w:rPr>
        <w:t>月</w:t>
      </w:r>
      <w:r>
        <w:rPr>
          <w:rFonts w:hint="eastAsia"/>
          <w:b/>
          <w:bCs/>
          <w:sz w:val="28"/>
          <w:szCs w:val="28"/>
          <w:lang w:val="en-US" w:eastAsia="zh-CN"/>
        </w:rPr>
        <w:t>8</w:t>
      </w:r>
      <w:r>
        <w:rPr>
          <w:b/>
          <w:bCs/>
          <w:sz w:val="28"/>
          <w:szCs w:val="28"/>
        </w:rPr>
        <w:t>日</w:t>
      </w:r>
    </w:p>
    <w:p w14:paraId="66915710">
      <w:pPr>
        <w:spacing w:line="360" w:lineRule="auto"/>
        <w:ind w:firstLine="640"/>
        <w:jc w:val="center"/>
        <w:rPr>
          <w:b/>
          <w:bCs/>
          <w:sz w:val="28"/>
          <w:szCs w:val="28"/>
        </w:rPr>
        <w:sectPr>
          <w:type w:val="continuous"/>
          <w:pgSz w:w="11910" w:h="16840"/>
          <w:pgMar w:top="1219" w:right="1219" w:bottom="1219" w:left="1219" w:header="720" w:footer="720" w:gutter="0"/>
          <w:cols w:space="720" w:num="1"/>
        </w:sectPr>
      </w:pPr>
    </w:p>
    <w:p w14:paraId="261F9441">
      <w:pPr>
        <w:pStyle w:val="12"/>
        <w:spacing w:line="20" w:lineRule="exact"/>
        <w:ind w:left="344" w:firstLine="40"/>
        <w:rPr>
          <w:sz w:val="2"/>
        </w:rPr>
      </w:pPr>
      <w:r>
        <w:rPr>
          <w:sz w:val="2"/>
        </w:rPr>
        <mc:AlternateContent>
          <mc:Choice Requires="wpg">
            <w:drawing>
              <wp:inline distT="0" distB="0" distL="114300" distR="114300">
                <wp:extent cx="5904230" cy="9525"/>
                <wp:effectExtent l="0" t="0" r="0" b="0"/>
                <wp:docPr id="16" name="Group 4"/>
                <wp:cNvGraphicFramePr/>
                <a:graphic xmlns:a="http://schemas.openxmlformats.org/drawingml/2006/main">
                  <a:graphicData uri="http://schemas.microsoft.com/office/word/2010/wordprocessingGroup">
                    <wpg:wgp>
                      <wpg:cNvGrpSpPr/>
                      <wpg:grpSpPr>
                        <a:xfrm>
                          <a:off x="0" y="0"/>
                          <a:ext cx="5904230" cy="9525"/>
                          <a:chOff x="0" y="0"/>
                          <a:chExt cx="5904230" cy="9525203"/>
                        </a:xfrm>
                      </wpg:grpSpPr>
                      <wps:wsp>
                        <wps:cNvPr id="2" name="Graphic 5"/>
                        <wps:cNvSpPr/>
                        <wps:spPr>
                          <a:xfrm>
                            <a:off x="0" y="0"/>
                            <a:ext cx="5904230" cy="9525"/>
                          </a:xfrm>
                          <a:custGeom>
                            <a:avLst/>
                            <a:gdLst>
                              <a:gd name="A1" fmla="val 0"/>
                              <a:gd name="A2" fmla="val 0"/>
                              <a:gd name="A3" fmla="val 0"/>
                            </a:gdLst>
                            <a:ahLst/>
                            <a:cxnLst/>
                            <a:pathLst>
                              <a:path w="5904230" h="9525">
                                <a:moveTo>
                                  <a:pt x="5904230" y="9144"/>
                                </a:moveTo>
                                <a:lnTo>
                                  <a:pt x="0" y="9144"/>
                                </a:lnTo>
                                <a:lnTo>
                                  <a:pt x="0" y="0"/>
                                </a:lnTo>
                                <a:lnTo>
                                  <a:pt x="5904230" y="0"/>
                                </a:lnTo>
                                <a:lnTo>
                                  <a:pt x="5904230" y="9144"/>
                                </a:lnTo>
                                <a:close/>
                              </a:path>
                            </a:pathLst>
                          </a:custGeom>
                          <a:solidFill>
                            <a:srgbClr val="000000"/>
                          </a:solidFill>
                          <a:ln>
                            <a:noFill/>
                          </a:ln>
                        </wps:spPr>
                        <wps:bodyPr lIns="0" tIns="0" rIns="0" bIns="0" upright="1"/>
                      </wps:wsp>
                    </wpg:wgp>
                  </a:graphicData>
                </a:graphic>
              </wp:inline>
            </w:drawing>
          </mc:Choice>
          <mc:Fallback>
            <w:pict>
              <v:group id="Group 4" o:spid="_x0000_s1026" o:spt="203" style="height:0.75pt;width:464.9pt;" coordsize="5904230,9525203" o:gfxdata="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BK/JitQAAAADAQAADwAAAAAAAAABACAAAAAiAAAAZHJzL2Rvd25yZXYueG1sUEsB&#10;AhQAFAAAAAgAh07iQENmN1VrAgAAQAYAAA4AAAAAAAAAAQAgAAAAIwEAAGRycy9lMm9Eb2MueG1s&#10;UEsFBgAAAAAGAAYAWQEAAAAGAAAAAA==&#10;">
                <o:lock v:ext="edit" aspectratio="f"/>
                <v:shape id="Graphic 5" o:spid="_x0000_s1026" o:spt="100" style="position:absolute;left:0;top:0;height:9525;width:5904230;" fillcolor="#000000" filled="t" stroked="f" coordsize="5904230,9525" o:gfxdata="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y7SxS8AAAA&#10;2gAAAA8AAAAAAAAAAQAgAAAAIgAAAGRycy9kb3ducmV2LnhtbFBLAQIUABQAAAAIAIdO4kAzLwWe&#10;OwAAADkAAAAQAAAAAAAAAAEAIAAAAAsBAABkcnMvc2hhcGV4bWwueG1sUEsFBgAAAAAGAAYAWwEA&#10;ALUDAAAAAA==&#10;" path="m5904230,9144l0,9144,0,0,5904230,0,5904230,9144xe">
                  <v:fill on="t" focussize="0,0"/>
                  <v:stroke on="f"/>
                  <v:imagedata o:title=""/>
                  <o:lock v:ext="edit" aspectratio="f"/>
                  <v:textbox inset="0mm,0mm,0mm,0mm"/>
                </v:shape>
                <w10:wrap type="none"/>
                <w10:anchorlock/>
              </v:group>
            </w:pict>
          </mc:Fallback>
        </mc:AlternateContent>
      </w:r>
    </w:p>
    <w:p w14:paraId="3594B003">
      <w:pPr>
        <w:pStyle w:val="12"/>
        <w:tabs>
          <w:tab w:val="left" w:pos="9102"/>
        </w:tabs>
        <w:ind w:firstLine="402"/>
        <w:rPr>
          <w:b/>
          <w:sz w:val="20"/>
        </w:rPr>
      </w:pPr>
      <w:r>
        <w:rPr>
          <w:rFonts w:hint="eastAsia"/>
          <w:b/>
          <w:sz w:val="20"/>
        </w:rPr>
        <w:tab/>
      </w:r>
    </w:p>
    <w:p w14:paraId="4F053DBC">
      <w:pPr>
        <w:pStyle w:val="12"/>
        <w:ind w:firstLine="400"/>
        <w:rPr>
          <w:b/>
          <w:sz w:val="20"/>
        </w:rPr>
      </w:pPr>
    </w:p>
    <w:p w14:paraId="46186E21">
      <w:pPr>
        <w:tabs>
          <w:tab w:val="left" w:pos="1540"/>
        </w:tabs>
        <w:spacing w:before="194"/>
        <w:ind w:right="317" w:firstLine="883"/>
        <w:jc w:val="center"/>
        <w:rPr>
          <w:b/>
          <w:bCs/>
          <w:sz w:val="44"/>
          <w:highlight w:val="none"/>
        </w:rPr>
      </w:pPr>
      <w:r>
        <w:rPr>
          <w:b/>
          <w:bCs/>
          <w:sz w:val="44"/>
          <w:highlight w:val="none"/>
        </w:rPr>
        <w:t>目</w:t>
      </w:r>
      <w:r>
        <w:rPr>
          <w:b/>
          <w:bCs/>
          <w:sz w:val="44"/>
          <w:highlight w:val="none"/>
        </w:rPr>
        <w:tab/>
      </w:r>
      <w:r>
        <w:rPr>
          <w:b/>
          <w:bCs/>
          <w:sz w:val="44"/>
          <w:highlight w:val="none"/>
        </w:rPr>
        <w:t>录</w:t>
      </w:r>
    </w:p>
    <w:sdt>
      <w:sdtPr>
        <w:rPr>
          <w:sz w:val="21"/>
          <w:highlight w:val="none"/>
        </w:rPr>
        <w:id w:val="147472739"/>
        <w:docPartObj>
          <w:docPartGallery w:val="Table of Contents"/>
          <w:docPartUnique/>
        </w:docPartObj>
      </w:sdtPr>
      <w:sdtEndPr>
        <w:rPr>
          <w:sz w:val="21"/>
          <w:highlight w:val="none"/>
        </w:rPr>
      </w:sdtEndPr>
      <w:sdtContent>
        <w:p w14:paraId="31AE16BF">
          <w:pPr>
            <w:ind w:firstLine="422"/>
            <w:jc w:val="center"/>
            <w:rPr>
              <w:highlight w:val="none"/>
            </w:rPr>
          </w:pPr>
        </w:p>
        <w:p w14:paraId="7210D7C5">
          <w:pPr>
            <w:pStyle w:val="45"/>
            <w:tabs>
              <w:tab w:val="right" w:leader="dot" w:pos="9460"/>
            </w:tabs>
            <w:spacing w:line="480" w:lineRule="auto"/>
            <w:rPr>
              <w:rFonts w:asciiTheme="majorEastAsia" w:hAnsiTheme="majorEastAsia" w:eastAsiaTheme="majorEastAsia" w:cstheme="majorEastAsia"/>
              <w:sz w:val="30"/>
              <w:szCs w:val="30"/>
              <w:highlight w:val="none"/>
            </w:rPr>
          </w:pPr>
          <w:r>
            <w:rPr>
              <w:highlight w:val="none"/>
            </w:rPr>
            <w:fldChar w:fldCharType="begin"/>
          </w:r>
          <w:r>
            <w:rPr>
              <w:highlight w:val="none"/>
            </w:rPr>
            <w:instrText xml:space="preserve">TOC \o "1-1" \h \u </w:instrText>
          </w:r>
          <w:r>
            <w:rPr>
              <w:highlight w:val="none"/>
            </w:rPr>
            <w:fldChar w:fldCharType="separate"/>
          </w:r>
          <w:r>
            <w:rPr>
              <w:highlight w:val="none"/>
            </w:rPr>
            <w:fldChar w:fldCharType="begin"/>
          </w:r>
          <w:r>
            <w:rPr>
              <w:highlight w:val="none"/>
            </w:rPr>
            <w:instrText xml:space="preserve"> HYPERLINK \l "_Toc4764" </w:instrText>
          </w:r>
          <w:r>
            <w:rPr>
              <w:highlight w:val="none"/>
            </w:rPr>
            <w:fldChar w:fldCharType="separate"/>
          </w:r>
          <w:r>
            <w:rPr>
              <w:rFonts w:hint="eastAsia" w:asciiTheme="majorEastAsia" w:hAnsiTheme="majorEastAsia" w:eastAsiaTheme="majorEastAsia" w:cstheme="majorEastAsia"/>
              <w:sz w:val="30"/>
              <w:szCs w:val="30"/>
              <w:highlight w:val="none"/>
            </w:rPr>
            <w:t>第一章竞争性磋商公告</w:t>
          </w:r>
          <w:r>
            <w:rPr>
              <w:rFonts w:hint="eastAsia" w:asciiTheme="majorEastAsia" w:hAnsiTheme="majorEastAsia" w:eastAsiaTheme="majorEastAsia" w:cstheme="majorEastAsia"/>
              <w:sz w:val="30"/>
              <w:szCs w:val="30"/>
              <w:highlight w:val="none"/>
            </w:rPr>
            <w:tab/>
          </w:r>
          <w:r>
            <w:rPr>
              <w:rFonts w:hint="eastAsia" w:asciiTheme="majorEastAsia" w:hAnsiTheme="majorEastAsia" w:eastAsiaTheme="majorEastAsia" w:cstheme="majorEastAsia"/>
              <w:sz w:val="30"/>
              <w:szCs w:val="30"/>
              <w:highlight w:val="none"/>
            </w:rPr>
            <w:fldChar w:fldCharType="begin"/>
          </w:r>
          <w:r>
            <w:rPr>
              <w:rFonts w:hint="eastAsia" w:asciiTheme="majorEastAsia" w:hAnsiTheme="majorEastAsia" w:eastAsiaTheme="majorEastAsia" w:cstheme="majorEastAsia"/>
              <w:sz w:val="30"/>
              <w:szCs w:val="30"/>
              <w:highlight w:val="none"/>
            </w:rPr>
            <w:instrText xml:space="preserve"> PAGEREF _Toc4764 \h </w:instrText>
          </w:r>
          <w:r>
            <w:rPr>
              <w:rFonts w:hint="eastAsia" w:asciiTheme="majorEastAsia" w:hAnsiTheme="majorEastAsia" w:eastAsiaTheme="majorEastAsia" w:cstheme="majorEastAsia"/>
              <w:sz w:val="30"/>
              <w:szCs w:val="30"/>
              <w:highlight w:val="none"/>
            </w:rPr>
            <w:fldChar w:fldCharType="separate"/>
          </w:r>
          <w:r>
            <w:rPr>
              <w:rFonts w:asciiTheme="majorEastAsia" w:hAnsiTheme="majorEastAsia" w:eastAsiaTheme="majorEastAsia" w:cstheme="majorEastAsia"/>
              <w:sz w:val="30"/>
              <w:szCs w:val="30"/>
              <w:highlight w:val="none"/>
            </w:rPr>
            <w:t>1</w:t>
          </w:r>
          <w:r>
            <w:rPr>
              <w:rFonts w:hint="eastAsia" w:asciiTheme="majorEastAsia" w:hAnsiTheme="majorEastAsia" w:eastAsiaTheme="majorEastAsia" w:cstheme="majorEastAsia"/>
              <w:sz w:val="30"/>
              <w:szCs w:val="30"/>
              <w:highlight w:val="none"/>
            </w:rPr>
            <w:fldChar w:fldCharType="end"/>
          </w:r>
          <w:r>
            <w:rPr>
              <w:rFonts w:hint="eastAsia" w:asciiTheme="majorEastAsia" w:hAnsiTheme="majorEastAsia" w:eastAsiaTheme="majorEastAsia" w:cstheme="majorEastAsia"/>
              <w:sz w:val="30"/>
              <w:szCs w:val="30"/>
              <w:highlight w:val="none"/>
            </w:rPr>
            <w:fldChar w:fldCharType="end"/>
          </w:r>
        </w:p>
        <w:p w14:paraId="6D93F926">
          <w:pPr>
            <w:pStyle w:val="45"/>
            <w:tabs>
              <w:tab w:val="right" w:leader="dot" w:pos="9460"/>
            </w:tabs>
            <w:spacing w:line="480" w:lineRule="auto"/>
            <w:rPr>
              <w:rFonts w:asciiTheme="majorEastAsia" w:hAnsiTheme="majorEastAsia" w:eastAsiaTheme="majorEastAsia" w:cstheme="majorEastAsia"/>
              <w:sz w:val="30"/>
              <w:szCs w:val="30"/>
              <w:highlight w:val="none"/>
            </w:rPr>
          </w:pPr>
          <w:r>
            <w:rPr>
              <w:highlight w:val="none"/>
            </w:rPr>
            <w:fldChar w:fldCharType="begin"/>
          </w:r>
          <w:r>
            <w:rPr>
              <w:highlight w:val="none"/>
            </w:rPr>
            <w:instrText xml:space="preserve"> HYPERLINK \l "_Toc17173" </w:instrText>
          </w:r>
          <w:r>
            <w:rPr>
              <w:highlight w:val="none"/>
            </w:rPr>
            <w:fldChar w:fldCharType="separate"/>
          </w:r>
          <w:r>
            <w:rPr>
              <w:rFonts w:hint="eastAsia" w:asciiTheme="majorEastAsia" w:hAnsiTheme="majorEastAsia" w:eastAsiaTheme="majorEastAsia" w:cstheme="majorEastAsia"/>
              <w:sz w:val="30"/>
              <w:szCs w:val="30"/>
              <w:highlight w:val="none"/>
            </w:rPr>
            <w:t>第二章供应商须知</w:t>
          </w:r>
          <w:r>
            <w:rPr>
              <w:rFonts w:hint="eastAsia" w:asciiTheme="majorEastAsia" w:hAnsiTheme="majorEastAsia" w:eastAsiaTheme="majorEastAsia" w:cstheme="majorEastAsia"/>
              <w:sz w:val="30"/>
              <w:szCs w:val="30"/>
              <w:highlight w:val="none"/>
            </w:rPr>
            <w:tab/>
          </w:r>
          <w:r>
            <w:rPr>
              <w:rFonts w:hint="eastAsia" w:asciiTheme="majorEastAsia" w:hAnsiTheme="majorEastAsia" w:eastAsiaTheme="majorEastAsia" w:cstheme="majorEastAsia"/>
              <w:sz w:val="30"/>
              <w:szCs w:val="30"/>
              <w:highlight w:val="none"/>
            </w:rPr>
            <w:fldChar w:fldCharType="begin"/>
          </w:r>
          <w:r>
            <w:rPr>
              <w:rFonts w:hint="eastAsia" w:asciiTheme="majorEastAsia" w:hAnsiTheme="majorEastAsia" w:eastAsiaTheme="majorEastAsia" w:cstheme="majorEastAsia"/>
              <w:sz w:val="30"/>
              <w:szCs w:val="30"/>
              <w:highlight w:val="none"/>
            </w:rPr>
            <w:instrText xml:space="preserve"> PAGEREF _Toc17173 \h </w:instrText>
          </w:r>
          <w:r>
            <w:rPr>
              <w:rFonts w:hint="eastAsia" w:asciiTheme="majorEastAsia" w:hAnsiTheme="majorEastAsia" w:eastAsiaTheme="majorEastAsia" w:cstheme="majorEastAsia"/>
              <w:sz w:val="30"/>
              <w:szCs w:val="30"/>
              <w:highlight w:val="none"/>
            </w:rPr>
            <w:fldChar w:fldCharType="separate"/>
          </w:r>
          <w:r>
            <w:rPr>
              <w:rFonts w:asciiTheme="majorEastAsia" w:hAnsiTheme="majorEastAsia" w:eastAsiaTheme="majorEastAsia" w:cstheme="majorEastAsia"/>
              <w:sz w:val="30"/>
              <w:szCs w:val="30"/>
              <w:highlight w:val="none"/>
            </w:rPr>
            <w:t>6</w:t>
          </w:r>
          <w:r>
            <w:rPr>
              <w:rFonts w:hint="eastAsia" w:asciiTheme="majorEastAsia" w:hAnsiTheme="majorEastAsia" w:eastAsiaTheme="majorEastAsia" w:cstheme="majorEastAsia"/>
              <w:sz w:val="30"/>
              <w:szCs w:val="30"/>
              <w:highlight w:val="none"/>
            </w:rPr>
            <w:fldChar w:fldCharType="end"/>
          </w:r>
          <w:r>
            <w:rPr>
              <w:rFonts w:hint="eastAsia" w:asciiTheme="majorEastAsia" w:hAnsiTheme="majorEastAsia" w:eastAsiaTheme="majorEastAsia" w:cstheme="majorEastAsia"/>
              <w:sz w:val="30"/>
              <w:szCs w:val="30"/>
              <w:highlight w:val="none"/>
            </w:rPr>
            <w:fldChar w:fldCharType="end"/>
          </w:r>
        </w:p>
        <w:p w14:paraId="3079E433">
          <w:pPr>
            <w:pStyle w:val="45"/>
            <w:tabs>
              <w:tab w:val="right" w:leader="dot" w:pos="9460"/>
            </w:tabs>
            <w:spacing w:line="480" w:lineRule="auto"/>
            <w:rPr>
              <w:rFonts w:asciiTheme="majorEastAsia" w:hAnsiTheme="majorEastAsia" w:eastAsiaTheme="majorEastAsia" w:cstheme="majorEastAsia"/>
              <w:sz w:val="30"/>
              <w:szCs w:val="30"/>
              <w:highlight w:val="none"/>
            </w:rPr>
          </w:pPr>
          <w:r>
            <w:rPr>
              <w:highlight w:val="none"/>
            </w:rPr>
            <w:fldChar w:fldCharType="begin"/>
          </w:r>
          <w:r>
            <w:rPr>
              <w:highlight w:val="none"/>
            </w:rPr>
            <w:instrText xml:space="preserve"> HYPERLINK \l "_Toc22621" </w:instrText>
          </w:r>
          <w:r>
            <w:rPr>
              <w:highlight w:val="none"/>
            </w:rPr>
            <w:fldChar w:fldCharType="separate"/>
          </w:r>
          <w:r>
            <w:rPr>
              <w:rFonts w:hint="eastAsia" w:asciiTheme="majorEastAsia" w:hAnsiTheme="majorEastAsia" w:eastAsiaTheme="majorEastAsia" w:cstheme="majorEastAsia"/>
              <w:sz w:val="30"/>
              <w:szCs w:val="30"/>
              <w:highlight w:val="none"/>
            </w:rPr>
            <w:t>第三章采购需求</w:t>
          </w:r>
          <w:r>
            <w:rPr>
              <w:rFonts w:hint="eastAsia" w:asciiTheme="majorEastAsia" w:hAnsiTheme="majorEastAsia" w:eastAsiaTheme="majorEastAsia" w:cstheme="majorEastAsia"/>
              <w:sz w:val="30"/>
              <w:szCs w:val="30"/>
              <w:highlight w:val="none"/>
            </w:rPr>
            <w:tab/>
          </w:r>
          <w:r>
            <w:rPr>
              <w:rFonts w:hint="eastAsia" w:asciiTheme="majorEastAsia" w:hAnsiTheme="majorEastAsia" w:eastAsiaTheme="majorEastAsia" w:cstheme="majorEastAsia"/>
              <w:sz w:val="30"/>
              <w:szCs w:val="30"/>
              <w:highlight w:val="none"/>
            </w:rPr>
            <w:fldChar w:fldCharType="begin"/>
          </w:r>
          <w:r>
            <w:rPr>
              <w:rFonts w:hint="eastAsia" w:asciiTheme="majorEastAsia" w:hAnsiTheme="majorEastAsia" w:eastAsiaTheme="majorEastAsia" w:cstheme="majorEastAsia"/>
              <w:sz w:val="30"/>
              <w:szCs w:val="30"/>
              <w:highlight w:val="none"/>
            </w:rPr>
            <w:instrText xml:space="preserve"> PAGEREF _Toc22621 \h </w:instrText>
          </w:r>
          <w:r>
            <w:rPr>
              <w:rFonts w:hint="eastAsia" w:asciiTheme="majorEastAsia" w:hAnsiTheme="majorEastAsia" w:eastAsiaTheme="majorEastAsia" w:cstheme="majorEastAsia"/>
              <w:sz w:val="30"/>
              <w:szCs w:val="30"/>
              <w:highlight w:val="none"/>
            </w:rPr>
            <w:fldChar w:fldCharType="separate"/>
          </w:r>
          <w:r>
            <w:rPr>
              <w:rFonts w:asciiTheme="majorEastAsia" w:hAnsiTheme="majorEastAsia" w:eastAsiaTheme="majorEastAsia" w:cstheme="majorEastAsia"/>
              <w:sz w:val="30"/>
              <w:szCs w:val="30"/>
              <w:highlight w:val="none"/>
            </w:rPr>
            <w:t>30</w:t>
          </w:r>
          <w:r>
            <w:rPr>
              <w:rFonts w:hint="eastAsia" w:asciiTheme="majorEastAsia" w:hAnsiTheme="majorEastAsia" w:eastAsiaTheme="majorEastAsia" w:cstheme="majorEastAsia"/>
              <w:sz w:val="30"/>
              <w:szCs w:val="30"/>
              <w:highlight w:val="none"/>
            </w:rPr>
            <w:fldChar w:fldCharType="end"/>
          </w:r>
          <w:r>
            <w:rPr>
              <w:rFonts w:hint="eastAsia" w:asciiTheme="majorEastAsia" w:hAnsiTheme="majorEastAsia" w:eastAsiaTheme="majorEastAsia" w:cstheme="majorEastAsia"/>
              <w:sz w:val="30"/>
              <w:szCs w:val="30"/>
              <w:highlight w:val="none"/>
            </w:rPr>
            <w:fldChar w:fldCharType="end"/>
          </w:r>
        </w:p>
        <w:p w14:paraId="64515C7A">
          <w:pPr>
            <w:pStyle w:val="45"/>
            <w:tabs>
              <w:tab w:val="right" w:leader="dot" w:pos="9460"/>
            </w:tabs>
            <w:spacing w:line="480" w:lineRule="auto"/>
            <w:rPr>
              <w:rFonts w:asciiTheme="majorEastAsia" w:hAnsiTheme="majorEastAsia" w:eastAsiaTheme="majorEastAsia" w:cstheme="majorEastAsia"/>
              <w:sz w:val="30"/>
              <w:szCs w:val="30"/>
              <w:highlight w:val="none"/>
            </w:rPr>
          </w:pPr>
          <w:r>
            <w:rPr>
              <w:highlight w:val="none"/>
            </w:rPr>
            <w:fldChar w:fldCharType="begin"/>
          </w:r>
          <w:r>
            <w:rPr>
              <w:highlight w:val="none"/>
            </w:rPr>
            <w:instrText xml:space="preserve"> HYPERLINK \l "_Toc349" </w:instrText>
          </w:r>
          <w:r>
            <w:rPr>
              <w:highlight w:val="none"/>
            </w:rPr>
            <w:fldChar w:fldCharType="separate"/>
          </w:r>
          <w:r>
            <w:rPr>
              <w:rFonts w:hint="eastAsia" w:asciiTheme="majorEastAsia" w:hAnsiTheme="majorEastAsia" w:eastAsiaTheme="majorEastAsia" w:cstheme="majorEastAsia"/>
              <w:sz w:val="30"/>
              <w:szCs w:val="30"/>
              <w:highlight w:val="none"/>
            </w:rPr>
            <w:t>第四章评审办法</w:t>
          </w:r>
          <w:r>
            <w:rPr>
              <w:rFonts w:hint="eastAsia" w:asciiTheme="majorEastAsia" w:hAnsiTheme="majorEastAsia" w:eastAsiaTheme="majorEastAsia" w:cstheme="majorEastAsia"/>
              <w:sz w:val="30"/>
              <w:szCs w:val="30"/>
              <w:highlight w:val="none"/>
            </w:rPr>
            <w:tab/>
          </w:r>
          <w:r>
            <w:rPr>
              <w:rFonts w:hint="eastAsia" w:asciiTheme="majorEastAsia" w:hAnsiTheme="majorEastAsia" w:eastAsiaTheme="majorEastAsia" w:cstheme="majorEastAsia"/>
              <w:sz w:val="30"/>
              <w:szCs w:val="30"/>
              <w:highlight w:val="none"/>
            </w:rPr>
            <w:fldChar w:fldCharType="begin"/>
          </w:r>
          <w:r>
            <w:rPr>
              <w:rFonts w:hint="eastAsia" w:asciiTheme="majorEastAsia" w:hAnsiTheme="majorEastAsia" w:eastAsiaTheme="majorEastAsia" w:cstheme="majorEastAsia"/>
              <w:sz w:val="30"/>
              <w:szCs w:val="30"/>
              <w:highlight w:val="none"/>
            </w:rPr>
            <w:instrText xml:space="preserve"> PAGEREF _Toc349 \h </w:instrText>
          </w:r>
          <w:r>
            <w:rPr>
              <w:rFonts w:hint="eastAsia" w:asciiTheme="majorEastAsia" w:hAnsiTheme="majorEastAsia" w:eastAsiaTheme="majorEastAsia" w:cstheme="majorEastAsia"/>
              <w:sz w:val="30"/>
              <w:szCs w:val="30"/>
              <w:highlight w:val="none"/>
            </w:rPr>
            <w:fldChar w:fldCharType="separate"/>
          </w:r>
          <w:r>
            <w:rPr>
              <w:rFonts w:asciiTheme="majorEastAsia" w:hAnsiTheme="majorEastAsia" w:eastAsiaTheme="majorEastAsia" w:cstheme="majorEastAsia"/>
              <w:sz w:val="30"/>
              <w:szCs w:val="30"/>
              <w:highlight w:val="none"/>
            </w:rPr>
            <w:t>32</w:t>
          </w:r>
          <w:r>
            <w:rPr>
              <w:rFonts w:hint="eastAsia" w:asciiTheme="majorEastAsia" w:hAnsiTheme="majorEastAsia" w:eastAsiaTheme="majorEastAsia" w:cstheme="majorEastAsia"/>
              <w:sz w:val="30"/>
              <w:szCs w:val="30"/>
              <w:highlight w:val="none"/>
            </w:rPr>
            <w:fldChar w:fldCharType="end"/>
          </w:r>
          <w:r>
            <w:rPr>
              <w:rFonts w:hint="eastAsia" w:asciiTheme="majorEastAsia" w:hAnsiTheme="majorEastAsia" w:eastAsiaTheme="majorEastAsia" w:cstheme="majorEastAsia"/>
              <w:sz w:val="30"/>
              <w:szCs w:val="30"/>
              <w:highlight w:val="none"/>
            </w:rPr>
            <w:fldChar w:fldCharType="end"/>
          </w:r>
        </w:p>
        <w:p w14:paraId="6F26D12A">
          <w:pPr>
            <w:pStyle w:val="45"/>
            <w:tabs>
              <w:tab w:val="right" w:leader="dot" w:pos="9460"/>
            </w:tabs>
            <w:spacing w:line="480" w:lineRule="auto"/>
            <w:rPr>
              <w:rFonts w:asciiTheme="majorEastAsia" w:hAnsiTheme="majorEastAsia" w:eastAsiaTheme="majorEastAsia" w:cstheme="majorEastAsia"/>
              <w:sz w:val="30"/>
              <w:szCs w:val="30"/>
              <w:highlight w:val="none"/>
            </w:rPr>
          </w:pPr>
          <w:r>
            <w:rPr>
              <w:highlight w:val="none"/>
            </w:rPr>
            <w:fldChar w:fldCharType="begin"/>
          </w:r>
          <w:r>
            <w:rPr>
              <w:highlight w:val="none"/>
            </w:rPr>
            <w:instrText xml:space="preserve"> HYPERLINK \l "_Toc29957" </w:instrText>
          </w:r>
          <w:r>
            <w:rPr>
              <w:highlight w:val="none"/>
            </w:rPr>
            <w:fldChar w:fldCharType="separate"/>
          </w:r>
          <w:r>
            <w:rPr>
              <w:rFonts w:hint="eastAsia" w:asciiTheme="majorEastAsia" w:hAnsiTheme="majorEastAsia" w:eastAsiaTheme="majorEastAsia" w:cstheme="majorEastAsia"/>
              <w:sz w:val="30"/>
              <w:szCs w:val="30"/>
              <w:highlight w:val="none"/>
            </w:rPr>
            <w:t>第五章合同条款及格式</w:t>
          </w:r>
          <w:r>
            <w:rPr>
              <w:rFonts w:hint="eastAsia" w:asciiTheme="majorEastAsia" w:hAnsiTheme="majorEastAsia" w:eastAsiaTheme="majorEastAsia" w:cstheme="majorEastAsia"/>
              <w:sz w:val="30"/>
              <w:szCs w:val="30"/>
              <w:highlight w:val="none"/>
            </w:rPr>
            <w:tab/>
          </w:r>
          <w:r>
            <w:rPr>
              <w:rFonts w:hint="eastAsia" w:asciiTheme="majorEastAsia" w:hAnsiTheme="majorEastAsia" w:eastAsiaTheme="majorEastAsia" w:cstheme="majorEastAsia"/>
              <w:sz w:val="30"/>
              <w:szCs w:val="30"/>
              <w:highlight w:val="none"/>
            </w:rPr>
            <w:fldChar w:fldCharType="begin"/>
          </w:r>
          <w:r>
            <w:rPr>
              <w:rFonts w:hint="eastAsia" w:asciiTheme="majorEastAsia" w:hAnsiTheme="majorEastAsia" w:eastAsiaTheme="majorEastAsia" w:cstheme="majorEastAsia"/>
              <w:sz w:val="30"/>
              <w:szCs w:val="30"/>
              <w:highlight w:val="none"/>
            </w:rPr>
            <w:instrText xml:space="preserve"> PAGEREF _Toc29957 \h </w:instrText>
          </w:r>
          <w:r>
            <w:rPr>
              <w:rFonts w:hint="eastAsia" w:asciiTheme="majorEastAsia" w:hAnsiTheme="majorEastAsia" w:eastAsiaTheme="majorEastAsia" w:cstheme="majorEastAsia"/>
              <w:sz w:val="30"/>
              <w:szCs w:val="30"/>
              <w:highlight w:val="none"/>
            </w:rPr>
            <w:fldChar w:fldCharType="separate"/>
          </w:r>
          <w:r>
            <w:rPr>
              <w:rFonts w:asciiTheme="majorEastAsia" w:hAnsiTheme="majorEastAsia" w:eastAsiaTheme="majorEastAsia" w:cstheme="majorEastAsia"/>
              <w:sz w:val="30"/>
              <w:szCs w:val="30"/>
              <w:highlight w:val="none"/>
            </w:rPr>
            <w:t>36</w:t>
          </w:r>
          <w:r>
            <w:rPr>
              <w:rFonts w:hint="eastAsia" w:asciiTheme="majorEastAsia" w:hAnsiTheme="majorEastAsia" w:eastAsiaTheme="majorEastAsia" w:cstheme="majorEastAsia"/>
              <w:sz w:val="30"/>
              <w:szCs w:val="30"/>
              <w:highlight w:val="none"/>
            </w:rPr>
            <w:fldChar w:fldCharType="end"/>
          </w:r>
          <w:r>
            <w:rPr>
              <w:rFonts w:hint="eastAsia" w:asciiTheme="majorEastAsia" w:hAnsiTheme="majorEastAsia" w:eastAsiaTheme="majorEastAsia" w:cstheme="majorEastAsia"/>
              <w:sz w:val="30"/>
              <w:szCs w:val="30"/>
              <w:highlight w:val="none"/>
            </w:rPr>
            <w:fldChar w:fldCharType="end"/>
          </w:r>
        </w:p>
        <w:p w14:paraId="11ECE01B">
          <w:pPr>
            <w:pStyle w:val="45"/>
            <w:tabs>
              <w:tab w:val="right" w:leader="dot" w:pos="9460"/>
            </w:tabs>
            <w:spacing w:line="480" w:lineRule="auto"/>
            <w:rPr>
              <w:rFonts w:asciiTheme="majorEastAsia" w:hAnsiTheme="majorEastAsia" w:eastAsiaTheme="majorEastAsia" w:cstheme="majorEastAsia"/>
              <w:sz w:val="30"/>
              <w:szCs w:val="30"/>
              <w:highlight w:val="none"/>
            </w:rPr>
          </w:pPr>
          <w:r>
            <w:rPr>
              <w:highlight w:val="none"/>
            </w:rPr>
            <w:fldChar w:fldCharType="begin"/>
          </w:r>
          <w:r>
            <w:rPr>
              <w:highlight w:val="none"/>
            </w:rPr>
            <w:instrText xml:space="preserve"> HYPERLINK \l "_Toc4745" </w:instrText>
          </w:r>
          <w:r>
            <w:rPr>
              <w:highlight w:val="none"/>
            </w:rPr>
            <w:fldChar w:fldCharType="separate"/>
          </w:r>
          <w:r>
            <w:rPr>
              <w:rFonts w:hint="eastAsia" w:asciiTheme="majorEastAsia" w:hAnsiTheme="majorEastAsia" w:eastAsiaTheme="majorEastAsia" w:cstheme="majorEastAsia"/>
              <w:sz w:val="30"/>
              <w:szCs w:val="30"/>
              <w:highlight w:val="none"/>
            </w:rPr>
            <w:t>第六章工程量清单</w:t>
          </w:r>
          <w:r>
            <w:rPr>
              <w:rFonts w:hint="eastAsia" w:asciiTheme="majorEastAsia" w:hAnsiTheme="majorEastAsia" w:eastAsiaTheme="majorEastAsia" w:cstheme="majorEastAsia"/>
              <w:sz w:val="30"/>
              <w:szCs w:val="30"/>
              <w:highlight w:val="none"/>
            </w:rPr>
            <w:tab/>
          </w:r>
          <w:r>
            <w:rPr>
              <w:rFonts w:hint="eastAsia" w:asciiTheme="majorEastAsia" w:hAnsiTheme="majorEastAsia" w:eastAsiaTheme="majorEastAsia" w:cstheme="majorEastAsia"/>
              <w:sz w:val="30"/>
              <w:szCs w:val="30"/>
              <w:highlight w:val="none"/>
            </w:rPr>
            <w:fldChar w:fldCharType="begin"/>
          </w:r>
          <w:r>
            <w:rPr>
              <w:rFonts w:hint="eastAsia" w:asciiTheme="majorEastAsia" w:hAnsiTheme="majorEastAsia" w:eastAsiaTheme="majorEastAsia" w:cstheme="majorEastAsia"/>
              <w:sz w:val="30"/>
              <w:szCs w:val="30"/>
              <w:highlight w:val="none"/>
            </w:rPr>
            <w:instrText xml:space="preserve"> PAGEREF _Toc4745 \h </w:instrText>
          </w:r>
          <w:r>
            <w:rPr>
              <w:rFonts w:hint="eastAsia" w:asciiTheme="majorEastAsia" w:hAnsiTheme="majorEastAsia" w:eastAsiaTheme="majorEastAsia" w:cstheme="majorEastAsia"/>
              <w:sz w:val="30"/>
              <w:szCs w:val="30"/>
              <w:highlight w:val="none"/>
            </w:rPr>
            <w:fldChar w:fldCharType="separate"/>
          </w:r>
          <w:r>
            <w:rPr>
              <w:rFonts w:asciiTheme="majorEastAsia" w:hAnsiTheme="majorEastAsia" w:eastAsiaTheme="majorEastAsia" w:cstheme="majorEastAsia"/>
              <w:sz w:val="30"/>
              <w:szCs w:val="30"/>
              <w:highlight w:val="none"/>
            </w:rPr>
            <w:t>65</w:t>
          </w:r>
          <w:r>
            <w:rPr>
              <w:rFonts w:hint="eastAsia" w:asciiTheme="majorEastAsia" w:hAnsiTheme="majorEastAsia" w:eastAsiaTheme="majorEastAsia" w:cstheme="majorEastAsia"/>
              <w:sz w:val="30"/>
              <w:szCs w:val="30"/>
              <w:highlight w:val="none"/>
            </w:rPr>
            <w:fldChar w:fldCharType="end"/>
          </w:r>
          <w:r>
            <w:rPr>
              <w:rFonts w:hint="eastAsia" w:asciiTheme="majorEastAsia" w:hAnsiTheme="majorEastAsia" w:eastAsiaTheme="majorEastAsia" w:cstheme="majorEastAsia"/>
              <w:sz w:val="30"/>
              <w:szCs w:val="30"/>
              <w:highlight w:val="none"/>
            </w:rPr>
            <w:fldChar w:fldCharType="end"/>
          </w:r>
        </w:p>
        <w:p w14:paraId="5E6161FD">
          <w:pPr>
            <w:pStyle w:val="45"/>
            <w:tabs>
              <w:tab w:val="right" w:leader="dot" w:pos="9460"/>
            </w:tabs>
            <w:spacing w:line="480" w:lineRule="auto"/>
            <w:rPr>
              <w:rFonts w:asciiTheme="majorEastAsia" w:hAnsiTheme="majorEastAsia" w:eastAsiaTheme="majorEastAsia" w:cstheme="majorEastAsia"/>
              <w:sz w:val="30"/>
              <w:szCs w:val="30"/>
              <w:highlight w:val="none"/>
            </w:rPr>
          </w:pPr>
          <w:r>
            <w:rPr>
              <w:highlight w:val="none"/>
            </w:rPr>
            <w:fldChar w:fldCharType="begin"/>
          </w:r>
          <w:r>
            <w:rPr>
              <w:highlight w:val="none"/>
            </w:rPr>
            <w:instrText xml:space="preserve"> HYPERLINK \l "_Toc17206" </w:instrText>
          </w:r>
          <w:r>
            <w:rPr>
              <w:highlight w:val="none"/>
            </w:rPr>
            <w:fldChar w:fldCharType="separate"/>
          </w:r>
          <w:r>
            <w:rPr>
              <w:rFonts w:hint="eastAsia" w:asciiTheme="majorEastAsia" w:hAnsiTheme="majorEastAsia" w:eastAsiaTheme="majorEastAsia" w:cstheme="majorEastAsia"/>
              <w:sz w:val="30"/>
              <w:szCs w:val="30"/>
              <w:highlight w:val="none"/>
            </w:rPr>
            <w:t>第七章图纸</w:t>
          </w:r>
          <w:r>
            <w:rPr>
              <w:rFonts w:hint="eastAsia" w:asciiTheme="majorEastAsia" w:hAnsiTheme="majorEastAsia" w:eastAsiaTheme="majorEastAsia" w:cstheme="majorEastAsia"/>
              <w:sz w:val="30"/>
              <w:szCs w:val="30"/>
              <w:highlight w:val="none"/>
            </w:rPr>
            <w:tab/>
          </w:r>
          <w:r>
            <w:rPr>
              <w:rFonts w:hint="eastAsia" w:asciiTheme="majorEastAsia" w:hAnsiTheme="majorEastAsia" w:eastAsiaTheme="majorEastAsia" w:cstheme="majorEastAsia"/>
              <w:sz w:val="30"/>
              <w:szCs w:val="30"/>
              <w:highlight w:val="none"/>
            </w:rPr>
            <w:fldChar w:fldCharType="begin"/>
          </w:r>
          <w:r>
            <w:rPr>
              <w:rFonts w:hint="eastAsia" w:asciiTheme="majorEastAsia" w:hAnsiTheme="majorEastAsia" w:eastAsiaTheme="majorEastAsia" w:cstheme="majorEastAsia"/>
              <w:sz w:val="30"/>
              <w:szCs w:val="30"/>
              <w:highlight w:val="none"/>
            </w:rPr>
            <w:instrText xml:space="preserve"> PAGEREF _Toc17206 \h </w:instrText>
          </w:r>
          <w:r>
            <w:rPr>
              <w:rFonts w:hint="eastAsia" w:asciiTheme="majorEastAsia" w:hAnsiTheme="majorEastAsia" w:eastAsiaTheme="majorEastAsia" w:cstheme="majorEastAsia"/>
              <w:sz w:val="30"/>
              <w:szCs w:val="30"/>
              <w:highlight w:val="none"/>
            </w:rPr>
            <w:fldChar w:fldCharType="separate"/>
          </w:r>
          <w:r>
            <w:rPr>
              <w:rFonts w:asciiTheme="majorEastAsia" w:hAnsiTheme="majorEastAsia" w:eastAsiaTheme="majorEastAsia" w:cstheme="majorEastAsia"/>
              <w:sz w:val="30"/>
              <w:szCs w:val="30"/>
              <w:highlight w:val="none"/>
            </w:rPr>
            <w:t>69</w:t>
          </w:r>
          <w:r>
            <w:rPr>
              <w:rFonts w:hint="eastAsia" w:asciiTheme="majorEastAsia" w:hAnsiTheme="majorEastAsia" w:eastAsiaTheme="majorEastAsia" w:cstheme="majorEastAsia"/>
              <w:sz w:val="30"/>
              <w:szCs w:val="30"/>
              <w:highlight w:val="none"/>
            </w:rPr>
            <w:fldChar w:fldCharType="end"/>
          </w:r>
          <w:r>
            <w:rPr>
              <w:rFonts w:hint="eastAsia" w:asciiTheme="majorEastAsia" w:hAnsiTheme="majorEastAsia" w:eastAsiaTheme="majorEastAsia" w:cstheme="majorEastAsia"/>
              <w:sz w:val="30"/>
              <w:szCs w:val="30"/>
              <w:highlight w:val="none"/>
            </w:rPr>
            <w:fldChar w:fldCharType="end"/>
          </w:r>
        </w:p>
        <w:p w14:paraId="52854416">
          <w:pPr>
            <w:pStyle w:val="45"/>
            <w:tabs>
              <w:tab w:val="right" w:leader="dot" w:pos="9460"/>
            </w:tabs>
            <w:spacing w:line="480" w:lineRule="auto"/>
            <w:rPr>
              <w:highlight w:val="none"/>
            </w:rPr>
          </w:pPr>
          <w:r>
            <w:rPr>
              <w:highlight w:val="none"/>
            </w:rPr>
            <w:fldChar w:fldCharType="begin"/>
          </w:r>
          <w:r>
            <w:rPr>
              <w:highlight w:val="none"/>
            </w:rPr>
            <w:instrText xml:space="preserve"> HYPERLINK \l "_Toc32116" </w:instrText>
          </w:r>
          <w:r>
            <w:rPr>
              <w:highlight w:val="none"/>
            </w:rPr>
            <w:fldChar w:fldCharType="separate"/>
          </w:r>
          <w:r>
            <w:rPr>
              <w:rFonts w:hint="eastAsia" w:asciiTheme="majorEastAsia" w:hAnsiTheme="majorEastAsia" w:eastAsiaTheme="majorEastAsia" w:cstheme="majorEastAsia"/>
              <w:sz w:val="30"/>
              <w:szCs w:val="30"/>
              <w:highlight w:val="none"/>
            </w:rPr>
            <w:t>第八章响应文件（格式）</w:t>
          </w:r>
          <w:r>
            <w:rPr>
              <w:rFonts w:hint="eastAsia" w:asciiTheme="majorEastAsia" w:hAnsiTheme="majorEastAsia" w:eastAsiaTheme="majorEastAsia" w:cstheme="majorEastAsia"/>
              <w:sz w:val="30"/>
              <w:szCs w:val="30"/>
              <w:highlight w:val="none"/>
            </w:rPr>
            <w:tab/>
          </w:r>
          <w:r>
            <w:rPr>
              <w:rFonts w:hint="eastAsia" w:asciiTheme="majorEastAsia" w:hAnsiTheme="majorEastAsia" w:eastAsiaTheme="majorEastAsia" w:cstheme="majorEastAsia"/>
              <w:sz w:val="30"/>
              <w:szCs w:val="30"/>
              <w:highlight w:val="none"/>
            </w:rPr>
            <w:fldChar w:fldCharType="begin"/>
          </w:r>
          <w:r>
            <w:rPr>
              <w:rFonts w:hint="eastAsia" w:asciiTheme="majorEastAsia" w:hAnsiTheme="majorEastAsia" w:eastAsiaTheme="majorEastAsia" w:cstheme="majorEastAsia"/>
              <w:sz w:val="30"/>
              <w:szCs w:val="30"/>
              <w:highlight w:val="none"/>
            </w:rPr>
            <w:instrText xml:space="preserve"> PAGEREF _Toc32116 \h </w:instrText>
          </w:r>
          <w:r>
            <w:rPr>
              <w:rFonts w:hint="eastAsia" w:asciiTheme="majorEastAsia" w:hAnsiTheme="majorEastAsia" w:eastAsiaTheme="majorEastAsia" w:cstheme="majorEastAsia"/>
              <w:sz w:val="30"/>
              <w:szCs w:val="30"/>
              <w:highlight w:val="none"/>
            </w:rPr>
            <w:fldChar w:fldCharType="separate"/>
          </w:r>
          <w:r>
            <w:rPr>
              <w:rFonts w:asciiTheme="majorEastAsia" w:hAnsiTheme="majorEastAsia" w:eastAsiaTheme="majorEastAsia" w:cstheme="majorEastAsia"/>
              <w:sz w:val="30"/>
              <w:szCs w:val="30"/>
              <w:highlight w:val="none"/>
            </w:rPr>
            <w:t>70</w:t>
          </w:r>
          <w:r>
            <w:rPr>
              <w:rFonts w:hint="eastAsia" w:asciiTheme="majorEastAsia" w:hAnsiTheme="majorEastAsia" w:eastAsiaTheme="majorEastAsia" w:cstheme="majorEastAsia"/>
              <w:sz w:val="30"/>
              <w:szCs w:val="30"/>
              <w:highlight w:val="none"/>
            </w:rPr>
            <w:fldChar w:fldCharType="end"/>
          </w:r>
          <w:r>
            <w:rPr>
              <w:rFonts w:hint="eastAsia" w:asciiTheme="majorEastAsia" w:hAnsiTheme="majorEastAsia" w:eastAsiaTheme="majorEastAsia" w:cstheme="majorEastAsia"/>
              <w:sz w:val="30"/>
              <w:szCs w:val="30"/>
              <w:highlight w:val="none"/>
            </w:rPr>
            <w:fldChar w:fldCharType="end"/>
          </w:r>
        </w:p>
        <w:p w14:paraId="54E0927D">
          <w:pPr>
            <w:ind w:firstLine="422"/>
          </w:pPr>
          <w:r>
            <w:rPr>
              <w:highlight w:val="none"/>
            </w:rPr>
            <w:fldChar w:fldCharType="end"/>
          </w:r>
        </w:p>
      </w:sdtContent>
    </w:sdt>
    <w:p w14:paraId="65644CB6">
      <w:pPr>
        <w:pStyle w:val="21"/>
        <w:ind w:firstLine="0" w:firstLineChars="0"/>
      </w:pPr>
    </w:p>
    <w:p w14:paraId="7DB91F87">
      <w:pPr>
        <w:ind w:firstLine="422"/>
      </w:pPr>
    </w:p>
    <w:p w14:paraId="679280B4">
      <w:pPr>
        <w:pStyle w:val="12"/>
      </w:pPr>
    </w:p>
    <w:p w14:paraId="00CA9971">
      <w:pPr>
        <w:ind w:firstLine="422"/>
      </w:pPr>
    </w:p>
    <w:p w14:paraId="15530DE3">
      <w:pPr>
        <w:pStyle w:val="12"/>
      </w:pPr>
    </w:p>
    <w:p w14:paraId="5E712129">
      <w:pPr>
        <w:ind w:firstLine="422"/>
      </w:pPr>
    </w:p>
    <w:p w14:paraId="2AFF9B37">
      <w:pPr>
        <w:pStyle w:val="12"/>
      </w:pPr>
    </w:p>
    <w:p w14:paraId="47D046DB">
      <w:pPr>
        <w:ind w:firstLine="422"/>
      </w:pPr>
    </w:p>
    <w:p w14:paraId="2ED57869">
      <w:pPr>
        <w:pStyle w:val="12"/>
      </w:pPr>
    </w:p>
    <w:p w14:paraId="69791245">
      <w:pPr>
        <w:ind w:firstLine="422"/>
      </w:pPr>
    </w:p>
    <w:p w14:paraId="43547798">
      <w:pPr>
        <w:pStyle w:val="12"/>
      </w:pPr>
    </w:p>
    <w:p w14:paraId="4E7FA616">
      <w:pPr>
        <w:ind w:firstLine="422"/>
      </w:pPr>
    </w:p>
    <w:p w14:paraId="44E167F0">
      <w:pPr>
        <w:pStyle w:val="12"/>
      </w:pPr>
    </w:p>
    <w:p w14:paraId="02CEF293">
      <w:pPr>
        <w:ind w:firstLine="422"/>
      </w:pPr>
    </w:p>
    <w:p w14:paraId="50DD4AC8">
      <w:pPr>
        <w:pStyle w:val="12"/>
      </w:pPr>
    </w:p>
    <w:p w14:paraId="4CCD5884">
      <w:pPr>
        <w:ind w:firstLine="422"/>
      </w:pPr>
    </w:p>
    <w:p w14:paraId="3288AABF">
      <w:pPr>
        <w:pStyle w:val="12"/>
      </w:pPr>
    </w:p>
    <w:p w14:paraId="3CFA48A5">
      <w:pPr>
        <w:ind w:firstLine="422"/>
      </w:pPr>
    </w:p>
    <w:p w14:paraId="6B1F2024">
      <w:pPr>
        <w:pStyle w:val="12"/>
      </w:pPr>
    </w:p>
    <w:p w14:paraId="070196A6">
      <w:pPr>
        <w:ind w:firstLine="422"/>
      </w:pPr>
    </w:p>
    <w:p w14:paraId="31CFC68F">
      <w:pPr>
        <w:pStyle w:val="12"/>
      </w:pPr>
    </w:p>
    <w:p w14:paraId="49D46804">
      <w:pPr>
        <w:pStyle w:val="2"/>
        <w:spacing w:before="27"/>
        <w:ind w:right="322" w:firstLine="643"/>
        <w:jc w:val="center"/>
      </w:pPr>
      <w:r>
        <w:t>第一章竞争性磋商公告</w:t>
      </w:r>
    </w:p>
    <w:p w14:paraId="2159CF94">
      <w:pPr>
        <w:rPr>
          <w:rFonts w:hint="eastAsia"/>
          <w:lang w:val="en-US" w:eastAsia="zh-CN"/>
        </w:rPr>
      </w:pPr>
      <w:r>
        <mc:AlternateContent>
          <mc:Choice Requires="wps">
            <w:drawing>
              <wp:anchor distT="0" distB="0" distL="114300" distR="114300" simplePos="0" relativeHeight="251674624" behindDoc="1" locked="0" layoutInCell="1" allowOverlap="1">
                <wp:simplePos x="0" y="0"/>
                <wp:positionH relativeFrom="page">
                  <wp:posOffset>774065</wp:posOffset>
                </wp:positionH>
                <wp:positionV relativeFrom="paragraph">
                  <wp:posOffset>78740</wp:posOffset>
                </wp:positionV>
                <wp:extent cx="6011545" cy="1130935"/>
                <wp:effectExtent l="4445" t="4445" r="22860" b="7620"/>
                <wp:wrapTopAndBottom/>
                <wp:docPr id="7" name="Textbox 7"/>
                <wp:cNvGraphicFramePr/>
                <a:graphic xmlns:a="http://schemas.openxmlformats.org/drawingml/2006/main">
                  <a:graphicData uri="http://schemas.microsoft.com/office/word/2010/wordprocessingShape">
                    <wps:wsp>
                      <wps:cNvSpPr txBox="1"/>
                      <wps:spPr>
                        <a:xfrm>
                          <a:off x="0" y="0"/>
                          <a:ext cx="6011545" cy="1130935"/>
                        </a:xfrm>
                        <a:prstGeom prst="rect">
                          <a:avLst/>
                        </a:prstGeom>
                        <a:noFill/>
                        <a:ln w="6096">
                          <a:solidFill>
                            <a:srgbClr val="000000"/>
                          </a:solidFill>
                          <a:prstDash val="solid"/>
                        </a:ln>
                        <a:effectLst/>
                      </wps:spPr>
                      <wps:txbx>
                        <w:txbxContent>
                          <w:p w14:paraId="323D7A83">
                            <w:pPr>
                              <w:spacing w:line="360" w:lineRule="auto"/>
                              <w:rPr>
                                <w:sz w:val="21"/>
                                <w:szCs w:val="21"/>
                              </w:rPr>
                            </w:pPr>
                            <w:r>
                              <w:rPr>
                                <w:sz w:val="21"/>
                                <w:szCs w:val="21"/>
                              </w:rPr>
                              <w:t>项目概况</w:t>
                            </w:r>
                          </w:p>
                          <w:p w14:paraId="43A133CB">
                            <w:pPr>
                              <w:spacing w:line="360" w:lineRule="auto"/>
                              <w:ind w:firstLine="420" w:firstLineChars="200"/>
                              <w:rPr>
                                <w:sz w:val="21"/>
                                <w:szCs w:val="21"/>
                              </w:rPr>
                            </w:pPr>
                            <w:r>
                              <w:rPr>
                                <w:rFonts w:hint="eastAsia"/>
                                <w:sz w:val="21"/>
                                <w:szCs w:val="21"/>
                                <w:lang w:eastAsia="zh-CN"/>
                              </w:rPr>
                              <w:t>广西壮族自治区临桂公路养护中心G322临桂艳滩村至罗江村K1662+000～K1663</w:t>
                            </w:r>
                            <w:r>
                              <w:rPr>
                                <w:rFonts w:hint="eastAsia"/>
                                <w:sz w:val="21"/>
                                <w:szCs w:val="21"/>
                                <w:lang w:val="en-US" w:eastAsia="zh-CN"/>
                              </w:rPr>
                              <w:t>+000</w:t>
                            </w:r>
                            <w:r>
                              <w:rPr>
                                <w:rFonts w:hint="eastAsia"/>
                                <w:sz w:val="21"/>
                                <w:szCs w:val="21"/>
                                <w:lang w:eastAsia="zh-CN"/>
                              </w:rPr>
                              <w:t>段路面修复养护工程</w:t>
                            </w:r>
                            <w:r>
                              <w:rPr>
                                <w:sz w:val="21"/>
                                <w:szCs w:val="21"/>
                              </w:rPr>
                              <w:t>的潜在供应商应在广西政府采购云平台线上获取采购文件，并于</w:t>
                            </w:r>
                            <w:r>
                              <w:rPr>
                                <w:rFonts w:hint="eastAsia"/>
                                <w:sz w:val="21"/>
                                <w:szCs w:val="21"/>
                                <w:highlight w:val="none"/>
                                <w:u w:val="single"/>
                              </w:rPr>
                              <w:t>2025年</w:t>
                            </w:r>
                            <w:r>
                              <w:rPr>
                                <w:rFonts w:hint="eastAsia"/>
                                <w:sz w:val="21"/>
                                <w:szCs w:val="21"/>
                                <w:highlight w:val="none"/>
                                <w:u w:val="single"/>
                                <w:lang w:val="en-US" w:eastAsia="zh-CN"/>
                              </w:rPr>
                              <w:t>4</w:t>
                            </w:r>
                            <w:r>
                              <w:rPr>
                                <w:rFonts w:hint="eastAsia"/>
                                <w:sz w:val="21"/>
                                <w:szCs w:val="21"/>
                                <w:highlight w:val="none"/>
                                <w:u w:val="single"/>
                              </w:rPr>
                              <w:t>月</w:t>
                            </w:r>
                            <w:r>
                              <w:rPr>
                                <w:rFonts w:hint="eastAsia"/>
                                <w:sz w:val="21"/>
                                <w:szCs w:val="21"/>
                                <w:highlight w:val="none"/>
                                <w:u w:val="single"/>
                                <w:lang w:val="en-US" w:eastAsia="zh-CN"/>
                              </w:rPr>
                              <w:t>21</w:t>
                            </w:r>
                            <w:r>
                              <w:rPr>
                                <w:rFonts w:hint="eastAsia"/>
                                <w:sz w:val="21"/>
                                <w:szCs w:val="21"/>
                                <w:highlight w:val="none"/>
                                <w:u w:val="single"/>
                              </w:rPr>
                              <w:t>日</w:t>
                            </w:r>
                            <w:r>
                              <w:rPr>
                                <w:sz w:val="21"/>
                                <w:szCs w:val="21"/>
                                <w:u w:val="single"/>
                              </w:rPr>
                              <w:t>上午9时30分（</w:t>
                            </w:r>
                            <w:r>
                              <w:rPr>
                                <w:sz w:val="21"/>
                                <w:szCs w:val="21"/>
                              </w:rPr>
                              <w:t>北京时间）前提交响应文件。</w:t>
                            </w:r>
                          </w:p>
                        </w:txbxContent>
                      </wps:txbx>
                      <wps:bodyPr wrap="square" lIns="0" tIns="0" rIns="0" bIns="0" rtlCol="0">
                        <a:noAutofit/>
                      </wps:bodyPr>
                    </wps:wsp>
                  </a:graphicData>
                </a:graphic>
              </wp:anchor>
            </w:drawing>
          </mc:Choice>
          <mc:Fallback>
            <w:pict>
              <v:shape id="Textbox 7" o:spid="_x0000_s1026" o:spt="202" type="#_x0000_t202" style="position:absolute;left:0pt;margin-left:60.95pt;margin-top:6.2pt;height:89.05pt;width:473.35pt;mso-position-horizontal-relative:page;mso-wrap-distance-bottom:0pt;mso-wrap-distance-top:0pt;z-index:-251641856;mso-width-relative:page;mso-height-relative:page;" filled="f" stroked="t" coordsize="21600,21600" o:gfxdata="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EbMQu&#10;1gAAAAsBAAAPAAAAAAAAAAEAIAAAACIAAABkcnMvZG93bnJldi54bWxQSwECFAAUAAAACACHTuJA&#10;pulGtuoBAADxAwAADgAAAAAAAAABACAAAAAlAQAAZHJzL2Uyb0RvYy54bWxQSwUGAAAAAAYABgBZ&#10;AQAAgQUAAAAA&#10;">
                <v:fill on="f" focussize="0,0"/>
                <v:stroke weight="0.48pt" color="#000000" joinstyle="round"/>
                <v:imagedata o:title=""/>
                <o:lock v:ext="edit" aspectratio="f"/>
                <v:textbox inset="0mm,0mm,0mm,0mm">
                  <w:txbxContent>
                    <w:p w14:paraId="323D7A83">
                      <w:pPr>
                        <w:spacing w:line="360" w:lineRule="auto"/>
                        <w:rPr>
                          <w:sz w:val="21"/>
                          <w:szCs w:val="21"/>
                        </w:rPr>
                      </w:pPr>
                      <w:r>
                        <w:rPr>
                          <w:sz w:val="21"/>
                          <w:szCs w:val="21"/>
                        </w:rPr>
                        <w:t>项目概况</w:t>
                      </w:r>
                    </w:p>
                    <w:p w14:paraId="43A133CB">
                      <w:pPr>
                        <w:spacing w:line="360" w:lineRule="auto"/>
                        <w:ind w:firstLine="420" w:firstLineChars="200"/>
                        <w:rPr>
                          <w:sz w:val="21"/>
                          <w:szCs w:val="21"/>
                        </w:rPr>
                      </w:pPr>
                      <w:r>
                        <w:rPr>
                          <w:rFonts w:hint="eastAsia"/>
                          <w:sz w:val="21"/>
                          <w:szCs w:val="21"/>
                          <w:lang w:eastAsia="zh-CN"/>
                        </w:rPr>
                        <w:t>广西壮族自治区临桂公路养护中心G322临桂艳滩村至罗江村K1662+000～K1663</w:t>
                      </w:r>
                      <w:r>
                        <w:rPr>
                          <w:rFonts w:hint="eastAsia"/>
                          <w:sz w:val="21"/>
                          <w:szCs w:val="21"/>
                          <w:lang w:val="en-US" w:eastAsia="zh-CN"/>
                        </w:rPr>
                        <w:t>+000</w:t>
                      </w:r>
                      <w:r>
                        <w:rPr>
                          <w:rFonts w:hint="eastAsia"/>
                          <w:sz w:val="21"/>
                          <w:szCs w:val="21"/>
                          <w:lang w:eastAsia="zh-CN"/>
                        </w:rPr>
                        <w:t>段路面修复养护工程</w:t>
                      </w:r>
                      <w:r>
                        <w:rPr>
                          <w:sz w:val="21"/>
                          <w:szCs w:val="21"/>
                        </w:rPr>
                        <w:t>的潜在供应商应在广西政府采购云平台线上获取采购文件，并于</w:t>
                      </w:r>
                      <w:r>
                        <w:rPr>
                          <w:rFonts w:hint="eastAsia"/>
                          <w:sz w:val="21"/>
                          <w:szCs w:val="21"/>
                          <w:highlight w:val="none"/>
                          <w:u w:val="single"/>
                        </w:rPr>
                        <w:t>2025年</w:t>
                      </w:r>
                      <w:r>
                        <w:rPr>
                          <w:rFonts w:hint="eastAsia"/>
                          <w:sz w:val="21"/>
                          <w:szCs w:val="21"/>
                          <w:highlight w:val="none"/>
                          <w:u w:val="single"/>
                          <w:lang w:val="en-US" w:eastAsia="zh-CN"/>
                        </w:rPr>
                        <w:t>4</w:t>
                      </w:r>
                      <w:r>
                        <w:rPr>
                          <w:rFonts w:hint="eastAsia"/>
                          <w:sz w:val="21"/>
                          <w:szCs w:val="21"/>
                          <w:highlight w:val="none"/>
                          <w:u w:val="single"/>
                        </w:rPr>
                        <w:t>月</w:t>
                      </w:r>
                      <w:r>
                        <w:rPr>
                          <w:rFonts w:hint="eastAsia"/>
                          <w:sz w:val="21"/>
                          <w:szCs w:val="21"/>
                          <w:highlight w:val="none"/>
                          <w:u w:val="single"/>
                          <w:lang w:val="en-US" w:eastAsia="zh-CN"/>
                        </w:rPr>
                        <w:t>21</w:t>
                      </w:r>
                      <w:r>
                        <w:rPr>
                          <w:rFonts w:hint="eastAsia"/>
                          <w:sz w:val="21"/>
                          <w:szCs w:val="21"/>
                          <w:highlight w:val="none"/>
                          <w:u w:val="single"/>
                        </w:rPr>
                        <w:t>日</w:t>
                      </w:r>
                      <w:r>
                        <w:rPr>
                          <w:sz w:val="21"/>
                          <w:szCs w:val="21"/>
                          <w:u w:val="single"/>
                        </w:rPr>
                        <w:t>上午9时30分（</w:t>
                      </w:r>
                      <w:r>
                        <w:rPr>
                          <w:sz w:val="21"/>
                          <w:szCs w:val="21"/>
                        </w:rPr>
                        <w:t>北京时间）前提交响应文件。</w:t>
                      </w:r>
                    </w:p>
                  </w:txbxContent>
                </v:textbox>
                <w10:wrap type="topAndBottom"/>
              </v:shape>
            </w:pict>
          </mc:Fallback>
        </mc:AlternateContent>
      </w:r>
      <w:bookmarkStart w:id="3" w:name="一、项目基本情况"/>
      <w:bookmarkEnd w:id="3"/>
      <w:r>
        <w:rPr>
          <w:rFonts w:hint="eastAsia"/>
          <w:lang w:val="en-US" w:eastAsia="zh-CN"/>
        </w:rPr>
        <w:t xml:space="preserve">   </w:t>
      </w:r>
    </w:p>
    <w:p w14:paraId="0464D577">
      <w:pPr>
        <w:ind w:firstLine="422" w:firstLineChars="200"/>
        <w:rPr>
          <w:b/>
          <w:bCs/>
          <w:sz w:val="21"/>
          <w:szCs w:val="21"/>
        </w:rPr>
      </w:pPr>
      <w:r>
        <w:rPr>
          <w:rFonts w:hint="eastAsia"/>
          <w:b/>
          <w:bCs/>
          <w:sz w:val="21"/>
          <w:szCs w:val="21"/>
        </w:rPr>
        <w:t>一、项目基本情况</w:t>
      </w:r>
    </w:p>
    <w:p w14:paraId="4691EBD8">
      <w:pPr>
        <w:spacing w:line="360" w:lineRule="auto"/>
        <w:ind w:firstLine="420" w:firstLineChars="200"/>
        <w:rPr>
          <w:sz w:val="21"/>
          <w:szCs w:val="21"/>
        </w:rPr>
      </w:pPr>
      <w:r>
        <w:rPr>
          <w:rFonts w:hint="eastAsia"/>
          <w:sz w:val="21"/>
          <w:szCs w:val="21"/>
        </w:rPr>
        <w:t>1、项目编号：GXZC2025-C2-000654-JGJD</w:t>
      </w:r>
    </w:p>
    <w:p w14:paraId="52E8219B">
      <w:pPr>
        <w:spacing w:line="360" w:lineRule="auto"/>
        <w:ind w:firstLine="420" w:firstLineChars="200"/>
        <w:rPr>
          <w:sz w:val="21"/>
          <w:szCs w:val="21"/>
        </w:rPr>
      </w:pPr>
      <w:r>
        <w:rPr>
          <w:rFonts w:hint="eastAsia"/>
          <w:sz w:val="21"/>
          <w:szCs w:val="21"/>
        </w:rPr>
        <w:t>2、项目名称：</w:t>
      </w:r>
      <w:r>
        <w:rPr>
          <w:rFonts w:hint="eastAsia"/>
          <w:sz w:val="21"/>
          <w:szCs w:val="21"/>
          <w:lang w:eastAsia="zh-CN"/>
        </w:rPr>
        <w:t>广西壮族自治区临桂公路养护中心G322临桂艳滩村至罗江村K1662+000～K1663+000段路面修复养护工程</w:t>
      </w:r>
    </w:p>
    <w:p w14:paraId="0FC09129">
      <w:pPr>
        <w:spacing w:line="360" w:lineRule="auto"/>
        <w:ind w:firstLine="420" w:firstLineChars="200"/>
        <w:rPr>
          <w:sz w:val="21"/>
          <w:szCs w:val="21"/>
        </w:rPr>
      </w:pPr>
      <w:r>
        <w:rPr>
          <w:rFonts w:hint="eastAsia"/>
          <w:sz w:val="21"/>
          <w:szCs w:val="21"/>
        </w:rPr>
        <w:t>3、采购方式：竞争性磋商</w:t>
      </w:r>
    </w:p>
    <w:p w14:paraId="220003FC">
      <w:pPr>
        <w:spacing w:line="360" w:lineRule="auto"/>
        <w:ind w:firstLine="420" w:firstLineChars="200"/>
        <w:rPr>
          <w:color w:val="FF0000"/>
          <w:sz w:val="21"/>
          <w:szCs w:val="21"/>
          <w:highlight w:val="yellow"/>
        </w:rPr>
      </w:pPr>
      <w:r>
        <w:rPr>
          <w:rFonts w:hint="eastAsia"/>
          <w:sz w:val="21"/>
          <w:szCs w:val="21"/>
        </w:rPr>
        <w:t>4、预算金额：</w:t>
      </w:r>
      <w:r>
        <w:rPr>
          <w:rFonts w:hint="eastAsia"/>
          <w:color w:val="auto"/>
          <w:sz w:val="21"/>
          <w:szCs w:val="21"/>
          <w:highlight w:val="none"/>
          <w:lang w:val="en-US" w:eastAsia="zh-CN"/>
        </w:rPr>
        <w:t>166万</w:t>
      </w:r>
      <w:r>
        <w:rPr>
          <w:rFonts w:hint="eastAsia"/>
          <w:color w:val="auto"/>
          <w:sz w:val="21"/>
          <w:szCs w:val="21"/>
          <w:highlight w:val="none"/>
        </w:rPr>
        <w:t>元。</w:t>
      </w:r>
    </w:p>
    <w:p w14:paraId="5B46BCB4">
      <w:pPr>
        <w:spacing w:line="360" w:lineRule="auto"/>
        <w:ind w:firstLine="420" w:firstLineChars="200"/>
        <w:rPr>
          <w:color w:val="auto"/>
          <w:sz w:val="21"/>
          <w:szCs w:val="21"/>
          <w:highlight w:val="none"/>
        </w:rPr>
      </w:pPr>
      <w:r>
        <w:rPr>
          <w:rFonts w:hint="eastAsia"/>
          <w:color w:val="auto"/>
          <w:sz w:val="21"/>
          <w:szCs w:val="21"/>
          <w:highlight w:val="none"/>
        </w:rPr>
        <w:t>5、最高限价：</w:t>
      </w:r>
      <w:r>
        <w:rPr>
          <w:rFonts w:hint="eastAsia"/>
          <w:color w:val="auto"/>
          <w:sz w:val="21"/>
          <w:szCs w:val="21"/>
          <w:highlight w:val="none"/>
          <w:lang w:val="en-US" w:eastAsia="zh-CN"/>
        </w:rPr>
        <w:t>154.2838万</w:t>
      </w:r>
      <w:r>
        <w:rPr>
          <w:rFonts w:hint="eastAsia"/>
          <w:color w:val="auto"/>
          <w:sz w:val="21"/>
          <w:szCs w:val="21"/>
          <w:highlight w:val="none"/>
        </w:rPr>
        <w:t>元。</w:t>
      </w:r>
    </w:p>
    <w:p w14:paraId="1BEB0772">
      <w:pPr>
        <w:spacing w:line="360" w:lineRule="auto"/>
        <w:ind w:firstLine="420" w:firstLineChars="200"/>
        <w:rPr>
          <w:sz w:val="21"/>
          <w:szCs w:val="21"/>
        </w:rPr>
      </w:pPr>
      <w:r>
        <w:rPr>
          <w:rFonts w:hint="eastAsia"/>
          <w:sz w:val="21"/>
          <w:szCs w:val="21"/>
        </w:rPr>
        <w:t>6、采购需求：1、路面结构：</w:t>
      </w:r>
      <w:r>
        <w:rPr>
          <w:rFonts w:hint="eastAsia"/>
          <w:sz w:val="21"/>
          <w:szCs w:val="21"/>
          <w:lang w:eastAsia="zh-CN"/>
        </w:rPr>
        <w:t>5</w:t>
      </w:r>
      <w:r>
        <w:rPr>
          <w:rFonts w:hint="eastAsia"/>
          <w:sz w:val="21"/>
          <w:szCs w:val="21"/>
        </w:rPr>
        <w:t>cm厚ARAC-16橡胶沥青混凝土面层+1.5cm厚两油两料石油沥青同步碎石封层(骨料除尘加热)+</w:t>
      </w:r>
      <w:r>
        <w:rPr>
          <w:rFonts w:hint="eastAsia"/>
          <w:sz w:val="21"/>
          <w:szCs w:val="21"/>
          <w:lang w:val="en-US" w:eastAsia="zh-CN"/>
        </w:rPr>
        <w:t>20</w:t>
      </w:r>
      <w:r>
        <w:rPr>
          <w:rFonts w:hint="eastAsia"/>
          <w:sz w:val="21"/>
          <w:szCs w:val="21"/>
        </w:rPr>
        <w:t>cm大粒径级配碎石基层</w:t>
      </w:r>
      <w:r>
        <w:rPr>
          <w:rFonts w:hint="eastAsia"/>
          <w:sz w:val="21"/>
          <w:szCs w:val="21"/>
          <w:lang w:val="en-US" w:eastAsia="zh-CN"/>
        </w:rPr>
        <w:t>+</w:t>
      </w:r>
      <w:r>
        <w:rPr>
          <w:rFonts w:hint="eastAsia"/>
          <w:sz w:val="21"/>
          <w:szCs w:val="21"/>
        </w:rPr>
        <w:t>经病害处理后的旧路面；2、相应</w:t>
      </w:r>
      <w:r>
        <w:rPr>
          <w:rFonts w:hint="eastAsia"/>
          <w:sz w:val="21"/>
          <w:szCs w:val="21"/>
          <w:lang w:eastAsia="zh-CN"/>
        </w:rPr>
        <w:t>加高</w:t>
      </w:r>
      <w:r>
        <w:rPr>
          <w:rFonts w:hint="eastAsia"/>
          <w:sz w:val="21"/>
          <w:szCs w:val="21"/>
        </w:rPr>
        <w:t>C2</w:t>
      </w:r>
      <w:r>
        <w:rPr>
          <w:rFonts w:hint="eastAsia"/>
          <w:sz w:val="21"/>
          <w:szCs w:val="21"/>
          <w:lang w:eastAsia="zh-CN"/>
        </w:rPr>
        <w:t>0</w:t>
      </w:r>
      <w:r>
        <w:rPr>
          <w:rFonts w:hint="eastAsia"/>
          <w:sz w:val="21"/>
          <w:szCs w:val="21"/>
        </w:rPr>
        <w:t>砼路</w:t>
      </w:r>
      <w:r>
        <w:rPr>
          <w:rFonts w:hint="eastAsia"/>
          <w:sz w:val="21"/>
          <w:szCs w:val="21"/>
          <w:lang w:eastAsia="zh-CN"/>
        </w:rPr>
        <w:t>肩墙，维修挡土墙</w:t>
      </w:r>
      <w:r>
        <w:rPr>
          <w:rFonts w:hint="eastAsia"/>
          <w:sz w:val="21"/>
          <w:szCs w:val="21"/>
        </w:rPr>
        <w:t>；重新设置路面标线、里程碑、百米桩、道口桩等设施；</w:t>
      </w:r>
      <w:r>
        <w:rPr>
          <w:rFonts w:hint="eastAsia"/>
          <w:sz w:val="21"/>
          <w:szCs w:val="21"/>
          <w:lang w:val="en-US" w:eastAsia="zh-CN"/>
        </w:rPr>
        <w:t>3</w:t>
      </w:r>
      <w:r>
        <w:rPr>
          <w:rFonts w:hint="eastAsia"/>
          <w:sz w:val="21"/>
          <w:szCs w:val="21"/>
        </w:rPr>
        <w:t>、平面交叉工程：接顺平交道口，详见工程量清单和图纸。</w:t>
      </w:r>
    </w:p>
    <w:p w14:paraId="2F60ED57">
      <w:pPr>
        <w:spacing w:line="360" w:lineRule="auto"/>
        <w:ind w:firstLine="420" w:firstLineChars="200"/>
        <w:rPr>
          <w:sz w:val="21"/>
          <w:szCs w:val="21"/>
          <w:highlight w:val="none"/>
        </w:rPr>
      </w:pPr>
      <w:r>
        <w:rPr>
          <w:rFonts w:hint="eastAsia"/>
          <w:sz w:val="21"/>
          <w:szCs w:val="21"/>
          <w:highlight w:val="none"/>
        </w:rPr>
        <w:t>7、合同履约期限：</w:t>
      </w:r>
      <w:r>
        <w:rPr>
          <w:rFonts w:hint="eastAsia"/>
          <w:sz w:val="21"/>
          <w:szCs w:val="21"/>
          <w:highlight w:val="none"/>
          <w:lang w:val="en-US" w:eastAsia="zh-CN"/>
        </w:rPr>
        <w:t>60</w:t>
      </w:r>
      <w:r>
        <w:rPr>
          <w:rFonts w:hint="eastAsia"/>
          <w:sz w:val="21"/>
          <w:szCs w:val="21"/>
          <w:highlight w:val="none"/>
        </w:rPr>
        <w:t>日历天。</w:t>
      </w:r>
    </w:p>
    <w:p w14:paraId="64048D12">
      <w:pPr>
        <w:spacing w:line="360" w:lineRule="auto"/>
        <w:ind w:firstLine="420" w:firstLineChars="200"/>
        <w:rPr>
          <w:sz w:val="21"/>
          <w:szCs w:val="21"/>
          <w:highlight w:val="none"/>
        </w:rPr>
      </w:pPr>
      <w:r>
        <w:rPr>
          <w:rFonts w:hint="eastAsia"/>
          <w:sz w:val="21"/>
          <w:szCs w:val="21"/>
          <w:highlight w:val="none"/>
        </w:rPr>
        <w:t>8、质量要求：工程交工验收的质量评定：合格；竣工验收的质量评定：优良。</w:t>
      </w:r>
    </w:p>
    <w:p w14:paraId="090558C3">
      <w:pPr>
        <w:spacing w:line="360" w:lineRule="auto"/>
        <w:ind w:firstLine="420" w:firstLineChars="200"/>
        <w:rPr>
          <w:color w:val="auto"/>
          <w:sz w:val="21"/>
          <w:szCs w:val="21"/>
          <w:highlight w:val="none"/>
        </w:rPr>
      </w:pPr>
      <w:r>
        <w:rPr>
          <w:rFonts w:hint="eastAsia"/>
          <w:color w:val="auto"/>
          <w:sz w:val="21"/>
          <w:szCs w:val="21"/>
          <w:highlight w:val="none"/>
        </w:rPr>
        <w:t>9、本项目不接受联合体参与磋商。</w:t>
      </w:r>
    </w:p>
    <w:p w14:paraId="13FC7006">
      <w:pPr>
        <w:spacing w:line="360" w:lineRule="auto"/>
        <w:ind w:firstLine="422" w:firstLineChars="200"/>
        <w:rPr>
          <w:sz w:val="21"/>
          <w:szCs w:val="21"/>
        </w:rPr>
      </w:pPr>
      <w:r>
        <w:rPr>
          <w:rFonts w:hint="eastAsia"/>
          <w:b/>
          <w:bCs/>
          <w:sz w:val="21"/>
          <w:szCs w:val="21"/>
        </w:rPr>
        <w:t>二、申请人的资格要求</w:t>
      </w:r>
    </w:p>
    <w:p w14:paraId="0BFBC8D9">
      <w:pPr>
        <w:spacing w:line="360" w:lineRule="auto"/>
        <w:ind w:firstLine="420" w:firstLineChars="200"/>
        <w:rPr>
          <w:sz w:val="21"/>
          <w:szCs w:val="21"/>
        </w:rPr>
      </w:pPr>
      <w:bookmarkStart w:id="4" w:name="OLE_LINK13"/>
      <w:bookmarkStart w:id="5" w:name="OLE_LINK14"/>
      <w:r>
        <w:rPr>
          <w:rFonts w:hint="eastAsia"/>
          <w:sz w:val="21"/>
          <w:szCs w:val="21"/>
        </w:rPr>
        <w:t>1、必须是在国家工商行政部门注册，具有有效的营业执照、有效的安全生产许可证，并在人员、设备、资金等方面具有相应的施工能力。</w:t>
      </w:r>
    </w:p>
    <w:p w14:paraId="044CFC12">
      <w:pPr>
        <w:spacing w:line="360" w:lineRule="auto"/>
        <w:ind w:firstLine="420" w:firstLineChars="200"/>
        <w:rPr>
          <w:sz w:val="21"/>
          <w:szCs w:val="21"/>
        </w:rPr>
      </w:pPr>
      <w:r>
        <w:rPr>
          <w:rFonts w:hint="eastAsia"/>
          <w:sz w:val="21"/>
          <w:szCs w:val="21"/>
        </w:rPr>
        <w:t>2、满足《中华人民共和国政府采购法》第二十二条规定。</w:t>
      </w:r>
    </w:p>
    <w:p w14:paraId="4AC91974">
      <w:pPr>
        <w:spacing w:line="360" w:lineRule="auto"/>
        <w:ind w:firstLine="420" w:firstLineChars="200"/>
        <w:rPr>
          <w:color w:val="auto"/>
          <w:sz w:val="21"/>
          <w:szCs w:val="21"/>
          <w:highlight w:val="none"/>
        </w:rPr>
      </w:pPr>
      <w:r>
        <w:rPr>
          <w:rFonts w:hint="eastAsia"/>
          <w:color w:val="auto"/>
          <w:sz w:val="21"/>
          <w:szCs w:val="21"/>
          <w:highlight w:val="none"/>
        </w:rPr>
        <w:t>3、落实政府采购政策需满足的资格要求：本项目专门面向中小企业采购。</w:t>
      </w:r>
    </w:p>
    <w:p w14:paraId="06E6AF75">
      <w:pPr>
        <w:spacing w:line="360" w:lineRule="auto"/>
        <w:ind w:firstLine="422" w:firstLineChars="200"/>
        <w:rPr>
          <w:b/>
          <w:bCs/>
          <w:sz w:val="21"/>
          <w:szCs w:val="21"/>
        </w:rPr>
      </w:pPr>
      <w:r>
        <w:rPr>
          <w:rFonts w:hint="eastAsia"/>
          <w:b/>
          <w:bCs/>
          <w:sz w:val="21"/>
          <w:szCs w:val="21"/>
        </w:rPr>
        <w:t>4、本项目的特定资格要求：供应商资质应同时具备以下条件:</w:t>
      </w:r>
    </w:p>
    <w:bookmarkEnd w:id="4"/>
    <w:bookmarkEnd w:id="5"/>
    <w:p w14:paraId="16C30566">
      <w:pPr>
        <w:spacing w:line="360" w:lineRule="auto"/>
        <w:ind w:firstLine="420" w:firstLineChars="200"/>
        <w:rPr>
          <w:b w:val="0"/>
          <w:bCs w:val="0"/>
          <w:sz w:val="21"/>
          <w:szCs w:val="21"/>
        </w:rPr>
      </w:pPr>
      <w:bookmarkStart w:id="6" w:name="OLE_LINK1"/>
      <w:bookmarkStart w:id="7" w:name="OLE_LINK7"/>
      <w:bookmarkStart w:id="8" w:name="OLE_LINK8"/>
      <w:bookmarkStart w:id="9" w:name="OLE_LINK50"/>
      <w:bookmarkStart w:id="10" w:name="OLE_LINK49"/>
      <w:bookmarkStart w:id="11" w:name="OLE_LINK2"/>
      <w:bookmarkStart w:id="12" w:name="OLE_LINK26"/>
      <w:bookmarkStart w:id="13" w:name="OLE_LINK12"/>
      <w:bookmarkStart w:id="14" w:name="OLE_LINK11"/>
      <w:r>
        <w:rPr>
          <w:rFonts w:hint="eastAsia"/>
          <w:b w:val="0"/>
          <w:bCs w:val="0"/>
          <w:sz w:val="21"/>
          <w:szCs w:val="21"/>
        </w:rPr>
        <w:t>具备有效的</w:t>
      </w:r>
      <w:bookmarkStart w:id="15" w:name="OLE_LINK36"/>
      <w:bookmarkStart w:id="16" w:name="OLE_LINK37"/>
      <w:r>
        <w:rPr>
          <w:rFonts w:hint="eastAsia"/>
          <w:b w:val="0"/>
          <w:bCs w:val="0"/>
          <w:sz w:val="21"/>
          <w:szCs w:val="21"/>
        </w:rPr>
        <w:t>路基路面养护乙级以上（含乙级）资质</w:t>
      </w:r>
      <w:bookmarkEnd w:id="15"/>
      <w:bookmarkEnd w:id="16"/>
      <w:r>
        <w:rPr>
          <w:rFonts w:hint="eastAsia"/>
          <w:b w:val="0"/>
          <w:bCs w:val="0"/>
          <w:sz w:val="21"/>
          <w:szCs w:val="21"/>
        </w:rPr>
        <w:t>，同时具备交通安全设施养护资质。如无交通安全设施养护资质，仅具备有效路基路面养护乙级以上（含乙级）资质的也同样可以进行投标，但必须将交通安全设施工程量分包给具备实施交通安全设施养护资质的企业。</w:t>
      </w:r>
    </w:p>
    <w:bookmarkEnd w:id="6"/>
    <w:bookmarkEnd w:id="7"/>
    <w:bookmarkEnd w:id="8"/>
    <w:bookmarkEnd w:id="9"/>
    <w:bookmarkEnd w:id="10"/>
    <w:bookmarkEnd w:id="11"/>
    <w:bookmarkEnd w:id="12"/>
    <w:p w14:paraId="6BC99938">
      <w:pPr>
        <w:spacing w:line="360" w:lineRule="auto"/>
        <w:ind w:firstLine="420" w:firstLineChars="200"/>
        <w:rPr>
          <w:b w:val="0"/>
          <w:bCs w:val="0"/>
          <w:sz w:val="21"/>
          <w:szCs w:val="21"/>
        </w:rPr>
      </w:pPr>
      <w:bookmarkStart w:id="17" w:name="OLE_LINK10"/>
      <w:bookmarkStart w:id="18" w:name="OLE_LINK9"/>
      <w:r>
        <w:rPr>
          <w:rFonts w:hint="eastAsia"/>
          <w:b w:val="0"/>
          <w:bCs w:val="0"/>
          <w:sz w:val="21"/>
          <w:szCs w:val="21"/>
        </w:rPr>
        <w:t>注：（1）公路养护作业单位资质按照《公路养护作业单位资质管理办法》（中华人民共和国交通运输部令2021年第22号）和《广西壮族自治区交通运输厅关于印发广西公路养护作业单位资质管理实施细则的通知》等文件要求，根据招标项目具体特点和实际情况确定。</w:t>
      </w:r>
    </w:p>
    <w:p w14:paraId="57522189">
      <w:pPr>
        <w:spacing w:line="360" w:lineRule="auto"/>
        <w:ind w:firstLine="420" w:firstLineChars="200"/>
        <w:rPr>
          <w:b w:val="0"/>
          <w:bCs w:val="0"/>
          <w:sz w:val="21"/>
          <w:szCs w:val="21"/>
        </w:rPr>
      </w:pPr>
      <w:r>
        <w:rPr>
          <w:rFonts w:hint="eastAsia"/>
          <w:b w:val="0"/>
          <w:bCs w:val="0"/>
          <w:sz w:val="21"/>
          <w:szCs w:val="21"/>
        </w:rPr>
        <w:t>（2）</w:t>
      </w:r>
      <w:r>
        <w:rPr>
          <w:rFonts w:hint="eastAsia"/>
          <w:b w:val="0"/>
          <w:bCs w:val="0"/>
          <w:sz w:val="21"/>
          <w:szCs w:val="21"/>
          <w:lang w:eastAsia="zh-CN"/>
        </w:rPr>
        <w:t>供应商</w:t>
      </w:r>
      <w:r>
        <w:rPr>
          <w:rFonts w:hint="eastAsia"/>
          <w:b w:val="0"/>
          <w:bCs w:val="0"/>
          <w:sz w:val="21"/>
          <w:szCs w:val="21"/>
        </w:rPr>
        <w:t>应进入交通运输部“全国公路建设市场监督管理管理系统（https://hwdms.mot.gov.cn/BMWebSite）”中的公路工程施工资质企业名录，且</w:t>
      </w:r>
      <w:r>
        <w:rPr>
          <w:rFonts w:hint="eastAsia"/>
          <w:b w:val="0"/>
          <w:bCs w:val="0"/>
          <w:sz w:val="21"/>
          <w:szCs w:val="21"/>
          <w:lang w:eastAsia="zh-CN"/>
        </w:rPr>
        <w:t>供应商</w:t>
      </w:r>
      <w:r>
        <w:rPr>
          <w:rFonts w:hint="eastAsia"/>
          <w:b w:val="0"/>
          <w:bCs w:val="0"/>
          <w:sz w:val="21"/>
          <w:szCs w:val="21"/>
        </w:rPr>
        <w:t>名称和资质与该名录中的相应企业名称和资质完全一致。</w:t>
      </w:r>
      <w:bookmarkEnd w:id="13"/>
      <w:bookmarkEnd w:id="14"/>
      <w:bookmarkEnd w:id="17"/>
      <w:bookmarkEnd w:id="18"/>
    </w:p>
    <w:p w14:paraId="3F42538C">
      <w:pPr>
        <w:spacing w:line="360" w:lineRule="auto"/>
        <w:ind w:firstLine="422" w:firstLineChars="200"/>
        <w:rPr>
          <w:b/>
          <w:bCs/>
          <w:sz w:val="21"/>
          <w:szCs w:val="21"/>
        </w:rPr>
      </w:pPr>
      <w:r>
        <w:rPr>
          <w:rFonts w:hint="eastAsia"/>
          <w:b/>
          <w:bCs/>
          <w:sz w:val="21"/>
          <w:szCs w:val="21"/>
        </w:rPr>
        <w:t>三、获取采购文件</w:t>
      </w:r>
    </w:p>
    <w:p w14:paraId="4FF1B1D5">
      <w:pPr>
        <w:spacing w:line="360" w:lineRule="auto"/>
        <w:ind w:firstLine="420" w:firstLineChars="200"/>
        <w:rPr>
          <w:sz w:val="21"/>
          <w:szCs w:val="21"/>
        </w:rPr>
      </w:pPr>
      <w:r>
        <w:rPr>
          <w:rFonts w:hint="eastAsia"/>
          <w:sz w:val="21"/>
          <w:szCs w:val="21"/>
        </w:rPr>
        <w:t>时间：自发布公告之时至磋商截止时间止；地点：广西政府采购云平台线上获取</w:t>
      </w:r>
    </w:p>
    <w:p w14:paraId="0EAB4571">
      <w:pPr>
        <w:spacing w:line="360" w:lineRule="auto"/>
        <w:ind w:firstLine="420" w:firstLineChars="200"/>
        <w:rPr>
          <w:sz w:val="21"/>
          <w:szCs w:val="21"/>
        </w:rPr>
      </w:pPr>
      <w:r>
        <w:rPr>
          <w:rFonts w:hint="eastAsia"/>
          <w:sz w:val="21"/>
          <w:szCs w:val="21"/>
        </w:rPr>
        <w:t>方式：供应商登录广西政府采购云平台https://</w:t>
      </w:r>
      <w:r>
        <w:fldChar w:fldCharType="begin"/>
      </w:r>
      <w:r>
        <w:instrText xml:space="preserve"> HYPERLINK "http://www.gcy.zfcg.gxzf.gov.cn/在线申请获取采购文" \h </w:instrText>
      </w:r>
      <w:r>
        <w:fldChar w:fldCharType="separate"/>
      </w:r>
      <w:r>
        <w:rPr>
          <w:rFonts w:hint="eastAsia"/>
          <w:sz w:val="21"/>
          <w:szCs w:val="21"/>
        </w:rPr>
        <w:t>www.gcy.zfcg.gxzf.gov.cn/在线申请获取采购文</w:t>
      </w:r>
      <w:r>
        <w:rPr>
          <w:rFonts w:hint="eastAsia"/>
          <w:sz w:val="21"/>
          <w:szCs w:val="21"/>
        </w:rPr>
        <w:fldChar w:fldCharType="end"/>
      </w:r>
      <w:r>
        <w:rPr>
          <w:rFonts w:hint="eastAsia"/>
          <w:sz w:val="21"/>
          <w:szCs w:val="21"/>
        </w:rPr>
        <w:t>件（进入“项目采购”应用，在获取采购文件菜单中选择项目，申请获取采购文件）。</w:t>
      </w:r>
    </w:p>
    <w:p w14:paraId="7049D001">
      <w:pPr>
        <w:spacing w:line="360" w:lineRule="auto"/>
        <w:ind w:firstLine="420" w:firstLineChars="200"/>
        <w:rPr>
          <w:sz w:val="21"/>
          <w:szCs w:val="21"/>
        </w:rPr>
      </w:pPr>
      <w:r>
        <w:rPr>
          <w:rFonts w:hint="eastAsia"/>
          <w:sz w:val="21"/>
          <w:szCs w:val="21"/>
        </w:rPr>
        <w:t>售价（元）：0</w:t>
      </w:r>
    </w:p>
    <w:p w14:paraId="75BA7FD8">
      <w:pPr>
        <w:spacing w:line="360" w:lineRule="auto"/>
        <w:ind w:firstLine="422" w:firstLineChars="200"/>
        <w:rPr>
          <w:b/>
          <w:bCs/>
          <w:sz w:val="21"/>
          <w:szCs w:val="21"/>
        </w:rPr>
      </w:pPr>
      <w:r>
        <w:rPr>
          <w:rFonts w:hint="eastAsia"/>
          <w:b/>
          <w:bCs/>
          <w:sz w:val="21"/>
          <w:szCs w:val="21"/>
        </w:rPr>
        <w:t>四、响应文件提交</w:t>
      </w:r>
    </w:p>
    <w:p w14:paraId="31FA6905">
      <w:pPr>
        <w:spacing w:line="360" w:lineRule="auto"/>
        <w:ind w:firstLine="420" w:firstLineChars="200"/>
        <w:rPr>
          <w:sz w:val="21"/>
          <w:szCs w:val="21"/>
          <w:highlight w:val="none"/>
        </w:rPr>
      </w:pPr>
      <w:r>
        <w:rPr>
          <w:rFonts w:hint="eastAsia"/>
          <w:sz w:val="21"/>
          <w:szCs w:val="21"/>
          <w:highlight w:val="none"/>
        </w:rPr>
        <w:t>截止时间：2025年</w:t>
      </w:r>
      <w:r>
        <w:rPr>
          <w:rFonts w:hint="eastAsia"/>
          <w:sz w:val="21"/>
          <w:szCs w:val="21"/>
          <w:highlight w:val="none"/>
          <w:lang w:val="en-US" w:eastAsia="zh-CN"/>
        </w:rPr>
        <w:t>4</w:t>
      </w:r>
      <w:r>
        <w:rPr>
          <w:rFonts w:hint="eastAsia"/>
          <w:sz w:val="21"/>
          <w:szCs w:val="21"/>
          <w:highlight w:val="none"/>
        </w:rPr>
        <w:t>月</w:t>
      </w:r>
      <w:r>
        <w:rPr>
          <w:rFonts w:hint="eastAsia"/>
          <w:sz w:val="21"/>
          <w:szCs w:val="21"/>
          <w:highlight w:val="none"/>
          <w:lang w:val="en-US" w:eastAsia="zh-CN"/>
        </w:rPr>
        <w:t>21</w:t>
      </w:r>
      <w:r>
        <w:rPr>
          <w:rFonts w:hint="eastAsia"/>
          <w:sz w:val="21"/>
          <w:szCs w:val="21"/>
          <w:highlight w:val="none"/>
        </w:rPr>
        <w:t>日上午9时30分（北京时间）</w:t>
      </w:r>
    </w:p>
    <w:p w14:paraId="2B5321D3">
      <w:pPr>
        <w:spacing w:line="360" w:lineRule="auto"/>
        <w:ind w:firstLine="420" w:firstLineChars="200"/>
        <w:rPr>
          <w:sz w:val="21"/>
          <w:szCs w:val="21"/>
        </w:rPr>
      </w:pPr>
      <w:r>
        <w:rPr>
          <w:rFonts w:hint="eastAsia"/>
          <w:sz w:val="21"/>
          <w:szCs w:val="21"/>
        </w:rPr>
        <w:t>地点：请登录广西政府采购云平台投标客户端投标。</w:t>
      </w:r>
    </w:p>
    <w:p w14:paraId="300EABFA">
      <w:pPr>
        <w:spacing w:line="360" w:lineRule="auto"/>
        <w:ind w:firstLine="422" w:firstLineChars="200"/>
        <w:rPr>
          <w:b/>
          <w:bCs/>
          <w:sz w:val="21"/>
          <w:szCs w:val="21"/>
        </w:rPr>
      </w:pPr>
      <w:r>
        <w:rPr>
          <w:rFonts w:hint="eastAsia"/>
          <w:b/>
          <w:bCs/>
          <w:sz w:val="21"/>
          <w:szCs w:val="21"/>
        </w:rPr>
        <w:t>五、开启</w:t>
      </w:r>
    </w:p>
    <w:p w14:paraId="19AD4680">
      <w:pPr>
        <w:spacing w:line="360" w:lineRule="auto"/>
        <w:ind w:firstLine="420" w:firstLineChars="200"/>
        <w:rPr>
          <w:sz w:val="21"/>
          <w:szCs w:val="21"/>
          <w:highlight w:val="none"/>
        </w:rPr>
      </w:pPr>
      <w:r>
        <w:rPr>
          <w:rFonts w:hint="eastAsia"/>
          <w:sz w:val="21"/>
          <w:szCs w:val="21"/>
          <w:highlight w:val="none"/>
        </w:rPr>
        <w:t>时间：2025年</w:t>
      </w:r>
      <w:r>
        <w:rPr>
          <w:rFonts w:hint="eastAsia"/>
          <w:sz w:val="21"/>
          <w:szCs w:val="21"/>
          <w:highlight w:val="none"/>
          <w:lang w:val="en-US" w:eastAsia="zh-CN"/>
        </w:rPr>
        <w:t>4</w:t>
      </w:r>
      <w:r>
        <w:rPr>
          <w:rFonts w:hint="eastAsia"/>
          <w:sz w:val="21"/>
          <w:szCs w:val="21"/>
          <w:highlight w:val="none"/>
        </w:rPr>
        <w:t>月</w:t>
      </w:r>
      <w:r>
        <w:rPr>
          <w:rFonts w:hint="eastAsia"/>
          <w:sz w:val="21"/>
          <w:szCs w:val="21"/>
          <w:highlight w:val="none"/>
          <w:lang w:val="en-US" w:eastAsia="zh-CN"/>
        </w:rPr>
        <w:t>21</w:t>
      </w:r>
      <w:r>
        <w:rPr>
          <w:rFonts w:hint="eastAsia"/>
          <w:sz w:val="21"/>
          <w:szCs w:val="21"/>
          <w:highlight w:val="none"/>
        </w:rPr>
        <w:t>日上午9时30分（北京时间）</w:t>
      </w:r>
    </w:p>
    <w:p w14:paraId="37360594">
      <w:pPr>
        <w:spacing w:line="360" w:lineRule="auto"/>
        <w:ind w:firstLine="420" w:firstLineChars="200"/>
        <w:rPr>
          <w:sz w:val="21"/>
          <w:szCs w:val="21"/>
        </w:rPr>
      </w:pPr>
      <w:r>
        <w:rPr>
          <w:rFonts w:hint="eastAsia"/>
          <w:sz w:val="21"/>
          <w:szCs w:val="21"/>
        </w:rPr>
        <w:t>地点：通过广西政府采购云平台实行在线响应。</w:t>
      </w:r>
    </w:p>
    <w:p w14:paraId="7FF13F77">
      <w:pPr>
        <w:spacing w:line="360" w:lineRule="auto"/>
        <w:ind w:firstLine="422" w:firstLineChars="200"/>
        <w:rPr>
          <w:b/>
          <w:bCs/>
          <w:sz w:val="21"/>
          <w:szCs w:val="21"/>
        </w:rPr>
      </w:pPr>
      <w:r>
        <w:rPr>
          <w:rFonts w:hint="eastAsia"/>
          <w:b/>
          <w:bCs/>
          <w:sz w:val="21"/>
          <w:szCs w:val="21"/>
        </w:rPr>
        <w:t>六、公告期限</w:t>
      </w:r>
    </w:p>
    <w:p w14:paraId="1E7D7F63">
      <w:pPr>
        <w:spacing w:line="360" w:lineRule="auto"/>
        <w:ind w:firstLine="420" w:firstLineChars="200"/>
        <w:rPr>
          <w:sz w:val="21"/>
          <w:szCs w:val="21"/>
        </w:rPr>
      </w:pPr>
      <w:r>
        <w:rPr>
          <w:rFonts w:hint="eastAsia"/>
          <w:sz w:val="21"/>
          <w:szCs w:val="21"/>
        </w:rPr>
        <w:t>自本公告发布之日起5个工作日。</w:t>
      </w:r>
    </w:p>
    <w:p w14:paraId="7898F4B1">
      <w:pPr>
        <w:spacing w:line="360" w:lineRule="auto"/>
        <w:ind w:firstLine="422" w:firstLineChars="200"/>
        <w:rPr>
          <w:sz w:val="21"/>
          <w:szCs w:val="21"/>
        </w:rPr>
      </w:pPr>
      <w:r>
        <w:rPr>
          <w:rFonts w:hint="eastAsia"/>
          <w:b/>
          <w:bCs/>
          <w:sz w:val="21"/>
          <w:szCs w:val="21"/>
        </w:rPr>
        <w:t>七、其他补充事宜</w:t>
      </w:r>
    </w:p>
    <w:p w14:paraId="23431E6F">
      <w:pPr>
        <w:spacing w:line="360" w:lineRule="auto"/>
        <w:ind w:firstLine="420" w:firstLineChars="200"/>
        <w:rPr>
          <w:sz w:val="21"/>
          <w:szCs w:val="21"/>
        </w:rPr>
      </w:pPr>
      <w:r>
        <w:rPr>
          <w:rFonts w:hint="eastAsia"/>
          <w:sz w:val="21"/>
          <w:szCs w:val="21"/>
        </w:rPr>
        <w:t>1、信息公告发布媒体：中国政府采购网（</w:t>
      </w:r>
      <w:r>
        <w:fldChar w:fldCharType="begin"/>
      </w:r>
      <w:r>
        <w:instrText xml:space="preserve"> HYPERLINK "http://www.ccgp.gov.cn/" \h </w:instrText>
      </w:r>
      <w:r>
        <w:fldChar w:fldCharType="separate"/>
      </w:r>
      <w:r>
        <w:rPr>
          <w:rFonts w:hint="eastAsia"/>
          <w:sz w:val="21"/>
          <w:szCs w:val="21"/>
        </w:rPr>
        <w:t>www.ccgp.gov.cn</w:t>
      </w:r>
      <w:r>
        <w:rPr>
          <w:rFonts w:hint="eastAsia"/>
          <w:sz w:val="21"/>
          <w:szCs w:val="21"/>
        </w:rPr>
        <w:fldChar w:fldCharType="end"/>
      </w:r>
      <w:r>
        <w:rPr>
          <w:rFonts w:hint="eastAsia"/>
          <w:sz w:val="21"/>
          <w:szCs w:val="21"/>
        </w:rPr>
        <w:t>）、广西壮族自治区政府采购网（zfcg.gxzf.gov.cn）、桂林市政府采购网（zfcg.czj.guilin.gov.cn/）。</w:t>
      </w:r>
    </w:p>
    <w:p w14:paraId="7D0D4C49">
      <w:pPr>
        <w:spacing w:line="360" w:lineRule="auto"/>
        <w:ind w:firstLine="420" w:firstLineChars="200"/>
        <w:rPr>
          <w:sz w:val="21"/>
          <w:szCs w:val="21"/>
        </w:rPr>
      </w:pPr>
      <w:r>
        <w:rPr>
          <w:rFonts w:hint="eastAsia"/>
          <w:sz w:val="21"/>
          <w:szCs w:val="21"/>
        </w:rPr>
        <w:t>2、本项目需要落实的政府采购政策：</w:t>
      </w:r>
    </w:p>
    <w:p w14:paraId="0C2B3EE6">
      <w:pPr>
        <w:spacing w:line="360" w:lineRule="auto"/>
        <w:ind w:firstLine="420" w:firstLineChars="200"/>
        <w:rPr>
          <w:rFonts w:hint="eastAsia" w:eastAsia="宋体"/>
          <w:sz w:val="21"/>
          <w:szCs w:val="21"/>
          <w:lang w:eastAsia="zh-CN"/>
        </w:rPr>
      </w:pPr>
      <w:r>
        <w:rPr>
          <w:rFonts w:hint="eastAsia"/>
          <w:sz w:val="21"/>
          <w:szCs w:val="21"/>
          <w:highlight w:val="none"/>
        </w:rPr>
        <w:t>政府采购促进中小企业发展</w:t>
      </w:r>
      <w:r>
        <w:rPr>
          <w:rFonts w:hint="eastAsia"/>
          <w:sz w:val="21"/>
          <w:szCs w:val="21"/>
          <w:highlight w:val="none"/>
          <w:lang w:eastAsia="zh-CN"/>
        </w:rPr>
        <w:t>，</w:t>
      </w:r>
      <w:r>
        <w:rPr>
          <w:rFonts w:hint="eastAsia"/>
          <w:sz w:val="21"/>
          <w:szCs w:val="21"/>
        </w:rPr>
        <w:t>政府采购支持监狱企业发展</w:t>
      </w:r>
      <w:r>
        <w:rPr>
          <w:rFonts w:hint="eastAsia"/>
          <w:sz w:val="21"/>
          <w:szCs w:val="21"/>
          <w:lang w:eastAsia="zh-CN"/>
        </w:rPr>
        <w:t>，</w:t>
      </w:r>
      <w:r>
        <w:rPr>
          <w:rFonts w:hint="eastAsia"/>
          <w:sz w:val="21"/>
          <w:szCs w:val="21"/>
        </w:rPr>
        <w:t>政府采购促进残疾人就业政策</w:t>
      </w:r>
      <w:r>
        <w:rPr>
          <w:rFonts w:hint="eastAsia"/>
          <w:sz w:val="21"/>
          <w:szCs w:val="21"/>
          <w:lang w:eastAsia="zh-CN"/>
        </w:rPr>
        <w:t>，</w:t>
      </w:r>
      <w:r>
        <w:rPr>
          <w:rFonts w:hint="eastAsia"/>
          <w:sz w:val="21"/>
          <w:szCs w:val="21"/>
        </w:rPr>
        <w:t>本项目为修复养护工程项目，不涉及强制采购节能产品</w:t>
      </w:r>
      <w:r>
        <w:rPr>
          <w:rFonts w:hint="eastAsia"/>
          <w:sz w:val="21"/>
          <w:szCs w:val="21"/>
          <w:lang w:eastAsia="zh-CN"/>
        </w:rPr>
        <w:t>，</w:t>
      </w:r>
      <w:r>
        <w:rPr>
          <w:rFonts w:hint="eastAsia"/>
          <w:sz w:val="21"/>
          <w:szCs w:val="21"/>
        </w:rPr>
        <w:t>政府采购支持采用本国产品的政策</w:t>
      </w:r>
      <w:r>
        <w:rPr>
          <w:rFonts w:hint="eastAsia"/>
          <w:sz w:val="21"/>
          <w:szCs w:val="21"/>
          <w:lang w:eastAsia="zh-CN"/>
        </w:rPr>
        <w:t>。</w:t>
      </w:r>
    </w:p>
    <w:p w14:paraId="6FE2497D">
      <w:pPr>
        <w:spacing w:line="360" w:lineRule="auto"/>
        <w:ind w:firstLine="420" w:firstLineChars="200"/>
        <w:rPr>
          <w:sz w:val="21"/>
          <w:szCs w:val="21"/>
          <w:highlight w:val="none"/>
        </w:rPr>
      </w:pPr>
      <w:r>
        <w:rPr>
          <w:rFonts w:hint="eastAsia"/>
          <w:sz w:val="21"/>
          <w:szCs w:val="21"/>
          <w:highlight w:val="none"/>
        </w:rPr>
        <w:t>3、本项目采购标的在《中小企业划分标准》所属行业为：建筑业。</w:t>
      </w:r>
    </w:p>
    <w:p w14:paraId="7AE85C71">
      <w:pPr>
        <w:spacing w:line="360" w:lineRule="auto"/>
        <w:ind w:firstLine="420" w:firstLineChars="200"/>
        <w:rPr>
          <w:sz w:val="21"/>
          <w:szCs w:val="21"/>
        </w:rPr>
      </w:pPr>
      <w:r>
        <w:rPr>
          <w:rFonts w:hint="eastAsia"/>
          <w:sz w:val="21"/>
          <w:szCs w:val="21"/>
        </w:rPr>
        <w:t>4、资格条件特别说明：</w:t>
      </w:r>
    </w:p>
    <w:p w14:paraId="3228AB3D">
      <w:pPr>
        <w:spacing w:line="360" w:lineRule="auto"/>
        <w:ind w:firstLine="420" w:firstLineChars="200"/>
        <w:rPr>
          <w:sz w:val="21"/>
          <w:szCs w:val="21"/>
        </w:rPr>
      </w:pPr>
      <w:r>
        <w:rPr>
          <w:rFonts w:hint="eastAsia"/>
          <w:sz w:val="21"/>
          <w:szCs w:val="21"/>
        </w:rPr>
        <w:t>（1）与招标人存在利害关系可能影响招标公正性的单位，不得参加投标。单位负责人为同一人或者存在直接控股、管理关系的不同供应商，不得参加同一合同项下的政府采购活动，否则，相关投标均无效。除单一来源采购项目外，为采购项目提供整体设计、规范编制或者项目管理、监理、检测等服务的供应商，不得再参加该采购项目的其他采购活动。</w:t>
      </w:r>
    </w:p>
    <w:p w14:paraId="43E79B91">
      <w:pPr>
        <w:spacing w:line="360" w:lineRule="auto"/>
        <w:ind w:firstLine="420" w:firstLineChars="200"/>
        <w:rPr>
          <w:sz w:val="21"/>
          <w:szCs w:val="21"/>
        </w:rPr>
      </w:pPr>
      <w:r>
        <w:rPr>
          <w:rFonts w:hint="eastAsia"/>
          <w:sz w:val="21"/>
          <w:szCs w:val="21"/>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62A46510">
      <w:pPr>
        <w:spacing w:line="360" w:lineRule="auto"/>
        <w:ind w:firstLine="420" w:firstLineChars="200"/>
        <w:rPr>
          <w:sz w:val="21"/>
          <w:szCs w:val="21"/>
        </w:rPr>
      </w:pPr>
      <w:r>
        <w:rPr>
          <w:rFonts w:hint="eastAsia"/>
          <w:sz w:val="21"/>
          <w:szCs w:val="21"/>
        </w:rPr>
        <w:t>5、“广西政府采购云平台”电子竞标相关事宜：</w:t>
      </w:r>
    </w:p>
    <w:p w14:paraId="62655E76">
      <w:pPr>
        <w:spacing w:line="360" w:lineRule="auto"/>
        <w:ind w:firstLine="420" w:firstLineChars="200"/>
        <w:rPr>
          <w:sz w:val="21"/>
          <w:szCs w:val="21"/>
        </w:rPr>
      </w:pPr>
      <w:r>
        <w:rPr>
          <w:rFonts w:hint="eastAsia"/>
          <w:sz w:val="21"/>
          <w:szCs w:val="21"/>
        </w:rPr>
        <w:t>（1）本项目实行全流程电子化采购，供应商通过“广西政府采购云平台”参与电子竞标，并应做好以下相关准备工作：①在“广西政府采购云平台”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广西政府采购云平台电子投客户端”）并安装成功，供应商应当在响应文件提交截止时间前在“广西政府采购云平台”完成的身份认证，确保能够对相关数据电文进行加密和使用电子签章；④自备计算机和网络设备并确保能接入互联网（费用由供应商自行承担，设备确保可进行视频通话和读取广西政府采购云平台CA证书）。因供应商未做好相关准备工作等自身原因导致无法参加本项目电子竞标或竞标失败的，造成的一切后果，由供应商自行承担。</w:t>
      </w:r>
    </w:p>
    <w:p w14:paraId="171E8172">
      <w:pPr>
        <w:spacing w:line="360" w:lineRule="auto"/>
        <w:ind w:firstLine="420" w:firstLineChars="200"/>
        <w:rPr>
          <w:sz w:val="21"/>
          <w:szCs w:val="21"/>
        </w:rPr>
      </w:pPr>
      <w:r>
        <w:rPr>
          <w:rFonts w:hint="eastAsia"/>
          <w:sz w:val="21"/>
          <w:szCs w:val="21"/>
        </w:rPr>
        <w:t>（2）电子竞标具体操作流程参考《政府采购项目电子交易管理操作指南-供应商》（详见桂林市政府采购网—采购资讯—重要通知）；如遇平台技术问题详询95763。</w:t>
      </w:r>
    </w:p>
    <w:p w14:paraId="5517D693">
      <w:pPr>
        <w:spacing w:line="360" w:lineRule="auto"/>
        <w:ind w:firstLine="420" w:firstLineChars="200"/>
        <w:rPr>
          <w:sz w:val="21"/>
          <w:szCs w:val="21"/>
        </w:rPr>
      </w:pPr>
      <w:r>
        <w:rPr>
          <w:rFonts w:hint="eastAsia"/>
          <w:sz w:val="21"/>
          <w:szCs w:val="21"/>
        </w:rPr>
        <w:t>（3）电子响应文件的制作、加密、提交、解密等相关事宜详见第二章“供应商须知”。</w:t>
      </w:r>
    </w:p>
    <w:p w14:paraId="69CC7462">
      <w:pPr>
        <w:spacing w:line="360" w:lineRule="auto"/>
        <w:ind w:firstLine="422" w:firstLineChars="200"/>
        <w:rPr>
          <w:sz w:val="21"/>
          <w:szCs w:val="21"/>
        </w:rPr>
      </w:pPr>
      <w:r>
        <w:rPr>
          <w:rFonts w:hint="eastAsia"/>
          <w:b/>
          <w:bCs/>
          <w:sz w:val="21"/>
          <w:szCs w:val="21"/>
        </w:rPr>
        <w:t>八、凡对本次采购提出询问，请按以下方式联系</w:t>
      </w:r>
    </w:p>
    <w:p w14:paraId="141BDE5F">
      <w:pPr>
        <w:spacing w:line="360" w:lineRule="auto"/>
        <w:ind w:firstLine="420" w:firstLineChars="200"/>
        <w:rPr>
          <w:sz w:val="21"/>
          <w:szCs w:val="21"/>
          <w:highlight w:val="none"/>
        </w:rPr>
      </w:pPr>
      <w:r>
        <w:rPr>
          <w:rFonts w:hint="eastAsia"/>
          <w:sz w:val="21"/>
          <w:szCs w:val="21"/>
          <w:highlight w:val="none"/>
        </w:rPr>
        <w:t>1.采购人信息</w:t>
      </w:r>
    </w:p>
    <w:p w14:paraId="55344F25">
      <w:pPr>
        <w:spacing w:line="360" w:lineRule="auto"/>
        <w:ind w:firstLine="420" w:firstLineChars="200"/>
        <w:rPr>
          <w:sz w:val="21"/>
          <w:szCs w:val="21"/>
          <w:highlight w:val="none"/>
        </w:rPr>
      </w:pPr>
      <w:r>
        <w:rPr>
          <w:rFonts w:hint="eastAsia"/>
          <w:sz w:val="21"/>
          <w:szCs w:val="21"/>
          <w:highlight w:val="none"/>
        </w:rPr>
        <w:t>名称：</w:t>
      </w:r>
      <w:r>
        <w:rPr>
          <w:rFonts w:hint="eastAsia"/>
          <w:sz w:val="21"/>
          <w:szCs w:val="21"/>
          <w:highlight w:val="none"/>
          <w:lang w:eastAsia="zh-CN"/>
        </w:rPr>
        <w:t>广西壮族自治区临桂公路养护中心</w:t>
      </w:r>
    </w:p>
    <w:p w14:paraId="2A72BDB9">
      <w:pPr>
        <w:spacing w:line="360" w:lineRule="auto"/>
        <w:ind w:firstLine="420" w:firstLineChars="200"/>
        <w:rPr>
          <w:sz w:val="21"/>
          <w:szCs w:val="21"/>
          <w:highlight w:val="none"/>
        </w:rPr>
      </w:pPr>
      <w:bookmarkStart w:id="19" w:name="第二章__投标人须知"/>
      <w:bookmarkEnd w:id="19"/>
      <w:r>
        <w:rPr>
          <w:rFonts w:hint="eastAsia"/>
          <w:sz w:val="21"/>
          <w:szCs w:val="21"/>
          <w:highlight w:val="none"/>
        </w:rPr>
        <w:t>地址：桂林市象山区瓦窑西路5号 </w:t>
      </w:r>
    </w:p>
    <w:p w14:paraId="35D992ED">
      <w:pPr>
        <w:spacing w:line="360" w:lineRule="auto"/>
        <w:ind w:firstLine="420" w:firstLineChars="200"/>
        <w:rPr>
          <w:rFonts w:hint="eastAsia"/>
          <w:sz w:val="21"/>
          <w:szCs w:val="21"/>
          <w:highlight w:val="none"/>
        </w:rPr>
      </w:pPr>
      <w:r>
        <w:rPr>
          <w:rFonts w:hint="eastAsia"/>
          <w:sz w:val="21"/>
          <w:szCs w:val="21"/>
          <w:highlight w:val="none"/>
        </w:rPr>
        <w:t>联系人：</w:t>
      </w:r>
      <w:r>
        <w:rPr>
          <w:rFonts w:hint="eastAsia"/>
          <w:sz w:val="21"/>
          <w:szCs w:val="21"/>
          <w:highlight w:val="none"/>
          <w:lang w:eastAsia="zh-CN"/>
        </w:rPr>
        <w:t>　周工　</w:t>
      </w:r>
      <w:r>
        <w:rPr>
          <w:rFonts w:hint="eastAsia"/>
          <w:sz w:val="21"/>
          <w:szCs w:val="21"/>
          <w:highlight w:val="none"/>
        </w:rPr>
        <w:t>联系</w:t>
      </w:r>
      <w:r>
        <w:rPr>
          <w:rFonts w:hint="eastAsia"/>
          <w:sz w:val="21"/>
          <w:szCs w:val="21"/>
          <w:highlight w:val="none"/>
          <w:lang w:val="en-US" w:eastAsia="zh-CN"/>
        </w:rPr>
        <w:t>电话：0773-3608516</w:t>
      </w:r>
    </w:p>
    <w:p w14:paraId="2633DA61">
      <w:pPr>
        <w:spacing w:line="360" w:lineRule="auto"/>
        <w:ind w:firstLine="420" w:firstLineChars="200"/>
        <w:rPr>
          <w:rFonts w:hint="eastAsia"/>
          <w:sz w:val="21"/>
          <w:szCs w:val="21"/>
          <w:highlight w:val="none"/>
        </w:rPr>
      </w:pPr>
      <w:r>
        <w:rPr>
          <w:rFonts w:hint="eastAsia"/>
          <w:sz w:val="21"/>
          <w:szCs w:val="21"/>
          <w:highlight w:val="none"/>
        </w:rPr>
        <w:t>2.采购代理机构信息</w:t>
      </w:r>
    </w:p>
    <w:p w14:paraId="5D717EB8">
      <w:pPr>
        <w:spacing w:line="360" w:lineRule="auto"/>
        <w:ind w:firstLine="420" w:firstLineChars="200"/>
        <w:rPr>
          <w:rFonts w:hint="eastAsia" w:ascii="宋体" w:hAnsi="宋体" w:eastAsia="宋体" w:cs="宋体"/>
          <w:spacing w:val="-1"/>
          <w:sz w:val="21"/>
          <w:szCs w:val="21"/>
          <w:lang w:eastAsia="zh-CN"/>
        </w:rPr>
      </w:pPr>
      <w:r>
        <w:rPr>
          <w:rFonts w:hint="eastAsia"/>
          <w:sz w:val="21"/>
          <w:szCs w:val="21"/>
          <w:highlight w:val="none"/>
        </w:rPr>
        <w:t>名  称：</w:t>
      </w:r>
      <w:r>
        <w:rPr>
          <w:rFonts w:hint="eastAsia"/>
          <w:sz w:val="21"/>
          <w:szCs w:val="21"/>
          <w:highlight w:val="none"/>
          <w:lang w:eastAsia="zh-CN"/>
        </w:rPr>
        <w:t>广西建</w:t>
      </w:r>
      <w:r>
        <w:rPr>
          <w:rFonts w:hint="eastAsia" w:ascii="宋体" w:hAnsi="宋体" w:eastAsia="宋体" w:cs="宋体"/>
          <w:spacing w:val="-1"/>
          <w:sz w:val="21"/>
          <w:szCs w:val="21"/>
          <w:lang w:eastAsia="zh-CN"/>
        </w:rPr>
        <w:t>设工程机电设备招标中心有限公司</w:t>
      </w:r>
    </w:p>
    <w:p w14:paraId="2069AE98">
      <w:pPr>
        <w:keepNext w:val="0"/>
        <w:keepLines/>
        <w:pageBreakBefore w:val="0"/>
        <w:widowControl/>
        <w:kinsoku/>
        <w:wordWrap w:val="0"/>
        <w:overflowPunct/>
        <w:topLinePunct/>
        <w:autoSpaceDE w:val="0"/>
        <w:autoSpaceDN w:val="0"/>
        <w:bidi w:val="0"/>
        <w:adjustRightInd w:val="0"/>
        <w:snapToGrid w:val="0"/>
        <w:spacing w:line="360" w:lineRule="auto"/>
        <w:ind w:right="0" w:firstLine="416" w:firstLineChars="200"/>
        <w:textAlignment w:val="baseline"/>
        <w:rPr>
          <w:rFonts w:hint="eastAsia" w:ascii="宋体" w:hAnsi="宋体" w:eastAsia="宋体" w:cs="宋体"/>
          <w:spacing w:val="-1"/>
          <w:sz w:val="21"/>
          <w:szCs w:val="21"/>
          <w:lang w:eastAsia="zh-CN"/>
        </w:rPr>
      </w:pPr>
      <w:r>
        <w:rPr>
          <w:rFonts w:ascii="宋体" w:hAnsi="宋体" w:eastAsia="宋体" w:cs="宋体"/>
          <w:spacing w:val="-1"/>
          <w:sz w:val="21"/>
          <w:szCs w:val="21"/>
        </w:rPr>
        <w:t>地  址：</w:t>
      </w:r>
      <w:r>
        <w:rPr>
          <w:rFonts w:hint="eastAsia" w:ascii="宋体" w:hAnsi="宋体" w:eastAsia="宋体" w:cs="宋体"/>
          <w:spacing w:val="-1"/>
          <w:sz w:val="21"/>
          <w:szCs w:val="21"/>
          <w:lang w:eastAsia="zh-CN"/>
        </w:rPr>
        <w:t>桂林市临桂区长岛十六区110栋</w:t>
      </w:r>
    </w:p>
    <w:p w14:paraId="7519B1E9">
      <w:pPr>
        <w:keepNext w:val="0"/>
        <w:keepLines/>
        <w:pageBreakBefore w:val="0"/>
        <w:widowControl/>
        <w:kinsoku/>
        <w:wordWrap w:val="0"/>
        <w:overflowPunct/>
        <w:topLinePunct/>
        <w:autoSpaceDE w:val="0"/>
        <w:autoSpaceDN w:val="0"/>
        <w:bidi w:val="0"/>
        <w:adjustRightInd w:val="0"/>
        <w:snapToGrid w:val="0"/>
        <w:spacing w:line="360" w:lineRule="auto"/>
        <w:ind w:right="0" w:firstLine="416" w:firstLineChars="200"/>
        <w:textAlignment w:val="baseline"/>
        <w:rPr>
          <w:rFonts w:hint="default" w:ascii="宋体" w:hAnsi="宋体" w:eastAsia="宋体" w:cs="宋体"/>
          <w:spacing w:val="-1"/>
          <w:sz w:val="21"/>
          <w:szCs w:val="21"/>
          <w:lang w:val="en-US" w:eastAsia="zh-CN"/>
        </w:rPr>
      </w:pPr>
      <w:r>
        <w:rPr>
          <w:rFonts w:ascii="宋体" w:hAnsi="宋体" w:eastAsia="宋体" w:cs="宋体"/>
          <w:spacing w:val="-1"/>
          <w:sz w:val="21"/>
          <w:szCs w:val="21"/>
        </w:rPr>
        <w:t>联系方式：0773-</w:t>
      </w:r>
      <w:r>
        <w:rPr>
          <w:rFonts w:hint="eastAsia" w:ascii="宋体" w:hAnsi="宋体" w:eastAsia="宋体" w:cs="宋体"/>
          <w:spacing w:val="-1"/>
          <w:sz w:val="21"/>
          <w:szCs w:val="21"/>
          <w:lang w:val="en-US" w:eastAsia="zh-CN"/>
        </w:rPr>
        <w:t>5587517</w:t>
      </w:r>
    </w:p>
    <w:p w14:paraId="3177539C">
      <w:pPr>
        <w:keepNext w:val="0"/>
        <w:keepLines/>
        <w:pageBreakBefore w:val="0"/>
        <w:widowControl/>
        <w:kinsoku/>
        <w:wordWrap w:val="0"/>
        <w:overflowPunct/>
        <w:topLinePunct/>
        <w:autoSpaceDE w:val="0"/>
        <w:autoSpaceDN w:val="0"/>
        <w:bidi w:val="0"/>
        <w:adjustRightInd w:val="0"/>
        <w:snapToGrid w:val="0"/>
        <w:spacing w:line="360" w:lineRule="auto"/>
        <w:ind w:right="0" w:firstLine="416" w:firstLineChars="200"/>
        <w:textAlignment w:val="baseline"/>
        <w:rPr>
          <w:rFonts w:ascii="宋体" w:hAnsi="宋体" w:eastAsia="宋体" w:cs="宋体"/>
          <w:spacing w:val="-1"/>
          <w:sz w:val="21"/>
          <w:szCs w:val="21"/>
        </w:rPr>
      </w:pPr>
      <w:r>
        <w:rPr>
          <w:rFonts w:ascii="宋体" w:hAnsi="宋体" w:eastAsia="宋体" w:cs="宋体"/>
          <w:spacing w:val="-1"/>
          <w:sz w:val="21"/>
          <w:szCs w:val="21"/>
        </w:rPr>
        <w:t>3.项目联系方式</w:t>
      </w:r>
    </w:p>
    <w:p w14:paraId="79A760A5">
      <w:pPr>
        <w:keepNext w:val="0"/>
        <w:keepLines/>
        <w:pageBreakBefore w:val="0"/>
        <w:widowControl/>
        <w:kinsoku/>
        <w:wordWrap w:val="0"/>
        <w:overflowPunct/>
        <w:topLinePunct/>
        <w:autoSpaceDE w:val="0"/>
        <w:autoSpaceDN w:val="0"/>
        <w:bidi w:val="0"/>
        <w:adjustRightInd w:val="0"/>
        <w:snapToGrid w:val="0"/>
        <w:spacing w:line="360" w:lineRule="auto"/>
        <w:ind w:right="0" w:firstLine="416" w:firstLineChars="200"/>
        <w:textAlignment w:val="baseline"/>
        <w:rPr>
          <w:rFonts w:hint="eastAsia" w:ascii="宋体" w:hAnsi="宋体" w:eastAsia="宋体" w:cs="宋体"/>
          <w:spacing w:val="-1"/>
          <w:sz w:val="21"/>
          <w:szCs w:val="21"/>
          <w:lang w:val="en-US" w:eastAsia="zh-CN"/>
        </w:rPr>
      </w:pPr>
      <w:r>
        <w:rPr>
          <w:rFonts w:ascii="宋体" w:hAnsi="宋体" w:eastAsia="宋体" w:cs="宋体"/>
          <w:spacing w:val="-1"/>
          <w:sz w:val="21"/>
          <w:szCs w:val="21"/>
        </w:rPr>
        <w:t>项目联系人：</w:t>
      </w:r>
      <w:r>
        <w:rPr>
          <w:rFonts w:hint="eastAsia" w:ascii="宋体" w:hAnsi="宋体" w:eastAsia="宋体" w:cs="宋体"/>
          <w:spacing w:val="-1"/>
          <w:sz w:val="21"/>
          <w:szCs w:val="21"/>
          <w:lang w:val="en-US" w:eastAsia="zh-CN"/>
        </w:rPr>
        <w:t>吕迎贤</w:t>
      </w:r>
    </w:p>
    <w:p w14:paraId="3E0304DB">
      <w:pPr>
        <w:keepNext w:val="0"/>
        <w:keepLines/>
        <w:pageBreakBefore w:val="0"/>
        <w:widowControl/>
        <w:kinsoku/>
        <w:wordWrap w:val="0"/>
        <w:overflowPunct/>
        <w:topLinePunct/>
        <w:autoSpaceDE w:val="0"/>
        <w:autoSpaceDN w:val="0"/>
        <w:bidi w:val="0"/>
        <w:adjustRightInd w:val="0"/>
        <w:snapToGrid w:val="0"/>
        <w:spacing w:line="360" w:lineRule="auto"/>
        <w:ind w:right="0" w:firstLine="416" w:firstLineChars="200"/>
        <w:textAlignment w:val="baseline"/>
      </w:pPr>
      <w:r>
        <w:rPr>
          <w:rFonts w:ascii="宋体" w:hAnsi="宋体" w:eastAsia="宋体" w:cs="宋体"/>
          <w:spacing w:val="-1"/>
          <w:sz w:val="21"/>
          <w:szCs w:val="21"/>
        </w:rPr>
        <w:t>电  话：0773-</w:t>
      </w:r>
      <w:r>
        <w:rPr>
          <w:rFonts w:hint="eastAsia" w:ascii="宋体" w:hAnsi="宋体" w:eastAsia="宋体" w:cs="宋体"/>
          <w:spacing w:val="-1"/>
          <w:sz w:val="21"/>
          <w:szCs w:val="21"/>
          <w:lang w:val="en-US" w:eastAsia="zh-CN"/>
        </w:rPr>
        <w:t>5587517</w:t>
      </w:r>
    </w:p>
    <w:p w14:paraId="31F3F17C">
      <w:pPr>
        <w:pStyle w:val="12"/>
        <w:spacing w:before="9"/>
      </w:pPr>
    </w:p>
    <w:p w14:paraId="380B34D2">
      <w:pPr>
        <w:pStyle w:val="12"/>
        <w:spacing w:before="91"/>
        <w:ind w:right="1300"/>
        <w:jc w:val="right"/>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广西建设工程机电设备招标中心有限公司</w:t>
      </w:r>
    </w:p>
    <w:p w14:paraId="3795B05E">
      <w:pPr>
        <w:pStyle w:val="12"/>
        <w:spacing w:before="91"/>
        <w:ind w:right="1300"/>
        <w:jc w:val="right"/>
        <w:rPr>
          <w:rFonts w:hint="eastAsia" w:ascii="宋体" w:hAnsi="宋体" w:eastAsia="宋体" w:cs="宋体"/>
          <w:spacing w:val="-1"/>
          <w:sz w:val="21"/>
          <w:szCs w:val="21"/>
          <w:lang w:eastAsia="zh-CN"/>
        </w:rPr>
      </w:pPr>
    </w:p>
    <w:p w14:paraId="63CEB8C1">
      <w:pPr>
        <w:pStyle w:val="12"/>
        <w:spacing w:before="91"/>
        <w:ind w:right="1300"/>
        <w:jc w:val="right"/>
        <w:rPr>
          <w:highlight w:val="none"/>
        </w:rPr>
      </w:pPr>
      <w:r>
        <w:rPr>
          <w:rFonts w:hint="eastAsia"/>
          <w:highlight w:val="none"/>
        </w:rPr>
        <w:t>2025年</w:t>
      </w:r>
      <w:r>
        <w:rPr>
          <w:rFonts w:hint="eastAsia"/>
          <w:highlight w:val="none"/>
          <w:lang w:val="en-US" w:eastAsia="zh-CN"/>
        </w:rPr>
        <w:t>4</w:t>
      </w:r>
      <w:r>
        <w:rPr>
          <w:rFonts w:hint="eastAsia"/>
          <w:highlight w:val="none"/>
        </w:rPr>
        <w:t>月</w:t>
      </w:r>
      <w:r>
        <w:rPr>
          <w:rFonts w:hint="eastAsia"/>
          <w:highlight w:val="none"/>
          <w:lang w:val="en-US" w:eastAsia="zh-CN"/>
        </w:rPr>
        <w:t>8</w:t>
      </w:r>
      <w:r>
        <w:rPr>
          <w:rFonts w:hint="eastAsia"/>
          <w:highlight w:val="none"/>
        </w:rPr>
        <w:t>日</w:t>
      </w:r>
    </w:p>
    <w:p w14:paraId="27209B23">
      <w:pPr>
        <w:ind w:firstLine="422"/>
        <w:jc w:val="right"/>
        <w:rPr>
          <w:sz w:val="21"/>
          <w:szCs w:val="21"/>
        </w:rPr>
        <w:sectPr>
          <w:footerReference r:id="rId3" w:type="default"/>
          <w:pgSz w:w="11910" w:h="16840"/>
          <w:pgMar w:top="1219" w:right="1219" w:bottom="1219" w:left="1219" w:header="0" w:footer="720" w:gutter="0"/>
          <w:pgNumType w:start="1"/>
          <w:cols w:space="720" w:num="1"/>
        </w:sectPr>
      </w:pPr>
    </w:p>
    <w:p w14:paraId="0B6070D1">
      <w:pPr>
        <w:pStyle w:val="2"/>
        <w:keepNext/>
        <w:keepLines/>
        <w:autoSpaceDE/>
        <w:autoSpaceDN/>
        <w:spacing w:before="340" w:after="330"/>
        <w:ind w:firstLine="643"/>
        <w:jc w:val="center"/>
        <w:rPr>
          <w:rFonts w:hint="eastAsia" w:ascii="Cambria" w:hAnsi="Cambria" w:cs="Times New Roman"/>
          <w:kern w:val="44"/>
        </w:rPr>
      </w:pPr>
      <w:bookmarkStart w:id="20" w:name="_Toc17173"/>
    </w:p>
    <w:p w14:paraId="14F44669">
      <w:pPr>
        <w:pStyle w:val="2"/>
        <w:keepNext/>
        <w:keepLines/>
        <w:autoSpaceDE/>
        <w:autoSpaceDN/>
        <w:spacing w:before="340" w:after="330"/>
        <w:ind w:firstLine="643"/>
        <w:jc w:val="center"/>
        <w:rPr>
          <w:rFonts w:hint="eastAsia" w:ascii="Cambria" w:hAnsi="Cambria" w:cs="Times New Roman"/>
          <w:kern w:val="44"/>
        </w:rPr>
      </w:pPr>
    </w:p>
    <w:p w14:paraId="040CC9D4">
      <w:pPr>
        <w:pStyle w:val="2"/>
        <w:keepNext/>
        <w:keepLines/>
        <w:autoSpaceDE/>
        <w:autoSpaceDN/>
        <w:spacing w:before="340" w:after="330"/>
        <w:ind w:firstLine="643"/>
        <w:jc w:val="center"/>
        <w:rPr>
          <w:rFonts w:hint="eastAsia" w:ascii="Cambria" w:hAnsi="Cambria" w:cs="Times New Roman"/>
          <w:kern w:val="44"/>
        </w:rPr>
      </w:pPr>
    </w:p>
    <w:p w14:paraId="2C370A0C">
      <w:pPr>
        <w:pStyle w:val="2"/>
        <w:keepNext/>
        <w:keepLines/>
        <w:autoSpaceDE/>
        <w:autoSpaceDN/>
        <w:spacing w:before="340" w:after="330"/>
        <w:ind w:firstLine="643"/>
        <w:jc w:val="center"/>
        <w:rPr>
          <w:rFonts w:hint="eastAsia" w:ascii="Cambria" w:hAnsi="Cambria" w:cs="Times New Roman"/>
          <w:kern w:val="44"/>
        </w:rPr>
      </w:pPr>
    </w:p>
    <w:p w14:paraId="0C791709">
      <w:pPr>
        <w:pStyle w:val="2"/>
        <w:keepNext/>
        <w:keepLines/>
        <w:autoSpaceDE/>
        <w:autoSpaceDN/>
        <w:spacing w:before="340" w:after="330"/>
        <w:ind w:firstLine="643"/>
        <w:jc w:val="center"/>
        <w:rPr>
          <w:rFonts w:hint="eastAsia" w:ascii="Cambria" w:hAnsi="Cambria" w:cs="Times New Roman"/>
          <w:kern w:val="44"/>
        </w:rPr>
      </w:pPr>
    </w:p>
    <w:p w14:paraId="2480E067">
      <w:pPr>
        <w:pStyle w:val="2"/>
        <w:keepNext/>
        <w:keepLines/>
        <w:autoSpaceDE/>
        <w:autoSpaceDN/>
        <w:spacing w:before="340" w:after="330"/>
        <w:jc w:val="both"/>
        <w:rPr>
          <w:rFonts w:hint="eastAsia" w:ascii="Cambria" w:hAnsi="Cambria" w:cs="Times New Roman"/>
          <w:kern w:val="44"/>
        </w:rPr>
      </w:pPr>
    </w:p>
    <w:p w14:paraId="7D4585AD">
      <w:pPr>
        <w:rPr>
          <w:rFonts w:hint="eastAsia"/>
        </w:rPr>
      </w:pPr>
    </w:p>
    <w:p w14:paraId="2C43E3DD">
      <w:pPr>
        <w:pStyle w:val="2"/>
        <w:keepNext/>
        <w:keepLines/>
        <w:autoSpaceDE/>
        <w:autoSpaceDN/>
        <w:spacing w:before="340" w:after="330"/>
        <w:ind w:firstLine="643"/>
        <w:jc w:val="center"/>
        <w:rPr>
          <w:rFonts w:ascii="Cambria" w:hAnsi="Cambria" w:cs="Times New Roman"/>
          <w:kern w:val="44"/>
        </w:rPr>
      </w:pPr>
      <w:r>
        <w:rPr>
          <w:rFonts w:hint="eastAsia" w:ascii="Cambria" w:hAnsi="Cambria" w:cs="Times New Roman"/>
          <w:kern w:val="44"/>
        </w:rPr>
        <w:t>第二章供应商须知</w:t>
      </w:r>
      <w:bookmarkEnd w:id="20"/>
    </w:p>
    <w:p w14:paraId="567A8E40">
      <w:pPr>
        <w:pStyle w:val="3"/>
        <w:keepNext/>
        <w:keepLines/>
        <w:autoSpaceDE/>
        <w:autoSpaceDN/>
        <w:spacing w:before="260" w:after="260"/>
        <w:ind w:right="0" w:firstLine="643"/>
        <w:rPr>
          <w:rFonts w:ascii="Cambria" w:hAnsi="Cambria" w:cs="Times New Roman"/>
          <w:b w:val="0"/>
          <w:bCs w:val="0"/>
        </w:rPr>
      </w:pPr>
      <w:r>
        <w:rPr>
          <w:rFonts w:hint="eastAsia" w:ascii="Cambria" w:hAnsi="Cambria" w:cs="Times New Roman"/>
          <w:b w:val="0"/>
          <w:bCs w:val="0"/>
        </w:rPr>
        <w:t>供应商须知前附表</w:t>
      </w:r>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2"/>
        <w:gridCol w:w="855"/>
        <w:gridCol w:w="1470"/>
        <w:gridCol w:w="6321"/>
      </w:tblGrid>
      <w:tr w14:paraId="2CB44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jc w:val="center"/>
        </w:trPr>
        <w:tc>
          <w:tcPr>
            <w:tcW w:w="812" w:type="dxa"/>
            <w:vAlign w:val="center"/>
          </w:tcPr>
          <w:p w14:paraId="25D5BB86">
            <w:pPr>
              <w:pStyle w:val="40"/>
              <w:spacing w:before="1"/>
              <w:ind w:right="163"/>
              <w:jc w:val="center"/>
              <w:rPr>
                <w:sz w:val="21"/>
                <w:szCs w:val="21"/>
              </w:rPr>
            </w:pPr>
            <w:r>
              <w:rPr>
                <w:sz w:val="21"/>
                <w:szCs w:val="21"/>
              </w:rPr>
              <w:t>序号</w:t>
            </w:r>
          </w:p>
        </w:tc>
        <w:tc>
          <w:tcPr>
            <w:tcW w:w="855" w:type="dxa"/>
            <w:vAlign w:val="center"/>
          </w:tcPr>
          <w:p w14:paraId="53906566">
            <w:pPr>
              <w:pStyle w:val="40"/>
              <w:spacing w:before="77"/>
              <w:ind w:right="176"/>
              <w:jc w:val="center"/>
              <w:rPr>
                <w:sz w:val="21"/>
                <w:szCs w:val="21"/>
              </w:rPr>
            </w:pPr>
            <w:r>
              <w:rPr>
                <w:sz w:val="21"/>
                <w:szCs w:val="21"/>
              </w:rPr>
              <w:t>条款</w:t>
            </w:r>
            <w:r>
              <w:rPr>
                <w:rFonts w:hint="eastAsia"/>
                <w:sz w:val="21"/>
                <w:szCs w:val="21"/>
              </w:rPr>
              <w:t>号</w:t>
            </w:r>
          </w:p>
        </w:tc>
        <w:tc>
          <w:tcPr>
            <w:tcW w:w="1470" w:type="dxa"/>
            <w:vAlign w:val="center"/>
          </w:tcPr>
          <w:p w14:paraId="491B5423">
            <w:pPr>
              <w:pStyle w:val="40"/>
              <w:spacing w:before="1"/>
              <w:ind w:right="165"/>
              <w:jc w:val="center"/>
              <w:rPr>
                <w:sz w:val="21"/>
                <w:szCs w:val="21"/>
              </w:rPr>
            </w:pPr>
            <w:r>
              <w:rPr>
                <w:sz w:val="21"/>
                <w:szCs w:val="21"/>
              </w:rPr>
              <w:t>条款名称</w:t>
            </w:r>
          </w:p>
        </w:tc>
        <w:tc>
          <w:tcPr>
            <w:tcW w:w="6321" w:type="dxa"/>
            <w:vAlign w:val="center"/>
          </w:tcPr>
          <w:p w14:paraId="0763D8C4">
            <w:pPr>
              <w:pStyle w:val="40"/>
              <w:spacing w:before="1"/>
              <w:ind w:right="115"/>
              <w:jc w:val="center"/>
              <w:rPr>
                <w:sz w:val="21"/>
                <w:szCs w:val="21"/>
              </w:rPr>
            </w:pPr>
            <w:r>
              <w:rPr>
                <w:sz w:val="21"/>
                <w:szCs w:val="21"/>
              </w:rPr>
              <w:t>内容、要求</w:t>
            </w:r>
          </w:p>
        </w:tc>
      </w:tr>
      <w:tr w14:paraId="19B5C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0" w:hRule="atLeast"/>
          <w:jc w:val="center"/>
        </w:trPr>
        <w:tc>
          <w:tcPr>
            <w:tcW w:w="812" w:type="dxa"/>
            <w:vAlign w:val="center"/>
          </w:tcPr>
          <w:p w14:paraId="13026902">
            <w:pPr>
              <w:spacing w:line="360" w:lineRule="auto"/>
              <w:ind w:firstLine="422"/>
              <w:jc w:val="center"/>
              <w:rPr>
                <w:sz w:val="21"/>
                <w:szCs w:val="21"/>
              </w:rPr>
            </w:pPr>
            <w:r>
              <w:rPr>
                <w:sz w:val="21"/>
                <w:szCs w:val="21"/>
              </w:rPr>
              <w:t>1</w:t>
            </w:r>
          </w:p>
        </w:tc>
        <w:tc>
          <w:tcPr>
            <w:tcW w:w="855" w:type="dxa"/>
            <w:vAlign w:val="center"/>
          </w:tcPr>
          <w:p w14:paraId="24BB40F3">
            <w:pPr>
              <w:spacing w:line="360" w:lineRule="auto"/>
              <w:ind w:firstLine="422"/>
              <w:jc w:val="center"/>
              <w:rPr>
                <w:sz w:val="21"/>
                <w:szCs w:val="21"/>
              </w:rPr>
            </w:pPr>
            <w:r>
              <w:rPr>
                <w:sz w:val="21"/>
                <w:szCs w:val="21"/>
              </w:rPr>
              <w:t>1.1</w:t>
            </w:r>
          </w:p>
        </w:tc>
        <w:tc>
          <w:tcPr>
            <w:tcW w:w="1470" w:type="dxa"/>
            <w:vAlign w:val="center"/>
          </w:tcPr>
          <w:p w14:paraId="0611F4B9">
            <w:pPr>
              <w:spacing w:line="360" w:lineRule="auto"/>
              <w:jc w:val="center"/>
              <w:rPr>
                <w:b w:val="0"/>
                <w:bCs w:val="0"/>
                <w:sz w:val="21"/>
                <w:szCs w:val="21"/>
              </w:rPr>
            </w:pPr>
            <w:r>
              <w:rPr>
                <w:b w:val="0"/>
                <w:bCs w:val="0"/>
                <w:sz w:val="21"/>
                <w:szCs w:val="21"/>
              </w:rPr>
              <w:t>项目名称及项目编号</w:t>
            </w:r>
          </w:p>
        </w:tc>
        <w:tc>
          <w:tcPr>
            <w:tcW w:w="6321" w:type="dxa"/>
            <w:vAlign w:val="center"/>
          </w:tcPr>
          <w:p w14:paraId="319C3C27">
            <w:pPr>
              <w:spacing w:line="360" w:lineRule="auto"/>
              <w:rPr>
                <w:b w:val="0"/>
                <w:bCs w:val="0"/>
                <w:sz w:val="21"/>
                <w:szCs w:val="21"/>
                <w:highlight w:val="none"/>
              </w:rPr>
            </w:pPr>
            <w:r>
              <w:rPr>
                <w:b w:val="0"/>
                <w:bCs w:val="0"/>
                <w:sz w:val="21"/>
                <w:szCs w:val="21"/>
                <w:highlight w:val="none"/>
              </w:rPr>
              <w:t>项目名称：广西壮族自治区临桂公路养护中心G322临桂艳滩村至罗江村K1662+000～K</w:t>
            </w:r>
            <w:r>
              <w:rPr>
                <w:rFonts w:hint="eastAsia"/>
                <w:b w:val="0"/>
                <w:bCs w:val="0"/>
                <w:sz w:val="21"/>
                <w:szCs w:val="21"/>
                <w:highlight w:val="none"/>
                <w:lang w:eastAsia="zh-CN"/>
              </w:rPr>
              <w:t>1663+000</w:t>
            </w:r>
            <w:r>
              <w:rPr>
                <w:b w:val="0"/>
                <w:bCs w:val="0"/>
                <w:sz w:val="21"/>
                <w:szCs w:val="21"/>
                <w:highlight w:val="none"/>
              </w:rPr>
              <w:t>段路面修复养护工程</w:t>
            </w:r>
          </w:p>
          <w:p w14:paraId="0A9F2D3B">
            <w:pPr>
              <w:spacing w:line="360" w:lineRule="auto"/>
              <w:rPr>
                <w:sz w:val="21"/>
                <w:szCs w:val="21"/>
              </w:rPr>
            </w:pPr>
            <w:r>
              <w:rPr>
                <w:b w:val="0"/>
                <w:bCs w:val="0"/>
                <w:sz w:val="21"/>
                <w:szCs w:val="21"/>
                <w:highlight w:val="none"/>
              </w:rPr>
              <w:t>项目编号：</w:t>
            </w:r>
            <w:r>
              <w:rPr>
                <w:rFonts w:hint="eastAsia"/>
                <w:b w:val="0"/>
                <w:bCs w:val="0"/>
                <w:sz w:val="21"/>
                <w:szCs w:val="21"/>
              </w:rPr>
              <w:t>GXZC2025-C2-000654-JGJD</w:t>
            </w:r>
          </w:p>
        </w:tc>
      </w:tr>
      <w:tr w14:paraId="5B1C0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jc w:val="center"/>
        </w:trPr>
        <w:tc>
          <w:tcPr>
            <w:tcW w:w="812" w:type="dxa"/>
            <w:vAlign w:val="center"/>
          </w:tcPr>
          <w:p w14:paraId="257B6535">
            <w:pPr>
              <w:spacing w:line="360" w:lineRule="auto"/>
              <w:ind w:firstLine="422"/>
              <w:jc w:val="center"/>
              <w:rPr>
                <w:sz w:val="21"/>
                <w:szCs w:val="21"/>
              </w:rPr>
            </w:pPr>
            <w:r>
              <w:rPr>
                <w:rFonts w:hint="eastAsia"/>
                <w:sz w:val="21"/>
                <w:szCs w:val="21"/>
              </w:rPr>
              <w:t>2</w:t>
            </w:r>
          </w:p>
        </w:tc>
        <w:tc>
          <w:tcPr>
            <w:tcW w:w="855" w:type="dxa"/>
            <w:vAlign w:val="center"/>
          </w:tcPr>
          <w:p w14:paraId="73A5FB52">
            <w:pPr>
              <w:spacing w:line="360" w:lineRule="auto"/>
              <w:ind w:firstLine="422"/>
              <w:jc w:val="center"/>
              <w:rPr>
                <w:sz w:val="21"/>
                <w:szCs w:val="21"/>
              </w:rPr>
            </w:pPr>
            <w:r>
              <w:rPr>
                <w:rFonts w:hint="eastAsia"/>
                <w:sz w:val="21"/>
                <w:szCs w:val="21"/>
              </w:rPr>
              <w:t>1.2</w:t>
            </w:r>
          </w:p>
        </w:tc>
        <w:tc>
          <w:tcPr>
            <w:tcW w:w="1470" w:type="dxa"/>
            <w:vAlign w:val="center"/>
          </w:tcPr>
          <w:p w14:paraId="0F924F61">
            <w:pPr>
              <w:spacing w:line="360" w:lineRule="auto"/>
              <w:jc w:val="center"/>
              <w:rPr>
                <w:b w:val="0"/>
                <w:bCs w:val="0"/>
                <w:sz w:val="21"/>
                <w:szCs w:val="21"/>
              </w:rPr>
            </w:pPr>
            <w:r>
              <w:rPr>
                <w:rFonts w:hint="eastAsia"/>
                <w:b w:val="0"/>
                <w:bCs w:val="0"/>
                <w:sz w:val="21"/>
                <w:szCs w:val="21"/>
              </w:rPr>
              <w:t>要求工期及质量标准</w:t>
            </w:r>
          </w:p>
        </w:tc>
        <w:tc>
          <w:tcPr>
            <w:tcW w:w="6321" w:type="dxa"/>
            <w:vAlign w:val="center"/>
          </w:tcPr>
          <w:p w14:paraId="117A44A3">
            <w:pPr>
              <w:spacing w:line="360" w:lineRule="auto"/>
              <w:ind w:firstLine="420" w:firstLineChars="200"/>
              <w:rPr>
                <w:sz w:val="21"/>
                <w:szCs w:val="21"/>
                <w:highlight w:val="none"/>
              </w:rPr>
            </w:pPr>
            <w:r>
              <w:rPr>
                <w:rFonts w:hint="eastAsia"/>
                <w:sz w:val="21"/>
                <w:szCs w:val="21"/>
                <w:highlight w:val="none"/>
              </w:rPr>
              <w:t>要求工期：</w:t>
            </w:r>
            <w:r>
              <w:rPr>
                <w:rFonts w:hint="eastAsia"/>
                <w:sz w:val="21"/>
                <w:szCs w:val="21"/>
                <w:highlight w:val="none"/>
                <w:lang w:val="en-US" w:eastAsia="zh-CN"/>
              </w:rPr>
              <w:t>60</w:t>
            </w:r>
            <w:r>
              <w:rPr>
                <w:rFonts w:hint="eastAsia"/>
                <w:sz w:val="21"/>
                <w:szCs w:val="21"/>
                <w:highlight w:val="none"/>
              </w:rPr>
              <w:t>日历天。</w:t>
            </w:r>
          </w:p>
          <w:p w14:paraId="6E427882">
            <w:pPr>
              <w:spacing w:line="360" w:lineRule="auto"/>
              <w:ind w:firstLine="420" w:firstLineChars="200"/>
              <w:rPr>
                <w:sz w:val="21"/>
                <w:szCs w:val="21"/>
              </w:rPr>
            </w:pPr>
            <w:r>
              <w:rPr>
                <w:rFonts w:hint="eastAsia"/>
                <w:sz w:val="21"/>
                <w:szCs w:val="21"/>
                <w:highlight w:val="none"/>
              </w:rPr>
              <w:t>质量标准：工程交工验收的质量评定：合格；竣工验收的质量评定：优良。</w:t>
            </w:r>
          </w:p>
        </w:tc>
      </w:tr>
      <w:tr w14:paraId="171C8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2" w:hRule="atLeast"/>
          <w:jc w:val="center"/>
        </w:trPr>
        <w:tc>
          <w:tcPr>
            <w:tcW w:w="812" w:type="dxa"/>
            <w:vAlign w:val="center"/>
          </w:tcPr>
          <w:p w14:paraId="2E667535">
            <w:pPr>
              <w:spacing w:line="360" w:lineRule="auto"/>
              <w:ind w:firstLine="422"/>
              <w:jc w:val="center"/>
              <w:rPr>
                <w:sz w:val="21"/>
                <w:szCs w:val="21"/>
              </w:rPr>
            </w:pPr>
            <w:r>
              <w:rPr>
                <w:rFonts w:hint="eastAsia"/>
                <w:sz w:val="21"/>
                <w:szCs w:val="21"/>
              </w:rPr>
              <w:t>3</w:t>
            </w:r>
          </w:p>
        </w:tc>
        <w:tc>
          <w:tcPr>
            <w:tcW w:w="855" w:type="dxa"/>
            <w:vAlign w:val="center"/>
          </w:tcPr>
          <w:p w14:paraId="409772EE">
            <w:pPr>
              <w:spacing w:line="360" w:lineRule="auto"/>
              <w:ind w:firstLine="422"/>
              <w:jc w:val="center"/>
              <w:rPr>
                <w:sz w:val="21"/>
                <w:szCs w:val="21"/>
              </w:rPr>
            </w:pPr>
            <w:r>
              <w:rPr>
                <w:rFonts w:hint="eastAsia"/>
                <w:sz w:val="21"/>
                <w:szCs w:val="21"/>
              </w:rPr>
              <w:t>3</w:t>
            </w:r>
          </w:p>
        </w:tc>
        <w:tc>
          <w:tcPr>
            <w:tcW w:w="1470" w:type="dxa"/>
            <w:vAlign w:val="center"/>
          </w:tcPr>
          <w:p w14:paraId="35464766">
            <w:pPr>
              <w:spacing w:line="360" w:lineRule="auto"/>
              <w:ind w:firstLine="422"/>
              <w:jc w:val="center"/>
              <w:rPr>
                <w:b w:val="0"/>
                <w:bCs w:val="0"/>
                <w:sz w:val="21"/>
                <w:szCs w:val="21"/>
              </w:rPr>
            </w:pPr>
            <w:r>
              <w:rPr>
                <w:rFonts w:hint="eastAsia"/>
                <w:b w:val="0"/>
                <w:bCs w:val="0"/>
                <w:sz w:val="21"/>
                <w:szCs w:val="21"/>
              </w:rPr>
              <w:t>供应商资格</w:t>
            </w:r>
          </w:p>
        </w:tc>
        <w:tc>
          <w:tcPr>
            <w:tcW w:w="6321" w:type="dxa"/>
            <w:vAlign w:val="center"/>
          </w:tcPr>
          <w:p w14:paraId="1A6C4428">
            <w:pPr>
              <w:spacing w:line="360" w:lineRule="auto"/>
              <w:ind w:firstLine="420" w:firstLineChars="200"/>
              <w:rPr>
                <w:rFonts w:hint="eastAsia"/>
                <w:sz w:val="21"/>
                <w:szCs w:val="21"/>
              </w:rPr>
            </w:pPr>
            <w:r>
              <w:rPr>
                <w:rFonts w:hint="eastAsia"/>
                <w:sz w:val="21"/>
                <w:szCs w:val="21"/>
              </w:rPr>
              <w:t>1、必须是在国家工商行政部门注册，具有有效的营业执照、有效的安全生产许可证，并在人员、设备、资金等方面具有相应的施工能力。</w:t>
            </w:r>
          </w:p>
          <w:p w14:paraId="14FD081F">
            <w:pPr>
              <w:spacing w:line="360" w:lineRule="auto"/>
              <w:ind w:firstLine="420" w:firstLineChars="200"/>
              <w:rPr>
                <w:rFonts w:hint="eastAsia"/>
                <w:sz w:val="21"/>
                <w:szCs w:val="21"/>
              </w:rPr>
            </w:pPr>
            <w:r>
              <w:rPr>
                <w:rFonts w:hint="eastAsia"/>
                <w:sz w:val="21"/>
                <w:szCs w:val="21"/>
              </w:rPr>
              <w:t>2、满足《中华人民共和国政府采购法》第二十二条规定。</w:t>
            </w:r>
          </w:p>
          <w:p w14:paraId="47F20FA8">
            <w:pPr>
              <w:spacing w:line="360" w:lineRule="auto"/>
              <w:ind w:firstLine="420" w:firstLineChars="200"/>
              <w:rPr>
                <w:rFonts w:hint="eastAsia"/>
                <w:sz w:val="21"/>
                <w:szCs w:val="21"/>
              </w:rPr>
            </w:pPr>
            <w:r>
              <w:rPr>
                <w:rFonts w:hint="eastAsia"/>
                <w:sz w:val="21"/>
                <w:szCs w:val="21"/>
              </w:rPr>
              <w:t>3、落实政府采购政策需满足的资格要求：本项目专门面向中小企业采购。</w:t>
            </w:r>
          </w:p>
          <w:p w14:paraId="6D4035B3">
            <w:pPr>
              <w:spacing w:line="360" w:lineRule="auto"/>
              <w:ind w:firstLine="420" w:firstLineChars="200"/>
              <w:rPr>
                <w:sz w:val="21"/>
                <w:szCs w:val="21"/>
              </w:rPr>
            </w:pPr>
            <w:r>
              <w:rPr>
                <w:rFonts w:hint="eastAsia"/>
                <w:sz w:val="21"/>
                <w:szCs w:val="21"/>
              </w:rPr>
              <w:t>4、本项目的特定资格要求：供应商资质应同时具备以下条件:</w:t>
            </w:r>
          </w:p>
          <w:p w14:paraId="730F0199">
            <w:pPr>
              <w:spacing w:line="360" w:lineRule="auto"/>
              <w:ind w:firstLine="420" w:firstLineChars="200"/>
              <w:rPr>
                <w:sz w:val="21"/>
                <w:szCs w:val="21"/>
              </w:rPr>
            </w:pPr>
            <w:r>
              <w:rPr>
                <w:rFonts w:hint="eastAsia"/>
                <w:sz w:val="21"/>
                <w:szCs w:val="21"/>
              </w:rPr>
              <w:t>具备有效的路基路面养护乙级以上（含乙级）资质，同时具备交通安全设施养护资质。如无交通安全设施养护资质，仅具备有效路基路面养护乙级以上（含乙级）资质的也同样可以进行投标，但必须将交通安全设施工程量分包给具备实施交通安全设施养护资质的企业。</w:t>
            </w:r>
          </w:p>
          <w:p w14:paraId="68A0EB74">
            <w:pPr>
              <w:spacing w:line="360" w:lineRule="auto"/>
              <w:ind w:firstLine="420" w:firstLineChars="200"/>
              <w:rPr>
                <w:sz w:val="21"/>
                <w:szCs w:val="21"/>
              </w:rPr>
            </w:pPr>
            <w:r>
              <w:rPr>
                <w:rFonts w:hint="eastAsia"/>
                <w:sz w:val="21"/>
                <w:szCs w:val="21"/>
              </w:rPr>
              <w:t>注：（1）公路养护作业单位资质按照《公路养护作业单位资质管理办法》（中华人民共和国交通运输部令2021年第22号）和《广西壮族自治区交通运输厅关于印发广西公路养护作业单位资质管理实施细则的通知》等文件要求，根据招标项目具体特点和实际情况确定。</w:t>
            </w:r>
          </w:p>
          <w:p w14:paraId="3120EFFA">
            <w:pPr>
              <w:numPr>
                <w:ilvl w:val="0"/>
                <w:numId w:val="1"/>
              </w:numPr>
              <w:spacing w:line="360" w:lineRule="auto"/>
              <w:ind w:firstLine="420" w:firstLineChars="200"/>
              <w:rPr>
                <w:rFonts w:hint="eastAsia"/>
                <w:sz w:val="21"/>
                <w:szCs w:val="21"/>
              </w:rPr>
            </w:pPr>
            <w:r>
              <w:rPr>
                <w:rFonts w:hint="eastAsia"/>
                <w:sz w:val="21"/>
                <w:szCs w:val="21"/>
                <w:lang w:eastAsia="zh-CN"/>
              </w:rPr>
              <w:t>供应商</w:t>
            </w:r>
            <w:r>
              <w:rPr>
                <w:rFonts w:hint="eastAsia"/>
                <w:sz w:val="21"/>
                <w:szCs w:val="21"/>
              </w:rPr>
              <w:t>应进入交通运输部“全国公路建设市场监督管理管理系统（https://hwdms.mot.gov.cn/BMWebSite）”中的公路工程施工资质企业名录，且</w:t>
            </w:r>
            <w:r>
              <w:rPr>
                <w:rFonts w:hint="eastAsia"/>
                <w:sz w:val="21"/>
                <w:szCs w:val="21"/>
                <w:lang w:eastAsia="zh-CN"/>
              </w:rPr>
              <w:t>供应商</w:t>
            </w:r>
            <w:r>
              <w:rPr>
                <w:rFonts w:hint="eastAsia"/>
                <w:sz w:val="21"/>
                <w:szCs w:val="21"/>
              </w:rPr>
              <w:t>名称和资质与该名录中的相应企业名称和资质完全一致。</w:t>
            </w:r>
          </w:p>
          <w:p w14:paraId="14B7E206">
            <w:pPr>
              <w:numPr>
                <w:ilvl w:val="-1"/>
                <w:numId w:val="0"/>
              </w:numPr>
              <w:spacing w:line="360" w:lineRule="auto"/>
              <w:ind w:firstLine="0" w:firstLineChars="0"/>
              <w:rPr>
                <w:rFonts w:hint="eastAsia"/>
                <w:sz w:val="21"/>
                <w:szCs w:val="21"/>
              </w:rPr>
            </w:pPr>
            <w:r>
              <w:rPr>
                <w:rFonts w:hint="eastAsia"/>
                <w:sz w:val="21"/>
                <w:szCs w:val="21"/>
              </w:rPr>
              <w:t>特别说明：</w:t>
            </w:r>
          </w:p>
          <w:p w14:paraId="0F3493DA">
            <w:pPr>
              <w:numPr>
                <w:ilvl w:val="-1"/>
                <w:numId w:val="0"/>
              </w:numPr>
              <w:spacing w:line="360" w:lineRule="auto"/>
              <w:ind w:firstLine="0" w:firstLineChars="0"/>
              <w:rPr>
                <w:rFonts w:hint="eastAsia"/>
                <w:sz w:val="21"/>
                <w:szCs w:val="21"/>
              </w:rPr>
            </w:pPr>
            <w:r>
              <w:rPr>
                <w:rFonts w:hint="eastAsia"/>
                <w:sz w:val="21"/>
                <w:szCs w:val="21"/>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F1E887F">
            <w:pPr>
              <w:numPr>
                <w:ilvl w:val="-1"/>
                <w:numId w:val="0"/>
              </w:numPr>
              <w:spacing w:line="360" w:lineRule="auto"/>
              <w:ind w:firstLine="0" w:firstLineChars="0"/>
              <w:rPr>
                <w:rFonts w:hint="eastAsia"/>
                <w:sz w:val="21"/>
                <w:szCs w:val="21"/>
              </w:rPr>
            </w:pPr>
            <w:r>
              <w:rPr>
                <w:rFonts w:hint="eastAsia"/>
                <w:sz w:val="21"/>
                <w:szCs w:val="21"/>
              </w:rPr>
              <w:t>（2）对在“信用中国”网站(www.creditchina.gov.cn)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638F4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3" w:hRule="atLeast"/>
          <w:jc w:val="center"/>
        </w:trPr>
        <w:tc>
          <w:tcPr>
            <w:tcW w:w="812" w:type="dxa"/>
            <w:vAlign w:val="center"/>
          </w:tcPr>
          <w:p w14:paraId="7001145B">
            <w:pPr>
              <w:spacing w:line="360" w:lineRule="auto"/>
              <w:ind w:firstLine="422"/>
              <w:jc w:val="center"/>
              <w:rPr>
                <w:sz w:val="21"/>
                <w:szCs w:val="21"/>
              </w:rPr>
            </w:pPr>
            <w:r>
              <w:rPr>
                <w:rFonts w:hint="eastAsia"/>
                <w:sz w:val="21"/>
                <w:szCs w:val="21"/>
              </w:rPr>
              <w:t>4</w:t>
            </w:r>
          </w:p>
        </w:tc>
        <w:tc>
          <w:tcPr>
            <w:tcW w:w="855" w:type="dxa"/>
            <w:vAlign w:val="center"/>
          </w:tcPr>
          <w:p w14:paraId="16D6804A">
            <w:pPr>
              <w:spacing w:line="360" w:lineRule="auto"/>
              <w:ind w:firstLine="422"/>
              <w:jc w:val="center"/>
              <w:rPr>
                <w:sz w:val="21"/>
                <w:szCs w:val="21"/>
              </w:rPr>
            </w:pPr>
            <w:r>
              <w:rPr>
                <w:rFonts w:hint="eastAsia"/>
                <w:sz w:val="21"/>
                <w:szCs w:val="21"/>
              </w:rPr>
              <w:t>4</w:t>
            </w:r>
          </w:p>
        </w:tc>
        <w:tc>
          <w:tcPr>
            <w:tcW w:w="1470" w:type="dxa"/>
            <w:vAlign w:val="center"/>
          </w:tcPr>
          <w:p w14:paraId="6F514019">
            <w:pPr>
              <w:spacing w:line="360" w:lineRule="auto"/>
              <w:ind w:firstLine="422"/>
              <w:jc w:val="center"/>
              <w:rPr>
                <w:sz w:val="21"/>
                <w:szCs w:val="21"/>
              </w:rPr>
            </w:pPr>
            <w:r>
              <w:rPr>
                <w:rFonts w:hint="eastAsia"/>
                <w:sz w:val="21"/>
                <w:szCs w:val="21"/>
              </w:rPr>
              <w:t>参与电子竞标的准备</w:t>
            </w:r>
          </w:p>
          <w:p w14:paraId="38EBAE40">
            <w:pPr>
              <w:spacing w:line="360" w:lineRule="auto"/>
              <w:ind w:firstLine="422"/>
              <w:jc w:val="center"/>
              <w:rPr>
                <w:sz w:val="21"/>
                <w:szCs w:val="21"/>
              </w:rPr>
            </w:pPr>
            <w:r>
              <w:rPr>
                <w:rFonts w:hint="eastAsia"/>
                <w:sz w:val="21"/>
                <w:szCs w:val="21"/>
              </w:rPr>
              <w:t>工作</w:t>
            </w:r>
          </w:p>
        </w:tc>
        <w:tc>
          <w:tcPr>
            <w:tcW w:w="6321" w:type="dxa"/>
            <w:vAlign w:val="center"/>
          </w:tcPr>
          <w:p w14:paraId="3DE6B6D5">
            <w:pPr>
              <w:spacing w:line="360" w:lineRule="auto"/>
              <w:ind w:firstLine="420" w:firstLineChars="200"/>
              <w:rPr>
                <w:sz w:val="21"/>
                <w:szCs w:val="21"/>
              </w:rPr>
            </w:pPr>
            <w:r>
              <w:rPr>
                <w:rFonts w:hint="eastAsia"/>
                <w:sz w:val="21"/>
                <w:szCs w:val="21"/>
              </w:rPr>
              <w:t>4.1本项目实行全流程电子化采购，供应商通过“广西政府采购云平台”参与电子竞标，并应做好以下相关准备工作：①在“广西政采购云平台”注册成为正式供应商（操作方法详见广西壮族自治区府</w:t>
            </w:r>
          </w:p>
          <w:p w14:paraId="66AE296C">
            <w:pPr>
              <w:spacing w:line="360" w:lineRule="auto"/>
              <w:ind w:firstLine="422"/>
              <w:rPr>
                <w:sz w:val="21"/>
                <w:szCs w:val="21"/>
              </w:rPr>
            </w:pPr>
            <w:r>
              <w:rPr>
                <w:rFonts w:hint="eastAsia"/>
                <w:sz w:val="21"/>
                <w:szCs w:val="21"/>
              </w:rPr>
              <w:t>采购网—办事服务—办事指南）；②完成CA证书申领和绑定（由供应商自行承担，办理流程详见广西壮族自治区政府采购网—办事服务—下载专区</w:t>
            </w:r>
            <w:r>
              <w:rPr>
                <w:rFonts w:hint="eastAsia"/>
                <w:sz w:val="21"/>
                <w:szCs w:val="21"/>
                <w:lang w:val="en-US" w:eastAsia="zh-CN"/>
              </w:rPr>
              <w:t>)</w:t>
            </w:r>
            <w:r>
              <w:rPr>
                <w:rFonts w:hint="eastAsia"/>
                <w:sz w:val="21"/>
                <w:szCs w:val="21"/>
              </w:rPr>
              <w:t>，完成CA证书办理预计一周左右，建议供应商快办理）；③下载“广西壮族自治区全流程电子招投标项目管理系统--供应商客户端”（操作方法详见广西壮族自治区政府采购网—办事服务—下载专区，以下称“广西政府采购云平台电子投标客端”）并安装成功，供应商应当在响应文件提交截止时间前在“广西政府采购云平台”完成的身份认证，确保能够对相关数据电文进行加密和使用电子签章；④自备计算机和网络设备并确保能接入互联网（费用由供应商自行承担，设备确保可进行视频通话和读取广西政府采购云平台CA证书）。因供应商未做好相关准备工作等自身原因导致无法参加本项目电子竞标或竞标失败的，造成的一切后果，由供应商自行承担。</w:t>
            </w:r>
          </w:p>
          <w:p w14:paraId="630CAB5E">
            <w:pPr>
              <w:spacing w:line="360" w:lineRule="auto"/>
              <w:ind w:firstLine="420" w:firstLineChars="200"/>
              <w:rPr>
                <w:sz w:val="21"/>
                <w:szCs w:val="21"/>
              </w:rPr>
            </w:pPr>
            <w:r>
              <w:rPr>
                <w:rFonts w:hint="eastAsia"/>
                <w:sz w:val="21"/>
                <w:szCs w:val="21"/>
              </w:rPr>
              <w:t>4.2电子竞标具体操作流程参考《政府采购项目电子交易管理操作指南-供应商》（详见桂林市政府采购网—采购资讯—重要通知）；如遇平台技术问题详询95763。</w:t>
            </w:r>
          </w:p>
          <w:p w14:paraId="5D927FA0">
            <w:pPr>
              <w:spacing w:line="360" w:lineRule="auto"/>
              <w:ind w:firstLine="420" w:firstLineChars="200"/>
              <w:rPr>
                <w:sz w:val="21"/>
                <w:szCs w:val="21"/>
              </w:rPr>
            </w:pPr>
            <w:r>
              <w:rPr>
                <w:rFonts w:hint="eastAsia"/>
                <w:sz w:val="21"/>
                <w:szCs w:val="21"/>
              </w:rPr>
              <w:t>4.3不论磋商结果如何，供应商均应自行承担所有与磋商有关的全部费用。</w:t>
            </w:r>
          </w:p>
        </w:tc>
      </w:tr>
      <w:tr w14:paraId="55881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5FA304C0">
            <w:pPr>
              <w:spacing w:line="360" w:lineRule="auto"/>
              <w:ind w:firstLine="422"/>
              <w:jc w:val="center"/>
              <w:rPr>
                <w:sz w:val="21"/>
                <w:szCs w:val="21"/>
              </w:rPr>
            </w:pPr>
            <w:r>
              <w:rPr>
                <w:rFonts w:hint="eastAsia"/>
                <w:sz w:val="21"/>
                <w:szCs w:val="21"/>
              </w:rPr>
              <w:t>5</w:t>
            </w:r>
          </w:p>
        </w:tc>
        <w:tc>
          <w:tcPr>
            <w:tcW w:w="855" w:type="dxa"/>
            <w:vAlign w:val="center"/>
          </w:tcPr>
          <w:p w14:paraId="511EB34E">
            <w:pPr>
              <w:spacing w:line="360" w:lineRule="auto"/>
              <w:ind w:firstLine="422"/>
              <w:jc w:val="center"/>
              <w:rPr>
                <w:sz w:val="21"/>
                <w:szCs w:val="21"/>
              </w:rPr>
            </w:pPr>
            <w:r>
              <w:rPr>
                <w:rFonts w:hint="eastAsia"/>
                <w:sz w:val="21"/>
                <w:szCs w:val="21"/>
              </w:rPr>
              <w:t>13</w:t>
            </w:r>
          </w:p>
        </w:tc>
        <w:tc>
          <w:tcPr>
            <w:tcW w:w="1470" w:type="dxa"/>
            <w:vAlign w:val="center"/>
          </w:tcPr>
          <w:p w14:paraId="1811DFC2">
            <w:pPr>
              <w:spacing w:line="360" w:lineRule="auto"/>
              <w:ind w:firstLine="422"/>
              <w:jc w:val="center"/>
              <w:rPr>
                <w:sz w:val="21"/>
                <w:szCs w:val="21"/>
              </w:rPr>
            </w:pPr>
            <w:r>
              <w:rPr>
                <w:rFonts w:hint="eastAsia"/>
                <w:b/>
                <w:bCs/>
                <w:sz w:val="21"/>
                <w:szCs w:val="21"/>
              </w:rPr>
              <w:t>磋商报价及采购预算金额</w:t>
            </w:r>
          </w:p>
        </w:tc>
        <w:tc>
          <w:tcPr>
            <w:tcW w:w="6321" w:type="dxa"/>
            <w:vAlign w:val="center"/>
          </w:tcPr>
          <w:p w14:paraId="733324B3">
            <w:pPr>
              <w:spacing w:line="360" w:lineRule="auto"/>
              <w:ind w:firstLine="420" w:firstLineChars="200"/>
              <w:rPr>
                <w:sz w:val="21"/>
                <w:szCs w:val="21"/>
              </w:rPr>
            </w:pPr>
            <w:r>
              <w:rPr>
                <w:rFonts w:hint="eastAsia"/>
                <w:sz w:val="21"/>
                <w:szCs w:val="21"/>
              </w:rPr>
              <w:t>13.1供应商必须就“项目需求”中的所有内容作完整唯一报价，响应文件只允许有一个报价，有选择的或有条件的报价将不予接受。</w:t>
            </w:r>
          </w:p>
          <w:p w14:paraId="4E0441FB">
            <w:pPr>
              <w:spacing w:line="360" w:lineRule="auto"/>
              <w:ind w:firstLine="420" w:firstLineChars="200"/>
              <w:rPr>
                <w:rFonts w:hint="eastAsia"/>
                <w:sz w:val="21"/>
                <w:szCs w:val="21"/>
              </w:rPr>
            </w:pPr>
            <w:r>
              <w:rPr>
                <w:rFonts w:hint="eastAsia"/>
                <w:b w:val="0"/>
                <w:bCs w:val="0"/>
                <w:color w:val="auto"/>
                <w:sz w:val="21"/>
                <w:szCs w:val="21"/>
                <w:highlight w:val="none"/>
              </w:rPr>
              <w:t>13.2采购预算金额（控制价）（人民币）：</w:t>
            </w:r>
            <w:r>
              <w:rPr>
                <w:rFonts w:hint="eastAsia"/>
                <w:b w:val="0"/>
                <w:bCs w:val="0"/>
                <w:color w:val="auto"/>
                <w:sz w:val="21"/>
                <w:szCs w:val="21"/>
                <w:highlight w:val="none"/>
                <w:u w:val="single"/>
                <w:lang w:val="en-US" w:eastAsia="zh-CN"/>
              </w:rPr>
              <w:t>壹佰伍拾肆万贰仟捌佰叁拾捌元（¥1542838）</w:t>
            </w:r>
            <w:r>
              <w:rPr>
                <w:rFonts w:hint="eastAsia"/>
                <w:b w:val="0"/>
                <w:bCs w:val="0"/>
                <w:color w:val="auto"/>
                <w:sz w:val="21"/>
                <w:szCs w:val="21"/>
                <w:highlight w:val="none"/>
              </w:rPr>
              <w:t>。</w:t>
            </w:r>
          </w:p>
          <w:p w14:paraId="3ABD1DFF">
            <w:pPr>
              <w:pStyle w:val="12"/>
              <w:spacing w:line="360" w:lineRule="auto"/>
              <w:ind w:firstLine="420" w:firstLineChars="200"/>
              <w:rPr>
                <w:rFonts w:hint="eastAsia" w:cs="宋体"/>
                <w:sz w:val="21"/>
                <w:szCs w:val="21"/>
                <w:lang w:val="en-US" w:eastAsia="zh-CN" w:bidi="ar-SA"/>
              </w:rPr>
            </w:pPr>
            <w:r>
              <w:rPr>
                <w:rFonts w:hint="eastAsia" w:ascii="宋体" w:hAnsi="宋体" w:eastAsia="宋体" w:cs="宋体"/>
                <w:sz w:val="21"/>
                <w:szCs w:val="21"/>
                <w:lang w:val="en-US" w:eastAsia="zh-CN" w:bidi="ar-SA"/>
              </w:rPr>
              <w:t>招标人设置最高投标限价</w:t>
            </w:r>
            <w:r>
              <w:rPr>
                <w:rFonts w:hint="eastAsia" w:cs="宋体"/>
                <w:sz w:val="21"/>
                <w:szCs w:val="21"/>
                <w:lang w:val="en-US" w:eastAsia="zh-CN" w:bidi="ar-SA"/>
              </w:rPr>
              <w:t>，设置</w:t>
            </w:r>
            <w:r>
              <w:rPr>
                <w:rFonts w:hint="eastAsia" w:ascii="宋体" w:hAnsi="宋体" w:eastAsia="宋体" w:cs="宋体"/>
                <w:sz w:val="21"/>
                <w:szCs w:val="21"/>
                <w:lang w:val="en-US" w:eastAsia="zh-CN" w:bidi="ar-SA"/>
              </w:rPr>
              <w:t>工程量清单全子目的上限价</w:t>
            </w:r>
            <w:r>
              <w:rPr>
                <w:rFonts w:hint="eastAsia" w:cs="宋体"/>
                <w:sz w:val="21"/>
                <w:szCs w:val="21"/>
                <w:lang w:val="en-US" w:eastAsia="zh-CN" w:bidi="ar-SA"/>
              </w:rPr>
              <w:t>（不含总则）</w:t>
            </w:r>
            <w:r>
              <w:rPr>
                <w:rFonts w:hint="eastAsia" w:ascii="宋体" w:hAnsi="宋体" w:eastAsia="宋体" w:cs="宋体"/>
                <w:sz w:val="21"/>
                <w:szCs w:val="21"/>
                <w:lang w:val="en-US" w:eastAsia="zh-CN" w:bidi="ar-SA"/>
              </w:rPr>
              <w:t>，</w:t>
            </w:r>
            <w:r>
              <w:rPr>
                <w:rFonts w:hint="eastAsia" w:cs="宋体"/>
                <w:sz w:val="21"/>
                <w:szCs w:val="21"/>
                <w:lang w:val="en-US" w:eastAsia="zh-CN" w:bidi="ar-SA"/>
              </w:rPr>
              <w:t>供应商</w:t>
            </w:r>
            <w:r>
              <w:rPr>
                <w:rFonts w:hint="eastAsia" w:ascii="宋体" w:hAnsi="宋体" w:eastAsia="宋体" w:cs="宋体"/>
                <w:sz w:val="21"/>
                <w:szCs w:val="21"/>
                <w:lang w:val="en-US" w:eastAsia="zh-CN" w:bidi="ar-SA"/>
              </w:rPr>
              <w:t>的</w:t>
            </w:r>
            <w:r>
              <w:rPr>
                <w:rFonts w:hint="eastAsia"/>
                <w:b w:val="0"/>
                <w:bCs w:val="0"/>
                <w:color w:val="auto"/>
                <w:sz w:val="21"/>
                <w:szCs w:val="21"/>
                <w:highlight w:val="none"/>
              </w:rPr>
              <w:t>磋商</w:t>
            </w:r>
            <w:r>
              <w:rPr>
                <w:rFonts w:hint="eastAsia" w:ascii="宋体" w:hAnsi="宋体" w:eastAsia="宋体" w:cs="宋体"/>
                <w:sz w:val="21"/>
                <w:szCs w:val="21"/>
                <w:lang w:val="en-US" w:eastAsia="zh-CN" w:bidi="ar-SA"/>
              </w:rPr>
              <w:t>报价总价不能高于最高投标限价总价、工程量清单子目单价不得高于招标人设置的子目上限价，否则， 其</w:t>
            </w:r>
            <w:r>
              <w:rPr>
                <w:rFonts w:hint="eastAsia" w:cs="宋体"/>
                <w:sz w:val="21"/>
                <w:szCs w:val="21"/>
                <w:lang w:val="en-US" w:eastAsia="zh-CN" w:bidi="ar-SA"/>
              </w:rPr>
              <w:t>响应文件</w:t>
            </w:r>
            <w:r>
              <w:rPr>
                <w:rFonts w:hint="eastAsia" w:ascii="宋体" w:hAnsi="宋体" w:eastAsia="宋体" w:cs="宋体"/>
                <w:sz w:val="21"/>
                <w:szCs w:val="21"/>
                <w:lang w:val="en-US" w:eastAsia="zh-CN" w:bidi="ar-SA"/>
              </w:rPr>
              <w:t>将视为无效， 作否决投标处理</w:t>
            </w:r>
            <w:r>
              <w:rPr>
                <w:rFonts w:hint="eastAsia" w:cs="宋体"/>
                <w:sz w:val="21"/>
                <w:szCs w:val="21"/>
                <w:lang w:val="en-US" w:eastAsia="zh-CN" w:bidi="ar-SA"/>
              </w:rPr>
              <w:t>。</w:t>
            </w:r>
          </w:p>
          <w:p w14:paraId="05C84C36">
            <w:pPr>
              <w:pStyle w:val="12"/>
              <w:spacing w:line="360" w:lineRule="auto"/>
              <w:ind w:firstLine="422" w:firstLineChars="200"/>
              <w:rPr>
                <w:b/>
                <w:bCs/>
                <w:color w:val="auto"/>
                <w:highlight w:val="none"/>
              </w:rPr>
            </w:pPr>
            <w:r>
              <w:rPr>
                <w:rFonts w:hint="eastAsia"/>
                <w:b/>
                <w:bCs/>
                <w:color w:val="auto"/>
                <w:highlight w:val="none"/>
              </w:rPr>
              <w:t>承包人必须完成本合同工程路容路貌整治、排水系统整治工作，</w:t>
            </w:r>
            <w:r>
              <w:rPr>
                <w:rFonts w:hint="eastAsia"/>
                <w:b/>
                <w:bCs/>
                <w:color w:val="auto"/>
                <w:highlight w:val="none"/>
                <w:lang w:eastAsia="zh-CN"/>
              </w:rPr>
              <w:t>拆除的旧安全设施属于业主所有，运至业主指定的地点。</w:t>
            </w:r>
            <w:r>
              <w:rPr>
                <w:rFonts w:hint="eastAsia"/>
                <w:b/>
                <w:bCs/>
                <w:color w:val="auto"/>
                <w:highlight w:val="none"/>
              </w:rPr>
              <w:t>其费用应视为已分摊在本合同工程的有关子目的单价或总额价之中。</w:t>
            </w:r>
          </w:p>
          <w:p w14:paraId="3E15AA5F">
            <w:pPr>
              <w:spacing w:line="360" w:lineRule="auto"/>
              <w:ind w:firstLine="420" w:firstLineChars="200"/>
              <w:rPr>
                <w:sz w:val="21"/>
                <w:szCs w:val="21"/>
              </w:rPr>
            </w:pPr>
            <w:r>
              <w:rPr>
                <w:rFonts w:hint="eastAsia"/>
                <w:sz w:val="21"/>
                <w:szCs w:val="21"/>
              </w:rPr>
              <w:t>13.3磋商报价包括各种人力成本、</w:t>
            </w:r>
            <w:r>
              <w:rPr>
                <w:rFonts w:hint="eastAsia"/>
                <w:sz w:val="21"/>
                <w:szCs w:val="21"/>
                <w:lang w:eastAsia="zh-CN"/>
              </w:rPr>
              <w:t>材料</w:t>
            </w:r>
            <w:r>
              <w:rPr>
                <w:rFonts w:hint="eastAsia"/>
                <w:sz w:val="21"/>
                <w:szCs w:val="21"/>
              </w:rPr>
              <w:t>成本</w:t>
            </w:r>
            <w:r>
              <w:rPr>
                <w:rFonts w:hint="eastAsia"/>
                <w:sz w:val="21"/>
                <w:szCs w:val="21"/>
                <w:lang w:eastAsia="zh-CN"/>
              </w:rPr>
              <w:t>、</w:t>
            </w:r>
            <w:r>
              <w:rPr>
                <w:rFonts w:hint="eastAsia"/>
                <w:sz w:val="21"/>
                <w:szCs w:val="21"/>
              </w:rPr>
              <w:t>设备成本、资料费、服务费、税费及合同实施过程中的应预见费用等完成合同规定责任和义务，其他相关费用等完成本项目工程所需的一切费用，供应商综合考虑在报价中。</w:t>
            </w:r>
          </w:p>
          <w:p w14:paraId="4687C7A2">
            <w:pPr>
              <w:spacing w:line="360" w:lineRule="auto"/>
              <w:ind w:firstLine="420" w:firstLineChars="200"/>
              <w:rPr>
                <w:rFonts w:hint="eastAsia"/>
                <w:sz w:val="21"/>
                <w:szCs w:val="21"/>
                <w:highlight w:val="none"/>
              </w:rPr>
            </w:pPr>
            <w:r>
              <w:rPr>
                <w:rFonts w:hint="eastAsia"/>
                <w:sz w:val="21"/>
                <w:szCs w:val="21"/>
              </w:rPr>
              <w:t>13.4未书面退出磋商的供应商必须在规定时间内登录“广西政府采购云平台”在线提交最后报价，其最后报价不得超出采购预算；磋</w:t>
            </w:r>
            <w:r>
              <w:rPr>
                <w:rFonts w:hint="eastAsia"/>
                <w:sz w:val="21"/>
                <w:szCs w:val="21"/>
                <w:highlight w:val="none"/>
              </w:rPr>
              <w:t>商过程中磋商文件未作实质性变动的，最后报价不得超过首次报价。</w:t>
            </w:r>
          </w:p>
          <w:p w14:paraId="3A228475">
            <w:pPr>
              <w:spacing w:line="360" w:lineRule="auto"/>
              <w:ind w:firstLine="420" w:firstLineChars="200"/>
              <w:rPr>
                <w:rFonts w:hint="eastAsia"/>
                <w:sz w:val="21"/>
                <w:szCs w:val="21"/>
              </w:rPr>
            </w:pPr>
            <w:r>
              <w:rPr>
                <w:rFonts w:hint="eastAsia"/>
                <w:sz w:val="21"/>
                <w:szCs w:val="21"/>
                <w:highlight w:val="none"/>
              </w:rPr>
              <w:t>注：供应商的第二次磋商报价不得高于该供应商第一次磋商报价，否则做无效竞标处理。如供应商维持磋商报价不变，以原磋商报价作为供应商最后报价；如供应商需要改变原磋商报价时，供应商应预先准备好调整后的完整已标价的工程量清单（如有，上传到附件）。如供应商在磋商过程中，改变原报价且未按竞争性磋商文件要求提供调整后的已标价的工程量清单，其报价不予认可，视为供应商维持原磋商报价不变。</w:t>
            </w:r>
          </w:p>
        </w:tc>
      </w:tr>
      <w:tr w14:paraId="5E6AF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5693F739">
            <w:pPr>
              <w:spacing w:line="360" w:lineRule="auto"/>
              <w:ind w:firstLine="422"/>
              <w:jc w:val="center"/>
              <w:rPr>
                <w:sz w:val="21"/>
                <w:szCs w:val="21"/>
              </w:rPr>
            </w:pPr>
            <w:r>
              <w:rPr>
                <w:rFonts w:hint="eastAsia"/>
                <w:sz w:val="21"/>
                <w:szCs w:val="21"/>
              </w:rPr>
              <w:t>6</w:t>
            </w:r>
          </w:p>
        </w:tc>
        <w:tc>
          <w:tcPr>
            <w:tcW w:w="855" w:type="dxa"/>
            <w:vAlign w:val="center"/>
          </w:tcPr>
          <w:p w14:paraId="37A2B4DB">
            <w:pPr>
              <w:spacing w:line="360" w:lineRule="auto"/>
              <w:ind w:firstLine="422"/>
              <w:jc w:val="center"/>
              <w:rPr>
                <w:sz w:val="21"/>
                <w:szCs w:val="21"/>
              </w:rPr>
            </w:pPr>
            <w:r>
              <w:rPr>
                <w:rFonts w:hint="eastAsia"/>
                <w:sz w:val="21"/>
                <w:szCs w:val="21"/>
              </w:rPr>
              <w:t>14.1</w:t>
            </w:r>
          </w:p>
        </w:tc>
        <w:tc>
          <w:tcPr>
            <w:tcW w:w="1470" w:type="dxa"/>
            <w:vAlign w:val="center"/>
          </w:tcPr>
          <w:p w14:paraId="00E2870D">
            <w:pPr>
              <w:spacing w:line="360" w:lineRule="auto"/>
              <w:ind w:firstLine="422"/>
              <w:jc w:val="center"/>
              <w:rPr>
                <w:b/>
                <w:bCs/>
                <w:sz w:val="21"/>
                <w:szCs w:val="21"/>
              </w:rPr>
            </w:pPr>
            <w:r>
              <w:rPr>
                <w:rFonts w:hint="eastAsia"/>
                <w:b/>
                <w:bCs/>
                <w:sz w:val="21"/>
                <w:szCs w:val="21"/>
              </w:rPr>
              <w:t>响应文件</w:t>
            </w:r>
          </w:p>
          <w:p w14:paraId="3F23CE85">
            <w:pPr>
              <w:spacing w:line="360" w:lineRule="auto"/>
              <w:ind w:firstLine="422"/>
              <w:jc w:val="center"/>
              <w:rPr>
                <w:sz w:val="21"/>
                <w:szCs w:val="21"/>
              </w:rPr>
            </w:pPr>
            <w:r>
              <w:rPr>
                <w:rFonts w:hint="eastAsia"/>
                <w:b/>
                <w:bCs/>
                <w:sz w:val="21"/>
                <w:szCs w:val="21"/>
              </w:rPr>
              <w:t>有效期</w:t>
            </w:r>
          </w:p>
        </w:tc>
        <w:tc>
          <w:tcPr>
            <w:tcW w:w="6321" w:type="dxa"/>
            <w:vAlign w:val="center"/>
          </w:tcPr>
          <w:p w14:paraId="01641953">
            <w:pPr>
              <w:spacing w:line="360" w:lineRule="auto"/>
              <w:ind w:firstLine="420" w:firstLineChars="200"/>
              <w:rPr>
                <w:sz w:val="21"/>
                <w:szCs w:val="21"/>
              </w:rPr>
            </w:pPr>
            <w:r>
              <w:rPr>
                <w:rFonts w:hint="eastAsia"/>
                <w:sz w:val="21"/>
                <w:szCs w:val="21"/>
                <w:highlight w:val="none"/>
              </w:rPr>
              <w:t>自响应文件提交截止时间之日起90天，有效期不足的响应文件将被拒绝。</w:t>
            </w:r>
          </w:p>
        </w:tc>
      </w:tr>
      <w:tr w14:paraId="605E4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2E14DD46">
            <w:pPr>
              <w:spacing w:line="360" w:lineRule="auto"/>
              <w:ind w:firstLine="422"/>
              <w:jc w:val="center"/>
              <w:rPr>
                <w:sz w:val="21"/>
                <w:szCs w:val="21"/>
              </w:rPr>
            </w:pPr>
            <w:r>
              <w:rPr>
                <w:rFonts w:hint="eastAsia"/>
                <w:sz w:val="21"/>
                <w:szCs w:val="21"/>
              </w:rPr>
              <w:t>7</w:t>
            </w:r>
          </w:p>
        </w:tc>
        <w:tc>
          <w:tcPr>
            <w:tcW w:w="855" w:type="dxa"/>
            <w:vAlign w:val="center"/>
          </w:tcPr>
          <w:p w14:paraId="4C566374">
            <w:pPr>
              <w:spacing w:line="360" w:lineRule="auto"/>
              <w:ind w:firstLine="422"/>
              <w:jc w:val="center"/>
              <w:rPr>
                <w:sz w:val="21"/>
                <w:szCs w:val="21"/>
              </w:rPr>
            </w:pPr>
            <w:r>
              <w:rPr>
                <w:rFonts w:hint="eastAsia"/>
                <w:sz w:val="21"/>
                <w:szCs w:val="21"/>
              </w:rPr>
              <w:t>15</w:t>
            </w:r>
          </w:p>
        </w:tc>
        <w:tc>
          <w:tcPr>
            <w:tcW w:w="1470" w:type="dxa"/>
            <w:vAlign w:val="center"/>
          </w:tcPr>
          <w:p w14:paraId="4DFA3E18">
            <w:pPr>
              <w:spacing w:line="360" w:lineRule="auto"/>
              <w:ind w:firstLine="422"/>
              <w:jc w:val="center"/>
              <w:rPr>
                <w:sz w:val="21"/>
                <w:szCs w:val="21"/>
              </w:rPr>
            </w:pPr>
            <w:r>
              <w:rPr>
                <w:rFonts w:hint="eastAsia"/>
                <w:b/>
                <w:bCs/>
                <w:sz w:val="21"/>
                <w:szCs w:val="21"/>
              </w:rPr>
              <w:t>保证金</w:t>
            </w:r>
          </w:p>
        </w:tc>
        <w:tc>
          <w:tcPr>
            <w:tcW w:w="6321" w:type="dxa"/>
            <w:vAlign w:val="center"/>
          </w:tcPr>
          <w:p w14:paraId="004C507B">
            <w:pPr>
              <w:spacing w:line="360" w:lineRule="auto"/>
              <w:ind w:firstLine="420" w:firstLineChars="200"/>
              <w:rPr>
                <w:sz w:val="21"/>
                <w:szCs w:val="21"/>
              </w:rPr>
            </w:pPr>
            <w:r>
              <w:rPr>
                <w:rFonts w:hint="eastAsia"/>
                <w:sz w:val="21"/>
                <w:szCs w:val="21"/>
              </w:rPr>
              <w:t>本项目无需缴纳磋商保证金</w:t>
            </w:r>
          </w:p>
        </w:tc>
      </w:tr>
      <w:tr w14:paraId="1E6D0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6955180B">
            <w:pPr>
              <w:spacing w:line="360" w:lineRule="auto"/>
              <w:ind w:firstLine="422"/>
              <w:jc w:val="center"/>
              <w:rPr>
                <w:sz w:val="21"/>
                <w:szCs w:val="21"/>
              </w:rPr>
            </w:pPr>
            <w:r>
              <w:rPr>
                <w:rFonts w:hint="eastAsia"/>
                <w:sz w:val="21"/>
                <w:szCs w:val="21"/>
              </w:rPr>
              <w:t>8</w:t>
            </w:r>
          </w:p>
        </w:tc>
        <w:tc>
          <w:tcPr>
            <w:tcW w:w="855" w:type="dxa"/>
            <w:vAlign w:val="center"/>
          </w:tcPr>
          <w:p w14:paraId="75421FE2">
            <w:pPr>
              <w:spacing w:line="360" w:lineRule="auto"/>
              <w:ind w:firstLine="422"/>
              <w:jc w:val="center"/>
              <w:rPr>
                <w:sz w:val="21"/>
                <w:szCs w:val="21"/>
              </w:rPr>
            </w:pPr>
            <w:r>
              <w:rPr>
                <w:sz w:val="21"/>
                <w:szCs w:val="21"/>
              </w:rPr>
              <w:t>1</w:t>
            </w:r>
            <w:r>
              <w:rPr>
                <w:rFonts w:hint="eastAsia"/>
                <w:sz w:val="21"/>
                <w:szCs w:val="21"/>
              </w:rPr>
              <w:t>6</w:t>
            </w:r>
          </w:p>
        </w:tc>
        <w:tc>
          <w:tcPr>
            <w:tcW w:w="1470" w:type="dxa"/>
            <w:vAlign w:val="center"/>
          </w:tcPr>
          <w:p w14:paraId="7928AF35">
            <w:pPr>
              <w:pStyle w:val="40"/>
              <w:spacing w:line="321" w:lineRule="auto"/>
              <w:ind w:right="99" w:firstLine="422"/>
              <w:jc w:val="center"/>
              <w:rPr>
                <w:b/>
                <w:sz w:val="21"/>
              </w:rPr>
            </w:pPr>
            <w:r>
              <w:rPr>
                <w:b/>
                <w:sz w:val="21"/>
              </w:rPr>
              <w:t>电子响应文件的制作</w:t>
            </w:r>
            <w:r>
              <w:rPr>
                <w:rFonts w:hint="eastAsia"/>
                <w:b/>
                <w:sz w:val="21"/>
              </w:rPr>
              <w:t>、</w:t>
            </w:r>
            <w:r>
              <w:rPr>
                <w:b/>
                <w:sz w:val="21"/>
              </w:rPr>
              <w:t>加密</w:t>
            </w:r>
          </w:p>
        </w:tc>
        <w:tc>
          <w:tcPr>
            <w:tcW w:w="6321" w:type="dxa"/>
            <w:vAlign w:val="center"/>
          </w:tcPr>
          <w:p w14:paraId="1BCF3841">
            <w:pPr>
              <w:pStyle w:val="40"/>
              <w:numPr>
                <w:ilvl w:val="1"/>
                <w:numId w:val="0"/>
              </w:numPr>
              <w:tabs>
                <w:tab w:val="left" w:pos="579"/>
              </w:tabs>
              <w:spacing w:before="94" w:line="338" w:lineRule="auto"/>
              <w:ind w:left="107" w:right="25" w:firstLine="414" w:firstLineChars="200"/>
              <w:jc w:val="both"/>
              <w:rPr>
                <w:sz w:val="21"/>
              </w:rPr>
            </w:pPr>
            <w:r>
              <w:rPr>
                <w:rFonts w:hint="eastAsia"/>
                <w:w w:val="99"/>
                <w:sz w:val="21"/>
                <w:szCs w:val="21"/>
              </w:rPr>
              <w:t>16.1</w:t>
            </w:r>
            <w:r>
              <w:rPr>
                <w:sz w:val="21"/>
              </w:rPr>
              <w:t>供应商制作电子响应文件前，必须登陆“广西政府采购云平台”进行竞争性磋商文件的获取操作。</w:t>
            </w:r>
          </w:p>
          <w:p w14:paraId="14A30410">
            <w:pPr>
              <w:pStyle w:val="40"/>
              <w:numPr>
                <w:ilvl w:val="1"/>
                <w:numId w:val="0"/>
              </w:numPr>
              <w:tabs>
                <w:tab w:val="left" w:pos="579"/>
              </w:tabs>
              <w:spacing w:before="2" w:line="338" w:lineRule="auto"/>
              <w:ind w:left="107" w:right="97" w:firstLine="414" w:firstLineChars="200"/>
              <w:jc w:val="both"/>
              <w:rPr>
                <w:sz w:val="21"/>
              </w:rPr>
            </w:pPr>
            <w:r>
              <w:rPr>
                <w:w w:val="99"/>
                <w:sz w:val="21"/>
                <w:szCs w:val="21"/>
              </w:rPr>
              <w:t>1</w:t>
            </w:r>
            <w:r>
              <w:rPr>
                <w:rFonts w:hint="eastAsia"/>
                <w:w w:val="99"/>
                <w:sz w:val="21"/>
                <w:szCs w:val="21"/>
              </w:rPr>
              <w:t>6</w:t>
            </w:r>
            <w:r>
              <w:rPr>
                <w:w w:val="99"/>
                <w:sz w:val="21"/>
                <w:szCs w:val="21"/>
              </w:rPr>
              <w:t>.2</w:t>
            </w:r>
            <w:r>
              <w:rPr>
                <w:sz w:val="21"/>
              </w:rPr>
              <w:t>供应商下载或获取竞争性磋商文件后，登录“广西政府采购云平台电子投标客户端”，按照本磋商文件规定的响应文件格式、顺序以及“广西政府采购云”平台的要求，通过“广西政府采购云平台电子投标客户端”编制电子响应文件。</w:t>
            </w:r>
          </w:p>
          <w:p w14:paraId="2BA7882D">
            <w:pPr>
              <w:pStyle w:val="40"/>
              <w:numPr>
                <w:ilvl w:val="1"/>
                <w:numId w:val="0"/>
              </w:numPr>
              <w:tabs>
                <w:tab w:val="left" w:pos="579"/>
              </w:tabs>
              <w:spacing w:before="2" w:line="338" w:lineRule="auto"/>
              <w:ind w:left="107" w:right="97" w:firstLine="414" w:firstLineChars="200"/>
              <w:jc w:val="both"/>
              <w:rPr>
                <w:sz w:val="21"/>
              </w:rPr>
            </w:pPr>
            <w:r>
              <w:rPr>
                <w:w w:val="99"/>
                <w:sz w:val="21"/>
                <w:szCs w:val="21"/>
              </w:rPr>
              <w:t>1</w:t>
            </w:r>
            <w:r>
              <w:rPr>
                <w:rFonts w:hint="eastAsia"/>
                <w:w w:val="99"/>
                <w:sz w:val="21"/>
                <w:szCs w:val="21"/>
              </w:rPr>
              <w:t>6</w:t>
            </w:r>
            <w:r>
              <w:rPr>
                <w:w w:val="99"/>
                <w:sz w:val="21"/>
                <w:szCs w:val="21"/>
              </w:rPr>
              <w:t>.3</w:t>
            </w:r>
            <w:r>
              <w:rPr>
                <w:sz w:val="21"/>
              </w:rPr>
              <w:t>若响应文件中有专门标注的某关联点，并要求供应商在电子投标系统中作出响应的，供应商应进行响应并关联定位，以便评审小组在评审时点击评分项可直接定位到该评分项内容；如对竞争性磋商文件的某项要求，供应商的电子响应文件未能关联定位提供相应的内容与其对应，或者在响应文件其它内容中进行描述，导致磋商小组无法查询，做出对供应商不利的评审，相关后果由供应商自行承担。</w:t>
            </w:r>
          </w:p>
          <w:p w14:paraId="57B38BE5">
            <w:pPr>
              <w:pStyle w:val="40"/>
              <w:numPr>
                <w:ilvl w:val="1"/>
                <w:numId w:val="0"/>
              </w:numPr>
              <w:tabs>
                <w:tab w:val="left" w:pos="579"/>
              </w:tabs>
              <w:spacing w:before="4" w:line="338" w:lineRule="auto"/>
              <w:ind w:left="107" w:right="97" w:firstLine="414" w:firstLineChars="200"/>
              <w:jc w:val="both"/>
              <w:rPr>
                <w:sz w:val="21"/>
              </w:rPr>
            </w:pPr>
            <w:r>
              <w:rPr>
                <w:w w:val="99"/>
                <w:sz w:val="21"/>
                <w:szCs w:val="21"/>
              </w:rPr>
              <w:t>1</w:t>
            </w:r>
            <w:r>
              <w:rPr>
                <w:rFonts w:hint="eastAsia"/>
                <w:w w:val="99"/>
                <w:sz w:val="21"/>
                <w:szCs w:val="21"/>
              </w:rPr>
              <w:t>6</w:t>
            </w:r>
            <w:r>
              <w:rPr>
                <w:w w:val="99"/>
                <w:sz w:val="21"/>
                <w:szCs w:val="21"/>
              </w:rPr>
              <w:t>.4</w:t>
            </w:r>
            <w:r>
              <w:rPr>
                <w:sz w:val="21"/>
              </w:rPr>
              <w:t>电子响应文件不得涂改，若有修改错漏处，须由法定代表人（负责人、自然人）或授权委托代理人通过“广西政府采购云平台电子投标客户端”采用个人CA证书签章，没有办理个人CA证书签章的，在响应文件中响应位置手写签字后扫描或者拍照做成PDF的格式上传。因响应文件字迹潦草、表达不清、内容不完整、编排混乱导致响应文件被误读、漏读，或者在按竞争性磋商文件规定的部位查找不到相关内容的，其不利后果由供应商自行承担。</w:t>
            </w:r>
          </w:p>
          <w:p w14:paraId="47D709FF">
            <w:pPr>
              <w:pStyle w:val="40"/>
              <w:numPr>
                <w:ilvl w:val="1"/>
                <w:numId w:val="0"/>
              </w:numPr>
              <w:tabs>
                <w:tab w:val="left" w:pos="579"/>
              </w:tabs>
              <w:spacing w:before="4" w:line="338" w:lineRule="auto"/>
              <w:ind w:left="107" w:right="97" w:firstLine="414" w:firstLineChars="200"/>
              <w:jc w:val="both"/>
              <w:rPr>
                <w:sz w:val="21"/>
              </w:rPr>
            </w:pPr>
            <w:r>
              <w:rPr>
                <w:w w:val="99"/>
                <w:sz w:val="21"/>
                <w:szCs w:val="21"/>
              </w:rPr>
              <w:t>1</w:t>
            </w:r>
            <w:r>
              <w:rPr>
                <w:rFonts w:hint="eastAsia"/>
                <w:w w:val="99"/>
                <w:sz w:val="21"/>
                <w:szCs w:val="21"/>
              </w:rPr>
              <w:t>6</w:t>
            </w:r>
            <w:r>
              <w:rPr>
                <w:w w:val="99"/>
                <w:sz w:val="21"/>
                <w:szCs w:val="21"/>
              </w:rPr>
              <w:t>.5</w:t>
            </w:r>
            <w:r>
              <w:rPr>
                <w:sz w:val="21"/>
              </w:rPr>
              <w:t>供应商编制、生成电子响应文件后应当加密响应文件。供应商未按规定编制并加密的响应文件，“广西政府采购云平台”平台将予以拒收。</w:t>
            </w:r>
          </w:p>
        </w:tc>
      </w:tr>
      <w:tr w14:paraId="65DE5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7030F5AA">
            <w:pPr>
              <w:spacing w:line="360" w:lineRule="auto"/>
              <w:ind w:firstLine="422"/>
              <w:jc w:val="center"/>
              <w:rPr>
                <w:sz w:val="21"/>
                <w:szCs w:val="21"/>
              </w:rPr>
            </w:pPr>
            <w:r>
              <w:rPr>
                <w:rFonts w:hint="eastAsia"/>
                <w:sz w:val="21"/>
                <w:szCs w:val="21"/>
              </w:rPr>
              <w:t>9</w:t>
            </w:r>
          </w:p>
        </w:tc>
        <w:tc>
          <w:tcPr>
            <w:tcW w:w="855" w:type="dxa"/>
            <w:vAlign w:val="center"/>
          </w:tcPr>
          <w:p w14:paraId="409B0E63">
            <w:pPr>
              <w:spacing w:line="360" w:lineRule="auto"/>
              <w:ind w:firstLine="422"/>
              <w:jc w:val="center"/>
              <w:rPr>
                <w:sz w:val="21"/>
                <w:szCs w:val="21"/>
              </w:rPr>
            </w:pPr>
            <w:r>
              <w:rPr>
                <w:rFonts w:hint="eastAsia"/>
                <w:sz w:val="21"/>
                <w:szCs w:val="21"/>
              </w:rPr>
              <w:t>16.6</w:t>
            </w:r>
          </w:p>
        </w:tc>
        <w:tc>
          <w:tcPr>
            <w:tcW w:w="1470" w:type="dxa"/>
            <w:vAlign w:val="center"/>
          </w:tcPr>
          <w:p w14:paraId="235154FA">
            <w:pPr>
              <w:spacing w:line="360" w:lineRule="auto"/>
              <w:ind w:firstLine="422"/>
              <w:jc w:val="center"/>
              <w:rPr>
                <w:sz w:val="21"/>
                <w:szCs w:val="21"/>
              </w:rPr>
            </w:pPr>
            <w:r>
              <w:rPr>
                <w:rFonts w:hint="eastAsia"/>
                <w:sz w:val="21"/>
                <w:szCs w:val="21"/>
              </w:rPr>
              <w:t>供应商公章及签字</w:t>
            </w:r>
          </w:p>
        </w:tc>
        <w:tc>
          <w:tcPr>
            <w:tcW w:w="6321" w:type="dxa"/>
            <w:vAlign w:val="center"/>
          </w:tcPr>
          <w:p w14:paraId="54F06362">
            <w:pPr>
              <w:spacing w:line="360" w:lineRule="auto"/>
              <w:ind w:firstLine="420" w:firstLineChars="200"/>
              <w:rPr>
                <w:sz w:val="21"/>
                <w:szCs w:val="21"/>
              </w:rPr>
            </w:pPr>
            <w:r>
              <w:rPr>
                <w:rFonts w:hint="eastAsia"/>
                <w:sz w:val="21"/>
                <w:szCs w:val="21"/>
              </w:rPr>
              <w:t>16.6.1本竞争性磋商文件中描述供应商的“公章”是指供应商通过指定电子化政府采购平台办理数字证书（CA认证证书）获得的以法定主体行为名称制作的电子印章。</w:t>
            </w:r>
          </w:p>
          <w:p w14:paraId="2D63F778">
            <w:pPr>
              <w:spacing w:line="360" w:lineRule="auto"/>
              <w:ind w:firstLine="420" w:firstLineChars="200"/>
              <w:rPr>
                <w:sz w:val="21"/>
                <w:szCs w:val="21"/>
              </w:rPr>
            </w:pPr>
            <w:r>
              <w:rPr>
                <w:rFonts w:hint="eastAsia"/>
                <w:sz w:val="21"/>
                <w:szCs w:val="21"/>
              </w:rPr>
              <w:t>16.6.2本竞争性磋商文件中要求供应商对其电子响应文件的相关内容加盖公章的，均指采用CA证书签章。</w:t>
            </w:r>
          </w:p>
          <w:p w14:paraId="19F0CFF1">
            <w:pPr>
              <w:spacing w:line="360" w:lineRule="auto"/>
              <w:ind w:firstLine="420" w:firstLineChars="200"/>
              <w:rPr>
                <w:sz w:val="21"/>
                <w:szCs w:val="21"/>
              </w:rPr>
            </w:pPr>
            <w:r>
              <w:rPr>
                <w:rFonts w:hint="eastAsia"/>
                <w:sz w:val="21"/>
                <w:szCs w:val="21"/>
              </w:rPr>
              <w:t>16.6.3本磋商文件中描述供应商的“签字”是指供应商通过指定电子化政府采购平台办理数字证书（CA认证证书）获得的以供应商法定代表人（自负责人、自然人）或者委托代理人姓名制作的个人电子印章或手写签字。没有办理个人CA证书的，可以为手写签字的形式。</w:t>
            </w:r>
          </w:p>
        </w:tc>
      </w:tr>
      <w:tr w14:paraId="6030C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26E08A9C">
            <w:pPr>
              <w:spacing w:line="360" w:lineRule="auto"/>
              <w:ind w:firstLine="422"/>
              <w:jc w:val="center"/>
              <w:rPr>
                <w:sz w:val="21"/>
                <w:szCs w:val="21"/>
              </w:rPr>
            </w:pPr>
            <w:r>
              <w:rPr>
                <w:rFonts w:hint="eastAsia"/>
                <w:sz w:val="21"/>
                <w:szCs w:val="21"/>
              </w:rPr>
              <w:t>10</w:t>
            </w:r>
          </w:p>
        </w:tc>
        <w:tc>
          <w:tcPr>
            <w:tcW w:w="855" w:type="dxa"/>
            <w:vAlign w:val="center"/>
          </w:tcPr>
          <w:p w14:paraId="76D73B62">
            <w:pPr>
              <w:spacing w:line="360" w:lineRule="auto"/>
              <w:ind w:firstLine="422"/>
              <w:jc w:val="center"/>
              <w:rPr>
                <w:sz w:val="21"/>
                <w:szCs w:val="21"/>
              </w:rPr>
            </w:pPr>
            <w:r>
              <w:rPr>
                <w:rFonts w:hint="eastAsia"/>
                <w:sz w:val="21"/>
                <w:szCs w:val="21"/>
              </w:rPr>
              <w:t>17</w:t>
            </w:r>
          </w:p>
        </w:tc>
        <w:tc>
          <w:tcPr>
            <w:tcW w:w="1470" w:type="dxa"/>
            <w:vAlign w:val="center"/>
          </w:tcPr>
          <w:p w14:paraId="4BE5320B">
            <w:pPr>
              <w:spacing w:line="360" w:lineRule="auto"/>
              <w:ind w:firstLine="422"/>
              <w:jc w:val="center"/>
              <w:rPr>
                <w:sz w:val="21"/>
                <w:szCs w:val="21"/>
              </w:rPr>
            </w:pPr>
            <w:r>
              <w:rPr>
                <w:rFonts w:hint="eastAsia"/>
                <w:sz w:val="21"/>
                <w:szCs w:val="21"/>
              </w:rPr>
              <w:t>首次响应文件的提交、撤回、修改</w:t>
            </w:r>
          </w:p>
        </w:tc>
        <w:tc>
          <w:tcPr>
            <w:tcW w:w="6321" w:type="dxa"/>
            <w:vAlign w:val="center"/>
          </w:tcPr>
          <w:p w14:paraId="5B85D743">
            <w:pPr>
              <w:spacing w:line="360" w:lineRule="auto"/>
              <w:ind w:firstLine="420" w:firstLineChars="200"/>
              <w:rPr>
                <w:sz w:val="21"/>
                <w:szCs w:val="21"/>
              </w:rPr>
            </w:pPr>
            <w:r>
              <w:rPr>
                <w:rFonts w:hint="eastAsia"/>
                <w:sz w:val="21"/>
                <w:szCs w:val="21"/>
              </w:rPr>
              <w:t>17.1响应文件的提交截</w:t>
            </w:r>
            <w:r>
              <w:rPr>
                <w:rFonts w:hint="eastAsia"/>
                <w:sz w:val="21"/>
                <w:szCs w:val="21"/>
                <w:highlight w:val="none"/>
              </w:rPr>
              <w:t>止时间：2025年</w:t>
            </w:r>
            <w:r>
              <w:rPr>
                <w:rFonts w:hint="eastAsia"/>
                <w:sz w:val="21"/>
                <w:szCs w:val="21"/>
                <w:highlight w:val="none"/>
                <w:lang w:val="en-US" w:eastAsia="zh-CN"/>
              </w:rPr>
              <w:t>4</w:t>
            </w:r>
            <w:r>
              <w:rPr>
                <w:rFonts w:hint="eastAsia"/>
                <w:sz w:val="21"/>
                <w:szCs w:val="21"/>
                <w:highlight w:val="none"/>
              </w:rPr>
              <w:t>月</w:t>
            </w:r>
            <w:r>
              <w:rPr>
                <w:rFonts w:hint="eastAsia"/>
                <w:sz w:val="21"/>
                <w:szCs w:val="21"/>
                <w:highlight w:val="none"/>
                <w:lang w:val="en-US" w:eastAsia="zh-CN"/>
              </w:rPr>
              <w:t>21</w:t>
            </w:r>
            <w:r>
              <w:rPr>
                <w:rFonts w:hint="eastAsia"/>
                <w:sz w:val="21"/>
                <w:szCs w:val="21"/>
                <w:highlight w:val="none"/>
              </w:rPr>
              <w:t>日上午9时30分（北京时间）</w:t>
            </w:r>
          </w:p>
          <w:p w14:paraId="6B63774A">
            <w:pPr>
              <w:spacing w:line="360" w:lineRule="auto"/>
              <w:ind w:firstLine="420" w:firstLineChars="200"/>
              <w:rPr>
                <w:sz w:val="21"/>
                <w:szCs w:val="21"/>
              </w:rPr>
            </w:pPr>
            <w:r>
              <w:rPr>
                <w:rFonts w:hint="eastAsia"/>
                <w:sz w:val="21"/>
                <w:szCs w:val="21"/>
              </w:rPr>
              <w:t>17.2地点：通过“广西政府采购云平台”在线提交。</w:t>
            </w:r>
          </w:p>
          <w:p w14:paraId="2758B612">
            <w:pPr>
              <w:spacing w:line="360" w:lineRule="auto"/>
              <w:ind w:firstLine="420" w:firstLineChars="200"/>
              <w:rPr>
                <w:sz w:val="21"/>
                <w:szCs w:val="21"/>
              </w:rPr>
            </w:pPr>
            <w:r>
              <w:rPr>
                <w:rFonts w:hint="eastAsia"/>
                <w:sz w:val="21"/>
                <w:szCs w:val="21"/>
              </w:rPr>
              <w:t>17.3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广西政府采购云平台”的，视为未提交响应文件。</w:t>
            </w:r>
          </w:p>
          <w:p w14:paraId="6514C724">
            <w:pPr>
              <w:spacing w:line="360" w:lineRule="auto"/>
              <w:ind w:firstLine="420" w:firstLineChars="200"/>
              <w:rPr>
                <w:sz w:val="21"/>
                <w:szCs w:val="21"/>
              </w:rPr>
            </w:pPr>
            <w:r>
              <w:rPr>
                <w:rFonts w:hint="eastAsia"/>
                <w:sz w:val="21"/>
                <w:szCs w:val="21"/>
              </w:rPr>
              <w:t>17.4除竞争性磋商文件另有规定外，供应商所提交的响应文件不予退还。</w:t>
            </w:r>
          </w:p>
        </w:tc>
      </w:tr>
      <w:tr w14:paraId="5B7D1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6FF18CAF">
            <w:pPr>
              <w:spacing w:line="360" w:lineRule="auto"/>
              <w:ind w:firstLine="422"/>
              <w:jc w:val="center"/>
              <w:rPr>
                <w:sz w:val="21"/>
                <w:szCs w:val="21"/>
              </w:rPr>
            </w:pPr>
            <w:r>
              <w:rPr>
                <w:rFonts w:hint="eastAsia"/>
                <w:sz w:val="21"/>
                <w:szCs w:val="21"/>
              </w:rPr>
              <w:t>11</w:t>
            </w:r>
          </w:p>
        </w:tc>
        <w:tc>
          <w:tcPr>
            <w:tcW w:w="855" w:type="dxa"/>
            <w:vAlign w:val="center"/>
          </w:tcPr>
          <w:p w14:paraId="496083DD">
            <w:pPr>
              <w:spacing w:line="360" w:lineRule="auto"/>
              <w:ind w:firstLine="422"/>
              <w:jc w:val="center"/>
              <w:rPr>
                <w:sz w:val="21"/>
                <w:szCs w:val="21"/>
              </w:rPr>
            </w:pPr>
            <w:r>
              <w:rPr>
                <w:rFonts w:hint="eastAsia"/>
                <w:sz w:val="21"/>
                <w:szCs w:val="21"/>
              </w:rPr>
              <w:t>18</w:t>
            </w:r>
          </w:p>
        </w:tc>
        <w:tc>
          <w:tcPr>
            <w:tcW w:w="1470" w:type="dxa"/>
            <w:vAlign w:val="center"/>
          </w:tcPr>
          <w:p w14:paraId="4BD5A374">
            <w:pPr>
              <w:spacing w:line="360" w:lineRule="auto"/>
              <w:ind w:firstLine="422"/>
              <w:jc w:val="center"/>
              <w:rPr>
                <w:sz w:val="21"/>
                <w:szCs w:val="21"/>
              </w:rPr>
            </w:pPr>
            <w:r>
              <w:rPr>
                <w:rFonts w:hint="eastAsia"/>
                <w:sz w:val="21"/>
                <w:szCs w:val="21"/>
              </w:rPr>
              <w:t>响应文件</w:t>
            </w:r>
          </w:p>
          <w:p w14:paraId="5790762C">
            <w:pPr>
              <w:spacing w:line="360" w:lineRule="auto"/>
              <w:ind w:firstLine="422"/>
              <w:jc w:val="center"/>
              <w:rPr>
                <w:sz w:val="21"/>
                <w:szCs w:val="21"/>
              </w:rPr>
            </w:pPr>
            <w:r>
              <w:rPr>
                <w:rFonts w:hint="eastAsia"/>
                <w:sz w:val="21"/>
                <w:szCs w:val="21"/>
              </w:rPr>
              <w:t>的解密</w:t>
            </w:r>
          </w:p>
          <w:p w14:paraId="66EBEE54">
            <w:pPr>
              <w:spacing w:line="360" w:lineRule="auto"/>
              <w:ind w:firstLine="422"/>
              <w:jc w:val="center"/>
              <w:rPr>
                <w:sz w:val="21"/>
                <w:szCs w:val="21"/>
              </w:rPr>
            </w:pPr>
          </w:p>
        </w:tc>
        <w:tc>
          <w:tcPr>
            <w:tcW w:w="6321" w:type="dxa"/>
            <w:vAlign w:val="center"/>
          </w:tcPr>
          <w:p w14:paraId="595536A2">
            <w:pPr>
              <w:spacing w:line="360" w:lineRule="auto"/>
              <w:ind w:firstLine="420" w:firstLineChars="200"/>
              <w:rPr>
                <w:sz w:val="21"/>
                <w:szCs w:val="21"/>
              </w:rPr>
            </w:pPr>
            <w:r>
              <w:rPr>
                <w:rFonts w:hint="eastAsia"/>
                <w:sz w:val="21"/>
                <w:szCs w:val="21"/>
                <w:highlight w:val="none"/>
              </w:rPr>
              <w:t>响应文件提交截止时间后30分钟内（（2025年</w:t>
            </w:r>
            <w:r>
              <w:rPr>
                <w:rFonts w:hint="eastAsia"/>
                <w:sz w:val="21"/>
                <w:szCs w:val="21"/>
                <w:highlight w:val="none"/>
                <w:lang w:val="en-US" w:eastAsia="zh-CN"/>
              </w:rPr>
              <w:t>4</w:t>
            </w:r>
            <w:r>
              <w:rPr>
                <w:rFonts w:hint="eastAsia"/>
                <w:sz w:val="21"/>
                <w:szCs w:val="21"/>
                <w:highlight w:val="none"/>
              </w:rPr>
              <w:t>月</w:t>
            </w:r>
            <w:r>
              <w:rPr>
                <w:rFonts w:hint="eastAsia"/>
                <w:sz w:val="21"/>
                <w:szCs w:val="21"/>
                <w:highlight w:val="none"/>
                <w:lang w:val="en-US" w:eastAsia="zh-CN"/>
              </w:rPr>
              <w:t>21</w:t>
            </w:r>
            <w:r>
              <w:rPr>
                <w:rFonts w:hint="eastAsia"/>
                <w:sz w:val="21"/>
                <w:szCs w:val="21"/>
                <w:highlight w:val="none"/>
              </w:rPr>
              <w:t>日上午9时30至10时00分)，</w:t>
            </w:r>
            <w:r>
              <w:rPr>
                <w:rFonts w:hint="eastAsia"/>
                <w:sz w:val="21"/>
                <w:szCs w:val="21"/>
              </w:rPr>
              <w:t>供应商登录“广西政府采购云平台”，通过“项目采购-开标评标”功能解密电子响应文件。若供应商在上述规定时间内无法解密或解密失败，可以提交电子备份响应文件作为评审依据，在接到无法解密或解密失败的系统通知后，</w:t>
            </w:r>
            <w:r>
              <w:rPr>
                <w:rFonts w:hint="eastAsia"/>
                <w:sz w:val="21"/>
                <w:szCs w:val="21"/>
                <w:highlight w:val="none"/>
              </w:rPr>
              <w:t>供应商可根据自身实际情况按系统通知要求的时间到达</w:t>
            </w:r>
            <w:r>
              <w:rPr>
                <w:rFonts w:hint="eastAsia"/>
                <w:b/>
                <w:bCs/>
                <w:color w:val="auto"/>
                <w:sz w:val="21"/>
                <w:szCs w:val="21"/>
                <w:highlight w:val="none"/>
              </w:rPr>
              <w:t>桂林市公共资源交易中心</w:t>
            </w:r>
            <w:r>
              <w:rPr>
                <w:rFonts w:hint="eastAsia"/>
                <w:b/>
                <w:bCs/>
                <w:color w:val="auto"/>
                <w:sz w:val="21"/>
                <w:szCs w:val="21"/>
                <w:highlight w:val="none"/>
                <w:lang w:val="en-US" w:eastAsia="zh-CN"/>
              </w:rPr>
              <w:t>9</w:t>
            </w:r>
            <w:r>
              <w:rPr>
                <w:rFonts w:hint="eastAsia"/>
                <w:b/>
                <w:bCs/>
                <w:color w:val="auto"/>
                <w:sz w:val="21"/>
                <w:szCs w:val="21"/>
                <w:highlight w:val="none"/>
              </w:rPr>
              <w:t>开标室</w:t>
            </w:r>
            <w:r>
              <w:rPr>
                <w:rFonts w:hint="eastAsia"/>
                <w:b/>
                <w:bCs/>
                <w:color w:val="auto"/>
                <w:sz w:val="21"/>
                <w:szCs w:val="21"/>
                <w:highlight w:val="none"/>
                <w:lang w:val="en-US" w:eastAsia="zh-CN"/>
              </w:rPr>
              <w:t>7号政采开标仓</w:t>
            </w:r>
            <w:r>
              <w:rPr>
                <w:rFonts w:hint="eastAsia"/>
                <w:sz w:val="21"/>
                <w:szCs w:val="21"/>
              </w:rPr>
              <w:t>现场提交电子备份响应文件或以电子邮件（以系统通知时所告知的电子邮箱地址为准）的形式提交电子备份响应文件。若磋商供应商在规定时间内无法解密或解密失败且未提供电子备份响应文件的(包含提供的电子备份文件无效或无法解密的情况)，响应文件按无效处理。</w:t>
            </w:r>
          </w:p>
        </w:tc>
      </w:tr>
      <w:tr w14:paraId="14713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5C168684">
            <w:pPr>
              <w:spacing w:line="360" w:lineRule="auto"/>
              <w:ind w:firstLine="422"/>
              <w:jc w:val="center"/>
              <w:rPr>
                <w:sz w:val="21"/>
                <w:szCs w:val="21"/>
              </w:rPr>
            </w:pPr>
            <w:r>
              <w:rPr>
                <w:rFonts w:hint="eastAsia"/>
                <w:sz w:val="21"/>
                <w:szCs w:val="21"/>
              </w:rPr>
              <w:t>12</w:t>
            </w:r>
          </w:p>
        </w:tc>
        <w:tc>
          <w:tcPr>
            <w:tcW w:w="855" w:type="dxa"/>
            <w:vAlign w:val="center"/>
          </w:tcPr>
          <w:p w14:paraId="22E2A583">
            <w:pPr>
              <w:spacing w:line="360" w:lineRule="auto"/>
              <w:ind w:firstLine="422"/>
              <w:jc w:val="center"/>
              <w:rPr>
                <w:sz w:val="21"/>
                <w:szCs w:val="21"/>
              </w:rPr>
            </w:pPr>
            <w:r>
              <w:rPr>
                <w:sz w:val="21"/>
                <w:szCs w:val="21"/>
              </w:rPr>
              <w:t>1</w:t>
            </w:r>
            <w:r>
              <w:rPr>
                <w:rFonts w:hint="eastAsia"/>
                <w:sz w:val="21"/>
                <w:szCs w:val="21"/>
              </w:rPr>
              <w:t>9</w:t>
            </w:r>
            <w:r>
              <w:rPr>
                <w:sz w:val="21"/>
                <w:szCs w:val="21"/>
              </w:rPr>
              <w:t>.1</w:t>
            </w:r>
          </w:p>
        </w:tc>
        <w:tc>
          <w:tcPr>
            <w:tcW w:w="1470" w:type="dxa"/>
            <w:vAlign w:val="center"/>
          </w:tcPr>
          <w:p w14:paraId="52C1E34C">
            <w:pPr>
              <w:spacing w:line="360" w:lineRule="auto"/>
              <w:ind w:firstLine="422"/>
              <w:jc w:val="center"/>
              <w:rPr>
                <w:b/>
                <w:bCs/>
                <w:sz w:val="21"/>
                <w:szCs w:val="21"/>
              </w:rPr>
            </w:pPr>
            <w:r>
              <w:rPr>
                <w:b/>
                <w:bCs/>
                <w:sz w:val="21"/>
                <w:szCs w:val="21"/>
              </w:rPr>
              <w:t>磋商小组</w:t>
            </w:r>
          </w:p>
          <w:p w14:paraId="46037E25">
            <w:pPr>
              <w:spacing w:line="360" w:lineRule="auto"/>
              <w:ind w:firstLine="422"/>
              <w:jc w:val="center"/>
              <w:rPr>
                <w:sz w:val="21"/>
                <w:szCs w:val="21"/>
              </w:rPr>
            </w:pPr>
            <w:r>
              <w:rPr>
                <w:b/>
                <w:bCs/>
                <w:sz w:val="21"/>
                <w:szCs w:val="21"/>
              </w:rPr>
              <w:t>组成</w:t>
            </w:r>
          </w:p>
        </w:tc>
        <w:tc>
          <w:tcPr>
            <w:tcW w:w="6321" w:type="dxa"/>
            <w:vAlign w:val="center"/>
          </w:tcPr>
          <w:p w14:paraId="508CEE9C">
            <w:pPr>
              <w:spacing w:line="360" w:lineRule="auto"/>
              <w:ind w:firstLine="440" w:firstLineChars="200"/>
              <w:rPr>
                <w:sz w:val="21"/>
                <w:szCs w:val="21"/>
              </w:rPr>
            </w:pPr>
            <w:r>
              <w:rPr>
                <w:rFonts w:hint="eastAsia"/>
                <w:szCs w:val="21"/>
              </w:rPr>
              <w:t>磋商及评审工作由采购代理机构负责组织，具体磋商、评审工作由依法组建的磋商小组负责，</w:t>
            </w:r>
            <w:r>
              <w:rPr>
                <w:rFonts w:hint="eastAsia"/>
                <w:color w:val="auto"/>
                <w:szCs w:val="21"/>
                <w:highlight w:val="none"/>
              </w:rPr>
              <w:t>磋商小组由政府采购评审专家库</w:t>
            </w:r>
            <w:r>
              <w:rPr>
                <w:rFonts w:hint="eastAsia"/>
                <w:color w:val="auto"/>
                <w:szCs w:val="21"/>
                <w:highlight w:val="none"/>
                <w:lang w:eastAsia="zh-CN"/>
              </w:rPr>
              <w:t>随机</w:t>
            </w:r>
            <w:r>
              <w:rPr>
                <w:rFonts w:hint="eastAsia"/>
                <w:color w:val="auto"/>
                <w:szCs w:val="21"/>
                <w:highlight w:val="none"/>
              </w:rPr>
              <w:t>抽取的相关专业的专家组成。磋商小组的构成：3 人。</w:t>
            </w:r>
          </w:p>
        </w:tc>
      </w:tr>
      <w:tr w14:paraId="5CA55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0B722273">
            <w:pPr>
              <w:spacing w:line="360" w:lineRule="auto"/>
              <w:ind w:firstLine="422"/>
              <w:jc w:val="center"/>
              <w:rPr>
                <w:sz w:val="21"/>
                <w:szCs w:val="21"/>
              </w:rPr>
            </w:pPr>
            <w:r>
              <w:rPr>
                <w:rFonts w:hint="eastAsia"/>
                <w:sz w:val="21"/>
                <w:szCs w:val="21"/>
              </w:rPr>
              <w:t>13</w:t>
            </w:r>
          </w:p>
        </w:tc>
        <w:tc>
          <w:tcPr>
            <w:tcW w:w="855" w:type="dxa"/>
            <w:vAlign w:val="center"/>
          </w:tcPr>
          <w:p w14:paraId="4CED5573">
            <w:pPr>
              <w:spacing w:line="360" w:lineRule="auto"/>
              <w:ind w:firstLine="422"/>
              <w:jc w:val="center"/>
              <w:rPr>
                <w:sz w:val="21"/>
                <w:szCs w:val="21"/>
              </w:rPr>
            </w:pPr>
            <w:r>
              <w:rPr>
                <w:rFonts w:hint="eastAsia"/>
                <w:sz w:val="21"/>
                <w:szCs w:val="21"/>
              </w:rPr>
              <w:t>19.2</w:t>
            </w:r>
          </w:p>
        </w:tc>
        <w:tc>
          <w:tcPr>
            <w:tcW w:w="1470" w:type="dxa"/>
            <w:vAlign w:val="center"/>
          </w:tcPr>
          <w:p w14:paraId="3814B924">
            <w:pPr>
              <w:spacing w:line="360" w:lineRule="auto"/>
              <w:ind w:firstLine="422"/>
              <w:jc w:val="center"/>
              <w:rPr>
                <w:sz w:val="21"/>
                <w:szCs w:val="21"/>
              </w:rPr>
            </w:pPr>
            <w:r>
              <w:rPr>
                <w:rFonts w:hint="eastAsia"/>
                <w:sz w:val="21"/>
                <w:szCs w:val="21"/>
              </w:rPr>
              <w:t>磋商时间、地点、人员</w:t>
            </w:r>
          </w:p>
        </w:tc>
        <w:tc>
          <w:tcPr>
            <w:tcW w:w="6321" w:type="dxa"/>
            <w:vAlign w:val="center"/>
          </w:tcPr>
          <w:p w14:paraId="230A45D0">
            <w:pPr>
              <w:spacing w:line="360" w:lineRule="auto"/>
              <w:ind w:firstLine="420" w:firstLineChars="200"/>
              <w:rPr>
                <w:sz w:val="21"/>
                <w:szCs w:val="21"/>
              </w:rPr>
            </w:pPr>
            <w:r>
              <w:rPr>
                <w:rFonts w:hint="eastAsia"/>
                <w:sz w:val="21"/>
                <w:szCs w:val="21"/>
              </w:rPr>
              <w:t>磋商时间：首次响应文件提交截止时间后。</w:t>
            </w:r>
          </w:p>
          <w:p w14:paraId="3035337A">
            <w:pPr>
              <w:spacing w:line="360" w:lineRule="auto"/>
              <w:ind w:firstLine="420" w:firstLineChars="200"/>
              <w:rPr>
                <w:sz w:val="21"/>
                <w:szCs w:val="21"/>
              </w:rPr>
            </w:pPr>
            <w:r>
              <w:rPr>
                <w:rFonts w:hint="eastAsia"/>
                <w:sz w:val="21"/>
                <w:szCs w:val="21"/>
              </w:rPr>
              <w:t>磋商地点：供应商代表在响应文件提交当天实时登陆登录“广西政府采购云平台”，按磋商小组要求在线等候参与磋商及提交最后报价。</w:t>
            </w:r>
            <w:r>
              <w:rPr>
                <w:rFonts w:hint="eastAsia"/>
                <w:color w:val="auto"/>
                <w:sz w:val="21"/>
                <w:szCs w:val="21"/>
                <w:highlight w:val="none"/>
              </w:rPr>
              <w:t>因供应商未保持实时在线，导致磋商小组无法及时与其取得联系，从而造成供应商未按规定参与磋商或报价的，其不利后果由供应商自行承担。</w:t>
            </w:r>
          </w:p>
          <w:p w14:paraId="506BDAC2">
            <w:pPr>
              <w:spacing w:line="360" w:lineRule="auto"/>
              <w:ind w:firstLine="420" w:firstLineChars="200"/>
              <w:rPr>
                <w:sz w:val="21"/>
                <w:szCs w:val="21"/>
              </w:rPr>
            </w:pPr>
            <w:r>
              <w:rPr>
                <w:rFonts w:hint="eastAsia"/>
                <w:sz w:val="21"/>
                <w:szCs w:val="21"/>
              </w:rPr>
              <w:t>磋商参加人员：供应商法定代表人(负责人、自然人)或相应的委托代理人参加磋商。请供应商实时登陆登录“广西政府采购云平台”等候在线磋商。</w:t>
            </w:r>
          </w:p>
          <w:p w14:paraId="3A013ACE">
            <w:pPr>
              <w:spacing w:line="360" w:lineRule="auto"/>
              <w:ind w:firstLine="420" w:firstLineChars="200"/>
              <w:rPr>
                <w:sz w:val="21"/>
                <w:szCs w:val="21"/>
              </w:rPr>
            </w:pPr>
            <w:r>
              <w:rPr>
                <w:rFonts w:hint="eastAsia"/>
                <w:sz w:val="21"/>
                <w:szCs w:val="21"/>
              </w:rPr>
              <w:t>首次响应文件提交截止时间后，登录“广西政府采购云平台”在线解密开启。</w:t>
            </w:r>
          </w:p>
        </w:tc>
      </w:tr>
      <w:tr w14:paraId="390E8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76554D9A">
            <w:pPr>
              <w:spacing w:line="360" w:lineRule="auto"/>
              <w:ind w:firstLine="422"/>
              <w:jc w:val="center"/>
              <w:rPr>
                <w:sz w:val="21"/>
                <w:szCs w:val="21"/>
              </w:rPr>
            </w:pPr>
            <w:r>
              <w:rPr>
                <w:rFonts w:hint="eastAsia"/>
                <w:sz w:val="21"/>
                <w:szCs w:val="21"/>
              </w:rPr>
              <w:t>14</w:t>
            </w:r>
          </w:p>
        </w:tc>
        <w:tc>
          <w:tcPr>
            <w:tcW w:w="855" w:type="dxa"/>
            <w:vAlign w:val="center"/>
          </w:tcPr>
          <w:p w14:paraId="5DB700DC">
            <w:pPr>
              <w:spacing w:line="360" w:lineRule="auto"/>
              <w:ind w:firstLine="422"/>
              <w:jc w:val="center"/>
              <w:rPr>
                <w:sz w:val="21"/>
                <w:szCs w:val="21"/>
              </w:rPr>
            </w:pPr>
            <w:r>
              <w:rPr>
                <w:rFonts w:hint="eastAsia"/>
                <w:sz w:val="21"/>
                <w:szCs w:val="21"/>
              </w:rPr>
              <w:t>20.2</w:t>
            </w:r>
          </w:p>
        </w:tc>
        <w:tc>
          <w:tcPr>
            <w:tcW w:w="1470" w:type="dxa"/>
            <w:vAlign w:val="center"/>
          </w:tcPr>
          <w:p w14:paraId="056B42D4">
            <w:pPr>
              <w:spacing w:line="360" w:lineRule="auto"/>
              <w:ind w:firstLine="422"/>
              <w:jc w:val="center"/>
              <w:rPr>
                <w:b/>
                <w:bCs/>
                <w:sz w:val="21"/>
                <w:szCs w:val="21"/>
              </w:rPr>
            </w:pPr>
            <w:r>
              <w:rPr>
                <w:rFonts w:hint="eastAsia"/>
                <w:b/>
                <w:bCs/>
                <w:sz w:val="21"/>
                <w:szCs w:val="21"/>
              </w:rPr>
              <w:t>评审办法</w:t>
            </w:r>
          </w:p>
        </w:tc>
        <w:tc>
          <w:tcPr>
            <w:tcW w:w="6321" w:type="dxa"/>
            <w:vAlign w:val="center"/>
          </w:tcPr>
          <w:p w14:paraId="521094FE">
            <w:pPr>
              <w:spacing w:line="360" w:lineRule="auto"/>
              <w:ind w:firstLine="422" w:firstLineChars="200"/>
              <w:rPr>
                <w:b/>
                <w:bCs/>
                <w:sz w:val="21"/>
                <w:szCs w:val="21"/>
              </w:rPr>
            </w:pPr>
            <w:r>
              <w:rPr>
                <w:rFonts w:hint="eastAsia"/>
                <w:b/>
                <w:bCs/>
                <w:sz w:val="21"/>
                <w:szCs w:val="21"/>
              </w:rPr>
              <w:t>综合评分法，具体详见第四章“评审办法”。</w:t>
            </w:r>
          </w:p>
        </w:tc>
      </w:tr>
      <w:tr w14:paraId="5581F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048496A6">
            <w:pPr>
              <w:spacing w:line="360" w:lineRule="auto"/>
              <w:ind w:firstLine="422"/>
              <w:jc w:val="center"/>
              <w:rPr>
                <w:sz w:val="21"/>
                <w:szCs w:val="21"/>
              </w:rPr>
            </w:pPr>
            <w:r>
              <w:rPr>
                <w:rFonts w:hint="eastAsia"/>
                <w:sz w:val="21"/>
                <w:szCs w:val="21"/>
              </w:rPr>
              <w:t>15</w:t>
            </w:r>
          </w:p>
        </w:tc>
        <w:tc>
          <w:tcPr>
            <w:tcW w:w="855" w:type="dxa"/>
            <w:vAlign w:val="center"/>
          </w:tcPr>
          <w:p w14:paraId="5F77E3FE">
            <w:pPr>
              <w:spacing w:line="360" w:lineRule="auto"/>
              <w:ind w:firstLine="422"/>
              <w:jc w:val="center"/>
              <w:rPr>
                <w:sz w:val="21"/>
                <w:szCs w:val="21"/>
              </w:rPr>
            </w:pPr>
            <w:r>
              <w:rPr>
                <w:rFonts w:hint="eastAsia"/>
                <w:sz w:val="21"/>
                <w:szCs w:val="21"/>
              </w:rPr>
              <w:t>27</w:t>
            </w:r>
          </w:p>
        </w:tc>
        <w:tc>
          <w:tcPr>
            <w:tcW w:w="1470" w:type="dxa"/>
            <w:vAlign w:val="center"/>
          </w:tcPr>
          <w:p w14:paraId="525C1898">
            <w:pPr>
              <w:spacing w:line="360" w:lineRule="auto"/>
              <w:ind w:firstLine="422"/>
              <w:jc w:val="center"/>
              <w:rPr>
                <w:sz w:val="21"/>
                <w:szCs w:val="21"/>
              </w:rPr>
            </w:pPr>
            <w:r>
              <w:rPr>
                <w:rFonts w:hint="eastAsia"/>
                <w:sz w:val="21"/>
                <w:szCs w:val="21"/>
              </w:rPr>
              <w:t>信用查询</w:t>
            </w:r>
          </w:p>
        </w:tc>
        <w:tc>
          <w:tcPr>
            <w:tcW w:w="6321" w:type="dxa"/>
            <w:vAlign w:val="center"/>
          </w:tcPr>
          <w:p w14:paraId="5779BA53">
            <w:pPr>
              <w:spacing w:line="360" w:lineRule="auto"/>
              <w:ind w:firstLine="420" w:firstLineChars="200"/>
              <w:rPr>
                <w:sz w:val="21"/>
                <w:szCs w:val="21"/>
              </w:rPr>
            </w:pPr>
            <w:r>
              <w:rPr>
                <w:rFonts w:hint="eastAsia"/>
                <w:sz w:val="21"/>
                <w:szCs w:val="21"/>
              </w:rPr>
              <w:t>根据《关于做好政府采购有关信用主体标识码登记及在政府采购活动中查询使用信用记录有关问题的通知》（桂财采〔2016〕37），由采购代理机构对第一成交候选人进行信用查询：</w:t>
            </w:r>
          </w:p>
          <w:p w14:paraId="7D9223D0">
            <w:pPr>
              <w:spacing w:line="360" w:lineRule="auto"/>
              <w:ind w:firstLine="422"/>
              <w:rPr>
                <w:sz w:val="21"/>
                <w:szCs w:val="21"/>
              </w:rPr>
            </w:pPr>
            <w:r>
              <w:rPr>
                <w:rFonts w:hint="eastAsia"/>
                <w:sz w:val="21"/>
                <w:szCs w:val="21"/>
              </w:rPr>
              <w:t>（1）查询渠道：“信用中国”网站(www.creditchina.gov.cn)、中国政府采购网(www.ccgp.gov.cn)等；</w:t>
            </w:r>
          </w:p>
          <w:p w14:paraId="1258A01E">
            <w:pPr>
              <w:spacing w:line="360" w:lineRule="auto"/>
              <w:ind w:firstLine="422"/>
              <w:rPr>
                <w:sz w:val="21"/>
                <w:szCs w:val="21"/>
              </w:rPr>
            </w:pPr>
            <w:r>
              <w:rPr>
                <w:rFonts w:hint="eastAsia"/>
                <w:sz w:val="21"/>
                <w:szCs w:val="21"/>
              </w:rPr>
              <w:t>（2）查询截止时间：成交通知书发出前；</w:t>
            </w:r>
          </w:p>
          <w:p w14:paraId="40E3EC6E">
            <w:pPr>
              <w:spacing w:line="360" w:lineRule="auto"/>
              <w:ind w:firstLine="422"/>
              <w:rPr>
                <w:sz w:val="21"/>
                <w:szCs w:val="21"/>
              </w:rPr>
            </w:pPr>
            <w:r>
              <w:rPr>
                <w:rFonts w:hint="eastAsia"/>
                <w:sz w:val="21"/>
                <w:szCs w:val="21"/>
              </w:rPr>
              <w:t>（3）信用信息查询记录和证据留存方式：在查询网站中直接打印查询记录，打印材料作为采购活动资料保存；</w:t>
            </w:r>
          </w:p>
          <w:p w14:paraId="28815792">
            <w:pPr>
              <w:spacing w:line="360" w:lineRule="auto"/>
              <w:ind w:firstLine="422"/>
              <w:rPr>
                <w:sz w:val="21"/>
                <w:szCs w:val="21"/>
              </w:rPr>
            </w:pPr>
            <w:r>
              <w:rPr>
                <w:rFonts w:hint="eastAsia"/>
                <w:sz w:val="21"/>
                <w:szCs w:val="21"/>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tc>
      </w:tr>
      <w:tr w14:paraId="05713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4C7C2300">
            <w:pPr>
              <w:spacing w:line="360" w:lineRule="auto"/>
              <w:ind w:firstLine="422"/>
              <w:jc w:val="center"/>
              <w:rPr>
                <w:sz w:val="21"/>
                <w:szCs w:val="21"/>
              </w:rPr>
            </w:pPr>
            <w:r>
              <w:rPr>
                <w:rFonts w:hint="eastAsia"/>
                <w:sz w:val="21"/>
                <w:szCs w:val="21"/>
              </w:rPr>
              <w:t>16</w:t>
            </w:r>
          </w:p>
        </w:tc>
        <w:tc>
          <w:tcPr>
            <w:tcW w:w="855" w:type="dxa"/>
            <w:vAlign w:val="center"/>
          </w:tcPr>
          <w:p w14:paraId="55E808F4">
            <w:pPr>
              <w:spacing w:line="360" w:lineRule="auto"/>
              <w:ind w:firstLine="422"/>
              <w:jc w:val="center"/>
              <w:rPr>
                <w:sz w:val="21"/>
                <w:szCs w:val="21"/>
              </w:rPr>
            </w:pPr>
            <w:r>
              <w:rPr>
                <w:rFonts w:hint="eastAsia"/>
                <w:sz w:val="21"/>
                <w:szCs w:val="21"/>
              </w:rPr>
              <w:t>28</w:t>
            </w:r>
          </w:p>
        </w:tc>
        <w:tc>
          <w:tcPr>
            <w:tcW w:w="1470" w:type="dxa"/>
            <w:vAlign w:val="center"/>
          </w:tcPr>
          <w:p w14:paraId="333C1DD3">
            <w:pPr>
              <w:spacing w:line="360" w:lineRule="auto"/>
              <w:ind w:firstLine="422"/>
              <w:jc w:val="center"/>
              <w:rPr>
                <w:sz w:val="21"/>
                <w:szCs w:val="21"/>
              </w:rPr>
            </w:pPr>
            <w:r>
              <w:rPr>
                <w:rFonts w:hint="eastAsia"/>
                <w:sz w:val="21"/>
                <w:szCs w:val="21"/>
              </w:rPr>
              <w:t>成交公告及成交通知书</w:t>
            </w:r>
          </w:p>
        </w:tc>
        <w:tc>
          <w:tcPr>
            <w:tcW w:w="6321" w:type="dxa"/>
            <w:vAlign w:val="center"/>
          </w:tcPr>
          <w:p w14:paraId="49E38166">
            <w:pPr>
              <w:spacing w:line="360" w:lineRule="auto"/>
              <w:ind w:firstLine="420" w:firstLineChars="200"/>
              <w:rPr>
                <w:sz w:val="21"/>
                <w:szCs w:val="21"/>
              </w:rPr>
            </w:pPr>
            <w:r>
              <w:rPr>
                <w:rFonts w:hint="eastAsia"/>
                <w:sz w:val="21"/>
                <w:szCs w:val="21"/>
              </w:rPr>
              <w:t>2</w:t>
            </w:r>
            <w:r>
              <w:rPr>
                <w:rFonts w:hint="eastAsia"/>
                <w:sz w:val="21"/>
                <w:szCs w:val="21"/>
                <w:lang w:val="en-US" w:eastAsia="zh-CN"/>
              </w:rPr>
              <w:t>8</w:t>
            </w:r>
            <w:r>
              <w:rPr>
                <w:rFonts w:hint="eastAsia"/>
                <w:sz w:val="21"/>
                <w:szCs w:val="21"/>
              </w:rPr>
              <w:t>.1采购代理机构于评审结束</w:t>
            </w:r>
            <w:r>
              <w:rPr>
                <w:rFonts w:hint="eastAsia"/>
                <w:sz w:val="21"/>
                <w:szCs w:val="21"/>
                <w:highlight w:val="none"/>
              </w:rPr>
              <w:t>后两个工作日内将评审报告送交采购人，采购人应当自收到评审报告五个工作日内在</w:t>
            </w:r>
            <w:r>
              <w:rPr>
                <w:rFonts w:hint="eastAsia"/>
                <w:sz w:val="21"/>
                <w:szCs w:val="21"/>
              </w:rPr>
              <w:t>评审报告推荐的成交候选供应商中按顺序确定成交供应商，采购代理机构在成交供应商确定之日起两个工作日内发出成交通知书，并在指定媒体上公告成交信息。</w:t>
            </w:r>
          </w:p>
          <w:p w14:paraId="38EDA24B">
            <w:pPr>
              <w:spacing w:line="360" w:lineRule="auto"/>
              <w:ind w:firstLine="420" w:firstLineChars="200"/>
              <w:rPr>
                <w:sz w:val="21"/>
                <w:szCs w:val="21"/>
              </w:rPr>
            </w:pPr>
            <w:r>
              <w:rPr>
                <w:rFonts w:hint="eastAsia"/>
                <w:sz w:val="21"/>
                <w:szCs w:val="21"/>
              </w:rPr>
              <w:t>2</w:t>
            </w:r>
            <w:r>
              <w:rPr>
                <w:rFonts w:hint="eastAsia"/>
                <w:sz w:val="21"/>
                <w:szCs w:val="21"/>
                <w:lang w:val="en-US" w:eastAsia="zh-CN"/>
              </w:rPr>
              <w:t>8</w:t>
            </w:r>
            <w:r>
              <w:rPr>
                <w:rFonts w:hint="eastAsia"/>
                <w:sz w:val="21"/>
                <w:szCs w:val="21"/>
              </w:rPr>
              <w:t>.3在发布成交公告的同时，采购代理机构向成交供应商发出成交通知书。成交供应商应自接到通知之日起七日内，办理成交通知书领取手续。</w:t>
            </w:r>
          </w:p>
        </w:tc>
      </w:tr>
      <w:tr w14:paraId="1AC78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5A481BED">
            <w:pPr>
              <w:spacing w:line="360" w:lineRule="auto"/>
              <w:ind w:firstLine="422"/>
              <w:jc w:val="center"/>
              <w:rPr>
                <w:sz w:val="21"/>
                <w:szCs w:val="21"/>
              </w:rPr>
            </w:pPr>
            <w:r>
              <w:rPr>
                <w:rFonts w:hint="eastAsia"/>
                <w:sz w:val="21"/>
                <w:szCs w:val="21"/>
              </w:rPr>
              <w:t>17</w:t>
            </w:r>
          </w:p>
        </w:tc>
        <w:tc>
          <w:tcPr>
            <w:tcW w:w="855" w:type="dxa"/>
            <w:vAlign w:val="center"/>
          </w:tcPr>
          <w:p w14:paraId="507B6C20">
            <w:pPr>
              <w:spacing w:line="360" w:lineRule="auto"/>
              <w:ind w:firstLine="422"/>
              <w:jc w:val="center"/>
              <w:rPr>
                <w:sz w:val="21"/>
                <w:szCs w:val="21"/>
              </w:rPr>
            </w:pPr>
            <w:r>
              <w:rPr>
                <w:rFonts w:hint="eastAsia"/>
                <w:sz w:val="21"/>
                <w:szCs w:val="21"/>
              </w:rPr>
              <w:t>29</w:t>
            </w:r>
          </w:p>
        </w:tc>
        <w:tc>
          <w:tcPr>
            <w:tcW w:w="1470" w:type="dxa"/>
            <w:vAlign w:val="center"/>
          </w:tcPr>
          <w:p w14:paraId="40F5F4B2">
            <w:pPr>
              <w:spacing w:line="360" w:lineRule="auto"/>
              <w:ind w:firstLine="422"/>
              <w:jc w:val="center"/>
              <w:rPr>
                <w:b/>
                <w:bCs/>
                <w:sz w:val="21"/>
                <w:szCs w:val="21"/>
              </w:rPr>
            </w:pPr>
            <w:r>
              <w:rPr>
                <w:rFonts w:hint="eastAsia"/>
                <w:b/>
                <w:bCs/>
                <w:sz w:val="21"/>
                <w:szCs w:val="21"/>
              </w:rPr>
              <w:t>履约保证金</w:t>
            </w:r>
          </w:p>
        </w:tc>
        <w:tc>
          <w:tcPr>
            <w:tcW w:w="6321" w:type="dxa"/>
            <w:vAlign w:val="center"/>
          </w:tcPr>
          <w:p w14:paraId="5AD9E5AA">
            <w:pPr>
              <w:spacing w:line="360" w:lineRule="auto"/>
              <w:ind w:firstLine="422" w:firstLineChars="200"/>
              <w:rPr>
                <w:b/>
                <w:bCs/>
                <w:sz w:val="21"/>
                <w:szCs w:val="21"/>
              </w:rPr>
            </w:pPr>
            <w:r>
              <w:rPr>
                <w:rFonts w:hint="eastAsia"/>
                <w:b/>
                <w:bCs/>
                <w:sz w:val="21"/>
                <w:szCs w:val="21"/>
                <w:highlight w:val="none"/>
              </w:rPr>
              <w:t>履约保证金金额按中标价的1%（人民币，四舍五入到元）缴纳，</w:t>
            </w:r>
            <w:r>
              <w:rPr>
                <w:rFonts w:hint="eastAsia"/>
                <w:b/>
                <w:bCs/>
                <w:sz w:val="21"/>
                <w:szCs w:val="21"/>
              </w:rPr>
              <w:t>由成交供应商在与采购人签订合同前将履约保证金以现金、支票、汇票、本票或者金融机构、担保机构出具的保函等形式提交转入采购人履约保证金专户。</w:t>
            </w:r>
          </w:p>
        </w:tc>
      </w:tr>
      <w:tr w14:paraId="36D61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427917C3">
            <w:pPr>
              <w:spacing w:line="360" w:lineRule="auto"/>
              <w:ind w:firstLine="422"/>
              <w:jc w:val="center"/>
              <w:rPr>
                <w:sz w:val="21"/>
                <w:szCs w:val="21"/>
              </w:rPr>
            </w:pPr>
            <w:r>
              <w:rPr>
                <w:rFonts w:hint="eastAsia"/>
                <w:sz w:val="21"/>
                <w:szCs w:val="21"/>
              </w:rPr>
              <w:t>18</w:t>
            </w:r>
          </w:p>
        </w:tc>
        <w:tc>
          <w:tcPr>
            <w:tcW w:w="855" w:type="dxa"/>
            <w:vAlign w:val="center"/>
          </w:tcPr>
          <w:p w14:paraId="2BDE4333">
            <w:pPr>
              <w:spacing w:line="360" w:lineRule="auto"/>
              <w:ind w:firstLine="422"/>
              <w:jc w:val="center"/>
              <w:rPr>
                <w:sz w:val="21"/>
                <w:szCs w:val="21"/>
              </w:rPr>
            </w:pPr>
            <w:r>
              <w:rPr>
                <w:rFonts w:hint="eastAsia"/>
                <w:sz w:val="21"/>
                <w:szCs w:val="21"/>
              </w:rPr>
              <w:t>30.1</w:t>
            </w:r>
          </w:p>
        </w:tc>
        <w:tc>
          <w:tcPr>
            <w:tcW w:w="1470" w:type="dxa"/>
            <w:vAlign w:val="center"/>
          </w:tcPr>
          <w:p w14:paraId="0246FA40">
            <w:pPr>
              <w:spacing w:line="360" w:lineRule="auto"/>
              <w:ind w:firstLine="422"/>
              <w:jc w:val="center"/>
              <w:rPr>
                <w:b/>
                <w:bCs/>
                <w:sz w:val="21"/>
                <w:szCs w:val="21"/>
              </w:rPr>
            </w:pPr>
            <w:r>
              <w:rPr>
                <w:rFonts w:hint="eastAsia"/>
                <w:b/>
                <w:bCs/>
                <w:sz w:val="21"/>
                <w:szCs w:val="21"/>
              </w:rPr>
              <w:t>签订合同时间</w:t>
            </w:r>
          </w:p>
        </w:tc>
        <w:tc>
          <w:tcPr>
            <w:tcW w:w="6321" w:type="dxa"/>
            <w:vAlign w:val="center"/>
          </w:tcPr>
          <w:p w14:paraId="08092C16">
            <w:pPr>
              <w:spacing w:line="360" w:lineRule="auto"/>
              <w:ind w:firstLine="422" w:firstLineChars="200"/>
              <w:rPr>
                <w:b/>
                <w:bCs/>
                <w:color w:val="FF0000"/>
                <w:sz w:val="21"/>
                <w:szCs w:val="21"/>
              </w:rPr>
            </w:pPr>
            <w:r>
              <w:rPr>
                <w:rFonts w:hint="eastAsia"/>
                <w:b/>
                <w:bCs/>
                <w:color w:val="auto"/>
                <w:sz w:val="21"/>
                <w:szCs w:val="21"/>
                <w:highlight w:val="none"/>
              </w:rPr>
              <w:t>成交通知书发出之日起7日内。成交供应商领取成交通知书后，应按规定与采购人签订合同。</w:t>
            </w:r>
          </w:p>
        </w:tc>
      </w:tr>
      <w:tr w14:paraId="66428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14E98EF6">
            <w:pPr>
              <w:spacing w:line="360" w:lineRule="auto"/>
              <w:ind w:firstLine="422"/>
              <w:jc w:val="center"/>
              <w:rPr>
                <w:sz w:val="21"/>
                <w:szCs w:val="21"/>
              </w:rPr>
            </w:pPr>
            <w:r>
              <w:rPr>
                <w:rFonts w:hint="eastAsia"/>
                <w:sz w:val="21"/>
                <w:szCs w:val="21"/>
              </w:rPr>
              <w:t>19</w:t>
            </w:r>
          </w:p>
        </w:tc>
        <w:tc>
          <w:tcPr>
            <w:tcW w:w="855" w:type="dxa"/>
            <w:vAlign w:val="center"/>
          </w:tcPr>
          <w:p w14:paraId="1EC3EE8B">
            <w:pPr>
              <w:spacing w:line="360" w:lineRule="auto"/>
              <w:ind w:firstLine="422"/>
              <w:jc w:val="center"/>
              <w:rPr>
                <w:sz w:val="21"/>
                <w:szCs w:val="21"/>
              </w:rPr>
            </w:pPr>
            <w:r>
              <w:rPr>
                <w:rFonts w:hint="eastAsia"/>
                <w:sz w:val="21"/>
                <w:szCs w:val="21"/>
              </w:rPr>
              <w:t>30</w:t>
            </w:r>
            <w:r>
              <w:rPr>
                <w:sz w:val="21"/>
                <w:szCs w:val="21"/>
              </w:rPr>
              <w:t>.3</w:t>
            </w:r>
          </w:p>
        </w:tc>
        <w:tc>
          <w:tcPr>
            <w:tcW w:w="1470" w:type="dxa"/>
            <w:vAlign w:val="center"/>
          </w:tcPr>
          <w:p w14:paraId="52C2CD82">
            <w:pPr>
              <w:spacing w:line="360" w:lineRule="auto"/>
              <w:ind w:firstLine="422"/>
              <w:jc w:val="center"/>
              <w:rPr>
                <w:sz w:val="21"/>
                <w:szCs w:val="21"/>
              </w:rPr>
            </w:pPr>
            <w:r>
              <w:rPr>
                <w:sz w:val="21"/>
                <w:szCs w:val="21"/>
              </w:rPr>
              <w:t>合同备案</w:t>
            </w:r>
          </w:p>
          <w:p w14:paraId="5B86139C">
            <w:pPr>
              <w:spacing w:line="360" w:lineRule="auto"/>
              <w:ind w:firstLine="422"/>
              <w:jc w:val="center"/>
              <w:rPr>
                <w:sz w:val="21"/>
                <w:szCs w:val="21"/>
              </w:rPr>
            </w:pPr>
            <w:r>
              <w:rPr>
                <w:sz w:val="21"/>
                <w:szCs w:val="21"/>
              </w:rPr>
              <w:t>存档</w:t>
            </w:r>
          </w:p>
        </w:tc>
        <w:tc>
          <w:tcPr>
            <w:tcW w:w="6321" w:type="dxa"/>
            <w:vAlign w:val="center"/>
          </w:tcPr>
          <w:p w14:paraId="1021C063">
            <w:pPr>
              <w:spacing w:line="360" w:lineRule="auto"/>
              <w:ind w:firstLine="420" w:firstLineChars="200"/>
              <w:rPr>
                <w:sz w:val="21"/>
                <w:szCs w:val="21"/>
              </w:rPr>
            </w:pPr>
            <w:r>
              <w:rPr>
                <w:sz w:val="21"/>
                <w:szCs w:val="21"/>
              </w:rPr>
              <w:t>政府采购合同双方自签订之日起1个工作日内将合同原件两份交采购代理机构，采购代理机构收到政府采购合同原件后在省级以上人民政府财政部门指定媒体上公告并于合同签订之日起7个工作日内将两份合同原件送监督管理机构备案，一份由采购代理机构存档。</w:t>
            </w:r>
          </w:p>
        </w:tc>
      </w:tr>
      <w:tr w14:paraId="12FEB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01F378E8">
            <w:pPr>
              <w:spacing w:line="360" w:lineRule="auto"/>
              <w:ind w:firstLine="422"/>
              <w:jc w:val="center"/>
              <w:rPr>
                <w:sz w:val="21"/>
                <w:szCs w:val="21"/>
              </w:rPr>
            </w:pPr>
            <w:r>
              <w:rPr>
                <w:rFonts w:hint="eastAsia"/>
                <w:sz w:val="21"/>
                <w:szCs w:val="21"/>
              </w:rPr>
              <w:t>20</w:t>
            </w:r>
          </w:p>
        </w:tc>
        <w:tc>
          <w:tcPr>
            <w:tcW w:w="855" w:type="dxa"/>
            <w:vAlign w:val="center"/>
          </w:tcPr>
          <w:p w14:paraId="2F084E6D">
            <w:pPr>
              <w:spacing w:line="360" w:lineRule="auto"/>
              <w:ind w:firstLine="422"/>
              <w:jc w:val="center"/>
              <w:rPr>
                <w:sz w:val="21"/>
                <w:szCs w:val="21"/>
              </w:rPr>
            </w:pPr>
            <w:r>
              <w:rPr>
                <w:sz w:val="21"/>
                <w:szCs w:val="21"/>
              </w:rPr>
              <w:t>3</w:t>
            </w:r>
            <w:r>
              <w:rPr>
                <w:rFonts w:hint="eastAsia"/>
                <w:sz w:val="21"/>
                <w:szCs w:val="21"/>
              </w:rPr>
              <w:t>1</w:t>
            </w:r>
            <w:r>
              <w:rPr>
                <w:sz w:val="21"/>
                <w:szCs w:val="21"/>
              </w:rPr>
              <w:t>.1</w:t>
            </w:r>
          </w:p>
        </w:tc>
        <w:tc>
          <w:tcPr>
            <w:tcW w:w="1470" w:type="dxa"/>
            <w:vAlign w:val="center"/>
          </w:tcPr>
          <w:p w14:paraId="1D8BBFA5">
            <w:pPr>
              <w:spacing w:line="360" w:lineRule="auto"/>
              <w:ind w:firstLine="422"/>
              <w:jc w:val="center"/>
              <w:rPr>
                <w:sz w:val="21"/>
                <w:szCs w:val="21"/>
              </w:rPr>
            </w:pPr>
            <w:r>
              <w:rPr>
                <w:sz w:val="21"/>
                <w:szCs w:val="21"/>
              </w:rPr>
              <w:t>采购代理</w:t>
            </w:r>
          </w:p>
          <w:p w14:paraId="7BB76382">
            <w:pPr>
              <w:spacing w:line="360" w:lineRule="auto"/>
              <w:ind w:firstLine="422"/>
              <w:jc w:val="center"/>
              <w:rPr>
                <w:sz w:val="21"/>
                <w:szCs w:val="21"/>
              </w:rPr>
            </w:pPr>
            <w:r>
              <w:rPr>
                <w:sz w:val="21"/>
                <w:szCs w:val="21"/>
              </w:rPr>
              <w:t>服务费</w:t>
            </w:r>
          </w:p>
        </w:tc>
        <w:tc>
          <w:tcPr>
            <w:tcW w:w="6321" w:type="dxa"/>
            <w:vAlign w:val="center"/>
          </w:tcPr>
          <w:p w14:paraId="26400A23">
            <w:pPr>
              <w:spacing w:line="360" w:lineRule="auto"/>
              <w:ind w:firstLine="440" w:firstLineChars="200"/>
              <w:rPr>
                <w:sz w:val="21"/>
                <w:szCs w:val="21"/>
              </w:rPr>
            </w:pPr>
            <w:r>
              <w:rPr>
                <w:rFonts w:hint="eastAsia"/>
                <w:szCs w:val="21"/>
                <w:highlight w:val="none"/>
              </w:rPr>
              <w:t>本项目招标代理服务费由采购人</w:t>
            </w:r>
            <w:r>
              <w:rPr>
                <w:rFonts w:hint="eastAsia"/>
                <w:color w:val="auto"/>
                <w:szCs w:val="21"/>
                <w:highlight w:val="none"/>
              </w:rPr>
              <w:t>支付。</w:t>
            </w:r>
          </w:p>
        </w:tc>
      </w:tr>
      <w:tr w14:paraId="0B118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4EDE840B">
            <w:pPr>
              <w:spacing w:line="360" w:lineRule="auto"/>
              <w:ind w:firstLine="422"/>
              <w:jc w:val="center"/>
              <w:rPr>
                <w:sz w:val="21"/>
                <w:szCs w:val="21"/>
              </w:rPr>
            </w:pPr>
            <w:r>
              <w:rPr>
                <w:rFonts w:hint="eastAsia"/>
                <w:sz w:val="21"/>
                <w:szCs w:val="21"/>
              </w:rPr>
              <w:t>21</w:t>
            </w:r>
          </w:p>
        </w:tc>
        <w:tc>
          <w:tcPr>
            <w:tcW w:w="855" w:type="dxa"/>
            <w:vAlign w:val="center"/>
          </w:tcPr>
          <w:p w14:paraId="04A08041">
            <w:pPr>
              <w:spacing w:line="360" w:lineRule="auto"/>
              <w:ind w:firstLine="422"/>
              <w:jc w:val="center"/>
              <w:rPr>
                <w:sz w:val="21"/>
                <w:szCs w:val="21"/>
              </w:rPr>
            </w:pPr>
            <w:r>
              <w:rPr>
                <w:rFonts w:hint="eastAsia"/>
                <w:sz w:val="21"/>
                <w:szCs w:val="21"/>
              </w:rPr>
              <w:t>33</w:t>
            </w:r>
          </w:p>
        </w:tc>
        <w:tc>
          <w:tcPr>
            <w:tcW w:w="1470" w:type="dxa"/>
            <w:vAlign w:val="center"/>
          </w:tcPr>
          <w:p w14:paraId="4820FF7D">
            <w:pPr>
              <w:spacing w:line="360" w:lineRule="auto"/>
              <w:ind w:firstLine="422"/>
              <w:jc w:val="center"/>
              <w:rPr>
                <w:sz w:val="21"/>
                <w:szCs w:val="21"/>
              </w:rPr>
            </w:pPr>
            <w:r>
              <w:rPr>
                <w:sz w:val="21"/>
                <w:szCs w:val="21"/>
              </w:rPr>
              <w:t>解释权</w:t>
            </w:r>
          </w:p>
        </w:tc>
        <w:tc>
          <w:tcPr>
            <w:tcW w:w="6321" w:type="dxa"/>
            <w:vAlign w:val="center"/>
          </w:tcPr>
          <w:p w14:paraId="01F5534D">
            <w:pPr>
              <w:spacing w:line="360" w:lineRule="auto"/>
              <w:ind w:firstLine="420" w:firstLineChars="200"/>
              <w:rPr>
                <w:sz w:val="21"/>
                <w:szCs w:val="21"/>
              </w:rPr>
            </w:pPr>
            <w:r>
              <w:rPr>
                <w:sz w:val="21"/>
                <w:szCs w:val="21"/>
              </w:rPr>
              <w:t>本竞争性磋商文件是根据《中华人民共和国政府采购法》、《中华人民共和国政府采购法实施条例》、《政府采购竞争性磋商采购方式管理暂行办法》和政府采购管理有关规定编制。</w:t>
            </w:r>
          </w:p>
        </w:tc>
      </w:tr>
    </w:tbl>
    <w:p w14:paraId="49021988">
      <w:pPr>
        <w:spacing w:line="360" w:lineRule="exact"/>
        <w:jc w:val="both"/>
        <w:rPr>
          <w:sz w:val="21"/>
        </w:rPr>
        <w:sectPr>
          <w:type w:val="continuous"/>
          <w:pgSz w:w="11910" w:h="16840"/>
          <w:pgMar w:top="1400" w:right="640" w:bottom="900" w:left="960" w:header="0" w:footer="720" w:gutter="0"/>
          <w:cols w:space="720" w:num="1"/>
        </w:sectPr>
      </w:pPr>
    </w:p>
    <w:p w14:paraId="0EAEB600">
      <w:pPr>
        <w:spacing w:line="400" w:lineRule="atLeast"/>
        <w:rPr>
          <w:sz w:val="21"/>
        </w:rPr>
        <w:sectPr>
          <w:type w:val="continuous"/>
          <w:pgSz w:w="11910" w:h="16840"/>
          <w:pgMar w:top="1400" w:right="640" w:bottom="900" w:left="960" w:header="0" w:footer="720" w:gutter="0"/>
          <w:cols w:space="720" w:num="1"/>
        </w:sectPr>
      </w:pPr>
    </w:p>
    <w:p w14:paraId="7FFC2D1F">
      <w:pPr>
        <w:pStyle w:val="5"/>
        <w:spacing w:before="48"/>
        <w:ind w:left="0" w:right="319" w:firstLine="562"/>
        <w:jc w:val="center"/>
      </w:pPr>
      <w:r>
        <w:t>一、总则</w:t>
      </w:r>
    </w:p>
    <w:p w14:paraId="57AD4201">
      <w:pPr>
        <w:spacing w:line="360" w:lineRule="auto"/>
        <w:ind w:firstLine="422" w:firstLineChars="200"/>
        <w:rPr>
          <w:b/>
          <w:bCs/>
          <w:sz w:val="21"/>
          <w:szCs w:val="21"/>
        </w:rPr>
      </w:pPr>
      <w:r>
        <w:rPr>
          <w:rFonts w:hint="eastAsia"/>
          <w:b/>
          <w:bCs/>
          <w:sz w:val="21"/>
          <w:szCs w:val="21"/>
        </w:rPr>
        <w:t>1.</w:t>
      </w:r>
      <w:r>
        <w:rPr>
          <w:b/>
          <w:bCs/>
          <w:sz w:val="21"/>
          <w:szCs w:val="21"/>
        </w:rPr>
        <w:t>适应范围</w:t>
      </w:r>
    </w:p>
    <w:p w14:paraId="2DEFC835">
      <w:pPr>
        <w:spacing w:line="360" w:lineRule="auto"/>
        <w:ind w:firstLine="420" w:firstLineChars="200"/>
        <w:rPr>
          <w:sz w:val="21"/>
          <w:szCs w:val="21"/>
        </w:rPr>
      </w:pPr>
      <w:r>
        <w:rPr>
          <w:rFonts w:hint="eastAsia"/>
          <w:sz w:val="21"/>
          <w:szCs w:val="21"/>
        </w:rPr>
        <w:t>1.1</w:t>
      </w:r>
      <w:r>
        <w:rPr>
          <w:sz w:val="21"/>
          <w:szCs w:val="21"/>
        </w:rPr>
        <w:t>项目名称及项目编号：</w:t>
      </w:r>
    </w:p>
    <w:p w14:paraId="61BD6528">
      <w:pPr>
        <w:spacing w:line="360" w:lineRule="auto"/>
        <w:ind w:firstLine="420" w:firstLineChars="200"/>
        <w:rPr>
          <w:sz w:val="21"/>
          <w:szCs w:val="21"/>
          <w:highlight w:val="none"/>
        </w:rPr>
      </w:pPr>
      <w:r>
        <w:rPr>
          <w:sz w:val="21"/>
          <w:szCs w:val="21"/>
        </w:rPr>
        <w:t>项目名称</w:t>
      </w:r>
      <w:r>
        <w:rPr>
          <w:sz w:val="21"/>
          <w:szCs w:val="21"/>
          <w:highlight w:val="none"/>
        </w:rPr>
        <w:t>：</w:t>
      </w:r>
      <w:r>
        <w:rPr>
          <w:rFonts w:hint="eastAsia"/>
          <w:sz w:val="21"/>
          <w:szCs w:val="21"/>
          <w:highlight w:val="none"/>
        </w:rPr>
        <w:t>详见“供应商须知前附表”。</w:t>
      </w:r>
    </w:p>
    <w:p w14:paraId="7AA66966">
      <w:pPr>
        <w:spacing w:line="360" w:lineRule="auto"/>
        <w:ind w:firstLine="420" w:firstLineChars="200"/>
        <w:rPr>
          <w:rFonts w:hint="eastAsia" w:eastAsia="宋体"/>
          <w:sz w:val="21"/>
          <w:szCs w:val="21"/>
          <w:highlight w:val="none"/>
          <w:lang w:eastAsia="zh-CN"/>
        </w:rPr>
      </w:pPr>
      <w:r>
        <w:rPr>
          <w:sz w:val="21"/>
          <w:szCs w:val="21"/>
          <w:highlight w:val="none"/>
        </w:rPr>
        <w:t>项目编号：</w:t>
      </w:r>
      <w:r>
        <w:rPr>
          <w:rFonts w:hint="eastAsia"/>
          <w:sz w:val="21"/>
          <w:szCs w:val="21"/>
          <w:highlight w:val="none"/>
        </w:rPr>
        <w:t>详见“供应商须知前附表”</w:t>
      </w:r>
      <w:r>
        <w:rPr>
          <w:rFonts w:hint="eastAsia"/>
          <w:sz w:val="21"/>
          <w:szCs w:val="21"/>
          <w:highlight w:val="none"/>
          <w:lang w:eastAsia="zh-CN"/>
        </w:rPr>
        <w:t>。</w:t>
      </w:r>
    </w:p>
    <w:p w14:paraId="09D61A56">
      <w:pPr>
        <w:spacing w:line="360" w:lineRule="auto"/>
        <w:ind w:firstLine="420" w:firstLineChars="200"/>
        <w:rPr>
          <w:sz w:val="21"/>
          <w:szCs w:val="21"/>
          <w:highlight w:val="none"/>
        </w:rPr>
      </w:pPr>
      <w:r>
        <w:rPr>
          <w:rFonts w:hint="eastAsia"/>
          <w:sz w:val="21"/>
          <w:szCs w:val="21"/>
        </w:rPr>
        <w:t>1.2</w:t>
      </w:r>
      <w:r>
        <w:rPr>
          <w:sz w:val="21"/>
          <w:szCs w:val="21"/>
        </w:rPr>
        <w:t>要求工期</w:t>
      </w:r>
      <w:r>
        <w:rPr>
          <w:rFonts w:hint="eastAsia"/>
          <w:sz w:val="21"/>
          <w:szCs w:val="21"/>
          <w:highlight w:val="none"/>
        </w:rPr>
        <w:t>及质量标准</w:t>
      </w:r>
      <w:r>
        <w:rPr>
          <w:sz w:val="21"/>
          <w:szCs w:val="21"/>
          <w:highlight w:val="none"/>
        </w:rPr>
        <w:t>：</w:t>
      </w:r>
    </w:p>
    <w:p w14:paraId="56858472">
      <w:pPr>
        <w:spacing w:line="360" w:lineRule="auto"/>
        <w:ind w:firstLine="420" w:firstLineChars="200"/>
        <w:rPr>
          <w:sz w:val="21"/>
          <w:szCs w:val="21"/>
          <w:highlight w:val="none"/>
        </w:rPr>
      </w:pPr>
      <w:r>
        <w:rPr>
          <w:rFonts w:hint="eastAsia"/>
          <w:sz w:val="21"/>
          <w:szCs w:val="21"/>
          <w:highlight w:val="none"/>
        </w:rPr>
        <w:t>要求工期：</w:t>
      </w:r>
      <w:r>
        <w:rPr>
          <w:rFonts w:hint="eastAsia"/>
          <w:sz w:val="21"/>
          <w:szCs w:val="21"/>
          <w:highlight w:val="none"/>
          <w:lang w:val="en-US" w:eastAsia="zh-CN"/>
        </w:rPr>
        <w:t>详见“供应商须知前附表”。</w:t>
      </w:r>
    </w:p>
    <w:p w14:paraId="324E05D9">
      <w:pPr>
        <w:spacing w:line="360" w:lineRule="auto"/>
        <w:ind w:firstLine="420" w:firstLineChars="200"/>
        <w:rPr>
          <w:sz w:val="21"/>
          <w:szCs w:val="21"/>
          <w:highlight w:val="none"/>
        </w:rPr>
      </w:pPr>
      <w:r>
        <w:rPr>
          <w:rFonts w:hint="eastAsia"/>
          <w:sz w:val="21"/>
          <w:szCs w:val="21"/>
          <w:highlight w:val="none"/>
        </w:rPr>
        <w:t>质量标准：工程交工验收的质量评定：合格；竣工验收的质量评定：优良。</w:t>
      </w:r>
    </w:p>
    <w:p w14:paraId="6631627D">
      <w:pPr>
        <w:spacing w:line="360" w:lineRule="auto"/>
        <w:ind w:firstLine="420" w:firstLineChars="200"/>
        <w:rPr>
          <w:sz w:val="21"/>
          <w:szCs w:val="21"/>
        </w:rPr>
      </w:pPr>
      <w:r>
        <w:rPr>
          <w:rFonts w:hint="eastAsia"/>
          <w:sz w:val="21"/>
          <w:szCs w:val="21"/>
        </w:rPr>
        <w:t>1.3</w:t>
      </w:r>
      <w:r>
        <w:rPr>
          <w:sz w:val="21"/>
          <w:szCs w:val="21"/>
        </w:rPr>
        <w:t>本竞争性磋商文件（以下简称磋商文件）适用于本磋商项目的磋商、评审、合同履约、验收、付款等行为（法律、法规另有规定的，从其规定）。</w:t>
      </w:r>
    </w:p>
    <w:p w14:paraId="5DE3C912">
      <w:pPr>
        <w:spacing w:line="360" w:lineRule="auto"/>
        <w:ind w:firstLine="422" w:firstLineChars="200"/>
        <w:rPr>
          <w:b/>
          <w:bCs/>
          <w:sz w:val="21"/>
          <w:szCs w:val="21"/>
        </w:rPr>
      </w:pPr>
      <w:r>
        <w:rPr>
          <w:rFonts w:hint="eastAsia"/>
          <w:b/>
          <w:bCs/>
          <w:sz w:val="21"/>
          <w:szCs w:val="21"/>
        </w:rPr>
        <w:t>2.</w:t>
      </w:r>
      <w:r>
        <w:rPr>
          <w:b/>
          <w:bCs/>
          <w:sz w:val="21"/>
          <w:szCs w:val="21"/>
        </w:rPr>
        <w:t>定义</w:t>
      </w:r>
    </w:p>
    <w:p w14:paraId="4521CD9C">
      <w:pPr>
        <w:spacing w:line="360" w:lineRule="auto"/>
        <w:ind w:firstLine="420" w:firstLineChars="200"/>
        <w:rPr>
          <w:sz w:val="21"/>
          <w:szCs w:val="21"/>
        </w:rPr>
      </w:pPr>
      <w:r>
        <w:rPr>
          <w:rFonts w:hint="eastAsia"/>
          <w:sz w:val="21"/>
          <w:szCs w:val="21"/>
        </w:rPr>
        <w:t>2.1</w:t>
      </w:r>
      <w:r>
        <w:rPr>
          <w:sz w:val="21"/>
          <w:szCs w:val="21"/>
        </w:rPr>
        <w:t>“供应商”：是指符合本次采购项目的供应商资格并提交响应文件、参加磋商的供应商。如果该供应商在本次磋商中成交，即成为“成交供应商”。</w:t>
      </w:r>
    </w:p>
    <w:p w14:paraId="3E972E3C">
      <w:pPr>
        <w:spacing w:line="360" w:lineRule="auto"/>
        <w:ind w:firstLine="420" w:firstLineChars="200"/>
        <w:rPr>
          <w:sz w:val="21"/>
          <w:szCs w:val="21"/>
        </w:rPr>
      </w:pPr>
      <w:r>
        <w:rPr>
          <w:rFonts w:hint="eastAsia"/>
          <w:sz w:val="21"/>
          <w:szCs w:val="21"/>
        </w:rPr>
        <w:t>2.2</w:t>
      </w:r>
      <w:r>
        <w:rPr>
          <w:sz w:val="21"/>
          <w:szCs w:val="21"/>
        </w:rPr>
        <w:t>“项目”：系指供应商按磋商文件规定向采购人提供的</w:t>
      </w:r>
      <w:r>
        <w:rPr>
          <w:rFonts w:hint="eastAsia"/>
          <w:sz w:val="21"/>
          <w:szCs w:val="21"/>
        </w:rPr>
        <w:t>工程和</w:t>
      </w:r>
      <w:r>
        <w:rPr>
          <w:sz w:val="21"/>
          <w:szCs w:val="21"/>
        </w:rPr>
        <w:t>服务。</w:t>
      </w:r>
    </w:p>
    <w:p w14:paraId="40689DF1">
      <w:pPr>
        <w:spacing w:line="360" w:lineRule="auto"/>
        <w:ind w:firstLine="420" w:firstLineChars="200"/>
        <w:rPr>
          <w:sz w:val="21"/>
          <w:szCs w:val="21"/>
        </w:rPr>
      </w:pPr>
      <w:r>
        <w:rPr>
          <w:rFonts w:hint="eastAsia"/>
          <w:sz w:val="21"/>
          <w:szCs w:val="21"/>
        </w:rPr>
        <w:t>2.3</w:t>
      </w:r>
      <w:r>
        <w:rPr>
          <w:sz w:val="21"/>
          <w:szCs w:val="21"/>
        </w:rPr>
        <w:t>“书面形式”：包括信函、传真、电报等。</w:t>
      </w:r>
    </w:p>
    <w:p w14:paraId="6DEE7336">
      <w:pPr>
        <w:spacing w:line="360" w:lineRule="auto"/>
        <w:ind w:firstLine="420" w:firstLineChars="200"/>
        <w:rPr>
          <w:b w:val="0"/>
          <w:bCs w:val="0"/>
          <w:sz w:val="21"/>
          <w:szCs w:val="21"/>
        </w:rPr>
      </w:pPr>
      <w:r>
        <w:rPr>
          <w:rFonts w:hint="eastAsia"/>
          <w:sz w:val="21"/>
          <w:szCs w:val="21"/>
        </w:rPr>
        <w:t>2.4</w:t>
      </w:r>
      <w:r>
        <w:rPr>
          <w:sz w:val="21"/>
          <w:szCs w:val="21"/>
        </w:rPr>
        <w:t>“响应文件”：本项目实行全流程电子化采购，供应商通过“广西政府采购云平台”参与电子竞标。响应文件特指供应商按本磋商文件规定提交的电子响应文件（包括因特殊情况无法解密或解密失</w:t>
      </w:r>
      <w:r>
        <w:rPr>
          <w:b w:val="0"/>
          <w:bCs w:val="0"/>
          <w:sz w:val="21"/>
          <w:szCs w:val="21"/>
        </w:rPr>
        <w:t>败提交的电子备份响应文件）。</w:t>
      </w:r>
    </w:p>
    <w:p w14:paraId="0B38119F">
      <w:pPr>
        <w:spacing w:line="360" w:lineRule="auto"/>
        <w:ind w:firstLine="420" w:firstLineChars="200"/>
        <w:rPr>
          <w:b w:val="0"/>
          <w:bCs w:val="0"/>
          <w:sz w:val="21"/>
          <w:szCs w:val="21"/>
        </w:rPr>
      </w:pPr>
      <w:r>
        <w:rPr>
          <w:rFonts w:hint="eastAsia"/>
          <w:b w:val="0"/>
          <w:bCs w:val="0"/>
          <w:sz w:val="21"/>
          <w:szCs w:val="21"/>
        </w:rPr>
        <w:t>2.5</w:t>
      </w:r>
      <w:r>
        <w:rPr>
          <w:b w:val="0"/>
          <w:bCs w:val="0"/>
          <w:sz w:val="21"/>
          <w:szCs w:val="21"/>
        </w:rPr>
        <w:t>实质性要求：</w:t>
      </w:r>
      <w:r>
        <w:rPr>
          <w:rFonts w:hint="eastAsia"/>
          <w:b w:val="0"/>
          <w:bCs w:val="0"/>
          <w:sz w:val="21"/>
          <w:szCs w:val="21"/>
        </w:rPr>
        <w:t>“采购需求”中的所有内容均为实质性要求。</w:t>
      </w:r>
    </w:p>
    <w:p w14:paraId="07BD6AC6">
      <w:pPr>
        <w:spacing w:line="360" w:lineRule="auto"/>
        <w:ind w:firstLine="420" w:firstLineChars="200"/>
        <w:rPr>
          <w:rFonts w:hint="eastAsia" w:eastAsia="宋体"/>
          <w:b w:val="0"/>
          <w:bCs w:val="0"/>
          <w:sz w:val="21"/>
          <w:szCs w:val="21"/>
          <w:lang w:eastAsia="zh-CN"/>
        </w:rPr>
      </w:pPr>
      <w:r>
        <w:rPr>
          <w:rFonts w:hint="eastAsia"/>
          <w:b w:val="0"/>
          <w:bCs w:val="0"/>
          <w:sz w:val="21"/>
          <w:szCs w:val="21"/>
        </w:rPr>
        <w:t>3.</w:t>
      </w:r>
      <w:r>
        <w:rPr>
          <w:b w:val="0"/>
          <w:bCs w:val="0"/>
          <w:sz w:val="21"/>
          <w:szCs w:val="21"/>
        </w:rPr>
        <w:t>供应商资格</w:t>
      </w:r>
      <w:r>
        <w:rPr>
          <w:rFonts w:hint="eastAsia"/>
          <w:b w:val="0"/>
          <w:bCs w:val="0"/>
          <w:sz w:val="21"/>
          <w:szCs w:val="21"/>
          <w:lang w:eastAsia="zh-CN"/>
        </w:rPr>
        <w:t>：详见“供应商须知前附表”。</w:t>
      </w:r>
    </w:p>
    <w:p w14:paraId="59449536">
      <w:pPr>
        <w:spacing w:line="360" w:lineRule="auto"/>
        <w:ind w:firstLine="420" w:firstLineChars="200"/>
        <w:rPr>
          <w:b w:val="0"/>
          <w:bCs w:val="0"/>
          <w:sz w:val="21"/>
          <w:szCs w:val="21"/>
        </w:rPr>
      </w:pPr>
      <w:r>
        <w:rPr>
          <w:rFonts w:hint="eastAsia"/>
          <w:b w:val="0"/>
          <w:bCs w:val="0"/>
          <w:sz w:val="21"/>
          <w:szCs w:val="21"/>
        </w:rPr>
        <w:t>4</w:t>
      </w:r>
      <w:r>
        <w:rPr>
          <w:b w:val="0"/>
          <w:bCs w:val="0"/>
          <w:sz w:val="21"/>
          <w:szCs w:val="21"/>
        </w:rPr>
        <w:t>.参与电子竞标的准备工作</w:t>
      </w:r>
    </w:p>
    <w:p w14:paraId="641F397E">
      <w:pPr>
        <w:spacing w:line="360" w:lineRule="auto"/>
        <w:ind w:firstLine="420" w:firstLineChars="200"/>
        <w:rPr>
          <w:sz w:val="21"/>
          <w:szCs w:val="21"/>
        </w:rPr>
      </w:pPr>
      <w:r>
        <w:rPr>
          <w:rFonts w:hint="eastAsia"/>
          <w:sz w:val="21"/>
          <w:szCs w:val="21"/>
        </w:rPr>
        <w:t>4.1</w:t>
      </w:r>
      <w:r>
        <w:rPr>
          <w:sz w:val="21"/>
          <w:szCs w:val="21"/>
        </w:rPr>
        <w:t>本项目实行全流程电子化采购，供应商通过“广西政府采购云平台”参与电子竞标，并应做好以下相关准备工作：①在“广西政府采购云平台”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广西政府采购云平台电子投标客户端”）并安装成功，供应商应当在响应文件提交截止时间前在“广西政府采购云平台”完成的身份</w:t>
      </w:r>
    </w:p>
    <w:p w14:paraId="7B6CD5BA">
      <w:pPr>
        <w:spacing w:line="360" w:lineRule="auto"/>
        <w:ind w:firstLine="420" w:firstLineChars="200"/>
        <w:rPr>
          <w:sz w:val="21"/>
          <w:szCs w:val="21"/>
        </w:rPr>
      </w:pPr>
      <w:r>
        <w:rPr>
          <w:sz w:val="21"/>
          <w:szCs w:val="21"/>
        </w:rPr>
        <w:t>认证，确保能够对相关数据电文进行加密和使用电子签章；④自备计算机和网络设备并确保能接入互联网（费用由供应商自行承担，设备确保可进行视频通话和读取广西政府采购云平台CA证书）。因供应商未做好相关准备工作等自身原因导致无法参加本项目电子竞标或竞标失败的，造成的一切后果，由供应商自行承担。</w:t>
      </w:r>
    </w:p>
    <w:p w14:paraId="17BD0CCA">
      <w:pPr>
        <w:spacing w:line="360" w:lineRule="auto"/>
        <w:ind w:firstLine="420" w:firstLineChars="200"/>
        <w:rPr>
          <w:sz w:val="21"/>
          <w:szCs w:val="21"/>
        </w:rPr>
      </w:pPr>
      <w:r>
        <w:rPr>
          <w:rFonts w:hint="eastAsia"/>
          <w:sz w:val="21"/>
          <w:szCs w:val="21"/>
        </w:rPr>
        <w:t>4.2</w:t>
      </w:r>
      <w:r>
        <w:rPr>
          <w:sz w:val="21"/>
          <w:szCs w:val="21"/>
        </w:rPr>
        <w:t>电子竞标具体操作流程参考《政府采购项目电子交易管理操作指南-供应商》（详见桂林市政</w:t>
      </w:r>
    </w:p>
    <w:p w14:paraId="445389BF">
      <w:pPr>
        <w:spacing w:line="360" w:lineRule="auto"/>
        <w:ind w:firstLine="420" w:firstLineChars="200"/>
        <w:rPr>
          <w:sz w:val="21"/>
          <w:szCs w:val="21"/>
        </w:rPr>
      </w:pPr>
      <w:r>
        <w:rPr>
          <w:sz w:val="21"/>
          <w:szCs w:val="21"/>
        </w:rPr>
        <w:t>府采购网—采购资讯—重要通知）；如遇平台技术问题详询95763。</w:t>
      </w:r>
    </w:p>
    <w:p w14:paraId="16C829AB">
      <w:pPr>
        <w:spacing w:line="360" w:lineRule="auto"/>
        <w:ind w:firstLine="420" w:firstLineChars="200"/>
        <w:rPr>
          <w:sz w:val="21"/>
          <w:szCs w:val="21"/>
        </w:rPr>
      </w:pPr>
      <w:r>
        <w:rPr>
          <w:rFonts w:hint="eastAsia"/>
          <w:sz w:val="21"/>
          <w:szCs w:val="21"/>
        </w:rPr>
        <w:t>4.3</w:t>
      </w:r>
      <w:r>
        <w:rPr>
          <w:sz w:val="21"/>
          <w:szCs w:val="21"/>
        </w:rPr>
        <w:t>不论磋商结果如何，供应商均应自行承担所有与磋商有关的全部费用。</w:t>
      </w:r>
    </w:p>
    <w:p w14:paraId="70A4D95A">
      <w:pPr>
        <w:spacing w:line="360" w:lineRule="auto"/>
        <w:ind w:firstLine="422" w:firstLineChars="200"/>
        <w:rPr>
          <w:b/>
          <w:bCs/>
          <w:sz w:val="21"/>
          <w:szCs w:val="21"/>
          <w:highlight w:val="none"/>
        </w:rPr>
      </w:pPr>
      <w:r>
        <w:rPr>
          <w:rFonts w:hint="eastAsia"/>
          <w:b/>
          <w:bCs/>
          <w:sz w:val="21"/>
          <w:szCs w:val="21"/>
        </w:rPr>
        <w:t>5.</w:t>
      </w:r>
      <w:r>
        <w:rPr>
          <w:b/>
          <w:bCs/>
          <w:sz w:val="21"/>
          <w:szCs w:val="21"/>
        </w:rPr>
        <w:t>联合体要求：</w:t>
      </w:r>
    </w:p>
    <w:p w14:paraId="477A59B4">
      <w:pPr>
        <w:spacing w:line="360" w:lineRule="auto"/>
        <w:ind w:firstLine="420" w:firstLineChars="200"/>
        <w:rPr>
          <w:sz w:val="21"/>
          <w:szCs w:val="21"/>
        </w:rPr>
      </w:pPr>
      <w:r>
        <w:rPr>
          <w:sz w:val="21"/>
          <w:szCs w:val="21"/>
          <w:highlight w:val="none"/>
        </w:rPr>
        <w:t>本项目不接受联合体参与磋商。</w:t>
      </w:r>
    </w:p>
    <w:p w14:paraId="45C2A96B">
      <w:pPr>
        <w:spacing w:line="360" w:lineRule="auto"/>
        <w:ind w:firstLine="422" w:firstLineChars="200"/>
        <w:rPr>
          <w:b/>
          <w:bCs/>
          <w:sz w:val="21"/>
          <w:szCs w:val="21"/>
        </w:rPr>
      </w:pPr>
      <w:r>
        <w:rPr>
          <w:b/>
          <w:bCs/>
          <w:sz w:val="21"/>
          <w:szCs w:val="21"/>
        </w:rPr>
        <w:t>6.质疑和投诉</w:t>
      </w:r>
    </w:p>
    <w:p w14:paraId="069385AE">
      <w:pPr>
        <w:spacing w:line="360" w:lineRule="auto"/>
        <w:ind w:firstLine="420" w:firstLineChars="200"/>
        <w:rPr>
          <w:sz w:val="21"/>
          <w:szCs w:val="21"/>
        </w:rPr>
      </w:pPr>
      <w:r>
        <w:rPr>
          <w:rFonts w:hint="eastAsia"/>
          <w:sz w:val="21"/>
          <w:szCs w:val="21"/>
        </w:rPr>
        <w:t>6.1</w:t>
      </w:r>
      <w:r>
        <w:rPr>
          <w:sz w:val="21"/>
          <w:szCs w:val="21"/>
        </w:rPr>
        <w:t>供应商认为磋商文件使自己的合法权益受到损害的，应当于本项目公告期限届满之日起七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否则，采购代理机构有权拒收。</w:t>
      </w:r>
    </w:p>
    <w:p w14:paraId="68D10E98">
      <w:pPr>
        <w:spacing w:line="360" w:lineRule="auto"/>
        <w:ind w:firstLine="420" w:firstLineChars="200"/>
        <w:rPr>
          <w:sz w:val="21"/>
          <w:szCs w:val="21"/>
        </w:rPr>
      </w:pPr>
      <w:r>
        <w:rPr>
          <w:sz w:val="21"/>
          <w:szCs w:val="21"/>
        </w:rPr>
        <w:t>采购代理机构应认真做好质疑处理工作，对于质疑供应商在法定质疑期内提出的质疑函，应当在收到质疑函后7个工作日内作出答复，并以书面形式通知质疑供应商和其他有关供应商。</w:t>
      </w:r>
    </w:p>
    <w:p w14:paraId="2BB362CD">
      <w:pPr>
        <w:spacing w:line="360" w:lineRule="auto"/>
        <w:ind w:firstLine="420" w:firstLineChars="200"/>
        <w:rPr>
          <w:sz w:val="21"/>
          <w:szCs w:val="21"/>
        </w:rPr>
      </w:pPr>
      <w:r>
        <w:rPr>
          <w:sz w:val="21"/>
          <w:szCs w:val="21"/>
        </w:rPr>
        <w:t>供应商在法定质疑期内应一次性提出与项目相关的质疑，供应商在提出与项目相关的质疑前应当做好全面且详细的工作，代理机构不再受理供应商针对同一采购程序环节的再次质疑。</w:t>
      </w:r>
      <w:r>
        <w:rPr>
          <w:rFonts w:hint="eastAsia"/>
          <w:sz w:val="21"/>
          <w:szCs w:val="21"/>
        </w:rPr>
        <w:t>（</w:t>
      </w:r>
      <w:r>
        <w:rPr>
          <w:rFonts w:hint="eastAsia"/>
          <w:b/>
          <w:bCs/>
          <w:sz w:val="21"/>
          <w:szCs w:val="21"/>
        </w:rPr>
        <w:t>“质疑函”格式详见附表1</w:t>
      </w:r>
      <w:r>
        <w:rPr>
          <w:rFonts w:hint="eastAsia"/>
          <w:sz w:val="21"/>
          <w:szCs w:val="21"/>
        </w:rPr>
        <w:t>）</w:t>
      </w:r>
    </w:p>
    <w:p w14:paraId="64BC8247">
      <w:pPr>
        <w:spacing w:line="360" w:lineRule="auto"/>
        <w:ind w:firstLine="420" w:firstLineChars="200"/>
        <w:rPr>
          <w:sz w:val="21"/>
          <w:szCs w:val="21"/>
        </w:rPr>
      </w:pPr>
      <w:r>
        <w:rPr>
          <w:rFonts w:hint="eastAsia"/>
          <w:sz w:val="21"/>
          <w:szCs w:val="21"/>
        </w:rPr>
        <w:t>6.2</w:t>
      </w:r>
      <w:r>
        <w:rPr>
          <w:sz w:val="21"/>
          <w:szCs w:val="21"/>
        </w:rPr>
        <w:t>供应商对采购代理机构的质疑答复不满意或者采购代理机构未在规定的时间内作出答复的，可以在答复期满后十五个工作日内向行政监督管理机构投诉。</w:t>
      </w:r>
      <w:r>
        <w:rPr>
          <w:rFonts w:hint="eastAsia"/>
          <w:sz w:val="21"/>
          <w:szCs w:val="21"/>
        </w:rPr>
        <w:t>（</w:t>
      </w:r>
      <w:r>
        <w:rPr>
          <w:rFonts w:hint="eastAsia"/>
          <w:b/>
          <w:bCs/>
          <w:sz w:val="21"/>
          <w:szCs w:val="21"/>
        </w:rPr>
        <w:t>“投诉函”格式详见附表2</w:t>
      </w:r>
      <w:r>
        <w:rPr>
          <w:rFonts w:hint="eastAsia"/>
          <w:sz w:val="21"/>
          <w:szCs w:val="21"/>
        </w:rPr>
        <w:t>）</w:t>
      </w:r>
    </w:p>
    <w:p w14:paraId="5E5B6AF4">
      <w:pPr>
        <w:spacing w:line="360" w:lineRule="auto"/>
        <w:ind w:firstLine="420" w:firstLineChars="200"/>
        <w:rPr>
          <w:sz w:val="21"/>
          <w:szCs w:val="21"/>
        </w:rPr>
      </w:pPr>
      <w:r>
        <w:rPr>
          <w:rFonts w:hint="eastAsia"/>
          <w:sz w:val="21"/>
          <w:szCs w:val="21"/>
        </w:rPr>
        <w:t>6.3</w:t>
      </w:r>
      <w:r>
        <w:rPr>
          <w:sz w:val="21"/>
          <w:szCs w:val="21"/>
        </w:rPr>
        <w:t>质疑、投诉应当采用书面形式，质疑书、投诉书实行实名制，均应明确阐述磋商文件、磋商过程或成交结果中使自己合法权益受到损害的实质性内容，并提供必要的证明材料。</w:t>
      </w:r>
    </w:p>
    <w:p w14:paraId="25D605BB">
      <w:pPr>
        <w:spacing w:line="360" w:lineRule="auto"/>
        <w:ind w:firstLine="420" w:firstLineChars="200"/>
        <w:rPr>
          <w:sz w:val="21"/>
          <w:szCs w:val="21"/>
        </w:rPr>
      </w:pPr>
      <w:r>
        <w:rPr>
          <w:sz w:val="21"/>
          <w:szCs w:val="21"/>
        </w:rPr>
        <w:t>供应商提出质疑应当提交质疑函和必要的证明材料，针对同一采购程序环节的质疑必须在法定质疑期内一次性提出。质疑函应当包括下列内容：</w:t>
      </w:r>
    </w:p>
    <w:p w14:paraId="636C5948">
      <w:pPr>
        <w:spacing w:line="360" w:lineRule="auto"/>
        <w:ind w:firstLine="420" w:firstLineChars="200"/>
        <w:rPr>
          <w:sz w:val="21"/>
          <w:szCs w:val="21"/>
        </w:rPr>
      </w:pPr>
      <w:r>
        <w:rPr>
          <w:rFonts w:hint="eastAsia"/>
          <w:sz w:val="21"/>
          <w:szCs w:val="21"/>
        </w:rPr>
        <w:t>（1）</w:t>
      </w:r>
      <w:r>
        <w:rPr>
          <w:sz w:val="21"/>
          <w:szCs w:val="21"/>
        </w:rPr>
        <w:t>供应商的姓名或者名称、地址、邮编、联系人及联系电话；</w:t>
      </w:r>
    </w:p>
    <w:p w14:paraId="4F3FD16C">
      <w:pPr>
        <w:spacing w:line="360" w:lineRule="auto"/>
        <w:ind w:firstLine="420" w:firstLineChars="200"/>
        <w:rPr>
          <w:sz w:val="21"/>
          <w:szCs w:val="21"/>
        </w:rPr>
      </w:pPr>
      <w:r>
        <w:rPr>
          <w:rFonts w:hint="eastAsia"/>
          <w:sz w:val="21"/>
          <w:szCs w:val="21"/>
        </w:rPr>
        <w:t>（2）</w:t>
      </w:r>
      <w:r>
        <w:rPr>
          <w:sz w:val="21"/>
          <w:szCs w:val="21"/>
        </w:rPr>
        <w:t>质疑项目的名称、编号；</w:t>
      </w:r>
    </w:p>
    <w:p w14:paraId="7FAE501F">
      <w:pPr>
        <w:spacing w:line="360" w:lineRule="auto"/>
        <w:ind w:firstLine="420" w:firstLineChars="200"/>
        <w:rPr>
          <w:sz w:val="21"/>
          <w:szCs w:val="21"/>
        </w:rPr>
      </w:pPr>
      <w:r>
        <w:rPr>
          <w:rFonts w:hint="eastAsia"/>
          <w:sz w:val="21"/>
          <w:szCs w:val="21"/>
        </w:rPr>
        <w:t>（3）</w:t>
      </w:r>
      <w:r>
        <w:rPr>
          <w:sz w:val="21"/>
          <w:szCs w:val="21"/>
        </w:rPr>
        <w:t>具体、明确的质疑事项和与质疑事项相关的请求；</w:t>
      </w:r>
    </w:p>
    <w:p w14:paraId="73A1F3E7">
      <w:pPr>
        <w:spacing w:line="360" w:lineRule="auto"/>
        <w:ind w:firstLine="420" w:firstLineChars="200"/>
        <w:rPr>
          <w:sz w:val="21"/>
          <w:szCs w:val="21"/>
        </w:rPr>
      </w:pPr>
      <w:r>
        <w:rPr>
          <w:rFonts w:hint="eastAsia"/>
          <w:sz w:val="21"/>
          <w:szCs w:val="21"/>
        </w:rPr>
        <w:t>（4）</w:t>
      </w:r>
      <w:r>
        <w:rPr>
          <w:sz w:val="21"/>
          <w:szCs w:val="21"/>
        </w:rPr>
        <w:t>事实依据；</w:t>
      </w:r>
    </w:p>
    <w:p w14:paraId="4AE9B7DE">
      <w:pPr>
        <w:spacing w:line="360" w:lineRule="auto"/>
        <w:ind w:firstLine="420" w:firstLineChars="200"/>
        <w:rPr>
          <w:sz w:val="21"/>
          <w:szCs w:val="21"/>
        </w:rPr>
      </w:pPr>
      <w:r>
        <w:rPr>
          <w:rFonts w:hint="eastAsia"/>
          <w:sz w:val="21"/>
          <w:szCs w:val="21"/>
        </w:rPr>
        <w:t>（5）</w:t>
      </w:r>
      <w:r>
        <w:rPr>
          <w:sz w:val="21"/>
          <w:szCs w:val="21"/>
        </w:rPr>
        <w:t>必要的法律依据；</w:t>
      </w:r>
    </w:p>
    <w:p w14:paraId="68C6EE88">
      <w:pPr>
        <w:spacing w:line="360" w:lineRule="auto"/>
        <w:ind w:firstLine="420" w:firstLineChars="200"/>
        <w:rPr>
          <w:sz w:val="21"/>
          <w:szCs w:val="21"/>
        </w:rPr>
      </w:pPr>
      <w:r>
        <w:rPr>
          <w:rFonts w:hint="eastAsia"/>
          <w:sz w:val="21"/>
          <w:szCs w:val="21"/>
        </w:rPr>
        <w:t>（6）</w:t>
      </w:r>
      <w:r>
        <w:rPr>
          <w:sz w:val="21"/>
          <w:szCs w:val="21"/>
        </w:rPr>
        <w:t>提出质疑的日期。</w:t>
      </w:r>
    </w:p>
    <w:p w14:paraId="569B673C">
      <w:pPr>
        <w:spacing w:line="360" w:lineRule="auto"/>
        <w:ind w:firstLine="420" w:firstLineChars="200"/>
        <w:rPr>
          <w:sz w:val="21"/>
          <w:szCs w:val="21"/>
        </w:rPr>
      </w:pPr>
      <w:r>
        <w:rPr>
          <w:sz w:val="21"/>
          <w:szCs w:val="21"/>
        </w:rPr>
        <w:t>供应商为自然人的，应当由本人签字；供应商为法人或者其他组织的，应当由法定代表人、主要负责人，或者其授权代表签字或者盖章，并加盖公章。</w:t>
      </w:r>
    </w:p>
    <w:p w14:paraId="693A6F6C">
      <w:pPr>
        <w:spacing w:line="360" w:lineRule="auto"/>
        <w:ind w:firstLine="420" w:firstLineChars="200"/>
        <w:rPr>
          <w:rFonts w:hint="eastAsia" w:eastAsia="宋体"/>
          <w:sz w:val="21"/>
          <w:szCs w:val="21"/>
          <w:lang w:eastAsia="zh-CN"/>
        </w:rPr>
      </w:pPr>
      <w:r>
        <w:rPr>
          <w:sz w:val="21"/>
          <w:szCs w:val="21"/>
        </w:rPr>
        <w:t>接收质疑函方式：以书面形式</w:t>
      </w:r>
      <w:r>
        <w:rPr>
          <w:rFonts w:hint="eastAsia"/>
          <w:sz w:val="21"/>
          <w:szCs w:val="21"/>
          <w:lang w:eastAsia="zh-CN"/>
        </w:rPr>
        <w:t>。</w:t>
      </w:r>
    </w:p>
    <w:p w14:paraId="587A4647">
      <w:pPr>
        <w:spacing w:line="360" w:lineRule="auto"/>
        <w:ind w:firstLine="422" w:firstLineChars="200"/>
        <w:rPr>
          <w:b/>
          <w:bCs/>
          <w:sz w:val="21"/>
          <w:szCs w:val="21"/>
        </w:rPr>
      </w:pPr>
      <w:r>
        <w:rPr>
          <w:b/>
          <w:bCs/>
          <w:sz w:val="21"/>
          <w:szCs w:val="21"/>
        </w:rPr>
        <w:t>7.转包与分包</w:t>
      </w:r>
    </w:p>
    <w:p w14:paraId="59C10781">
      <w:pPr>
        <w:spacing w:line="360" w:lineRule="auto"/>
        <w:ind w:firstLine="420" w:firstLineChars="200"/>
        <w:rPr>
          <w:sz w:val="21"/>
          <w:szCs w:val="21"/>
        </w:rPr>
      </w:pPr>
      <w:r>
        <w:rPr>
          <w:rFonts w:hint="eastAsia"/>
          <w:sz w:val="21"/>
          <w:szCs w:val="21"/>
        </w:rPr>
        <w:t>7.1</w:t>
      </w:r>
      <w:r>
        <w:rPr>
          <w:sz w:val="21"/>
          <w:szCs w:val="21"/>
        </w:rPr>
        <w:t>本项目不允许转包。</w:t>
      </w:r>
    </w:p>
    <w:p w14:paraId="5FB6E653">
      <w:pPr>
        <w:spacing w:line="360" w:lineRule="auto"/>
        <w:ind w:firstLine="420" w:firstLineChars="200"/>
        <w:rPr>
          <w:color w:val="auto"/>
          <w:sz w:val="21"/>
          <w:szCs w:val="21"/>
          <w:highlight w:val="none"/>
        </w:rPr>
      </w:pPr>
      <w:r>
        <w:rPr>
          <w:rFonts w:hint="eastAsia"/>
          <w:color w:val="auto"/>
          <w:sz w:val="21"/>
          <w:szCs w:val="21"/>
          <w:highlight w:val="none"/>
        </w:rPr>
        <w:t>7.2</w:t>
      </w:r>
      <w:r>
        <w:rPr>
          <w:color w:val="auto"/>
          <w:sz w:val="21"/>
          <w:szCs w:val="21"/>
          <w:highlight w:val="none"/>
        </w:rPr>
        <w:t>本项目可以分包</w:t>
      </w:r>
      <w:r>
        <w:rPr>
          <w:rFonts w:hint="eastAsia"/>
          <w:color w:val="auto"/>
          <w:sz w:val="21"/>
          <w:szCs w:val="21"/>
          <w:highlight w:val="none"/>
        </w:rPr>
        <w:t>（交通安全设施工程量部分）</w:t>
      </w:r>
      <w:r>
        <w:rPr>
          <w:color w:val="auto"/>
          <w:sz w:val="21"/>
          <w:szCs w:val="21"/>
          <w:highlight w:val="none"/>
        </w:rPr>
        <w:t>。</w:t>
      </w:r>
    </w:p>
    <w:p w14:paraId="37D5A094">
      <w:pPr>
        <w:spacing w:line="360" w:lineRule="auto"/>
        <w:ind w:firstLine="422" w:firstLineChars="200"/>
        <w:rPr>
          <w:b/>
          <w:bCs/>
          <w:sz w:val="21"/>
          <w:szCs w:val="21"/>
        </w:rPr>
      </w:pPr>
      <w:r>
        <w:rPr>
          <w:b/>
          <w:bCs/>
          <w:sz w:val="21"/>
          <w:szCs w:val="21"/>
        </w:rPr>
        <w:t>8.特别说明</w:t>
      </w:r>
    </w:p>
    <w:p w14:paraId="4BA021F3">
      <w:pPr>
        <w:spacing w:line="360" w:lineRule="auto"/>
        <w:ind w:firstLine="420" w:firstLineChars="200"/>
        <w:rPr>
          <w:sz w:val="21"/>
          <w:szCs w:val="21"/>
        </w:rPr>
      </w:pPr>
      <w:r>
        <w:rPr>
          <w:sz w:val="21"/>
          <w:szCs w:val="21"/>
        </w:rPr>
        <w:t>关联供应商不得参加同一合同项下政府采购活动，否则响应文件将被视为无效：</w:t>
      </w:r>
    </w:p>
    <w:p w14:paraId="051661F5">
      <w:pPr>
        <w:spacing w:line="360" w:lineRule="auto"/>
        <w:ind w:firstLine="420" w:firstLineChars="200"/>
        <w:rPr>
          <w:sz w:val="21"/>
          <w:szCs w:val="21"/>
        </w:rPr>
      </w:pPr>
      <w:r>
        <w:rPr>
          <w:rFonts w:hint="eastAsia"/>
          <w:sz w:val="21"/>
          <w:szCs w:val="21"/>
        </w:rPr>
        <w:t>（1）</w:t>
      </w:r>
      <w:r>
        <w:rPr>
          <w:sz w:val="21"/>
          <w:szCs w:val="21"/>
        </w:rPr>
        <w:t>单位负责人为同一人或者存在直接控股、管理关系的不同供应商，不得参加同一合同项下的政府采购活动。</w:t>
      </w:r>
    </w:p>
    <w:p w14:paraId="22602464">
      <w:pPr>
        <w:spacing w:line="360" w:lineRule="auto"/>
        <w:ind w:firstLine="420" w:firstLineChars="200"/>
        <w:rPr>
          <w:sz w:val="21"/>
          <w:szCs w:val="21"/>
        </w:rPr>
      </w:pPr>
      <w:r>
        <w:rPr>
          <w:rFonts w:hint="eastAsia"/>
          <w:sz w:val="21"/>
          <w:szCs w:val="21"/>
        </w:rPr>
        <w:t>（2）</w:t>
      </w:r>
      <w:r>
        <w:rPr>
          <w:sz w:val="21"/>
          <w:szCs w:val="21"/>
        </w:rPr>
        <w:t>为本采购项目提供整体设计、规范编制或者项目管理、监理、检测等服务的供应商，不得再参加本次采购活动。</w:t>
      </w:r>
    </w:p>
    <w:p w14:paraId="6CD5A9B2">
      <w:pPr>
        <w:pStyle w:val="12"/>
        <w:spacing w:before="6"/>
        <w:ind w:firstLine="381"/>
        <w:rPr>
          <w:sz w:val="19"/>
        </w:rPr>
      </w:pPr>
    </w:p>
    <w:p w14:paraId="6E183632">
      <w:pPr>
        <w:pStyle w:val="5"/>
        <w:spacing w:before="62"/>
        <w:ind w:left="897" w:right="780" w:firstLine="562"/>
        <w:jc w:val="center"/>
      </w:pPr>
      <w:r>
        <w:t>二、磋商文件</w:t>
      </w:r>
    </w:p>
    <w:p w14:paraId="46A38A1D">
      <w:pPr>
        <w:spacing w:line="360" w:lineRule="auto"/>
        <w:ind w:firstLine="422" w:firstLineChars="200"/>
        <w:rPr>
          <w:b/>
          <w:bCs/>
          <w:sz w:val="21"/>
          <w:szCs w:val="21"/>
        </w:rPr>
      </w:pPr>
      <w:r>
        <w:rPr>
          <w:b/>
          <w:bCs/>
          <w:sz w:val="21"/>
          <w:szCs w:val="21"/>
        </w:rPr>
        <w:t>9.磋商文件的构成</w:t>
      </w:r>
    </w:p>
    <w:p w14:paraId="2F1F3184">
      <w:pPr>
        <w:spacing w:line="360" w:lineRule="auto"/>
        <w:ind w:firstLine="420" w:firstLineChars="200"/>
        <w:rPr>
          <w:sz w:val="21"/>
          <w:szCs w:val="21"/>
        </w:rPr>
      </w:pPr>
      <w:r>
        <w:rPr>
          <w:sz w:val="21"/>
          <w:szCs w:val="21"/>
        </w:rPr>
        <w:t>（1）竞争性磋商公告；</w:t>
      </w:r>
    </w:p>
    <w:p w14:paraId="41DCCB9A">
      <w:pPr>
        <w:spacing w:line="360" w:lineRule="auto"/>
        <w:ind w:firstLine="420" w:firstLineChars="200"/>
        <w:rPr>
          <w:sz w:val="21"/>
          <w:szCs w:val="21"/>
        </w:rPr>
      </w:pPr>
      <w:r>
        <w:rPr>
          <w:sz w:val="21"/>
          <w:szCs w:val="21"/>
        </w:rPr>
        <w:t>（2）供应商须知；</w:t>
      </w:r>
    </w:p>
    <w:p w14:paraId="7268FCF0">
      <w:pPr>
        <w:spacing w:line="360" w:lineRule="auto"/>
        <w:ind w:firstLine="420" w:firstLineChars="200"/>
        <w:rPr>
          <w:sz w:val="21"/>
          <w:szCs w:val="21"/>
        </w:rPr>
      </w:pPr>
      <w:r>
        <w:rPr>
          <w:sz w:val="21"/>
          <w:szCs w:val="21"/>
        </w:rPr>
        <w:t>（3）</w:t>
      </w:r>
      <w:r>
        <w:rPr>
          <w:rFonts w:hint="eastAsia"/>
          <w:sz w:val="21"/>
          <w:szCs w:val="21"/>
        </w:rPr>
        <w:t>采购</w:t>
      </w:r>
      <w:r>
        <w:rPr>
          <w:sz w:val="21"/>
          <w:szCs w:val="21"/>
        </w:rPr>
        <w:t>需求；</w:t>
      </w:r>
    </w:p>
    <w:p w14:paraId="76696F5F">
      <w:pPr>
        <w:spacing w:line="360" w:lineRule="auto"/>
        <w:ind w:firstLine="420" w:firstLineChars="200"/>
        <w:rPr>
          <w:sz w:val="21"/>
          <w:szCs w:val="21"/>
        </w:rPr>
      </w:pPr>
      <w:r>
        <w:rPr>
          <w:sz w:val="21"/>
          <w:szCs w:val="21"/>
        </w:rPr>
        <w:t>（4）评审办法；</w:t>
      </w:r>
    </w:p>
    <w:p w14:paraId="6C817976">
      <w:pPr>
        <w:spacing w:line="360" w:lineRule="auto"/>
        <w:ind w:firstLine="420" w:firstLineChars="200"/>
        <w:rPr>
          <w:sz w:val="21"/>
          <w:szCs w:val="21"/>
        </w:rPr>
      </w:pPr>
      <w:r>
        <w:rPr>
          <w:sz w:val="21"/>
          <w:szCs w:val="21"/>
        </w:rPr>
        <w:t>（5）合同主要条款及格式；</w:t>
      </w:r>
    </w:p>
    <w:p w14:paraId="1F42F648">
      <w:pPr>
        <w:spacing w:line="360" w:lineRule="auto"/>
        <w:ind w:firstLine="420" w:firstLineChars="200"/>
        <w:rPr>
          <w:sz w:val="21"/>
          <w:szCs w:val="21"/>
        </w:rPr>
      </w:pPr>
      <w:r>
        <w:rPr>
          <w:sz w:val="21"/>
          <w:szCs w:val="21"/>
        </w:rPr>
        <w:t>（6）</w:t>
      </w:r>
      <w:r>
        <w:rPr>
          <w:rFonts w:hint="eastAsia"/>
          <w:sz w:val="21"/>
          <w:szCs w:val="21"/>
        </w:rPr>
        <w:t>工程量清单；</w:t>
      </w:r>
    </w:p>
    <w:p w14:paraId="7F1ED772">
      <w:pPr>
        <w:spacing w:line="360" w:lineRule="auto"/>
        <w:ind w:firstLine="420" w:firstLineChars="200"/>
        <w:rPr>
          <w:sz w:val="21"/>
          <w:szCs w:val="21"/>
        </w:rPr>
      </w:pPr>
      <w:r>
        <w:rPr>
          <w:sz w:val="21"/>
          <w:szCs w:val="21"/>
        </w:rPr>
        <w:t>（7）</w:t>
      </w:r>
      <w:r>
        <w:rPr>
          <w:rFonts w:hint="eastAsia"/>
          <w:sz w:val="21"/>
          <w:szCs w:val="21"/>
        </w:rPr>
        <w:t>图纸；</w:t>
      </w:r>
    </w:p>
    <w:p w14:paraId="6237BB92">
      <w:pPr>
        <w:spacing w:line="360" w:lineRule="auto"/>
        <w:ind w:firstLine="420" w:firstLineChars="200"/>
        <w:rPr>
          <w:sz w:val="21"/>
          <w:szCs w:val="21"/>
        </w:rPr>
      </w:pPr>
      <w:r>
        <w:rPr>
          <w:sz w:val="21"/>
          <w:szCs w:val="21"/>
        </w:rPr>
        <w:t>（8）响应文件（格式）。</w:t>
      </w:r>
    </w:p>
    <w:p w14:paraId="6F5B77B5">
      <w:pPr>
        <w:spacing w:line="360" w:lineRule="auto"/>
        <w:ind w:firstLine="422" w:firstLineChars="200"/>
        <w:rPr>
          <w:b/>
          <w:bCs/>
          <w:sz w:val="21"/>
          <w:szCs w:val="21"/>
        </w:rPr>
      </w:pPr>
      <w:r>
        <w:rPr>
          <w:b/>
          <w:bCs/>
          <w:sz w:val="21"/>
          <w:szCs w:val="21"/>
        </w:rPr>
        <w:t>10.磋商文件的澄清与修改</w:t>
      </w:r>
    </w:p>
    <w:p w14:paraId="4AA7C440">
      <w:pPr>
        <w:spacing w:line="360" w:lineRule="auto"/>
        <w:ind w:firstLine="420" w:firstLineChars="200"/>
        <w:rPr>
          <w:sz w:val="21"/>
          <w:szCs w:val="21"/>
        </w:rPr>
      </w:pPr>
      <w:r>
        <w:rPr>
          <w:rFonts w:hint="eastAsia"/>
          <w:sz w:val="21"/>
          <w:szCs w:val="21"/>
        </w:rPr>
        <w:t>10.1</w:t>
      </w:r>
      <w:r>
        <w:rPr>
          <w:sz w:val="21"/>
          <w:szCs w:val="21"/>
        </w:rPr>
        <w:t>提交首次响应文件截止之日前，采购代理机构可以对已发出的磋商文件进行必要澄清或者修改，澄清或者修改的内容可能影响响应文件编制的，采购代理机构应当在提交首次响应文件提交截止时间五日前在本项目竞争性磋商公告发布的同一媒体上发布更正公告，不足五日的，应当顺延首次响应文件提交截止时间。</w:t>
      </w:r>
    </w:p>
    <w:p w14:paraId="4DDAF672">
      <w:pPr>
        <w:spacing w:line="360" w:lineRule="auto"/>
        <w:ind w:firstLine="420" w:firstLineChars="200"/>
        <w:rPr>
          <w:sz w:val="21"/>
          <w:szCs w:val="21"/>
        </w:rPr>
      </w:pPr>
      <w:r>
        <w:rPr>
          <w:rFonts w:hint="eastAsia"/>
          <w:sz w:val="21"/>
          <w:szCs w:val="21"/>
        </w:rPr>
        <w:t>10.2</w:t>
      </w:r>
      <w:r>
        <w:rPr>
          <w:sz w:val="21"/>
          <w:szCs w:val="21"/>
        </w:rPr>
        <w:t>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14:paraId="385E993A">
      <w:pPr>
        <w:spacing w:line="360" w:lineRule="auto"/>
        <w:ind w:firstLine="420" w:firstLineChars="200"/>
        <w:rPr>
          <w:sz w:val="21"/>
          <w:szCs w:val="21"/>
        </w:rPr>
      </w:pPr>
      <w:r>
        <w:rPr>
          <w:rFonts w:hint="eastAsia"/>
          <w:sz w:val="21"/>
          <w:szCs w:val="21"/>
        </w:rPr>
        <w:t>10.3</w:t>
      </w:r>
      <w:r>
        <w:rPr>
          <w:sz w:val="21"/>
          <w:szCs w:val="21"/>
        </w:rPr>
        <w:t>澄清或者修改的内容为磋商文件的组成部分。当澄清或者修改通知就同一内容的表述不一致时，以最后发出的书面文件为准。</w:t>
      </w:r>
    </w:p>
    <w:p w14:paraId="6FDBF1AE">
      <w:pPr>
        <w:spacing w:line="360" w:lineRule="auto"/>
        <w:ind w:firstLine="420" w:firstLineChars="200"/>
        <w:rPr>
          <w:sz w:val="21"/>
          <w:szCs w:val="21"/>
        </w:rPr>
      </w:pPr>
      <w:r>
        <w:rPr>
          <w:rFonts w:hint="eastAsia"/>
          <w:sz w:val="21"/>
          <w:szCs w:val="21"/>
        </w:rPr>
        <w:t>10.4</w:t>
      </w:r>
      <w:r>
        <w:rPr>
          <w:sz w:val="21"/>
          <w:szCs w:val="21"/>
        </w:rPr>
        <w:t>磋商文件的澄清或者修改都应该通过本项目采购代理机构以法定形式发布，采购人非通过本机构，不得擅自澄清、答复、修改或补充磋商文件。</w:t>
      </w:r>
    </w:p>
    <w:p w14:paraId="76F29587">
      <w:pPr>
        <w:spacing w:line="360" w:lineRule="auto"/>
        <w:ind w:firstLine="420" w:firstLineChars="200"/>
        <w:rPr>
          <w:sz w:val="21"/>
          <w:szCs w:val="21"/>
        </w:rPr>
      </w:pPr>
      <w:r>
        <w:rPr>
          <w:rFonts w:hint="eastAsia"/>
          <w:sz w:val="21"/>
          <w:szCs w:val="21"/>
        </w:rPr>
        <w:t>10.5</w:t>
      </w:r>
      <w:r>
        <w:rPr>
          <w:sz w:val="21"/>
          <w:szCs w:val="21"/>
        </w:rPr>
        <w:t>采购代理机构可以视采购具体情况，延长响应文件提交截止时间和磋商时间，并在本项目竞争性磋商公告发布的同一媒体上发布变更公告。</w:t>
      </w:r>
    </w:p>
    <w:p w14:paraId="4F2C60A5">
      <w:pPr>
        <w:pStyle w:val="12"/>
        <w:spacing w:before="1"/>
        <w:ind w:firstLine="482"/>
        <w:rPr>
          <w:sz w:val="24"/>
        </w:rPr>
      </w:pPr>
    </w:p>
    <w:p w14:paraId="5D466EE7">
      <w:pPr>
        <w:pStyle w:val="5"/>
        <w:spacing w:line="360" w:lineRule="auto"/>
        <w:ind w:left="894" w:right="780" w:firstLine="562"/>
        <w:jc w:val="center"/>
      </w:pPr>
      <w:r>
        <w:t>三、响应文件的编制</w:t>
      </w:r>
    </w:p>
    <w:p w14:paraId="58B776FB">
      <w:pPr>
        <w:spacing w:line="360" w:lineRule="auto"/>
        <w:ind w:firstLine="422" w:firstLineChars="200"/>
        <w:rPr>
          <w:b/>
          <w:bCs/>
          <w:sz w:val="21"/>
          <w:szCs w:val="21"/>
        </w:rPr>
      </w:pPr>
      <w:r>
        <w:rPr>
          <w:rFonts w:hint="eastAsia"/>
          <w:b/>
          <w:bCs/>
          <w:sz w:val="21"/>
          <w:szCs w:val="21"/>
        </w:rPr>
        <w:t>11.响应文件（以下简称响应文件）的组成及要求</w:t>
      </w:r>
    </w:p>
    <w:p w14:paraId="3E15C0AF">
      <w:pPr>
        <w:spacing w:line="360" w:lineRule="auto"/>
        <w:ind w:firstLine="420" w:firstLineChars="200"/>
        <w:rPr>
          <w:sz w:val="21"/>
          <w:szCs w:val="21"/>
        </w:rPr>
      </w:pPr>
      <w:r>
        <w:rPr>
          <w:rFonts w:hint="eastAsia"/>
          <w:sz w:val="21"/>
          <w:szCs w:val="21"/>
        </w:rPr>
        <w:t>11.1响应文件组成【格式见第六章“响应文件（格式）”】</w:t>
      </w:r>
    </w:p>
    <w:p w14:paraId="72C75F91">
      <w:pPr>
        <w:spacing w:line="360" w:lineRule="auto"/>
        <w:ind w:firstLine="422" w:firstLineChars="200"/>
        <w:rPr>
          <w:b/>
          <w:bCs/>
          <w:sz w:val="21"/>
          <w:szCs w:val="21"/>
        </w:rPr>
      </w:pPr>
      <w:r>
        <w:rPr>
          <w:rFonts w:hint="eastAsia"/>
          <w:b/>
          <w:bCs/>
          <w:sz w:val="21"/>
          <w:szCs w:val="21"/>
        </w:rPr>
        <w:t>11.1.1资格性响应证明材料：</w:t>
      </w:r>
    </w:p>
    <w:p w14:paraId="7234F3CD">
      <w:pPr>
        <w:spacing w:line="360" w:lineRule="auto"/>
        <w:ind w:firstLine="420" w:firstLineChars="200"/>
        <w:rPr>
          <w:sz w:val="21"/>
          <w:szCs w:val="21"/>
        </w:rPr>
      </w:pPr>
      <w:r>
        <w:rPr>
          <w:rFonts w:hint="eastAsia"/>
          <w:sz w:val="21"/>
          <w:szCs w:val="21"/>
        </w:rPr>
        <w:t>（1）供应商相应的法定代表人(负责人、自然人)身份证正反两面复印件（</w:t>
      </w:r>
      <w:r>
        <w:rPr>
          <w:rFonts w:hint="eastAsia"/>
          <w:b/>
          <w:bCs/>
          <w:sz w:val="21"/>
          <w:szCs w:val="21"/>
        </w:rPr>
        <w:t>必须提供</w:t>
      </w:r>
      <w:r>
        <w:rPr>
          <w:rFonts w:hint="eastAsia"/>
          <w:sz w:val="21"/>
          <w:szCs w:val="21"/>
        </w:rPr>
        <w:t>）；</w:t>
      </w:r>
    </w:p>
    <w:p w14:paraId="7AF1877A">
      <w:pPr>
        <w:spacing w:line="360" w:lineRule="auto"/>
        <w:ind w:firstLine="420" w:firstLineChars="200"/>
        <w:rPr>
          <w:sz w:val="21"/>
          <w:szCs w:val="21"/>
        </w:rPr>
      </w:pPr>
      <w:r>
        <w:rPr>
          <w:rFonts w:hint="eastAsia"/>
          <w:sz w:val="21"/>
          <w:szCs w:val="21"/>
        </w:rPr>
        <w:t>（2）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14:paraId="50B93FBE">
      <w:pPr>
        <w:spacing w:line="360" w:lineRule="auto"/>
        <w:ind w:firstLine="420" w:firstLineChars="200"/>
        <w:rPr>
          <w:sz w:val="21"/>
          <w:szCs w:val="21"/>
        </w:rPr>
      </w:pPr>
      <w:r>
        <w:rPr>
          <w:rFonts w:hint="eastAsia"/>
          <w:sz w:val="21"/>
          <w:szCs w:val="21"/>
        </w:rPr>
        <w:t>①如供应商为截标时间前60日以内成立的公司，可以提供供应商与委托代理人签订的劳动合同复印件代替社保证明复印件；</w:t>
      </w:r>
    </w:p>
    <w:p w14:paraId="1ECD3F83">
      <w:pPr>
        <w:spacing w:line="360" w:lineRule="auto"/>
        <w:ind w:firstLine="420" w:firstLineChars="200"/>
        <w:rPr>
          <w:sz w:val="21"/>
          <w:szCs w:val="21"/>
        </w:rPr>
      </w:pPr>
      <w:r>
        <w:rPr>
          <w:rFonts w:hint="eastAsia"/>
          <w:sz w:val="21"/>
          <w:szCs w:val="21"/>
        </w:rPr>
        <w:t>②如供应商为事业单位，可以提供事业单位机构编制管理证复印件或事业单位机构为其发放工资的工资条复印件代替社保证明复印件；</w:t>
      </w:r>
    </w:p>
    <w:p w14:paraId="74098FA7">
      <w:pPr>
        <w:spacing w:line="360" w:lineRule="auto"/>
        <w:ind w:firstLine="420" w:firstLineChars="200"/>
        <w:rPr>
          <w:sz w:val="21"/>
          <w:szCs w:val="21"/>
        </w:rPr>
      </w:pPr>
      <w:r>
        <w:rPr>
          <w:rFonts w:hint="eastAsia"/>
          <w:sz w:val="21"/>
          <w:szCs w:val="21"/>
        </w:rPr>
        <w:t>③如委托代理人为免缴纳社保人员，提供免缴纳社保的证明材料复印件及供应商与委托代理人签订的劳动合同复印件代替社保证明复印件。</w:t>
      </w:r>
    </w:p>
    <w:p w14:paraId="3405B9A0">
      <w:pPr>
        <w:spacing w:line="360" w:lineRule="auto"/>
        <w:ind w:firstLine="420" w:firstLineChars="200"/>
        <w:rPr>
          <w:sz w:val="21"/>
          <w:szCs w:val="21"/>
        </w:rPr>
      </w:pPr>
      <w:r>
        <w:rPr>
          <w:rFonts w:hint="eastAsia"/>
          <w:sz w:val="21"/>
          <w:szCs w:val="21"/>
        </w:rPr>
        <w:t>【属自然人的应提供由县级以上（含县级）社会养老保险经办机构出具的自然人本人及委托代理人所交纳的响应文件递交截止时间前半年内任意连续三个月社保证明复印件】（委托代理时必须提供）；</w:t>
      </w:r>
    </w:p>
    <w:p w14:paraId="7E8FC651">
      <w:pPr>
        <w:spacing w:line="360" w:lineRule="auto"/>
        <w:ind w:firstLine="420" w:firstLineChars="200"/>
        <w:rPr>
          <w:sz w:val="21"/>
          <w:szCs w:val="21"/>
        </w:rPr>
      </w:pPr>
      <w:r>
        <w:rPr>
          <w:rFonts w:hint="eastAsia"/>
          <w:sz w:val="21"/>
          <w:szCs w:val="21"/>
        </w:rPr>
        <w:t>（3）供应商的法人或者其他组织营业执照等证明文件复印件（</w:t>
      </w:r>
      <w:r>
        <w:rPr>
          <w:rFonts w:hint="eastAsia"/>
          <w:b/>
          <w:bCs/>
          <w:sz w:val="21"/>
          <w:szCs w:val="21"/>
        </w:rPr>
        <w:t>必须提供，自然人除外</w:t>
      </w:r>
      <w:r>
        <w:rPr>
          <w:rFonts w:hint="eastAsia"/>
          <w:sz w:val="21"/>
          <w:szCs w:val="21"/>
        </w:rPr>
        <w:t>）；</w:t>
      </w:r>
    </w:p>
    <w:p w14:paraId="3B7BB9B9">
      <w:pPr>
        <w:spacing w:line="360" w:lineRule="auto"/>
        <w:ind w:firstLine="420" w:firstLineChars="200"/>
        <w:rPr>
          <w:sz w:val="21"/>
          <w:szCs w:val="21"/>
        </w:rPr>
      </w:pPr>
      <w:r>
        <w:rPr>
          <w:rFonts w:hint="eastAsia"/>
          <w:sz w:val="21"/>
          <w:szCs w:val="21"/>
        </w:rPr>
        <w:t>注：①法人包括企业法人、机关法人、事业单位法人和社会团体法人；其他组织主要包括合伙企业、非企业专业服务机构、个体工商户、农村承包经营户。②如供应商为企业（包括合伙企业），应提供市场监督管理部门或行政审批部门注册的有效“企业法人营业执照”或“营业执照；供应商为事业单位，应提供有效的“事业单位法人证书”；供应商为非企业专业服务机构的，应提供执业许可证等证明文件；供应商为个体工商户，应提供有效的“个体工商户营业执照”；供应商为社会团体法人的，应提供有效的“社会团体法人登记证书”。③如供应商为企业法人的分支机构的，除应提供营业执照复印件外，还应提供其所属的总公司授权其参加政府采购的授权文件或总公司颁布的授权其独立开展经营业务活动的证明材料复印件。</w:t>
      </w:r>
    </w:p>
    <w:p w14:paraId="0D361D0D">
      <w:pPr>
        <w:spacing w:line="360" w:lineRule="auto"/>
        <w:ind w:firstLine="420" w:firstLineChars="200"/>
        <w:rPr>
          <w:sz w:val="21"/>
          <w:szCs w:val="21"/>
        </w:rPr>
      </w:pPr>
      <w:r>
        <w:rPr>
          <w:rFonts w:hint="eastAsia"/>
          <w:sz w:val="21"/>
          <w:szCs w:val="21"/>
        </w:rPr>
        <w:t>（4）供应商有效的资质证书复印件（</w:t>
      </w:r>
      <w:r>
        <w:rPr>
          <w:rFonts w:hint="eastAsia"/>
          <w:b/>
          <w:bCs/>
          <w:sz w:val="21"/>
          <w:szCs w:val="21"/>
        </w:rPr>
        <w:t>必须提供</w:t>
      </w:r>
      <w:r>
        <w:rPr>
          <w:rFonts w:hint="eastAsia"/>
          <w:sz w:val="21"/>
          <w:szCs w:val="21"/>
        </w:rPr>
        <w:t>）；</w:t>
      </w:r>
    </w:p>
    <w:p w14:paraId="2480ADA9">
      <w:pPr>
        <w:spacing w:line="360" w:lineRule="auto"/>
        <w:ind w:firstLine="420" w:firstLineChars="200"/>
        <w:rPr>
          <w:sz w:val="21"/>
          <w:szCs w:val="21"/>
        </w:rPr>
      </w:pPr>
      <w:r>
        <w:rPr>
          <w:rFonts w:hint="eastAsia"/>
          <w:sz w:val="21"/>
          <w:szCs w:val="21"/>
        </w:rPr>
        <w:t>（5）供应商有效的安全生产许可证书扫描件（</w:t>
      </w:r>
      <w:r>
        <w:rPr>
          <w:rFonts w:hint="eastAsia"/>
          <w:b/>
          <w:bCs/>
          <w:sz w:val="21"/>
          <w:szCs w:val="21"/>
        </w:rPr>
        <w:t>必须提供</w:t>
      </w:r>
      <w:r>
        <w:rPr>
          <w:rFonts w:hint="eastAsia"/>
          <w:sz w:val="21"/>
          <w:szCs w:val="21"/>
        </w:rPr>
        <w:t>）；</w:t>
      </w:r>
    </w:p>
    <w:p w14:paraId="494FBE1F">
      <w:pPr>
        <w:spacing w:line="360" w:lineRule="auto"/>
        <w:ind w:firstLine="420" w:firstLineChars="200"/>
        <w:rPr>
          <w:sz w:val="21"/>
          <w:szCs w:val="21"/>
        </w:rPr>
      </w:pPr>
      <w:r>
        <w:rPr>
          <w:rFonts w:hint="eastAsia"/>
          <w:sz w:val="21"/>
          <w:szCs w:val="21"/>
        </w:rPr>
        <w:t>（6）项目经理：符合第三章“采购需求”项目经理资格要求（</w:t>
      </w:r>
      <w:r>
        <w:rPr>
          <w:rFonts w:hint="eastAsia"/>
          <w:b/>
          <w:bCs/>
          <w:sz w:val="21"/>
          <w:szCs w:val="21"/>
        </w:rPr>
        <w:t>必须提供</w:t>
      </w:r>
      <w:r>
        <w:rPr>
          <w:rFonts w:hint="eastAsia"/>
          <w:sz w:val="21"/>
          <w:szCs w:val="21"/>
        </w:rPr>
        <w:t>）；</w:t>
      </w:r>
    </w:p>
    <w:p w14:paraId="4BD9E8AC">
      <w:pPr>
        <w:spacing w:line="360" w:lineRule="auto"/>
        <w:ind w:firstLine="420" w:firstLineChars="200"/>
        <w:rPr>
          <w:sz w:val="21"/>
          <w:szCs w:val="21"/>
        </w:rPr>
      </w:pPr>
      <w:r>
        <w:rPr>
          <w:rFonts w:hint="eastAsia"/>
          <w:sz w:val="21"/>
          <w:szCs w:val="21"/>
        </w:rPr>
        <w:t>（7）项目总工：符合第三章“采购需求”项目总工资格要求（</w:t>
      </w:r>
      <w:r>
        <w:rPr>
          <w:rFonts w:hint="eastAsia"/>
          <w:b/>
          <w:bCs/>
          <w:sz w:val="21"/>
          <w:szCs w:val="21"/>
        </w:rPr>
        <w:t>必须提供</w:t>
      </w:r>
      <w:r>
        <w:rPr>
          <w:rFonts w:hint="eastAsia"/>
          <w:sz w:val="21"/>
          <w:szCs w:val="21"/>
        </w:rPr>
        <w:t>）；</w:t>
      </w:r>
    </w:p>
    <w:p w14:paraId="01F5C7BE">
      <w:pPr>
        <w:spacing w:line="360" w:lineRule="auto"/>
        <w:ind w:firstLine="420" w:firstLineChars="200"/>
        <w:rPr>
          <w:sz w:val="21"/>
          <w:szCs w:val="21"/>
        </w:rPr>
      </w:pPr>
      <w:r>
        <w:rPr>
          <w:rFonts w:hint="eastAsia"/>
          <w:sz w:val="21"/>
          <w:szCs w:val="21"/>
        </w:rPr>
        <w:t>（8）供应商参加政府采购活动前3年内在经营活动中没有重大违法记录及有关信用信息的书面声明（</w:t>
      </w:r>
      <w:r>
        <w:rPr>
          <w:rFonts w:hint="eastAsia"/>
          <w:b/>
          <w:bCs/>
          <w:sz w:val="21"/>
          <w:szCs w:val="21"/>
        </w:rPr>
        <w:t>必须提供</w:t>
      </w:r>
      <w:r>
        <w:rPr>
          <w:rFonts w:hint="eastAsia"/>
          <w:sz w:val="21"/>
          <w:szCs w:val="21"/>
        </w:rPr>
        <w:t>）；</w:t>
      </w:r>
    </w:p>
    <w:p w14:paraId="4D68572C">
      <w:pPr>
        <w:spacing w:line="360" w:lineRule="auto"/>
        <w:ind w:firstLine="420" w:firstLineChars="200"/>
        <w:rPr>
          <w:sz w:val="21"/>
          <w:szCs w:val="21"/>
        </w:rPr>
      </w:pPr>
      <w:r>
        <w:rPr>
          <w:rFonts w:hint="eastAsia"/>
          <w:sz w:val="21"/>
          <w:szCs w:val="21"/>
        </w:rPr>
        <w:t>（9）供应商202</w:t>
      </w:r>
      <w:r>
        <w:rPr>
          <w:rFonts w:hint="eastAsia"/>
          <w:sz w:val="21"/>
          <w:szCs w:val="21"/>
          <w:lang w:val="en-US" w:eastAsia="zh-CN"/>
        </w:rPr>
        <w:t>1</w:t>
      </w:r>
      <w:r>
        <w:rPr>
          <w:rFonts w:hint="eastAsia"/>
          <w:sz w:val="21"/>
          <w:szCs w:val="21"/>
        </w:rPr>
        <w:t>-202</w:t>
      </w:r>
      <w:r>
        <w:rPr>
          <w:rFonts w:hint="eastAsia"/>
          <w:sz w:val="21"/>
          <w:szCs w:val="21"/>
          <w:lang w:val="en-US" w:eastAsia="zh-CN"/>
        </w:rPr>
        <w:t>3</w:t>
      </w:r>
      <w:r>
        <w:rPr>
          <w:rFonts w:hint="eastAsia"/>
          <w:sz w:val="21"/>
          <w:szCs w:val="21"/>
        </w:rPr>
        <w:t>年度以来通过中介审计的有效财务审计报告（新成立的公司应提供公司</w:t>
      </w:r>
    </w:p>
    <w:p w14:paraId="6C8E6523">
      <w:pPr>
        <w:spacing w:line="360" w:lineRule="auto"/>
        <w:ind w:firstLine="420" w:firstLineChars="200"/>
        <w:rPr>
          <w:sz w:val="21"/>
          <w:szCs w:val="21"/>
        </w:rPr>
      </w:pPr>
      <w:r>
        <w:rPr>
          <w:rFonts w:hint="eastAsia"/>
          <w:sz w:val="21"/>
          <w:szCs w:val="21"/>
        </w:rPr>
        <w:t>成立日之后的财务报表扫描件）（</w:t>
      </w:r>
      <w:r>
        <w:rPr>
          <w:rFonts w:hint="eastAsia"/>
          <w:b/>
          <w:bCs/>
          <w:sz w:val="21"/>
          <w:szCs w:val="21"/>
        </w:rPr>
        <w:t>必须提供</w:t>
      </w:r>
      <w:r>
        <w:rPr>
          <w:rFonts w:hint="eastAsia"/>
          <w:sz w:val="21"/>
          <w:szCs w:val="21"/>
        </w:rPr>
        <w:t>）；</w:t>
      </w:r>
    </w:p>
    <w:p w14:paraId="038C7876">
      <w:pPr>
        <w:spacing w:line="360" w:lineRule="auto"/>
        <w:ind w:firstLine="420" w:firstLineChars="200"/>
        <w:rPr>
          <w:sz w:val="21"/>
          <w:szCs w:val="21"/>
        </w:rPr>
      </w:pPr>
      <w:r>
        <w:rPr>
          <w:rFonts w:hint="eastAsia"/>
          <w:sz w:val="21"/>
          <w:szCs w:val="21"/>
        </w:rPr>
        <w:t>（10）本项目专门面向中小微企业采购。(监狱企业或残疾人福利性单位)的相关材料；根据企业所属类型，</w:t>
      </w:r>
      <w:r>
        <w:rPr>
          <w:rFonts w:hint="eastAsia"/>
          <w:b/>
          <w:bCs/>
          <w:sz w:val="21"/>
          <w:szCs w:val="21"/>
        </w:rPr>
        <w:t>必须提供以下材料之一</w:t>
      </w:r>
      <w:r>
        <w:rPr>
          <w:rFonts w:hint="eastAsia"/>
          <w:sz w:val="21"/>
          <w:szCs w:val="21"/>
        </w:rPr>
        <w:t>：</w:t>
      </w:r>
    </w:p>
    <w:p w14:paraId="74FE5195">
      <w:pPr>
        <w:spacing w:line="360" w:lineRule="auto"/>
        <w:ind w:firstLine="420" w:firstLineChars="200"/>
        <w:rPr>
          <w:sz w:val="21"/>
          <w:szCs w:val="21"/>
        </w:rPr>
      </w:pPr>
      <w:r>
        <w:rPr>
          <w:rFonts w:hint="eastAsia"/>
          <w:sz w:val="21"/>
          <w:szCs w:val="21"/>
        </w:rPr>
        <w:t>①中小企业声明函（如供应商为中小微型企业的，格式见附件，供应商对出具的声明函真实性负责，成交结果将同时公告企业《中小企业声明函》，接受社会监督）；</w:t>
      </w:r>
    </w:p>
    <w:p w14:paraId="1CA6E0B2">
      <w:pPr>
        <w:spacing w:line="360" w:lineRule="auto"/>
        <w:ind w:firstLine="420" w:firstLineChars="200"/>
        <w:rPr>
          <w:sz w:val="21"/>
          <w:szCs w:val="21"/>
        </w:rPr>
      </w:pPr>
      <w:r>
        <w:rPr>
          <w:rFonts w:hint="eastAsia"/>
          <w:sz w:val="21"/>
          <w:szCs w:val="21"/>
        </w:rPr>
        <w:t>②监狱企业的证明文件[供应商如为监狱企业的，应当提供由省级以上监狱管理局、戒毒管理局（含新疆生产建设兵团）出具的属于监狱企业的证明文件,否则不予享受优惠政策]；</w:t>
      </w:r>
    </w:p>
    <w:p w14:paraId="7FA455A7">
      <w:pPr>
        <w:spacing w:line="360" w:lineRule="auto"/>
        <w:ind w:firstLine="420" w:firstLineChars="200"/>
        <w:rPr>
          <w:sz w:val="21"/>
          <w:szCs w:val="21"/>
        </w:rPr>
      </w:pPr>
      <w:r>
        <w:rPr>
          <w:rFonts w:hint="eastAsia"/>
          <w:sz w:val="21"/>
          <w:szCs w:val="21"/>
        </w:rPr>
        <w:t>③《残疾人福利性单位声明函》【符合条件的残疾人福利性单位在参加政府采购活动时，应当提供《残疾人福利性单位声明函》（格式见附件），并对声明的真实性负责，成交结果将同时公告企业《残疾人福利性单位声明函》，接受社会监督】。</w:t>
      </w:r>
    </w:p>
    <w:p w14:paraId="0D6E1A13">
      <w:pPr>
        <w:spacing w:line="360" w:lineRule="auto"/>
        <w:ind w:firstLine="420" w:firstLineChars="200"/>
        <w:rPr>
          <w:sz w:val="21"/>
          <w:szCs w:val="21"/>
        </w:rPr>
      </w:pPr>
      <w:r>
        <w:rPr>
          <w:rFonts w:hint="eastAsia"/>
          <w:sz w:val="21"/>
          <w:szCs w:val="21"/>
        </w:rPr>
        <w:t>注：本项目专门面向中小微企业采购（监狱企业及残疾人福利性单位视同于小微企业），本项目不接受非上述企业参与磋商。）</w:t>
      </w:r>
    </w:p>
    <w:p w14:paraId="2AF44550">
      <w:pPr>
        <w:spacing w:line="360" w:lineRule="auto"/>
        <w:ind w:firstLine="422" w:firstLineChars="200"/>
        <w:rPr>
          <w:b/>
          <w:bCs/>
          <w:sz w:val="21"/>
          <w:szCs w:val="21"/>
        </w:rPr>
      </w:pPr>
      <w:r>
        <w:rPr>
          <w:rFonts w:hint="eastAsia"/>
          <w:b/>
          <w:bCs/>
          <w:sz w:val="21"/>
          <w:szCs w:val="21"/>
        </w:rPr>
        <w:t>11.1.2符合性响应证明材料：</w:t>
      </w:r>
    </w:p>
    <w:p w14:paraId="50FA2446">
      <w:pPr>
        <w:spacing w:line="360" w:lineRule="auto"/>
        <w:ind w:firstLine="420" w:firstLineChars="200"/>
        <w:rPr>
          <w:sz w:val="21"/>
          <w:szCs w:val="21"/>
        </w:rPr>
      </w:pPr>
      <w:r>
        <w:rPr>
          <w:rFonts w:hint="eastAsia"/>
          <w:sz w:val="21"/>
          <w:szCs w:val="21"/>
        </w:rPr>
        <w:t>（1）响应函及响应函附录</w:t>
      </w:r>
      <w:r>
        <w:rPr>
          <w:rFonts w:hint="eastAsia"/>
          <w:b/>
          <w:bCs/>
          <w:sz w:val="21"/>
          <w:szCs w:val="21"/>
        </w:rPr>
        <w:t>（必须提供）</w:t>
      </w:r>
      <w:r>
        <w:rPr>
          <w:rFonts w:hint="eastAsia"/>
          <w:sz w:val="21"/>
          <w:szCs w:val="21"/>
        </w:rPr>
        <w:t>；</w:t>
      </w:r>
    </w:p>
    <w:p w14:paraId="4A2E26BE">
      <w:pPr>
        <w:spacing w:line="360" w:lineRule="auto"/>
        <w:ind w:firstLine="420" w:firstLineChars="200"/>
        <w:rPr>
          <w:sz w:val="21"/>
          <w:szCs w:val="21"/>
        </w:rPr>
      </w:pPr>
      <w:r>
        <w:rPr>
          <w:rFonts w:hint="eastAsia"/>
          <w:sz w:val="21"/>
          <w:szCs w:val="21"/>
        </w:rPr>
        <w:t>（2）已标价工程量清单</w:t>
      </w:r>
      <w:r>
        <w:rPr>
          <w:rFonts w:hint="eastAsia"/>
          <w:b/>
          <w:bCs/>
          <w:sz w:val="21"/>
          <w:szCs w:val="21"/>
        </w:rPr>
        <w:t>（必须提供</w:t>
      </w:r>
      <w:r>
        <w:rPr>
          <w:rFonts w:hint="eastAsia"/>
          <w:sz w:val="21"/>
          <w:szCs w:val="21"/>
        </w:rPr>
        <w:t>）；</w:t>
      </w:r>
    </w:p>
    <w:p w14:paraId="67DD2510">
      <w:pPr>
        <w:spacing w:line="360" w:lineRule="auto"/>
        <w:ind w:firstLine="420" w:firstLineChars="200"/>
        <w:rPr>
          <w:sz w:val="21"/>
          <w:szCs w:val="21"/>
        </w:rPr>
      </w:pPr>
      <w:r>
        <w:rPr>
          <w:rFonts w:hint="eastAsia"/>
          <w:sz w:val="21"/>
          <w:szCs w:val="21"/>
        </w:rPr>
        <w:t>（3）施工组织设计</w:t>
      </w:r>
      <w:r>
        <w:rPr>
          <w:rFonts w:hint="eastAsia"/>
          <w:b/>
          <w:bCs/>
          <w:sz w:val="21"/>
          <w:szCs w:val="21"/>
        </w:rPr>
        <w:t>（必须提供）</w:t>
      </w:r>
      <w:r>
        <w:rPr>
          <w:rFonts w:hint="eastAsia"/>
          <w:sz w:val="21"/>
          <w:szCs w:val="21"/>
        </w:rPr>
        <w:t>；</w:t>
      </w:r>
    </w:p>
    <w:p w14:paraId="1F61A9E7">
      <w:pPr>
        <w:spacing w:line="360" w:lineRule="auto"/>
        <w:ind w:firstLine="420" w:firstLineChars="200"/>
        <w:rPr>
          <w:sz w:val="21"/>
          <w:szCs w:val="21"/>
        </w:rPr>
      </w:pPr>
      <w:r>
        <w:rPr>
          <w:rFonts w:hint="eastAsia"/>
          <w:sz w:val="21"/>
          <w:szCs w:val="21"/>
        </w:rPr>
        <w:t>（4）项目管理机构</w:t>
      </w:r>
      <w:r>
        <w:rPr>
          <w:rFonts w:hint="eastAsia"/>
          <w:b/>
          <w:bCs/>
          <w:sz w:val="21"/>
          <w:szCs w:val="21"/>
        </w:rPr>
        <w:t>（必须提供）</w:t>
      </w:r>
      <w:r>
        <w:rPr>
          <w:rFonts w:hint="eastAsia"/>
          <w:sz w:val="21"/>
          <w:szCs w:val="21"/>
        </w:rPr>
        <w:t>；</w:t>
      </w:r>
    </w:p>
    <w:p w14:paraId="7C1D441F">
      <w:pPr>
        <w:spacing w:line="360" w:lineRule="auto"/>
        <w:ind w:firstLine="420" w:firstLineChars="200"/>
        <w:rPr>
          <w:sz w:val="21"/>
          <w:szCs w:val="21"/>
        </w:rPr>
      </w:pPr>
      <w:r>
        <w:rPr>
          <w:rFonts w:hint="eastAsia"/>
          <w:sz w:val="21"/>
          <w:szCs w:val="21"/>
        </w:rPr>
        <w:t>（5）农民工工资保证金承诺书及供应商承诺函</w:t>
      </w:r>
      <w:r>
        <w:rPr>
          <w:rFonts w:hint="eastAsia"/>
          <w:b/>
          <w:bCs/>
          <w:sz w:val="21"/>
          <w:szCs w:val="21"/>
        </w:rPr>
        <w:t>（必须提供）</w:t>
      </w:r>
      <w:r>
        <w:rPr>
          <w:rFonts w:hint="eastAsia"/>
          <w:sz w:val="21"/>
          <w:szCs w:val="21"/>
        </w:rPr>
        <w:t>；</w:t>
      </w:r>
    </w:p>
    <w:p w14:paraId="08141DD0">
      <w:pPr>
        <w:spacing w:line="360" w:lineRule="auto"/>
        <w:ind w:firstLine="422" w:firstLineChars="200"/>
        <w:rPr>
          <w:b/>
          <w:bCs/>
          <w:sz w:val="21"/>
          <w:szCs w:val="21"/>
        </w:rPr>
      </w:pPr>
      <w:r>
        <w:rPr>
          <w:rFonts w:hint="eastAsia"/>
          <w:b/>
          <w:bCs/>
          <w:sz w:val="21"/>
          <w:szCs w:val="21"/>
        </w:rPr>
        <w:t>11.1.3其它有效证明材料：</w:t>
      </w:r>
    </w:p>
    <w:p w14:paraId="4956EDE8">
      <w:pPr>
        <w:spacing w:line="360" w:lineRule="auto"/>
        <w:ind w:firstLine="420" w:firstLineChars="200"/>
        <w:rPr>
          <w:sz w:val="21"/>
          <w:szCs w:val="21"/>
          <w:highlight w:val="none"/>
        </w:rPr>
      </w:pPr>
      <w:r>
        <w:rPr>
          <w:rFonts w:hint="eastAsia"/>
          <w:sz w:val="21"/>
          <w:szCs w:val="21"/>
          <w:highlight w:val="none"/>
        </w:rPr>
        <w:t>（1）供应商20</w:t>
      </w:r>
      <w:r>
        <w:rPr>
          <w:rFonts w:hint="eastAsia"/>
          <w:sz w:val="21"/>
          <w:szCs w:val="21"/>
          <w:highlight w:val="none"/>
          <w:lang w:val="en-US" w:eastAsia="zh-CN"/>
        </w:rPr>
        <w:t>20</w:t>
      </w:r>
      <w:r>
        <w:rPr>
          <w:rFonts w:hint="eastAsia"/>
          <w:sz w:val="21"/>
          <w:szCs w:val="21"/>
          <w:highlight w:val="none"/>
        </w:rPr>
        <w:t>年</w:t>
      </w:r>
      <w:r>
        <w:rPr>
          <w:rFonts w:hint="eastAsia"/>
          <w:sz w:val="21"/>
          <w:szCs w:val="21"/>
          <w:highlight w:val="none"/>
          <w:lang w:val="en-US" w:eastAsia="zh-CN"/>
        </w:rPr>
        <w:t>3</w:t>
      </w:r>
      <w:r>
        <w:rPr>
          <w:rFonts w:hint="eastAsia"/>
          <w:sz w:val="21"/>
          <w:szCs w:val="21"/>
          <w:highlight w:val="none"/>
        </w:rPr>
        <w:t>月1日以来具有同类项目业绩的相关证明材料（如有，请提供）；</w:t>
      </w:r>
    </w:p>
    <w:p w14:paraId="7E506169">
      <w:pPr>
        <w:spacing w:line="360" w:lineRule="auto"/>
        <w:ind w:firstLine="420" w:firstLineChars="200"/>
        <w:rPr>
          <w:sz w:val="21"/>
          <w:szCs w:val="21"/>
        </w:rPr>
      </w:pPr>
      <w:r>
        <w:rPr>
          <w:rFonts w:hint="eastAsia"/>
          <w:sz w:val="21"/>
          <w:szCs w:val="21"/>
        </w:rPr>
        <w:t>（2）供应商可结合本项目的评审办法视自身情况自行提交相关证明材料（如有，请提供）。</w:t>
      </w:r>
    </w:p>
    <w:p w14:paraId="55E39545">
      <w:pPr>
        <w:spacing w:line="360" w:lineRule="auto"/>
        <w:ind w:firstLine="420" w:firstLineChars="200"/>
        <w:rPr>
          <w:rFonts w:hint="eastAsia"/>
          <w:sz w:val="21"/>
          <w:szCs w:val="21"/>
        </w:rPr>
      </w:pPr>
      <w:r>
        <w:rPr>
          <w:rFonts w:hint="eastAsia"/>
          <w:sz w:val="21"/>
          <w:szCs w:val="21"/>
        </w:rPr>
        <w:t>（注：</w:t>
      </w:r>
      <w:bookmarkStart w:id="21" w:name="OLE_LINK84"/>
      <w:bookmarkStart w:id="22" w:name="OLE_LINK85"/>
      <w:r>
        <w:rPr>
          <w:rFonts w:hint="eastAsia"/>
          <w:sz w:val="21"/>
          <w:szCs w:val="21"/>
        </w:rPr>
        <w:t>（1）业绩要求条件应与招标项目规模匹配设置；成功完成是指工程按交通部令2004年第3号《公路工程竣（交）工验收办法》交工验收或竣工验收通过）。</w:t>
      </w:r>
    </w:p>
    <w:p w14:paraId="212072FE">
      <w:pPr>
        <w:spacing w:line="360" w:lineRule="auto"/>
        <w:ind w:firstLine="420" w:firstLineChars="200"/>
        <w:rPr>
          <w:rFonts w:hint="eastAsia"/>
          <w:sz w:val="21"/>
          <w:szCs w:val="21"/>
        </w:rPr>
      </w:pPr>
      <w:r>
        <w:rPr>
          <w:rFonts w:hint="eastAsia"/>
          <w:sz w:val="21"/>
          <w:szCs w:val="21"/>
        </w:rPr>
        <w:t>（2）施工业绩是指工程按交通部令2004年第3号《公路工程竣（交）工验收办法》交工验收或竣工验收通过且</w:t>
      </w:r>
      <w:r>
        <w:rPr>
          <w:rFonts w:hint="eastAsia"/>
          <w:sz w:val="21"/>
          <w:szCs w:val="21"/>
          <w:lang w:eastAsia="zh-CN"/>
        </w:rPr>
        <w:t>供应商</w:t>
      </w:r>
      <w:r>
        <w:rPr>
          <w:rFonts w:hint="eastAsia"/>
          <w:sz w:val="21"/>
          <w:szCs w:val="21"/>
        </w:rPr>
        <w:t>在</w:t>
      </w:r>
      <w:r>
        <w:rPr>
          <w:rFonts w:hint="eastAsia"/>
          <w:sz w:val="21"/>
          <w:szCs w:val="21"/>
          <w:lang w:eastAsia="zh-CN"/>
        </w:rPr>
        <w:t>响应文件</w:t>
      </w:r>
      <w:r>
        <w:rPr>
          <w:rFonts w:hint="eastAsia"/>
          <w:sz w:val="21"/>
          <w:szCs w:val="21"/>
        </w:rPr>
        <w:t>中填报的业绩应当与其在交通运输主管部门公路建设市场监督管理系统上填报并通过交通运输主管部门审核发布的相关信息一致,并提供相应“全国公路建设市场监督管理系统（https://hwdms.mot.gov.cn/BMWebSite）查询到的企业“业绩信息”相关项目网页截图，即包括“项目名称”“标段类型”“合同价”“主要工程量”“项目主要管理人员”等栏目在内的项目详细信息网页截图。除网页截图复印件外，</w:t>
      </w:r>
      <w:r>
        <w:rPr>
          <w:rFonts w:hint="eastAsia"/>
          <w:sz w:val="21"/>
          <w:szCs w:val="21"/>
          <w:lang w:eastAsia="zh-CN"/>
        </w:rPr>
        <w:t>供应商</w:t>
      </w:r>
      <w:r>
        <w:rPr>
          <w:rFonts w:hint="eastAsia"/>
          <w:sz w:val="21"/>
          <w:szCs w:val="21"/>
        </w:rPr>
        <w:t xml:space="preserve">提供的其他任何业绩证明材料均不予以认可。  </w:t>
      </w:r>
    </w:p>
    <w:p w14:paraId="60A80F61">
      <w:pPr>
        <w:spacing w:line="360" w:lineRule="auto"/>
        <w:ind w:firstLine="420" w:firstLineChars="200"/>
        <w:rPr>
          <w:rFonts w:hint="eastAsia"/>
          <w:sz w:val="21"/>
          <w:szCs w:val="21"/>
        </w:rPr>
      </w:pPr>
      <w:r>
        <w:rPr>
          <w:rFonts w:hint="eastAsia"/>
          <w:sz w:val="21"/>
          <w:szCs w:val="21"/>
        </w:rPr>
        <w:t>（3）在交通运输部“全国公路建设市场监督管理系统”中无法查询，但可在省级交通运输主管部门“公路建设市场信用信息管理系统”(系统名称以各省省级交通运输主管部门采用的名称为准）中查询的，应附省级交通运输主管部门“公路建设市场信用信息管理系统”(系统名称以各省省级交通运输主管部门采用的名称为准）中查询到的网页截图，且截图信息要求与上述第2点一致。除网页截图复印件外，</w:t>
      </w:r>
      <w:r>
        <w:rPr>
          <w:rFonts w:hint="eastAsia"/>
          <w:sz w:val="21"/>
          <w:szCs w:val="21"/>
          <w:lang w:eastAsia="zh-CN"/>
        </w:rPr>
        <w:t>供应商</w:t>
      </w:r>
      <w:r>
        <w:rPr>
          <w:rFonts w:hint="eastAsia"/>
          <w:sz w:val="21"/>
          <w:szCs w:val="21"/>
        </w:rPr>
        <w:t>提供的其他任何业绩证明材料均不予以认可。</w:t>
      </w:r>
      <w:bookmarkEnd w:id="21"/>
      <w:bookmarkEnd w:id="22"/>
      <w:r>
        <w:rPr>
          <w:rFonts w:hint="eastAsia"/>
          <w:sz w:val="21"/>
          <w:szCs w:val="21"/>
        </w:rPr>
        <w:t>）</w:t>
      </w:r>
    </w:p>
    <w:p w14:paraId="57D5E1C4">
      <w:pPr>
        <w:spacing w:line="360" w:lineRule="auto"/>
        <w:ind w:firstLine="420" w:firstLineChars="200"/>
        <w:rPr>
          <w:sz w:val="21"/>
          <w:szCs w:val="21"/>
        </w:rPr>
      </w:pPr>
      <w:r>
        <w:rPr>
          <w:rFonts w:hint="eastAsia"/>
          <w:sz w:val="21"/>
          <w:szCs w:val="21"/>
        </w:rPr>
        <w:t>供应商提供的以上相关证明材料必须真实有效，属于“必须提供”的文件应加盖供应商CA证书签章，否则响应无效；其中“必须提供”的文件“响应文件（格式）”中有要求法定代表人(负责人、自然人)或相应的授权委托代理人在规定位置签字的，可使用法定代表人(负责人、自然人)或相应的授权委托代理人个人CA证书签章，没有办理个人CA证书签章的可在响应文件中涉及到签字的位置手写签字后扫描或者拍照做成PDF的格式上传，无个人CA证书签章及手写签字的，响应文件按无效处理。</w:t>
      </w:r>
    </w:p>
    <w:p w14:paraId="6803D6CA">
      <w:pPr>
        <w:spacing w:line="360" w:lineRule="auto"/>
        <w:ind w:firstLine="420" w:firstLineChars="200"/>
        <w:rPr>
          <w:sz w:val="21"/>
          <w:szCs w:val="21"/>
        </w:rPr>
      </w:pPr>
      <w:r>
        <w:rPr>
          <w:rFonts w:hint="eastAsia"/>
          <w:sz w:val="21"/>
          <w:szCs w:val="21"/>
        </w:rPr>
        <w:t>11.2供应商应按竞争性磋商文件第八章“响应文件（格式）”编制响应文件。</w:t>
      </w:r>
    </w:p>
    <w:p w14:paraId="7FA2FEE0">
      <w:pPr>
        <w:spacing w:line="360" w:lineRule="auto"/>
        <w:ind w:firstLine="422" w:firstLineChars="200"/>
        <w:rPr>
          <w:b/>
          <w:bCs/>
          <w:sz w:val="21"/>
          <w:szCs w:val="21"/>
        </w:rPr>
      </w:pPr>
      <w:r>
        <w:rPr>
          <w:rFonts w:hint="eastAsia"/>
          <w:b/>
          <w:bCs/>
          <w:sz w:val="21"/>
          <w:szCs w:val="21"/>
        </w:rPr>
        <w:t>12.响应文件的语言及计量</w:t>
      </w:r>
    </w:p>
    <w:p w14:paraId="395A33B5">
      <w:pPr>
        <w:spacing w:line="360" w:lineRule="auto"/>
        <w:ind w:firstLine="420" w:firstLineChars="200"/>
        <w:rPr>
          <w:sz w:val="21"/>
          <w:szCs w:val="21"/>
        </w:rPr>
      </w:pPr>
      <w:r>
        <w:rPr>
          <w:rFonts w:hint="eastAsia"/>
          <w:sz w:val="21"/>
          <w:szCs w:val="21"/>
        </w:rPr>
        <w:t>12.1响应文件以及供应商与采购代理机构就有关响应事宜的所有来往函电，均必须以中文汉语书写。供应商提交的支持文件和印刷的文献可以使用别的语言，但其相应内容必须附有中文翻译文本，在解释响应文件时以中文翻译文本为主。</w:t>
      </w:r>
    </w:p>
    <w:p w14:paraId="1F0E4DA6">
      <w:pPr>
        <w:spacing w:line="360" w:lineRule="auto"/>
        <w:ind w:firstLine="420" w:firstLineChars="200"/>
        <w:rPr>
          <w:sz w:val="21"/>
          <w:szCs w:val="21"/>
        </w:rPr>
      </w:pPr>
      <w:r>
        <w:rPr>
          <w:rFonts w:hint="eastAsia"/>
          <w:sz w:val="21"/>
          <w:szCs w:val="21"/>
        </w:rPr>
        <w:t>12.2响应计量单位，磋商文件已有明确规定的，使用磋商文件规定的计量单位；磋商文件没有规定的，必须采用中华人民共和国法定计量单位（货币单位：人民币元），否则视同未响应。</w:t>
      </w:r>
    </w:p>
    <w:p w14:paraId="79A3F213">
      <w:pPr>
        <w:spacing w:line="360" w:lineRule="auto"/>
        <w:ind w:firstLine="422" w:firstLineChars="200"/>
        <w:rPr>
          <w:b/>
          <w:bCs/>
          <w:sz w:val="21"/>
          <w:szCs w:val="21"/>
        </w:rPr>
      </w:pPr>
      <w:r>
        <w:rPr>
          <w:rFonts w:hint="eastAsia"/>
          <w:b/>
          <w:bCs/>
          <w:sz w:val="21"/>
          <w:szCs w:val="21"/>
        </w:rPr>
        <w:t>13.磋商报价及采购预算金额</w:t>
      </w:r>
    </w:p>
    <w:p w14:paraId="3AD305BA">
      <w:pPr>
        <w:spacing w:line="360" w:lineRule="auto"/>
        <w:ind w:firstLine="420" w:firstLineChars="200"/>
        <w:rPr>
          <w:sz w:val="21"/>
          <w:szCs w:val="21"/>
        </w:rPr>
      </w:pPr>
      <w:r>
        <w:rPr>
          <w:rFonts w:hint="eastAsia"/>
          <w:sz w:val="21"/>
          <w:szCs w:val="21"/>
        </w:rPr>
        <w:t>13.1供应商必须就“项目需求”中的所有内容作完整唯一报价，响应文件只允许有一个报价，有选择的或有条件的报价将不予接受。</w:t>
      </w:r>
    </w:p>
    <w:p w14:paraId="33E98D51">
      <w:pPr>
        <w:spacing w:line="360" w:lineRule="auto"/>
        <w:ind w:firstLine="422" w:firstLineChars="200"/>
        <w:rPr>
          <w:b/>
          <w:bCs/>
          <w:sz w:val="21"/>
          <w:szCs w:val="21"/>
        </w:rPr>
      </w:pPr>
      <w:r>
        <w:rPr>
          <w:rFonts w:hint="eastAsia"/>
          <w:b/>
          <w:bCs/>
          <w:sz w:val="21"/>
          <w:szCs w:val="21"/>
        </w:rPr>
        <w:t>13.2采购预算金额（控制价）（人民币）：</w:t>
      </w:r>
      <w:r>
        <w:rPr>
          <w:rFonts w:hint="eastAsia"/>
          <w:b w:val="0"/>
          <w:color w:val="auto"/>
          <w:highlight w:val="none"/>
        </w:rPr>
        <w:t>详见“供应商须知前附表”</w:t>
      </w:r>
      <w:r>
        <w:rPr>
          <w:rFonts w:hint="eastAsia"/>
          <w:b/>
          <w:bCs/>
          <w:sz w:val="21"/>
          <w:szCs w:val="21"/>
        </w:rPr>
        <w:t>。</w:t>
      </w:r>
    </w:p>
    <w:p w14:paraId="5F2F6231">
      <w:pPr>
        <w:spacing w:line="360" w:lineRule="auto"/>
        <w:ind w:firstLine="440" w:firstLineChars="200"/>
        <w:rPr>
          <w:rFonts w:hint="eastAsia"/>
          <w:b w:val="0"/>
          <w:bCs/>
          <w:color w:val="auto"/>
          <w:highlight w:val="none"/>
        </w:rPr>
      </w:pPr>
      <w:r>
        <w:rPr>
          <w:rFonts w:hint="eastAsia"/>
          <w:b w:val="0"/>
          <w:bCs/>
          <w:color w:val="auto"/>
          <w:highlight w:val="none"/>
        </w:rPr>
        <w:t>招标人设置最高投标限价及工程量清单全子目的上限价，供应商的磋商报价总价不能高于最高投标限价总价、工程量清单子目单价不得高于招标人设置的子目上限价，否则， 其响应文件将视为无效， 作否决投标处理。</w:t>
      </w:r>
    </w:p>
    <w:p w14:paraId="7339D71F">
      <w:pPr>
        <w:spacing w:line="360" w:lineRule="auto"/>
        <w:ind w:firstLine="440" w:firstLineChars="200"/>
        <w:rPr>
          <w:rFonts w:hint="eastAsia"/>
          <w:b w:val="0"/>
          <w:bCs/>
          <w:color w:val="auto"/>
          <w:highlight w:val="none"/>
        </w:rPr>
      </w:pPr>
      <w:r>
        <w:rPr>
          <w:rFonts w:hint="eastAsia"/>
          <w:b w:val="0"/>
          <w:bCs/>
          <w:color w:val="auto"/>
          <w:highlight w:val="none"/>
        </w:rPr>
        <w:t>承包人必须完成本合同工程路容路貌整治、排水系统整治工作，拆除的旧安全设施属于业主所有，运至业主指定的地点。其费用应视为已分摊在本合同工程的有关子目的单价或总额价之中。</w:t>
      </w:r>
    </w:p>
    <w:p w14:paraId="48692D39">
      <w:pPr>
        <w:spacing w:line="360" w:lineRule="auto"/>
        <w:ind w:firstLine="440" w:firstLineChars="200"/>
        <w:rPr>
          <w:sz w:val="21"/>
          <w:szCs w:val="21"/>
        </w:rPr>
      </w:pPr>
      <w:r>
        <w:rPr>
          <w:rFonts w:hint="eastAsia"/>
          <w:b w:val="0"/>
          <w:bCs/>
          <w:color w:val="auto"/>
          <w:highlight w:val="none"/>
        </w:rPr>
        <w:t>13.3磋商报价包括各种人力成本、材料成本、设备成本、资料费、服务费、税费及合同实施过程中的应预见费用等完成合同规定责任和义务，其他相关费用等完成本项目工程所需的一切费用，供应商综合考虑在报价中。</w:t>
      </w:r>
    </w:p>
    <w:p w14:paraId="7D98D62A">
      <w:pPr>
        <w:spacing w:line="360" w:lineRule="auto"/>
        <w:ind w:firstLine="420" w:firstLineChars="200"/>
        <w:rPr>
          <w:sz w:val="21"/>
          <w:szCs w:val="21"/>
        </w:rPr>
      </w:pPr>
      <w:r>
        <w:rPr>
          <w:rFonts w:hint="eastAsia"/>
          <w:sz w:val="21"/>
          <w:szCs w:val="21"/>
        </w:rPr>
        <w:t>13.4未书面退出磋商的供应商必须在规定时间内登录“广西政府采购云平台”在线提交最后报价，其最后报价不得超出采购预算；磋商过程中磋商文件未作实质性变动的，最后报价不得超过首次报价。</w:t>
      </w:r>
    </w:p>
    <w:p w14:paraId="498BD693">
      <w:pPr>
        <w:spacing w:line="360" w:lineRule="auto"/>
        <w:ind w:firstLine="422" w:firstLineChars="200"/>
        <w:rPr>
          <w:b/>
          <w:bCs/>
          <w:sz w:val="21"/>
          <w:szCs w:val="21"/>
        </w:rPr>
      </w:pPr>
      <w:r>
        <w:rPr>
          <w:rFonts w:hint="eastAsia"/>
          <w:b/>
          <w:bCs/>
          <w:sz w:val="21"/>
          <w:szCs w:val="21"/>
        </w:rPr>
        <w:t>14.响应文件有效期</w:t>
      </w:r>
    </w:p>
    <w:p w14:paraId="1459F662">
      <w:pPr>
        <w:spacing w:line="360" w:lineRule="auto"/>
        <w:ind w:firstLine="420" w:firstLineChars="200"/>
        <w:rPr>
          <w:sz w:val="21"/>
          <w:szCs w:val="21"/>
        </w:rPr>
      </w:pPr>
      <w:r>
        <w:rPr>
          <w:rFonts w:hint="eastAsia"/>
          <w:sz w:val="21"/>
          <w:szCs w:val="21"/>
        </w:rPr>
        <w:t>14.1响应文件有效期：自响应文件提交截止时间之日起90天，有效期不足的响应文件将被拒绝。</w:t>
      </w:r>
    </w:p>
    <w:p w14:paraId="7DA86B56">
      <w:pPr>
        <w:spacing w:line="360" w:lineRule="auto"/>
        <w:ind w:firstLine="420" w:firstLineChars="200"/>
        <w:rPr>
          <w:sz w:val="21"/>
          <w:szCs w:val="21"/>
        </w:rPr>
      </w:pPr>
      <w:r>
        <w:rPr>
          <w:rFonts w:hint="eastAsia"/>
          <w:sz w:val="21"/>
          <w:szCs w:val="21"/>
        </w:rPr>
        <w:t>14.2出现特殊情况下，需要延长响应文件有效期的，采购代理机构以书面形式通知供应商延长响应文件有效期。供应商同意延长的，不能修改响应文件。供应商拒绝延长的，其响应无效。</w:t>
      </w:r>
    </w:p>
    <w:p w14:paraId="63B8DFE4">
      <w:pPr>
        <w:spacing w:line="360" w:lineRule="auto"/>
        <w:ind w:firstLine="422" w:firstLineChars="200"/>
        <w:rPr>
          <w:b/>
          <w:bCs/>
          <w:sz w:val="21"/>
          <w:szCs w:val="21"/>
        </w:rPr>
      </w:pPr>
      <w:r>
        <w:rPr>
          <w:rFonts w:hint="eastAsia"/>
          <w:b/>
          <w:bCs/>
          <w:sz w:val="21"/>
          <w:szCs w:val="21"/>
        </w:rPr>
        <w:t>15.保证金</w:t>
      </w:r>
    </w:p>
    <w:p w14:paraId="2F777B03">
      <w:pPr>
        <w:spacing w:line="360" w:lineRule="auto"/>
        <w:ind w:firstLine="420" w:firstLineChars="200"/>
        <w:rPr>
          <w:sz w:val="21"/>
          <w:szCs w:val="21"/>
        </w:rPr>
      </w:pPr>
      <w:r>
        <w:rPr>
          <w:rFonts w:hint="eastAsia"/>
          <w:sz w:val="21"/>
          <w:szCs w:val="21"/>
        </w:rPr>
        <w:t>本项目无需缴纳磋商保证金</w:t>
      </w:r>
    </w:p>
    <w:p w14:paraId="205DD1F0">
      <w:pPr>
        <w:spacing w:line="360" w:lineRule="auto"/>
        <w:ind w:firstLine="422" w:firstLineChars="200"/>
        <w:rPr>
          <w:b/>
          <w:bCs/>
          <w:sz w:val="21"/>
          <w:szCs w:val="21"/>
        </w:rPr>
      </w:pPr>
      <w:r>
        <w:rPr>
          <w:rFonts w:hint="eastAsia"/>
          <w:b/>
          <w:bCs/>
          <w:sz w:val="21"/>
          <w:szCs w:val="21"/>
        </w:rPr>
        <w:t>16.电子响应文件的制作、加密要求</w:t>
      </w:r>
    </w:p>
    <w:p w14:paraId="124EDF85">
      <w:pPr>
        <w:spacing w:line="360" w:lineRule="auto"/>
        <w:ind w:firstLine="420" w:firstLineChars="200"/>
        <w:rPr>
          <w:sz w:val="21"/>
          <w:szCs w:val="21"/>
        </w:rPr>
      </w:pPr>
      <w:r>
        <w:rPr>
          <w:rFonts w:hint="eastAsia"/>
          <w:sz w:val="21"/>
          <w:szCs w:val="21"/>
        </w:rPr>
        <w:t>16.1供应商制作电子响应文件前，必须登陆“广西政府采购云平台”进行竞争性磋商文件的获取操作。</w:t>
      </w:r>
    </w:p>
    <w:p w14:paraId="1394FAC4">
      <w:pPr>
        <w:spacing w:line="360" w:lineRule="auto"/>
        <w:ind w:firstLine="420" w:firstLineChars="200"/>
        <w:rPr>
          <w:sz w:val="21"/>
          <w:szCs w:val="21"/>
        </w:rPr>
      </w:pPr>
      <w:r>
        <w:rPr>
          <w:rFonts w:hint="eastAsia"/>
          <w:sz w:val="21"/>
          <w:szCs w:val="21"/>
        </w:rPr>
        <w:t>16.2供应商下载或获取竞争性磋商文件后，登录“广西政府采购云平台电子投标客户端”，按照本磋商文件规定的响应文件格式、顺序以及“广西政府采购云平台”的要求，通过“广西政府采购云平台电子投标客户端”编制电子响应文件。</w:t>
      </w:r>
    </w:p>
    <w:p w14:paraId="07E4358C">
      <w:pPr>
        <w:spacing w:line="360" w:lineRule="auto"/>
        <w:ind w:firstLine="420" w:firstLineChars="200"/>
        <w:rPr>
          <w:sz w:val="21"/>
          <w:szCs w:val="21"/>
        </w:rPr>
      </w:pPr>
      <w:r>
        <w:rPr>
          <w:rFonts w:hint="eastAsia"/>
          <w:sz w:val="21"/>
          <w:szCs w:val="21"/>
        </w:rPr>
        <w:t>16.3若磋商文件中有专门标注的某关联点，并要求供应商在电子投标系统中作出响应的，供应商应进行响应并关联定位，以便评审小组在评审时点击评分项可直接定位到该评分项内容；如对竞争性磋商文件的某项要求，供应商的电子响应文件未能关联定位提供相应的内容与其对应，或者在响应文件其它内容中进行描述，导致磋商小组无法查询，做出对供应商不利的评审，相关后果由供应商自行承担。</w:t>
      </w:r>
    </w:p>
    <w:p w14:paraId="77AF88EF">
      <w:pPr>
        <w:spacing w:line="360" w:lineRule="auto"/>
        <w:ind w:firstLine="420" w:firstLineChars="200"/>
        <w:rPr>
          <w:sz w:val="21"/>
          <w:szCs w:val="21"/>
        </w:rPr>
      </w:pPr>
      <w:r>
        <w:rPr>
          <w:rFonts w:hint="eastAsia"/>
          <w:sz w:val="21"/>
          <w:szCs w:val="21"/>
        </w:rPr>
        <w:t>16.4电子响应文件不得涂改，若有修改错漏处，须由法定代表人（负责人、自然人）或授权委托代理人通过“广西政府采购云平台投标客户端投标”采用个人CA证书签章，没有办理个人CA证书签章的，在响应文件中响应位置手写签字后扫描或者拍照做成PDF的格式上传。因响应文件字迹潦草、表达不清、内容不完整、编排混乱导致响应文件被误读、漏读，或者在按竞争性磋商文件规定的部位查找不到相关内容的，其不利后果由供应商自行承担。</w:t>
      </w:r>
    </w:p>
    <w:p w14:paraId="1E2B3B1D">
      <w:pPr>
        <w:spacing w:line="360" w:lineRule="auto"/>
        <w:ind w:firstLine="420" w:firstLineChars="200"/>
        <w:rPr>
          <w:sz w:val="21"/>
          <w:szCs w:val="21"/>
        </w:rPr>
      </w:pPr>
      <w:r>
        <w:rPr>
          <w:rFonts w:hint="eastAsia"/>
          <w:sz w:val="21"/>
          <w:szCs w:val="21"/>
        </w:rPr>
        <w:t>16.5供应商编制、生成电子响应文件后应当加密响应文件。供应商未按规定编制并加密的响应文件，“广西政府采购云平台”将予以拒收。</w:t>
      </w:r>
    </w:p>
    <w:p w14:paraId="351B7D20">
      <w:pPr>
        <w:spacing w:line="360" w:lineRule="auto"/>
        <w:ind w:firstLine="420" w:firstLineChars="200"/>
        <w:rPr>
          <w:sz w:val="21"/>
          <w:szCs w:val="21"/>
        </w:rPr>
      </w:pPr>
      <w:r>
        <w:rPr>
          <w:rFonts w:hint="eastAsia"/>
          <w:sz w:val="21"/>
          <w:szCs w:val="21"/>
        </w:rPr>
        <w:t>16.6供应商公章及签字</w:t>
      </w:r>
    </w:p>
    <w:p w14:paraId="292DAE22">
      <w:pPr>
        <w:spacing w:line="360" w:lineRule="auto"/>
        <w:ind w:firstLine="420" w:firstLineChars="200"/>
        <w:rPr>
          <w:sz w:val="21"/>
          <w:szCs w:val="21"/>
        </w:rPr>
      </w:pPr>
      <w:r>
        <w:rPr>
          <w:rFonts w:hint="eastAsia"/>
          <w:sz w:val="21"/>
          <w:szCs w:val="21"/>
        </w:rPr>
        <w:t>16.6.1本竞争性磋商文件中描述供应商的“公章”是指供应商通过指定电子化政府采购平台办理数字证书（CA认证证书）获得的以法定主体行为名称制作的电子印章。</w:t>
      </w:r>
    </w:p>
    <w:p w14:paraId="139526D2">
      <w:pPr>
        <w:spacing w:line="360" w:lineRule="auto"/>
        <w:ind w:firstLine="420" w:firstLineChars="200"/>
        <w:rPr>
          <w:sz w:val="21"/>
          <w:szCs w:val="21"/>
        </w:rPr>
      </w:pPr>
      <w:r>
        <w:rPr>
          <w:rFonts w:hint="eastAsia"/>
          <w:sz w:val="21"/>
          <w:szCs w:val="21"/>
        </w:rPr>
        <w:t>16.6.2本竞争性磋商文件中要求供应商对其电子响应文件的相关内容加盖公章的，均指采用CA证书签章。</w:t>
      </w:r>
    </w:p>
    <w:p w14:paraId="179D9245">
      <w:pPr>
        <w:spacing w:line="360" w:lineRule="auto"/>
        <w:ind w:firstLine="420" w:firstLineChars="200"/>
        <w:rPr>
          <w:sz w:val="21"/>
          <w:szCs w:val="21"/>
        </w:rPr>
      </w:pPr>
      <w:r>
        <w:rPr>
          <w:rFonts w:hint="eastAsia"/>
          <w:sz w:val="21"/>
          <w:szCs w:val="21"/>
        </w:rPr>
        <w:t>16.6.3本磋商文件中描述供应商的“签字”是指供应商通过指定电子化政府采购平台办理数字证书（CA认证证书）获得的以供应商法定代表人（自负责人、自然人）或者委托代理人姓名制作的个人电子印章或手写签字。没有办理个人CA证书的，可以为手写签字的形式。</w:t>
      </w:r>
    </w:p>
    <w:p w14:paraId="2543BA26">
      <w:pPr>
        <w:spacing w:line="360" w:lineRule="auto"/>
        <w:ind w:firstLine="422" w:firstLineChars="200"/>
        <w:rPr>
          <w:b/>
          <w:bCs/>
          <w:sz w:val="21"/>
          <w:szCs w:val="21"/>
        </w:rPr>
      </w:pPr>
      <w:r>
        <w:rPr>
          <w:rFonts w:hint="eastAsia"/>
          <w:b/>
          <w:bCs/>
          <w:sz w:val="21"/>
          <w:szCs w:val="21"/>
        </w:rPr>
        <w:t>17.首次响应文件的提交、撤回、修改</w:t>
      </w:r>
    </w:p>
    <w:p w14:paraId="7DBAFA50">
      <w:pPr>
        <w:ind w:firstLine="420"/>
        <w:rPr>
          <w:sz w:val="21"/>
          <w:szCs w:val="21"/>
        </w:rPr>
      </w:pPr>
      <w:r>
        <w:rPr>
          <w:rFonts w:hint="eastAsia"/>
          <w:sz w:val="21"/>
          <w:szCs w:val="21"/>
        </w:rPr>
        <w:t>17.1响应文件的提交截止时间：</w:t>
      </w:r>
      <w:r>
        <w:rPr>
          <w:rFonts w:hint="eastAsia"/>
          <w:b w:val="0"/>
          <w:color w:val="auto"/>
          <w:highlight w:val="none"/>
        </w:rPr>
        <w:t>详见“供应商须知前附表”。</w:t>
      </w:r>
    </w:p>
    <w:p w14:paraId="43A456D1">
      <w:pPr>
        <w:spacing w:line="360" w:lineRule="auto"/>
        <w:ind w:firstLine="420" w:firstLineChars="200"/>
        <w:rPr>
          <w:sz w:val="21"/>
          <w:szCs w:val="21"/>
        </w:rPr>
      </w:pPr>
      <w:r>
        <w:rPr>
          <w:rFonts w:hint="eastAsia"/>
          <w:sz w:val="21"/>
          <w:szCs w:val="21"/>
        </w:rPr>
        <w:t>17.2地点：通过“广西政府采购云平台”在线提交。</w:t>
      </w:r>
    </w:p>
    <w:p w14:paraId="7A12B9A2">
      <w:pPr>
        <w:spacing w:line="360" w:lineRule="auto"/>
        <w:ind w:firstLine="420" w:firstLineChars="200"/>
        <w:rPr>
          <w:sz w:val="21"/>
          <w:szCs w:val="21"/>
        </w:rPr>
      </w:pPr>
      <w:r>
        <w:rPr>
          <w:rFonts w:hint="eastAsia"/>
          <w:sz w:val="21"/>
          <w:szCs w:val="21"/>
        </w:rPr>
        <w:t>17.3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广西政府</w:t>
      </w:r>
    </w:p>
    <w:p w14:paraId="66DDB6F9">
      <w:pPr>
        <w:spacing w:line="360" w:lineRule="auto"/>
        <w:ind w:firstLine="420" w:firstLineChars="200"/>
        <w:rPr>
          <w:sz w:val="21"/>
          <w:szCs w:val="21"/>
        </w:rPr>
      </w:pPr>
      <w:r>
        <w:rPr>
          <w:rFonts w:hint="eastAsia"/>
          <w:sz w:val="21"/>
          <w:szCs w:val="21"/>
        </w:rPr>
        <w:t>采购云平台”的，视为未提交响应文件。</w:t>
      </w:r>
    </w:p>
    <w:p w14:paraId="2DCAF147">
      <w:pPr>
        <w:spacing w:line="360" w:lineRule="auto"/>
        <w:ind w:firstLine="420" w:firstLineChars="200"/>
        <w:rPr>
          <w:sz w:val="21"/>
          <w:szCs w:val="21"/>
        </w:rPr>
      </w:pPr>
      <w:r>
        <w:rPr>
          <w:rFonts w:hint="eastAsia"/>
          <w:sz w:val="21"/>
          <w:szCs w:val="21"/>
        </w:rPr>
        <w:t>17.4除竞争性磋商文件另有规定外，供应商所提交的响应文件不予退还。</w:t>
      </w:r>
    </w:p>
    <w:p w14:paraId="59FEF5A6">
      <w:pPr>
        <w:spacing w:line="360" w:lineRule="auto"/>
        <w:ind w:firstLine="422" w:firstLineChars="200"/>
        <w:rPr>
          <w:b/>
          <w:bCs/>
          <w:sz w:val="21"/>
          <w:szCs w:val="21"/>
        </w:rPr>
      </w:pPr>
      <w:r>
        <w:rPr>
          <w:rFonts w:hint="eastAsia"/>
          <w:b/>
          <w:bCs/>
          <w:sz w:val="21"/>
          <w:szCs w:val="21"/>
        </w:rPr>
        <w:t>18.响应文件的解密</w:t>
      </w:r>
    </w:p>
    <w:p w14:paraId="524D2EB4">
      <w:pPr>
        <w:spacing w:line="360" w:lineRule="auto"/>
        <w:ind w:firstLine="420" w:firstLineChars="200"/>
        <w:rPr>
          <w:sz w:val="21"/>
          <w:szCs w:val="21"/>
        </w:rPr>
      </w:pPr>
      <w:r>
        <w:rPr>
          <w:rFonts w:hint="eastAsia"/>
          <w:sz w:val="21"/>
          <w:szCs w:val="21"/>
        </w:rPr>
        <w:t>响应文件提交截止时间后30分钟内</w:t>
      </w:r>
      <w:r>
        <w:rPr>
          <w:rFonts w:hint="eastAsia"/>
          <w:sz w:val="21"/>
          <w:szCs w:val="21"/>
          <w:highlight w:val="none"/>
        </w:rPr>
        <w:t>（</w:t>
      </w:r>
      <w:r>
        <w:rPr>
          <w:rFonts w:hint="eastAsia"/>
          <w:b w:val="0"/>
          <w:color w:val="auto"/>
          <w:highlight w:val="none"/>
        </w:rPr>
        <w:t>详见“供应商须知前附表”。</w:t>
      </w:r>
      <w:r>
        <w:rPr>
          <w:rFonts w:hint="eastAsia"/>
          <w:sz w:val="21"/>
          <w:szCs w:val="21"/>
          <w:highlight w:val="none"/>
        </w:rPr>
        <w:t>)，</w:t>
      </w:r>
      <w:r>
        <w:rPr>
          <w:rFonts w:hint="eastAsia"/>
          <w:sz w:val="21"/>
          <w:szCs w:val="21"/>
        </w:rPr>
        <w:t>供应商登录“广西政府采购云平台”，通过“项目采购-开标评标”功能解密电子响应文件。若供应商在上述规定时间内无法解密或解密失败，可以提交电子备份响应文件作为评审依据，在接到无法解密或解密失败的系统通知后，供应商可根据自身实际情况按系统通知要求的时间到达桂林市公共资源交易中心号开标室现场提交电子备份响应文件或以电子邮件（以系统通知时所告知的电子邮箱地址为准）的形式提交电子备份响应文件。若磋商供应商在规定时间内无法解密或解密失败且未提供电子备份响应文件的(包含提供的电子备份文件无效或无法解密的情况)，响应文件按无效处理。</w:t>
      </w:r>
    </w:p>
    <w:p w14:paraId="53B9E80D">
      <w:pPr>
        <w:pStyle w:val="12"/>
        <w:spacing w:before="7"/>
        <w:ind w:firstLine="442"/>
        <w:rPr>
          <w:sz w:val="22"/>
        </w:rPr>
      </w:pPr>
    </w:p>
    <w:p w14:paraId="418BB835">
      <w:pPr>
        <w:pStyle w:val="5"/>
        <w:ind w:left="1019" w:right="780" w:firstLine="562"/>
        <w:jc w:val="center"/>
      </w:pPr>
      <w:r>
        <w:t>四、竞争性磋商（简称磋商）与评审</w:t>
      </w:r>
    </w:p>
    <w:p w14:paraId="55662C0A">
      <w:pPr>
        <w:spacing w:line="360" w:lineRule="auto"/>
        <w:ind w:firstLine="420" w:firstLineChars="200"/>
        <w:rPr>
          <w:rFonts w:hint="eastAsia"/>
          <w:sz w:val="21"/>
          <w:szCs w:val="21"/>
        </w:rPr>
      </w:pPr>
    </w:p>
    <w:p w14:paraId="4EE3CBE1">
      <w:pPr>
        <w:spacing w:line="360" w:lineRule="auto"/>
        <w:ind w:firstLine="420" w:firstLineChars="200"/>
        <w:rPr>
          <w:rFonts w:hint="eastAsia"/>
          <w:sz w:val="21"/>
          <w:szCs w:val="21"/>
        </w:rPr>
      </w:pPr>
      <w:r>
        <w:rPr>
          <w:rFonts w:hint="eastAsia"/>
          <w:sz w:val="21"/>
          <w:szCs w:val="21"/>
        </w:rPr>
        <w:t>19.磋商小组组成及磋商时间、地点、人员</w:t>
      </w:r>
    </w:p>
    <w:p w14:paraId="3C89F7D7">
      <w:pPr>
        <w:spacing w:line="360" w:lineRule="auto"/>
        <w:ind w:firstLine="420" w:firstLineChars="200"/>
        <w:rPr>
          <w:rFonts w:hint="eastAsia"/>
          <w:sz w:val="21"/>
          <w:szCs w:val="21"/>
        </w:rPr>
      </w:pPr>
      <w:r>
        <w:rPr>
          <w:rFonts w:hint="eastAsia"/>
          <w:sz w:val="21"/>
          <w:szCs w:val="21"/>
        </w:rPr>
        <w:t>19.1磋商小组组成：</w:t>
      </w:r>
    </w:p>
    <w:p w14:paraId="228B069A">
      <w:pPr>
        <w:spacing w:line="360" w:lineRule="auto"/>
        <w:ind w:firstLine="420" w:firstLineChars="200"/>
        <w:rPr>
          <w:szCs w:val="21"/>
        </w:rPr>
      </w:pPr>
      <w:r>
        <w:rPr>
          <w:rFonts w:hint="eastAsia"/>
          <w:sz w:val="21"/>
          <w:szCs w:val="21"/>
        </w:rPr>
        <w:t>磋商及评审工作由采购代理机构</w:t>
      </w:r>
      <w:r>
        <w:rPr>
          <w:rFonts w:hint="eastAsia"/>
          <w:szCs w:val="21"/>
        </w:rPr>
        <w:t>负责组织，具体磋商、评审工作由依法组建的磋商小组负责，磋商小组由政府采购评审专家库</w:t>
      </w:r>
      <w:r>
        <w:rPr>
          <w:rFonts w:hint="eastAsia"/>
          <w:szCs w:val="21"/>
          <w:lang w:val="en-US" w:eastAsia="zh-CN"/>
        </w:rPr>
        <w:t>随机</w:t>
      </w:r>
      <w:r>
        <w:rPr>
          <w:rFonts w:hint="eastAsia"/>
          <w:szCs w:val="21"/>
        </w:rPr>
        <w:t>抽取的相关专业的专家组成。</w:t>
      </w:r>
      <w:r>
        <w:rPr>
          <w:rFonts w:hint="eastAsia"/>
          <w:szCs w:val="21"/>
          <w:highlight w:val="none"/>
        </w:rPr>
        <w:t>磋商小组的构成：3 人。</w:t>
      </w:r>
    </w:p>
    <w:p w14:paraId="6556EC84">
      <w:pPr>
        <w:spacing w:line="360" w:lineRule="auto"/>
        <w:ind w:firstLine="420" w:firstLineChars="200"/>
        <w:rPr>
          <w:sz w:val="21"/>
          <w:szCs w:val="21"/>
        </w:rPr>
      </w:pPr>
      <w:r>
        <w:rPr>
          <w:rFonts w:hint="eastAsia"/>
          <w:sz w:val="21"/>
          <w:szCs w:val="21"/>
        </w:rPr>
        <w:t>19.2磋商时间、地点、人员：</w:t>
      </w:r>
    </w:p>
    <w:p w14:paraId="62E314F3">
      <w:pPr>
        <w:spacing w:line="360" w:lineRule="auto"/>
        <w:ind w:firstLine="420" w:firstLineChars="200"/>
        <w:rPr>
          <w:sz w:val="21"/>
          <w:szCs w:val="21"/>
        </w:rPr>
      </w:pPr>
      <w:r>
        <w:rPr>
          <w:rFonts w:hint="eastAsia"/>
          <w:sz w:val="21"/>
          <w:szCs w:val="21"/>
        </w:rPr>
        <w:t>19.2.1磋商时间：首次响应文件提交截止时间后。</w:t>
      </w:r>
    </w:p>
    <w:p w14:paraId="2E7AB663">
      <w:pPr>
        <w:spacing w:line="360" w:lineRule="auto"/>
        <w:ind w:firstLine="420" w:firstLineChars="200"/>
        <w:rPr>
          <w:sz w:val="21"/>
          <w:szCs w:val="21"/>
        </w:rPr>
      </w:pPr>
      <w:r>
        <w:rPr>
          <w:rFonts w:hint="eastAsia"/>
          <w:sz w:val="21"/>
          <w:szCs w:val="21"/>
        </w:rPr>
        <w:t>19.2.2磋商地点：供应商代表在响应文件提交当天实时登陆登录“广西政府采购云平台”，按磋商小组要求在线等候参与磋商及提交最后报价。</w:t>
      </w:r>
    </w:p>
    <w:p w14:paraId="46C20867">
      <w:pPr>
        <w:pStyle w:val="12"/>
        <w:spacing w:line="360" w:lineRule="auto"/>
        <w:ind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供应商应保证提供的联系方式正确并保持畅通，以便评标过程中如需提供书面说明或澄清时，能及时联系到供应商，如在一个小时内未能联系到供应商，两个小时内其未能按要求提供书面说明或澄清，需提供的书面说明或澄清为实质性内容时，磋商小组应当将其作为无效投标处理。</w:t>
      </w:r>
    </w:p>
    <w:p w14:paraId="180B1CC3">
      <w:pPr>
        <w:spacing w:line="360" w:lineRule="auto"/>
        <w:ind w:firstLine="420" w:firstLineChars="200"/>
        <w:rPr>
          <w:sz w:val="21"/>
          <w:szCs w:val="21"/>
        </w:rPr>
      </w:pPr>
      <w:r>
        <w:rPr>
          <w:rFonts w:hint="eastAsia"/>
          <w:sz w:val="21"/>
          <w:szCs w:val="21"/>
        </w:rPr>
        <w:t>19.2.3磋商参加人员：供应商法定代表人(负责人、自然人)或相应的委托代理人参加磋商。请供应商实时登陆登录“广西政府采购云平台”等候在线磋商。</w:t>
      </w:r>
    </w:p>
    <w:p w14:paraId="7ABE75BA">
      <w:pPr>
        <w:spacing w:line="360" w:lineRule="auto"/>
        <w:ind w:firstLine="420" w:firstLineChars="200"/>
        <w:rPr>
          <w:sz w:val="21"/>
          <w:szCs w:val="21"/>
        </w:rPr>
      </w:pPr>
      <w:r>
        <w:rPr>
          <w:rFonts w:hint="eastAsia"/>
          <w:sz w:val="21"/>
          <w:szCs w:val="21"/>
        </w:rPr>
        <w:t>19.2.4首次响应文件提交截止时间后，登录“广西政府采购云平台”在线解密开启。</w:t>
      </w:r>
    </w:p>
    <w:p w14:paraId="3A10BC8E">
      <w:pPr>
        <w:spacing w:line="360" w:lineRule="auto"/>
        <w:ind w:firstLine="422" w:firstLineChars="200"/>
        <w:rPr>
          <w:b/>
          <w:bCs/>
          <w:sz w:val="21"/>
          <w:szCs w:val="21"/>
        </w:rPr>
      </w:pPr>
      <w:r>
        <w:rPr>
          <w:rFonts w:hint="eastAsia"/>
          <w:b/>
          <w:bCs/>
          <w:sz w:val="21"/>
          <w:szCs w:val="21"/>
        </w:rPr>
        <w:t>20.评审原则和评审办法</w:t>
      </w:r>
    </w:p>
    <w:p w14:paraId="34D685AB">
      <w:pPr>
        <w:spacing w:line="360" w:lineRule="auto"/>
        <w:ind w:firstLine="420" w:firstLineChars="200"/>
        <w:rPr>
          <w:sz w:val="21"/>
          <w:szCs w:val="21"/>
        </w:rPr>
      </w:pPr>
      <w:r>
        <w:rPr>
          <w:rFonts w:hint="eastAsia"/>
          <w:sz w:val="21"/>
          <w:szCs w:val="21"/>
        </w:rPr>
        <w:t>20.1磋商小组必须坚持公平、公正、科学和择优的原则。</w:t>
      </w:r>
    </w:p>
    <w:p w14:paraId="41A7980A">
      <w:pPr>
        <w:spacing w:line="360" w:lineRule="auto"/>
        <w:ind w:firstLine="420" w:firstLineChars="200"/>
        <w:rPr>
          <w:sz w:val="21"/>
          <w:szCs w:val="21"/>
        </w:rPr>
      </w:pPr>
      <w:r>
        <w:rPr>
          <w:rFonts w:hint="eastAsia"/>
          <w:sz w:val="21"/>
          <w:szCs w:val="21"/>
        </w:rPr>
        <w:t>20.2综合评分法，具体详见第四章评审办法。</w:t>
      </w:r>
    </w:p>
    <w:p w14:paraId="3A9BD692">
      <w:pPr>
        <w:spacing w:line="360" w:lineRule="auto"/>
        <w:ind w:firstLine="420" w:firstLineChars="200"/>
        <w:rPr>
          <w:sz w:val="21"/>
          <w:szCs w:val="21"/>
        </w:rPr>
      </w:pPr>
      <w:r>
        <w:rPr>
          <w:rFonts w:hint="eastAsia"/>
          <w:sz w:val="21"/>
          <w:szCs w:val="21"/>
        </w:rPr>
        <w:t>20.3磋商小组应按磋商文件进行评审，不得擅自更改评审办法。</w:t>
      </w:r>
    </w:p>
    <w:p w14:paraId="5F16064C">
      <w:pPr>
        <w:spacing w:line="360" w:lineRule="auto"/>
        <w:ind w:firstLine="420" w:firstLineChars="200"/>
        <w:rPr>
          <w:sz w:val="21"/>
          <w:szCs w:val="21"/>
        </w:rPr>
      </w:pPr>
      <w:r>
        <w:rPr>
          <w:rFonts w:hint="eastAsia"/>
          <w:sz w:val="21"/>
          <w:szCs w:val="21"/>
        </w:rPr>
        <w:t>20.4在评审过程中，磋商小组任何人不得对某个供应商发表任何倾向性意见，不得向其他磋商小组成员明示或者暗示自己的评审意见。</w:t>
      </w:r>
    </w:p>
    <w:p w14:paraId="0DB857F9">
      <w:pPr>
        <w:spacing w:line="360" w:lineRule="auto"/>
        <w:ind w:firstLine="420" w:firstLineChars="200"/>
        <w:rPr>
          <w:sz w:val="21"/>
          <w:szCs w:val="21"/>
        </w:rPr>
      </w:pPr>
      <w:r>
        <w:rPr>
          <w:rFonts w:hint="eastAsia"/>
          <w:sz w:val="21"/>
          <w:szCs w:val="21"/>
        </w:rPr>
        <w:t>20.5磋商小组成员对需要共同认定的事项存在争议的，按照少数服从多数的原则作出结论。持不同意见的磋商小组成员应当在评审报告上签署不同意见并说明理由，否则视为同意。</w:t>
      </w:r>
    </w:p>
    <w:p w14:paraId="02E8405C">
      <w:pPr>
        <w:spacing w:line="360" w:lineRule="auto"/>
        <w:ind w:firstLine="422" w:firstLineChars="200"/>
        <w:rPr>
          <w:b/>
          <w:bCs/>
          <w:sz w:val="21"/>
          <w:szCs w:val="21"/>
        </w:rPr>
      </w:pPr>
      <w:r>
        <w:rPr>
          <w:rFonts w:hint="eastAsia"/>
          <w:b/>
          <w:bCs/>
          <w:sz w:val="21"/>
          <w:szCs w:val="21"/>
        </w:rPr>
        <w:t>21.评审程序及磋商要求</w:t>
      </w:r>
    </w:p>
    <w:p w14:paraId="19EBC04A">
      <w:pPr>
        <w:spacing w:line="360" w:lineRule="auto"/>
        <w:ind w:firstLine="420" w:firstLineChars="200"/>
        <w:rPr>
          <w:sz w:val="21"/>
          <w:szCs w:val="21"/>
        </w:rPr>
      </w:pPr>
      <w:r>
        <w:rPr>
          <w:rFonts w:hint="eastAsia"/>
          <w:sz w:val="21"/>
          <w:szCs w:val="21"/>
        </w:rPr>
        <w:t>21.1磋商小组成员的通讯工具或相关电子设备交由桂林市公共资源交易中心统一保管后到达评标室，采购代理机构核实磋商小组成员身份，告知回避要求，宣布评审工作纪律和程序，推选磋商小组</w:t>
      </w:r>
    </w:p>
    <w:p w14:paraId="10A3D00D">
      <w:pPr>
        <w:spacing w:line="360" w:lineRule="auto"/>
        <w:ind w:firstLine="420" w:firstLineChars="200"/>
        <w:rPr>
          <w:sz w:val="21"/>
          <w:szCs w:val="21"/>
        </w:rPr>
      </w:pPr>
      <w:r>
        <w:rPr>
          <w:rFonts w:hint="eastAsia"/>
          <w:sz w:val="21"/>
          <w:szCs w:val="21"/>
        </w:rPr>
        <w:t>组长。</w:t>
      </w:r>
    </w:p>
    <w:p w14:paraId="350249C2">
      <w:pPr>
        <w:spacing w:line="360" w:lineRule="auto"/>
        <w:ind w:firstLine="420" w:firstLineChars="200"/>
        <w:rPr>
          <w:sz w:val="21"/>
          <w:szCs w:val="21"/>
        </w:rPr>
      </w:pPr>
      <w:r>
        <w:rPr>
          <w:rFonts w:hint="eastAsia"/>
          <w:sz w:val="21"/>
          <w:szCs w:val="21"/>
        </w:rPr>
        <w:t>21.2磋商小组应当审查供应商的响应文件并作出评价；要求供应商解释或者澄清其响应文件；编写评审报告；告知采购人、采购代理机构在评审过程中发现的供应商的违法违规行为。</w:t>
      </w:r>
    </w:p>
    <w:p w14:paraId="37F0A92F">
      <w:pPr>
        <w:spacing w:line="360" w:lineRule="auto"/>
        <w:ind w:firstLine="420" w:firstLineChars="200"/>
        <w:rPr>
          <w:sz w:val="21"/>
          <w:szCs w:val="21"/>
        </w:rPr>
      </w:pPr>
      <w:r>
        <w:rPr>
          <w:rFonts w:hint="eastAsia"/>
          <w:sz w:val="21"/>
          <w:szCs w:val="21"/>
        </w:rPr>
        <w:t>21.3磋商小组依据法律法规和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w:t>
      </w:r>
    </w:p>
    <w:p w14:paraId="1AEFD862">
      <w:pPr>
        <w:spacing w:line="360" w:lineRule="auto"/>
        <w:ind w:firstLine="420" w:firstLineChars="200"/>
        <w:rPr>
          <w:sz w:val="21"/>
          <w:szCs w:val="21"/>
        </w:rPr>
      </w:pPr>
      <w:r>
        <w:rPr>
          <w:rFonts w:hint="eastAsia"/>
          <w:sz w:val="21"/>
          <w:szCs w:val="21"/>
        </w:rPr>
        <w:t>21.4磋商小组在对供应商进行资格性审查时，将对供应商企业股东及出资等信息进行查询。根据</w:t>
      </w:r>
    </w:p>
    <w:p w14:paraId="793689A7">
      <w:pPr>
        <w:spacing w:line="360" w:lineRule="auto"/>
        <w:ind w:firstLine="420" w:firstLineChars="200"/>
        <w:rPr>
          <w:sz w:val="21"/>
          <w:szCs w:val="21"/>
        </w:rPr>
      </w:pPr>
      <w:r>
        <w:rPr>
          <w:rFonts w:hint="eastAsia"/>
          <w:sz w:val="21"/>
          <w:szCs w:val="21"/>
        </w:rPr>
        <w:t>《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39A451EF">
      <w:pPr>
        <w:spacing w:line="360" w:lineRule="auto"/>
        <w:ind w:firstLine="420" w:firstLineChars="200"/>
        <w:rPr>
          <w:sz w:val="21"/>
          <w:szCs w:val="21"/>
        </w:rPr>
      </w:pPr>
      <w:r>
        <w:rPr>
          <w:rFonts w:hint="eastAsia"/>
          <w:sz w:val="21"/>
          <w:szCs w:val="21"/>
        </w:rPr>
        <w:t>21.4.1查询渠道：《国家企业信用信息公示系统》（网址：</w:t>
      </w:r>
      <w:r>
        <w:fldChar w:fldCharType="begin"/>
      </w:r>
      <w:r>
        <w:instrText xml:space="preserve"> HYPERLINK "http://www.gsxt.gov.cn/index.html" \h </w:instrText>
      </w:r>
      <w:r>
        <w:fldChar w:fldCharType="separate"/>
      </w:r>
      <w:r>
        <w:rPr>
          <w:rFonts w:hint="eastAsia"/>
          <w:sz w:val="21"/>
          <w:szCs w:val="21"/>
        </w:rPr>
        <w:t>www.gsxt.gov.cn/index.html</w:t>
      </w:r>
      <w:r>
        <w:rPr>
          <w:rFonts w:hint="eastAsia"/>
          <w:sz w:val="21"/>
          <w:szCs w:val="21"/>
        </w:rPr>
        <w:fldChar w:fldCharType="end"/>
      </w:r>
      <w:r>
        <w:rPr>
          <w:rFonts w:hint="eastAsia"/>
          <w:sz w:val="21"/>
          <w:szCs w:val="21"/>
        </w:rPr>
        <w:t>）</w:t>
      </w:r>
    </w:p>
    <w:p w14:paraId="50476852">
      <w:pPr>
        <w:spacing w:line="360" w:lineRule="auto"/>
        <w:ind w:firstLine="420" w:firstLineChars="200"/>
        <w:rPr>
          <w:sz w:val="21"/>
          <w:szCs w:val="21"/>
        </w:rPr>
      </w:pPr>
      <w:r>
        <w:rPr>
          <w:rFonts w:hint="eastAsia"/>
          <w:sz w:val="21"/>
          <w:szCs w:val="21"/>
        </w:rPr>
        <w:t>21.4.2审查流程：</w:t>
      </w:r>
    </w:p>
    <w:p w14:paraId="58F5D7CF">
      <w:pPr>
        <w:spacing w:line="360" w:lineRule="auto"/>
        <w:ind w:firstLine="420" w:firstLineChars="200"/>
        <w:rPr>
          <w:sz w:val="21"/>
          <w:szCs w:val="21"/>
        </w:rPr>
      </w:pPr>
      <w:r>
        <w:rPr>
          <w:rFonts w:hint="eastAsia"/>
          <w:sz w:val="21"/>
          <w:szCs w:val="21"/>
        </w:rPr>
        <w:t>（1）进入《国家企业信用信息公示系统》（网址：</w:t>
      </w:r>
      <w:r>
        <w:fldChar w:fldCharType="begin"/>
      </w:r>
      <w:r>
        <w:instrText xml:space="preserve"> HYPERLINK "http://www.gsxt.gov.cn/index.html" \h </w:instrText>
      </w:r>
      <w:r>
        <w:fldChar w:fldCharType="separate"/>
      </w:r>
      <w:r>
        <w:rPr>
          <w:rFonts w:hint="eastAsia"/>
          <w:sz w:val="21"/>
          <w:szCs w:val="21"/>
        </w:rPr>
        <w:t>www.gsxt.gov.cn/index.html</w:t>
      </w:r>
      <w:r>
        <w:rPr>
          <w:rFonts w:hint="eastAsia"/>
          <w:sz w:val="21"/>
          <w:szCs w:val="21"/>
        </w:rPr>
        <w:fldChar w:fldCharType="end"/>
      </w:r>
      <w:r>
        <w:rPr>
          <w:rFonts w:hint="eastAsia"/>
          <w:sz w:val="21"/>
          <w:szCs w:val="21"/>
        </w:rPr>
        <w:t>），输入企业名称，进入企业信息主页面；</w:t>
      </w:r>
    </w:p>
    <w:p w14:paraId="56A65CAA">
      <w:pPr>
        <w:spacing w:line="360" w:lineRule="auto"/>
        <w:ind w:firstLine="420" w:firstLineChars="200"/>
        <w:rPr>
          <w:sz w:val="21"/>
          <w:szCs w:val="21"/>
        </w:rPr>
      </w:pPr>
      <w:r>
        <w:rPr>
          <w:rFonts w:hint="eastAsia"/>
          <w:sz w:val="21"/>
          <w:szCs w:val="21"/>
        </w:rPr>
        <w:t>（2）查看主页“股东及出资信息”栏，或年报中的“股东及出资信息”栏信息；</w:t>
      </w:r>
    </w:p>
    <w:p w14:paraId="53C4F7EF">
      <w:pPr>
        <w:spacing w:line="360" w:lineRule="auto"/>
        <w:ind w:firstLine="420" w:firstLineChars="200"/>
        <w:rPr>
          <w:sz w:val="21"/>
          <w:szCs w:val="21"/>
        </w:rPr>
      </w:pPr>
      <w:r>
        <w:rPr>
          <w:rFonts w:hint="eastAsia"/>
          <w:sz w:val="21"/>
          <w:szCs w:val="21"/>
        </w:rPr>
        <w:t>（3）将各供应商的股东及出资信息进行比对，得出审查结论；</w:t>
      </w:r>
    </w:p>
    <w:p w14:paraId="371A5F62">
      <w:pPr>
        <w:spacing w:line="360" w:lineRule="auto"/>
        <w:ind w:firstLine="420" w:firstLineChars="200"/>
        <w:rPr>
          <w:sz w:val="21"/>
          <w:szCs w:val="21"/>
        </w:rPr>
      </w:pPr>
      <w:r>
        <w:rPr>
          <w:rFonts w:hint="eastAsia"/>
          <w:sz w:val="21"/>
          <w:szCs w:val="21"/>
        </w:rPr>
        <w:t>（4）将相关资料作为评审资料打印存档。</w:t>
      </w:r>
    </w:p>
    <w:p w14:paraId="4A3B1344">
      <w:pPr>
        <w:spacing w:line="360" w:lineRule="auto"/>
        <w:ind w:firstLine="420" w:firstLineChars="200"/>
        <w:rPr>
          <w:sz w:val="21"/>
          <w:szCs w:val="21"/>
        </w:rPr>
      </w:pPr>
      <w:r>
        <w:rPr>
          <w:rFonts w:hint="eastAsia"/>
          <w:sz w:val="21"/>
          <w:szCs w:val="21"/>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593DDEFC">
      <w:pPr>
        <w:spacing w:line="360" w:lineRule="auto"/>
        <w:ind w:firstLine="420" w:firstLineChars="200"/>
        <w:rPr>
          <w:sz w:val="21"/>
          <w:szCs w:val="21"/>
        </w:rPr>
      </w:pPr>
      <w:r>
        <w:rPr>
          <w:rFonts w:hint="eastAsia"/>
          <w:sz w:val="21"/>
          <w:szCs w:val="21"/>
        </w:rPr>
        <w:t>21.5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通过“广西政府采购云平台”采用在线书面形式，并加盖公章（CA证书签章），或者由法定代表人（负责人）或其授权委托代理人个人CA证书签章（没有办理个人CA证书签章的可在响应文件中涉及到签字的位置手写签字后扫描或者拍照做成PDF的格式上传），供应商为自然人的，应当由本人个人CA证书签章（没有办理个人CA证书签章的可在响应文件中涉及到签字的位置手写签字后扫描或者拍照做成PDF的格式上传）并附身份证明。</w:t>
      </w:r>
    </w:p>
    <w:p w14:paraId="627BA0BB">
      <w:pPr>
        <w:spacing w:line="360" w:lineRule="auto"/>
        <w:ind w:firstLine="420" w:firstLineChars="200"/>
        <w:rPr>
          <w:sz w:val="21"/>
          <w:szCs w:val="21"/>
        </w:rPr>
      </w:pPr>
      <w:r>
        <w:rPr>
          <w:rFonts w:hint="eastAsia"/>
          <w:sz w:val="21"/>
          <w:szCs w:val="21"/>
        </w:rPr>
        <w:t>根据磋商文件规定的程序、评定成交的标准等事项与实质性响应竞争性磋商文件要求的供应商进行磋商。未实质性响应磋商文件的响应文件按无效处理，磋商小组应当告知有关供应商。</w:t>
      </w:r>
    </w:p>
    <w:p w14:paraId="547CB8F7">
      <w:pPr>
        <w:spacing w:line="360" w:lineRule="auto"/>
        <w:ind w:firstLine="420" w:firstLineChars="200"/>
        <w:rPr>
          <w:sz w:val="21"/>
          <w:szCs w:val="21"/>
        </w:rPr>
      </w:pPr>
      <w:r>
        <w:rPr>
          <w:rFonts w:hint="eastAsia"/>
          <w:sz w:val="21"/>
          <w:szCs w:val="21"/>
        </w:rPr>
        <w:t>磋商小组所有成员应当按已确定的磋商顺序集中与单一供应商分别进行磋商，并给予所有实质性响应竞争性磋商文件要求的供应商平等的磋商机会。</w:t>
      </w:r>
    </w:p>
    <w:p w14:paraId="715F3BFD">
      <w:pPr>
        <w:spacing w:line="360" w:lineRule="auto"/>
        <w:ind w:firstLine="420" w:firstLineChars="200"/>
        <w:rPr>
          <w:sz w:val="21"/>
          <w:szCs w:val="21"/>
        </w:rPr>
      </w:pPr>
      <w:r>
        <w:rPr>
          <w:rFonts w:hint="eastAsia"/>
          <w:sz w:val="21"/>
          <w:szCs w:val="21"/>
        </w:rPr>
        <w:t>磋商中，磋商小组不得透露与磋商有关的其他供应商的技术资料、价格和其他信息。</w:t>
      </w:r>
    </w:p>
    <w:p w14:paraId="64DFC93A">
      <w:pPr>
        <w:spacing w:line="360" w:lineRule="auto"/>
        <w:ind w:firstLine="420" w:firstLineChars="200"/>
        <w:rPr>
          <w:sz w:val="21"/>
          <w:szCs w:val="21"/>
        </w:rPr>
      </w:pPr>
      <w:r>
        <w:rPr>
          <w:rFonts w:hint="eastAsia"/>
          <w:sz w:val="21"/>
          <w:szCs w:val="21"/>
        </w:rPr>
        <w:t>采购代理机构（磋商小组）对磋商过程和重要磋商内容进行记录，磋商双方在记录上签字确认（或CA证书签章）。</w:t>
      </w:r>
    </w:p>
    <w:p w14:paraId="0354067B">
      <w:pPr>
        <w:pStyle w:val="12"/>
        <w:spacing w:line="360" w:lineRule="auto"/>
        <w:ind w:firstLine="420" w:firstLineChars="200"/>
        <w:rPr>
          <w:highlight w:val="none"/>
        </w:rPr>
      </w:pPr>
      <w:bookmarkStart w:id="23" w:name="OLE_LINK16"/>
      <w:bookmarkStart w:id="24" w:name="OLE_LINK15"/>
      <w:r>
        <w:rPr>
          <w:rFonts w:hint="eastAsia"/>
          <w:color w:val="auto"/>
          <w:highlight w:val="none"/>
        </w:rPr>
        <w:t>注</w:t>
      </w:r>
      <w:r>
        <w:rPr>
          <w:rFonts w:hint="eastAsia"/>
          <w:b/>
          <w:bCs/>
          <w:color w:val="auto"/>
          <w:highlight w:val="none"/>
        </w:rPr>
        <w:t>：供应商应保证提供的联系方式正确并保持畅通，以便评标过程中如需提供书面说明或澄清时，能及时联系到供应商，如在一个小时内未能联系到供应商，两个小时内其未能按要求提供书面说明或澄清，需提供的书面说明或澄清为实质性内容时，磋商小组应当将其作为无效投标处理。</w:t>
      </w:r>
    </w:p>
    <w:bookmarkEnd w:id="23"/>
    <w:bookmarkEnd w:id="24"/>
    <w:p w14:paraId="0F67ADBF">
      <w:pPr>
        <w:spacing w:line="360" w:lineRule="auto"/>
        <w:ind w:firstLine="420" w:firstLineChars="200"/>
        <w:rPr>
          <w:sz w:val="21"/>
          <w:szCs w:val="21"/>
        </w:rPr>
      </w:pPr>
      <w:r>
        <w:rPr>
          <w:rFonts w:hint="eastAsia"/>
          <w:sz w:val="21"/>
          <w:szCs w:val="21"/>
        </w:rPr>
        <w:t>21.6在磋商过程中，磋商小组可以根据磋商文件和磋商情况实质性变动项目需求中的技术、服务要求以及合同草案条款，但不得变动磋商文件中的其他内容。实质性变动的内容，须经采购人代表确认。</w:t>
      </w:r>
    </w:p>
    <w:p w14:paraId="27357FBC">
      <w:pPr>
        <w:spacing w:line="360" w:lineRule="auto"/>
        <w:ind w:firstLine="420" w:firstLineChars="200"/>
        <w:rPr>
          <w:sz w:val="21"/>
          <w:szCs w:val="21"/>
        </w:rPr>
      </w:pPr>
      <w:r>
        <w:rPr>
          <w:rFonts w:hint="eastAsia"/>
          <w:sz w:val="21"/>
          <w:szCs w:val="21"/>
        </w:rPr>
        <w:t>对磋商文件作出的实质性变动是磋商文件的有效组成部分，磋商小组应当及时通过“广西政府采购云平台”以书面形式同时通知所有参加磋商的供应商。</w:t>
      </w:r>
    </w:p>
    <w:p w14:paraId="56DA59E8">
      <w:pPr>
        <w:spacing w:line="360" w:lineRule="auto"/>
        <w:ind w:firstLine="420" w:firstLineChars="200"/>
        <w:rPr>
          <w:sz w:val="21"/>
          <w:szCs w:val="21"/>
        </w:rPr>
      </w:pPr>
      <w:r>
        <w:rPr>
          <w:rFonts w:hint="eastAsia"/>
          <w:sz w:val="21"/>
          <w:szCs w:val="21"/>
        </w:rPr>
        <w:t>供应商必须按照磋商文件的变动情况和磋商小组的要求重新提交响应文件，并由其法定代表人(负责人、自然人)或相应的授权委托代表个人CA证书签章（没有办理个人CA证书签章的可在响应文件中涉及到签字的位置手写签字后扫描或者拍照做成PDF的格式上传）或者加盖供应商公章（CA证书签章）。逾时不交的，视同放弃磋商。</w:t>
      </w:r>
    </w:p>
    <w:p w14:paraId="423DCC81">
      <w:pPr>
        <w:spacing w:line="360" w:lineRule="auto"/>
        <w:ind w:firstLine="420" w:firstLineChars="200"/>
        <w:rPr>
          <w:sz w:val="21"/>
          <w:szCs w:val="21"/>
        </w:rPr>
      </w:pPr>
      <w:r>
        <w:rPr>
          <w:rFonts w:hint="eastAsia"/>
          <w:sz w:val="21"/>
          <w:szCs w:val="21"/>
        </w:rPr>
        <w:t>21.7最后报价</w:t>
      </w:r>
    </w:p>
    <w:p w14:paraId="77E0F583">
      <w:pPr>
        <w:spacing w:line="360" w:lineRule="auto"/>
        <w:ind w:firstLine="420" w:firstLineChars="200"/>
        <w:rPr>
          <w:sz w:val="21"/>
          <w:szCs w:val="21"/>
        </w:rPr>
      </w:pPr>
      <w:r>
        <w:rPr>
          <w:rFonts w:hint="eastAsia"/>
          <w:sz w:val="21"/>
          <w:szCs w:val="21"/>
        </w:rPr>
        <w:t>21.7.1磋商文件能够详细列明采购标的的技术、服务要求的，磋商结束后，磋商小组应当要求所有继续参加磋商的供应商在规定时间内通过“广西政府采购云平台”在线提交最后报价，提交最后报价的供应商不得少于3家；磋商文件不能详细列明采购标的的技术、服务要求的，需由磋商供应商提供最终方案或解决方案的，磋商结束后，磋商小组应当按照少数服从多数的原则投票推荐3家以上（含3家）供应商的最终方案或者解决方案，并要求其在规定时间内通过“广西政府采购云平台”在线提交最后报价。</w:t>
      </w:r>
    </w:p>
    <w:p w14:paraId="4E8013E7">
      <w:pPr>
        <w:spacing w:line="360" w:lineRule="auto"/>
        <w:ind w:firstLine="420" w:firstLineChars="200"/>
        <w:rPr>
          <w:sz w:val="21"/>
          <w:szCs w:val="21"/>
        </w:rPr>
      </w:pPr>
      <w:r>
        <w:rPr>
          <w:rFonts w:hint="eastAsia"/>
          <w:sz w:val="21"/>
          <w:szCs w:val="21"/>
        </w:rPr>
        <w:t>21.7.2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通过“广西政府采购云平台”在线提交最后报价；采购过程中符合要求的供应商（社会资本）只有1家的，采购人或者采购代理机构应当终止竞争性磋商采购活动，发布项目终止公告并说明原因，重新开展采购活动。</w:t>
      </w:r>
    </w:p>
    <w:p w14:paraId="7A55043C">
      <w:pPr>
        <w:spacing w:line="360" w:lineRule="auto"/>
        <w:ind w:firstLine="420" w:firstLineChars="200"/>
        <w:rPr>
          <w:sz w:val="21"/>
          <w:szCs w:val="21"/>
        </w:rPr>
      </w:pPr>
      <w:r>
        <w:rPr>
          <w:rFonts w:hint="eastAsia"/>
          <w:sz w:val="21"/>
          <w:szCs w:val="21"/>
        </w:rPr>
        <w:t>21.7.3最后报价是供应商响应文件的有效组成部分。</w:t>
      </w:r>
    </w:p>
    <w:p w14:paraId="58C6D819">
      <w:pPr>
        <w:spacing w:line="360" w:lineRule="auto"/>
        <w:ind w:firstLine="420" w:firstLineChars="200"/>
        <w:rPr>
          <w:sz w:val="21"/>
          <w:szCs w:val="21"/>
        </w:rPr>
      </w:pPr>
      <w:r>
        <w:rPr>
          <w:rFonts w:hint="eastAsia"/>
          <w:sz w:val="21"/>
          <w:szCs w:val="21"/>
        </w:rPr>
        <w:t>21.8已提交响应文件的供应商，在提交最后报价之前，可以根据磋商情况书面退出磋商。</w:t>
      </w:r>
    </w:p>
    <w:p w14:paraId="5066B1B1">
      <w:pPr>
        <w:spacing w:line="360" w:lineRule="auto"/>
        <w:ind w:firstLine="420" w:firstLineChars="200"/>
        <w:rPr>
          <w:sz w:val="21"/>
          <w:szCs w:val="21"/>
        </w:rPr>
      </w:pPr>
      <w:r>
        <w:rPr>
          <w:rFonts w:hint="eastAsia"/>
          <w:sz w:val="21"/>
          <w:szCs w:val="21"/>
        </w:rPr>
        <w:t>未书面退出磋商的供应商必须在规定时间内通过“广西政府采购云平台”在线提交最后报价；磋商过程中磋商文件未作实质性变动的，最后报价不得大于首次报价。</w:t>
      </w:r>
    </w:p>
    <w:p w14:paraId="4D342F3B">
      <w:pPr>
        <w:spacing w:line="360" w:lineRule="auto"/>
        <w:ind w:firstLine="420" w:firstLineChars="200"/>
        <w:rPr>
          <w:sz w:val="21"/>
          <w:szCs w:val="21"/>
        </w:rPr>
      </w:pPr>
      <w:r>
        <w:rPr>
          <w:rFonts w:hint="eastAsia"/>
          <w:sz w:val="21"/>
          <w:szCs w:val="21"/>
        </w:rPr>
        <w:t>21.9综合比较与评价：</w:t>
      </w:r>
    </w:p>
    <w:p w14:paraId="258A8406">
      <w:pPr>
        <w:spacing w:line="360" w:lineRule="auto"/>
        <w:ind w:firstLine="420" w:firstLineChars="200"/>
        <w:rPr>
          <w:sz w:val="21"/>
          <w:szCs w:val="21"/>
        </w:rPr>
      </w:pPr>
      <w:r>
        <w:rPr>
          <w:rFonts w:hint="eastAsia"/>
          <w:sz w:val="21"/>
          <w:szCs w:val="21"/>
        </w:rPr>
        <w:t>21.9.1磋商小组按竞争性磋商文件中规定的评审办法，对资格性审查和符合性审查合格的响应文件进行商务和技术评估，综合比较与评价。</w:t>
      </w:r>
    </w:p>
    <w:p w14:paraId="0BEAAA84">
      <w:pPr>
        <w:spacing w:line="360" w:lineRule="auto"/>
        <w:ind w:firstLine="420" w:firstLineChars="200"/>
        <w:rPr>
          <w:sz w:val="21"/>
          <w:szCs w:val="21"/>
        </w:rPr>
      </w:pPr>
      <w:r>
        <w:rPr>
          <w:rFonts w:hint="eastAsia"/>
          <w:sz w:val="21"/>
          <w:szCs w:val="21"/>
        </w:rPr>
        <w:t>21.9.2磋商小组成员应当独立对每个供应商的响应文件进行评价，最终汇总每个供应商的得分。各供应商的得分为所有磋商小组的有效评分的算术平均数。</w:t>
      </w:r>
    </w:p>
    <w:p w14:paraId="29798FD0">
      <w:pPr>
        <w:spacing w:line="360" w:lineRule="auto"/>
        <w:ind w:firstLine="420" w:firstLineChars="200"/>
        <w:rPr>
          <w:sz w:val="21"/>
          <w:szCs w:val="21"/>
        </w:rPr>
      </w:pPr>
      <w:r>
        <w:rPr>
          <w:rFonts w:hint="eastAsia"/>
          <w:sz w:val="21"/>
          <w:szCs w:val="21"/>
        </w:rPr>
        <w:t>21.9.3采购代理机构对评审数据进行校对、核对，对畸高、畸低的重大差异评分提示磋商小组复核或书面说明理由。</w:t>
      </w:r>
    </w:p>
    <w:p w14:paraId="4984B020">
      <w:pPr>
        <w:spacing w:line="360" w:lineRule="auto"/>
        <w:ind w:firstLine="420" w:firstLineChars="200"/>
        <w:rPr>
          <w:sz w:val="21"/>
          <w:szCs w:val="21"/>
        </w:rPr>
      </w:pPr>
      <w:r>
        <w:rPr>
          <w:rFonts w:hint="eastAsia"/>
          <w:sz w:val="21"/>
          <w:szCs w:val="21"/>
        </w:rPr>
        <w:t>21.10在评审过程中出现法律法规和磋商文件均没有明确规定的情形时，由磋商小组现场协商解决，协商不一致的，由全体磋商小组投票表决，以得票率二分之一以上专家的意见为准。</w:t>
      </w:r>
    </w:p>
    <w:p w14:paraId="4D19CFFE">
      <w:pPr>
        <w:spacing w:line="360" w:lineRule="auto"/>
        <w:ind w:firstLine="420" w:firstLineChars="200"/>
        <w:rPr>
          <w:sz w:val="21"/>
          <w:szCs w:val="21"/>
        </w:rPr>
      </w:pPr>
      <w:r>
        <w:rPr>
          <w:rFonts w:hint="eastAsia"/>
          <w:sz w:val="21"/>
          <w:szCs w:val="21"/>
        </w:rPr>
        <w:t>21.11采购代理机构发现磋商小组有明显的违规倾向或歧视现象，或不按评审办法进行，或其他不</w:t>
      </w:r>
    </w:p>
    <w:p w14:paraId="13480F0A">
      <w:pPr>
        <w:spacing w:line="360" w:lineRule="auto"/>
        <w:ind w:firstLine="420" w:firstLineChars="200"/>
        <w:rPr>
          <w:sz w:val="21"/>
          <w:szCs w:val="21"/>
        </w:rPr>
      </w:pPr>
      <w:r>
        <w:rPr>
          <w:rFonts w:hint="eastAsia"/>
          <w:sz w:val="21"/>
          <w:szCs w:val="21"/>
        </w:rPr>
        <w:t>正常行为的，应当及时制止。如制止无效，应及时向行政监督管理机构报告。</w:t>
      </w:r>
    </w:p>
    <w:p w14:paraId="05E13F49">
      <w:pPr>
        <w:spacing w:line="360" w:lineRule="auto"/>
        <w:ind w:firstLine="422" w:firstLineChars="200"/>
        <w:rPr>
          <w:b/>
          <w:bCs/>
          <w:sz w:val="21"/>
          <w:szCs w:val="21"/>
        </w:rPr>
      </w:pPr>
      <w:r>
        <w:rPr>
          <w:rFonts w:hint="eastAsia"/>
          <w:b/>
          <w:bCs/>
          <w:sz w:val="21"/>
          <w:szCs w:val="21"/>
        </w:rPr>
        <w:t>22.推荐及确定成交候选供应商原则</w:t>
      </w:r>
    </w:p>
    <w:p w14:paraId="0C69603F">
      <w:pPr>
        <w:spacing w:line="360" w:lineRule="auto"/>
        <w:ind w:firstLine="420" w:firstLineChars="200"/>
        <w:rPr>
          <w:sz w:val="21"/>
          <w:szCs w:val="21"/>
        </w:rPr>
      </w:pPr>
      <w:r>
        <w:rPr>
          <w:rFonts w:hint="eastAsia"/>
          <w:sz w:val="21"/>
          <w:szCs w:val="21"/>
        </w:rPr>
        <w:t>（1）磋商小组应当根据综合得分情况，按照综合得分由高到低顺序推荐三名成交候选供应商，并编写评审报告。磋商小组根据综合得分由高到低排列次序；综合评分相等时，以最后一次报价低的优先；投标报价也相等的，采购人可采用被招标项目所在地省级交通主管部门评为较高信用等级的</w:t>
      </w:r>
      <w:r>
        <w:rPr>
          <w:rFonts w:hint="eastAsia"/>
          <w:sz w:val="21"/>
          <w:szCs w:val="21"/>
          <w:lang w:eastAsia="zh-CN"/>
        </w:rPr>
        <w:t>供应商</w:t>
      </w:r>
      <w:r>
        <w:rPr>
          <w:rFonts w:hint="eastAsia"/>
          <w:sz w:val="21"/>
          <w:szCs w:val="21"/>
        </w:rPr>
        <w:t>优先或其他方法确定第一中标候选人。</w:t>
      </w:r>
    </w:p>
    <w:p w14:paraId="0F652D08">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b w:val="0"/>
          <w:bCs w:val="0"/>
          <w:sz w:val="21"/>
          <w:szCs w:val="21"/>
          <w:highlight w:val="none"/>
        </w:rPr>
      </w:pPr>
      <w:r>
        <w:rPr>
          <w:rFonts w:hint="eastAsia"/>
          <w:b w:val="0"/>
          <w:bCs w:val="0"/>
          <w:sz w:val="21"/>
          <w:szCs w:val="21"/>
          <w:highlight w:val="none"/>
        </w:rPr>
        <w:t>（2</w:t>
      </w:r>
      <w:r>
        <w:rPr>
          <w:rFonts w:hint="eastAsia"/>
          <w:b w:val="0"/>
          <w:bCs w:val="0"/>
          <w:color w:val="auto"/>
          <w:sz w:val="21"/>
          <w:szCs w:val="21"/>
          <w:highlight w:val="none"/>
        </w:rPr>
        <w:t>）</w:t>
      </w:r>
      <w:bookmarkStart w:id="25" w:name="OLE_LINK24"/>
      <w:r>
        <w:rPr>
          <w:rFonts w:hint="eastAsia"/>
          <w:b w:val="0"/>
          <w:bCs w:val="0"/>
          <w:color w:val="auto"/>
          <w:sz w:val="21"/>
          <w:szCs w:val="21"/>
          <w:highlight w:val="none"/>
        </w:rPr>
        <w:t>本项目确定一名成交供应商。由采购人依法确定成交供应商</w:t>
      </w:r>
      <w:bookmarkEnd w:id="25"/>
      <w:r>
        <w:rPr>
          <w:rFonts w:hint="eastAsia" w:ascii="宋体" w:hAnsi="宋体" w:eastAsia="宋体" w:cs="宋体"/>
          <w:b w:val="0"/>
          <w:bCs w:val="0"/>
          <w:color w:val="auto"/>
          <w:sz w:val="21"/>
          <w:szCs w:val="21"/>
          <w:highlight w:val="none"/>
        </w:rPr>
        <w:t>。</w:t>
      </w:r>
    </w:p>
    <w:p w14:paraId="43769E25">
      <w:pPr>
        <w:spacing w:line="360" w:lineRule="auto"/>
        <w:ind w:firstLine="420" w:firstLineChars="200"/>
        <w:rPr>
          <w:sz w:val="21"/>
          <w:szCs w:val="21"/>
        </w:rPr>
      </w:pPr>
      <w:r>
        <w:rPr>
          <w:rFonts w:hint="eastAsia"/>
          <w:sz w:val="21"/>
          <w:szCs w:val="21"/>
        </w:rPr>
        <w:t>（3）排名第一的成交候选供应商放弃成交、因不可抗力提出不能履行合同，或者竞争性磋商采购文件规定应当提交履约保证金而在规定的期限内未能提交的，采购人可以按照评审报告推荐的成交候选供应商名单排序，确定下一候选供应商为成交供应商，也可以重新开展政府采购活动。</w:t>
      </w:r>
    </w:p>
    <w:p w14:paraId="57AFD7F4">
      <w:pPr>
        <w:spacing w:line="360" w:lineRule="auto"/>
        <w:ind w:firstLine="420" w:firstLineChars="200"/>
        <w:rPr>
          <w:sz w:val="21"/>
          <w:szCs w:val="21"/>
        </w:rPr>
      </w:pPr>
      <w:r>
        <w:rPr>
          <w:rFonts w:hint="eastAsia"/>
          <w:sz w:val="21"/>
          <w:szCs w:val="21"/>
        </w:rPr>
        <w:t>（4）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p w14:paraId="1E1F9E2A">
      <w:pPr>
        <w:spacing w:line="360" w:lineRule="auto"/>
        <w:ind w:firstLine="422" w:firstLineChars="200"/>
        <w:rPr>
          <w:b/>
          <w:bCs/>
          <w:sz w:val="21"/>
          <w:szCs w:val="21"/>
        </w:rPr>
      </w:pPr>
      <w:r>
        <w:rPr>
          <w:rFonts w:hint="eastAsia"/>
          <w:b/>
          <w:bCs/>
          <w:sz w:val="21"/>
          <w:szCs w:val="21"/>
        </w:rPr>
        <w:t>23.属于下列情况之一者，响应文件无效：</w:t>
      </w:r>
    </w:p>
    <w:p w14:paraId="6FA55941">
      <w:pPr>
        <w:spacing w:line="360" w:lineRule="auto"/>
        <w:ind w:firstLine="420" w:firstLineChars="200"/>
        <w:rPr>
          <w:sz w:val="21"/>
          <w:szCs w:val="21"/>
        </w:rPr>
      </w:pPr>
      <w:bookmarkStart w:id="26" w:name="（1）未按磋商文件规定完整提交响应文件或未按规定要求签字、签章的，或未提供授权委"/>
      <w:bookmarkEnd w:id="26"/>
      <w:r>
        <w:rPr>
          <w:rFonts w:hint="eastAsia"/>
          <w:sz w:val="21"/>
          <w:szCs w:val="21"/>
        </w:rPr>
        <w:t>（1）未按磋商文件规定完整提交响应文件或未按规定要求签字、签章的，或未提供授权委托书（委托代理的）；</w:t>
      </w:r>
    </w:p>
    <w:p w14:paraId="6C5EACE7">
      <w:pPr>
        <w:spacing w:line="360" w:lineRule="auto"/>
        <w:ind w:firstLine="420" w:firstLineChars="200"/>
        <w:rPr>
          <w:sz w:val="21"/>
          <w:szCs w:val="21"/>
        </w:rPr>
      </w:pPr>
      <w:bookmarkStart w:id="27" w:name="（2）不具备磋商文件规定的资格要求的；"/>
      <w:bookmarkEnd w:id="27"/>
      <w:r>
        <w:rPr>
          <w:rFonts w:hint="eastAsia"/>
          <w:sz w:val="21"/>
          <w:szCs w:val="21"/>
        </w:rPr>
        <w:t>（2）不具备磋商文件规定的资格要求的；</w:t>
      </w:r>
    </w:p>
    <w:p w14:paraId="7CEF0345">
      <w:pPr>
        <w:spacing w:line="360" w:lineRule="auto"/>
        <w:ind w:firstLine="420" w:firstLineChars="200"/>
        <w:rPr>
          <w:sz w:val="21"/>
          <w:szCs w:val="21"/>
        </w:rPr>
      </w:pPr>
      <w:bookmarkStart w:id="28" w:name="（3）响应文件未按磋商文件的内容和要求编制，或提供虚假材料的；"/>
      <w:bookmarkEnd w:id="28"/>
      <w:r>
        <w:rPr>
          <w:rFonts w:hint="eastAsia"/>
          <w:sz w:val="21"/>
          <w:szCs w:val="21"/>
        </w:rPr>
        <w:t>（3）响应文件未按磋商文件的内容和要求编制，或提供虚假材料的；</w:t>
      </w:r>
    </w:p>
    <w:p w14:paraId="76E11337">
      <w:pPr>
        <w:spacing w:line="360" w:lineRule="auto"/>
        <w:ind w:firstLine="420" w:firstLineChars="200"/>
        <w:rPr>
          <w:sz w:val="21"/>
          <w:szCs w:val="21"/>
        </w:rPr>
      </w:pPr>
      <w:bookmarkStart w:id="29" w:name="（4）属于“必须提供”的响应文件未能按时提供或补正、更正的；"/>
      <w:bookmarkEnd w:id="29"/>
      <w:r>
        <w:rPr>
          <w:rFonts w:hint="eastAsia"/>
          <w:sz w:val="21"/>
          <w:szCs w:val="21"/>
        </w:rPr>
        <w:t>（4）属于“必须提供”的响应文件未能按时提供或补正、更正的；</w:t>
      </w:r>
    </w:p>
    <w:p w14:paraId="76EC0EC6">
      <w:pPr>
        <w:spacing w:line="360" w:lineRule="auto"/>
        <w:ind w:firstLine="420" w:firstLineChars="200"/>
        <w:rPr>
          <w:sz w:val="21"/>
          <w:szCs w:val="21"/>
        </w:rPr>
      </w:pPr>
      <w:bookmarkStart w:id="30" w:name="（5）响应文件有效期、服务期限、服务承诺不能满足磋商文件要求的；"/>
      <w:bookmarkEnd w:id="30"/>
      <w:r>
        <w:rPr>
          <w:rFonts w:hint="eastAsia"/>
          <w:sz w:val="21"/>
          <w:szCs w:val="21"/>
        </w:rPr>
        <w:t>（5）响应文件有效期、服务期限、服务承诺不能满足磋商文件要求的；</w:t>
      </w:r>
    </w:p>
    <w:p w14:paraId="2CBE57A6">
      <w:pPr>
        <w:spacing w:line="360" w:lineRule="auto"/>
        <w:ind w:firstLine="420" w:firstLineChars="200"/>
        <w:rPr>
          <w:sz w:val="21"/>
          <w:szCs w:val="21"/>
        </w:rPr>
      </w:pPr>
      <w:bookmarkStart w:id="31" w:name="（6）供应商未就“项目需求”中的所有服务内容作完整唯一报价的；或报价超出相应分标"/>
      <w:bookmarkEnd w:id="31"/>
      <w:r>
        <w:rPr>
          <w:rFonts w:hint="eastAsia"/>
          <w:sz w:val="21"/>
          <w:szCs w:val="21"/>
        </w:rPr>
        <w:t>（6）供应商未就“项目需求”中的所有服务内容作完整唯一报价的；或报价超出相应分标采购预算总金额的；</w:t>
      </w:r>
    </w:p>
    <w:p w14:paraId="016D0558">
      <w:pPr>
        <w:spacing w:line="360" w:lineRule="auto"/>
        <w:ind w:firstLine="420" w:firstLineChars="200"/>
        <w:rPr>
          <w:sz w:val="21"/>
          <w:szCs w:val="21"/>
        </w:rPr>
      </w:pPr>
      <w:bookmarkStart w:id="32" w:name="（7）未在磋商小组规定的时间内重新提交响应文件（包括最后报价）的；"/>
      <w:bookmarkEnd w:id="32"/>
      <w:r>
        <w:rPr>
          <w:rFonts w:hint="eastAsia"/>
          <w:sz w:val="21"/>
          <w:szCs w:val="21"/>
        </w:rPr>
        <w:t>（7）未在磋商小组规定的时间内重新提交响应文件（包括最后报价）的；</w:t>
      </w:r>
    </w:p>
    <w:p w14:paraId="7252C964">
      <w:pPr>
        <w:spacing w:line="360" w:lineRule="auto"/>
        <w:ind w:firstLine="420" w:firstLineChars="200"/>
        <w:rPr>
          <w:sz w:val="21"/>
          <w:szCs w:val="21"/>
        </w:rPr>
      </w:pPr>
      <w:bookmarkStart w:id="33" w:name="（8）未满足磋商文件实质性要求的；或者响应文件有采购人不能接受的附加条件的；"/>
      <w:bookmarkEnd w:id="33"/>
      <w:r>
        <w:rPr>
          <w:rFonts w:hint="eastAsia"/>
          <w:sz w:val="21"/>
          <w:szCs w:val="21"/>
        </w:rPr>
        <w:t>（8）未满足磋商文件实质性要求的；或者响应文件有采购人不能接受的附加条件的；</w:t>
      </w:r>
    </w:p>
    <w:p w14:paraId="1BCF4874">
      <w:pPr>
        <w:spacing w:line="360" w:lineRule="auto"/>
        <w:ind w:firstLine="420" w:firstLineChars="200"/>
        <w:rPr>
          <w:sz w:val="21"/>
          <w:szCs w:val="21"/>
        </w:rPr>
      </w:pPr>
      <w:r>
        <w:rPr>
          <w:rFonts w:hint="eastAsia"/>
          <w:sz w:val="21"/>
          <w:szCs w:val="21"/>
        </w:rPr>
        <w:t>（9）不符合法律、法规和磋商文件规定的其他实质性要求和条件的。</w:t>
      </w:r>
    </w:p>
    <w:p w14:paraId="4CD2D598">
      <w:pPr>
        <w:spacing w:line="360" w:lineRule="auto"/>
        <w:ind w:firstLine="422" w:firstLineChars="200"/>
        <w:rPr>
          <w:b/>
          <w:bCs/>
          <w:sz w:val="21"/>
          <w:szCs w:val="21"/>
        </w:rPr>
      </w:pPr>
      <w:bookmarkStart w:id="34" w:name="供应商有下列情形之一的，视为串通参与磋商，响应文件将被视为无效："/>
      <w:bookmarkEnd w:id="34"/>
      <w:r>
        <w:rPr>
          <w:rFonts w:hint="eastAsia"/>
          <w:b/>
          <w:bCs/>
          <w:sz w:val="21"/>
          <w:szCs w:val="21"/>
        </w:rPr>
        <w:t>供应商有下列情形之一的，视为串通参与磋商，响应文件将被视为无效：</w:t>
      </w:r>
    </w:p>
    <w:p w14:paraId="44EE8310">
      <w:pPr>
        <w:spacing w:line="360" w:lineRule="auto"/>
        <w:ind w:firstLine="420" w:firstLineChars="200"/>
        <w:rPr>
          <w:sz w:val="21"/>
          <w:szCs w:val="21"/>
        </w:rPr>
      </w:pPr>
      <w:bookmarkStart w:id="35" w:name="（1）不同供应商的响应文件由同一单位或者个人编制的；"/>
      <w:bookmarkEnd w:id="35"/>
      <w:r>
        <w:rPr>
          <w:rFonts w:hint="eastAsia"/>
          <w:sz w:val="21"/>
          <w:szCs w:val="21"/>
        </w:rPr>
        <w:t>（1）不同供应商的响应文件由同一单位或者个人编制的；</w:t>
      </w:r>
    </w:p>
    <w:p w14:paraId="2BF25671">
      <w:pPr>
        <w:spacing w:line="360" w:lineRule="auto"/>
        <w:ind w:firstLine="420" w:firstLineChars="200"/>
        <w:rPr>
          <w:sz w:val="21"/>
          <w:szCs w:val="21"/>
        </w:rPr>
      </w:pPr>
      <w:bookmarkStart w:id="36" w:name="（2）不同供应商委托同一单位或者个人办理磋商事宜的；"/>
      <w:bookmarkEnd w:id="36"/>
      <w:r>
        <w:rPr>
          <w:rFonts w:hint="eastAsia"/>
          <w:sz w:val="21"/>
          <w:szCs w:val="21"/>
        </w:rPr>
        <w:t>（2）不同供应商委托同一单位或者个人办理磋商事宜的；</w:t>
      </w:r>
    </w:p>
    <w:p w14:paraId="201B1FCC">
      <w:pPr>
        <w:spacing w:line="360" w:lineRule="auto"/>
        <w:ind w:firstLine="420" w:firstLineChars="200"/>
        <w:rPr>
          <w:sz w:val="21"/>
          <w:szCs w:val="21"/>
        </w:rPr>
      </w:pPr>
      <w:bookmarkStart w:id="37" w:name="（3）不同的供应商的响应文件载明的项目管理员为同一个人的；"/>
      <w:bookmarkEnd w:id="37"/>
      <w:r>
        <w:rPr>
          <w:rFonts w:hint="eastAsia"/>
          <w:sz w:val="21"/>
          <w:szCs w:val="21"/>
        </w:rPr>
        <w:t>（3）不同的供应商的响应文件载明的项目管理员为同一个人的；</w:t>
      </w:r>
    </w:p>
    <w:p w14:paraId="76117935">
      <w:pPr>
        <w:spacing w:line="360" w:lineRule="auto"/>
        <w:ind w:firstLine="420" w:firstLineChars="200"/>
        <w:rPr>
          <w:sz w:val="21"/>
          <w:szCs w:val="21"/>
        </w:rPr>
      </w:pPr>
      <w:bookmarkStart w:id="38" w:name="（4）不同供应商的响应文件异常一致或最后报价呈规律性差异的；_"/>
      <w:bookmarkEnd w:id="38"/>
      <w:r>
        <w:rPr>
          <w:rFonts w:hint="eastAsia"/>
          <w:sz w:val="21"/>
          <w:szCs w:val="21"/>
        </w:rPr>
        <w:t>（4）不同供应商的响应文件异常一致或最后报价呈规律性差异的；</w:t>
      </w:r>
    </w:p>
    <w:p w14:paraId="452CE8DA">
      <w:pPr>
        <w:spacing w:line="360" w:lineRule="auto"/>
        <w:ind w:firstLine="420" w:firstLineChars="200"/>
        <w:rPr>
          <w:sz w:val="21"/>
          <w:szCs w:val="21"/>
        </w:rPr>
      </w:pPr>
      <w:bookmarkStart w:id="39" w:name="（5）不同供应商的响应文件相互混装的；"/>
      <w:bookmarkEnd w:id="39"/>
      <w:r>
        <w:rPr>
          <w:rFonts w:hint="eastAsia"/>
          <w:sz w:val="21"/>
          <w:szCs w:val="21"/>
        </w:rPr>
        <w:t>（5）不同供应商的响应文件相互混装的；</w:t>
      </w:r>
    </w:p>
    <w:p w14:paraId="08056FC8">
      <w:pPr>
        <w:spacing w:line="360" w:lineRule="auto"/>
        <w:ind w:firstLine="420" w:firstLineChars="200"/>
        <w:rPr>
          <w:color w:val="auto"/>
          <w:highlight w:val="none"/>
        </w:rPr>
      </w:pPr>
      <w:r>
        <w:rPr>
          <w:rFonts w:hint="eastAsia"/>
          <w:color w:val="auto"/>
          <w:sz w:val="21"/>
          <w:szCs w:val="21"/>
          <w:highlight w:val="none"/>
        </w:rPr>
        <w:t>（6）不同的供应商上传响应文件的IP地址一致的；</w:t>
      </w:r>
    </w:p>
    <w:p w14:paraId="5C97CBFA">
      <w:pPr>
        <w:spacing w:line="360" w:lineRule="auto"/>
        <w:ind w:firstLine="420" w:firstLineChars="200"/>
        <w:rPr>
          <w:sz w:val="21"/>
          <w:szCs w:val="21"/>
        </w:rPr>
      </w:pPr>
      <w:bookmarkStart w:id="40" w:name="（6）磋商文件未作实质性变动，供应商最后报价高于首次报价的。"/>
      <w:bookmarkEnd w:id="40"/>
      <w:r>
        <w:rPr>
          <w:rFonts w:hint="eastAsia"/>
          <w:sz w:val="21"/>
          <w:szCs w:val="21"/>
        </w:rPr>
        <w:t>（7）磋商文件未作实质性变动，供应商最后报价高于首次报价的。</w:t>
      </w:r>
    </w:p>
    <w:p w14:paraId="68041132">
      <w:pPr>
        <w:spacing w:line="360" w:lineRule="auto"/>
        <w:ind w:firstLine="422" w:firstLineChars="200"/>
        <w:rPr>
          <w:b/>
          <w:bCs/>
          <w:sz w:val="21"/>
          <w:szCs w:val="21"/>
        </w:rPr>
      </w:pPr>
      <w:bookmarkStart w:id="41" w:name="23.出现下列情形之一的，采购人或者采购代理机构应当终止竞争性磋商采购活动，发布"/>
      <w:bookmarkEnd w:id="41"/>
      <w:r>
        <w:rPr>
          <w:rFonts w:hint="eastAsia"/>
          <w:b/>
          <w:bCs/>
          <w:sz w:val="21"/>
          <w:szCs w:val="21"/>
        </w:rPr>
        <w:t>24.出现下列情形之一的，采购人或者采购代理机构应当终止竞争性磋商采购活动，发布项目终止公告并说明原因，重新开展采购活动：</w:t>
      </w:r>
    </w:p>
    <w:p w14:paraId="5C17373C">
      <w:pPr>
        <w:spacing w:line="360" w:lineRule="auto"/>
        <w:ind w:firstLine="420" w:firstLineChars="200"/>
        <w:rPr>
          <w:sz w:val="21"/>
          <w:szCs w:val="21"/>
        </w:rPr>
      </w:pPr>
      <w:bookmarkStart w:id="42" w:name="（1）因情况变化，不再符合规定的竞争性磋商采购人式适用情形的；"/>
      <w:bookmarkEnd w:id="42"/>
      <w:r>
        <w:rPr>
          <w:rFonts w:hint="eastAsia"/>
          <w:sz w:val="21"/>
          <w:szCs w:val="21"/>
        </w:rPr>
        <w:t>（1）因情况变化，不再符合规定的竞争性磋商采购人式适用情形的；</w:t>
      </w:r>
    </w:p>
    <w:p w14:paraId="04081022">
      <w:pPr>
        <w:spacing w:line="360" w:lineRule="auto"/>
        <w:ind w:firstLine="420" w:firstLineChars="200"/>
        <w:rPr>
          <w:sz w:val="21"/>
          <w:szCs w:val="21"/>
        </w:rPr>
      </w:pPr>
      <w:bookmarkStart w:id="43" w:name="（2）出现影响采购公正的违法、违规行为的；"/>
      <w:bookmarkEnd w:id="43"/>
      <w:r>
        <w:rPr>
          <w:rFonts w:hint="eastAsia"/>
          <w:sz w:val="21"/>
          <w:szCs w:val="21"/>
        </w:rPr>
        <w:t>（2）出现影响采购公正的违法、违规行为的；</w:t>
      </w:r>
    </w:p>
    <w:p w14:paraId="39DE6FD9">
      <w:pPr>
        <w:spacing w:line="360" w:lineRule="auto"/>
        <w:ind w:firstLine="420" w:firstLineChars="200"/>
        <w:rPr>
          <w:sz w:val="21"/>
          <w:szCs w:val="21"/>
        </w:rPr>
      </w:pPr>
      <w:r>
        <w:rPr>
          <w:rFonts w:hint="eastAsia"/>
          <w:sz w:val="21"/>
          <w:szCs w:val="21"/>
        </w:rPr>
        <w:t>（3）除本须知第20.7.2条及法律法规规定的情形外，在采购过程中符合要求的供应商或者报价</w:t>
      </w:r>
    </w:p>
    <w:p w14:paraId="5DE16704">
      <w:pPr>
        <w:spacing w:line="360" w:lineRule="auto"/>
        <w:ind w:firstLine="420" w:firstLineChars="200"/>
        <w:rPr>
          <w:sz w:val="21"/>
          <w:szCs w:val="21"/>
        </w:rPr>
      </w:pPr>
      <w:r>
        <w:rPr>
          <w:rFonts w:hint="eastAsia"/>
          <w:sz w:val="21"/>
          <w:szCs w:val="21"/>
        </w:rPr>
        <w:t>未超过采购预算的供应商不足3家的。</w:t>
      </w:r>
    </w:p>
    <w:p w14:paraId="2C7E2322">
      <w:pPr>
        <w:spacing w:line="360" w:lineRule="auto"/>
        <w:ind w:firstLine="422" w:firstLineChars="200"/>
        <w:rPr>
          <w:b/>
          <w:bCs/>
          <w:sz w:val="21"/>
          <w:szCs w:val="21"/>
        </w:rPr>
      </w:pPr>
      <w:bookmarkStart w:id="44" w:name="24.在采购活动中因重大变故，采购任务取消的，采购人或者采购代理机构应当终止采购"/>
      <w:bookmarkEnd w:id="44"/>
      <w:r>
        <w:rPr>
          <w:rFonts w:hint="eastAsia"/>
          <w:b/>
          <w:bCs/>
          <w:sz w:val="21"/>
          <w:szCs w:val="21"/>
        </w:rPr>
        <w:t>25.在采购活动中因重大变故，采购任务取消的，采购人或者采购代理机构应当终止采购活动，通知所有参加采购活动的供应商，并将项目实施情况和采购任务取消原因报送本级财政部门。</w:t>
      </w:r>
    </w:p>
    <w:p w14:paraId="13BECCD7">
      <w:pPr>
        <w:spacing w:line="360" w:lineRule="auto"/>
        <w:ind w:firstLine="422" w:firstLineChars="200"/>
        <w:rPr>
          <w:b/>
          <w:bCs/>
          <w:sz w:val="21"/>
          <w:szCs w:val="21"/>
        </w:rPr>
      </w:pPr>
      <w:bookmarkStart w:id="45" w:name="25.磋商过程的监控"/>
      <w:bookmarkEnd w:id="45"/>
      <w:r>
        <w:rPr>
          <w:rFonts w:hint="eastAsia"/>
          <w:b/>
          <w:bCs/>
          <w:sz w:val="21"/>
          <w:szCs w:val="21"/>
        </w:rPr>
        <w:t>26.磋商过程的监控</w:t>
      </w:r>
    </w:p>
    <w:p w14:paraId="351B04A8">
      <w:pPr>
        <w:spacing w:line="360" w:lineRule="auto"/>
        <w:ind w:firstLine="420" w:firstLineChars="200"/>
        <w:rPr>
          <w:sz w:val="21"/>
          <w:szCs w:val="21"/>
        </w:rPr>
      </w:pPr>
      <w:r>
        <w:rPr>
          <w:rFonts w:hint="eastAsia"/>
          <w:sz w:val="21"/>
          <w:szCs w:val="21"/>
        </w:rPr>
        <w:t>本项目磋商过程实行全程录音、录像监控，供应商在磋商过程中所进行的试图影响磋商结果的不公正活动，可能导致其响应被拒绝。</w:t>
      </w:r>
    </w:p>
    <w:p w14:paraId="5CE39540">
      <w:pPr>
        <w:spacing w:line="360" w:lineRule="auto"/>
        <w:ind w:firstLine="422" w:firstLineChars="200"/>
        <w:rPr>
          <w:b/>
          <w:bCs/>
          <w:sz w:val="21"/>
          <w:szCs w:val="21"/>
        </w:rPr>
      </w:pPr>
      <w:bookmarkStart w:id="46" w:name="26._信用查询_"/>
      <w:bookmarkEnd w:id="46"/>
      <w:r>
        <w:rPr>
          <w:rFonts w:hint="eastAsia"/>
          <w:b/>
          <w:bCs/>
          <w:sz w:val="21"/>
          <w:szCs w:val="21"/>
        </w:rPr>
        <w:t>27.信用查询</w:t>
      </w:r>
    </w:p>
    <w:p w14:paraId="79D34525">
      <w:pPr>
        <w:spacing w:line="360" w:lineRule="auto"/>
        <w:ind w:firstLine="420" w:firstLineChars="200"/>
        <w:rPr>
          <w:sz w:val="21"/>
          <w:szCs w:val="21"/>
        </w:rPr>
      </w:pPr>
      <w:bookmarkStart w:id="47" w:name="根据《关于做好政府采购有关信用主体标识码登记及在政府采购活动中查询使用信用记录有"/>
      <w:bookmarkEnd w:id="47"/>
      <w:r>
        <w:rPr>
          <w:rFonts w:hint="eastAsia"/>
          <w:sz w:val="21"/>
          <w:szCs w:val="21"/>
        </w:rPr>
        <w:t>根据《关于做好政府采购有关信用主体标识码登记及在政府采购活动中查询使用信用记录有关问题的通知》（桂财采〔2016〕37），由采购代理机构对第一成交候选人进行信用查询：</w:t>
      </w:r>
    </w:p>
    <w:p w14:paraId="23B8B22F">
      <w:pPr>
        <w:spacing w:line="360" w:lineRule="auto"/>
        <w:ind w:firstLine="420" w:firstLineChars="200"/>
        <w:rPr>
          <w:sz w:val="21"/>
          <w:szCs w:val="21"/>
        </w:rPr>
      </w:pPr>
      <w:bookmarkStart w:id="48" w:name="⑴查询渠道：“信用中国”网站(www.creditchina.gov.cn)、中"/>
      <w:bookmarkEnd w:id="48"/>
      <w:r>
        <w:rPr>
          <w:rFonts w:hint="eastAsia"/>
          <w:sz w:val="21"/>
          <w:szCs w:val="21"/>
        </w:rPr>
        <w:t>⑴查询渠道：“信用中国”网站(www.creditchina.gov.cn)、中国政府采购网(www.ccgp.gov.cn)等；</w:t>
      </w:r>
    </w:p>
    <w:p w14:paraId="5D5718AE">
      <w:pPr>
        <w:spacing w:line="360" w:lineRule="auto"/>
        <w:ind w:firstLine="420" w:firstLineChars="200"/>
        <w:rPr>
          <w:sz w:val="21"/>
          <w:szCs w:val="21"/>
        </w:rPr>
      </w:pPr>
      <w:bookmarkStart w:id="49" w:name="⑵查询截止时间：成交通知书发出前；"/>
      <w:bookmarkEnd w:id="49"/>
      <w:r>
        <w:rPr>
          <w:rFonts w:hint="eastAsia"/>
          <w:sz w:val="21"/>
          <w:szCs w:val="21"/>
        </w:rPr>
        <w:t>⑵查询截止时间：成交通知书发出前；</w:t>
      </w:r>
    </w:p>
    <w:p w14:paraId="7E403335">
      <w:pPr>
        <w:spacing w:line="360" w:lineRule="auto"/>
        <w:ind w:firstLine="420" w:firstLineChars="200"/>
        <w:rPr>
          <w:sz w:val="21"/>
          <w:szCs w:val="21"/>
        </w:rPr>
      </w:pPr>
      <w:bookmarkStart w:id="50" w:name="⑶信用信息查询记录和证据留存方式：在查询网站中直接打印查询记录，打印材料作为采购"/>
      <w:bookmarkEnd w:id="50"/>
      <w:r>
        <w:rPr>
          <w:rFonts w:hint="eastAsia"/>
          <w:sz w:val="21"/>
          <w:szCs w:val="21"/>
        </w:rPr>
        <w:t>⑶信用信息查询记录和证据留存方式：在查询网站中直接打印查询记录，打印材料作为采购活动资料保存；</w:t>
      </w:r>
    </w:p>
    <w:p w14:paraId="730AC309">
      <w:pPr>
        <w:spacing w:line="360" w:lineRule="auto"/>
        <w:ind w:firstLine="420" w:firstLineChars="200"/>
        <w:rPr>
          <w:sz w:val="21"/>
          <w:szCs w:val="21"/>
        </w:rPr>
      </w:pPr>
      <w:bookmarkStart w:id="51" w:name="⑷信用信息使用规则：对在“信用中国”网站(www.creditchina.gov"/>
      <w:bookmarkEnd w:id="51"/>
      <w:r>
        <w:rPr>
          <w:rFonts w:hint="eastAsia"/>
          <w:sz w:val="21"/>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p w14:paraId="67635DCD">
      <w:pPr>
        <w:spacing w:line="360" w:lineRule="auto"/>
        <w:ind w:firstLine="422" w:firstLineChars="200"/>
        <w:rPr>
          <w:b/>
          <w:bCs/>
          <w:sz w:val="21"/>
          <w:szCs w:val="21"/>
        </w:rPr>
      </w:pPr>
      <w:r>
        <w:rPr>
          <w:rFonts w:hint="eastAsia"/>
          <w:b/>
          <w:bCs/>
          <w:sz w:val="21"/>
          <w:szCs w:val="21"/>
        </w:rPr>
        <w:t>28.成交公告及成交通知书</w:t>
      </w:r>
    </w:p>
    <w:p w14:paraId="6D58A8D6">
      <w:pPr>
        <w:spacing w:line="360" w:lineRule="auto"/>
        <w:ind w:firstLine="420" w:firstLineChars="200"/>
        <w:rPr>
          <w:sz w:val="21"/>
          <w:szCs w:val="21"/>
        </w:rPr>
      </w:pPr>
      <w:bookmarkStart w:id="52" w:name="27.1_采购代理机构于评审结束后两个工作日内将评审报告送交采购人，采购人应当自"/>
      <w:bookmarkEnd w:id="52"/>
      <w:r>
        <w:rPr>
          <w:rFonts w:hint="eastAsia"/>
          <w:sz w:val="21"/>
          <w:szCs w:val="21"/>
        </w:rPr>
        <w:t>28.1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3D62227C">
      <w:pPr>
        <w:spacing w:line="360" w:lineRule="auto"/>
        <w:ind w:firstLine="420" w:firstLineChars="200"/>
        <w:rPr>
          <w:sz w:val="21"/>
          <w:szCs w:val="21"/>
        </w:rPr>
      </w:pPr>
      <w:bookmarkStart w:id="53" w:name="27.2中小企业在政府采购活动过程中，请根据自己的真实情况出具《中小企业声明函》"/>
      <w:bookmarkEnd w:id="53"/>
      <w:r>
        <w:rPr>
          <w:rFonts w:hint="eastAsia"/>
          <w:sz w:val="21"/>
          <w:szCs w:val="21"/>
        </w:rPr>
        <w:t>28.2中小企业在政府采购活动过程中，请根据自己的真实情况出具《中小企业声明函》。采购人或采购代理机构在公告成交结果时，同时公告其《中小企业声明函》，接受社会监督。</w:t>
      </w:r>
    </w:p>
    <w:p w14:paraId="1E9C989C">
      <w:pPr>
        <w:spacing w:line="360" w:lineRule="auto"/>
        <w:ind w:firstLine="420" w:firstLineChars="200"/>
        <w:rPr>
          <w:sz w:val="21"/>
          <w:szCs w:val="21"/>
        </w:rPr>
      </w:pPr>
      <w:bookmarkStart w:id="54" w:name="27.3在发布成交公告的同时，采购代理机构向成交供应商发出成交通知书。成交供应商"/>
      <w:bookmarkEnd w:id="54"/>
      <w:r>
        <w:rPr>
          <w:rFonts w:hint="eastAsia"/>
          <w:sz w:val="21"/>
          <w:szCs w:val="21"/>
        </w:rPr>
        <w:t>28.3在发布成交公告的同时，采购代理机构向成交供应商发出成交通知书。成交供应商应自接到通知之日起七日内，办理成交通知书领取手续。</w:t>
      </w:r>
    </w:p>
    <w:p w14:paraId="658B12BB">
      <w:pPr>
        <w:spacing w:line="360" w:lineRule="auto"/>
        <w:ind w:firstLine="422"/>
        <w:rPr>
          <w:b/>
          <w:bCs/>
          <w:sz w:val="32"/>
          <w:szCs w:val="32"/>
        </w:rPr>
      </w:pPr>
      <w:bookmarkStart w:id="55" w:name="27.4采购代理机构无义务向未成交的供应商解释未成交原因和退还响应文件。"/>
      <w:bookmarkEnd w:id="55"/>
      <w:r>
        <w:rPr>
          <w:rFonts w:hint="eastAsia"/>
          <w:sz w:val="21"/>
          <w:szCs w:val="21"/>
        </w:rPr>
        <w:t>28.4采购代理机构无义务向未成交的供应商解释未成交原因和退还响应文件。</w:t>
      </w:r>
    </w:p>
    <w:p w14:paraId="228E562B">
      <w:pPr>
        <w:pStyle w:val="12"/>
        <w:ind w:firstLine="643"/>
        <w:jc w:val="center"/>
      </w:pPr>
      <w:r>
        <w:rPr>
          <w:rFonts w:hint="eastAsia"/>
          <w:b/>
          <w:bCs/>
          <w:sz w:val="32"/>
          <w:szCs w:val="32"/>
        </w:rPr>
        <w:t>五、签订合同</w:t>
      </w:r>
    </w:p>
    <w:p w14:paraId="1C34E9DA">
      <w:pPr>
        <w:spacing w:line="360" w:lineRule="auto"/>
        <w:ind w:firstLine="422" w:firstLineChars="200"/>
        <w:rPr>
          <w:b/>
          <w:bCs/>
          <w:sz w:val="21"/>
          <w:szCs w:val="21"/>
        </w:rPr>
      </w:pPr>
      <w:bookmarkStart w:id="56" w:name="28.履约保证金"/>
      <w:bookmarkEnd w:id="56"/>
      <w:r>
        <w:rPr>
          <w:b/>
          <w:bCs/>
          <w:sz w:val="21"/>
          <w:szCs w:val="21"/>
        </w:rPr>
        <w:t>2</w:t>
      </w:r>
      <w:r>
        <w:rPr>
          <w:rFonts w:hint="eastAsia"/>
          <w:b/>
          <w:bCs/>
          <w:sz w:val="21"/>
          <w:szCs w:val="21"/>
        </w:rPr>
        <w:t>9</w:t>
      </w:r>
      <w:r>
        <w:rPr>
          <w:b/>
          <w:bCs/>
          <w:sz w:val="21"/>
          <w:szCs w:val="21"/>
        </w:rPr>
        <w:t>.履约保证金</w:t>
      </w:r>
    </w:p>
    <w:p w14:paraId="2F15A8BA">
      <w:pPr>
        <w:spacing w:line="360" w:lineRule="auto"/>
        <w:ind w:firstLine="420" w:firstLineChars="200"/>
        <w:rPr>
          <w:sz w:val="21"/>
          <w:szCs w:val="21"/>
          <w:highlight w:val="none"/>
        </w:rPr>
      </w:pPr>
      <w:bookmarkStart w:id="57" w:name="履约保证金金额按中标价的2%（人民币，四舍五入到元）缴纳，由成交供应商在与采购人"/>
      <w:bookmarkEnd w:id="57"/>
      <w:r>
        <w:rPr>
          <w:sz w:val="21"/>
          <w:szCs w:val="21"/>
          <w:highlight w:val="none"/>
        </w:rPr>
        <w:t>履约保证金金额按中标价的</w:t>
      </w:r>
      <w:r>
        <w:rPr>
          <w:rFonts w:hint="eastAsia"/>
          <w:b/>
          <w:bCs/>
          <w:sz w:val="21"/>
          <w:szCs w:val="21"/>
          <w:highlight w:val="none"/>
        </w:rPr>
        <w:t>1</w:t>
      </w:r>
      <w:r>
        <w:rPr>
          <w:b/>
          <w:bCs/>
          <w:sz w:val="21"/>
          <w:szCs w:val="21"/>
          <w:highlight w:val="none"/>
        </w:rPr>
        <w:t>%</w:t>
      </w:r>
      <w:r>
        <w:rPr>
          <w:sz w:val="21"/>
          <w:szCs w:val="21"/>
          <w:highlight w:val="none"/>
        </w:rPr>
        <w:t>（人民币，四舍五入到元）缴纳，由成交供应商在与采购人签订合同前将履约保证金以</w:t>
      </w:r>
      <w:r>
        <w:rPr>
          <w:rFonts w:hint="eastAsia"/>
          <w:sz w:val="21"/>
          <w:szCs w:val="21"/>
          <w:highlight w:val="none"/>
        </w:rPr>
        <w:t>现金、</w:t>
      </w:r>
      <w:r>
        <w:rPr>
          <w:sz w:val="21"/>
          <w:szCs w:val="21"/>
          <w:highlight w:val="none"/>
        </w:rPr>
        <w:t>支票、汇票、本票或者金融机构、担保机构出具的保函等形式提交转入采购人履约保证金专户。</w:t>
      </w:r>
    </w:p>
    <w:p w14:paraId="6EB4DEAB">
      <w:pPr>
        <w:spacing w:line="360" w:lineRule="auto"/>
        <w:ind w:firstLine="422" w:firstLineChars="200"/>
        <w:rPr>
          <w:b/>
          <w:bCs/>
          <w:sz w:val="21"/>
          <w:szCs w:val="21"/>
        </w:rPr>
      </w:pPr>
      <w:bookmarkStart w:id="58" w:name="29.签订合同"/>
      <w:bookmarkEnd w:id="58"/>
      <w:r>
        <w:rPr>
          <w:rFonts w:hint="eastAsia"/>
          <w:b/>
          <w:bCs/>
          <w:sz w:val="21"/>
          <w:szCs w:val="21"/>
        </w:rPr>
        <w:t>30</w:t>
      </w:r>
      <w:r>
        <w:rPr>
          <w:b/>
          <w:bCs/>
          <w:sz w:val="21"/>
          <w:szCs w:val="21"/>
        </w:rPr>
        <w:t>.签订合同</w:t>
      </w:r>
    </w:p>
    <w:p w14:paraId="2F34EF38">
      <w:pPr>
        <w:spacing w:line="360" w:lineRule="auto"/>
        <w:ind w:firstLine="420" w:firstLineChars="200"/>
        <w:rPr>
          <w:sz w:val="21"/>
          <w:szCs w:val="21"/>
        </w:rPr>
      </w:pPr>
      <w:bookmarkStart w:id="59" w:name="29.1_签订合同时间：成交通知书发出之日起8个工作日内。成交供应商领取成交通知"/>
      <w:bookmarkEnd w:id="59"/>
      <w:r>
        <w:rPr>
          <w:rFonts w:hint="eastAsia"/>
          <w:sz w:val="21"/>
          <w:szCs w:val="21"/>
        </w:rPr>
        <w:t>30</w:t>
      </w:r>
      <w:r>
        <w:rPr>
          <w:sz w:val="21"/>
          <w:szCs w:val="21"/>
        </w:rPr>
        <w:t>.1签订合同时间：成交通知书发出之日起</w:t>
      </w:r>
      <w:r>
        <w:rPr>
          <w:rFonts w:hint="eastAsia"/>
          <w:sz w:val="21"/>
          <w:szCs w:val="21"/>
        </w:rPr>
        <w:t>7</w:t>
      </w:r>
      <w:r>
        <w:rPr>
          <w:sz w:val="21"/>
          <w:szCs w:val="21"/>
        </w:rPr>
        <w:t>日内。成交供应商领取成交通知书后，应按规定与采购人签订合同。</w:t>
      </w:r>
    </w:p>
    <w:p w14:paraId="0D3BA1DF">
      <w:pPr>
        <w:spacing w:line="360" w:lineRule="auto"/>
        <w:ind w:firstLine="420" w:firstLineChars="200"/>
        <w:rPr>
          <w:sz w:val="21"/>
          <w:szCs w:val="21"/>
        </w:rPr>
      </w:pPr>
      <w:bookmarkStart w:id="60" w:name="29.2_如成交供应商有下列情形之一，情节严重的，由相关监督部门将其列入不良行为"/>
      <w:bookmarkEnd w:id="60"/>
      <w:r>
        <w:rPr>
          <w:rFonts w:hint="eastAsia"/>
          <w:sz w:val="21"/>
          <w:szCs w:val="21"/>
        </w:rPr>
        <w:t>30</w:t>
      </w:r>
      <w:r>
        <w:rPr>
          <w:sz w:val="21"/>
          <w:szCs w:val="21"/>
        </w:rPr>
        <w:t>.2如成交供应商有下列情形之一，情节严重的，由相关监督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14:paraId="383D7EE8">
      <w:pPr>
        <w:spacing w:line="360" w:lineRule="auto"/>
        <w:ind w:firstLine="420" w:firstLineChars="200"/>
        <w:rPr>
          <w:sz w:val="21"/>
          <w:szCs w:val="21"/>
        </w:rPr>
      </w:pPr>
      <w:bookmarkStart w:id="61" w:name="（1）成交后不与采购人签订合同的（不可抗力除外）；"/>
      <w:bookmarkEnd w:id="61"/>
      <w:r>
        <w:rPr>
          <w:sz w:val="21"/>
          <w:szCs w:val="21"/>
        </w:rPr>
        <w:t>（1）成交后不与采购人签订合同的（不可抗力除外）；</w:t>
      </w:r>
    </w:p>
    <w:p w14:paraId="3CC559D2">
      <w:pPr>
        <w:spacing w:line="360" w:lineRule="auto"/>
        <w:ind w:firstLine="420" w:firstLineChars="200"/>
        <w:rPr>
          <w:sz w:val="21"/>
          <w:szCs w:val="21"/>
        </w:rPr>
      </w:pPr>
      <w:bookmarkStart w:id="62" w:name="（2）将成交项目转让给他人，或者在响应文件中未说明，且未经采购人同意，将成交项目"/>
      <w:bookmarkEnd w:id="62"/>
      <w:r>
        <w:rPr>
          <w:sz w:val="21"/>
          <w:szCs w:val="21"/>
        </w:rPr>
        <w:t>（2）将成交项目转让给他人，或者在响应文件中未说明，且未经采购人同意，将成交项目分包给他人的；</w:t>
      </w:r>
    </w:p>
    <w:p w14:paraId="642FEA94">
      <w:pPr>
        <w:spacing w:line="360" w:lineRule="auto"/>
        <w:ind w:firstLine="420" w:firstLineChars="200"/>
        <w:rPr>
          <w:sz w:val="21"/>
          <w:szCs w:val="21"/>
        </w:rPr>
      </w:pPr>
      <w:bookmarkStart w:id="63" w:name="（3）拒绝履行合同义务的。"/>
      <w:bookmarkEnd w:id="63"/>
      <w:r>
        <w:rPr>
          <w:sz w:val="21"/>
          <w:szCs w:val="21"/>
        </w:rPr>
        <w:t>（3）拒绝履行合同义务的。</w:t>
      </w:r>
    </w:p>
    <w:p w14:paraId="084FEB66">
      <w:pPr>
        <w:spacing w:line="360" w:lineRule="auto"/>
        <w:ind w:firstLine="420" w:firstLineChars="200"/>
        <w:rPr>
          <w:sz w:val="21"/>
          <w:szCs w:val="21"/>
        </w:rPr>
      </w:pPr>
      <w:bookmarkStart w:id="64" w:name="29.3_合同备案存档：政府采购合同双方自签订之日起1个工作日内将合同原件两份交"/>
      <w:bookmarkEnd w:id="64"/>
      <w:r>
        <w:rPr>
          <w:rFonts w:hint="eastAsia"/>
          <w:sz w:val="21"/>
          <w:szCs w:val="21"/>
        </w:rPr>
        <w:t>30</w:t>
      </w:r>
      <w:r>
        <w:rPr>
          <w:sz w:val="21"/>
          <w:szCs w:val="21"/>
        </w:rPr>
        <w:t>.3合同备案存档：政府采购合同双方自签订之日起1个工作日内将合同原件两份交采购代理机构，采购代理机构收到政府采购合同原件后在省级以上人民政府财政部门指定媒体上公告并于合同签订之日起7个工作日内将两份合同原件送监督管理机构备案，一份由采购代理机构存档。</w:t>
      </w:r>
    </w:p>
    <w:p w14:paraId="4E883026">
      <w:pPr>
        <w:pStyle w:val="12"/>
        <w:ind w:firstLine="643"/>
        <w:jc w:val="center"/>
        <w:rPr>
          <w:b/>
          <w:bCs/>
          <w:sz w:val="32"/>
          <w:szCs w:val="32"/>
        </w:rPr>
      </w:pPr>
      <w:r>
        <w:rPr>
          <w:rFonts w:hint="eastAsia"/>
          <w:b/>
          <w:bCs/>
          <w:sz w:val="32"/>
          <w:szCs w:val="32"/>
        </w:rPr>
        <w:t>六、其他事项</w:t>
      </w:r>
    </w:p>
    <w:p w14:paraId="43032502">
      <w:pPr>
        <w:spacing w:line="360" w:lineRule="auto"/>
        <w:ind w:firstLine="422" w:firstLineChars="200"/>
        <w:rPr>
          <w:b/>
          <w:bCs/>
          <w:sz w:val="21"/>
          <w:szCs w:val="21"/>
        </w:rPr>
      </w:pPr>
      <w:r>
        <w:rPr>
          <w:b/>
          <w:bCs/>
          <w:sz w:val="21"/>
          <w:szCs w:val="21"/>
        </w:rPr>
        <w:t>3</w:t>
      </w:r>
      <w:r>
        <w:rPr>
          <w:rFonts w:hint="eastAsia"/>
          <w:b/>
          <w:bCs/>
          <w:sz w:val="21"/>
          <w:szCs w:val="21"/>
        </w:rPr>
        <w:t>1</w:t>
      </w:r>
      <w:r>
        <w:rPr>
          <w:b/>
          <w:bCs/>
          <w:sz w:val="21"/>
          <w:szCs w:val="21"/>
        </w:rPr>
        <w:t>.采购代理服务费</w:t>
      </w:r>
    </w:p>
    <w:p w14:paraId="40C0B72B">
      <w:pPr>
        <w:spacing w:line="360" w:lineRule="auto"/>
        <w:ind w:firstLine="440" w:firstLineChars="200"/>
        <w:rPr>
          <w:szCs w:val="21"/>
          <w:highlight w:val="none"/>
        </w:rPr>
      </w:pPr>
      <w:bookmarkStart w:id="65" w:name="30.1本项目代理服务费按本须知第30.2条“代理服务收费标准”中服务类收费标准"/>
      <w:bookmarkEnd w:id="65"/>
      <w:r>
        <w:rPr>
          <w:rFonts w:hint="eastAsia"/>
          <w:szCs w:val="21"/>
          <w:highlight w:val="none"/>
        </w:rPr>
        <w:t>本项目招标代理服务费由采购人支付。</w:t>
      </w:r>
    </w:p>
    <w:p w14:paraId="49DF2846">
      <w:pPr>
        <w:spacing w:line="360" w:lineRule="auto"/>
        <w:ind w:firstLine="422" w:firstLineChars="200"/>
        <w:rPr>
          <w:b/>
          <w:bCs/>
          <w:sz w:val="21"/>
          <w:szCs w:val="21"/>
        </w:rPr>
      </w:pPr>
      <w:r>
        <w:rPr>
          <w:b/>
          <w:bCs/>
          <w:sz w:val="21"/>
          <w:szCs w:val="21"/>
        </w:rPr>
        <w:t>3</w:t>
      </w:r>
      <w:r>
        <w:rPr>
          <w:rFonts w:hint="eastAsia"/>
          <w:b/>
          <w:bCs/>
          <w:sz w:val="21"/>
          <w:szCs w:val="21"/>
        </w:rPr>
        <w:t>1</w:t>
      </w:r>
      <w:r>
        <w:rPr>
          <w:b/>
          <w:bCs/>
          <w:sz w:val="21"/>
          <w:szCs w:val="21"/>
        </w:rPr>
        <w:t>.1代理服务收费标准：</w:t>
      </w:r>
    </w:p>
    <w:tbl>
      <w:tblPr>
        <w:tblStyle w:val="23"/>
        <w:tblW w:w="0" w:type="auto"/>
        <w:tblInd w:w="5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08"/>
        <w:gridCol w:w="1858"/>
        <w:gridCol w:w="2012"/>
        <w:gridCol w:w="2315"/>
      </w:tblGrid>
      <w:tr w14:paraId="2A375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2908" w:type="dxa"/>
          </w:tcPr>
          <w:p w14:paraId="7E2A74C4">
            <w:pPr>
              <w:pStyle w:val="40"/>
              <w:tabs>
                <w:tab w:val="left" w:pos="1707"/>
              </w:tabs>
              <w:spacing w:before="61"/>
              <w:ind w:left="133" w:firstLine="442"/>
              <w:rPr>
                <w:sz w:val="21"/>
              </w:rPr>
            </w:pPr>
            <w:r>
              <mc:AlternateContent>
                <mc:Choice Requires="wpg">
                  <w:drawing>
                    <wp:anchor distT="0" distB="0" distL="114300" distR="114300" simplePos="0" relativeHeight="251675648" behindDoc="0" locked="0" layoutInCell="1" allowOverlap="1">
                      <wp:simplePos x="0" y="0"/>
                      <wp:positionH relativeFrom="column">
                        <wp:posOffset>-635</wp:posOffset>
                      </wp:positionH>
                      <wp:positionV relativeFrom="paragraph">
                        <wp:posOffset>5080</wp:posOffset>
                      </wp:positionV>
                      <wp:extent cx="1831975" cy="662305"/>
                      <wp:effectExtent l="0" t="0" r="0" b="0"/>
                      <wp:wrapNone/>
                      <wp:docPr id="17" name="Group 8"/>
                      <wp:cNvGraphicFramePr/>
                      <a:graphic xmlns:a="http://schemas.openxmlformats.org/drawingml/2006/main">
                        <a:graphicData uri="http://schemas.microsoft.com/office/word/2010/wordprocessingGroup">
                          <wpg:wgp>
                            <wpg:cNvGrpSpPr/>
                            <wpg:grpSpPr>
                              <a:xfrm>
                                <a:off x="0" y="0"/>
                                <a:ext cx="1831975" cy="662305"/>
                                <a:chOff x="0" y="0"/>
                                <a:chExt cx="1831975" cy="662305203"/>
                              </a:xfrm>
                            </wpg:grpSpPr>
                            <wps:wsp>
                              <wps:cNvPr id="4" name="Graphic 9"/>
                              <wps:cNvSpPr/>
                              <wps:spPr>
                                <a:xfrm>
                                  <a:off x="0" y="0"/>
                                  <a:ext cx="1831975" cy="662305"/>
                                </a:xfrm>
                                <a:custGeom>
                                  <a:avLst/>
                                  <a:gdLst>
                                    <a:gd name="A1" fmla="val 0"/>
                                    <a:gd name="A2" fmla="val 0"/>
                                    <a:gd name="A3" fmla="val 0"/>
                                  </a:gdLst>
                                  <a:ahLst/>
                                  <a:cxnLst/>
                                  <a:pathLst>
                                    <a:path w="1831975" h="662305">
                                      <a:moveTo>
                                        <a:pt x="1831746" y="653415"/>
                                      </a:moveTo>
                                      <a:lnTo>
                                        <a:pt x="1818373" y="647458"/>
                                      </a:lnTo>
                                      <a:lnTo>
                                        <a:pt x="1828800" y="649706"/>
                                      </a:lnTo>
                                      <a:lnTo>
                                        <a:pt x="1830806" y="640397"/>
                                      </a:lnTo>
                                      <a:lnTo>
                                        <a:pt x="1775968" y="628523"/>
                                      </a:lnTo>
                                      <a:lnTo>
                                        <a:pt x="368071" y="0"/>
                                      </a:lnTo>
                                      <a:lnTo>
                                        <a:pt x="364185" y="8686"/>
                                      </a:lnTo>
                                      <a:lnTo>
                                        <a:pt x="1730603" y="618693"/>
                                      </a:lnTo>
                                      <a:lnTo>
                                        <a:pt x="2006" y="244157"/>
                                      </a:lnTo>
                                      <a:lnTo>
                                        <a:pt x="0" y="253466"/>
                                      </a:lnTo>
                                      <a:lnTo>
                                        <a:pt x="1773021" y="637628"/>
                                      </a:lnTo>
                                      <a:lnTo>
                                        <a:pt x="1827860" y="662101"/>
                                      </a:lnTo>
                                      <a:lnTo>
                                        <a:pt x="1831746" y="653415"/>
                                      </a:lnTo>
                                      <a:close/>
                                    </a:path>
                                  </a:pathLst>
                                </a:custGeom>
                                <a:solidFill>
                                  <a:srgbClr val="000000"/>
                                </a:solidFill>
                                <a:ln>
                                  <a:noFill/>
                                </a:ln>
                              </wps:spPr>
                              <wps:bodyPr lIns="0" tIns="0" rIns="0" bIns="0" upright="1"/>
                            </wps:wsp>
                          </wpg:wgp>
                        </a:graphicData>
                      </a:graphic>
                    </wp:anchor>
                  </w:drawing>
                </mc:Choice>
                <mc:Fallback>
                  <w:pict>
                    <v:group id="Group 8" o:spid="_x0000_s1026" o:spt="203" style="position:absolute;left:0pt;margin-left:-0.05pt;margin-top:0.4pt;height:52.15pt;width:144.25pt;z-index:251675648;mso-width-relative:page;mso-height-relative:page;" coordsize="1831975,662305203" o:gfxdata="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&#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AAAAAZHJzL1BLAQIUABQAAAAIAIdO4kCrffUb1QAAAAYBAAAPAAAAAAAAAAEAIAAAACIAAABk&#10;cnMvZG93bnJldi54bWxQSwECFAAUAAAACACHTuJAgIfdme0CAADKBwAADgAAAAAAAAABACAAAAAk&#10;AQAAZHJzL2Uyb0RvYy54bWxQSwUGAAAAAAYABgBZAQAAgwYAAAAA&#10;">
                      <o:lock v:ext="edit" aspectratio="f"/>
                      <v:shape id="Graphic 9" o:spid="_x0000_s1026" o:spt="100" style="position:absolute;left:0;top:0;height:662305;width:1831975;" fillcolor="#000000" filled="t" stroked="f" coordsize="1831975,662305" o:gfxdata="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zLA3vQAA&#10;ANoAAAAPAAAAAAAAAAEAIAAAACIAAABkcnMvZG93bnJldi54bWxQSwECFAAUAAAACACHTuJAMy8F&#10;njsAAAA5AAAAEAAAAAAAAAABACAAAAAMAQAAZHJzL3NoYXBleG1sLnhtbFBLBQYAAAAABgAGAFsB&#10;AAC2AwAAAAA=&#10;" path="m1831746,653415l1818373,647458,1828800,649706,1830806,640397,1775968,628523,368071,0,364185,8686,1730603,618693,2006,244157,0,253466,1773021,637628,1827860,662101,1831746,653415xe">
                        <v:fill on="t" focussize="0,0"/>
                        <v:stroke on="f"/>
                        <v:imagedata o:title=""/>
                        <o:lock v:ext="edit" aspectratio="f"/>
                        <v:textbox inset="0mm,0mm,0mm,0mm"/>
                      </v:shape>
                    </v:group>
                  </w:pict>
                </mc:Fallback>
              </mc:AlternateContent>
            </w:r>
            <w:r>
              <w:rPr>
                <w:sz w:val="21"/>
              </w:rPr>
              <w:t>费率</w:t>
            </w:r>
            <w:r>
              <w:rPr>
                <w:sz w:val="21"/>
              </w:rPr>
              <w:tab/>
            </w:r>
            <w:r>
              <w:rPr>
                <w:sz w:val="21"/>
              </w:rPr>
              <w:t>服务类型</w:t>
            </w:r>
          </w:p>
          <w:p w14:paraId="2370E96A">
            <w:pPr>
              <w:pStyle w:val="40"/>
              <w:ind w:firstLine="402"/>
              <w:rPr>
                <w:sz w:val="20"/>
              </w:rPr>
            </w:pPr>
          </w:p>
          <w:p w14:paraId="2B87DD5D">
            <w:pPr>
              <w:pStyle w:val="40"/>
              <w:spacing w:before="154" w:line="259" w:lineRule="exact"/>
              <w:ind w:left="133"/>
              <w:rPr>
                <w:sz w:val="21"/>
              </w:rPr>
            </w:pPr>
            <w:r>
              <w:rPr>
                <w:sz w:val="21"/>
              </w:rPr>
              <w:t>成交金额</w:t>
            </w:r>
          </w:p>
        </w:tc>
        <w:tc>
          <w:tcPr>
            <w:tcW w:w="1858" w:type="dxa"/>
          </w:tcPr>
          <w:p w14:paraId="473F6E95">
            <w:pPr>
              <w:pStyle w:val="40"/>
              <w:ind w:firstLine="402"/>
              <w:rPr>
                <w:sz w:val="20"/>
              </w:rPr>
            </w:pPr>
          </w:p>
          <w:p w14:paraId="40EEABB0">
            <w:pPr>
              <w:pStyle w:val="40"/>
              <w:spacing w:before="146"/>
              <w:ind w:left="513" w:right="483"/>
              <w:jc w:val="center"/>
              <w:rPr>
                <w:sz w:val="21"/>
              </w:rPr>
            </w:pPr>
            <w:r>
              <w:rPr>
                <w:sz w:val="21"/>
              </w:rPr>
              <w:t>货物采购</w:t>
            </w:r>
          </w:p>
        </w:tc>
        <w:tc>
          <w:tcPr>
            <w:tcW w:w="2012" w:type="dxa"/>
          </w:tcPr>
          <w:p w14:paraId="45C3068D">
            <w:pPr>
              <w:pStyle w:val="40"/>
              <w:ind w:firstLine="402"/>
              <w:rPr>
                <w:sz w:val="20"/>
              </w:rPr>
            </w:pPr>
          </w:p>
          <w:p w14:paraId="1066648A">
            <w:pPr>
              <w:pStyle w:val="40"/>
              <w:spacing w:before="146"/>
              <w:ind w:left="589" w:right="560"/>
              <w:jc w:val="center"/>
              <w:rPr>
                <w:sz w:val="21"/>
              </w:rPr>
            </w:pPr>
            <w:r>
              <w:rPr>
                <w:sz w:val="21"/>
              </w:rPr>
              <w:t>服务采购</w:t>
            </w:r>
          </w:p>
        </w:tc>
        <w:tc>
          <w:tcPr>
            <w:tcW w:w="2315" w:type="dxa"/>
          </w:tcPr>
          <w:p w14:paraId="0FDC6283">
            <w:pPr>
              <w:pStyle w:val="40"/>
              <w:ind w:firstLine="402"/>
              <w:rPr>
                <w:sz w:val="20"/>
              </w:rPr>
            </w:pPr>
          </w:p>
          <w:p w14:paraId="794C9F23">
            <w:pPr>
              <w:pStyle w:val="40"/>
              <w:spacing w:before="146"/>
              <w:ind w:left="742" w:right="710"/>
              <w:jc w:val="center"/>
              <w:rPr>
                <w:sz w:val="21"/>
              </w:rPr>
            </w:pPr>
            <w:r>
              <w:rPr>
                <w:sz w:val="21"/>
              </w:rPr>
              <w:t>工程采购</w:t>
            </w:r>
          </w:p>
        </w:tc>
      </w:tr>
      <w:tr w14:paraId="41ECC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6C018C6D">
            <w:pPr>
              <w:pStyle w:val="40"/>
              <w:spacing w:before="61" w:line="259" w:lineRule="exact"/>
              <w:ind w:left="133"/>
              <w:rPr>
                <w:sz w:val="21"/>
              </w:rPr>
            </w:pPr>
            <w:r>
              <w:rPr>
                <w:sz w:val="21"/>
              </w:rPr>
              <w:t>100万元以下</w:t>
            </w:r>
          </w:p>
        </w:tc>
        <w:tc>
          <w:tcPr>
            <w:tcW w:w="1858" w:type="dxa"/>
          </w:tcPr>
          <w:p w14:paraId="149857E9">
            <w:pPr>
              <w:pStyle w:val="40"/>
              <w:spacing w:before="61" w:line="259" w:lineRule="exact"/>
              <w:ind w:left="513" w:right="479"/>
              <w:jc w:val="center"/>
              <w:rPr>
                <w:sz w:val="21"/>
              </w:rPr>
            </w:pPr>
            <w:r>
              <w:rPr>
                <w:sz w:val="21"/>
              </w:rPr>
              <w:t>1.5%</w:t>
            </w:r>
          </w:p>
        </w:tc>
        <w:tc>
          <w:tcPr>
            <w:tcW w:w="2012" w:type="dxa"/>
          </w:tcPr>
          <w:p w14:paraId="566D2426">
            <w:pPr>
              <w:pStyle w:val="40"/>
              <w:spacing w:before="61" w:line="259" w:lineRule="exact"/>
              <w:ind w:left="589" w:right="554"/>
              <w:jc w:val="center"/>
              <w:rPr>
                <w:sz w:val="21"/>
              </w:rPr>
            </w:pPr>
            <w:r>
              <w:rPr>
                <w:sz w:val="21"/>
              </w:rPr>
              <w:t>1.5%</w:t>
            </w:r>
          </w:p>
        </w:tc>
        <w:tc>
          <w:tcPr>
            <w:tcW w:w="2315" w:type="dxa"/>
          </w:tcPr>
          <w:p w14:paraId="2114988D">
            <w:pPr>
              <w:pStyle w:val="40"/>
              <w:spacing w:before="61" w:line="259" w:lineRule="exact"/>
              <w:ind w:left="742" w:right="709"/>
              <w:jc w:val="center"/>
              <w:rPr>
                <w:sz w:val="21"/>
              </w:rPr>
            </w:pPr>
            <w:r>
              <w:rPr>
                <w:sz w:val="21"/>
              </w:rPr>
              <w:t>1.0%</w:t>
            </w:r>
          </w:p>
        </w:tc>
      </w:tr>
      <w:tr w14:paraId="5CE9A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3B00D2AC">
            <w:pPr>
              <w:pStyle w:val="40"/>
              <w:spacing w:before="61" w:line="259" w:lineRule="exact"/>
              <w:ind w:left="133"/>
              <w:rPr>
                <w:sz w:val="21"/>
              </w:rPr>
            </w:pPr>
            <w:r>
              <w:rPr>
                <w:sz w:val="21"/>
              </w:rPr>
              <w:t>100～500万元</w:t>
            </w:r>
          </w:p>
        </w:tc>
        <w:tc>
          <w:tcPr>
            <w:tcW w:w="1858" w:type="dxa"/>
          </w:tcPr>
          <w:p w14:paraId="68D5C097">
            <w:pPr>
              <w:pStyle w:val="40"/>
              <w:spacing w:before="61" w:line="259" w:lineRule="exact"/>
              <w:ind w:left="513" w:right="479"/>
              <w:jc w:val="center"/>
              <w:rPr>
                <w:sz w:val="21"/>
              </w:rPr>
            </w:pPr>
            <w:r>
              <w:rPr>
                <w:sz w:val="21"/>
              </w:rPr>
              <w:t>1.1%</w:t>
            </w:r>
          </w:p>
        </w:tc>
        <w:tc>
          <w:tcPr>
            <w:tcW w:w="2012" w:type="dxa"/>
          </w:tcPr>
          <w:p w14:paraId="7500E624">
            <w:pPr>
              <w:pStyle w:val="40"/>
              <w:spacing w:before="61" w:line="259" w:lineRule="exact"/>
              <w:ind w:left="589" w:right="554"/>
              <w:jc w:val="center"/>
              <w:rPr>
                <w:sz w:val="21"/>
              </w:rPr>
            </w:pPr>
            <w:r>
              <w:rPr>
                <w:sz w:val="21"/>
              </w:rPr>
              <w:t>0.8%</w:t>
            </w:r>
          </w:p>
        </w:tc>
        <w:tc>
          <w:tcPr>
            <w:tcW w:w="2315" w:type="dxa"/>
          </w:tcPr>
          <w:p w14:paraId="5262BB69">
            <w:pPr>
              <w:pStyle w:val="40"/>
              <w:spacing w:before="61" w:line="259" w:lineRule="exact"/>
              <w:ind w:left="742" w:right="709"/>
              <w:jc w:val="center"/>
              <w:rPr>
                <w:sz w:val="21"/>
              </w:rPr>
            </w:pPr>
            <w:r>
              <w:rPr>
                <w:sz w:val="21"/>
              </w:rPr>
              <w:t>0.7%</w:t>
            </w:r>
          </w:p>
        </w:tc>
      </w:tr>
      <w:tr w14:paraId="26F14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4FFF5CAA">
            <w:pPr>
              <w:pStyle w:val="40"/>
              <w:spacing w:before="61" w:line="258" w:lineRule="exact"/>
              <w:ind w:left="133"/>
              <w:rPr>
                <w:sz w:val="21"/>
              </w:rPr>
            </w:pPr>
            <w:r>
              <w:rPr>
                <w:sz w:val="21"/>
              </w:rPr>
              <w:t>500～1000万元</w:t>
            </w:r>
          </w:p>
        </w:tc>
        <w:tc>
          <w:tcPr>
            <w:tcW w:w="1858" w:type="dxa"/>
          </w:tcPr>
          <w:p w14:paraId="4C34568A">
            <w:pPr>
              <w:pStyle w:val="40"/>
              <w:spacing w:before="61" w:line="258" w:lineRule="exact"/>
              <w:ind w:left="513" w:right="479"/>
              <w:jc w:val="center"/>
              <w:rPr>
                <w:sz w:val="21"/>
              </w:rPr>
            </w:pPr>
            <w:r>
              <w:rPr>
                <w:sz w:val="21"/>
              </w:rPr>
              <w:t>0.8%</w:t>
            </w:r>
          </w:p>
        </w:tc>
        <w:tc>
          <w:tcPr>
            <w:tcW w:w="2012" w:type="dxa"/>
          </w:tcPr>
          <w:p w14:paraId="020D0E6E">
            <w:pPr>
              <w:pStyle w:val="40"/>
              <w:spacing w:before="61" w:line="258" w:lineRule="exact"/>
              <w:ind w:left="589" w:right="556"/>
              <w:jc w:val="center"/>
              <w:rPr>
                <w:sz w:val="21"/>
              </w:rPr>
            </w:pPr>
            <w:r>
              <w:rPr>
                <w:sz w:val="21"/>
              </w:rPr>
              <w:t>0.45%</w:t>
            </w:r>
          </w:p>
        </w:tc>
        <w:tc>
          <w:tcPr>
            <w:tcW w:w="2315" w:type="dxa"/>
          </w:tcPr>
          <w:p w14:paraId="004D26AB">
            <w:pPr>
              <w:pStyle w:val="40"/>
              <w:spacing w:before="61" w:line="258" w:lineRule="exact"/>
              <w:ind w:left="741" w:right="710"/>
              <w:jc w:val="center"/>
              <w:rPr>
                <w:sz w:val="21"/>
              </w:rPr>
            </w:pPr>
            <w:r>
              <w:rPr>
                <w:sz w:val="21"/>
              </w:rPr>
              <w:t>0.55%</w:t>
            </w:r>
          </w:p>
        </w:tc>
      </w:tr>
      <w:tr w14:paraId="4E2D7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10B28244">
            <w:pPr>
              <w:pStyle w:val="40"/>
              <w:spacing w:before="62" w:line="258" w:lineRule="exact"/>
              <w:ind w:left="133"/>
              <w:rPr>
                <w:sz w:val="21"/>
              </w:rPr>
            </w:pPr>
            <w:r>
              <w:rPr>
                <w:sz w:val="21"/>
              </w:rPr>
              <w:t>1000～5000万元</w:t>
            </w:r>
          </w:p>
        </w:tc>
        <w:tc>
          <w:tcPr>
            <w:tcW w:w="1858" w:type="dxa"/>
          </w:tcPr>
          <w:p w14:paraId="7E82A53F">
            <w:pPr>
              <w:pStyle w:val="40"/>
              <w:spacing w:before="62" w:line="258" w:lineRule="exact"/>
              <w:ind w:left="513" w:right="479"/>
              <w:jc w:val="center"/>
              <w:rPr>
                <w:sz w:val="21"/>
              </w:rPr>
            </w:pPr>
            <w:r>
              <w:rPr>
                <w:sz w:val="21"/>
              </w:rPr>
              <w:t>0.5%</w:t>
            </w:r>
          </w:p>
        </w:tc>
        <w:tc>
          <w:tcPr>
            <w:tcW w:w="2012" w:type="dxa"/>
          </w:tcPr>
          <w:p w14:paraId="49D043FD">
            <w:pPr>
              <w:pStyle w:val="40"/>
              <w:spacing w:before="62" w:line="258" w:lineRule="exact"/>
              <w:ind w:left="589" w:right="556"/>
              <w:jc w:val="center"/>
              <w:rPr>
                <w:sz w:val="21"/>
              </w:rPr>
            </w:pPr>
            <w:r>
              <w:rPr>
                <w:sz w:val="21"/>
              </w:rPr>
              <w:t>0.25%</w:t>
            </w:r>
          </w:p>
        </w:tc>
        <w:tc>
          <w:tcPr>
            <w:tcW w:w="2315" w:type="dxa"/>
          </w:tcPr>
          <w:p w14:paraId="7A0DE770">
            <w:pPr>
              <w:pStyle w:val="40"/>
              <w:spacing w:before="62" w:line="258" w:lineRule="exact"/>
              <w:ind w:left="741" w:right="710"/>
              <w:jc w:val="center"/>
              <w:rPr>
                <w:sz w:val="21"/>
              </w:rPr>
            </w:pPr>
            <w:r>
              <w:rPr>
                <w:sz w:val="21"/>
              </w:rPr>
              <w:t>0.35%</w:t>
            </w:r>
          </w:p>
        </w:tc>
      </w:tr>
      <w:tr w14:paraId="4AC1C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0FB7F492">
            <w:pPr>
              <w:pStyle w:val="40"/>
              <w:spacing w:before="60" w:line="260" w:lineRule="exact"/>
              <w:ind w:left="133"/>
              <w:rPr>
                <w:sz w:val="21"/>
              </w:rPr>
            </w:pPr>
            <w:r>
              <w:rPr>
                <w:sz w:val="21"/>
              </w:rPr>
              <w:t>5000万元～1亿元</w:t>
            </w:r>
          </w:p>
        </w:tc>
        <w:tc>
          <w:tcPr>
            <w:tcW w:w="1858" w:type="dxa"/>
          </w:tcPr>
          <w:p w14:paraId="4687F93F">
            <w:pPr>
              <w:pStyle w:val="40"/>
              <w:spacing w:before="60" w:line="260" w:lineRule="exact"/>
              <w:ind w:left="513" w:right="479"/>
              <w:jc w:val="center"/>
              <w:rPr>
                <w:sz w:val="21"/>
              </w:rPr>
            </w:pPr>
            <w:r>
              <w:rPr>
                <w:sz w:val="21"/>
              </w:rPr>
              <w:t>0.25%</w:t>
            </w:r>
          </w:p>
        </w:tc>
        <w:tc>
          <w:tcPr>
            <w:tcW w:w="2012" w:type="dxa"/>
          </w:tcPr>
          <w:p w14:paraId="73D92C8A">
            <w:pPr>
              <w:pStyle w:val="40"/>
              <w:spacing w:before="60" w:line="260" w:lineRule="exact"/>
              <w:ind w:left="589" w:right="554"/>
              <w:jc w:val="center"/>
              <w:rPr>
                <w:sz w:val="21"/>
              </w:rPr>
            </w:pPr>
            <w:r>
              <w:rPr>
                <w:sz w:val="21"/>
              </w:rPr>
              <w:t>0.1%</w:t>
            </w:r>
          </w:p>
        </w:tc>
        <w:tc>
          <w:tcPr>
            <w:tcW w:w="2315" w:type="dxa"/>
          </w:tcPr>
          <w:p w14:paraId="4CEAB8C6">
            <w:pPr>
              <w:pStyle w:val="40"/>
              <w:spacing w:before="60" w:line="260" w:lineRule="exact"/>
              <w:ind w:left="742" w:right="709"/>
              <w:jc w:val="center"/>
              <w:rPr>
                <w:sz w:val="21"/>
              </w:rPr>
            </w:pPr>
            <w:r>
              <w:rPr>
                <w:sz w:val="21"/>
              </w:rPr>
              <w:t>0.2%</w:t>
            </w:r>
          </w:p>
        </w:tc>
      </w:tr>
      <w:tr w14:paraId="31483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56F08D91">
            <w:pPr>
              <w:pStyle w:val="40"/>
              <w:spacing w:before="60" w:line="259" w:lineRule="exact"/>
              <w:ind w:left="133"/>
              <w:rPr>
                <w:sz w:val="21"/>
              </w:rPr>
            </w:pPr>
            <w:r>
              <w:rPr>
                <w:sz w:val="21"/>
              </w:rPr>
              <w:t>1～5亿元</w:t>
            </w:r>
          </w:p>
        </w:tc>
        <w:tc>
          <w:tcPr>
            <w:tcW w:w="1858" w:type="dxa"/>
          </w:tcPr>
          <w:p w14:paraId="45831C86">
            <w:pPr>
              <w:pStyle w:val="40"/>
              <w:spacing w:before="60" w:line="259" w:lineRule="exact"/>
              <w:ind w:left="513" w:right="479"/>
              <w:jc w:val="center"/>
              <w:rPr>
                <w:sz w:val="21"/>
              </w:rPr>
            </w:pPr>
            <w:r>
              <w:rPr>
                <w:sz w:val="21"/>
              </w:rPr>
              <w:t>0.05%</w:t>
            </w:r>
          </w:p>
        </w:tc>
        <w:tc>
          <w:tcPr>
            <w:tcW w:w="2012" w:type="dxa"/>
          </w:tcPr>
          <w:p w14:paraId="69683EB8">
            <w:pPr>
              <w:pStyle w:val="40"/>
              <w:spacing w:before="60" w:line="259" w:lineRule="exact"/>
              <w:ind w:left="589" w:right="556"/>
              <w:jc w:val="center"/>
              <w:rPr>
                <w:sz w:val="21"/>
              </w:rPr>
            </w:pPr>
            <w:r>
              <w:rPr>
                <w:sz w:val="21"/>
              </w:rPr>
              <w:t>0.05%</w:t>
            </w:r>
          </w:p>
        </w:tc>
        <w:tc>
          <w:tcPr>
            <w:tcW w:w="2315" w:type="dxa"/>
          </w:tcPr>
          <w:p w14:paraId="1FAA2420">
            <w:pPr>
              <w:pStyle w:val="40"/>
              <w:spacing w:before="60" w:line="259" w:lineRule="exact"/>
              <w:ind w:left="741" w:right="710"/>
              <w:jc w:val="center"/>
              <w:rPr>
                <w:sz w:val="21"/>
              </w:rPr>
            </w:pPr>
            <w:r>
              <w:rPr>
                <w:sz w:val="21"/>
              </w:rPr>
              <w:t>0.05%</w:t>
            </w:r>
          </w:p>
        </w:tc>
      </w:tr>
      <w:tr w14:paraId="65FC8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601319F8">
            <w:pPr>
              <w:pStyle w:val="40"/>
              <w:spacing w:before="61" w:line="259" w:lineRule="exact"/>
              <w:ind w:left="133"/>
              <w:rPr>
                <w:sz w:val="21"/>
              </w:rPr>
            </w:pPr>
            <w:r>
              <w:rPr>
                <w:sz w:val="21"/>
              </w:rPr>
              <w:t>5～10亿元</w:t>
            </w:r>
          </w:p>
        </w:tc>
        <w:tc>
          <w:tcPr>
            <w:tcW w:w="1858" w:type="dxa"/>
          </w:tcPr>
          <w:p w14:paraId="6AC653A2">
            <w:pPr>
              <w:pStyle w:val="40"/>
              <w:spacing w:before="61" w:line="259" w:lineRule="exact"/>
              <w:ind w:left="513" w:right="479"/>
              <w:jc w:val="center"/>
              <w:rPr>
                <w:sz w:val="21"/>
              </w:rPr>
            </w:pPr>
            <w:r>
              <w:rPr>
                <w:sz w:val="21"/>
              </w:rPr>
              <w:t>0.035%</w:t>
            </w:r>
          </w:p>
        </w:tc>
        <w:tc>
          <w:tcPr>
            <w:tcW w:w="2012" w:type="dxa"/>
          </w:tcPr>
          <w:p w14:paraId="49B4973D">
            <w:pPr>
              <w:pStyle w:val="40"/>
              <w:spacing w:before="61" w:line="259" w:lineRule="exact"/>
              <w:ind w:left="589" w:right="556"/>
              <w:jc w:val="center"/>
              <w:rPr>
                <w:sz w:val="21"/>
              </w:rPr>
            </w:pPr>
            <w:r>
              <w:rPr>
                <w:sz w:val="21"/>
              </w:rPr>
              <w:t>0.035%</w:t>
            </w:r>
          </w:p>
        </w:tc>
        <w:tc>
          <w:tcPr>
            <w:tcW w:w="2315" w:type="dxa"/>
          </w:tcPr>
          <w:p w14:paraId="07C7AD60">
            <w:pPr>
              <w:pStyle w:val="40"/>
              <w:spacing w:before="61" w:line="259" w:lineRule="exact"/>
              <w:ind w:left="742" w:right="707"/>
              <w:jc w:val="center"/>
              <w:rPr>
                <w:sz w:val="21"/>
              </w:rPr>
            </w:pPr>
            <w:r>
              <w:rPr>
                <w:sz w:val="21"/>
              </w:rPr>
              <w:t>0.035%</w:t>
            </w:r>
          </w:p>
        </w:tc>
      </w:tr>
      <w:tr w14:paraId="5EA87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05468EDB">
            <w:pPr>
              <w:pStyle w:val="40"/>
              <w:spacing w:before="61" w:line="259" w:lineRule="exact"/>
              <w:ind w:left="133"/>
              <w:rPr>
                <w:sz w:val="21"/>
              </w:rPr>
            </w:pPr>
            <w:r>
              <w:rPr>
                <w:sz w:val="21"/>
              </w:rPr>
              <w:t>10～50亿元</w:t>
            </w:r>
          </w:p>
        </w:tc>
        <w:tc>
          <w:tcPr>
            <w:tcW w:w="1858" w:type="dxa"/>
          </w:tcPr>
          <w:p w14:paraId="3DB14A44">
            <w:pPr>
              <w:pStyle w:val="40"/>
              <w:spacing w:before="61" w:line="259" w:lineRule="exact"/>
              <w:ind w:left="513" w:right="479"/>
              <w:jc w:val="center"/>
              <w:rPr>
                <w:sz w:val="21"/>
              </w:rPr>
            </w:pPr>
            <w:r>
              <w:rPr>
                <w:sz w:val="21"/>
              </w:rPr>
              <w:t>0.008%</w:t>
            </w:r>
          </w:p>
        </w:tc>
        <w:tc>
          <w:tcPr>
            <w:tcW w:w="2012" w:type="dxa"/>
          </w:tcPr>
          <w:p w14:paraId="6E7E059B">
            <w:pPr>
              <w:pStyle w:val="40"/>
              <w:spacing w:before="61" w:line="259" w:lineRule="exact"/>
              <w:ind w:left="589" w:right="556"/>
              <w:jc w:val="center"/>
              <w:rPr>
                <w:sz w:val="21"/>
              </w:rPr>
            </w:pPr>
            <w:r>
              <w:rPr>
                <w:sz w:val="21"/>
              </w:rPr>
              <w:t>0.008%</w:t>
            </w:r>
          </w:p>
        </w:tc>
        <w:tc>
          <w:tcPr>
            <w:tcW w:w="2315" w:type="dxa"/>
          </w:tcPr>
          <w:p w14:paraId="47D3173E">
            <w:pPr>
              <w:pStyle w:val="40"/>
              <w:spacing w:before="61" w:line="259" w:lineRule="exact"/>
              <w:ind w:left="742" w:right="707"/>
              <w:jc w:val="center"/>
              <w:rPr>
                <w:sz w:val="21"/>
              </w:rPr>
            </w:pPr>
            <w:r>
              <w:rPr>
                <w:sz w:val="21"/>
              </w:rPr>
              <w:t>0.008%</w:t>
            </w:r>
          </w:p>
        </w:tc>
      </w:tr>
      <w:tr w14:paraId="42712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02081F1E">
            <w:pPr>
              <w:pStyle w:val="40"/>
              <w:spacing w:before="62" w:line="258" w:lineRule="exact"/>
              <w:ind w:left="133"/>
              <w:rPr>
                <w:sz w:val="21"/>
              </w:rPr>
            </w:pPr>
            <w:r>
              <w:rPr>
                <w:sz w:val="21"/>
              </w:rPr>
              <w:t>50～100亿元</w:t>
            </w:r>
          </w:p>
        </w:tc>
        <w:tc>
          <w:tcPr>
            <w:tcW w:w="1858" w:type="dxa"/>
          </w:tcPr>
          <w:p w14:paraId="0997CFA0">
            <w:pPr>
              <w:pStyle w:val="40"/>
              <w:spacing w:before="62" w:line="258" w:lineRule="exact"/>
              <w:ind w:left="513" w:right="479"/>
              <w:jc w:val="center"/>
              <w:rPr>
                <w:sz w:val="21"/>
              </w:rPr>
            </w:pPr>
            <w:r>
              <w:rPr>
                <w:sz w:val="21"/>
              </w:rPr>
              <w:t>0.006%</w:t>
            </w:r>
          </w:p>
        </w:tc>
        <w:tc>
          <w:tcPr>
            <w:tcW w:w="2012" w:type="dxa"/>
          </w:tcPr>
          <w:p w14:paraId="4DD06C73">
            <w:pPr>
              <w:pStyle w:val="40"/>
              <w:spacing w:before="62" w:line="258" w:lineRule="exact"/>
              <w:ind w:left="589" w:right="556"/>
              <w:jc w:val="center"/>
              <w:rPr>
                <w:sz w:val="21"/>
              </w:rPr>
            </w:pPr>
            <w:r>
              <w:rPr>
                <w:sz w:val="21"/>
              </w:rPr>
              <w:t>0.006%</w:t>
            </w:r>
          </w:p>
        </w:tc>
        <w:tc>
          <w:tcPr>
            <w:tcW w:w="2315" w:type="dxa"/>
          </w:tcPr>
          <w:p w14:paraId="28F90A97">
            <w:pPr>
              <w:pStyle w:val="40"/>
              <w:spacing w:before="62" w:line="258" w:lineRule="exact"/>
              <w:ind w:left="742" w:right="707"/>
              <w:jc w:val="center"/>
              <w:rPr>
                <w:sz w:val="21"/>
              </w:rPr>
            </w:pPr>
            <w:r>
              <w:rPr>
                <w:sz w:val="21"/>
              </w:rPr>
              <w:t>0.006%</w:t>
            </w:r>
          </w:p>
        </w:tc>
      </w:tr>
      <w:tr w14:paraId="357D2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2B2B7A6B">
            <w:pPr>
              <w:pStyle w:val="40"/>
              <w:spacing w:before="62" w:line="258" w:lineRule="exact"/>
              <w:ind w:left="133"/>
              <w:rPr>
                <w:sz w:val="21"/>
              </w:rPr>
            </w:pPr>
            <w:r>
              <w:rPr>
                <w:sz w:val="21"/>
              </w:rPr>
              <w:t>100亿以上</w:t>
            </w:r>
          </w:p>
        </w:tc>
        <w:tc>
          <w:tcPr>
            <w:tcW w:w="1858" w:type="dxa"/>
          </w:tcPr>
          <w:p w14:paraId="19D200B4">
            <w:pPr>
              <w:pStyle w:val="40"/>
              <w:spacing w:before="62" w:line="258" w:lineRule="exact"/>
              <w:ind w:left="513" w:right="479"/>
              <w:jc w:val="center"/>
              <w:rPr>
                <w:sz w:val="21"/>
              </w:rPr>
            </w:pPr>
            <w:r>
              <w:rPr>
                <w:sz w:val="21"/>
              </w:rPr>
              <w:t>0.004%</w:t>
            </w:r>
          </w:p>
        </w:tc>
        <w:tc>
          <w:tcPr>
            <w:tcW w:w="2012" w:type="dxa"/>
          </w:tcPr>
          <w:p w14:paraId="77BDD8B1">
            <w:pPr>
              <w:pStyle w:val="40"/>
              <w:spacing w:before="62" w:line="258" w:lineRule="exact"/>
              <w:ind w:left="589" w:right="556"/>
              <w:jc w:val="center"/>
              <w:rPr>
                <w:sz w:val="21"/>
              </w:rPr>
            </w:pPr>
            <w:r>
              <w:rPr>
                <w:sz w:val="21"/>
              </w:rPr>
              <w:t>0.004%</w:t>
            </w:r>
          </w:p>
        </w:tc>
        <w:tc>
          <w:tcPr>
            <w:tcW w:w="2315" w:type="dxa"/>
          </w:tcPr>
          <w:p w14:paraId="54BC119D">
            <w:pPr>
              <w:pStyle w:val="40"/>
              <w:spacing w:before="62" w:line="258" w:lineRule="exact"/>
              <w:ind w:left="742" w:right="707"/>
              <w:jc w:val="center"/>
              <w:rPr>
                <w:sz w:val="21"/>
              </w:rPr>
            </w:pPr>
            <w:r>
              <w:rPr>
                <w:sz w:val="21"/>
              </w:rPr>
              <w:t>0.004%</w:t>
            </w:r>
          </w:p>
        </w:tc>
      </w:tr>
    </w:tbl>
    <w:p w14:paraId="5B4BAFCF">
      <w:pPr>
        <w:spacing w:line="360" w:lineRule="auto"/>
        <w:ind w:firstLine="420" w:firstLineChars="200"/>
        <w:rPr>
          <w:sz w:val="21"/>
          <w:szCs w:val="21"/>
        </w:rPr>
      </w:pPr>
      <w:r>
        <w:rPr>
          <w:rFonts w:hint="eastAsia"/>
          <w:sz w:val="21"/>
          <w:szCs w:val="21"/>
        </w:rPr>
        <w:t>注：代理服务收费按差额定率累进法计算。</w:t>
      </w:r>
    </w:p>
    <w:p w14:paraId="58619DCC">
      <w:pPr>
        <w:spacing w:line="360" w:lineRule="auto"/>
        <w:ind w:firstLine="422" w:firstLineChars="200"/>
        <w:rPr>
          <w:b/>
          <w:bCs/>
          <w:sz w:val="21"/>
          <w:szCs w:val="21"/>
        </w:rPr>
      </w:pPr>
      <w:r>
        <w:rPr>
          <w:rFonts w:hint="eastAsia"/>
          <w:b/>
          <w:bCs/>
          <w:sz w:val="21"/>
          <w:szCs w:val="21"/>
        </w:rPr>
        <w:t>32.交纳采购代理服务费的银行账户：</w:t>
      </w:r>
    </w:p>
    <w:p w14:paraId="6C285181">
      <w:pPr>
        <w:spacing w:line="360" w:lineRule="auto"/>
        <w:ind w:firstLine="422" w:firstLineChars="200"/>
        <w:rPr>
          <w:rFonts w:hint="eastAsia"/>
          <w:b/>
          <w:bCs/>
          <w:sz w:val="21"/>
          <w:szCs w:val="21"/>
        </w:rPr>
      </w:pPr>
      <w:r>
        <w:rPr>
          <w:rFonts w:hint="eastAsia"/>
          <w:b/>
          <w:bCs/>
          <w:sz w:val="21"/>
          <w:szCs w:val="21"/>
        </w:rPr>
        <w:t>开户名称：广西建设工程机电设备招标中心有限公司</w:t>
      </w:r>
    </w:p>
    <w:p w14:paraId="21EBC9E3">
      <w:pPr>
        <w:spacing w:line="360" w:lineRule="auto"/>
        <w:ind w:firstLine="422" w:firstLineChars="200"/>
        <w:rPr>
          <w:rFonts w:hint="eastAsia"/>
          <w:b/>
          <w:bCs/>
          <w:sz w:val="21"/>
          <w:szCs w:val="21"/>
        </w:rPr>
      </w:pPr>
      <w:r>
        <w:rPr>
          <w:rFonts w:hint="eastAsia"/>
          <w:b/>
          <w:bCs/>
          <w:sz w:val="21"/>
          <w:szCs w:val="21"/>
        </w:rPr>
        <w:t>账    号：7719 0142 3310 201</w:t>
      </w:r>
    </w:p>
    <w:p w14:paraId="2F0CC6C6">
      <w:pPr>
        <w:spacing w:line="360" w:lineRule="auto"/>
        <w:ind w:firstLine="422" w:firstLineChars="200"/>
        <w:rPr>
          <w:rFonts w:hint="eastAsia"/>
          <w:b/>
          <w:bCs/>
          <w:sz w:val="21"/>
          <w:szCs w:val="21"/>
        </w:rPr>
      </w:pPr>
      <w:r>
        <w:rPr>
          <w:rFonts w:hint="eastAsia"/>
          <w:b/>
          <w:bCs/>
          <w:sz w:val="21"/>
          <w:szCs w:val="21"/>
        </w:rPr>
        <w:t>开 户 行：招商银行南宁分行营业部</w:t>
      </w:r>
    </w:p>
    <w:p w14:paraId="0A3F355E">
      <w:pPr>
        <w:spacing w:line="360" w:lineRule="auto"/>
        <w:ind w:firstLine="422" w:firstLineChars="200"/>
        <w:rPr>
          <w:sz w:val="21"/>
          <w:szCs w:val="21"/>
        </w:rPr>
      </w:pPr>
      <w:r>
        <w:rPr>
          <w:rFonts w:hint="eastAsia"/>
          <w:b/>
          <w:bCs/>
          <w:sz w:val="21"/>
          <w:szCs w:val="21"/>
        </w:rPr>
        <w:t>33.解释权：</w:t>
      </w:r>
      <w:r>
        <w:rPr>
          <w:rFonts w:hint="eastAsia"/>
          <w:sz w:val="21"/>
          <w:szCs w:val="21"/>
        </w:rPr>
        <w:t>本竞争性磋商文件是根据《中华人民共和国政府采购法》、《中华人民共和国政府采</w:t>
      </w:r>
    </w:p>
    <w:p w14:paraId="540E57FE">
      <w:pPr>
        <w:spacing w:line="360" w:lineRule="auto"/>
        <w:ind w:firstLine="420" w:firstLineChars="200"/>
        <w:rPr>
          <w:sz w:val="21"/>
          <w:szCs w:val="21"/>
        </w:rPr>
      </w:pPr>
      <w:bookmarkStart w:id="66" w:name="第三章__服务采购需求"/>
      <w:bookmarkEnd w:id="66"/>
      <w:r>
        <w:rPr>
          <w:rFonts w:hint="eastAsia"/>
          <w:sz w:val="21"/>
          <w:szCs w:val="21"/>
        </w:rPr>
        <w:t>购法实施条例》、《政府采购竞争性磋商采购方式管理暂行办法》和政府采购管理有关规定编制。</w:t>
      </w:r>
    </w:p>
    <w:p w14:paraId="1A5EB758">
      <w:pPr>
        <w:pStyle w:val="12"/>
        <w:spacing w:before="52" w:line="314" w:lineRule="auto"/>
        <w:ind w:left="955" w:leftChars="250" w:right="932" w:hanging="405" w:hangingChars="192"/>
        <w:jc w:val="both"/>
        <w:rPr>
          <w:b/>
          <w:sz w:val="24"/>
          <w:szCs w:val="24"/>
        </w:rPr>
      </w:pPr>
      <w:r>
        <w:rPr>
          <w:rFonts w:hint="eastAsia"/>
          <w:b/>
          <w:bCs/>
          <w:szCs w:val="22"/>
        </w:rPr>
        <w:t>34.</w:t>
      </w:r>
      <w:r>
        <w:rPr>
          <w:b/>
          <w:bCs/>
          <w:szCs w:val="22"/>
        </w:rPr>
        <w:t>广西线上“政采贷”政策详见附表</w:t>
      </w:r>
      <w:r>
        <w:rPr>
          <w:rFonts w:hint="eastAsia"/>
          <w:b/>
          <w:bCs/>
          <w:szCs w:val="22"/>
        </w:rPr>
        <w:t>3</w:t>
      </w:r>
      <w:r>
        <w:rPr>
          <w:b/>
          <w:bCs/>
          <w:szCs w:val="22"/>
        </w:rPr>
        <w:t>.</w:t>
      </w:r>
    </w:p>
    <w:p w14:paraId="183524B6">
      <w:pPr>
        <w:pStyle w:val="14"/>
        <w:snapToGrid w:val="0"/>
        <w:ind w:firstLine="480"/>
        <w:rPr>
          <w:b/>
          <w:sz w:val="24"/>
          <w:szCs w:val="24"/>
        </w:rPr>
      </w:pPr>
    </w:p>
    <w:p w14:paraId="16503A9E">
      <w:pPr>
        <w:pStyle w:val="5"/>
        <w:ind w:firstLine="482"/>
        <w:rPr>
          <w:sz w:val="24"/>
          <w:szCs w:val="24"/>
        </w:rPr>
      </w:pPr>
    </w:p>
    <w:p w14:paraId="17E300E9">
      <w:pPr>
        <w:ind w:firstLine="480"/>
        <w:rPr>
          <w:b/>
          <w:sz w:val="24"/>
          <w:szCs w:val="24"/>
        </w:rPr>
      </w:pPr>
    </w:p>
    <w:p w14:paraId="5B26A5E9">
      <w:pPr>
        <w:pStyle w:val="12"/>
        <w:ind w:firstLine="480"/>
        <w:rPr>
          <w:b/>
          <w:sz w:val="24"/>
          <w:szCs w:val="24"/>
        </w:rPr>
      </w:pPr>
    </w:p>
    <w:p w14:paraId="15919925">
      <w:pPr>
        <w:rPr>
          <w:b/>
          <w:sz w:val="24"/>
          <w:szCs w:val="24"/>
        </w:rPr>
      </w:pPr>
    </w:p>
    <w:p w14:paraId="7857A947">
      <w:pPr>
        <w:rPr>
          <w:b/>
          <w:sz w:val="24"/>
          <w:szCs w:val="24"/>
        </w:rPr>
      </w:pPr>
    </w:p>
    <w:p w14:paraId="146F77F2">
      <w:pPr>
        <w:rPr>
          <w:b/>
          <w:sz w:val="24"/>
          <w:szCs w:val="24"/>
        </w:rPr>
      </w:pPr>
    </w:p>
    <w:p w14:paraId="61B94161">
      <w:pPr>
        <w:rPr>
          <w:b/>
          <w:sz w:val="24"/>
          <w:szCs w:val="24"/>
        </w:rPr>
      </w:pPr>
    </w:p>
    <w:p w14:paraId="5F35CDE2">
      <w:pPr>
        <w:rPr>
          <w:b/>
          <w:sz w:val="24"/>
          <w:szCs w:val="24"/>
        </w:rPr>
      </w:pPr>
    </w:p>
    <w:p w14:paraId="242C1D70">
      <w:pPr>
        <w:rPr>
          <w:b/>
          <w:sz w:val="24"/>
          <w:szCs w:val="24"/>
        </w:rPr>
      </w:pPr>
    </w:p>
    <w:p w14:paraId="335134C2">
      <w:pPr>
        <w:rPr>
          <w:b/>
          <w:sz w:val="24"/>
          <w:szCs w:val="24"/>
        </w:rPr>
      </w:pPr>
    </w:p>
    <w:p w14:paraId="53C4D66C">
      <w:pPr>
        <w:rPr>
          <w:b/>
          <w:sz w:val="24"/>
          <w:szCs w:val="24"/>
        </w:rPr>
      </w:pPr>
    </w:p>
    <w:p w14:paraId="5BBFEF50">
      <w:pPr>
        <w:rPr>
          <w:b/>
          <w:sz w:val="24"/>
          <w:szCs w:val="24"/>
        </w:rPr>
      </w:pPr>
    </w:p>
    <w:p w14:paraId="5CFCF8D9">
      <w:pPr>
        <w:rPr>
          <w:b/>
          <w:sz w:val="24"/>
          <w:szCs w:val="24"/>
        </w:rPr>
      </w:pPr>
    </w:p>
    <w:p w14:paraId="13B3027B">
      <w:pPr>
        <w:ind w:firstLine="422"/>
      </w:pPr>
    </w:p>
    <w:p w14:paraId="378A324F">
      <w:pPr>
        <w:pStyle w:val="14"/>
        <w:snapToGrid w:val="0"/>
        <w:ind w:firstLine="482"/>
        <w:rPr>
          <w:rFonts w:hAnsi="宋体"/>
          <w:b/>
          <w:sz w:val="24"/>
          <w:szCs w:val="24"/>
        </w:rPr>
      </w:pPr>
      <w:r>
        <w:rPr>
          <w:rFonts w:hint="eastAsia"/>
          <w:b/>
          <w:sz w:val="24"/>
          <w:szCs w:val="24"/>
        </w:rPr>
        <w:t>附表1：</w:t>
      </w:r>
    </w:p>
    <w:p w14:paraId="55FCBA8F">
      <w:pPr>
        <w:spacing w:line="460" w:lineRule="exact"/>
        <w:ind w:firstLine="643"/>
        <w:jc w:val="center"/>
        <w:rPr>
          <w:sz w:val="32"/>
          <w:szCs w:val="32"/>
        </w:rPr>
      </w:pPr>
      <w:r>
        <w:rPr>
          <w:rFonts w:hint="eastAsia" w:cs="仿宋"/>
          <w:b/>
          <w:bCs/>
          <w:sz w:val="32"/>
          <w:szCs w:val="32"/>
        </w:rPr>
        <w:t>质疑函（格式）</w:t>
      </w:r>
    </w:p>
    <w:p w14:paraId="33A0DBB0">
      <w:pPr>
        <w:pStyle w:val="14"/>
        <w:snapToGrid w:val="0"/>
        <w:spacing w:line="360" w:lineRule="exact"/>
        <w:ind w:firstLine="442" w:firstLineChars="200"/>
        <w:rPr>
          <w:rFonts w:hAnsi="宋体"/>
          <w:b/>
          <w:bCs/>
        </w:rPr>
      </w:pPr>
      <w:r>
        <w:rPr>
          <w:rFonts w:hint="eastAsia" w:hAnsi="宋体"/>
          <w:b/>
          <w:bCs/>
        </w:rPr>
        <w:t>一、质疑供应商基本信息：</w:t>
      </w:r>
    </w:p>
    <w:p w14:paraId="75AAA5FD">
      <w:pPr>
        <w:pStyle w:val="14"/>
        <w:snapToGrid w:val="0"/>
        <w:spacing w:line="360" w:lineRule="exact"/>
        <w:ind w:firstLine="440" w:firstLineChars="200"/>
        <w:rPr>
          <w:rFonts w:hAnsi="宋体"/>
          <w:bCs/>
          <w:u w:val="single"/>
        </w:rPr>
      </w:pPr>
      <w:r>
        <w:rPr>
          <w:rFonts w:hint="eastAsia" w:hAnsi="宋体"/>
          <w:bCs/>
        </w:rPr>
        <w:t>质疑供应商：</w:t>
      </w:r>
    </w:p>
    <w:p w14:paraId="34C8F5AF">
      <w:pPr>
        <w:pStyle w:val="14"/>
        <w:snapToGrid w:val="0"/>
        <w:spacing w:line="360" w:lineRule="exact"/>
        <w:ind w:firstLine="440" w:firstLineChars="200"/>
        <w:rPr>
          <w:rFonts w:hAnsi="宋体"/>
          <w:bCs/>
        </w:rPr>
      </w:pPr>
      <w:r>
        <w:rPr>
          <w:rFonts w:hAnsi="宋体"/>
          <w:bCs/>
        </w:rPr>
        <w:t>地址</w:t>
      </w:r>
      <w:r>
        <w:rPr>
          <w:rFonts w:hint="eastAsia" w:hAnsi="宋体"/>
          <w:bCs/>
        </w:rPr>
        <w:t>：</w:t>
      </w:r>
      <w:r>
        <w:rPr>
          <w:rFonts w:hAnsi="宋体"/>
          <w:bCs/>
        </w:rPr>
        <w:t>邮编</w:t>
      </w:r>
      <w:r>
        <w:rPr>
          <w:rFonts w:hint="eastAsia" w:hAnsi="宋体"/>
          <w:bCs/>
        </w:rPr>
        <w:t>：</w:t>
      </w:r>
    </w:p>
    <w:p w14:paraId="0B694160">
      <w:pPr>
        <w:pStyle w:val="14"/>
        <w:snapToGrid w:val="0"/>
        <w:spacing w:line="360" w:lineRule="exact"/>
        <w:ind w:firstLine="440" w:firstLineChars="200"/>
        <w:rPr>
          <w:rFonts w:hAnsi="宋体"/>
          <w:bCs/>
        </w:rPr>
      </w:pPr>
      <w:r>
        <w:rPr>
          <w:rFonts w:hAnsi="宋体"/>
          <w:bCs/>
        </w:rPr>
        <w:t>联系人</w:t>
      </w:r>
      <w:r>
        <w:rPr>
          <w:rFonts w:hint="eastAsia" w:hAnsi="宋体"/>
          <w:bCs/>
        </w:rPr>
        <w:t>：</w:t>
      </w:r>
      <w:r>
        <w:rPr>
          <w:rFonts w:hAnsi="宋体"/>
          <w:bCs/>
        </w:rPr>
        <w:t>联系电话</w:t>
      </w:r>
      <w:r>
        <w:rPr>
          <w:rFonts w:hint="eastAsia" w:hAnsi="宋体"/>
          <w:bCs/>
        </w:rPr>
        <w:t>：</w:t>
      </w:r>
    </w:p>
    <w:p w14:paraId="42B9C181">
      <w:pPr>
        <w:pStyle w:val="14"/>
        <w:snapToGrid w:val="0"/>
        <w:spacing w:line="360" w:lineRule="exact"/>
        <w:ind w:firstLine="440" w:firstLineChars="200"/>
        <w:rPr>
          <w:rFonts w:hAnsi="宋体"/>
          <w:bCs/>
        </w:rPr>
      </w:pPr>
      <w:r>
        <w:rPr>
          <w:rFonts w:hint="eastAsia" w:hAnsi="宋体"/>
          <w:bCs/>
        </w:rPr>
        <w:t>授权代表：</w:t>
      </w:r>
    </w:p>
    <w:p w14:paraId="6F9A6A6F">
      <w:pPr>
        <w:pStyle w:val="14"/>
        <w:snapToGrid w:val="0"/>
        <w:spacing w:line="360" w:lineRule="exact"/>
        <w:ind w:firstLine="440" w:firstLineChars="200"/>
        <w:rPr>
          <w:rFonts w:hAnsi="宋体"/>
          <w:bCs/>
          <w:u w:val="single"/>
        </w:rPr>
      </w:pPr>
      <w:r>
        <w:rPr>
          <w:rFonts w:hAnsi="宋体"/>
          <w:bCs/>
        </w:rPr>
        <w:t>联系</w:t>
      </w:r>
      <w:r>
        <w:rPr>
          <w:rFonts w:hint="eastAsia" w:hAnsi="宋体"/>
          <w:bCs/>
        </w:rPr>
        <w:t>电话：</w:t>
      </w:r>
    </w:p>
    <w:p w14:paraId="103F4E70">
      <w:pPr>
        <w:pStyle w:val="14"/>
        <w:snapToGrid w:val="0"/>
        <w:spacing w:line="360" w:lineRule="exact"/>
        <w:ind w:firstLine="440" w:firstLineChars="200"/>
        <w:rPr>
          <w:rFonts w:hAnsi="宋体"/>
          <w:bCs/>
        </w:rPr>
      </w:pPr>
      <w:r>
        <w:rPr>
          <w:rFonts w:hAnsi="宋体"/>
          <w:bCs/>
        </w:rPr>
        <w:t>地址</w:t>
      </w:r>
      <w:r>
        <w:rPr>
          <w:rFonts w:hint="eastAsia" w:hAnsi="宋体"/>
          <w:bCs/>
        </w:rPr>
        <w:t>：</w:t>
      </w:r>
      <w:r>
        <w:rPr>
          <w:rFonts w:hAnsi="宋体"/>
          <w:bCs/>
        </w:rPr>
        <w:t>邮编</w:t>
      </w:r>
      <w:r>
        <w:rPr>
          <w:rFonts w:hint="eastAsia" w:hAnsi="宋体"/>
          <w:bCs/>
        </w:rPr>
        <w:t>：</w:t>
      </w:r>
    </w:p>
    <w:p w14:paraId="0BD86856">
      <w:pPr>
        <w:pStyle w:val="14"/>
        <w:snapToGrid w:val="0"/>
        <w:spacing w:line="360" w:lineRule="exact"/>
        <w:ind w:firstLine="442" w:firstLineChars="200"/>
        <w:rPr>
          <w:rFonts w:hAnsi="宋体"/>
          <w:b/>
          <w:bCs/>
        </w:rPr>
      </w:pPr>
      <w:r>
        <w:rPr>
          <w:rFonts w:hint="eastAsia" w:hAnsi="宋体"/>
          <w:b/>
          <w:bCs/>
        </w:rPr>
        <w:t>二、质疑项目基本情况：</w:t>
      </w:r>
    </w:p>
    <w:p w14:paraId="024CCC7B">
      <w:pPr>
        <w:pStyle w:val="14"/>
        <w:spacing w:line="360" w:lineRule="exact"/>
        <w:ind w:left="26" w:leftChars="12" w:firstLine="433" w:firstLineChars="197"/>
        <w:rPr>
          <w:rFonts w:hAnsi="宋体"/>
          <w:szCs w:val="21"/>
        </w:rPr>
      </w:pPr>
      <w:r>
        <w:rPr>
          <w:rFonts w:hint="eastAsia" w:hAnsi="宋体"/>
          <w:bCs/>
        </w:rPr>
        <w:t>质疑</w:t>
      </w:r>
      <w:r>
        <w:rPr>
          <w:rFonts w:hint="eastAsia" w:hAnsi="宋体"/>
          <w:szCs w:val="21"/>
        </w:rPr>
        <w:t>项目的名称：</w:t>
      </w:r>
    </w:p>
    <w:p w14:paraId="4742E717">
      <w:pPr>
        <w:pStyle w:val="14"/>
        <w:spacing w:line="360" w:lineRule="exact"/>
        <w:ind w:left="26" w:leftChars="12" w:firstLine="433" w:firstLineChars="197"/>
        <w:rPr>
          <w:rFonts w:hAnsi="宋体"/>
          <w:szCs w:val="21"/>
        </w:rPr>
      </w:pPr>
      <w:r>
        <w:rPr>
          <w:rFonts w:hint="eastAsia" w:hAnsi="宋体"/>
          <w:bCs/>
        </w:rPr>
        <w:t>质疑</w:t>
      </w:r>
      <w:r>
        <w:rPr>
          <w:rFonts w:hint="eastAsia" w:hAnsi="宋体"/>
          <w:szCs w:val="21"/>
        </w:rPr>
        <w:t>项目的编号：</w:t>
      </w:r>
      <w:r>
        <w:rPr>
          <w:rFonts w:hint="eastAsia" w:hAnsi="宋体"/>
          <w:bCs/>
        </w:rPr>
        <w:t>包号：</w:t>
      </w:r>
    </w:p>
    <w:p w14:paraId="3BEA6430">
      <w:pPr>
        <w:pStyle w:val="14"/>
        <w:spacing w:line="360" w:lineRule="exact"/>
        <w:ind w:left="26" w:leftChars="12" w:firstLine="433" w:firstLineChars="197"/>
        <w:rPr>
          <w:rFonts w:hAnsi="宋体"/>
          <w:bCs/>
          <w:u w:val="single"/>
        </w:rPr>
      </w:pPr>
      <w:r>
        <w:rPr>
          <w:rFonts w:hint="eastAsia" w:hAnsi="宋体"/>
          <w:szCs w:val="21"/>
        </w:rPr>
        <w:t>采购人名称：</w:t>
      </w:r>
    </w:p>
    <w:p w14:paraId="2880B34B">
      <w:pPr>
        <w:pStyle w:val="14"/>
        <w:spacing w:line="360" w:lineRule="exact"/>
        <w:ind w:left="26" w:leftChars="12" w:firstLine="433" w:firstLineChars="197"/>
        <w:rPr>
          <w:rFonts w:hAnsi="宋体"/>
          <w:szCs w:val="21"/>
          <w:u w:val="single"/>
        </w:rPr>
      </w:pPr>
      <w:r>
        <w:rPr>
          <w:rFonts w:hint="eastAsia" w:hAnsi="宋体"/>
          <w:szCs w:val="21"/>
        </w:rPr>
        <w:t>采购文件获取日期：</w:t>
      </w:r>
    </w:p>
    <w:p w14:paraId="20B890B8">
      <w:pPr>
        <w:pStyle w:val="14"/>
        <w:spacing w:line="360" w:lineRule="exact"/>
        <w:ind w:left="26" w:leftChars="12" w:firstLine="433" w:firstLineChars="196"/>
        <w:rPr>
          <w:rFonts w:hAnsi="宋体"/>
          <w:b/>
          <w:szCs w:val="21"/>
        </w:rPr>
      </w:pPr>
      <w:r>
        <w:rPr>
          <w:rFonts w:hint="eastAsia" w:hAnsi="宋体"/>
          <w:b/>
          <w:szCs w:val="21"/>
        </w:rPr>
        <w:t>三、质疑事项具体内容</w:t>
      </w:r>
    </w:p>
    <w:p w14:paraId="26005390">
      <w:pPr>
        <w:pStyle w:val="14"/>
        <w:spacing w:line="360" w:lineRule="exact"/>
        <w:ind w:left="26" w:leftChars="12" w:firstLine="433" w:firstLineChars="197"/>
        <w:rPr>
          <w:rFonts w:hAnsi="宋体"/>
          <w:szCs w:val="21"/>
        </w:rPr>
      </w:pPr>
      <w:r>
        <w:rPr>
          <w:rFonts w:hint="eastAsia" w:hAnsi="宋体"/>
          <w:szCs w:val="21"/>
        </w:rPr>
        <w:t>质疑事项1：</w:t>
      </w:r>
    </w:p>
    <w:p w14:paraId="653059E0">
      <w:pPr>
        <w:pStyle w:val="14"/>
        <w:spacing w:line="360" w:lineRule="exact"/>
        <w:ind w:left="26" w:leftChars="12" w:firstLine="433" w:firstLineChars="197"/>
        <w:rPr>
          <w:rFonts w:hAnsi="宋体"/>
          <w:szCs w:val="21"/>
        </w:rPr>
      </w:pPr>
      <w:r>
        <w:rPr>
          <w:rFonts w:hint="eastAsia" w:hAnsi="宋体"/>
          <w:szCs w:val="21"/>
        </w:rPr>
        <w:t>事实依据：</w:t>
      </w:r>
    </w:p>
    <w:p w14:paraId="6CBE6CD9">
      <w:pPr>
        <w:pStyle w:val="14"/>
        <w:spacing w:line="360" w:lineRule="exact"/>
        <w:ind w:left="26" w:leftChars="12" w:firstLine="433" w:firstLineChars="197"/>
        <w:rPr>
          <w:rFonts w:hAnsi="宋体"/>
          <w:szCs w:val="21"/>
        </w:rPr>
      </w:pPr>
      <w:r>
        <w:rPr>
          <w:rFonts w:hint="eastAsia" w:hAnsi="宋体"/>
          <w:szCs w:val="21"/>
        </w:rPr>
        <w:t>法律依据：</w:t>
      </w:r>
    </w:p>
    <w:p w14:paraId="00573C84">
      <w:pPr>
        <w:pStyle w:val="14"/>
        <w:spacing w:line="360" w:lineRule="exact"/>
        <w:ind w:left="26" w:leftChars="12" w:firstLine="433" w:firstLineChars="197"/>
        <w:rPr>
          <w:rFonts w:hAnsi="宋体"/>
          <w:szCs w:val="21"/>
        </w:rPr>
      </w:pPr>
      <w:r>
        <w:rPr>
          <w:rFonts w:hint="eastAsia" w:hAnsi="宋体"/>
          <w:szCs w:val="21"/>
        </w:rPr>
        <w:t>质疑事项2</w:t>
      </w:r>
    </w:p>
    <w:p w14:paraId="12F630B7">
      <w:pPr>
        <w:pStyle w:val="14"/>
        <w:spacing w:line="360" w:lineRule="exact"/>
        <w:ind w:left="26" w:leftChars="12" w:firstLine="433" w:firstLineChars="197"/>
        <w:rPr>
          <w:rFonts w:hAnsi="宋体"/>
          <w:szCs w:val="21"/>
        </w:rPr>
      </w:pPr>
      <w:r>
        <w:rPr>
          <w:rFonts w:hAnsi="宋体"/>
          <w:szCs w:val="21"/>
        </w:rPr>
        <w:t>……</w:t>
      </w:r>
    </w:p>
    <w:p w14:paraId="33A24B32">
      <w:pPr>
        <w:pStyle w:val="14"/>
        <w:spacing w:line="360" w:lineRule="exact"/>
        <w:ind w:left="26" w:leftChars="12" w:firstLine="433" w:firstLineChars="197"/>
        <w:rPr>
          <w:rFonts w:hAnsi="宋体"/>
          <w:szCs w:val="21"/>
        </w:rPr>
      </w:pPr>
      <w:r>
        <w:rPr>
          <w:rFonts w:hint="eastAsia" w:hAnsi="宋体"/>
          <w:szCs w:val="21"/>
        </w:rPr>
        <w:t>四、与质疑事项相关的质疑请求：</w:t>
      </w:r>
    </w:p>
    <w:p w14:paraId="075C7E8B">
      <w:pPr>
        <w:pStyle w:val="14"/>
        <w:spacing w:line="360" w:lineRule="exact"/>
        <w:ind w:left="26" w:leftChars="12" w:firstLine="433" w:firstLineChars="197"/>
        <w:rPr>
          <w:rFonts w:hAnsi="宋体"/>
          <w:szCs w:val="21"/>
        </w:rPr>
      </w:pPr>
      <w:r>
        <w:rPr>
          <w:rFonts w:hint="eastAsia" w:hAnsi="宋体"/>
          <w:szCs w:val="21"/>
        </w:rPr>
        <w:t>请求：</w:t>
      </w:r>
    </w:p>
    <w:p w14:paraId="4F3AEB4F">
      <w:pPr>
        <w:pStyle w:val="14"/>
        <w:spacing w:line="360" w:lineRule="exact"/>
        <w:ind w:left="26" w:leftChars="12" w:firstLine="323" w:firstLineChars="147"/>
        <w:rPr>
          <w:rFonts w:hAnsi="宋体"/>
          <w:szCs w:val="21"/>
        </w:rPr>
      </w:pPr>
    </w:p>
    <w:p w14:paraId="1F25C562">
      <w:pPr>
        <w:pStyle w:val="14"/>
        <w:spacing w:line="360" w:lineRule="exact"/>
        <w:ind w:left="26" w:leftChars="12" w:firstLine="433" w:firstLineChars="197"/>
        <w:rPr>
          <w:rFonts w:hAnsi="宋体"/>
          <w:szCs w:val="21"/>
        </w:rPr>
      </w:pPr>
      <w:r>
        <w:rPr>
          <w:rFonts w:hint="eastAsia" w:hAnsi="宋体"/>
          <w:szCs w:val="21"/>
        </w:rPr>
        <w:t>签字（签章）：公章：</w:t>
      </w:r>
    </w:p>
    <w:p w14:paraId="17C7A839">
      <w:pPr>
        <w:pStyle w:val="14"/>
        <w:spacing w:line="360" w:lineRule="exact"/>
        <w:ind w:left="26" w:leftChars="12" w:firstLine="323" w:firstLineChars="147"/>
        <w:rPr>
          <w:rFonts w:hAnsi="宋体"/>
          <w:szCs w:val="21"/>
        </w:rPr>
      </w:pPr>
    </w:p>
    <w:p w14:paraId="12C9E37D">
      <w:pPr>
        <w:pStyle w:val="14"/>
        <w:spacing w:line="360" w:lineRule="exact"/>
        <w:ind w:left="26" w:leftChars="12" w:firstLine="433" w:firstLineChars="197"/>
        <w:rPr>
          <w:rFonts w:hAnsi="宋体"/>
          <w:szCs w:val="21"/>
        </w:rPr>
      </w:pPr>
      <w:r>
        <w:rPr>
          <w:rFonts w:hint="eastAsia" w:hAnsi="宋体"/>
          <w:szCs w:val="21"/>
        </w:rPr>
        <w:t>日期：</w:t>
      </w:r>
    </w:p>
    <w:p w14:paraId="5150D34F">
      <w:pPr>
        <w:pStyle w:val="14"/>
        <w:snapToGrid w:val="0"/>
        <w:spacing w:line="340" w:lineRule="exact"/>
        <w:ind w:firstLine="420"/>
        <w:rPr>
          <w:rFonts w:hAnsi="宋体"/>
          <w:b/>
          <w:szCs w:val="21"/>
        </w:rPr>
      </w:pPr>
    </w:p>
    <w:p w14:paraId="695343C2">
      <w:pPr>
        <w:pStyle w:val="14"/>
        <w:snapToGrid w:val="0"/>
        <w:spacing w:line="340" w:lineRule="exact"/>
        <w:ind w:firstLine="422"/>
        <w:rPr>
          <w:rFonts w:hAnsi="宋体"/>
          <w:b/>
          <w:szCs w:val="21"/>
        </w:rPr>
      </w:pPr>
      <w:r>
        <w:rPr>
          <w:rFonts w:hint="eastAsia" w:hAnsi="宋体"/>
          <w:b/>
          <w:szCs w:val="21"/>
        </w:rPr>
        <w:t>说明：</w:t>
      </w:r>
    </w:p>
    <w:p w14:paraId="0B90FC16">
      <w:pPr>
        <w:pStyle w:val="14"/>
        <w:spacing w:line="340" w:lineRule="exact"/>
        <w:ind w:left="26" w:leftChars="12" w:firstLine="325" w:firstLineChars="147"/>
        <w:rPr>
          <w:rFonts w:hAnsi="宋体"/>
          <w:b/>
          <w:bCs/>
        </w:rPr>
      </w:pPr>
      <w:r>
        <w:rPr>
          <w:rFonts w:hint="eastAsia" w:hAnsi="宋体"/>
          <w:b/>
          <w:szCs w:val="21"/>
        </w:rPr>
        <w:t>1.供应商提出质疑时，应提交质疑函和必要的证明材料</w:t>
      </w:r>
      <w:r>
        <w:rPr>
          <w:rFonts w:hint="eastAsia" w:hAnsi="宋体"/>
          <w:b/>
          <w:bCs/>
        </w:rPr>
        <w:t>。</w:t>
      </w:r>
    </w:p>
    <w:p w14:paraId="54E9DC8C">
      <w:pPr>
        <w:pStyle w:val="14"/>
        <w:spacing w:line="340" w:lineRule="exact"/>
        <w:ind w:left="26" w:leftChars="12" w:firstLine="325" w:firstLineChars="147"/>
        <w:rPr>
          <w:rFonts w:hAnsi="宋体"/>
          <w:b/>
          <w:szCs w:val="21"/>
        </w:rPr>
      </w:pPr>
      <w:r>
        <w:rPr>
          <w:rFonts w:hint="eastAsia" w:hAnsi="宋体"/>
          <w:b/>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A768EDE">
      <w:pPr>
        <w:pStyle w:val="14"/>
        <w:spacing w:line="340" w:lineRule="exact"/>
        <w:ind w:left="26" w:leftChars="12" w:firstLine="325" w:firstLineChars="147"/>
        <w:rPr>
          <w:rFonts w:hAnsi="宋体"/>
          <w:b/>
          <w:szCs w:val="21"/>
        </w:rPr>
      </w:pPr>
      <w:r>
        <w:rPr>
          <w:rFonts w:hint="eastAsia" w:hAnsi="宋体"/>
          <w:b/>
          <w:szCs w:val="21"/>
        </w:rPr>
        <w:t>3.质疑供应商若对项目的某一分包进行质疑，质疑函中应列明具体分包号。</w:t>
      </w:r>
    </w:p>
    <w:p w14:paraId="3EAE1FE6">
      <w:pPr>
        <w:pStyle w:val="14"/>
        <w:spacing w:line="340" w:lineRule="exact"/>
        <w:ind w:left="26" w:leftChars="12" w:firstLine="325" w:firstLineChars="147"/>
        <w:rPr>
          <w:rFonts w:hAnsi="宋体"/>
          <w:b/>
          <w:szCs w:val="21"/>
        </w:rPr>
      </w:pPr>
      <w:r>
        <w:rPr>
          <w:rFonts w:hint="eastAsia" w:hAnsi="宋体"/>
          <w:b/>
          <w:szCs w:val="21"/>
        </w:rPr>
        <w:t>4.质疑函的质疑事项应具体、明确，并有必要的事实依据和法律依据。</w:t>
      </w:r>
    </w:p>
    <w:p w14:paraId="54E934F7">
      <w:pPr>
        <w:pStyle w:val="14"/>
        <w:spacing w:line="340" w:lineRule="exact"/>
        <w:ind w:left="26" w:leftChars="12" w:firstLine="325" w:firstLineChars="147"/>
        <w:rPr>
          <w:rFonts w:hAnsi="宋体"/>
          <w:b/>
          <w:szCs w:val="21"/>
        </w:rPr>
      </w:pPr>
      <w:r>
        <w:rPr>
          <w:rFonts w:hint="eastAsia" w:hAnsi="宋体"/>
          <w:b/>
          <w:szCs w:val="21"/>
        </w:rPr>
        <w:t>5.质疑函的质疑请求应与质疑事项相关。</w:t>
      </w:r>
    </w:p>
    <w:p w14:paraId="6E7D4F16">
      <w:pPr>
        <w:pStyle w:val="14"/>
        <w:spacing w:line="340" w:lineRule="exact"/>
        <w:ind w:left="26" w:leftChars="12" w:firstLine="325" w:firstLineChars="147"/>
        <w:rPr>
          <w:b/>
          <w:sz w:val="24"/>
          <w:szCs w:val="24"/>
        </w:rPr>
      </w:pPr>
      <w:r>
        <w:rPr>
          <w:rFonts w:hint="eastAsia" w:hAnsi="宋体"/>
          <w:b/>
          <w:szCs w:val="21"/>
        </w:rPr>
        <w:t>6.质疑供应商为自然人的，质疑函应由本人签字；质疑供应商为法人或者其他组织的，质疑函应由法定代表人、主要负责人，或者其授权代表签字或者盖章，并加盖公章。</w:t>
      </w:r>
    </w:p>
    <w:p w14:paraId="239C1B33">
      <w:pPr>
        <w:pStyle w:val="14"/>
        <w:snapToGrid w:val="0"/>
        <w:ind w:firstLine="480"/>
        <w:rPr>
          <w:b/>
          <w:sz w:val="24"/>
          <w:szCs w:val="24"/>
        </w:rPr>
      </w:pPr>
    </w:p>
    <w:p w14:paraId="3C8006BE">
      <w:pPr>
        <w:pStyle w:val="14"/>
        <w:snapToGrid w:val="0"/>
        <w:ind w:firstLine="480"/>
        <w:rPr>
          <w:b/>
          <w:sz w:val="24"/>
          <w:szCs w:val="24"/>
        </w:rPr>
      </w:pPr>
    </w:p>
    <w:p w14:paraId="04C2158C">
      <w:pPr>
        <w:pStyle w:val="5"/>
        <w:ind w:firstLine="482"/>
        <w:rPr>
          <w:sz w:val="24"/>
          <w:szCs w:val="24"/>
        </w:rPr>
      </w:pPr>
    </w:p>
    <w:p w14:paraId="5286FD0B">
      <w:pPr>
        <w:pStyle w:val="14"/>
        <w:snapToGrid w:val="0"/>
        <w:ind w:firstLine="480"/>
        <w:rPr>
          <w:b/>
          <w:sz w:val="24"/>
          <w:szCs w:val="24"/>
        </w:rPr>
      </w:pPr>
    </w:p>
    <w:p w14:paraId="74D553B9">
      <w:pPr>
        <w:pStyle w:val="14"/>
        <w:snapToGrid w:val="0"/>
        <w:ind w:firstLine="482"/>
        <w:rPr>
          <w:rFonts w:hAnsi="宋体"/>
          <w:b/>
          <w:sz w:val="24"/>
          <w:szCs w:val="24"/>
        </w:rPr>
      </w:pPr>
      <w:r>
        <w:rPr>
          <w:rFonts w:hint="eastAsia"/>
          <w:b/>
          <w:sz w:val="24"/>
          <w:szCs w:val="24"/>
        </w:rPr>
        <w:t>附表2：</w:t>
      </w:r>
    </w:p>
    <w:p w14:paraId="71E5CC89">
      <w:pPr>
        <w:spacing w:line="460" w:lineRule="exact"/>
        <w:ind w:firstLine="643"/>
        <w:jc w:val="center"/>
        <w:rPr>
          <w:b/>
          <w:sz w:val="32"/>
          <w:szCs w:val="32"/>
        </w:rPr>
      </w:pPr>
      <w:r>
        <w:rPr>
          <w:rFonts w:hint="eastAsia"/>
          <w:b/>
          <w:sz w:val="32"/>
          <w:szCs w:val="32"/>
        </w:rPr>
        <w:t>投诉书（格式）</w:t>
      </w:r>
    </w:p>
    <w:p w14:paraId="54CC8DB3">
      <w:pPr>
        <w:pStyle w:val="14"/>
        <w:snapToGrid w:val="0"/>
        <w:spacing w:line="400" w:lineRule="exact"/>
        <w:ind w:firstLine="442" w:firstLineChars="200"/>
        <w:rPr>
          <w:rFonts w:hAnsi="宋体"/>
          <w:b/>
          <w:bCs/>
        </w:rPr>
      </w:pPr>
      <w:r>
        <w:rPr>
          <w:rFonts w:hint="eastAsia" w:hAnsi="宋体"/>
          <w:b/>
          <w:bCs/>
        </w:rPr>
        <w:t>一、投诉相关主体基本情况：</w:t>
      </w:r>
    </w:p>
    <w:p w14:paraId="32C402FB">
      <w:pPr>
        <w:pStyle w:val="14"/>
        <w:snapToGrid w:val="0"/>
        <w:spacing w:line="400" w:lineRule="exact"/>
        <w:ind w:firstLine="440" w:firstLineChars="200"/>
        <w:rPr>
          <w:rFonts w:hAnsi="宋体"/>
          <w:bCs/>
          <w:u w:val="single"/>
        </w:rPr>
      </w:pPr>
      <w:r>
        <w:rPr>
          <w:rFonts w:hint="eastAsia" w:hAnsi="宋体"/>
          <w:bCs/>
          <w:lang w:eastAsia="zh-CN"/>
        </w:rPr>
        <w:t>供应商</w:t>
      </w:r>
      <w:r>
        <w:rPr>
          <w:rFonts w:hint="eastAsia" w:hAnsi="宋体"/>
          <w:bCs/>
        </w:rPr>
        <w:t>：</w:t>
      </w:r>
    </w:p>
    <w:p w14:paraId="1C49D933">
      <w:pPr>
        <w:pStyle w:val="14"/>
        <w:snapToGrid w:val="0"/>
        <w:spacing w:line="400" w:lineRule="exact"/>
        <w:ind w:firstLine="440" w:firstLineChars="200"/>
        <w:rPr>
          <w:rFonts w:hAnsi="宋体"/>
          <w:bCs/>
        </w:rPr>
      </w:pPr>
      <w:r>
        <w:rPr>
          <w:rFonts w:hAnsi="宋体"/>
          <w:bCs/>
        </w:rPr>
        <w:t>地址</w:t>
      </w:r>
      <w:r>
        <w:rPr>
          <w:rFonts w:hint="eastAsia" w:hAnsi="宋体"/>
          <w:bCs/>
        </w:rPr>
        <w:t>：</w:t>
      </w:r>
      <w:r>
        <w:rPr>
          <w:rFonts w:hAnsi="宋体"/>
          <w:bCs/>
        </w:rPr>
        <w:t>邮编</w:t>
      </w:r>
      <w:r>
        <w:rPr>
          <w:rFonts w:hint="eastAsia" w:hAnsi="宋体"/>
          <w:bCs/>
        </w:rPr>
        <w:t>：</w:t>
      </w:r>
    </w:p>
    <w:p w14:paraId="12EFAADD">
      <w:pPr>
        <w:pStyle w:val="14"/>
        <w:snapToGrid w:val="0"/>
        <w:spacing w:line="400" w:lineRule="exact"/>
        <w:ind w:firstLine="440" w:firstLineChars="200"/>
        <w:rPr>
          <w:rFonts w:hAnsi="宋体"/>
          <w:bCs/>
          <w:u w:val="single"/>
        </w:rPr>
      </w:pPr>
      <w:r>
        <w:rPr>
          <w:rFonts w:hint="eastAsia" w:hAnsi="宋体"/>
          <w:bCs/>
        </w:rPr>
        <w:t>法定代表人/主要负责人：</w:t>
      </w:r>
    </w:p>
    <w:p w14:paraId="5A2B45DA">
      <w:pPr>
        <w:pStyle w:val="14"/>
        <w:snapToGrid w:val="0"/>
        <w:spacing w:line="400" w:lineRule="exact"/>
        <w:ind w:firstLine="440" w:firstLineChars="200"/>
        <w:rPr>
          <w:rFonts w:hAnsi="宋体"/>
          <w:bCs/>
        </w:rPr>
      </w:pPr>
      <w:r>
        <w:rPr>
          <w:rFonts w:hAnsi="宋体"/>
          <w:bCs/>
        </w:rPr>
        <w:t>联系电话</w:t>
      </w:r>
      <w:r>
        <w:rPr>
          <w:rFonts w:hint="eastAsia" w:hAnsi="宋体"/>
          <w:bCs/>
        </w:rPr>
        <w:t>：</w:t>
      </w:r>
    </w:p>
    <w:p w14:paraId="2D5E3D4A">
      <w:pPr>
        <w:pStyle w:val="14"/>
        <w:snapToGrid w:val="0"/>
        <w:spacing w:line="400" w:lineRule="exact"/>
        <w:ind w:firstLine="440" w:firstLineChars="200"/>
        <w:rPr>
          <w:rFonts w:hAnsi="宋体"/>
          <w:bCs/>
          <w:u w:val="single"/>
        </w:rPr>
      </w:pPr>
      <w:r>
        <w:rPr>
          <w:rFonts w:hint="eastAsia" w:hAnsi="宋体"/>
          <w:bCs/>
        </w:rPr>
        <w:t>授权代表：</w:t>
      </w:r>
      <w:r>
        <w:rPr>
          <w:rFonts w:hAnsi="宋体"/>
          <w:bCs/>
        </w:rPr>
        <w:t>联系</w:t>
      </w:r>
      <w:r>
        <w:rPr>
          <w:rFonts w:hint="eastAsia" w:hAnsi="宋体"/>
          <w:bCs/>
        </w:rPr>
        <w:t>电话：</w:t>
      </w:r>
    </w:p>
    <w:p w14:paraId="3E1BBA29">
      <w:pPr>
        <w:pStyle w:val="14"/>
        <w:snapToGrid w:val="0"/>
        <w:spacing w:line="400" w:lineRule="exact"/>
        <w:ind w:firstLine="440" w:firstLineChars="200"/>
        <w:rPr>
          <w:rFonts w:hAnsi="宋体"/>
          <w:bCs/>
        </w:rPr>
      </w:pPr>
      <w:r>
        <w:rPr>
          <w:rFonts w:hAnsi="宋体"/>
          <w:bCs/>
        </w:rPr>
        <w:t>地址</w:t>
      </w:r>
      <w:r>
        <w:rPr>
          <w:rFonts w:hint="eastAsia" w:hAnsi="宋体"/>
          <w:bCs/>
        </w:rPr>
        <w:t>：</w:t>
      </w:r>
      <w:r>
        <w:rPr>
          <w:rFonts w:hAnsi="宋体"/>
          <w:bCs/>
        </w:rPr>
        <w:t>邮编</w:t>
      </w:r>
      <w:r>
        <w:rPr>
          <w:rFonts w:hint="eastAsia" w:hAnsi="宋体"/>
          <w:bCs/>
        </w:rPr>
        <w:t>：</w:t>
      </w:r>
    </w:p>
    <w:p w14:paraId="35CAF185">
      <w:pPr>
        <w:pStyle w:val="14"/>
        <w:snapToGrid w:val="0"/>
        <w:spacing w:line="400" w:lineRule="exact"/>
        <w:ind w:firstLine="440" w:firstLineChars="200"/>
        <w:rPr>
          <w:rFonts w:hAnsi="宋体"/>
          <w:bCs/>
          <w:u w:val="single"/>
        </w:rPr>
      </w:pPr>
      <w:r>
        <w:rPr>
          <w:rFonts w:hint="eastAsia" w:hAnsi="宋体"/>
          <w:bCs/>
        </w:rPr>
        <w:t>被投诉人1：</w:t>
      </w:r>
    </w:p>
    <w:p w14:paraId="30A6AA58">
      <w:pPr>
        <w:pStyle w:val="14"/>
        <w:snapToGrid w:val="0"/>
        <w:spacing w:line="400" w:lineRule="exact"/>
        <w:ind w:firstLine="440" w:firstLineChars="200"/>
        <w:rPr>
          <w:rFonts w:hAnsi="宋体"/>
          <w:bCs/>
        </w:rPr>
      </w:pPr>
      <w:r>
        <w:rPr>
          <w:rFonts w:hint="eastAsia" w:hAnsi="宋体"/>
          <w:bCs/>
        </w:rPr>
        <w:t>地址：</w:t>
      </w:r>
      <w:r>
        <w:rPr>
          <w:rFonts w:hAnsi="宋体"/>
          <w:bCs/>
        </w:rPr>
        <w:t>邮编</w:t>
      </w:r>
      <w:r>
        <w:rPr>
          <w:rFonts w:hint="eastAsia" w:hAnsi="宋体"/>
          <w:bCs/>
        </w:rPr>
        <w:t>：</w:t>
      </w:r>
    </w:p>
    <w:p w14:paraId="61FDAFDA">
      <w:pPr>
        <w:pStyle w:val="14"/>
        <w:snapToGrid w:val="0"/>
        <w:spacing w:line="400" w:lineRule="exact"/>
        <w:ind w:firstLine="440" w:firstLineChars="200"/>
        <w:rPr>
          <w:rFonts w:hAnsi="宋体"/>
          <w:bCs/>
          <w:u w:val="single"/>
        </w:rPr>
      </w:pPr>
      <w:r>
        <w:rPr>
          <w:rFonts w:hint="eastAsia" w:hAnsi="宋体"/>
          <w:bCs/>
        </w:rPr>
        <w:t>联系人：</w:t>
      </w:r>
      <w:r>
        <w:rPr>
          <w:rFonts w:hAnsi="宋体"/>
          <w:bCs/>
        </w:rPr>
        <w:t>联系</w:t>
      </w:r>
      <w:r>
        <w:rPr>
          <w:rFonts w:hint="eastAsia" w:hAnsi="宋体"/>
          <w:bCs/>
        </w:rPr>
        <w:t>电话：</w:t>
      </w:r>
    </w:p>
    <w:p w14:paraId="20DDEA9A">
      <w:pPr>
        <w:pStyle w:val="14"/>
        <w:snapToGrid w:val="0"/>
        <w:spacing w:line="400" w:lineRule="exact"/>
        <w:ind w:firstLine="440" w:firstLineChars="200"/>
        <w:rPr>
          <w:rFonts w:hAnsi="宋体"/>
          <w:bCs/>
        </w:rPr>
      </w:pPr>
      <w:r>
        <w:rPr>
          <w:rFonts w:hint="eastAsia" w:hAnsi="宋体"/>
          <w:bCs/>
        </w:rPr>
        <w:t>被投诉人2：</w:t>
      </w:r>
    </w:p>
    <w:p w14:paraId="41D4D79A">
      <w:pPr>
        <w:pStyle w:val="14"/>
        <w:snapToGrid w:val="0"/>
        <w:spacing w:line="400" w:lineRule="exact"/>
        <w:ind w:firstLine="440" w:firstLineChars="200"/>
        <w:rPr>
          <w:rFonts w:hAnsi="宋体"/>
          <w:bCs/>
        </w:rPr>
      </w:pPr>
      <w:r>
        <w:rPr>
          <w:rFonts w:hAnsi="宋体"/>
          <w:bCs/>
        </w:rPr>
        <w:t>……</w:t>
      </w:r>
    </w:p>
    <w:p w14:paraId="44A5FD2C">
      <w:pPr>
        <w:pStyle w:val="14"/>
        <w:snapToGrid w:val="0"/>
        <w:spacing w:line="400" w:lineRule="exact"/>
        <w:ind w:firstLine="440" w:firstLineChars="200"/>
        <w:rPr>
          <w:rFonts w:hAnsi="宋体"/>
          <w:bCs/>
          <w:u w:val="single"/>
        </w:rPr>
      </w:pPr>
      <w:r>
        <w:rPr>
          <w:rFonts w:hint="eastAsia" w:hAnsi="宋体"/>
          <w:bCs/>
        </w:rPr>
        <w:t>相关供应商：</w:t>
      </w:r>
    </w:p>
    <w:p w14:paraId="5EA58393">
      <w:pPr>
        <w:pStyle w:val="14"/>
        <w:snapToGrid w:val="0"/>
        <w:spacing w:line="400" w:lineRule="exact"/>
        <w:ind w:firstLine="440" w:firstLineChars="200"/>
        <w:rPr>
          <w:rFonts w:hAnsi="宋体"/>
          <w:bCs/>
          <w:u w:val="single"/>
        </w:rPr>
      </w:pPr>
      <w:r>
        <w:rPr>
          <w:rFonts w:hAnsi="宋体"/>
          <w:bCs/>
        </w:rPr>
        <w:t>地址</w:t>
      </w:r>
      <w:r>
        <w:rPr>
          <w:rFonts w:hint="eastAsia" w:hAnsi="宋体"/>
          <w:bCs/>
        </w:rPr>
        <w:t>：</w:t>
      </w:r>
      <w:r>
        <w:rPr>
          <w:rFonts w:hAnsi="宋体"/>
          <w:bCs/>
        </w:rPr>
        <w:t>邮编</w:t>
      </w:r>
      <w:r>
        <w:rPr>
          <w:rFonts w:hint="eastAsia" w:hAnsi="宋体"/>
          <w:bCs/>
        </w:rPr>
        <w:t>：</w:t>
      </w:r>
    </w:p>
    <w:p w14:paraId="6C2045AF">
      <w:pPr>
        <w:pStyle w:val="14"/>
        <w:snapToGrid w:val="0"/>
        <w:spacing w:line="400" w:lineRule="exact"/>
        <w:ind w:firstLine="440" w:firstLineChars="200"/>
        <w:rPr>
          <w:rFonts w:hAnsi="宋体"/>
          <w:bCs/>
        </w:rPr>
      </w:pPr>
      <w:r>
        <w:rPr>
          <w:rFonts w:hint="eastAsia" w:hAnsi="宋体"/>
          <w:bCs/>
        </w:rPr>
        <w:t>联系人：</w:t>
      </w:r>
      <w:r>
        <w:rPr>
          <w:rFonts w:hAnsi="宋体"/>
          <w:bCs/>
        </w:rPr>
        <w:t>联系</w:t>
      </w:r>
      <w:r>
        <w:rPr>
          <w:rFonts w:hint="eastAsia" w:hAnsi="宋体"/>
          <w:bCs/>
        </w:rPr>
        <w:t>电话：</w:t>
      </w:r>
    </w:p>
    <w:p w14:paraId="48927E56">
      <w:pPr>
        <w:pStyle w:val="14"/>
        <w:snapToGrid w:val="0"/>
        <w:spacing w:line="400" w:lineRule="exact"/>
        <w:ind w:firstLine="442" w:firstLineChars="200"/>
        <w:rPr>
          <w:rFonts w:hAnsi="宋体"/>
          <w:b/>
          <w:bCs/>
        </w:rPr>
      </w:pPr>
      <w:r>
        <w:rPr>
          <w:rFonts w:hint="eastAsia" w:hAnsi="宋体"/>
          <w:b/>
          <w:bCs/>
        </w:rPr>
        <w:t>二、投诉项目基本情况：</w:t>
      </w:r>
    </w:p>
    <w:p w14:paraId="38C061A4">
      <w:pPr>
        <w:pStyle w:val="14"/>
        <w:spacing w:line="400" w:lineRule="exact"/>
        <w:ind w:left="26" w:leftChars="12" w:firstLine="433" w:firstLineChars="197"/>
        <w:rPr>
          <w:rFonts w:hAnsi="宋体"/>
          <w:szCs w:val="21"/>
        </w:rPr>
      </w:pPr>
      <w:r>
        <w:rPr>
          <w:rFonts w:hint="eastAsia" w:hAnsi="宋体"/>
          <w:bCs/>
        </w:rPr>
        <w:t>采购</w:t>
      </w:r>
      <w:r>
        <w:rPr>
          <w:rFonts w:hint="eastAsia" w:hAnsi="宋体"/>
          <w:szCs w:val="21"/>
        </w:rPr>
        <w:t>项目的名称：</w:t>
      </w:r>
    </w:p>
    <w:p w14:paraId="72E21EF0">
      <w:pPr>
        <w:pStyle w:val="14"/>
        <w:spacing w:line="400" w:lineRule="exact"/>
        <w:ind w:left="26" w:leftChars="12" w:firstLine="433" w:firstLineChars="197"/>
        <w:rPr>
          <w:rFonts w:hAnsi="宋体"/>
          <w:szCs w:val="21"/>
        </w:rPr>
      </w:pPr>
      <w:r>
        <w:rPr>
          <w:rFonts w:hint="eastAsia" w:hAnsi="宋体"/>
          <w:bCs/>
        </w:rPr>
        <w:t>采购</w:t>
      </w:r>
      <w:r>
        <w:rPr>
          <w:rFonts w:hint="eastAsia" w:hAnsi="宋体"/>
          <w:szCs w:val="21"/>
        </w:rPr>
        <w:t>项目的编号：</w:t>
      </w:r>
      <w:r>
        <w:rPr>
          <w:rFonts w:hint="eastAsia" w:hAnsi="宋体"/>
          <w:bCs/>
        </w:rPr>
        <w:t>包号：</w:t>
      </w:r>
    </w:p>
    <w:p w14:paraId="43F09374">
      <w:pPr>
        <w:pStyle w:val="14"/>
        <w:spacing w:line="400" w:lineRule="exact"/>
        <w:ind w:left="26" w:leftChars="12" w:firstLine="433" w:firstLineChars="197"/>
        <w:rPr>
          <w:rFonts w:hAnsi="宋体"/>
          <w:bCs/>
          <w:u w:val="single"/>
        </w:rPr>
      </w:pPr>
      <w:r>
        <w:rPr>
          <w:rFonts w:hint="eastAsia" w:hAnsi="宋体"/>
          <w:szCs w:val="21"/>
        </w:rPr>
        <w:t>采购人名称：</w:t>
      </w:r>
    </w:p>
    <w:p w14:paraId="18229A89">
      <w:pPr>
        <w:pStyle w:val="14"/>
        <w:spacing w:line="400" w:lineRule="exact"/>
        <w:ind w:left="26" w:leftChars="12" w:firstLine="433" w:firstLineChars="197"/>
        <w:rPr>
          <w:rFonts w:hAnsi="宋体"/>
          <w:bCs/>
          <w:u w:val="single"/>
        </w:rPr>
      </w:pPr>
      <w:r>
        <w:rPr>
          <w:rFonts w:hint="eastAsia" w:hAnsi="宋体"/>
          <w:szCs w:val="21"/>
        </w:rPr>
        <w:t>代理机构名称：</w:t>
      </w:r>
    </w:p>
    <w:p w14:paraId="229642F7">
      <w:pPr>
        <w:pStyle w:val="14"/>
        <w:spacing w:line="400" w:lineRule="exact"/>
        <w:ind w:left="26" w:leftChars="12" w:firstLine="433" w:firstLineChars="197"/>
        <w:rPr>
          <w:rFonts w:hAnsi="宋体"/>
          <w:bCs/>
          <w:u w:val="single"/>
        </w:rPr>
      </w:pPr>
      <w:r>
        <w:rPr>
          <w:rFonts w:hint="eastAsia" w:hAnsi="宋体"/>
          <w:bCs/>
        </w:rPr>
        <w:t>采购文件公告：</w:t>
      </w:r>
      <w:r>
        <w:rPr>
          <w:rFonts w:hint="eastAsia" w:hAnsi="宋体"/>
          <w:bCs/>
          <w:u w:val="single"/>
        </w:rPr>
        <w:t>是/否</w:t>
      </w:r>
      <w:r>
        <w:rPr>
          <w:rFonts w:hint="eastAsia" w:hAnsi="宋体"/>
          <w:bCs/>
        </w:rPr>
        <w:t>公告期限：</w:t>
      </w:r>
    </w:p>
    <w:p w14:paraId="6FBFC869">
      <w:pPr>
        <w:pStyle w:val="14"/>
        <w:spacing w:line="400" w:lineRule="exact"/>
        <w:ind w:left="26" w:leftChars="12" w:firstLine="433" w:firstLineChars="197"/>
        <w:rPr>
          <w:rFonts w:hAnsi="宋体"/>
          <w:b/>
          <w:szCs w:val="21"/>
        </w:rPr>
      </w:pPr>
      <w:r>
        <w:rPr>
          <w:rFonts w:hint="eastAsia" w:hAnsi="宋体"/>
          <w:bCs/>
        </w:rPr>
        <w:t>采购结果公告：</w:t>
      </w:r>
      <w:r>
        <w:rPr>
          <w:rFonts w:hint="eastAsia" w:hAnsi="宋体"/>
          <w:bCs/>
          <w:u w:val="single"/>
        </w:rPr>
        <w:t>是/否</w:t>
      </w:r>
      <w:r>
        <w:rPr>
          <w:rFonts w:hint="eastAsia" w:hAnsi="宋体"/>
          <w:bCs/>
        </w:rPr>
        <w:t>公告期限：</w:t>
      </w:r>
    </w:p>
    <w:p w14:paraId="6569478B">
      <w:pPr>
        <w:pStyle w:val="14"/>
        <w:spacing w:line="400" w:lineRule="exact"/>
        <w:ind w:left="26" w:leftChars="12" w:firstLine="433" w:firstLineChars="196"/>
        <w:rPr>
          <w:rFonts w:hAnsi="宋体"/>
          <w:b/>
          <w:szCs w:val="21"/>
        </w:rPr>
      </w:pPr>
      <w:r>
        <w:rPr>
          <w:rFonts w:hint="eastAsia" w:hAnsi="宋体"/>
          <w:b/>
          <w:szCs w:val="21"/>
        </w:rPr>
        <w:t>三、质疑基本情况</w:t>
      </w:r>
    </w:p>
    <w:p w14:paraId="66126AC6">
      <w:pPr>
        <w:pStyle w:val="14"/>
        <w:spacing w:line="400" w:lineRule="exact"/>
        <w:ind w:left="26" w:leftChars="12" w:firstLine="873" w:firstLineChars="397"/>
        <w:rPr>
          <w:rFonts w:hAnsi="宋体"/>
          <w:szCs w:val="21"/>
        </w:rPr>
      </w:pPr>
      <w:r>
        <w:rPr>
          <w:rFonts w:hint="eastAsia" w:hAnsi="宋体"/>
          <w:szCs w:val="21"/>
        </w:rPr>
        <w:t>投诉人于年月日，向提出质疑，质疑事项为：</w:t>
      </w:r>
    </w:p>
    <w:p w14:paraId="1E1415A3">
      <w:pPr>
        <w:pStyle w:val="14"/>
        <w:spacing w:line="400" w:lineRule="exact"/>
        <w:rPr>
          <w:rFonts w:hAnsi="宋体"/>
          <w:bCs/>
          <w:u w:val="single"/>
        </w:rPr>
      </w:pPr>
    </w:p>
    <w:p w14:paraId="4EF878DF">
      <w:pPr>
        <w:pStyle w:val="14"/>
        <w:spacing w:line="400" w:lineRule="exact"/>
        <w:rPr>
          <w:rFonts w:hAnsi="宋体"/>
          <w:bCs/>
          <w:u w:val="single"/>
        </w:rPr>
      </w:pPr>
    </w:p>
    <w:p w14:paraId="3780DF6D">
      <w:pPr>
        <w:pStyle w:val="14"/>
        <w:spacing w:line="400" w:lineRule="exact"/>
        <w:rPr>
          <w:rFonts w:hAnsi="宋体"/>
          <w:szCs w:val="21"/>
        </w:rPr>
      </w:pPr>
      <w:r>
        <w:rPr>
          <w:rFonts w:hint="eastAsia" w:hAnsi="宋体"/>
          <w:bCs/>
          <w:u w:val="single"/>
        </w:rPr>
        <w:t>采购人/代理机构</w:t>
      </w:r>
      <w:r>
        <w:rPr>
          <w:rFonts w:hint="eastAsia" w:hAnsi="宋体"/>
          <w:bCs/>
        </w:rPr>
        <w:t>于</w:t>
      </w:r>
      <w:r>
        <w:rPr>
          <w:rFonts w:hint="eastAsia" w:hAnsi="宋体"/>
          <w:szCs w:val="21"/>
        </w:rPr>
        <w:t>年月日，</w:t>
      </w:r>
      <w:r>
        <w:rPr>
          <w:rFonts w:hint="eastAsia" w:hAnsi="宋体"/>
          <w:bCs/>
        </w:rPr>
        <w:t>就质疑事项作出了答复/没有在法定期限内作出答复。</w:t>
      </w:r>
    </w:p>
    <w:p w14:paraId="49FE7CD3">
      <w:pPr>
        <w:pStyle w:val="14"/>
        <w:spacing w:line="400" w:lineRule="exact"/>
        <w:ind w:left="26" w:leftChars="12" w:firstLine="433" w:firstLineChars="196"/>
        <w:rPr>
          <w:rFonts w:hAnsi="宋体"/>
          <w:b/>
          <w:szCs w:val="21"/>
        </w:rPr>
      </w:pPr>
      <w:r>
        <w:rPr>
          <w:rFonts w:hint="eastAsia" w:hAnsi="宋体"/>
          <w:b/>
          <w:szCs w:val="21"/>
        </w:rPr>
        <w:t>四、投诉事项具体内容</w:t>
      </w:r>
    </w:p>
    <w:p w14:paraId="0A08B45C">
      <w:pPr>
        <w:pStyle w:val="14"/>
        <w:spacing w:line="400" w:lineRule="exact"/>
        <w:ind w:left="26" w:leftChars="12" w:firstLine="433" w:firstLineChars="197"/>
        <w:rPr>
          <w:rFonts w:hAnsi="宋体"/>
          <w:bCs/>
          <w:u w:val="single"/>
        </w:rPr>
      </w:pPr>
      <w:r>
        <w:rPr>
          <w:rFonts w:hint="eastAsia" w:hAnsi="宋体"/>
          <w:szCs w:val="21"/>
        </w:rPr>
        <w:t>投诉事项1：</w:t>
      </w:r>
    </w:p>
    <w:p w14:paraId="2CBE0446">
      <w:pPr>
        <w:pStyle w:val="14"/>
        <w:spacing w:line="400" w:lineRule="exact"/>
        <w:ind w:firstLine="440" w:firstLineChars="200"/>
        <w:rPr>
          <w:rFonts w:hAnsi="宋体"/>
          <w:bCs/>
          <w:u w:val="single"/>
        </w:rPr>
      </w:pPr>
      <w:r>
        <w:rPr>
          <w:rFonts w:hint="eastAsia" w:hAnsi="宋体"/>
          <w:bCs/>
        </w:rPr>
        <w:t>事实依据：</w:t>
      </w:r>
    </w:p>
    <w:p w14:paraId="5FC40637">
      <w:pPr>
        <w:pStyle w:val="14"/>
        <w:spacing w:line="400" w:lineRule="exact"/>
        <w:ind w:left="26" w:leftChars="12" w:firstLine="433" w:firstLineChars="197"/>
        <w:rPr>
          <w:rFonts w:hAnsi="宋体"/>
          <w:szCs w:val="21"/>
        </w:rPr>
      </w:pPr>
    </w:p>
    <w:p w14:paraId="4657FE2A">
      <w:pPr>
        <w:pStyle w:val="14"/>
        <w:spacing w:line="400" w:lineRule="exact"/>
        <w:ind w:firstLine="440" w:firstLineChars="200"/>
        <w:rPr>
          <w:rFonts w:hAnsi="宋体"/>
          <w:bCs/>
          <w:u w:val="single"/>
        </w:rPr>
      </w:pPr>
      <w:r>
        <w:rPr>
          <w:rFonts w:hint="eastAsia" w:hAnsi="宋体"/>
          <w:bCs/>
        </w:rPr>
        <w:t>法律依据：</w:t>
      </w:r>
    </w:p>
    <w:p w14:paraId="637F77C7">
      <w:pPr>
        <w:pStyle w:val="14"/>
        <w:spacing w:line="400" w:lineRule="exact"/>
        <w:ind w:left="26" w:leftChars="12" w:firstLine="323" w:firstLineChars="147"/>
        <w:rPr>
          <w:rFonts w:hAnsi="宋体"/>
          <w:bCs/>
          <w:u w:val="single"/>
        </w:rPr>
      </w:pPr>
    </w:p>
    <w:p w14:paraId="7EDD804C">
      <w:pPr>
        <w:pStyle w:val="14"/>
        <w:spacing w:line="400" w:lineRule="exact"/>
        <w:ind w:left="26" w:leftChars="12" w:firstLine="433" w:firstLineChars="197"/>
        <w:rPr>
          <w:rFonts w:hAnsi="宋体"/>
          <w:bCs/>
        </w:rPr>
      </w:pPr>
      <w:r>
        <w:rPr>
          <w:rFonts w:hint="eastAsia" w:hAnsi="宋体"/>
          <w:szCs w:val="21"/>
        </w:rPr>
        <w:t>投诉事项2</w:t>
      </w:r>
    </w:p>
    <w:p w14:paraId="3BDA33A1">
      <w:pPr>
        <w:pStyle w:val="14"/>
        <w:spacing w:line="400" w:lineRule="exact"/>
        <w:ind w:left="26" w:leftChars="12" w:firstLine="433" w:firstLineChars="197"/>
        <w:rPr>
          <w:rFonts w:hAnsi="宋体"/>
          <w:bCs/>
        </w:rPr>
      </w:pPr>
      <w:r>
        <w:rPr>
          <w:rFonts w:hAnsi="宋体"/>
          <w:bCs/>
        </w:rPr>
        <w:t>……</w:t>
      </w:r>
    </w:p>
    <w:p w14:paraId="427CD004">
      <w:pPr>
        <w:pStyle w:val="14"/>
        <w:spacing w:line="400" w:lineRule="exact"/>
        <w:ind w:left="26" w:leftChars="12" w:firstLine="433" w:firstLineChars="196"/>
        <w:rPr>
          <w:rFonts w:hAnsi="宋体"/>
          <w:b/>
          <w:szCs w:val="21"/>
        </w:rPr>
      </w:pPr>
      <w:r>
        <w:rPr>
          <w:rFonts w:hint="eastAsia" w:hAnsi="宋体"/>
          <w:b/>
          <w:szCs w:val="21"/>
        </w:rPr>
        <w:t>五、与投诉事项相关的投诉请求：</w:t>
      </w:r>
    </w:p>
    <w:p w14:paraId="1A5E7AC0">
      <w:pPr>
        <w:pStyle w:val="14"/>
        <w:spacing w:line="400" w:lineRule="exact"/>
        <w:ind w:left="26" w:leftChars="12" w:firstLine="433" w:firstLineChars="197"/>
        <w:rPr>
          <w:rFonts w:hAnsi="宋体"/>
          <w:szCs w:val="21"/>
        </w:rPr>
      </w:pPr>
      <w:r>
        <w:rPr>
          <w:rFonts w:hint="eastAsia" w:hAnsi="宋体"/>
          <w:szCs w:val="21"/>
        </w:rPr>
        <w:t>请求：</w:t>
      </w:r>
    </w:p>
    <w:p w14:paraId="0121B906">
      <w:pPr>
        <w:pStyle w:val="14"/>
        <w:spacing w:line="400" w:lineRule="exact"/>
        <w:ind w:left="26" w:leftChars="12" w:firstLine="323" w:firstLineChars="147"/>
        <w:rPr>
          <w:rFonts w:hAnsi="宋体"/>
          <w:szCs w:val="21"/>
        </w:rPr>
      </w:pPr>
    </w:p>
    <w:p w14:paraId="0AE6A24D">
      <w:pPr>
        <w:pStyle w:val="14"/>
        <w:spacing w:line="400" w:lineRule="exact"/>
        <w:ind w:left="26" w:leftChars="12" w:firstLine="433" w:firstLineChars="197"/>
        <w:rPr>
          <w:rFonts w:hAnsi="宋体"/>
          <w:szCs w:val="21"/>
        </w:rPr>
      </w:pPr>
      <w:r>
        <w:rPr>
          <w:rFonts w:hint="eastAsia" w:hAnsi="宋体"/>
          <w:szCs w:val="21"/>
        </w:rPr>
        <w:t>签字（签章）：公章：</w:t>
      </w:r>
    </w:p>
    <w:p w14:paraId="00D04387">
      <w:pPr>
        <w:pStyle w:val="14"/>
        <w:spacing w:line="400" w:lineRule="exact"/>
        <w:ind w:left="26" w:leftChars="12" w:firstLine="323" w:firstLineChars="147"/>
        <w:rPr>
          <w:rFonts w:hAnsi="宋体"/>
          <w:szCs w:val="21"/>
        </w:rPr>
      </w:pPr>
    </w:p>
    <w:p w14:paraId="4C9688D1">
      <w:pPr>
        <w:pStyle w:val="14"/>
        <w:spacing w:line="400" w:lineRule="exact"/>
        <w:ind w:left="26" w:leftChars="12" w:firstLine="433" w:firstLineChars="197"/>
        <w:rPr>
          <w:rFonts w:hAnsi="宋体"/>
          <w:szCs w:val="21"/>
        </w:rPr>
      </w:pPr>
      <w:r>
        <w:rPr>
          <w:rFonts w:hint="eastAsia" w:hAnsi="宋体"/>
          <w:szCs w:val="21"/>
        </w:rPr>
        <w:t>日期：</w:t>
      </w:r>
    </w:p>
    <w:p w14:paraId="0C03DD0F">
      <w:pPr>
        <w:pStyle w:val="14"/>
        <w:spacing w:line="360" w:lineRule="exact"/>
        <w:ind w:left="26" w:leftChars="12" w:firstLine="433" w:firstLineChars="197"/>
        <w:rPr>
          <w:rFonts w:hAnsi="宋体"/>
          <w:szCs w:val="21"/>
        </w:rPr>
      </w:pPr>
    </w:p>
    <w:p w14:paraId="4CD5EFD3">
      <w:pPr>
        <w:pStyle w:val="14"/>
        <w:snapToGrid w:val="0"/>
        <w:spacing w:line="340" w:lineRule="exact"/>
        <w:ind w:firstLine="422"/>
        <w:rPr>
          <w:rFonts w:hAnsi="宋体"/>
          <w:b/>
          <w:szCs w:val="21"/>
        </w:rPr>
      </w:pPr>
      <w:r>
        <w:rPr>
          <w:rFonts w:hint="eastAsia" w:hAnsi="宋体"/>
          <w:b/>
          <w:szCs w:val="21"/>
        </w:rPr>
        <w:t>说明：</w:t>
      </w:r>
    </w:p>
    <w:p w14:paraId="77CA806B">
      <w:pPr>
        <w:pStyle w:val="14"/>
        <w:spacing w:line="340" w:lineRule="exact"/>
        <w:ind w:left="26" w:leftChars="12" w:firstLine="325" w:firstLineChars="147"/>
        <w:rPr>
          <w:rFonts w:hAnsi="宋体"/>
          <w:b/>
          <w:bCs/>
        </w:rPr>
      </w:pPr>
      <w:r>
        <w:rPr>
          <w:rFonts w:hint="eastAsia" w:hAnsi="宋体"/>
          <w:b/>
          <w:szCs w:val="21"/>
        </w:rPr>
        <w:t>1.投诉人提起投诉时，应当提交投诉书和必要的证明材料，并按照被投诉人和与投诉事项有关的供应商数量提供投诉书副本。</w:t>
      </w:r>
    </w:p>
    <w:p w14:paraId="4106D5ED">
      <w:pPr>
        <w:pStyle w:val="14"/>
        <w:spacing w:line="340" w:lineRule="exact"/>
        <w:ind w:left="26" w:leftChars="12" w:firstLine="325" w:firstLineChars="147"/>
        <w:rPr>
          <w:rFonts w:hAnsi="宋体"/>
          <w:b/>
          <w:szCs w:val="21"/>
        </w:rPr>
      </w:pPr>
      <w:r>
        <w:rPr>
          <w:rFonts w:hint="eastAsia" w:hAnsi="宋体"/>
          <w:b/>
          <w:szCs w:val="21"/>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3FDC06B8">
      <w:pPr>
        <w:pStyle w:val="14"/>
        <w:spacing w:line="340" w:lineRule="exact"/>
        <w:ind w:left="26" w:leftChars="12" w:firstLine="325" w:firstLineChars="147"/>
        <w:rPr>
          <w:rFonts w:hAnsi="宋体"/>
          <w:b/>
          <w:szCs w:val="21"/>
        </w:rPr>
      </w:pPr>
      <w:r>
        <w:rPr>
          <w:rFonts w:hint="eastAsia" w:hAnsi="宋体"/>
          <w:b/>
          <w:szCs w:val="21"/>
        </w:rPr>
        <w:t>3.投诉人若对项目的某一分包进行投诉，投诉书应列明具体分包号。</w:t>
      </w:r>
    </w:p>
    <w:p w14:paraId="637B8C6C">
      <w:pPr>
        <w:pStyle w:val="14"/>
        <w:spacing w:line="340" w:lineRule="exact"/>
        <w:ind w:left="26" w:leftChars="12" w:firstLine="325" w:firstLineChars="147"/>
        <w:rPr>
          <w:rFonts w:hAnsi="宋体"/>
          <w:b/>
          <w:szCs w:val="21"/>
        </w:rPr>
      </w:pPr>
      <w:r>
        <w:rPr>
          <w:rFonts w:hint="eastAsia" w:hAnsi="宋体"/>
          <w:b/>
          <w:szCs w:val="21"/>
        </w:rPr>
        <w:t>4.投诉书应简要列明质疑事项，质疑函、质疑答复等作为附件材料提供。</w:t>
      </w:r>
    </w:p>
    <w:p w14:paraId="7A4C4AA7">
      <w:pPr>
        <w:pStyle w:val="14"/>
        <w:spacing w:line="340" w:lineRule="exact"/>
        <w:ind w:left="26" w:leftChars="12" w:firstLine="325" w:firstLineChars="147"/>
        <w:rPr>
          <w:rFonts w:hAnsi="宋体"/>
          <w:b/>
          <w:szCs w:val="21"/>
        </w:rPr>
      </w:pPr>
      <w:r>
        <w:rPr>
          <w:rFonts w:hint="eastAsia" w:hAnsi="宋体"/>
          <w:b/>
          <w:szCs w:val="21"/>
        </w:rPr>
        <w:t>5.投诉书的投诉事项应具体、明确，并有必要的事实依据和法律依据。</w:t>
      </w:r>
    </w:p>
    <w:p w14:paraId="46F51CD4">
      <w:pPr>
        <w:pStyle w:val="14"/>
        <w:spacing w:line="340" w:lineRule="exact"/>
        <w:ind w:left="26" w:leftChars="12" w:firstLine="325" w:firstLineChars="147"/>
        <w:rPr>
          <w:rFonts w:hAnsi="宋体"/>
          <w:b/>
          <w:szCs w:val="21"/>
        </w:rPr>
      </w:pPr>
      <w:r>
        <w:rPr>
          <w:rFonts w:hint="eastAsia" w:hAnsi="宋体"/>
          <w:b/>
          <w:szCs w:val="21"/>
        </w:rPr>
        <w:t>6.投诉书的投诉请求应与投诉事项相关。</w:t>
      </w:r>
    </w:p>
    <w:p w14:paraId="0614DFB7">
      <w:pPr>
        <w:pStyle w:val="14"/>
        <w:spacing w:line="340" w:lineRule="exact"/>
        <w:ind w:left="26" w:leftChars="12" w:firstLine="325" w:firstLineChars="147"/>
        <w:rPr>
          <w:b/>
          <w:sz w:val="20"/>
        </w:rPr>
      </w:pPr>
      <w:r>
        <w:rPr>
          <w:rFonts w:hint="eastAsia" w:hAnsi="宋体"/>
          <w:b/>
          <w:szCs w:val="21"/>
        </w:rPr>
        <w:t>7.投诉人为自然人的，投诉书应当由本人签字；投诉人为法人或者其他组织的，投诉书应当由法定代表人、主要负责人，或者其授权代表签字或者盖章，并加盖公章。</w:t>
      </w:r>
    </w:p>
    <w:p w14:paraId="080FE67C">
      <w:pPr>
        <w:pStyle w:val="12"/>
        <w:ind w:firstLine="400"/>
        <w:rPr>
          <w:b/>
          <w:sz w:val="20"/>
        </w:rPr>
      </w:pPr>
    </w:p>
    <w:p w14:paraId="461226C4">
      <w:pPr>
        <w:pStyle w:val="12"/>
        <w:spacing w:before="4"/>
        <w:ind w:firstLine="380"/>
        <w:rPr>
          <w:b/>
          <w:sz w:val="19"/>
        </w:rPr>
      </w:pPr>
    </w:p>
    <w:p w14:paraId="50464B68">
      <w:pPr>
        <w:ind w:firstLine="380"/>
        <w:rPr>
          <w:b/>
          <w:sz w:val="19"/>
        </w:rPr>
      </w:pPr>
    </w:p>
    <w:p w14:paraId="5D7EBF38">
      <w:pPr>
        <w:pStyle w:val="12"/>
      </w:pPr>
    </w:p>
    <w:p w14:paraId="234F14A6">
      <w:pPr>
        <w:ind w:firstLine="422"/>
      </w:pPr>
    </w:p>
    <w:p w14:paraId="613B7E9F">
      <w:pPr>
        <w:pStyle w:val="12"/>
      </w:pPr>
    </w:p>
    <w:p w14:paraId="634D2328">
      <w:pPr>
        <w:ind w:firstLine="422"/>
      </w:pPr>
    </w:p>
    <w:p w14:paraId="0D7B9429">
      <w:pPr>
        <w:pStyle w:val="12"/>
      </w:pPr>
    </w:p>
    <w:p w14:paraId="22887437">
      <w:pPr>
        <w:ind w:firstLine="422"/>
      </w:pPr>
    </w:p>
    <w:p w14:paraId="3AC4E1CC">
      <w:pPr>
        <w:pStyle w:val="12"/>
      </w:pPr>
    </w:p>
    <w:p w14:paraId="5AF52054">
      <w:pPr>
        <w:ind w:firstLine="422"/>
      </w:pPr>
    </w:p>
    <w:p w14:paraId="6DF979F2">
      <w:pPr>
        <w:pStyle w:val="12"/>
      </w:pPr>
    </w:p>
    <w:p w14:paraId="0D7FAE2C">
      <w:pPr>
        <w:ind w:firstLine="422"/>
      </w:pPr>
    </w:p>
    <w:p w14:paraId="2FE2F738">
      <w:pPr>
        <w:pStyle w:val="12"/>
      </w:pPr>
    </w:p>
    <w:p w14:paraId="2C739E4A">
      <w:pPr>
        <w:ind w:firstLine="422"/>
      </w:pPr>
    </w:p>
    <w:p w14:paraId="6E6BE650">
      <w:pPr>
        <w:pStyle w:val="12"/>
      </w:pPr>
    </w:p>
    <w:p w14:paraId="1A610E04">
      <w:pPr>
        <w:ind w:firstLine="422"/>
      </w:pPr>
    </w:p>
    <w:p w14:paraId="7E220036">
      <w:pPr>
        <w:pStyle w:val="12"/>
      </w:pPr>
    </w:p>
    <w:p w14:paraId="734A30E6">
      <w:pPr>
        <w:ind w:firstLine="422"/>
      </w:pPr>
    </w:p>
    <w:p w14:paraId="1DB4510D">
      <w:pPr>
        <w:pStyle w:val="12"/>
      </w:pPr>
    </w:p>
    <w:p w14:paraId="14CCC886">
      <w:pPr>
        <w:ind w:firstLine="422"/>
      </w:pPr>
    </w:p>
    <w:p w14:paraId="319CA58B">
      <w:pPr>
        <w:pStyle w:val="12"/>
      </w:pPr>
    </w:p>
    <w:p w14:paraId="474D30BB">
      <w:pPr>
        <w:ind w:firstLine="422"/>
      </w:pPr>
    </w:p>
    <w:p w14:paraId="5D8644BE">
      <w:pPr>
        <w:pStyle w:val="12"/>
      </w:pPr>
    </w:p>
    <w:p w14:paraId="697A5DE5">
      <w:pPr>
        <w:ind w:firstLine="422"/>
      </w:pPr>
    </w:p>
    <w:p w14:paraId="7EB7DF6A">
      <w:pPr>
        <w:pStyle w:val="12"/>
      </w:pPr>
    </w:p>
    <w:p w14:paraId="7483E825">
      <w:pPr>
        <w:pStyle w:val="10"/>
        <w:ind w:firstLine="422"/>
      </w:pPr>
      <w:r>
        <w:t>附表</w:t>
      </w:r>
      <w:r>
        <w:rPr>
          <w:rFonts w:hint="eastAsia"/>
        </w:rPr>
        <w:t>3</w:t>
      </w:r>
      <w:r>
        <w:t>：</w:t>
      </w:r>
    </w:p>
    <w:p w14:paraId="12483E29">
      <w:pPr>
        <w:pStyle w:val="12"/>
        <w:spacing w:before="6"/>
        <w:rPr>
          <w:b/>
          <w:sz w:val="18"/>
        </w:rPr>
      </w:pPr>
      <w:r>
        <w:drawing>
          <wp:anchor distT="0" distB="0" distL="0" distR="0" simplePos="0" relativeHeight="251662336" behindDoc="1" locked="0" layoutInCell="1" allowOverlap="1">
            <wp:simplePos x="0" y="0"/>
            <wp:positionH relativeFrom="page">
              <wp:posOffset>847090</wp:posOffset>
            </wp:positionH>
            <wp:positionV relativeFrom="paragraph">
              <wp:posOffset>165735</wp:posOffset>
            </wp:positionV>
            <wp:extent cx="5433060" cy="5280660"/>
            <wp:effectExtent l="0" t="0" r="0" b="0"/>
            <wp:wrapTopAndBottom/>
            <wp:docPr id="10" name="Image 10"/>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7" cstate="print"/>
                    <a:stretch>
                      <a:fillRect/>
                    </a:stretch>
                  </pic:blipFill>
                  <pic:spPr>
                    <a:xfrm>
                      <a:off x="0" y="0"/>
                      <a:ext cx="5433308" cy="5280659"/>
                    </a:xfrm>
                    <a:prstGeom prst="rect">
                      <a:avLst/>
                    </a:prstGeom>
                  </pic:spPr>
                </pic:pic>
              </a:graphicData>
            </a:graphic>
          </wp:anchor>
        </w:drawing>
      </w:r>
    </w:p>
    <w:p w14:paraId="09E9AB39">
      <w:pPr>
        <w:ind w:firstLine="361"/>
        <w:rPr>
          <w:sz w:val="18"/>
        </w:rPr>
        <w:sectPr>
          <w:pgSz w:w="11910" w:h="16840"/>
          <w:pgMar w:top="1219" w:right="1219" w:bottom="1219" w:left="1219" w:header="0" w:footer="720" w:gutter="0"/>
          <w:cols w:space="720" w:num="1"/>
        </w:sectPr>
      </w:pPr>
    </w:p>
    <w:p w14:paraId="661BEF91">
      <w:pPr>
        <w:pStyle w:val="2"/>
        <w:spacing w:before="24" w:line="360" w:lineRule="auto"/>
        <w:ind w:right="322" w:firstLine="643"/>
        <w:jc w:val="center"/>
      </w:pPr>
      <w:bookmarkStart w:id="67" w:name="_Toc22621"/>
      <w:r>
        <w:t>第三章采购需求</w:t>
      </w:r>
      <w:bookmarkEnd w:id="67"/>
    </w:p>
    <w:p w14:paraId="3D97EA9A">
      <w:pPr>
        <w:spacing w:line="360" w:lineRule="auto"/>
        <w:ind w:firstLine="422" w:firstLineChars="200"/>
        <w:rPr>
          <w:b/>
          <w:bCs/>
          <w:sz w:val="21"/>
          <w:szCs w:val="21"/>
        </w:rPr>
      </w:pPr>
      <w:r>
        <w:rPr>
          <w:b/>
          <w:bCs/>
          <w:sz w:val="21"/>
          <w:szCs w:val="21"/>
        </w:rPr>
        <w:t>注：本项目采购需求中的所有条款均为实质性要求。</w:t>
      </w:r>
    </w:p>
    <w:p w14:paraId="0801373E">
      <w:pPr>
        <w:spacing w:line="360" w:lineRule="auto"/>
        <w:ind w:firstLine="422" w:firstLineChars="200"/>
        <w:rPr>
          <w:sz w:val="21"/>
          <w:szCs w:val="21"/>
        </w:rPr>
      </w:pPr>
      <w:bookmarkStart w:id="68" w:name="_Toc24407"/>
      <w:bookmarkStart w:id="69" w:name="_Toc17930"/>
      <w:r>
        <w:rPr>
          <w:b/>
          <w:bCs/>
          <w:sz w:val="21"/>
          <w:szCs w:val="21"/>
        </w:rPr>
        <w:t>一、项目名称</w:t>
      </w:r>
      <w:bookmarkEnd w:id="68"/>
      <w:bookmarkEnd w:id="69"/>
    </w:p>
    <w:p w14:paraId="0B9D6709">
      <w:pPr>
        <w:spacing w:line="360" w:lineRule="auto"/>
        <w:ind w:firstLine="420" w:firstLineChars="200"/>
        <w:rPr>
          <w:sz w:val="21"/>
          <w:szCs w:val="21"/>
          <w:highlight w:val="none"/>
        </w:rPr>
      </w:pPr>
      <w:r>
        <w:rPr>
          <w:sz w:val="21"/>
          <w:szCs w:val="21"/>
          <w:highlight w:val="none"/>
        </w:rPr>
        <w:t>广西壮族自治区临桂公路养护中心G322临桂艳滩村至罗江村K1662+000～K</w:t>
      </w:r>
      <w:r>
        <w:rPr>
          <w:rFonts w:hint="eastAsia"/>
          <w:sz w:val="21"/>
          <w:szCs w:val="21"/>
          <w:highlight w:val="none"/>
          <w:lang w:eastAsia="zh-CN"/>
        </w:rPr>
        <w:t>1663+000</w:t>
      </w:r>
      <w:r>
        <w:rPr>
          <w:sz w:val="21"/>
          <w:szCs w:val="21"/>
          <w:highlight w:val="none"/>
        </w:rPr>
        <w:t>段路面修复养护工程</w:t>
      </w:r>
    </w:p>
    <w:p w14:paraId="2D77C233">
      <w:pPr>
        <w:spacing w:line="360" w:lineRule="auto"/>
        <w:ind w:firstLine="422" w:firstLineChars="200"/>
        <w:rPr>
          <w:b/>
          <w:bCs/>
          <w:sz w:val="21"/>
          <w:szCs w:val="21"/>
        </w:rPr>
      </w:pPr>
      <w:bookmarkStart w:id="70" w:name="_Toc14877"/>
      <w:bookmarkStart w:id="71" w:name="_Toc25690"/>
      <w:r>
        <w:rPr>
          <w:b/>
          <w:bCs/>
          <w:sz w:val="21"/>
          <w:szCs w:val="21"/>
        </w:rPr>
        <w:t>二、项目概况</w:t>
      </w:r>
      <w:bookmarkEnd w:id="70"/>
      <w:bookmarkEnd w:id="71"/>
      <w:r>
        <w:rPr>
          <w:rFonts w:hint="eastAsia"/>
          <w:b/>
          <w:bCs/>
          <w:sz w:val="21"/>
          <w:szCs w:val="21"/>
        </w:rPr>
        <w:t>和招标范围</w:t>
      </w:r>
    </w:p>
    <w:p w14:paraId="711AF78E">
      <w:pPr>
        <w:spacing w:line="360" w:lineRule="auto"/>
        <w:ind w:firstLine="420" w:firstLineChars="200"/>
        <w:rPr>
          <w:sz w:val="21"/>
          <w:szCs w:val="21"/>
        </w:rPr>
      </w:pPr>
      <w:r>
        <w:rPr>
          <w:rFonts w:hint="eastAsia"/>
          <w:sz w:val="21"/>
          <w:szCs w:val="21"/>
        </w:rPr>
        <w:t>1.项目概况：本次施工路段为K1662+000～K</w:t>
      </w:r>
      <w:r>
        <w:rPr>
          <w:rFonts w:hint="eastAsia"/>
          <w:sz w:val="21"/>
          <w:szCs w:val="21"/>
          <w:lang w:eastAsia="zh-CN"/>
        </w:rPr>
        <w:t>1663+000</w:t>
      </w:r>
      <w:r>
        <w:rPr>
          <w:rFonts w:hint="eastAsia"/>
          <w:sz w:val="21"/>
          <w:szCs w:val="21"/>
        </w:rPr>
        <w:t>段，全长合计1km，技术等级为二级公路，沥青混凝土路面，路面宽度</w:t>
      </w:r>
      <w:r>
        <w:rPr>
          <w:rFonts w:hint="eastAsia"/>
          <w:sz w:val="21"/>
          <w:szCs w:val="21"/>
          <w:lang w:val="en-US" w:eastAsia="zh-CN"/>
        </w:rPr>
        <w:t>7.5</w:t>
      </w:r>
      <w:r>
        <w:rPr>
          <w:rFonts w:hint="eastAsia"/>
          <w:sz w:val="21"/>
          <w:szCs w:val="21"/>
        </w:rPr>
        <w:t>m，设计速度60</w:t>
      </w:r>
      <w:r>
        <w:rPr>
          <w:rFonts w:hint="eastAsia"/>
          <w:sz w:val="21"/>
          <w:szCs w:val="21"/>
          <w:lang w:eastAsia="zh-CN"/>
        </w:rPr>
        <w:t>（</w:t>
      </w:r>
      <w:r>
        <w:rPr>
          <w:rFonts w:hint="eastAsia"/>
          <w:sz w:val="21"/>
          <w:szCs w:val="21"/>
          <w:lang w:val="en-US" w:eastAsia="zh-CN"/>
        </w:rPr>
        <w:t>40</w:t>
      </w:r>
      <w:r>
        <w:rPr>
          <w:rFonts w:hint="eastAsia"/>
          <w:sz w:val="21"/>
          <w:szCs w:val="21"/>
          <w:lang w:eastAsia="zh-CN"/>
        </w:rPr>
        <w:t>）</w:t>
      </w:r>
      <w:r>
        <w:rPr>
          <w:rFonts w:hint="eastAsia"/>
          <w:sz w:val="21"/>
          <w:szCs w:val="21"/>
        </w:rPr>
        <w:t>km/h。建设内容：旧路面病害处理、路面工程、交通工程等。</w:t>
      </w:r>
    </w:p>
    <w:p w14:paraId="43BC99B3">
      <w:pPr>
        <w:spacing w:line="360" w:lineRule="auto"/>
        <w:ind w:firstLine="420" w:firstLineChars="200"/>
        <w:rPr>
          <w:sz w:val="21"/>
          <w:szCs w:val="21"/>
          <w:highlight w:val="none"/>
        </w:rPr>
      </w:pPr>
      <w:r>
        <w:rPr>
          <w:rFonts w:hint="eastAsia"/>
          <w:sz w:val="21"/>
          <w:szCs w:val="21"/>
          <w:highlight w:val="none"/>
        </w:rPr>
        <w:t>主要</w:t>
      </w:r>
      <w:r>
        <w:rPr>
          <w:rFonts w:hint="eastAsia"/>
          <w:sz w:val="21"/>
          <w:szCs w:val="21"/>
          <w:highlight w:val="none"/>
          <w:lang w:val="en-US" w:eastAsia="zh-CN"/>
        </w:rPr>
        <w:t>施工</w:t>
      </w:r>
      <w:r>
        <w:rPr>
          <w:rFonts w:hint="eastAsia"/>
          <w:sz w:val="21"/>
          <w:szCs w:val="21"/>
          <w:highlight w:val="none"/>
        </w:rPr>
        <w:t>内容：</w:t>
      </w:r>
    </w:p>
    <w:p w14:paraId="4AD43663">
      <w:pPr>
        <w:spacing w:line="360" w:lineRule="auto"/>
        <w:ind w:firstLine="420" w:firstLineChars="200"/>
        <w:rPr>
          <w:rFonts w:hint="eastAsia"/>
          <w:b/>
          <w:bCs/>
          <w:sz w:val="21"/>
          <w:szCs w:val="21"/>
          <w:highlight w:val="none"/>
        </w:rPr>
      </w:pPr>
      <w:r>
        <w:rPr>
          <w:rFonts w:hint="eastAsia"/>
          <w:sz w:val="21"/>
          <w:szCs w:val="21"/>
          <w:highlight w:val="none"/>
        </w:rPr>
        <w:t>1、路面结构：5cm厚ARAC-16橡胶沥青混凝土面层+1.5cm厚两油两料石油沥青同步碎石封层(骨料除尘加热)+20cm大粒径级配碎石基层+经病害处理后的旧路面；2、相应加高C20砼路肩墙，维修挡土墙；重新设置路面标线、里程碑、百米桩、道口桩等设施；3、平面交叉工程：接顺平交道口，详见工程量清单和图纸。</w:t>
      </w:r>
    </w:p>
    <w:p w14:paraId="730C9C58">
      <w:pPr>
        <w:spacing w:line="360" w:lineRule="auto"/>
        <w:ind w:firstLine="422" w:firstLineChars="200"/>
        <w:rPr>
          <w:rFonts w:hint="eastAsia" w:eastAsia="宋体"/>
          <w:b/>
          <w:bCs/>
          <w:color w:val="auto"/>
          <w:sz w:val="21"/>
          <w:szCs w:val="21"/>
          <w:lang w:eastAsia="zh-CN"/>
        </w:rPr>
      </w:pPr>
      <w:r>
        <w:rPr>
          <w:rFonts w:hint="eastAsia"/>
          <w:b/>
          <w:bCs/>
          <w:sz w:val="21"/>
          <w:szCs w:val="21"/>
        </w:rPr>
        <w:t>2.</w:t>
      </w:r>
      <w:r>
        <w:rPr>
          <w:b/>
          <w:bCs/>
          <w:sz w:val="21"/>
          <w:szCs w:val="21"/>
        </w:rPr>
        <w:t>采购预算金额（控制价</w:t>
      </w:r>
      <w:r>
        <w:rPr>
          <w:rFonts w:hint="eastAsia"/>
          <w:b/>
          <w:bCs/>
          <w:sz w:val="21"/>
          <w:szCs w:val="21"/>
          <w:lang w:eastAsia="zh-CN"/>
        </w:rPr>
        <w:t>）</w:t>
      </w:r>
    </w:p>
    <w:p w14:paraId="176BCEB9">
      <w:pPr>
        <w:spacing w:line="360" w:lineRule="auto"/>
        <w:ind w:firstLine="422" w:firstLineChars="200"/>
        <w:rPr>
          <w:b/>
          <w:bCs/>
          <w:color w:val="auto"/>
          <w:sz w:val="21"/>
          <w:szCs w:val="21"/>
          <w:highlight w:val="none"/>
        </w:rPr>
      </w:pPr>
      <w:r>
        <w:rPr>
          <w:b/>
          <w:bCs/>
          <w:sz w:val="21"/>
          <w:szCs w:val="21"/>
        </w:rPr>
        <w:t>采购预算金额（控制价）（人民币）：</w:t>
      </w:r>
      <w:r>
        <w:rPr>
          <w:rFonts w:hint="eastAsia"/>
          <w:b/>
          <w:bCs/>
          <w:color w:val="auto"/>
          <w:sz w:val="21"/>
          <w:szCs w:val="21"/>
          <w:highlight w:val="none"/>
          <w:u w:val="single"/>
        </w:rPr>
        <w:t>壹佰伍拾肆万贰仟捌佰叁拾捌元（¥1542838）</w:t>
      </w:r>
      <w:r>
        <w:rPr>
          <w:rFonts w:hint="eastAsia"/>
          <w:b/>
          <w:bCs/>
          <w:color w:val="auto"/>
          <w:sz w:val="21"/>
          <w:szCs w:val="21"/>
          <w:highlight w:val="none"/>
        </w:rPr>
        <w:t>。</w:t>
      </w:r>
    </w:p>
    <w:p w14:paraId="68660741">
      <w:pPr>
        <w:spacing w:line="360" w:lineRule="auto"/>
        <w:ind w:firstLine="420" w:firstLineChars="200"/>
        <w:rPr>
          <w:sz w:val="21"/>
          <w:szCs w:val="21"/>
        </w:rPr>
      </w:pPr>
      <w:r>
        <w:rPr>
          <w:rFonts w:hint="eastAsia"/>
          <w:sz w:val="21"/>
          <w:szCs w:val="21"/>
        </w:rPr>
        <w:t>3.项目建设地点：广西壮族自治区</w:t>
      </w:r>
      <w:r>
        <w:rPr>
          <w:rFonts w:hint="eastAsia"/>
          <w:color w:val="auto"/>
          <w:sz w:val="21"/>
          <w:szCs w:val="21"/>
        </w:rPr>
        <w:t>桂</w:t>
      </w:r>
      <w:r>
        <w:rPr>
          <w:rFonts w:hint="eastAsia"/>
          <w:sz w:val="21"/>
          <w:szCs w:val="21"/>
        </w:rPr>
        <w:t>林市</w:t>
      </w:r>
      <w:r>
        <w:rPr>
          <w:rFonts w:hint="eastAsia"/>
          <w:sz w:val="21"/>
          <w:szCs w:val="21"/>
          <w:lang w:val="en-US" w:eastAsia="zh-CN"/>
        </w:rPr>
        <w:t>临桂区境内</w:t>
      </w:r>
      <w:r>
        <w:rPr>
          <w:rFonts w:hint="eastAsia"/>
          <w:sz w:val="21"/>
          <w:szCs w:val="21"/>
        </w:rPr>
        <w:t>。</w:t>
      </w:r>
    </w:p>
    <w:p w14:paraId="60C56A94">
      <w:pPr>
        <w:spacing w:line="360" w:lineRule="auto"/>
        <w:ind w:firstLine="420" w:firstLineChars="200"/>
        <w:rPr>
          <w:sz w:val="21"/>
          <w:szCs w:val="21"/>
        </w:rPr>
      </w:pPr>
      <w:r>
        <w:rPr>
          <w:rFonts w:hint="eastAsia"/>
          <w:sz w:val="21"/>
          <w:szCs w:val="21"/>
        </w:rPr>
        <w:t>4.采购质量指</w:t>
      </w:r>
      <w:r>
        <w:rPr>
          <w:rFonts w:hint="eastAsia"/>
          <w:sz w:val="21"/>
          <w:szCs w:val="21"/>
          <w:highlight w:val="none"/>
        </w:rPr>
        <w:t>标：工程交工验收的质量评定：合格；竣工验收的质量评定：优良。</w:t>
      </w:r>
    </w:p>
    <w:p w14:paraId="5C23DF3D">
      <w:pPr>
        <w:spacing w:line="360" w:lineRule="auto"/>
        <w:ind w:firstLine="420" w:firstLineChars="200"/>
        <w:rPr>
          <w:sz w:val="21"/>
          <w:szCs w:val="21"/>
        </w:rPr>
      </w:pPr>
      <w:r>
        <w:rPr>
          <w:rFonts w:hint="eastAsia"/>
          <w:sz w:val="21"/>
          <w:szCs w:val="21"/>
        </w:rPr>
        <w:t>5.安全要求：严格按照《</w:t>
      </w:r>
      <w:bookmarkStart w:id="72" w:name="OLE_LINK17"/>
      <w:r>
        <w:rPr>
          <w:rFonts w:hint="eastAsia"/>
          <w:sz w:val="21"/>
          <w:szCs w:val="21"/>
        </w:rPr>
        <w:t>公路养护安全作业规程</w:t>
      </w:r>
      <w:bookmarkEnd w:id="72"/>
      <w:r>
        <w:rPr>
          <w:rFonts w:hint="eastAsia"/>
          <w:sz w:val="21"/>
          <w:szCs w:val="21"/>
        </w:rPr>
        <w:t>》（JTGH30-2015）开展养护作业，无安全生产责任事故。</w:t>
      </w:r>
    </w:p>
    <w:p w14:paraId="1F39A86A">
      <w:pPr>
        <w:spacing w:line="360" w:lineRule="auto"/>
        <w:ind w:firstLine="420" w:firstLineChars="200"/>
        <w:rPr>
          <w:sz w:val="21"/>
          <w:szCs w:val="21"/>
          <w:highlight w:val="none"/>
        </w:rPr>
      </w:pPr>
      <w:r>
        <w:rPr>
          <w:rFonts w:hint="eastAsia"/>
          <w:sz w:val="21"/>
          <w:szCs w:val="21"/>
        </w:rPr>
        <w:t>6.交付时间及工期要</w:t>
      </w:r>
      <w:r>
        <w:rPr>
          <w:rFonts w:hint="eastAsia"/>
          <w:sz w:val="21"/>
          <w:szCs w:val="21"/>
          <w:highlight w:val="none"/>
        </w:rPr>
        <w:t>求：</w:t>
      </w:r>
      <w:r>
        <w:rPr>
          <w:rFonts w:hint="eastAsia"/>
          <w:sz w:val="21"/>
          <w:szCs w:val="21"/>
          <w:highlight w:val="none"/>
          <w:lang w:val="en-US" w:eastAsia="zh-CN"/>
        </w:rPr>
        <w:t>60</w:t>
      </w:r>
      <w:r>
        <w:rPr>
          <w:rFonts w:hint="eastAsia"/>
          <w:sz w:val="21"/>
          <w:szCs w:val="21"/>
          <w:highlight w:val="none"/>
        </w:rPr>
        <w:t>日历天。</w:t>
      </w:r>
    </w:p>
    <w:p w14:paraId="719644B1">
      <w:pPr>
        <w:spacing w:line="360" w:lineRule="auto"/>
        <w:ind w:firstLine="420" w:firstLineChars="200"/>
        <w:rPr>
          <w:sz w:val="21"/>
          <w:szCs w:val="21"/>
          <w:highlight w:val="none"/>
        </w:rPr>
      </w:pPr>
      <w:r>
        <w:rPr>
          <w:rFonts w:hint="eastAsia"/>
          <w:sz w:val="21"/>
          <w:szCs w:val="21"/>
          <w:highlight w:val="none"/>
        </w:rPr>
        <w:t>7.缺陷责任期：自实际交工日期起计算12个月。</w:t>
      </w:r>
      <w:bookmarkStart w:id="137" w:name="_GoBack"/>
      <w:bookmarkEnd w:id="137"/>
    </w:p>
    <w:p w14:paraId="72C793C7">
      <w:pPr>
        <w:spacing w:line="360" w:lineRule="auto"/>
        <w:ind w:firstLine="420" w:firstLineChars="200"/>
        <w:rPr>
          <w:sz w:val="21"/>
          <w:szCs w:val="21"/>
        </w:rPr>
      </w:pPr>
      <w:r>
        <w:rPr>
          <w:rFonts w:hint="eastAsia"/>
          <w:sz w:val="21"/>
          <w:szCs w:val="21"/>
        </w:rPr>
        <w:t>8.</w:t>
      </w:r>
      <w:r>
        <w:rPr>
          <w:sz w:val="21"/>
          <w:szCs w:val="21"/>
        </w:rPr>
        <w:t>本项目允许分包</w:t>
      </w:r>
      <w:r>
        <w:rPr>
          <w:rFonts w:hint="eastAsia"/>
          <w:sz w:val="21"/>
          <w:szCs w:val="21"/>
        </w:rPr>
        <w:t>（交通安全设施工程量部分）</w:t>
      </w:r>
      <w:r>
        <w:rPr>
          <w:sz w:val="21"/>
          <w:szCs w:val="21"/>
        </w:rPr>
        <w:t>。</w:t>
      </w:r>
    </w:p>
    <w:p w14:paraId="1F87F0AD">
      <w:pPr>
        <w:spacing w:line="360" w:lineRule="auto"/>
        <w:ind w:firstLine="422" w:firstLineChars="200"/>
        <w:rPr>
          <w:b/>
          <w:bCs/>
          <w:sz w:val="21"/>
          <w:szCs w:val="21"/>
        </w:rPr>
      </w:pPr>
      <w:r>
        <w:rPr>
          <w:rFonts w:hint="eastAsia"/>
          <w:b/>
          <w:bCs/>
          <w:sz w:val="21"/>
          <w:szCs w:val="21"/>
        </w:rPr>
        <w:t>三</w:t>
      </w:r>
      <w:r>
        <w:rPr>
          <w:b/>
          <w:bCs/>
          <w:sz w:val="21"/>
          <w:szCs w:val="21"/>
        </w:rPr>
        <w:t>、项目经理和项目总工最低要求</w:t>
      </w:r>
    </w:p>
    <w:p w14:paraId="5C214576">
      <w:pPr>
        <w:spacing w:line="360" w:lineRule="auto"/>
        <w:ind w:firstLine="422" w:firstLineChars="200"/>
        <w:rPr>
          <w:b/>
          <w:bCs/>
          <w:sz w:val="21"/>
          <w:szCs w:val="21"/>
        </w:rPr>
      </w:pPr>
      <w:r>
        <w:rPr>
          <w:rFonts w:hint="eastAsia"/>
          <w:b/>
          <w:bCs/>
          <w:sz w:val="21"/>
          <w:szCs w:val="21"/>
        </w:rPr>
        <w:t>（一）项目经理：</w:t>
      </w:r>
    </w:p>
    <w:p w14:paraId="03E8DDCB">
      <w:pPr>
        <w:spacing w:line="360" w:lineRule="auto"/>
        <w:ind w:firstLine="420" w:firstLineChars="200"/>
        <w:rPr>
          <w:rFonts w:hint="eastAsia"/>
          <w:color w:val="auto"/>
          <w:sz w:val="21"/>
          <w:szCs w:val="21"/>
          <w:highlight w:val="none"/>
        </w:rPr>
      </w:pPr>
      <w:r>
        <w:rPr>
          <w:rFonts w:hint="eastAsia"/>
          <w:color w:val="auto"/>
          <w:sz w:val="21"/>
          <w:szCs w:val="21"/>
          <w:highlight w:val="none"/>
        </w:rPr>
        <w:t>1.具有公路工程专业二级或以上执业注册建造师证和省级或以上交通运输行政主管部门颁发的安全生产考核合格证（“三类人员”B类证书）。</w:t>
      </w:r>
    </w:p>
    <w:p w14:paraId="39BDE95D">
      <w:pPr>
        <w:spacing w:line="360" w:lineRule="auto"/>
        <w:ind w:firstLine="420" w:firstLineChars="200"/>
        <w:rPr>
          <w:rFonts w:hint="eastAsia"/>
          <w:color w:val="auto"/>
          <w:sz w:val="21"/>
          <w:szCs w:val="21"/>
          <w:highlight w:val="none"/>
        </w:rPr>
      </w:pPr>
      <w:r>
        <w:rPr>
          <w:rFonts w:hint="eastAsia"/>
          <w:color w:val="auto"/>
          <w:sz w:val="21"/>
          <w:szCs w:val="21"/>
          <w:highlight w:val="none"/>
        </w:rPr>
        <w:t>2.具有工程师（或以上）职称</w:t>
      </w:r>
      <w:r>
        <w:rPr>
          <w:rFonts w:hint="eastAsia"/>
          <w:b w:val="0"/>
        </w:rPr>
        <w:t>（路桥类专业）</w:t>
      </w:r>
      <w:r>
        <w:rPr>
          <w:rFonts w:hint="eastAsia"/>
          <w:color w:val="auto"/>
          <w:sz w:val="21"/>
          <w:szCs w:val="21"/>
          <w:highlight w:val="none"/>
        </w:rPr>
        <w:t>。</w:t>
      </w:r>
    </w:p>
    <w:p w14:paraId="2FC8F337">
      <w:pPr>
        <w:spacing w:line="360" w:lineRule="auto"/>
        <w:ind w:firstLine="422" w:firstLineChars="200"/>
        <w:rPr>
          <w:b/>
          <w:bCs/>
          <w:color w:val="auto"/>
          <w:sz w:val="21"/>
          <w:szCs w:val="21"/>
          <w:highlight w:val="none"/>
        </w:rPr>
      </w:pPr>
      <w:r>
        <w:rPr>
          <w:b/>
          <w:bCs/>
          <w:color w:val="auto"/>
          <w:sz w:val="21"/>
          <w:szCs w:val="21"/>
          <w:highlight w:val="none"/>
        </w:rPr>
        <w:t>（二）项目总工：</w:t>
      </w:r>
    </w:p>
    <w:p w14:paraId="1513827E">
      <w:pPr>
        <w:spacing w:line="360" w:lineRule="auto"/>
        <w:ind w:firstLine="420" w:firstLineChars="200"/>
        <w:rPr>
          <w:sz w:val="21"/>
          <w:szCs w:val="21"/>
        </w:rPr>
      </w:pPr>
      <w:r>
        <w:rPr>
          <w:rFonts w:hint="eastAsia"/>
          <w:sz w:val="21"/>
          <w:szCs w:val="21"/>
        </w:rPr>
        <w:t>1.具有工程师（或以上）职称（路桥类专业）。</w:t>
      </w:r>
    </w:p>
    <w:p w14:paraId="5BFD4E52">
      <w:pPr>
        <w:spacing w:line="360" w:lineRule="auto"/>
        <w:ind w:firstLine="420" w:firstLineChars="200"/>
        <w:rPr>
          <w:sz w:val="21"/>
          <w:szCs w:val="21"/>
        </w:rPr>
      </w:pPr>
      <w:r>
        <w:rPr>
          <w:rFonts w:hint="eastAsia"/>
          <w:sz w:val="21"/>
          <w:szCs w:val="21"/>
        </w:rPr>
        <w:t>2.具有省级或以上交通运输行政主管部门颁发的安全生产考核合格证（“三类人员”B类证书）</w:t>
      </w:r>
    </w:p>
    <w:p w14:paraId="2172F580">
      <w:pPr>
        <w:spacing w:line="360" w:lineRule="auto"/>
        <w:ind w:firstLine="420" w:firstLineChars="200"/>
        <w:rPr>
          <w:sz w:val="21"/>
          <w:szCs w:val="21"/>
        </w:rPr>
      </w:pPr>
      <w:r>
        <w:rPr>
          <w:rFonts w:hint="eastAsia"/>
          <w:sz w:val="21"/>
          <w:szCs w:val="21"/>
        </w:rPr>
        <w:t>（注：1、“路桥类”专业是指职称证上的专业，为路桥、公路工程、桥梁工程、交通土建、交通工程、铁路、土木工程、隧道工程、市政道路与桥梁工程等专业均可; 2、工程类别及规模要求条件应与招标项目规模匹配设置；3.项目经理或总工有在建项目任职的，</w:t>
      </w:r>
      <w:r>
        <w:rPr>
          <w:rFonts w:hint="eastAsia"/>
          <w:sz w:val="21"/>
          <w:szCs w:val="21"/>
          <w:lang w:eastAsia="zh-CN"/>
        </w:rPr>
        <w:t>供应商</w:t>
      </w:r>
      <w:r>
        <w:rPr>
          <w:rFonts w:hint="eastAsia"/>
          <w:sz w:val="21"/>
          <w:szCs w:val="21"/>
        </w:rPr>
        <w:t>应提供随时撤离承诺书。4、公路工程包括公路新建、公路改扩建、公路养护工程等；成功完成是指工程按</w:t>
      </w:r>
      <w:r>
        <w:rPr>
          <w:rFonts w:hint="eastAsia" w:asciiTheme="minorEastAsia" w:hAnsiTheme="minorEastAsia" w:eastAsiaTheme="minorEastAsia"/>
          <w:sz w:val="21"/>
          <w:szCs w:val="21"/>
          <w:highlight w:val="none"/>
        </w:rPr>
        <w:t>交通部令2004年第3号</w:t>
      </w:r>
      <w:r>
        <w:rPr>
          <w:rFonts w:hint="eastAsia"/>
          <w:sz w:val="21"/>
          <w:szCs w:val="21"/>
        </w:rPr>
        <w:t>《公路工程竣（交）工验收办法》交工验收或竣工验收通过。5.项目经理或者项目总工的社保缴费单位应是投标单位，如不是本单位人员的，该竞标人的投标作废标处理）</w:t>
      </w:r>
    </w:p>
    <w:p w14:paraId="5B1FF316">
      <w:pPr>
        <w:spacing w:line="360" w:lineRule="auto"/>
        <w:ind w:firstLine="420" w:firstLineChars="200"/>
        <w:rPr>
          <w:sz w:val="21"/>
          <w:szCs w:val="21"/>
        </w:rPr>
      </w:pPr>
    </w:p>
    <w:p w14:paraId="2DC55795">
      <w:pPr>
        <w:spacing w:line="360" w:lineRule="auto"/>
        <w:ind w:firstLine="422"/>
        <w:rPr>
          <w:sz w:val="21"/>
          <w:szCs w:val="21"/>
        </w:rPr>
      </w:pPr>
    </w:p>
    <w:p w14:paraId="55EC63B1">
      <w:pPr>
        <w:spacing w:line="360" w:lineRule="auto"/>
        <w:ind w:firstLine="422"/>
        <w:rPr>
          <w:sz w:val="21"/>
          <w:szCs w:val="21"/>
        </w:rPr>
      </w:pPr>
    </w:p>
    <w:p w14:paraId="7F94A074">
      <w:pPr>
        <w:pStyle w:val="12"/>
        <w:spacing w:before="137" w:line="364" w:lineRule="auto"/>
        <w:ind w:left="343" w:right="663" w:firstLine="422"/>
      </w:pPr>
    </w:p>
    <w:p w14:paraId="523D2530">
      <w:pPr>
        <w:pStyle w:val="12"/>
        <w:spacing w:before="137" w:line="364" w:lineRule="auto"/>
        <w:ind w:left="343" w:right="663" w:firstLine="422"/>
      </w:pPr>
    </w:p>
    <w:p w14:paraId="27B76915">
      <w:pPr>
        <w:ind w:firstLine="422"/>
      </w:pPr>
    </w:p>
    <w:p w14:paraId="29A0C1E3">
      <w:pPr>
        <w:ind w:firstLine="422"/>
      </w:pPr>
    </w:p>
    <w:p w14:paraId="241C9C28">
      <w:pPr>
        <w:ind w:firstLine="422"/>
      </w:pPr>
    </w:p>
    <w:p w14:paraId="114018E7">
      <w:pPr>
        <w:ind w:firstLine="422"/>
      </w:pPr>
    </w:p>
    <w:p w14:paraId="69987DB3">
      <w:pPr>
        <w:ind w:firstLine="422"/>
      </w:pPr>
    </w:p>
    <w:p w14:paraId="00D00913">
      <w:pPr>
        <w:ind w:firstLine="422"/>
      </w:pPr>
    </w:p>
    <w:p w14:paraId="1085586F">
      <w:pPr>
        <w:ind w:firstLine="422"/>
      </w:pPr>
    </w:p>
    <w:p w14:paraId="03642EE0">
      <w:pPr>
        <w:ind w:firstLine="422"/>
      </w:pPr>
    </w:p>
    <w:p w14:paraId="55759D15">
      <w:pPr>
        <w:ind w:firstLine="422"/>
      </w:pPr>
    </w:p>
    <w:p w14:paraId="3C76CD66">
      <w:pPr>
        <w:ind w:firstLine="422"/>
      </w:pPr>
    </w:p>
    <w:p w14:paraId="77324EC6">
      <w:pPr>
        <w:ind w:firstLine="422"/>
      </w:pPr>
    </w:p>
    <w:p w14:paraId="41377B73">
      <w:pPr>
        <w:ind w:firstLine="422"/>
      </w:pPr>
    </w:p>
    <w:p w14:paraId="5DC4B3F3">
      <w:pPr>
        <w:ind w:firstLine="422"/>
      </w:pPr>
    </w:p>
    <w:p w14:paraId="53995EFE">
      <w:pPr>
        <w:ind w:firstLine="422"/>
      </w:pPr>
    </w:p>
    <w:p w14:paraId="61B11BF7">
      <w:pPr>
        <w:ind w:firstLine="422"/>
      </w:pPr>
    </w:p>
    <w:p w14:paraId="2CC8362D">
      <w:pPr>
        <w:ind w:firstLine="422"/>
      </w:pPr>
    </w:p>
    <w:p w14:paraId="3EE938CD">
      <w:pPr>
        <w:ind w:firstLine="422"/>
      </w:pPr>
    </w:p>
    <w:p w14:paraId="7442140C">
      <w:pPr>
        <w:ind w:firstLine="422"/>
      </w:pPr>
    </w:p>
    <w:p w14:paraId="055A72D9">
      <w:pPr>
        <w:ind w:firstLine="422"/>
      </w:pPr>
    </w:p>
    <w:p w14:paraId="51AF5B3B">
      <w:pPr>
        <w:ind w:firstLine="422"/>
      </w:pPr>
    </w:p>
    <w:p w14:paraId="6B283B0A">
      <w:pPr>
        <w:ind w:firstLine="422"/>
      </w:pPr>
    </w:p>
    <w:p w14:paraId="1D451F66">
      <w:pPr>
        <w:ind w:firstLine="422"/>
      </w:pPr>
    </w:p>
    <w:p w14:paraId="391061CA">
      <w:pPr>
        <w:ind w:firstLine="422"/>
      </w:pPr>
    </w:p>
    <w:p w14:paraId="194DB112">
      <w:pPr>
        <w:ind w:firstLine="422"/>
      </w:pPr>
    </w:p>
    <w:p w14:paraId="77B28A80">
      <w:pPr>
        <w:ind w:firstLine="422"/>
      </w:pPr>
    </w:p>
    <w:p w14:paraId="31A933F2">
      <w:pPr>
        <w:ind w:firstLine="422"/>
      </w:pPr>
    </w:p>
    <w:p w14:paraId="32D4F6DD">
      <w:pPr>
        <w:pStyle w:val="12"/>
      </w:pPr>
    </w:p>
    <w:p w14:paraId="74EAA6E2"/>
    <w:p w14:paraId="21CDDD4C"/>
    <w:p w14:paraId="1B07B530"/>
    <w:p w14:paraId="42E0AFA3"/>
    <w:p w14:paraId="1A18DA88"/>
    <w:p w14:paraId="216C245F"/>
    <w:p w14:paraId="1689F198"/>
    <w:p w14:paraId="485F3CDD"/>
    <w:p w14:paraId="14B0BCE0"/>
    <w:p w14:paraId="22FFF9C8">
      <w:pPr>
        <w:ind w:firstLine="422"/>
      </w:pPr>
      <w:bookmarkStart w:id="73" w:name="第四章__评审办法"/>
      <w:bookmarkEnd w:id="73"/>
      <w:bookmarkStart w:id="74" w:name="_Toc349"/>
    </w:p>
    <w:p w14:paraId="4AC05477">
      <w:pPr>
        <w:pStyle w:val="2"/>
        <w:ind w:firstLine="643"/>
        <w:jc w:val="center"/>
        <w:rPr>
          <w:rStyle w:val="42"/>
          <w:b/>
          <w:bCs/>
        </w:rPr>
      </w:pPr>
      <w:r>
        <w:rPr>
          <w:rFonts w:hint="eastAsia"/>
        </w:rPr>
        <w:t>第四章</w:t>
      </w:r>
      <w:r>
        <w:t>评审办法</w:t>
      </w:r>
      <w:bookmarkEnd w:id="74"/>
    </w:p>
    <w:p w14:paraId="7AD7F540">
      <w:pPr>
        <w:pStyle w:val="14"/>
        <w:spacing w:line="360" w:lineRule="auto"/>
        <w:ind w:firstLine="422" w:firstLineChars="200"/>
        <w:rPr>
          <w:rFonts w:hAnsi="宋体"/>
          <w:b/>
          <w:bCs/>
          <w:sz w:val="21"/>
          <w:szCs w:val="21"/>
        </w:rPr>
      </w:pPr>
      <w:r>
        <w:rPr>
          <w:rFonts w:hint="eastAsia" w:hAnsi="宋体"/>
          <w:b/>
          <w:bCs/>
          <w:sz w:val="21"/>
          <w:szCs w:val="21"/>
        </w:rPr>
        <w:t>一、评审依据及方式</w:t>
      </w:r>
    </w:p>
    <w:p w14:paraId="4C2FEC0B">
      <w:pPr>
        <w:pStyle w:val="14"/>
        <w:spacing w:line="360" w:lineRule="auto"/>
        <w:ind w:firstLine="420" w:firstLineChars="200"/>
        <w:rPr>
          <w:rFonts w:hAnsi="宋体"/>
          <w:sz w:val="21"/>
          <w:szCs w:val="21"/>
        </w:rPr>
      </w:pPr>
      <w:r>
        <w:rPr>
          <w:rFonts w:hint="eastAsia" w:hAnsi="宋体"/>
          <w:sz w:val="21"/>
          <w:szCs w:val="21"/>
        </w:rPr>
        <w:t>1.评审依据：磋商小组以竞争性磋商采购文件和响应文件为评审依据，对通过初步评审的响应文件进行详细评审。</w:t>
      </w:r>
    </w:p>
    <w:p w14:paraId="7FFE5CB1">
      <w:pPr>
        <w:pStyle w:val="14"/>
        <w:spacing w:line="360" w:lineRule="auto"/>
        <w:ind w:firstLine="420" w:firstLineChars="200"/>
        <w:rPr>
          <w:rFonts w:hAnsi="宋体"/>
          <w:sz w:val="21"/>
          <w:szCs w:val="21"/>
        </w:rPr>
      </w:pPr>
      <w:r>
        <w:rPr>
          <w:rFonts w:hint="eastAsia" w:hAnsi="宋体"/>
          <w:sz w:val="21"/>
          <w:szCs w:val="21"/>
        </w:rPr>
        <w:t>2.评审方式：以封闭方式进行评审。</w:t>
      </w:r>
    </w:p>
    <w:p w14:paraId="646D7AD2">
      <w:pPr>
        <w:pStyle w:val="14"/>
        <w:spacing w:line="360" w:lineRule="auto"/>
        <w:ind w:firstLine="420" w:firstLineChars="200"/>
        <w:rPr>
          <w:rFonts w:hAnsi="宋体"/>
          <w:kern w:val="2"/>
          <w:sz w:val="21"/>
          <w:szCs w:val="21"/>
        </w:rPr>
      </w:pPr>
      <w:r>
        <w:rPr>
          <w:rFonts w:hint="eastAsia" w:hAnsi="宋体"/>
          <w:kern w:val="2"/>
          <w:sz w:val="21"/>
          <w:szCs w:val="21"/>
        </w:rPr>
        <w:t>3.评分办法：采用综合评分法</w:t>
      </w:r>
    </w:p>
    <w:p w14:paraId="7A96D5FC">
      <w:pPr>
        <w:pStyle w:val="14"/>
        <w:spacing w:line="360" w:lineRule="auto"/>
        <w:ind w:firstLine="420" w:firstLineChars="200"/>
        <w:rPr>
          <w:rFonts w:hAnsi="宋体"/>
          <w:kern w:val="2"/>
          <w:sz w:val="21"/>
          <w:szCs w:val="21"/>
        </w:rPr>
      </w:pPr>
      <w:r>
        <w:rPr>
          <w:rFonts w:hint="eastAsia" w:hAnsi="宋体"/>
          <w:kern w:val="2"/>
          <w:sz w:val="21"/>
          <w:szCs w:val="21"/>
        </w:rPr>
        <w:t>4.根据</w:t>
      </w:r>
      <w:bookmarkStart w:id="75" w:name="OLE_LINK22"/>
      <w:bookmarkStart w:id="76" w:name="OLE_LINK23"/>
      <w:r>
        <w:rPr>
          <w:rFonts w:hint="eastAsia" w:hAnsi="宋体"/>
          <w:kern w:val="2"/>
          <w:sz w:val="21"/>
          <w:szCs w:val="21"/>
        </w:rPr>
        <w:t>财库〔2012〕69号文</w:t>
      </w:r>
      <w:bookmarkEnd w:id="75"/>
      <w:bookmarkEnd w:id="76"/>
      <w:r>
        <w:rPr>
          <w:rFonts w:hint="eastAsia" w:hAnsi="宋体"/>
          <w:kern w:val="2"/>
          <w:sz w:val="21"/>
          <w:szCs w:val="21"/>
        </w:rPr>
        <w:t>规定，采购人和采购代理机构，磋商小组成员要严格遵守政府采购相关法律制度，依法履行各自职责，公正、客观、审慎地组织和参与评审工作。</w:t>
      </w:r>
    </w:p>
    <w:p w14:paraId="0287CEB8">
      <w:pPr>
        <w:pStyle w:val="14"/>
        <w:spacing w:line="360" w:lineRule="auto"/>
        <w:ind w:firstLine="422" w:firstLineChars="200"/>
        <w:rPr>
          <w:rFonts w:hAnsi="宋体"/>
          <w:b/>
          <w:bCs/>
          <w:sz w:val="21"/>
          <w:szCs w:val="21"/>
        </w:rPr>
      </w:pPr>
      <w:r>
        <w:rPr>
          <w:rFonts w:hint="eastAsia" w:hAnsi="宋体"/>
          <w:b/>
          <w:bCs/>
          <w:sz w:val="21"/>
          <w:szCs w:val="21"/>
        </w:rPr>
        <w:t>二、评审办法</w:t>
      </w:r>
    </w:p>
    <w:p w14:paraId="7F3D332B">
      <w:pPr>
        <w:pStyle w:val="14"/>
        <w:spacing w:line="360" w:lineRule="auto"/>
        <w:ind w:firstLine="420" w:firstLineChars="200"/>
        <w:rPr>
          <w:rFonts w:hAnsi="宋体"/>
          <w:bCs/>
          <w:sz w:val="21"/>
          <w:szCs w:val="21"/>
        </w:rPr>
      </w:pPr>
      <w:r>
        <w:rPr>
          <w:rFonts w:hint="eastAsia" w:hAnsi="宋体"/>
          <w:bCs/>
          <w:sz w:val="21"/>
          <w:szCs w:val="21"/>
        </w:rPr>
        <w:t>本次评标采用综合评分法。</w:t>
      </w:r>
    </w:p>
    <w:p w14:paraId="023DA2CE">
      <w:pPr>
        <w:pStyle w:val="14"/>
        <w:spacing w:line="360" w:lineRule="auto"/>
        <w:ind w:firstLine="420" w:firstLineChars="200"/>
        <w:rPr>
          <w:rFonts w:hAnsi="宋体"/>
          <w:bCs/>
          <w:sz w:val="21"/>
          <w:szCs w:val="21"/>
        </w:rPr>
      </w:pPr>
      <w:r>
        <w:rPr>
          <w:rFonts w:hint="eastAsia" w:hAnsi="宋体"/>
          <w:bCs/>
          <w:sz w:val="21"/>
          <w:szCs w:val="21"/>
        </w:rPr>
        <w:t>磋商小组会首先对磋商供应商提交的响应文件进行资格性审查和符合性审查，只有通过了资格性审查和符合性审查才能进入详评。</w:t>
      </w:r>
    </w:p>
    <w:p w14:paraId="305B226B">
      <w:pPr>
        <w:spacing w:line="360" w:lineRule="auto"/>
        <w:ind w:firstLine="442" w:firstLineChars="200"/>
        <w:rPr>
          <w:b/>
        </w:rPr>
      </w:pPr>
      <w:r>
        <w:rPr>
          <w:rFonts w:hint="eastAsia"/>
          <w:b/>
        </w:rPr>
        <w:t>1、价格分………………………………………………………………………………满分30分</w:t>
      </w:r>
    </w:p>
    <w:p w14:paraId="70A882E6">
      <w:pPr>
        <w:spacing w:line="360" w:lineRule="auto"/>
        <w:ind w:firstLine="440" w:firstLineChars="200"/>
        <w:rPr>
          <w:bCs/>
          <w:highlight w:val="none"/>
        </w:rPr>
      </w:pPr>
      <w:r>
        <w:rPr>
          <w:rFonts w:hint="eastAsia"/>
          <w:bCs/>
        </w:rPr>
        <w:t>（1）以进入</w:t>
      </w:r>
      <w:r>
        <w:rPr>
          <w:rFonts w:hint="eastAsia"/>
          <w:bCs/>
          <w:color w:val="auto"/>
        </w:rPr>
        <w:t>评审的最低</w:t>
      </w:r>
      <w:r>
        <w:rPr>
          <w:rFonts w:hint="eastAsia"/>
          <w:bCs/>
          <w:color w:val="auto"/>
          <w:highlight w:val="none"/>
        </w:rPr>
        <w:t>的评标价为30分。</w:t>
      </w:r>
    </w:p>
    <w:p w14:paraId="407669BF">
      <w:pPr>
        <w:spacing w:line="360" w:lineRule="auto"/>
        <w:ind w:firstLine="440" w:firstLineChars="200"/>
        <w:rPr>
          <w:bCs/>
          <w:color w:val="000000"/>
          <w:highlight w:val="none"/>
        </w:rPr>
      </w:pPr>
      <w:r>
        <w:rPr>
          <w:rFonts w:hint="eastAsia"/>
          <w:bCs/>
          <w:color w:val="000000"/>
          <w:highlight w:val="none"/>
        </w:rPr>
        <w:t>（2）某供应商价格分=供应商最低评审报价（金额）/某供应商评审报价（金额）×30分。</w:t>
      </w:r>
    </w:p>
    <w:p w14:paraId="07523A3A">
      <w:pPr>
        <w:spacing w:line="360" w:lineRule="auto"/>
        <w:ind w:firstLine="440" w:firstLineChars="200"/>
        <w:rPr>
          <w:bCs/>
          <w:color w:val="auto"/>
          <w:highlight w:val="none"/>
        </w:rPr>
      </w:pPr>
      <w:r>
        <w:rPr>
          <w:rFonts w:hint="eastAsia"/>
          <w:bCs/>
          <w:color w:val="auto"/>
          <w:highlight w:val="none"/>
        </w:rPr>
        <w:t>注：低于最高投标限价90%的供应商的报价，</w:t>
      </w:r>
      <w:r>
        <w:rPr>
          <w:rFonts w:hint="eastAsia"/>
          <w:bCs/>
          <w:color w:val="auto"/>
        </w:rPr>
        <w:t>有可能影响</w:t>
      </w:r>
      <w:r>
        <w:rPr>
          <w:rFonts w:hint="eastAsia"/>
          <w:bCs/>
          <w:color w:val="000000"/>
        </w:rPr>
        <w:t>工程质量或者不能诚信履约，磋商小组应当要求供应商对相应投标报价作出书面说明，并提供相关证明材料。如果供应商不能提供相关证明材料，或者提交的相关材料无法证明供应商可以按照其报价以及招标文件规定的质</w:t>
      </w:r>
      <w:r>
        <w:rPr>
          <w:rFonts w:hint="eastAsia"/>
          <w:bCs/>
          <w:color w:val="000000"/>
          <w:highlight w:val="none"/>
        </w:rPr>
        <w:t>量标准和履行期限完成项目的，磋商小组应当认定该供应商以低于成本价竞标，磋商小组应当将其作为无效投标处理。(供应商应保证提供的联系方式正确并保持畅通，以便评标过程中如需提供书面说明时，能及时联系到供应商，如在一个小时内未能联系到供应商，两个小时内其未能按要求提供书</w:t>
      </w:r>
      <w:r>
        <w:rPr>
          <w:rFonts w:hint="eastAsia"/>
          <w:bCs/>
          <w:color w:val="auto"/>
          <w:highlight w:val="none"/>
        </w:rPr>
        <w:t>面说明，磋商小组应当将其作为无效投标处理）。</w:t>
      </w:r>
    </w:p>
    <w:p w14:paraId="159D3582">
      <w:pPr>
        <w:spacing w:line="360" w:lineRule="auto"/>
        <w:ind w:firstLine="422" w:firstLineChars="200"/>
        <w:rPr>
          <w:b/>
          <w:bCs/>
          <w:color w:val="auto"/>
          <w:sz w:val="21"/>
          <w:szCs w:val="21"/>
          <w:highlight w:val="none"/>
        </w:rPr>
      </w:pPr>
      <w:r>
        <w:rPr>
          <w:rFonts w:hint="eastAsia"/>
          <w:b/>
          <w:bCs/>
          <w:color w:val="auto"/>
          <w:sz w:val="21"/>
          <w:szCs w:val="21"/>
          <w:highlight w:val="none"/>
        </w:rPr>
        <w:t>2、施工组织设计分</w:t>
      </w:r>
      <w:r>
        <w:rPr>
          <w:rFonts w:hint="eastAsia"/>
          <w:b/>
          <w:bCs/>
          <w:color w:val="auto"/>
          <w:highlight w:val="none"/>
        </w:rPr>
        <w:t>………………………………………………………………………满分</w:t>
      </w:r>
      <w:r>
        <w:rPr>
          <w:rFonts w:hint="eastAsia"/>
          <w:b/>
          <w:bCs/>
          <w:color w:val="auto"/>
          <w:sz w:val="21"/>
          <w:szCs w:val="21"/>
          <w:highlight w:val="none"/>
        </w:rPr>
        <w:t>30分</w:t>
      </w:r>
    </w:p>
    <w:p w14:paraId="7CE1F780">
      <w:pPr>
        <w:spacing w:line="360" w:lineRule="auto"/>
        <w:ind w:firstLine="422" w:firstLineChars="200"/>
        <w:rPr>
          <w:color w:val="auto"/>
          <w:sz w:val="21"/>
          <w:szCs w:val="21"/>
          <w:highlight w:val="none"/>
        </w:rPr>
      </w:pPr>
      <w:r>
        <w:rPr>
          <w:rFonts w:hint="eastAsia"/>
          <w:b/>
          <w:bCs/>
          <w:color w:val="auto"/>
          <w:sz w:val="21"/>
          <w:szCs w:val="21"/>
          <w:highlight w:val="none"/>
        </w:rPr>
        <w:t>（1）总体施工组织布置及规划（满分5分）</w:t>
      </w:r>
    </w:p>
    <w:p w14:paraId="445924C2">
      <w:pPr>
        <w:spacing w:line="360" w:lineRule="auto"/>
        <w:ind w:firstLine="420" w:firstLineChars="200"/>
        <w:rPr>
          <w:sz w:val="21"/>
          <w:szCs w:val="21"/>
          <w:highlight w:val="none"/>
        </w:rPr>
      </w:pPr>
      <w:r>
        <w:rPr>
          <w:rFonts w:hint="eastAsia"/>
          <w:color w:val="auto"/>
          <w:sz w:val="21"/>
          <w:szCs w:val="21"/>
          <w:highlight w:val="none"/>
        </w:rPr>
        <w:t>一档（5分）：总体概述（施工程序总体设想及施工段）对项目总体有深刻认识，表述清晰、完整、严谨、合理，措施先进、具体、有效、成熟；施工段划分呼应总体表述，划分清晰、合理，符合规范要求。施工进度计划和各阶段进度的保证措施关键线路清晰、准确、完整、计划编划合理、可行，关键节点的控制措施有力、</w:t>
      </w:r>
      <w:r>
        <w:rPr>
          <w:rFonts w:hint="eastAsia"/>
          <w:sz w:val="21"/>
          <w:szCs w:val="21"/>
          <w:highlight w:val="none"/>
        </w:rPr>
        <w:t>合理、可行。</w:t>
      </w:r>
    </w:p>
    <w:p w14:paraId="427AD359">
      <w:pPr>
        <w:spacing w:line="360" w:lineRule="auto"/>
        <w:ind w:firstLine="420" w:firstLineChars="200"/>
        <w:rPr>
          <w:color w:val="auto"/>
          <w:sz w:val="21"/>
          <w:szCs w:val="21"/>
          <w:highlight w:val="none"/>
        </w:rPr>
      </w:pPr>
      <w:r>
        <w:rPr>
          <w:rFonts w:hint="eastAsia"/>
          <w:sz w:val="21"/>
          <w:szCs w:val="21"/>
          <w:highlight w:val="none"/>
        </w:rPr>
        <w:t>二档（4分）：总体概述（施工程序总体设想及施工段）对项目总体有认识，表述完整、合理，措施具体；施工段划分呼应总体表述，划分合理，符合规范要求。施工进度计划和各阶段进度的保证措施关</w:t>
      </w:r>
      <w:r>
        <w:rPr>
          <w:rFonts w:hint="eastAsia"/>
          <w:color w:val="auto"/>
          <w:sz w:val="21"/>
          <w:szCs w:val="21"/>
          <w:highlight w:val="none"/>
        </w:rPr>
        <w:t>键线路准确、完整、计划编划可行，关键节点的控制措施可行。</w:t>
      </w:r>
    </w:p>
    <w:p w14:paraId="2A7CB180">
      <w:pPr>
        <w:spacing w:line="360" w:lineRule="auto"/>
        <w:ind w:firstLine="420" w:firstLineChars="200"/>
        <w:rPr>
          <w:sz w:val="21"/>
          <w:szCs w:val="21"/>
        </w:rPr>
      </w:pPr>
      <w:r>
        <w:rPr>
          <w:rFonts w:hint="eastAsia"/>
          <w:color w:val="auto"/>
          <w:sz w:val="21"/>
          <w:szCs w:val="21"/>
          <w:highlight w:val="none"/>
        </w:rPr>
        <w:t>三档（3分）：</w:t>
      </w:r>
      <w:r>
        <w:rPr>
          <w:rFonts w:hint="eastAsia"/>
          <w:sz w:val="21"/>
          <w:szCs w:val="21"/>
          <w:highlight w:val="none"/>
        </w:rPr>
        <w:t>总体概述（施工程序总体设想及施工段）对项目总体有基本认识，表述欠完整，措施一般但符合规范要求。施工进度计划和各</w:t>
      </w:r>
      <w:r>
        <w:rPr>
          <w:rFonts w:hint="eastAsia"/>
          <w:sz w:val="21"/>
          <w:szCs w:val="21"/>
        </w:rPr>
        <w:t>阶段进度的保证措施关键线路基本满足要求、计划编划基本可行，关键节点的控制措施基本可行。</w:t>
      </w:r>
    </w:p>
    <w:p w14:paraId="1D61AB1E">
      <w:pPr>
        <w:spacing w:line="360" w:lineRule="auto"/>
        <w:ind w:firstLine="420" w:firstLineChars="200"/>
        <w:rPr>
          <w:sz w:val="21"/>
          <w:szCs w:val="21"/>
          <w:highlight w:val="none"/>
        </w:rPr>
      </w:pPr>
      <w:r>
        <w:rPr>
          <w:rFonts w:hint="eastAsia"/>
          <w:sz w:val="21"/>
          <w:szCs w:val="21"/>
          <w:highlight w:val="none"/>
        </w:rPr>
        <w:t>四档（0分）：不提供总体施工组织布置及规划或对项目总体认识不足、表述不清楚，措施不符合，施工规划不合理的。</w:t>
      </w:r>
    </w:p>
    <w:p w14:paraId="1147F78E">
      <w:pPr>
        <w:spacing w:line="360" w:lineRule="auto"/>
        <w:ind w:firstLine="422" w:firstLineChars="200"/>
        <w:rPr>
          <w:b/>
          <w:bCs/>
          <w:color w:val="auto"/>
          <w:sz w:val="21"/>
          <w:szCs w:val="21"/>
          <w:highlight w:val="none"/>
        </w:rPr>
      </w:pPr>
      <w:r>
        <w:rPr>
          <w:rFonts w:hint="eastAsia"/>
          <w:b/>
          <w:bCs/>
          <w:sz w:val="21"/>
          <w:szCs w:val="21"/>
          <w:highlight w:val="none"/>
        </w:rPr>
        <w:t>（2）主</w:t>
      </w:r>
      <w:r>
        <w:rPr>
          <w:rFonts w:hint="eastAsia"/>
          <w:b/>
          <w:bCs/>
          <w:color w:val="auto"/>
          <w:sz w:val="21"/>
          <w:szCs w:val="21"/>
          <w:highlight w:val="none"/>
        </w:rPr>
        <w:t>要工程项目的施工方案、方法与技术措施（满分9分）</w:t>
      </w:r>
    </w:p>
    <w:p w14:paraId="3D6BD7FB">
      <w:pPr>
        <w:spacing w:line="360" w:lineRule="auto"/>
        <w:ind w:firstLine="420" w:firstLineChars="200"/>
        <w:rPr>
          <w:color w:val="auto"/>
          <w:sz w:val="21"/>
          <w:szCs w:val="21"/>
          <w:highlight w:val="none"/>
        </w:rPr>
      </w:pPr>
      <w:r>
        <w:rPr>
          <w:rFonts w:hint="eastAsia"/>
          <w:color w:val="auto"/>
          <w:sz w:val="21"/>
          <w:szCs w:val="21"/>
          <w:highlight w:val="none"/>
        </w:rPr>
        <w:t>一档（9分）：主要工程的施工方案、方法与技术措施符合项目实际，有详尽的施工技术方案，工艺先进、方法科学合理、可行，能指导具体施工并确保安全。投入的施工材料有详细的组织计划且计划周密，数量、选型配置、进场时间安排合理，完全满足施工需要。</w:t>
      </w:r>
    </w:p>
    <w:p w14:paraId="2DD66950">
      <w:pPr>
        <w:spacing w:line="360" w:lineRule="auto"/>
        <w:ind w:firstLine="420" w:firstLineChars="200"/>
        <w:rPr>
          <w:color w:val="auto"/>
          <w:sz w:val="21"/>
          <w:szCs w:val="21"/>
          <w:highlight w:val="none"/>
        </w:rPr>
      </w:pPr>
      <w:r>
        <w:rPr>
          <w:rFonts w:hint="eastAsia"/>
          <w:color w:val="auto"/>
          <w:sz w:val="21"/>
          <w:szCs w:val="21"/>
          <w:highlight w:val="none"/>
        </w:rPr>
        <w:t>二档（7分）：主要工程的施工方案、方法与技术措施符合项目实际，有施工技术方案，工艺及方法可行，能指导施工并确保安全。投入的施工材料有组织计划且计划可行，数量、选型配置、进场时间安排满足施工需要。</w:t>
      </w:r>
    </w:p>
    <w:p w14:paraId="0F4FDAA5">
      <w:pPr>
        <w:spacing w:line="360" w:lineRule="auto"/>
        <w:ind w:firstLine="420" w:firstLineChars="200"/>
        <w:rPr>
          <w:color w:val="auto"/>
          <w:sz w:val="21"/>
          <w:szCs w:val="21"/>
          <w:highlight w:val="none"/>
        </w:rPr>
      </w:pPr>
      <w:r>
        <w:rPr>
          <w:rFonts w:hint="eastAsia"/>
          <w:color w:val="auto"/>
          <w:sz w:val="21"/>
          <w:szCs w:val="21"/>
          <w:highlight w:val="none"/>
        </w:rPr>
        <w:t>三档（5分）：主要工程的施工方案、方法与技术措施符合项目实际，有施工技术方案，工艺及方法基本可行，能指导具体施工。投入的施工材料有组织计划，满足施工需要。</w:t>
      </w:r>
    </w:p>
    <w:p w14:paraId="6852A284">
      <w:pPr>
        <w:spacing w:line="360" w:lineRule="auto"/>
        <w:ind w:firstLine="420" w:firstLineChars="200"/>
        <w:rPr>
          <w:sz w:val="21"/>
          <w:szCs w:val="21"/>
          <w:highlight w:val="none"/>
        </w:rPr>
      </w:pPr>
      <w:r>
        <w:rPr>
          <w:rFonts w:hint="eastAsia"/>
          <w:color w:val="auto"/>
          <w:sz w:val="21"/>
          <w:szCs w:val="21"/>
          <w:highlight w:val="none"/>
        </w:rPr>
        <w:t>四档（0分）：不提供主要</w:t>
      </w:r>
      <w:r>
        <w:rPr>
          <w:rFonts w:hint="eastAsia"/>
          <w:sz w:val="21"/>
          <w:szCs w:val="21"/>
          <w:highlight w:val="none"/>
        </w:rPr>
        <w:t>工程项目的施工方案、方法与技术措施或施工方案不合理，操作方法不可行，保证措施无保障的。</w:t>
      </w:r>
    </w:p>
    <w:p w14:paraId="5E70496A">
      <w:pPr>
        <w:spacing w:line="360" w:lineRule="auto"/>
        <w:ind w:firstLine="422" w:firstLineChars="200"/>
        <w:rPr>
          <w:b/>
          <w:bCs/>
          <w:sz w:val="21"/>
          <w:szCs w:val="21"/>
          <w:highlight w:val="none"/>
        </w:rPr>
      </w:pPr>
      <w:r>
        <w:rPr>
          <w:rFonts w:hint="eastAsia"/>
          <w:b/>
          <w:bCs/>
          <w:sz w:val="21"/>
          <w:szCs w:val="21"/>
          <w:highlight w:val="none"/>
        </w:rPr>
        <w:t>（3）工期保证、工程质量管理体系及保证措</w:t>
      </w:r>
      <w:r>
        <w:rPr>
          <w:rFonts w:hint="eastAsia"/>
          <w:b/>
          <w:bCs/>
          <w:color w:val="auto"/>
          <w:sz w:val="21"/>
          <w:szCs w:val="21"/>
          <w:highlight w:val="none"/>
        </w:rPr>
        <w:t>施（满分6分）</w:t>
      </w:r>
    </w:p>
    <w:p w14:paraId="18C733A5">
      <w:pPr>
        <w:spacing w:line="360" w:lineRule="auto"/>
        <w:ind w:firstLine="420" w:firstLineChars="200"/>
        <w:rPr>
          <w:color w:val="auto"/>
          <w:sz w:val="21"/>
          <w:szCs w:val="21"/>
          <w:highlight w:val="none"/>
        </w:rPr>
      </w:pPr>
      <w:r>
        <w:rPr>
          <w:rFonts w:hint="eastAsia"/>
          <w:color w:val="auto"/>
          <w:sz w:val="21"/>
          <w:szCs w:val="21"/>
          <w:highlight w:val="none"/>
        </w:rPr>
        <w:t>一档（6分）：有工期保证体系</w:t>
      </w:r>
      <w:r>
        <w:rPr>
          <w:rFonts w:hint="eastAsia"/>
          <w:color w:val="auto"/>
          <w:sz w:val="21"/>
          <w:szCs w:val="21"/>
          <w:highlight w:val="none"/>
          <w:lang w:eastAsia="zh-CN"/>
        </w:rPr>
        <w:t>，</w:t>
      </w:r>
      <w:r>
        <w:rPr>
          <w:rFonts w:hint="eastAsia"/>
          <w:color w:val="auto"/>
          <w:sz w:val="21"/>
          <w:szCs w:val="21"/>
          <w:highlight w:val="none"/>
        </w:rPr>
        <w:t>拥有完善的工期保证体系，配套的工期保证措施合理且得当。制定了用以控制工期的施工进度计划，提供施工总进度表或施工网络图。各项计划图表编制详细、完善 ，安排科学合理，与本项目施工实际要求高度契合，各阶段进度清晰、准确、完整，关键节点控制措施有力且可行。</w:t>
      </w:r>
      <w:r>
        <w:rPr>
          <w:rFonts w:hint="eastAsia"/>
          <w:color w:val="auto"/>
          <w:sz w:val="21"/>
          <w:szCs w:val="21"/>
          <w:highlight w:val="none"/>
          <w:lang w:val="en-US" w:eastAsia="zh-CN"/>
        </w:rPr>
        <w:t>有</w:t>
      </w:r>
      <w:r>
        <w:rPr>
          <w:rFonts w:hint="eastAsia"/>
          <w:color w:val="auto"/>
          <w:sz w:val="21"/>
          <w:szCs w:val="21"/>
          <w:highlight w:val="none"/>
        </w:rPr>
        <w:t>工程质量管理体系及保证措施：具备清晰的质量管理体系与保证措施方案，对项目特点把握精准。方案内容具体、齐全，能够全面涵盖本工程所有设计或评估内容。方案针对性强，采用先进工艺，检测措施切实可行，既能有效指导具体设计工作，又能充分保障施工安全。</w:t>
      </w:r>
    </w:p>
    <w:p w14:paraId="1F088918">
      <w:pPr>
        <w:spacing w:line="360" w:lineRule="auto"/>
        <w:ind w:firstLine="420" w:firstLineChars="200"/>
        <w:rPr>
          <w:rFonts w:hint="eastAsia"/>
        </w:rPr>
      </w:pPr>
      <w:r>
        <w:rPr>
          <w:rFonts w:hint="eastAsia"/>
          <w:color w:val="auto"/>
          <w:sz w:val="21"/>
          <w:szCs w:val="21"/>
          <w:highlight w:val="none"/>
        </w:rPr>
        <w:t>二档（5分）：有工期保证体系</w:t>
      </w:r>
      <w:r>
        <w:rPr>
          <w:rFonts w:hint="eastAsia"/>
          <w:color w:val="auto"/>
          <w:sz w:val="21"/>
          <w:szCs w:val="21"/>
          <w:highlight w:val="none"/>
          <w:lang w:val="en-US" w:eastAsia="zh-CN"/>
        </w:rPr>
        <w:t>建立了工期保证体系，其中工期保证措施基本符合要求。制定了施工进度计划以控制工期，并提供施工总进度表或施工网络图。各项计划图表基本编制完善，安排基本满足要求，与本项目施工实际情况基本相符。</w:t>
      </w:r>
      <w:r>
        <w:rPr>
          <w:rFonts w:hint="eastAsia"/>
          <w:color w:val="auto"/>
          <w:sz w:val="21"/>
          <w:szCs w:val="21"/>
          <w:highlight w:val="none"/>
        </w:rPr>
        <w:t>有质量管理体系、保证措施</w:t>
      </w:r>
      <w:r>
        <w:rPr>
          <w:rFonts w:hint="eastAsia"/>
          <w:color w:val="auto"/>
          <w:sz w:val="21"/>
          <w:szCs w:val="21"/>
          <w:highlight w:val="none"/>
          <w:lang w:val="en-US" w:eastAsia="zh-CN"/>
        </w:rPr>
        <w:t>，构建了可行合理的质量管理体系与保证措施。针对主要工序，制定了质量技术保证措施和手段，自控体系完整，可有效保证技术质量，达成承诺的质量标准。</w:t>
      </w:r>
    </w:p>
    <w:p w14:paraId="044316A0">
      <w:pPr>
        <w:spacing w:line="360" w:lineRule="auto"/>
        <w:ind w:firstLine="420" w:firstLineChars="200"/>
      </w:pPr>
      <w:r>
        <w:rPr>
          <w:rFonts w:hint="eastAsia"/>
          <w:color w:val="auto"/>
          <w:sz w:val="21"/>
          <w:szCs w:val="21"/>
          <w:highlight w:val="none"/>
        </w:rPr>
        <w:t>三档（4分）：有工期保证体系</w:t>
      </w:r>
      <w:r>
        <w:rPr>
          <w:rFonts w:hint="eastAsia"/>
          <w:color w:val="auto"/>
          <w:sz w:val="21"/>
          <w:szCs w:val="21"/>
          <w:highlight w:val="none"/>
          <w:lang w:eastAsia="zh-CN"/>
        </w:rPr>
        <w:t>，</w:t>
      </w:r>
      <w:r>
        <w:rPr>
          <w:rFonts w:hint="eastAsia"/>
          <w:color w:val="auto"/>
          <w:sz w:val="21"/>
          <w:szCs w:val="21"/>
          <w:highlight w:val="none"/>
        </w:rPr>
        <w:t>已搭建工期保证体系，但配套的工期保证措施存在不合理之处。制定了用于控制工期的施工进度计划，也有施工总进度表或施工网络图。这些计划图表基本编制完善，不过合理性欠佳；整体安排基本合理，大致符合本项目的施工实际需求。有质量管理体系、保证措施</w:t>
      </w:r>
      <w:r>
        <w:rPr>
          <w:rFonts w:hint="eastAsia"/>
          <w:color w:val="auto"/>
          <w:sz w:val="21"/>
          <w:szCs w:val="21"/>
          <w:highlight w:val="none"/>
          <w:lang w:eastAsia="zh-CN"/>
        </w:rPr>
        <w:t>，</w:t>
      </w:r>
      <w:r>
        <w:rPr>
          <w:rFonts w:hint="eastAsia"/>
          <w:color w:val="auto"/>
          <w:sz w:val="21"/>
          <w:szCs w:val="21"/>
          <w:highlight w:val="none"/>
        </w:rPr>
        <w:t>建立了质量管理体系，保证措施基本可行合理。针对主要工序设置了质量技术保证措施，自控体系基本完整，能够在一定程度上保证技术质量，实现承诺的质量标准。</w:t>
      </w:r>
    </w:p>
    <w:p w14:paraId="2C952512">
      <w:pPr>
        <w:spacing w:line="360" w:lineRule="auto"/>
        <w:ind w:firstLine="420" w:firstLineChars="200"/>
        <w:rPr>
          <w:sz w:val="21"/>
          <w:szCs w:val="21"/>
          <w:highlight w:val="none"/>
        </w:rPr>
      </w:pPr>
      <w:r>
        <w:rPr>
          <w:rFonts w:hint="eastAsia"/>
          <w:color w:val="auto"/>
          <w:sz w:val="21"/>
          <w:szCs w:val="21"/>
          <w:highlight w:val="none"/>
        </w:rPr>
        <w:t>四档（0分）</w:t>
      </w:r>
      <w:r>
        <w:rPr>
          <w:rFonts w:hint="eastAsia"/>
          <w:sz w:val="21"/>
          <w:szCs w:val="21"/>
          <w:highlight w:val="none"/>
        </w:rPr>
        <w:t>：未提供工期保证、工程质量管理体系及相应保证措施；现有的工期保证体系与工期保证措施不合理，控制工期的施工进度计划同样不合理，与本项目实际施工要求不符</w:t>
      </w:r>
      <w:r>
        <w:rPr>
          <w:rFonts w:hint="eastAsia"/>
          <w:sz w:val="21"/>
          <w:szCs w:val="21"/>
          <w:highlight w:val="none"/>
          <w:lang w:eastAsia="zh-CN"/>
        </w:rPr>
        <w:t>，</w:t>
      </w:r>
      <w:r>
        <w:rPr>
          <w:rFonts w:hint="eastAsia"/>
          <w:sz w:val="21"/>
          <w:szCs w:val="21"/>
          <w:highlight w:val="none"/>
        </w:rPr>
        <w:t>工期保证措不合理，控制工期的施工进度计划不合理，不符合本项目施工实际要求。</w:t>
      </w:r>
    </w:p>
    <w:p w14:paraId="44EC647E">
      <w:pPr>
        <w:spacing w:line="360" w:lineRule="auto"/>
        <w:ind w:firstLine="422" w:firstLineChars="200"/>
        <w:rPr>
          <w:b/>
          <w:bCs/>
          <w:sz w:val="21"/>
          <w:szCs w:val="21"/>
          <w:highlight w:val="none"/>
        </w:rPr>
      </w:pPr>
      <w:r>
        <w:rPr>
          <w:rFonts w:hint="eastAsia"/>
          <w:b/>
          <w:bCs/>
          <w:sz w:val="21"/>
          <w:szCs w:val="21"/>
          <w:highlight w:val="none"/>
        </w:rPr>
        <w:t>（4）安全生产、文明施工管理体系及保证措施</w:t>
      </w:r>
      <w:r>
        <w:rPr>
          <w:rFonts w:hint="eastAsia"/>
          <w:b/>
          <w:bCs/>
          <w:color w:val="auto"/>
          <w:sz w:val="21"/>
          <w:szCs w:val="21"/>
          <w:highlight w:val="none"/>
        </w:rPr>
        <w:t>（满分5分）</w:t>
      </w:r>
    </w:p>
    <w:p w14:paraId="7FDD4A1F">
      <w:pPr>
        <w:pStyle w:val="12"/>
        <w:spacing w:before="160" w:line="362" w:lineRule="auto"/>
        <w:ind w:left="9" w:right="205" w:firstLine="422"/>
        <w:rPr>
          <w:color w:val="auto"/>
          <w:sz w:val="21"/>
          <w:szCs w:val="21"/>
        </w:rPr>
      </w:pPr>
      <w:r>
        <w:rPr>
          <w:color w:val="auto"/>
          <w:spacing w:val="11"/>
          <w:sz w:val="21"/>
          <w:szCs w:val="21"/>
        </w:rPr>
        <w:t>一档（</w:t>
      </w:r>
      <w:r>
        <w:rPr>
          <w:rFonts w:hint="eastAsia" w:eastAsia="宋体"/>
          <w:color w:val="auto"/>
          <w:spacing w:val="11"/>
          <w:sz w:val="21"/>
          <w:szCs w:val="21"/>
          <w:lang w:val="en-US" w:eastAsia="zh-CN"/>
        </w:rPr>
        <w:t>5</w:t>
      </w:r>
      <w:r>
        <w:rPr>
          <w:color w:val="auto"/>
          <w:spacing w:val="-35"/>
          <w:sz w:val="21"/>
          <w:szCs w:val="21"/>
        </w:rPr>
        <w:t xml:space="preserve"> </w:t>
      </w:r>
      <w:r>
        <w:rPr>
          <w:color w:val="auto"/>
          <w:spacing w:val="11"/>
          <w:sz w:val="21"/>
          <w:szCs w:val="21"/>
        </w:rPr>
        <w:t>分</w:t>
      </w:r>
      <w:r>
        <w:rPr>
          <w:color w:val="auto"/>
          <w:spacing w:val="-3"/>
          <w:sz w:val="21"/>
          <w:szCs w:val="21"/>
        </w:rPr>
        <w:t>）</w:t>
      </w:r>
      <w:r>
        <w:rPr>
          <w:color w:val="auto"/>
          <w:spacing w:val="-59"/>
          <w:sz w:val="21"/>
          <w:szCs w:val="21"/>
        </w:rPr>
        <w:t xml:space="preserve"> </w:t>
      </w:r>
      <w:r>
        <w:rPr>
          <w:color w:val="auto"/>
          <w:spacing w:val="-3"/>
          <w:sz w:val="21"/>
          <w:szCs w:val="21"/>
        </w:rPr>
        <w:t>：</w:t>
      </w:r>
      <w:r>
        <w:rPr>
          <w:color w:val="auto"/>
          <w:spacing w:val="11"/>
          <w:sz w:val="21"/>
          <w:szCs w:val="21"/>
        </w:rPr>
        <w:t>有安全生产管理体系、</w:t>
      </w:r>
      <w:r>
        <w:rPr>
          <w:rFonts w:hint="eastAsia" w:eastAsia="宋体"/>
          <w:b w:val="0"/>
          <w:bCs w:val="0"/>
          <w:color w:val="auto"/>
          <w:spacing w:val="11"/>
          <w:sz w:val="21"/>
          <w:szCs w:val="21"/>
          <w:lang w:val="en-US" w:eastAsia="zh-CN"/>
        </w:rPr>
        <w:t>体系</w:t>
      </w:r>
      <w:r>
        <w:rPr>
          <w:rFonts w:hint="eastAsia"/>
          <w:b w:val="0"/>
          <w:bCs w:val="0"/>
          <w:sz w:val="21"/>
          <w:szCs w:val="21"/>
          <w:highlight w:val="none"/>
        </w:rPr>
        <w:t>完整且规范，涵盖详细的岗位安全责任、安全管理制度、安全操作规程，各项内容与时俱进，符合最新法规和行业标准。</w:t>
      </w:r>
      <w:r>
        <w:rPr>
          <w:b w:val="0"/>
          <w:bCs w:val="0"/>
          <w:color w:val="auto"/>
          <w:spacing w:val="11"/>
          <w:sz w:val="21"/>
          <w:szCs w:val="21"/>
        </w:rPr>
        <w:t>保证措施</w:t>
      </w:r>
      <w:r>
        <w:rPr>
          <w:rFonts w:hint="eastAsia"/>
          <w:b w:val="0"/>
          <w:bCs w:val="0"/>
          <w:sz w:val="21"/>
          <w:szCs w:val="21"/>
          <w:highlight w:val="none"/>
        </w:rPr>
        <w:t>风险评估全面，针对不同施工环节的风险均制定了有效防控措施，安全投入充足，资源配置合理。施工人员安全培训，培训内容丰富实用，日常安全检查执行到位</w:t>
      </w:r>
      <w:r>
        <w:rPr>
          <w:b w:val="0"/>
          <w:bCs w:val="0"/>
          <w:color w:val="auto"/>
          <w:spacing w:val="11"/>
          <w:sz w:val="21"/>
          <w:szCs w:val="21"/>
        </w:rPr>
        <w:t>，</w:t>
      </w:r>
      <w:r>
        <w:rPr>
          <w:rFonts w:hint="eastAsia"/>
          <w:b w:val="0"/>
          <w:bCs w:val="0"/>
          <w:sz w:val="21"/>
          <w:szCs w:val="21"/>
          <w:highlight w:val="none"/>
        </w:rPr>
        <w:t>应急预案完善，涵盖各类可能发生的安全事故，定期组织应急演练，演练效果良好，应急响应迅速，救援能力强。</w:t>
      </w:r>
      <w:r>
        <w:rPr>
          <w:b w:val="0"/>
          <w:bCs w:val="0"/>
          <w:color w:val="auto"/>
          <w:spacing w:val="11"/>
          <w:sz w:val="21"/>
          <w:szCs w:val="21"/>
        </w:rPr>
        <w:t>各道工序安全技术措施针对性强，符</w:t>
      </w:r>
      <w:r>
        <w:rPr>
          <w:b w:val="0"/>
          <w:bCs w:val="0"/>
          <w:color w:val="auto"/>
          <w:spacing w:val="9"/>
          <w:sz w:val="21"/>
          <w:szCs w:val="21"/>
        </w:rPr>
        <w:t>合实际且满足有关安全技术标准要求。</w:t>
      </w:r>
    </w:p>
    <w:p w14:paraId="433DE83E">
      <w:pPr>
        <w:spacing w:line="360" w:lineRule="auto"/>
        <w:ind w:firstLine="464" w:firstLineChars="200"/>
        <w:rPr>
          <w:color w:val="auto"/>
          <w:sz w:val="21"/>
          <w:szCs w:val="21"/>
        </w:rPr>
      </w:pPr>
      <w:r>
        <w:rPr>
          <w:color w:val="auto"/>
          <w:spacing w:val="11"/>
          <w:sz w:val="21"/>
          <w:szCs w:val="21"/>
        </w:rPr>
        <w:t>二档（</w:t>
      </w:r>
      <w:r>
        <w:rPr>
          <w:rFonts w:hint="eastAsia" w:eastAsia="宋体"/>
          <w:color w:val="auto"/>
          <w:spacing w:val="11"/>
          <w:sz w:val="21"/>
          <w:szCs w:val="21"/>
          <w:lang w:val="en-US" w:eastAsia="zh-CN"/>
        </w:rPr>
        <w:t>4</w:t>
      </w:r>
      <w:r>
        <w:rPr>
          <w:color w:val="auto"/>
          <w:spacing w:val="-35"/>
          <w:sz w:val="21"/>
          <w:szCs w:val="21"/>
        </w:rPr>
        <w:t xml:space="preserve"> </w:t>
      </w:r>
      <w:r>
        <w:rPr>
          <w:color w:val="auto"/>
          <w:spacing w:val="11"/>
          <w:sz w:val="21"/>
          <w:szCs w:val="21"/>
        </w:rPr>
        <w:t>分</w:t>
      </w:r>
      <w:r>
        <w:rPr>
          <w:color w:val="auto"/>
          <w:spacing w:val="-3"/>
          <w:sz w:val="21"/>
          <w:szCs w:val="21"/>
        </w:rPr>
        <w:t>）</w:t>
      </w:r>
      <w:r>
        <w:rPr>
          <w:color w:val="auto"/>
          <w:spacing w:val="-59"/>
          <w:sz w:val="21"/>
          <w:szCs w:val="21"/>
        </w:rPr>
        <w:t xml:space="preserve"> </w:t>
      </w:r>
      <w:r>
        <w:rPr>
          <w:color w:val="auto"/>
          <w:spacing w:val="-3"/>
          <w:sz w:val="21"/>
          <w:szCs w:val="21"/>
        </w:rPr>
        <w:t>：</w:t>
      </w:r>
      <w:r>
        <w:rPr>
          <w:color w:val="auto"/>
          <w:spacing w:val="11"/>
          <w:sz w:val="21"/>
          <w:szCs w:val="21"/>
        </w:rPr>
        <w:t>有安全生产管理体系、</w:t>
      </w:r>
      <w:r>
        <w:rPr>
          <w:rFonts w:hint="eastAsia"/>
          <w:b w:val="0"/>
          <w:bCs w:val="0"/>
          <w:sz w:val="21"/>
          <w:szCs w:val="21"/>
          <w:highlight w:val="none"/>
        </w:rPr>
        <w:t>体系较为完善，有主要的岗位安全责任、管理制度和操作规程，能满足基本施工安全需求。</w:t>
      </w:r>
      <w:r>
        <w:rPr>
          <w:b w:val="0"/>
          <w:bCs w:val="0"/>
          <w:color w:val="auto"/>
          <w:spacing w:val="11"/>
          <w:sz w:val="21"/>
          <w:szCs w:val="21"/>
        </w:rPr>
        <w:t>保证措施</w:t>
      </w:r>
      <w:r>
        <w:rPr>
          <w:rFonts w:hint="eastAsia"/>
          <w:b w:val="0"/>
          <w:bCs w:val="0"/>
          <w:sz w:val="21"/>
          <w:szCs w:val="21"/>
          <w:highlight w:val="none"/>
        </w:rPr>
        <w:t>风险评估较全面，大部分风险有对应防控措施，安全投入基本满足施工要求</w:t>
      </w:r>
      <w:r>
        <w:rPr>
          <w:b w:val="0"/>
          <w:bCs w:val="0"/>
          <w:color w:val="auto"/>
          <w:spacing w:val="11"/>
          <w:sz w:val="21"/>
          <w:szCs w:val="21"/>
        </w:rPr>
        <w:t>，</w:t>
      </w:r>
      <w:r>
        <w:rPr>
          <w:rFonts w:hint="eastAsia"/>
          <w:b w:val="0"/>
          <w:bCs w:val="0"/>
          <w:sz w:val="21"/>
          <w:szCs w:val="21"/>
          <w:highlight w:val="none"/>
        </w:rPr>
        <w:t>施工人员安全培训，有安全检查机制有应急预案，定期组织演练，应急响应较快，具备一定救援能力。</w:t>
      </w:r>
      <w:r>
        <w:rPr>
          <w:b w:val="0"/>
          <w:bCs w:val="0"/>
          <w:color w:val="auto"/>
          <w:spacing w:val="11"/>
          <w:sz w:val="21"/>
          <w:szCs w:val="21"/>
        </w:rPr>
        <w:t>有各道工序安全技术措施，基本符合</w:t>
      </w:r>
      <w:r>
        <w:rPr>
          <w:b w:val="0"/>
          <w:bCs w:val="0"/>
          <w:color w:val="auto"/>
          <w:spacing w:val="9"/>
          <w:sz w:val="21"/>
          <w:szCs w:val="21"/>
        </w:rPr>
        <w:t>实际且有关安全技术标准要求。</w:t>
      </w:r>
    </w:p>
    <w:p w14:paraId="69AE4748">
      <w:pPr>
        <w:spacing w:line="360" w:lineRule="auto"/>
        <w:ind w:firstLine="464" w:firstLineChars="200"/>
        <w:rPr>
          <w:b w:val="0"/>
          <w:bCs w:val="0"/>
          <w:color w:val="auto"/>
          <w:sz w:val="21"/>
          <w:szCs w:val="21"/>
        </w:rPr>
      </w:pPr>
      <w:r>
        <w:rPr>
          <w:color w:val="auto"/>
          <w:spacing w:val="11"/>
          <w:sz w:val="21"/>
          <w:szCs w:val="21"/>
        </w:rPr>
        <w:t>三档（</w:t>
      </w:r>
      <w:r>
        <w:rPr>
          <w:rFonts w:hint="eastAsia" w:eastAsia="宋体"/>
          <w:color w:val="auto"/>
          <w:spacing w:val="11"/>
          <w:sz w:val="21"/>
          <w:szCs w:val="21"/>
          <w:lang w:val="en-US" w:eastAsia="zh-CN"/>
        </w:rPr>
        <w:t>3</w:t>
      </w:r>
      <w:r>
        <w:rPr>
          <w:color w:val="auto"/>
          <w:spacing w:val="-34"/>
          <w:sz w:val="21"/>
          <w:szCs w:val="21"/>
        </w:rPr>
        <w:t xml:space="preserve"> </w:t>
      </w:r>
      <w:r>
        <w:rPr>
          <w:color w:val="auto"/>
          <w:spacing w:val="11"/>
          <w:sz w:val="21"/>
          <w:szCs w:val="21"/>
        </w:rPr>
        <w:t>分</w:t>
      </w:r>
      <w:r>
        <w:rPr>
          <w:color w:val="auto"/>
          <w:spacing w:val="-2"/>
          <w:sz w:val="21"/>
          <w:szCs w:val="21"/>
        </w:rPr>
        <w:t>）</w:t>
      </w:r>
      <w:r>
        <w:rPr>
          <w:color w:val="auto"/>
          <w:spacing w:val="-58"/>
          <w:sz w:val="21"/>
          <w:szCs w:val="21"/>
        </w:rPr>
        <w:t xml:space="preserve"> </w:t>
      </w:r>
      <w:r>
        <w:rPr>
          <w:color w:val="auto"/>
          <w:spacing w:val="-2"/>
          <w:sz w:val="21"/>
          <w:szCs w:val="21"/>
        </w:rPr>
        <w:t>：</w:t>
      </w:r>
      <w:r>
        <w:rPr>
          <w:color w:val="auto"/>
          <w:spacing w:val="11"/>
          <w:sz w:val="21"/>
          <w:szCs w:val="21"/>
        </w:rPr>
        <w:t>有安全生产管理体</w:t>
      </w:r>
      <w:r>
        <w:rPr>
          <w:b w:val="0"/>
          <w:bCs w:val="0"/>
          <w:color w:val="auto"/>
          <w:spacing w:val="11"/>
          <w:sz w:val="21"/>
          <w:szCs w:val="21"/>
        </w:rPr>
        <w:t>系、</w:t>
      </w:r>
      <w:r>
        <w:rPr>
          <w:rFonts w:hint="eastAsia"/>
          <w:b w:val="0"/>
          <w:bCs w:val="0"/>
          <w:sz w:val="21"/>
          <w:szCs w:val="21"/>
          <w:highlight w:val="none"/>
        </w:rPr>
        <w:t>体系框架包含基本的岗位安全责任和管理制度，但内容不够细致，部分陈旧条款未及时更新</w:t>
      </w:r>
      <w:r>
        <w:rPr>
          <w:rFonts w:hint="eastAsia"/>
          <w:b w:val="0"/>
          <w:bCs w:val="0"/>
          <w:sz w:val="21"/>
          <w:szCs w:val="21"/>
          <w:highlight w:val="none"/>
          <w:lang w:eastAsia="zh-CN"/>
        </w:rPr>
        <w:t>。</w:t>
      </w:r>
      <w:r>
        <w:rPr>
          <w:b w:val="0"/>
          <w:bCs w:val="0"/>
          <w:color w:val="auto"/>
          <w:spacing w:val="11"/>
          <w:sz w:val="21"/>
          <w:szCs w:val="21"/>
        </w:rPr>
        <w:t>保证措施</w:t>
      </w:r>
      <w:r>
        <w:rPr>
          <w:rFonts w:hint="eastAsia"/>
          <w:b w:val="0"/>
          <w:bCs w:val="0"/>
          <w:sz w:val="21"/>
          <w:szCs w:val="21"/>
          <w:highlight w:val="none"/>
        </w:rPr>
        <w:t>进行了简单风险评估，有基本防控措施，安全投入勉强维持施工</w:t>
      </w:r>
      <w:r>
        <w:rPr>
          <w:rFonts w:hint="eastAsia" w:eastAsia="宋体"/>
          <w:b w:val="0"/>
          <w:bCs w:val="0"/>
          <w:sz w:val="21"/>
          <w:szCs w:val="21"/>
          <w:highlight w:val="none"/>
          <w:lang w:eastAsia="zh-CN"/>
        </w:rPr>
        <w:t>，</w:t>
      </w:r>
      <w:r>
        <w:rPr>
          <w:rFonts w:hint="eastAsia"/>
          <w:b w:val="0"/>
          <w:bCs w:val="0"/>
          <w:sz w:val="21"/>
          <w:szCs w:val="21"/>
          <w:highlight w:val="none"/>
        </w:rPr>
        <w:t>施工人员安全培训，安全检查存在一定疏漏。应急预案但不够完善，演练次数较少，应急响应速度一般，救援能力有限。</w:t>
      </w:r>
      <w:r>
        <w:rPr>
          <w:b w:val="0"/>
          <w:bCs w:val="0"/>
          <w:color w:val="auto"/>
          <w:spacing w:val="11"/>
          <w:sz w:val="21"/>
          <w:szCs w:val="21"/>
        </w:rPr>
        <w:t>符合实际且基本满足有关安全技术标</w:t>
      </w:r>
      <w:r>
        <w:rPr>
          <w:b w:val="0"/>
          <w:bCs w:val="0"/>
          <w:color w:val="auto"/>
          <w:spacing w:val="9"/>
          <w:sz w:val="21"/>
          <w:szCs w:val="21"/>
        </w:rPr>
        <w:t>准要求。</w:t>
      </w:r>
    </w:p>
    <w:p w14:paraId="2EBB94B6">
      <w:pPr>
        <w:spacing w:line="360" w:lineRule="auto"/>
        <w:ind w:firstLine="464" w:firstLineChars="200"/>
        <w:rPr>
          <w:rFonts w:hint="eastAsia"/>
          <w:b w:val="0"/>
          <w:bCs w:val="0"/>
          <w:sz w:val="21"/>
          <w:szCs w:val="21"/>
          <w:highlight w:val="none"/>
        </w:rPr>
      </w:pPr>
      <w:r>
        <w:rPr>
          <w:rFonts w:hint="eastAsia" w:eastAsia="宋体"/>
          <w:b w:val="0"/>
          <w:bCs w:val="0"/>
          <w:color w:val="auto"/>
          <w:spacing w:val="11"/>
          <w:sz w:val="21"/>
          <w:szCs w:val="21"/>
          <w:lang w:val="en-US" w:eastAsia="zh-CN"/>
        </w:rPr>
        <w:t>四</w:t>
      </w:r>
      <w:r>
        <w:rPr>
          <w:b w:val="0"/>
          <w:bCs w:val="0"/>
          <w:color w:val="auto"/>
          <w:spacing w:val="11"/>
          <w:sz w:val="21"/>
          <w:szCs w:val="21"/>
        </w:rPr>
        <w:t>档（0</w:t>
      </w:r>
      <w:r>
        <w:rPr>
          <w:b w:val="0"/>
          <w:bCs w:val="0"/>
          <w:color w:val="auto"/>
          <w:spacing w:val="-34"/>
          <w:sz w:val="21"/>
          <w:szCs w:val="21"/>
        </w:rPr>
        <w:t xml:space="preserve"> </w:t>
      </w:r>
      <w:r>
        <w:rPr>
          <w:b w:val="0"/>
          <w:bCs w:val="0"/>
          <w:color w:val="auto"/>
          <w:spacing w:val="11"/>
          <w:sz w:val="21"/>
          <w:szCs w:val="21"/>
        </w:rPr>
        <w:t>分</w:t>
      </w:r>
      <w:r>
        <w:rPr>
          <w:b w:val="0"/>
          <w:bCs w:val="0"/>
          <w:color w:val="auto"/>
          <w:spacing w:val="-2"/>
          <w:sz w:val="21"/>
          <w:szCs w:val="21"/>
        </w:rPr>
        <w:t>）</w:t>
      </w:r>
      <w:r>
        <w:rPr>
          <w:b w:val="0"/>
          <w:bCs w:val="0"/>
          <w:color w:val="auto"/>
          <w:spacing w:val="-58"/>
          <w:sz w:val="21"/>
          <w:szCs w:val="21"/>
        </w:rPr>
        <w:t xml:space="preserve"> </w:t>
      </w:r>
      <w:r>
        <w:rPr>
          <w:b w:val="0"/>
          <w:bCs w:val="0"/>
          <w:color w:val="auto"/>
          <w:spacing w:val="-2"/>
          <w:sz w:val="21"/>
          <w:szCs w:val="21"/>
        </w:rPr>
        <w:t>：</w:t>
      </w:r>
      <w:r>
        <w:rPr>
          <w:b w:val="0"/>
          <w:bCs w:val="0"/>
          <w:color w:val="auto"/>
          <w:spacing w:val="11"/>
          <w:sz w:val="21"/>
          <w:szCs w:val="21"/>
        </w:rPr>
        <w:t>没有安全生产管理体系、保证措施基本，</w:t>
      </w:r>
      <w:r>
        <w:rPr>
          <w:rFonts w:hint="eastAsia"/>
          <w:b w:val="0"/>
          <w:bCs w:val="0"/>
          <w:color w:val="auto"/>
          <w:spacing w:val="11"/>
          <w:sz w:val="21"/>
          <w:szCs w:val="21"/>
          <w:lang w:val="en-US" w:eastAsia="zh-CN"/>
        </w:rPr>
        <w:t>或者</w:t>
      </w:r>
      <w:r>
        <w:rPr>
          <w:rFonts w:hint="eastAsia"/>
          <w:b w:val="0"/>
          <w:bCs w:val="0"/>
          <w:sz w:val="21"/>
          <w:szCs w:val="21"/>
          <w:highlight w:val="none"/>
        </w:rPr>
        <w:t>安全生产管理体系缺失或严重不完善，关键岗位安全责任不明确，管理制度混乱</w:t>
      </w:r>
      <w:r>
        <w:rPr>
          <w:rFonts w:hint="eastAsia"/>
          <w:b w:val="0"/>
          <w:bCs w:val="0"/>
          <w:sz w:val="21"/>
          <w:szCs w:val="21"/>
          <w:highlight w:val="none"/>
          <w:lang w:eastAsia="zh-CN"/>
        </w:rPr>
        <w:t>，</w:t>
      </w:r>
      <w:r>
        <w:rPr>
          <w:b w:val="0"/>
          <w:bCs w:val="0"/>
          <w:color w:val="auto"/>
          <w:spacing w:val="11"/>
          <w:sz w:val="21"/>
          <w:szCs w:val="21"/>
        </w:rPr>
        <w:t>保证措施</w:t>
      </w:r>
      <w:r>
        <w:rPr>
          <w:rFonts w:hint="eastAsia"/>
          <w:b w:val="0"/>
          <w:bCs w:val="0"/>
          <w:sz w:val="21"/>
          <w:szCs w:val="21"/>
          <w:highlight w:val="none"/>
        </w:rPr>
        <w:t>进行了简单风险评估，有基本防控措施，安全投入勉强维持施工</w:t>
      </w:r>
      <w:r>
        <w:rPr>
          <w:rFonts w:hint="eastAsia"/>
          <w:b w:val="0"/>
          <w:bCs w:val="0"/>
          <w:sz w:val="21"/>
          <w:szCs w:val="21"/>
          <w:highlight w:val="none"/>
          <w:lang w:eastAsia="zh-CN"/>
        </w:rPr>
        <w:t>，</w:t>
      </w:r>
      <w:r>
        <w:rPr>
          <w:rFonts w:hint="eastAsia"/>
          <w:b w:val="0"/>
          <w:bCs w:val="0"/>
          <w:sz w:val="21"/>
          <w:szCs w:val="21"/>
          <w:highlight w:val="none"/>
        </w:rPr>
        <w:t>施工人员安全培训安全检查形同虚设</w:t>
      </w:r>
      <w:r>
        <w:rPr>
          <w:rFonts w:hint="eastAsia"/>
          <w:b w:val="0"/>
          <w:bCs w:val="0"/>
          <w:sz w:val="21"/>
          <w:szCs w:val="21"/>
          <w:highlight w:val="none"/>
          <w:lang w:eastAsia="zh-CN"/>
        </w:rPr>
        <w:t>，</w:t>
      </w:r>
      <w:r>
        <w:rPr>
          <w:rFonts w:hint="eastAsia"/>
          <w:b w:val="0"/>
          <w:bCs w:val="0"/>
          <w:sz w:val="21"/>
          <w:szCs w:val="21"/>
          <w:highlight w:val="none"/>
        </w:rPr>
        <w:t>无应急预案或应急预案不可行，未组织演练，应急响应迟缓甚至无响应，基本无救援能力。</w:t>
      </w:r>
      <w:r>
        <w:rPr>
          <w:b w:val="0"/>
          <w:bCs w:val="0"/>
          <w:color w:val="auto"/>
          <w:spacing w:val="11"/>
          <w:sz w:val="21"/>
          <w:szCs w:val="21"/>
        </w:rPr>
        <w:t>不符合实际不满足有关安全技术标准要</w:t>
      </w:r>
      <w:r>
        <w:rPr>
          <w:b w:val="0"/>
          <w:bCs w:val="0"/>
          <w:color w:val="auto"/>
          <w:spacing w:val="9"/>
          <w:sz w:val="21"/>
          <w:szCs w:val="21"/>
        </w:rPr>
        <w:t>求。</w:t>
      </w:r>
    </w:p>
    <w:p w14:paraId="2B49FF1F">
      <w:pPr>
        <w:spacing w:line="360" w:lineRule="auto"/>
        <w:ind w:firstLine="422" w:firstLineChars="200"/>
        <w:rPr>
          <w:b/>
          <w:bCs/>
          <w:color w:val="auto"/>
          <w:sz w:val="21"/>
          <w:szCs w:val="21"/>
          <w:highlight w:val="none"/>
        </w:rPr>
      </w:pPr>
      <w:r>
        <w:rPr>
          <w:rFonts w:hint="eastAsia"/>
          <w:b/>
          <w:bCs/>
          <w:sz w:val="21"/>
          <w:szCs w:val="21"/>
          <w:highlight w:val="none"/>
        </w:rPr>
        <w:t>（5）</w:t>
      </w:r>
      <w:r>
        <w:rPr>
          <w:rFonts w:hint="eastAsia"/>
          <w:b/>
          <w:bCs/>
          <w:color w:val="auto"/>
          <w:sz w:val="21"/>
          <w:szCs w:val="21"/>
          <w:highlight w:val="none"/>
        </w:rPr>
        <w:t>项目风险预测与防范，事故应急预案（满分5分）</w:t>
      </w:r>
    </w:p>
    <w:p w14:paraId="5D6734A6">
      <w:pPr>
        <w:spacing w:line="360" w:lineRule="auto"/>
        <w:ind w:firstLine="420" w:firstLineChars="200"/>
        <w:rPr>
          <w:color w:val="auto"/>
          <w:sz w:val="21"/>
          <w:szCs w:val="21"/>
          <w:highlight w:val="none"/>
        </w:rPr>
      </w:pPr>
      <w:r>
        <w:rPr>
          <w:rFonts w:hint="eastAsia"/>
          <w:color w:val="auto"/>
          <w:sz w:val="21"/>
          <w:szCs w:val="21"/>
          <w:highlight w:val="none"/>
        </w:rPr>
        <w:t>一档（5分）：有项目风险预测与防范，事故应急预案。针对本工程项目特点，有较好的风险预测和应急预案及防范风险事故措施，且各项措施周全、具体、有效。</w:t>
      </w:r>
    </w:p>
    <w:p w14:paraId="5E049277">
      <w:pPr>
        <w:spacing w:line="360" w:lineRule="auto"/>
        <w:ind w:firstLine="420" w:firstLineChars="200"/>
        <w:rPr>
          <w:color w:val="auto"/>
          <w:sz w:val="21"/>
          <w:szCs w:val="21"/>
          <w:highlight w:val="none"/>
        </w:rPr>
      </w:pPr>
      <w:r>
        <w:rPr>
          <w:rFonts w:hint="eastAsia"/>
          <w:color w:val="auto"/>
          <w:sz w:val="21"/>
          <w:szCs w:val="21"/>
          <w:highlight w:val="none"/>
        </w:rPr>
        <w:t>二档（4分）：有项目风险预测与防范，事故应急预案。针对本工程项目特点，有风险预测和应急预案及防范风险事故措施，且各项措施具体。</w:t>
      </w:r>
    </w:p>
    <w:p w14:paraId="0236D1CF">
      <w:pPr>
        <w:spacing w:line="360" w:lineRule="auto"/>
        <w:ind w:firstLine="420" w:firstLineChars="200"/>
        <w:rPr>
          <w:color w:val="auto"/>
          <w:sz w:val="21"/>
          <w:szCs w:val="21"/>
          <w:highlight w:val="none"/>
        </w:rPr>
      </w:pPr>
      <w:r>
        <w:rPr>
          <w:rFonts w:hint="eastAsia"/>
          <w:color w:val="auto"/>
          <w:sz w:val="21"/>
          <w:szCs w:val="21"/>
          <w:highlight w:val="none"/>
        </w:rPr>
        <w:t>三档（3分）：有项目风险预测与防范，事故应急预案。有风险预测和应急预案及防范风险事故措施。</w:t>
      </w:r>
    </w:p>
    <w:p w14:paraId="459467D9">
      <w:pPr>
        <w:spacing w:line="360" w:lineRule="auto"/>
        <w:ind w:firstLine="420" w:firstLineChars="200"/>
        <w:rPr>
          <w:sz w:val="21"/>
          <w:szCs w:val="21"/>
        </w:rPr>
      </w:pPr>
      <w:r>
        <w:rPr>
          <w:rFonts w:hint="eastAsia"/>
          <w:color w:val="auto"/>
          <w:sz w:val="21"/>
          <w:szCs w:val="21"/>
          <w:highlight w:val="none"/>
        </w:rPr>
        <w:t>四档（0分）</w:t>
      </w:r>
      <w:r>
        <w:rPr>
          <w:rFonts w:hint="eastAsia"/>
          <w:sz w:val="21"/>
          <w:szCs w:val="21"/>
        </w:rPr>
        <w:t>：不提供项目风险预测与防范，事故应急预案或项目风险预测与防范，事故应急预案不合理，不符合本项目施工实际要求。</w:t>
      </w:r>
    </w:p>
    <w:p w14:paraId="338AFEBD">
      <w:pPr>
        <w:spacing w:line="360" w:lineRule="auto"/>
        <w:ind w:firstLine="422" w:firstLineChars="200"/>
        <w:rPr>
          <w:b/>
          <w:bCs/>
          <w:color w:val="auto"/>
          <w:sz w:val="21"/>
          <w:szCs w:val="21"/>
        </w:rPr>
      </w:pPr>
      <w:r>
        <w:rPr>
          <w:rFonts w:hint="eastAsia"/>
          <w:b/>
          <w:bCs/>
          <w:sz w:val="21"/>
          <w:szCs w:val="21"/>
        </w:rPr>
        <w:t>3、主要人员分</w:t>
      </w:r>
      <w:r>
        <w:rPr>
          <w:rFonts w:hint="eastAsia"/>
          <w:b/>
          <w:bCs/>
        </w:rPr>
        <w:t>……………</w:t>
      </w:r>
      <w:r>
        <w:rPr>
          <w:rFonts w:hint="eastAsia"/>
          <w:b/>
          <w:bCs/>
          <w:color w:val="auto"/>
        </w:rPr>
        <w:t>………………………………………………………</w:t>
      </w:r>
      <w:r>
        <w:rPr>
          <w:rFonts w:hint="eastAsia"/>
          <w:b/>
          <w:bCs/>
          <w:color w:val="auto"/>
          <w:highlight w:val="none"/>
        </w:rPr>
        <w:t>………满分</w:t>
      </w:r>
      <w:r>
        <w:rPr>
          <w:rFonts w:hint="eastAsia"/>
          <w:b/>
          <w:bCs/>
          <w:color w:val="auto"/>
          <w:sz w:val="21"/>
          <w:szCs w:val="21"/>
          <w:highlight w:val="none"/>
        </w:rPr>
        <w:t>20分</w:t>
      </w:r>
    </w:p>
    <w:p w14:paraId="3C5D0649">
      <w:pPr>
        <w:spacing w:line="360" w:lineRule="auto"/>
        <w:ind w:firstLine="422" w:firstLineChars="200"/>
        <w:rPr>
          <w:b/>
          <w:bCs/>
          <w:color w:val="auto"/>
          <w:sz w:val="21"/>
          <w:szCs w:val="21"/>
        </w:rPr>
      </w:pPr>
      <w:r>
        <w:rPr>
          <w:rFonts w:hint="eastAsia"/>
          <w:b/>
          <w:bCs/>
          <w:color w:val="auto"/>
          <w:sz w:val="21"/>
          <w:szCs w:val="21"/>
        </w:rPr>
        <w:t>（1）项目经理任职资格与业绩</w:t>
      </w:r>
      <w:r>
        <w:rPr>
          <w:rFonts w:hint="eastAsia"/>
          <w:b/>
          <w:bCs/>
          <w:color w:val="auto"/>
          <w:sz w:val="21"/>
          <w:szCs w:val="21"/>
          <w:highlight w:val="none"/>
        </w:rPr>
        <w:t>（满分10分）</w:t>
      </w:r>
    </w:p>
    <w:p w14:paraId="5670A994">
      <w:pPr>
        <w:spacing w:line="360" w:lineRule="auto"/>
        <w:ind w:firstLine="440" w:firstLineChars="200"/>
        <w:rPr>
          <w:rFonts w:hint="eastAsia"/>
        </w:rPr>
      </w:pPr>
      <w:bookmarkStart w:id="77" w:name="OLE_LINK67"/>
      <w:bookmarkStart w:id="78" w:name="OLE_LINK66"/>
      <w:r>
        <w:rPr>
          <w:rFonts w:hint="eastAsia"/>
        </w:rPr>
        <w:t>满足最低要求可得6分，在此基础上，</w:t>
      </w:r>
      <w:bookmarkEnd w:id="77"/>
      <w:bookmarkEnd w:id="78"/>
      <w:r>
        <w:rPr>
          <w:rFonts w:hint="eastAsia"/>
        </w:rPr>
        <w:t>自2020年3月（所担任职务的项目的交竣工日期在2020年03月01日以后）起至今每增加担任过一个1公里（或以上）二级公路（或以上）含路基路面的公路工程项目的项目经理或项目副经理加2分，本项最多加4分。</w:t>
      </w:r>
    </w:p>
    <w:p w14:paraId="0A394C35">
      <w:pPr>
        <w:spacing w:line="360" w:lineRule="auto"/>
        <w:ind w:firstLine="440" w:firstLineChars="200"/>
        <w:rPr>
          <w:rFonts w:hint="eastAsia"/>
        </w:rPr>
      </w:pPr>
      <w:r>
        <w:rPr>
          <w:rFonts w:hint="eastAsia"/>
        </w:rPr>
        <w:t>（2）项目总工任职资格与业绩（满分10分）</w:t>
      </w:r>
    </w:p>
    <w:p w14:paraId="11E4517A">
      <w:pPr>
        <w:spacing w:line="360" w:lineRule="auto"/>
        <w:ind w:firstLine="440" w:firstLineChars="200"/>
        <w:rPr>
          <w:rFonts w:hint="eastAsia"/>
        </w:rPr>
      </w:pPr>
      <w:r>
        <w:rPr>
          <w:rFonts w:hint="eastAsia"/>
        </w:rPr>
        <w:t>满足最低要求可得6分，在此基础上，自2020年3月（所担任职务的项目的交竣工日期在2020年03月01日以后）起至今每增加担任过一个1公里（或以上）二级公路（或以上）含路基路面的公路工程项目的项目总工或项目副总工加2分，本项最多加4分。</w:t>
      </w:r>
    </w:p>
    <w:p w14:paraId="3C0BD465">
      <w:pPr>
        <w:spacing w:line="360" w:lineRule="auto"/>
        <w:ind w:firstLine="420" w:firstLineChars="200"/>
        <w:rPr>
          <w:rFonts w:hint="eastAsia"/>
          <w:sz w:val="21"/>
          <w:szCs w:val="21"/>
          <w:highlight w:val="none"/>
        </w:rPr>
      </w:pPr>
      <w:r>
        <w:rPr>
          <w:rFonts w:hint="eastAsia"/>
          <w:sz w:val="21"/>
          <w:szCs w:val="21"/>
          <w:highlight w:val="none"/>
        </w:rPr>
        <w:t>注：公路工程包括公路新建、公路改扩建、公路养护工程等；成功完成是指工程按</w:t>
      </w:r>
      <w:r>
        <w:rPr>
          <w:rFonts w:hint="eastAsia" w:asciiTheme="minorEastAsia" w:hAnsiTheme="minorEastAsia" w:eastAsiaTheme="minorEastAsia"/>
          <w:sz w:val="21"/>
          <w:szCs w:val="21"/>
          <w:highlight w:val="none"/>
        </w:rPr>
        <w:t>交通部令2004年第3号</w:t>
      </w:r>
      <w:r>
        <w:rPr>
          <w:rFonts w:hint="eastAsia"/>
          <w:sz w:val="21"/>
          <w:szCs w:val="21"/>
          <w:highlight w:val="none"/>
        </w:rPr>
        <w:t>《公路工程竣（交）工验收办法》交工验收或竣工验收通过。</w:t>
      </w:r>
    </w:p>
    <w:p w14:paraId="15741423">
      <w:pPr>
        <w:spacing w:line="360" w:lineRule="auto"/>
        <w:ind w:firstLine="422" w:firstLineChars="200"/>
        <w:rPr>
          <w:b/>
          <w:bCs/>
          <w:sz w:val="21"/>
          <w:szCs w:val="21"/>
        </w:rPr>
      </w:pPr>
      <w:r>
        <w:rPr>
          <w:rFonts w:hint="eastAsia"/>
          <w:b/>
          <w:bCs/>
          <w:sz w:val="21"/>
          <w:szCs w:val="21"/>
        </w:rPr>
        <w:t>4、履约信誉分</w:t>
      </w:r>
      <w:r>
        <w:rPr>
          <w:rFonts w:hint="eastAsia"/>
          <w:b/>
          <w:bCs/>
        </w:rPr>
        <w:t>……………………………………………………………………</w:t>
      </w:r>
      <w:r>
        <w:rPr>
          <w:rFonts w:hint="eastAsia"/>
          <w:b/>
          <w:bCs/>
          <w:color w:val="auto"/>
        </w:rPr>
        <w:t>……</w:t>
      </w:r>
      <w:r>
        <w:rPr>
          <w:rFonts w:hint="eastAsia"/>
          <w:b/>
          <w:bCs/>
          <w:color w:val="auto"/>
          <w:highlight w:val="none"/>
        </w:rPr>
        <w:t>…满分</w:t>
      </w:r>
      <w:r>
        <w:rPr>
          <w:rFonts w:hint="eastAsia"/>
          <w:b/>
          <w:bCs/>
          <w:color w:val="auto"/>
          <w:sz w:val="21"/>
          <w:szCs w:val="21"/>
          <w:highlight w:val="none"/>
        </w:rPr>
        <w:t>10分</w:t>
      </w:r>
    </w:p>
    <w:p w14:paraId="3D2AFD50">
      <w:pPr>
        <w:spacing w:line="360" w:lineRule="auto"/>
        <w:ind w:firstLine="420" w:firstLineChars="200"/>
        <w:rPr>
          <w:sz w:val="21"/>
          <w:szCs w:val="21"/>
        </w:rPr>
      </w:pPr>
      <w:r>
        <w:rPr>
          <w:rFonts w:hint="eastAsia"/>
          <w:sz w:val="21"/>
          <w:szCs w:val="21"/>
        </w:rPr>
        <w:t>（1）无</w:t>
      </w:r>
      <w:bookmarkStart w:id="79" w:name="OLE_LINK32"/>
      <w:r>
        <w:rPr>
          <w:rFonts w:hint="eastAsia"/>
          <w:sz w:val="21"/>
          <w:szCs w:val="21"/>
        </w:rPr>
        <w:t>不良信用记录</w:t>
      </w:r>
      <w:bookmarkEnd w:id="79"/>
      <w:r>
        <w:rPr>
          <w:rFonts w:hint="eastAsia"/>
          <w:sz w:val="21"/>
          <w:szCs w:val="21"/>
        </w:rPr>
        <w:t>的得7分，在全国公路建设市场信用信息管理系统(http//glxy.mot.gov.cn)的不良行为记录中</w:t>
      </w:r>
      <w:r>
        <w:rPr>
          <w:rFonts w:hint="eastAsia"/>
          <w:sz w:val="21"/>
          <w:szCs w:val="21"/>
          <w:highlight w:val="none"/>
        </w:rPr>
        <w:t>自2022年1月1日起（</w:t>
      </w:r>
      <w:r>
        <w:rPr>
          <w:rFonts w:hint="eastAsia"/>
          <w:sz w:val="21"/>
          <w:szCs w:val="21"/>
        </w:rPr>
        <w:t>以对外公布时间为准）存在一项不良行为记录的扣1分（以评标期间核查为准），扣完7分为止。</w:t>
      </w:r>
    </w:p>
    <w:p w14:paraId="2B39A007">
      <w:pPr>
        <w:spacing w:line="360" w:lineRule="auto"/>
        <w:ind w:firstLine="420" w:firstLineChars="200"/>
        <w:rPr>
          <w:rFonts w:hint="eastAsia" w:eastAsia="宋体"/>
          <w:b w:val="0"/>
          <w:bCs w:val="0"/>
          <w:color w:val="auto"/>
          <w:sz w:val="21"/>
          <w:szCs w:val="21"/>
          <w:lang w:eastAsia="zh-CN"/>
        </w:rPr>
      </w:pPr>
      <w:r>
        <w:rPr>
          <w:rFonts w:hint="eastAsia"/>
          <w:sz w:val="21"/>
          <w:szCs w:val="21"/>
        </w:rPr>
        <w:t>（2）以广西壮族自治区交通运输厅最新公布的广西公路养护工程施工企业信用评价等级评定（以磋商文件发布截止日期当</w:t>
      </w:r>
      <w:r>
        <w:rPr>
          <w:rFonts w:hint="eastAsia"/>
          <w:color w:val="auto"/>
          <w:sz w:val="21"/>
          <w:szCs w:val="21"/>
        </w:rPr>
        <w:t>日</w:t>
      </w:r>
      <w:r>
        <w:rPr>
          <w:rFonts w:hint="eastAsia"/>
          <w:color w:val="auto"/>
          <w:sz w:val="21"/>
          <w:szCs w:val="21"/>
          <w:highlight w:val="none"/>
          <w:lang w:eastAsia="zh-CN"/>
        </w:rPr>
        <w:t>供应商</w:t>
      </w:r>
      <w:r>
        <w:rPr>
          <w:rFonts w:hint="eastAsia"/>
          <w:sz w:val="21"/>
          <w:szCs w:val="21"/>
        </w:rPr>
        <w:t>所具备的信用等级）为准，获得广西公路养护工程施工企</w:t>
      </w:r>
      <w:r>
        <w:rPr>
          <w:rFonts w:hint="eastAsia"/>
          <w:sz w:val="21"/>
          <w:szCs w:val="21"/>
          <w:highlight w:val="none"/>
        </w:rPr>
        <w:t>业信用评价</w:t>
      </w:r>
      <w:r>
        <w:rPr>
          <w:rFonts w:hint="eastAsia"/>
          <w:color w:val="auto"/>
          <w:sz w:val="21"/>
          <w:szCs w:val="21"/>
          <w:highlight w:val="none"/>
        </w:rPr>
        <w:t>等级“AA”级的得3分，“A”级的得2分，“B”级的得0.5分，“C”级的得0分。</w:t>
      </w:r>
      <w:r>
        <w:rPr>
          <w:rFonts w:hint="eastAsia"/>
          <w:sz w:val="21"/>
          <w:szCs w:val="21"/>
        </w:rPr>
        <w:t>（1.施工企业初次进入广西公路养护工程市场时，其信用等级按照广西公路建设市场信用评价结果确定；2.施工企业初次进入广西公路养护工程市场时，无广西公路建设市场信用评价结果的，其信用等级按照全国综合评价结果确定；3.施工企业初次进入广西公路养护工程市场时，无广西公路建设市场评信用评价结果和全国综合评价结果的，其信用等级参照企业注册地省级综合评价结果确定，但施工单位信用等级最高为A级；</w:t>
      </w:r>
      <w:r>
        <w:rPr>
          <w:rFonts w:hint="eastAsia"/>
          <w:b w:val="0"/>
          <w:bCs w:val="0"/>
          <w:sz w:val="21"/>
          <w:szCs w:val="21"/>
        </w:rPr>
        <w:t>4.施工企业初次进入广西公路养护工程市场时，无广西公路建设市场、全国和企业注册地省级综合评价结果的，无不良信用记录，按B级确定，若有不良信用记录，按C级确定）</w:t>
      </w:r>
      <w:r>
        <w:rPr>
          <w:rFonts w:hint="eastAsia"/>
          <w:b w:val="0"/>
          <w:bCs w:val="0"/>
          <w:sz w:val="21"/>
          <w:szCs w:val="21"/>
          <w:lang w:eastAsia="zh-CN"/>
        </w:rPr>
        <w:t>。</w:t>
      </w:r>
    </w:p>
    <w:p w14:paraId="51AE3AC1">
      <w:pPr>
        <w:spacing w:line="360" w:lineRule="auto"/>
        <w:ind w:firstLine="422" w:firstLineChars="200"/>
        <w:rPr>
          <w:b/>
          <w:bCs/>
          <w:color w:val="auto"/>
          <w:sz w:val="21"/>
          <w:szCs w:val="21"/>
        </w:rPr>
      </w:pPr>
      <w:r>
        <w:rPr>
          <w:rFonts w:hint="eastAsia"/>
          <w:b/>
          <w:bCs/>
          <w:color w:val="auto"/>
          <w:sz w:val="21"/>
          <w:szCs w:val="21"/>
        </w:rPr>
        <w:t>5、</w:t>
      </w:r>
      <w:r>
        <w:rPr>
          <w:rFonts w:hint="eastAsia"/>
          <w:b/>
          <w:bCs/>
          <w:color w:val="auto"/>
          <w:sz w:val="21"/>
          <w:szCs w:val="21"/>
          <w:lang w:eastAsia="zh-CN"/>
        </w:rPr>
        <w:t>供应商</w:t>
      </w:r>
      <w:r>
        <w:rPr>
          <w:rFonts w:hint="eastAsia"/>
          <w:b/>
          <w:bCs/>
          <w:color w:val="auto"/>
          <w:sz w:val="21"/>
          <w:szCs w:val="21"/>
        </w:rPr>
        <w:t>业绩分</w:t>
      </w:r>
      <w:r>
        <w:rPr>
          <w:rFonts w:hint="eastAsia"/>
          <w:b/>
          <w:bCs/>
          <w:color w:val="auto"/>
        </w:rPr>
        <w:t>…………………………………………………………………………满分</w:t>
      </w:r>
      <w:r>
        <w:rPr>
          <w:rFonts w:hint="eastAsia"/>
          <w:b/>
          <w:bCs/>
          <w:color w:val="auto"/>
          <w:sz w:val="21"/>
          <w:szCs w:val="21"/>
        </w:rPr>
        <w:t>10分</w:t>
      </w:r>
    </w:p>
    <w:p w14:paraId="0561D74A">
      <w:pPr>
        <w:spacing w:line="360" w:lineRule="auto"/>
        <w:ind w:firstLine="420" w:firstLineChars="200"/>
        <w:rPr>
          <w:color w:val="auto"/>
          <w:sz w:val="21"/>
          <w:szCs w:val="21"/>
          <w:highlight w:val="none"/>
        </w:rPr>
      </w:pPr>
      <w:r>
        <w:rPr>
          <w:rFonts w:hint="eastAsia"/>
          <w:color w:val="auto"/>
          <w:sz w:val="21"/>
          <w:szCs w:val="21"/>
          <w:highlight w:val="none"/>
        </w:rPr>
        <w:t>自2020年03月（所完成项目的项目的交竣工日期在2020年03月1日以后）起至今完成过一个</w:t>
      </w:r>
      <w:r>
        <w:rPr>
          <w:rFonts w:hint="eastAsia"/>
          <w:color w:val="auto"/>
          <w:sz w:val="21"/>
          <w:szCs w:val="21"/>
          <w:highlight w:val="none"/>
          <w:lang w:val="en-US" w:eastAsia="zh-CN"/>
        </w:rPr>
        <w:t>1</w:t>
      </w:r>
      <w:r>
        <w:rPr>
          <w:rFonts w:hint="eastAsia"/>
          <w:color w:val="auto"/>
          <w:sz w:val="21"/>
          <w:szCs w:val="21"/>
          <w:highlight w:val="none"/>
        </w:rPr>
        <w:t>公里（或以上）</w:t>
      </w:r>
      <w:r>
        <w:rPr>
          <w:rFonts w:hint="eastAsia"/>
          <w:color w:val="auto"/>
          <w:sz w:val="21"/>
          <w:szCs w:val="21"/>
          <w:lang w:eastAsia="zh-CN"/>
        </w:rPr>
        <w:t>二</w:t>
      </w:r>
      <w:r>
        <w:rPr>
          <w:rFonts w:hint="eastAsia"/>
          <w:color w:val="auto"/>
          <w:sz w:val="21"/>
          <w:szCs w:val="21"/>
          <w:highlight w:val="none"/>
        </w:rPr>
        <w:t>级公路（或以上）的</w:t>
      </w:r>
      <w:r>
        <w:rPr>
          <w:rFonts w:hint="eastAsia"/>
          <w:color w:val="auto"/>
          <w:sz w:val="21"/>
          <w:szCs w:val="21"/>
          <w:highlight w:val="none"/>
          <w:lang w:eastAsia="zh-CN"/>
        </w:rPr>
        <w:t>含路基路面的公路</w:t>
      </w:r>
      <w:r>
        <w:rPr>
          <w:rFonts w:hint="eastAsia"/>
          <w:color w:val="auto"/>
          <w:sz w:val="21"/>
          <w:szCs w:val="21"/>
          <w:highlight w:val="none"/>
        </w:rPr>
        <w:t>工程项目业绩得</w:t>
      </w:r>
      <w:r>
        <w:rPr>
          <w:rFonts w:hint="eastAsia"/>
          <w:color w:val="auto"/>
          <w:sz w:val="21"/>
          <w:szCs w:val="21"/>
          <w:highlight w:val="none"/>
          <w:lang w:val="en-US" w:eastAsia="zh-CN"/>
        </w:rPr>
        <w:t>2</w:t>
      </w:r>
      <w:r>
        <w:rPr>
          <w:rFonts w:hint="eastAsia"/>
          <w:color w:val="auto"/>
          <w:sz w:val="21"/>
          <w:szCs w:val="21"/>
          <w:highlight w:val="none"/>
        </w:rPr>
        <w:t>分，每增加一个项目加2分，满分10分。</w:t>
      </w:r>
    </w:p>
    <w:p w14:paraId="7BA79D26">
      <w:pPr>
        <w:adjustRightInd w:val="0"/>
        <w:snapToGrid w:val="0"/>
        <w:spacing w:line="360" w:lineRule="auto"/>
        <w:ind w:firstLine="422" w:firstLineChars="200"/>
        <w:rPr>
          <w:rFonts w:asciiTheme="minorEastAsia" w:hAnsiTheme="minorEastAsia" w:eastAsiaTheme="minorEastAsia"/>
          <w:sz w:val="21"/>
          <w:szCs w:val="21"/>
        </w:rPr>
      </w:pPr>
      <w:r>
        <w:rPr>
          <w:rFonts w:hint="eastAsia" w:cs="仿宋" w:asciiTheme="minorEastAsia" w:hAnsiTheme="minorEastAsia" w:eastAsiaTheme="minorEastAsia"/>
          <w:b/>
          <w:sz w:val="21"/>
          <w:szCs w:val="21"/>
        </w:rPr>
        <w:t>（</w:t>
      </w:r>
      <w:r>
        <w:rPr>
          <w:rFonts w:hint="eastAsia" w:cs="仿宋" w:asciiTheme="minorEastAsia" w:hAnsiTheme="minorEastAsia" w:eastAsiaTheme="minorEastAsia"/>
          <w:sz w:val="21"/>
          <w:szCs w:val="21"/>
        </w:rPr>
        <w:t>注：</w:t>
      </w:r>
      <w:r>
        <w:rPr>
          <w:rFonts w:hint="eastAsia" w:asciiTheme="minorEastAsia" w:hAnsiTheme="minorEastAsia" w:eastAsiaTheme="minorEastAsia"/>
          <w:sz w:val="21"/>
          <w:szCs w:val="21"/>
        </w:rPr>
        <w:t>（1）成功完成是指工程</w:t>
      </w:r>
      <w:r>
        <w:rPr>
          <w:rFonts w:hint="eastAsia" w:asciiTheme="minorEastAsia" w:hAnsiTheme="minorEastAsia" w:eastAsiaTheme="minorEastAsia"/>
          <w:sz w:val="21"/>
          <w:szCs w:val="21"/>
          <w:highlight w:val="none"/>
        </w:rPr>
        <w:t>按交通部令2004年第3号《</w:t>
      </w:r>
      <w:r>
        <w:rPr>
          <w:rFonts w:hint="eastAsia" w:asciiTheme="minorEastAsia" w:hAnsiTheme="minorEastAsia" w:eastAsiaTheme="minorEastAsia"/>
          <w:sz w:val="21"/>
          <w:szCs w:val="21"/>
        </w:rPr>
        <w:t>公路工程竣（交）工验收办法》交工验收或竣工验收通过）。</w:t>
      </w:r>
    </w:p>
    <w:p w14:paraId="622B8CD9">
      <w:pPr>
        <w:adjustRightInd w:val="0"/>
        <w:snapToGrid w:val="0"/>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rPr>
        <w:t>（2）施工业绩是指工程</w:t>
      </w:r>
      <w:r>
        <w:rPr>
          <w:rFonts w:hint="eastAsia" w:asciiTheme="minorEastAsia" w:hAnsiTheme="minorEastAsia" w:eastAsiaTheme="minorEastAsia"/>
          <w:sz w:val="21"/>
          <w:szCs w:val="21"/>
          <w:highlight w:val="none"/>
        </w:rPr>
        <w:t>按交通部令2004年第3号《公路工程竣（交）工验收办法》交工验收或竣工验收通过且</w:t>
      </w:r>
      <w:r>
        <w:rPr>
          <w:rFonts w:hint="eastAsia" w:asciiTheme="minorEastAsia" w:hAnsiTheme="minorEastAsia" w:eastAsiaTheme="minorEastAsia"/>
          <w:sz w:val="21"/>
          <w:szCs w:val="21"/>
          <w:highlight w:val="none"/>
          <w:lang w:eastAsia="zh-CN"/>
        </w:rPr>
        <w:t>供应商</w:t>
      </w:r>
      <w:r>
        <w:rPr>
          <w:rFonts w:hint="eastAsia" w:cs="Times New Roman" w:asciiTheme="minorEastAsia" w:hAnsiTheme="minorEastAsia" w:eastAsiaTheme="minorEastAsia"/>
          <w:sz w:val="21"/>
          <w:szCs w:val="21"/>
          <w:highlight w:val="none"/>
        </w:rPr>
        <w:t>在</w:t>
      </w:r>
      <w:r>
        <w:rPr>
          <w:rFonts w:hint="eastAsia" w:cs="Times New Roman" w:asciiTheme="minorEastAsia" w:hAnsiTheme="minorEastAsia" w:eastAsiaTheme="minorEastAsia"/>
          <w:sz w:val="21"/>
          <w:szCs w:val="21"/>
          <w:highlight w:val="none"/>
          <w:lang w:eastAsia="zh-CN"/>
        </w:rPr>
        <w:t>响应文件</w:t>
      </w:r>
      <w:r>
        <w:rPr>
          <w:rFonts w:hint="eastAsia" w:cs="Times New Roman" w:asciiTheme="minorEastAsia" w:hAnsiTheme="minorEastAsia" w:eastAsiaTheme="minorEastAsia"/>
          <w:sz w:val="21"/>
          <w:szCs w:val="21"/>
          <w:highlight w:val="none"/>
        </w:rPr>
        <w:t>中填报的业绩应当与其在交通运输主管部门公路建设市场监督管理系统上填报并通过交通运输主管部门审核发布的相关信息一致,并提供相应</w:t>
      </w:r>
      <w:r>
        <w:rPr>
          <w:rFonts w:hint="eastAsia" w:cs="仿宋_GB2312" w:asciiTheme="minorEastAsia" w:hAnsiTheme="minorEastAsia" w:eastAsiaTheme="minorEastAsia"/>
          <w:kern w:val="2"/>
          <w:sz w:val="21"/>
          <w:szCs w:val="21"/>
          <w:highlight w:val="none"/>
        </w:rPr>
        <w:t>“全国公路建设市场监督管理系统（https://hwdms.mot.gov.cn/BMWebSite）</w:t>
      </w:r>
      <w:r>
        <w:rPr>
          <w:rFonts w:hint="eastAsia" w:cs="Times New Roman" w:asciiTheme="minorEastAsia" w:hAnsiTheme="minorEastAsia" w:eastAsiaTheme="minorEastAsia"/>
          <w:sz w:val="21"/>
          <w:szCs w:val="21"/>
          <w:highlight w:val="none"/>
        </w:rPr>
        <w:t>查询到的企业“业绩信息”相关项目网页截图，即包括“项目名称”“标段类型”“合同价”“主要工程量”“项目主要管理人员”等栏目在内的项目详细信息网页截图。除网页截图复印件外，</w:t>
      </w:r>
      <w:r>
        <w:rPr>
          <w:rFonts w:hint="eastAsia" w:cs="Times New Roman" w:asciiTheme="minorEastAsia" w:hAnsiTheme="minorEastAsia" w:eastAsiaTheme="minorEastAsia"/>
          <w:sz w:val="21"/>
          <w:szCs w:val="21"/>
          <w:highlight w:val="none"/>
          <w:lang w:eastAsia="zh-CN"/>
        </w:rPr>
        <w:t>供应商</w:t>
      </w:r>
      <w:r>
        <w:rPr>
          <w:rFonts w:hint="eastAsia" w:cs="Times New Roman" w:asciiTheme="minorEastAsia" w:hAnsiTheme="minorEastAsia" w:eastAsiaTheme="minorEastAsia"/>
          <w:sz w:val="21"/>
          <w:szCs w:val="21"/>
          <w:highlight w:val="none"/>
        </w:rPr>
        <w:t xml:space="preserve">提供的其他任何业绩证明材料均不予以认可。 </w:t>
      </w:r>
    </w:p>
    <w:p w14:paraId="7D12009F">
      <w:pPr>
        <w:adjustRightInd w:val="0"/>
        <w:snapToGrid w:val="0"/>
        <w:spacing w:line="360" w:lineRule="auto"/>
        <w:ind w:firstLine="210" w:firstLineChars="100"/>
        <w:rPr>
          <w:rFonts w:cs="仿宋" w:asciiTheme="minorEastAsia" w:hAnsiTheme="minorEastAsia" w:eastAsiaTheme="minorEastAsia"/>
          <w:b/>
          <w:sz w:val="21"/>
          <w:szCs w:val="21"/>
        </w:rPr>
      </w:pPr>
      <w:r>
        <w:rPr>
          <w:rFonts w:hint="eastAsia" w:asciiTheme="minorEastAsia" w:hAnsiTheme="minorEastAsia" w:eastAsiaTheme="minorEastAsia"/>
          <w:sz w:val="21"/>
          <w:szCs w:val="21"/>
          <w:highlight w:val="none"/>
        </w:rPr>
        <w:t>（3）在交通运输部“</w:t>
      </w:r>
      <w:r>
        <w:rPr>
          <w:rFonts w:hint="eastAsia" w:cs="仿宋_GB2312" w:asciiTheme="minorEastAsia" w:hAnsiTheme="minorEastAsia" w:eastAsiaTheme="minorEastAsia"/>
          <w:kern w:val="2"/>
          <w:sz w:val="21"/>
          <w:szCs w:val="21"/>
          <w:highlight w:val="none"/>
        </w:rPr>
        <w:t>全国公路建设市场监督管理系统</w:t>
      </w:r>
      <w:r>
        <w:rPr>
          <w:rFonts w:hint="eastAsia" w:asciiTheme="minorEastAsia" w:hAnsiTheme="minorEastAsia" w:eastAsiaTheme="minorEastAsia"/>
          <w:sz w:val="21"/>
          <w:szCs w:val="21"/>
          <w:highlight w:val="none"/>
        </w:rPr>
        <w:t>”中无法查询，但可在省级交通运输主管部门“公路建设市场信用信息管理系统</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rPr>
        <w:t>(系统名称以各省省级交通运输主管部门采用的名称为准）中查询的，应附省级交通运输主管部门“公路建设市场信用信息管理系统</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rPr>
        <w:t>(系统名称以各省省级交通运输主管部门采用的名称为准）</w:t>
      </w:r>
      <w:r>
        <w:rPr>
          <w:rFonts w:hint="eastAsia" w:asciiTheme="minorEastAsia" w:hAnsiTheme="minorEastAsia" w:eastAsiaTheme="minorEastAsia"/>
          <w:sz w:val="21"/>
          <w:szCs w:val="21"/>
        </w:rPr>
        <w:t>中查询到的网页截图，且截图信息要求与上述第2点一致。除网页截图复印件外，</w:t>
      </w:r>
      <w:r>
        <w:rPr>
          <w:rFonts w:hint="eastAsia" w:asciiTheme="minorEastAsia" w:hAnsiTheme="minorEastAsia" w:eastAsiaTheme="minorEastAsia"/>
          <w:sz w:val="21"/>
          <w:szCs w:val="21"/>
          <w:lang w:eastAsia="zh-CN"/>
        </w:rPr>
        <w:t>供应商</w:t>
      </w:r>
      <w:r>
        <w:rPr>
          <w:rFonts w:hint="eastAsia" w:asciiTheme="minorEastAsia" w:hAnsiTheme="minorEastAsia" w:eastAsiaTheme="minorEastAsia"/>
          <w:sz w:val="21"/>
          <w:szCs w:val="21"/>
        </w:rPr>
        <w:t>提供的其他任何业绩证明材料均不予以认可。</w:t>
      </w:r>
    </w:p>
    <w:p w14:paraId="3504201C">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（4）公路工程包括公路新建、公路改扩建、公路养护工程等；</w:t>
      </w:r>
    </w:p>
    <w:p w14:paraId="13FF3B99">
      <w:pPr>
        <w:spacing w:line="360" w:lineRule="auto"/>
        <w:ind w:firstLine="422" w:firstLineChars="200"/>
        <w:rPr>
          <w:b/>
          <w:bCs/>
          <w:sz w:val="21"/>
          <w:szCs w:val="21"/>
        </w:rPr>
      </w:pPr>
      <w:r>
        <w:rPr>
          <w:rFonts w:hint="eastAsia"/>
          <w:b/>
          <w:bCs/>
          <w:sz w:val="21"/>
          <w:szCs w:val="21"/>
        </w:rPr>
        <w:t>6、综合得分＝1+2+3+4+5</w:t>
      </w:r>
    </w:p>
    <w:p w14:paraId="0DA7B73A">
      <w:pPr>
        <w:spacing w:line="360" w:lineRule="auto"/>
        <w:ind w:firstLine="422" w:firstLineChars="200"/>
        <w:rPr>
          <w:b/>
          <w:bCs/>
          <w:sz w:val="21"/>
          <w:szCs w:val="21"/>
        </w:rPr>
      </w:pPr>
      <w:r>
        <w:rPr>
          <w:rFonts w:hint="eastAsia"/>
          <w:b/>
          <w:bCs/>
          <w:sz w:val="21"/>
          <w:szCs w:val="21"/>
        </w:rPr>
        <w:t>三、推荐及确定中标候选供应商原则</w:t>
      </w:r>
    </w:p>
    <w:p w14:paraId="267D6048">
      <w:pPr>
        <w:spacing w:line="360" w:lineRule="auto"/>
        <w:ind w:firstLine="420" w:firstLineChars="200"/>
        <w:rPr>
          <w:sz w:val="21"/>
          <w:szCs w:val="21"/>
        </w:rPr>
      </w:pPr>
      <w:r>
        <w:rPr>
          <w:rFonts w:hint="eastAsia"/>
          <w:sz w:val="21"/>
          <w:szCs w:val="21"/>
        </w:rPr>
        <w:t>（1）磋商小组应当根据综合得分情况，按照综合得分由高到低顺序推荐三名成交候选供应商，并编写评审报告。磋商小组根据综合得分由高到低排列次序；综合评分相等时，以最后一次报价低的优先；投标报价也相等的，采购人可采用被招标项目所在地省级交通主管部门评为较高信用等级的</w:t>
      </w:r>
      <w:r>
        <w:rPr>
          <w:rFonts w:hint="eastAsia"/>
          <w:sz w:val="21"/>
          <w:szCs w:val="21"/>
          <w:lang w:eastAsia="zh-CN"/>
        </w:rPr>
        <w:t>供应商</w:t>
      </w:r>
      <w:r>
        <w:rPr>
          <w:rFonts w:hint="eastAsia"/>
          <w:sz w:val="21"/>
          <w:szCs w:val="21"/>
        </w:rPr>
        <w:t>优先或其他方法确定第一中标候选人。</w:t>
      </w:r>
    </w:p>
    <w:p w14:paraId="234206E8">
      <w:pPr>
        <w:spacing w:line="360" w:lineRule="auto"/>
        <w:ind w:firstLine="420" w:firstLineChars="200"/>
        <w:rPr>
          <w:sz w:val="21"/>
          <w:szCs w:val="21"/>
          <w:highlight w:val="yellow"/>
        </w:rPr>
      </w:pPr>
      <w:r>
        <w:rPr>
          <w:rFonts w:hint="eastAsia"/>
          <w:sz w:val="21"/>
          <w:szCs w:val="21"/>
          <w:highlight w:val="none"/>
        </w:rPr>
        <w:t>（2）</w:t>
      </w:r>
      <w:bookmarkStart w:id="80" w:name="OLE_LINK39"/>
      <w:bookmarkStart w:id="81" w:name="OLE_LINK40"/>
      <w:r>
        <w:rPr>
          <w:rFonts w:hint="eastAsia"/>
          <w:sz w:val="21"/>
          <w:szCs w:val="21"/>
          <w:highlight w:val="none"/>
        </w:rPr>
        <w:t>本项目确定一名成交供应商。由采购人依法确定成交供应商</w:t>
      </w:r>
      <w:bookmarkEnd w:id="80"/>
      <w:bookmarkEnd w:id="81"/>
      <w:r>
        <w:rPr>
          <w:rFonts w:hint="eastAsia" w:ascii="宋体" w:hAnsi="宋体" w:eastAsia="宋体" w:cs="宋体"/>
          <w:b/>
          <w:bCs/>
          <w:color w:val="auto"/>
          <w:sz w:val="21"/>
          <w:szCs w:val="21"/>
          <w:highlight w:val="none"/>
        </w:rPr>
        <w:t>。</w:t>
      </w:r>
    </w:p>
    <w:p w14:paraId="71FC3DB3">
      <w:pPr>
        <w:tabs>
          <w:tab w:val="left" w:pos="1305"/>
        </w:tabs>
        <w:spacing w:line="360" w:lineRule="auto"/>
        <w:ind w:firstLine="420" w:firstLineChars="200"/>
        <w:rPr>
          <w:sz w:val="21"/>
          <w:szCs w:val="21"/>
        </w:rPr>
      </w:pPr>
      <w:r>
        <w:rPr>
          <w:rFonts w:hint="eastAsia"/>
          <w:sz w:val="21"/>
          <w:szCs w:val="21"/>
        </w:rPr>
        <w:t>（3）排名第一的成交候选供应商放弃成交、因不可抗力提出不能履行合同，或者竞争性磋商采购文件规定应当提交履约保证金而在规定的期限内未能提交的，采购人可以按照评审报告推荐的成交候选供应商名单排序，确定下一候选供应商为成交供应商，也可以重新开展政府采购活动。</w:t>
      </w:r>
    </w:p>
    <w:p w14:paraId="0A37C412">
      <w:pPr>
        <w:tabs>
          <w:tab w:val="left" w:pos="1305"/>
        </w:tabs>
        <w:spacing w:line="360" w:lineRule="auto"/>
        <w:ind w:firstLine="420" w:firstLineChars="200"/>
        <w:rPr>
          <w:sz w:val="21"/>
          <w:szCs w:val="21"/>
        </w:rPr>
      </w:pPr>
      <w:r>
        <w:rPr>
          <w:rFonts w:hint="eastAsia"/>
          <w:sz w:val="21"/>
          <w:szCs w:val="21"/>
        </w:rPr>
        <w:t>（4）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p w14:paraId="656019F8">
      <w:pPr>
        <w:spacing w:line="360" w:lineRule="auto"/>
        <w:ind w:firstLine="422"/>
        <w:rPr>
          <w:sz w:val="21"/>
          <w:szCs w:val="21"/>
        </w:rPr>
        <w:sectPr>
          <w:footerReference r:id="rId4" w:type="default"/>
          <w:pgSz w:w="11911" w:h="16849"/>
          <w:pgMar w:top="1417" w:right="1417" w:bottom="1417" w:left="1417" w:header="720" w:footer="720" w:gutter="0"/>
          <w:cols w:space="720" w:num="1"/>
        </w:sectPr>
      </w:pPr>
    </w:p>
    <w:p w14:paraId="260448A8">
      <w:pPr>
        <w:pStyle w:val="2"/>
        <w:numPr>
          <w:ilvl w:val="0"/>
          <w:numId w:val="2"/>
        </w:numPr>
        <w:spacing w:before="35"/>
        <w:ind w:right="320" w:firstLine="723"/>
        <w:jc w:val="center"/>
        <w:rPr>
          <w:sz w:val="36"/>
          <w:szCs w:val="36"/>
        </w:rPr>
      </w:pPr>
      <w:bookmarkStart w:id="82" w:name="第五章__政府采购合同（合同主要条款及格式）"/>
      <w:bookmarkEnd w:id="82"/>
      <w:bookmarkStart w:id="83" w:name="_Toc29957"/>
      <w:r>
        <w:rPr>
          <w:sz w:val="36"/>
          <w:szCs w:val="36"/>
        </w:rPr>
        <w:t>合同条款及格式</w:t>
      </w:r>
      <w:bookmarkEnd w:id="83"/>
    </w:p>
    <w:p w14:paraId="260A4563">
      <w:pPr>
        <w:pStyle w:val="12"/>
        <w:spacing w:before="12"/>
        <w:ind w:firstLine="280"/>
        <w:rPr>
          <w:b/>
          <w:sz w:val="14"/>
        </w:rPr>
      </w:pPr>
    </w:p>
    <w:p w14:paraId="4A44713D">
      <w:pPr>
        <w:spacing w:before="54"/>
        <w:ind w:left="118" w:right="235" w:firstLine="640"/>
        <w:jc w:val="center"/>
        <w:rPr>
          <w:b/>
          <w:sz w:val="32"/>
        </w:rPr>
      </w:pPr>
      <w:bookmarkStart w:id="84" w:name="第一节__通用合同条款"/>
      <w:bookmarkEnd w:id="84"/>
    </w:p>
    <w:p w14:paraId="20BCF0B7">
      <w:pPr>
        <w:spacing w:before="54"/>
        <w:ind w:left="118" w:right="235" w:firstLine="640"/>
        <w:jc w:val="center"/>
        <w:rPr>
          <w:b/>
          <w:sz w:val="32"/>
        </w:rPr>
      </w:pPr>
    </w:p>
    <w:p w14:paraId="445BA955">
      <w:pPr>
        <w:spacing w:before="54"/>
        <w:ind w:left="118" w:right="235" w:firstLine="640"/>
        <w:jc w:val="center"/>
        <w:rPr>
          <w:b/>
          <w:sz w:val="32"/>
        </w:rPr>
      </w:pPr>
    </w:p>
    <w:p w14:paraId="0A501BA7">
      <w:pPr>
        <w:spacing w:before="54"/>
        <w:ind w:left="118" w:right="235" w:firstLine="640"/>
        <w:jc w:val="center"/>
        <w:rPr>
          <w:b/>
          <w:sz w:val="32"/>
        </w:rPr>
      </w:pPr>
    </w:p>
    <w:p w14:paraId="23127C04">
      <w:pPr>
        <w:spacing w:before="54"/>
        <w:ind w:left="118" w:right="235" w:firstLine="640"/>
        <w:jc w:val="center"/>
        <w:rPr>
          <w:b/>
          <w:sz w:val="32"/>
        </w:rPr>
      </w:pPr>
    </w:p>
    <w:p w14:paraId="2859DC3F">
      <w:pPr>
        <w:spacing w:before="54"/>
        <w:ind w:left="118" w:right="235" w:firstLine="643"/>
        <w:jc w:val="center"/>
        <w:rPr>
          <w:b/>
          <w:sz w:val="32"/>
        </w:rPr>
      </w:pPr>
      <w:r>
        <w:rPr>
          <w:b/>
          <w:sz w:val="32"/>
        </w:rPr>
        <w:t>第一节通用合同条款</w:t>
      </w:r>
    </w:p>
    <w:p w14:paraId="302D5281">
      <w:pPr>
        <w:pStyle w:val="12"/>
        <w:ind w:firstLine="640"/>
        <w:rPr>
          <w:b/>
          <w:sz w:val="32"/>
        </w:rPr>
      </w:pPr>
    </w:p>
    <w:p w14:paraId="2C0848CE">
      <w:pPr>
        <w:pStyle w:val="12"/>
        <w:spacing w:before="2"/>
        <w:ind w:firstLine="580"/>
        <w:rPr>
          <w:b/>
          <w:sz w:val="29"/>
        </w:rPr>
      </w:pPr>
    </w:p>
    <w:p w14:paraId="6292EF12">
      <w:pPr>
        <w:pStyle w:val="8"/>
        <w:spacing w:line="436" w:lineRule="auto"/>
        <w:ind w:right="203" w:firstLine="482"/>
      </w:pPr>
      <w:bookmarkStart w:id="85" w:name="OLE_LINK45"/>
      <w:bookmarkStart w:id="86" w:name="OLE_LINK46"/>
      <w:r>
        <w:rPr>
          <w:rFonts w:hint="eastAsia"/>
          <w:lang w:eastAsia="zh-CN"/>
        </w:rPr>
        <w:t>“</w:t>
      </w:r>
      <w:r>
        <w:t>国家九部委《</w:t>
      </w:r>
      <w:bookmarkStart w:id="87" w:name="OLE_LINK43"/>
      <w:bookmarkStart w:id="88" w:name="OLE_LINK44"/>
      <w:r>
        <w:t>标准施工招标文件</w:t>
      </w:r>
      <w:bookmarkEnd w:id="87"/>
      <w:bookmarkEnd w:id="88"/>
      <w:r>
        <w:t>》（2007版）</w:t>
      </w:r>
      <w:bookmarkEnd w:id="85"/>
      <w:bookmarkEnd w:id="86"/>
      <w:r>
        <w:rPr>
          <w:rFonts w:hint="eastAsia"/>
          <w:lang w:eastAsia="zh-CN"/>
        </w:rPr>
        <w:t>”</w:t>
      </w:r>
      <w:r>
        <w:t>以及</w:t>
      </w:r>
      <w:r>
        <w:rPr>
          <w:rFonts w:hint="eastAsia"/>
          <w:lang w:eastAsia="zh-CN"/>
        </w:rPr>
        <w:t>“</w:t>
      </w:r>
      <w:r>
        <w:t>中华人民共和国交通运输部《公路工程标准施工招标文件》（2018年版）</w:t>
      </w:r>
      <w:r>
        <w:rPr>
          <w:rFonts w:hint="eastAsia"/>
          <w:lang w:eastAsia="zh-CN"/>
        </w:rPr>
        <w:t>”</w:t>
      </w:r>
      <w:r>
        <w:t>相关内容。</w:t>
      </w:r>
    </w:p>
    <w:p w14:paraId="5B612A21">
      <w:pPr>
        <w:spacing w:line="436" w:lineRule="auto"/>
        <w:ind w:firstLine="422"/>
        <w:sectPr>
          <w:headerReference r:id="rId5" w:type="default"/>
          <w:footerReference r:id="rId6" w:type="default"/>
          <w:pgSz w:w="11910" w:h="16850"/>
          <w:pgMar w:top="1100" w:right="960" w:bottom="900" w:left="1100" w:header="760" w:footer="720" w:gutter="0"/>
          <w:cols w:space="720" w:num="1"/>
        </w:sectPr>
      </w:pPr>
    </w:p>
    <w:p w14:paraId="6B4F765B">
      <w:pPr>
        <w:pStyle w:val="12"/>
        <w:spacing w:before="6"/>
        <w:ind w:firstLine="280"/>
        <w:rPr>
          <w:b/>
          <w:sz w:val="14"/>
        </w:rPr>
      </w:pPr>
    </w:p>
    <w:p w14:paraId="778BF710">
      <w:pPr>
        <w:spacing w:before="54"/>
        <w:ind w:left="118" w:right="235" w:firstLine="643"/>
        <w:jc w:val="center"/>
        <w:rPr>
          <w:b/>
          <w:sz w:val="32"/>
        </w:rPr>
      </w:pPr>
      <w:r>
        <w:rPr>
          <w:b/>
          <w:sz w:val="32"/>
        </w:rPr>
        <w:t>第二节专用合同条款</w:t>
      </w:r>
    </w:p>
    <w:p w14:paraId="041B01F0">
      <w:pPr>
        <w:pStyle w:val="12"/>
        <w:ind w:firstLine="400"/>
        <w:rPr>
          <w:b/>
          <w:sz w:val="20"/>
        </w:rPr>
      </w:pPr>
    </w:p>
    <w:p w14:paraId="1B10AE28">
      <w:pPr>
        <w:pStyle w:val="12"/>
        <w:ind w:firstLine="400"/>
        <w:rPr>
          <w:b/>
          <w:sz w:val="20"/>
        </w:rPr>
      </w:pPr>
    </w:p>
    <w:p w14:paraId="423A853A">
      <w:pPr>
        <w:pStyle w:val="12"/>
        <w:ind w:firstLine="360"/>
        <w:rPr>
          <w:b/>
          <w:sz w:val="18"/>
        </w:rPr>
      </w:pPr>
    </w:p>
    <w:p w14:paraId="65D6C488">
      <w:pPr>
        <w:pStyle w:val="8"/>
        <w:numPr>
          <w:ilvl w:val="0"/>
          <w:numId w:val="3"/>
        </w:numPr>
        <w:tabs>
          <w:tab w:val="left" w:pos="361"/>
        </w:tabs>
        <w:ind w:left="361" w:firstLine="482"/>
        <w:jc w:val="left"/>
      </w:pPr>
      <w:r>
        <w:t>公路工程专用合同条款</w:t>
      </w:r>
    </w:p>
    <w:p w14:paraId="778D3447">
      <w:pPr>
        <w:pStyle w:val="12"/>
        <w:spacing w:before="11"/>
        <w:ind w:firstLine="380"/>
        <w:rPr>
          <w:b/>
          <w:sz w:val="19"/>
        </w:rPr>
      </w:pPr>
    </w:p>
    <w:p w14:paraId="30F584CC">
      <w:pPr>
        <w:pStyle w:val="8"/>
        <w:spacing w:line="436" w:lineRule="auto"/>
        <w:ind w:right="113" w:firstLine="482"/>
      </w:pPr>
      <w:r>
        <w:t>“公路工程专用合同条款”采用</w:t>
      </w:r>
      <w:r>
        <w:rPr>
          <w:rFonts w:hint="eastAsia"/>
          <w:lang w:eastAsia="zh-CN"/>
        </w:rPr>
        <w:t>“</w:t>
      </w:r>
      <w:r>
        <w:t>交通运输部《公路工程标准施工招标文件》（2018年版）</w:t>
      </w:r>
      <w:r>
        <w:rPr>
          <w:rFonts w:hint="eastAsia"/>
          <w:lang w:eastAsia="zh-CN"/>
        </w:rPr>
        <w:t>”</w:t>
      </w:r>
      <w:r>
        <w:t>的“公路工程专用合同条款”</w:t>
      </w:r>
    </w:p>
    <w:p w14:paraId="5EDD424D">
      <w:pPr>
        <w:pStyle w:val="12"/>
        <w:ind w:firstLine="480"/>
        <w:rPr>
          <w:b/>
          <w:sz w:val="24"/>
        </w:rPr>
      </w:pPr>
    </w:p>
    <w:p w14:paraId="7D74E172">
      <w:pPr>
        <w:pStyle w:val="12"/>
        <w:spacing w:before="9"/>
        <w:ind w:firstLine="380"/>
        <w:rPr>
          <w:b/>
          <w:sz w:val="19"/>
        </w:rPr>
      </w:pPr>
    </w:p>
    <w:p w14:paraId="41A236B0">
      <w:pPr>
        <w:pStyle w:val="8"/>
        <w:spacing w:before="1"/>
        <w:ind w:firstLine="482"/>
        <w:sectPr>
          <w:pgSz w:w="11910" w:h="16850"/>
          <w:pgMar w:top="1100" w:right="960" w:bottom="900" w:left="1100" w:header="760" w:footer="720" w:gutter="0"/>
          <w:cols w:space="720" w:num="1"/>
        </w:sectPr>
      </w:pPr>
      <w:r>
        <w:t>注：《公路工程标准施工招标文件》（2018年版）由供应商自行到书店购买。</w:t>
      </w:r>
    </w:p>
    <w:p w14:paraId="6FCED2AE">
      <w:pPr>
        <w:pStyle w:val="12"/>
        <w:ind w:firstLine="400"/>
        <w:rPr>
          <w:b/>
          <w:sz w:val="20"/>
        </w:rPr>
      </w:pPr>
    </w:p>
    <w:p w14:paraId="7F2DC7BA">
      <w:pPr>
        <w:pStyle w:val="12"/>
        <w:spacing w:before="1"/>
        <w:ind w:firstLine="340"/>
        <w:rPr>
          <w:b/>
          <w:sz w:val="17"/>
        </w:rPr>
      </w:pPr>
    </w:p>
    <w:p w14:paraId="6A17E26E">
      <w:pPr>
        <w:pStyle w:val="8"/>
        <w:numPr>
          <w:ilvl w:val="0"/>
          <w:numId w:val="3"/>
        </w:numPr>
        <w:tabs>
          <w:tab w:val="left" w:pos="242"/>
        </w:tabs>
        <w:ind w:left="242" w:right="110" w:firstLine="482"/>
        <w:jc w:val="center"/>
        <w:rPr>
          <w:b/>
          <w:bCs/>
        </w:rPr>
      </w:pPr>
      <w:r>
        <w:rPr>
          <w:b/>
          <w:bCs/>
        </w:rPr>
        <w:t>项目专用合同条款</w:t>
      </w:r>
    </w:p>
    <w:p w14:paraId="3CE3BCB3">
      <w:pPr>
        <w:pStyle w:val="12"/>
        <w:spacing w:before="4"/>
        <w:ind w:firstLine="520"/>
        <w:rPr>
          <w:b/>
          <w:sz w:val="26"/>
        </w:rPr>
      </w:pPr>
    </w:p>
    <w:p w14:paraId="03DA7C54">
      <w:pPr>
        <w:pStyle w:val="8"/>
        <w:spacing w:before="66"/>
        <w:ind w:left="601" w:firstLine="482"/>
      </w:pPr>
      <w:r>
        <w:t>说明：</w:t>
      </w:r>
    </w:p>
    <w:p w14:paraId="20209A5F">
      <w:pPr>
        <w:pStyle w:val="39"/>
        <w:numPr>
          <w:ilvl w:val="0"/>
          <w:numId w:val="4"/>
        </w:numPr>
        <w:tabs>
          <w:tab w:val="left" w:pos="750"/>
        </w:tabs>
        <w:spacing w:before="159" w:line="364" w:lineRule="auto"/>
        <w:ind w:right="239" w:firstLine="422"/>
        <w:jc w:val="both"/>
        <w:rPr>
          <w:sz w:val="21"/>
        </w:rPr>
      </w:pPr>
      <w:r>
        <w:rPr>
          <w:sz w:val="21"/>
        </w:rPr>
        <w:t>采购人在根据《公路工程标准施工招标文件》编制项目采购文件中的“项目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不同内容，不得违反法律、行政法规的强制性规定和平等、自愿、公平和诚实信用原则。</w:t>
      </w:r>
    </w:p>
    <w:p w14:paraId="7747D97E">
      <w:pPr>
        <w:pStyle w:val="39"/>
        <w:numPr>
          <w:ilvl w:val="0"/>
          <w:numId w:val="4"/>
        </w:numPr>
        <w:tabs>
          <w:tab w:val="left" w:pos="750"/>
        </w:tabs>
        <w:spacing w:before="159" w:line="364" w:lineRule="auto"/>
        <w:ind w:right="239" w:firstLine="422"/>
        <w:jc w:val="both"/>
        <w:rPr>
          <w:sz w:val="21"/>
        </w:rPr>
      </w:pPr>
      <w:r>
        <w:rPr>
          <w:sz w:val="21"/>
        </w:rPr>
        <w:t>项目专用合同条款的编号应与通用合同条款和公路工程专用合同条款一致。</w:t>
      </w:r>
    </w:p>
    <w:p w14:paraId="59653921">
      <w:pPr>
        <w:pStyle w:val="39"/>
        <w:numPr>
          <w:ilvl w:val="0"/>
          <w:numId w:val="4"/>
        </w:numPr>
        <w:tabs>
          <w:tab w:val="left" w:pos="750"/>
        </w:tabs>
        <w:spacing w:before="159" w:line="364" w:lineRule="auto"/>
        <w:ind w:right="239" w:firstLine="422"/>
        <w:jc w:val="both"/>
        <w:rPr>
          <w:sz w:val="21"/>
        </w:rPr>
      </w:pPr>
      <w:r>
        <w:rPr>
          <w:sz w:val="21"/>
        </w:rPr>
        <w:t>项目专用合同条款可对下列内容进行补充和细化：</w:t>
      </w:r>
    </w:p>
    <w:p w14:paraId="05BCA574">
      <w:pPr>
        <w:pStyle w:val="39"/>
        <w:numPr>
          <w:ilvl w:val="0"/>
          <w:numId w:val="5"/>
        </w:numPr>
        <w:tabs>
          <w:tab w:val="left" w:pos="1001"/>
        </w:tabs>
        <w:spacing w:before="142" w:line="364" w:lineRule="auto"/>
        <w:ind w:right="231" w:firstLine="422"/>
        <w:jc w:val="both"/>
        <w:rPr>
          <w:sz w:val="21"/>
        </w:rPr>
      </w:pPr>
      <w:r>
        <w:rPr>
          <w:sz w:val="21"/>
        </w:rPr>
        <w:t>“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14:paraId="533CDD91">
      <w:pPr>
        <w:pStyle w:val="39"/>
        <w:numPr>
          <w:ilvl w:val="0"/>
          <w:numId w:val="5"/>
        </w:numPr>
        <w:tabs>
          <w:tab w:val="left" w:pos="1063"/>
        </w:tabs>
        <w:spacing w:line="364" w:lineRule="auto"/>
        <w:ind w:right="174" w:firstLine="422"/>
        <w:jc w:val="both"/>
        <w:rPr>
          <w:sz w:val="21"/>
        </w:rPr>
      </w:pPr>
      <w:r>
        <w:rPr>
          <w:sz w:val="21"/>
        </w:rPr>
        <w:t>“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14:paraId="70AFA4AB">
      <w:pPr>
        <w:pStyle w:val="39"/>
        <w:numPr>
          <w:ilvl w:val="0"/>
          <w:numId w:val="5"/>
        </w:numPr>
        <w:tabs>
          <w:tab w:val="left" w:pos="1001"/>
        </w:tabs>
        <w:spacing w:before="142" w:line="364" w:lineRule="auto"/>
        <w:ind w:right="231" w:firstLine="422"/>
        <w:jc w:val="both"/>
        <w:rPr>
          <w:sz w:val="21"/>
        </w:rPr>
        <w:sectPr>
          <w:pgSz w:w="11910" w:h="16850"/>
          <w:pgMar w:top="1100" w:right="960" w:bottom="900" w:left="1100" w:header="760" w:footer="720" w:gutter="0"/>
          <w:cols w:space="720" w:num="1"/>
        </w:sectPr>
      </w:pPr>
      <w:r>
        <w:rPr>
          <w:sz w:val="21"/>
        </w:rPr>
        <w:t>其他需要补充、细化的内容。</w:t>
      </w:r>
    </w:p>
    <w:p w14:paraId="7789E701">
      <w:pPr>
        <w:spacing w:before="64" w:line="360" w:lineRule="auto"/>
        <w:ind w:left="2960" w:firstLine="482"/>
        <w:rPr>
          <w:sz w:val="24"/>
          <w:szCs w:val="24"/>
        </w:rPr>
      </w:pPr>
      <w:r>
        <w:rPr>
          <w:rFonts w:hint="eastAsia"/>
          <w:sz w:val="24"/>
          <w:szCs w:val="24"/>
        </w:rPr>
        <w:t>项目专用合同条款数据表</w:t>
      </w:r>
    </w:p>
    <w:p w14:paraId="419CFBAA">
      <w:pPr>
        <w:spacing w:before="83" w:line="360" w:lineRule="auto"/>
        <w:ind w:left="33" w:right="110" w:firstLine="422"/>
        <w:jc w:val="both"/>
        <w:rPr>
          <w:sz w:val="21"/>
          <w:szCs w:val="21"/>
        </w:rPr>
      </w:pPr>
      <w:r>
        <w:rPr>
          <w:rFonts w:hint="eastAsia"/>
          <w:sz w:val="21"/>
          <w:szCs w:val="21"/>
        </w:rPr>
        <w:t>说明：本数据表是项目专用合同条款中适用于本项目的信息和数据的归纳与提示，是项目专用合同条款的组成部分。第八章“响应文件格式”的竞标函附录中的数据（供应商确认）与本表所列有重复。编写采购文件的单位应仔细校核，不使数据出现差错或不一致。</w:t>
      </w:r>
    </w:p>
    <w:p w14:paraId="1FF7E46C">
      <w:pPr>
        <w:spacing w:line="360" w:lineRule="auto"/>
        <w:ind w:firstLine="422"/>
        <w:rPr>
          <w:sz w:val="21"/>
          <w:szCs w:val="21"/>
        </w:rPr>
      </w:pPr>
    </w:p>
    <w:tbl>
      <w:tblPr>
        <w:tblStyle w:val="38"/>
        <w:tblW w:w="93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1271"/>
        <w:gridCol w:w="7268"/>
      </w:tblGrid>
      <w:tr w14:paraId="31526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820" w:type="dxa"/>
          </w:tcPr>
          <w:p w14:paraId="2B4C727D">
            <w:pPr>
              <w:pStyle w:val="41"/>
              <w:spacing w:before="92" w:line="360" w:lineRule="auto"/>
              <w:ind w:left="203"/>
              <w:rPr>
                <w:rFonts w:ascii="宋体" w:hAnsi="宋体" w:eastAsia="宋体" w:cs="宋体"/>
                <w:sz w:val="21"/>
                <w:szCs w:val="21"/>
              </w:rPr>
            </w:pPr>
            <w:r>
              <w:rPr>
                <w:rFonts w:hint="eastAsia" w:ascii="宋体" w:hAnsi="宋体" w:eastAsia="宋体" w:cs="宋体"/>
                <w:sz w:val="21"/>
                <w:szCs w:val="21"/>
              </w:rPr>
              <w:t>序号</w:t>
            </w:r>
          </w:p>
        </w:tc>
        <w:tc>
          <w:tcPr>
            <w:tcW w:w="1271" w:type="dxa"/>
          </w:tcPr>
          <w:p w14:paraId="01599031">
            <w:pPr>
              <w:pStyle w:val="41"/>
              <w:spacing w:before="91" w:line="360" w:lineRule="auto"/>
              <w:ind w:left="327"/>
              <w:rPr>
                <w:rFonts w:ascii="宋体" w:hAnsi="宋体" w:eastAsia="宋体" w:cs="宋体"/>
                <w:sz w:val="21"/>
                <w:szCs w:val="21"/>
              </w:rPr>
            </w:pPr>
            <w:r>
              <w:rPr>
                <w:rFonts w:hint="eastAsia" w:ascii="宋体" w:hAnsi="宋体" w:eastAsia="宋体" w:cs="宋体"/>
                <w:sz w:val="21"/>
                <w:szCs w:val="21"/>
              </w:rPr>
              <w:t>条目号</w:t>
            </w:r>
          </w:p>
        </w:tc>
        <w:tc>
          <w:tcPr>
            <w:tcW w:w="7268" w:type="dxa"/>
          </w:tcPr>
          <w:p w14:paraId="7E962E6D">
            <w:pPr>
              <w:pStyle w:val="41"/>
              <w:spacing w:before="92" w:line="360" w:lineRule="auto"/>
              <w:ind w:left="2899"/>
              <w:rPr>
                <w:rFonts w:ascii="宋体" w:hAnsi="宋体" w:eastAsia="宋体" w:cs="宋体"/>
                <w:sz w:val="21"/>
                <w:szCs w:val="21"/>
              </w:rPr>
            </w:pPr>
            <w:r>
              <w:rPr>
                <w:rFonts w:hint="eastAsia" w:ascii="宋体" w:hAnsi="宋体" w:eastAsia="宋体" w:cs="宋体"/>
                <w:sz w:val="21"/>
                <w:szCs w:val="21"/>
              </w:rPr>
              <w:t>信息或数据</w:t>
            </w:r>
          </w:p>
        </w:tc>
      </w:tr>
      <w:tr w14:paraId="7553B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trPr>
        <w:tc>
          <w:tcPr>
            <w:tcW w:w="820" w:type="dxa"/>
          </w:tcPr>
          <w:p w14:paraId="766CE5EA">
            <w:pPr>
              <w:ind w:firstLine="422"/>
              <w:rPr>
                <w:sz w:val="21"/>
                <w:szCs w:val="21"/>
              </w:rPr>
            </w:pPr>
          </w:p>
          <w:p w14:paraId="702A057E">
            <w:pPr>
              <w:pStyle w:val="41"/>
              <w:spacing w:before="90"/>
              <w:ind w:left="378"/>
              <w:rPr>
                <w:rFonts w:ascii="宋体" w:hAnsi="宋体" w:eastAsia="宋体" w:cs="宋体"/>
                <w:sz w:val="21"/>
                <w:szCs w:val="21"/>
              </w:rPr>
            </w:pPr>
            <w:r>
              <w:rPr>
                <w:rFonts w:hint="eastAsia" w:ascii="宋体" w:hAnsi="宋体" w:eastAsia="宋体" w:cs="宋体"/>
                <w:sz w:val="21"/>
                <w:szCs w:val="21"/>
              </w:rPr>
              <w:t>1</w:t>
            </w:r>
          </w:p>
        </w:tc>
        <w:tc>
          <w:tcPr>
            <w:tcW w:w="1271" w:type="dxa"/>
          </w:tcPr>
          <w:p w14:paraId="5F583844">
            <w:pPr>
              <w:ind w:firstLine="422"/>
              <w:rPr>
                <w:sz w:val="21"/>
                <w:szCs w:val="21"/>
              </w:rPr>
            </w:pPr>
          </w:p>
          <w:p w14:paraId="5B8619B7">
            <w:pPr>
              <w:pStyle w:val="41"/>
              <w:spacing w:before="90"/>
              <w:ind w:left="288" w:firstLine="480"/>
              <w:rPr>
                <w:rFonts w:ascii="宋体" w:hAnsi="宋体" w:eastAsia="宋体" w:cs="宋体"/>
                <w:sz w:val="21"/>
                <w:szCs w:val="21"/>
              </w:rPr>
            </w:pPr>
            <w:r>
              <w:fldChar w:fldCharType="begin"/>
            </w:r>
            <w:r>
              <w:instrText xml:space="preserve"> HYPERLINK "1.1.2.2" </w:instrText>
            </w:r>
            <w:r>
              <w:fldChar w:fldCharType="separate"/>
            </w:r>
            <w:r>
              <w:rPr>
                <w:rFonts w:hint="eastAsia" w:ascii="宋体" w:hAnsi="宋体" w:eastAsia="宋体" w:cs="宋体"/>
                <w:sz w:val="21"/>
                <w:szCs w:val="21"/>
              </w:rPr>
              <w:t>1.1.2.2</w:t>
            </w:r>
            <w:r>
              <w:rPr>
                <w:rFonts w:hint="eastAsia" w:ascii="宋体" w:hAnsi="宋体" w:eastAsia="宋体" w:cs="宋体"/>
                <w:sz w:val="21"/>
                <w:szCs w:val="21"/>
              </w:rPr>
              <w:fldChar w:fldCharType="end"/>
            </w:r>
          </w:p>
        </w:tc>
        <w:tc>
          <w:tcPr>
            <w:tcW w:w="7268" w:type="dxa"/>
          </w:tcPr>
          <w:p w14:paraId="5503F87C">
            <w:pPr>
              <w:pStyle w:val="41"/>
              <w:spacing w:before="255"/>
              <w:ind w:left="33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发包人：广西壮族自治区临桂公路养护中心</w:t>
            </w:r>
          </w:p>
          <w:p w14:paraId="30F64544">
            <w:pPr>
              <w:pStyle w:val="41"/>
              <w:spacing w:before="255"/>
              <w:ind w:left="330"/>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地址：桂林市象山区瓦窑西路5号</w:t>
            </w:r>
          </w:p>
        </w:tc>
      </w:tr>
      <w:tr w14:paraId="3717F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820" w:type="dxa"/>
          </w:tcPr>
          <w:p w14:paraId="0BDEF15B">
            <w:pPr>
              <w:pStyle w:val="41"/>
              <w:spacing w:before="317"/>
              <w:ind w:left="365"/>
              <w:rPr>
                <w:rFonts w:ascii="宋体" w:hAnsi="宋体" w:eastAsia="宋体" w:cs="宋体"/>
                <w:sz w:val="21"/>
                <w:szCs w:val="21"/>
              </w:rPr>
            </w:pPr>
            <w:r>
              <w:rPr>
                <w:rFonts w:hint="eastAsia" w:ascii="宋体" w:hAnsi="宋体" w:eastAsia="宋体" w:cs="宋体"/>
                <w:sz w:val="21"/>
                <w:szCs w:val="21"/>
              </w:rPr>
              <w:t>2</w:t>
            </w:r>
          </w:p>
        </w:tc>
        <w:tc>
          <w:tcPr>
            <w:tcW w:w="1271" w:type="dxa"/>
          </w:tcPr>
          <w:p w14:paraId="242BBEF7">
            <w:pPr>
              <w:pStyle w:val="41"/>
              <w:spacing w:before="317"/>
              <w:ind w:left="288" w:firstLine="480"/>
              <w:rPr>
                <w:rFonts w:ascii="宋体" w:hAnsi="宋体" w:eastAsia="宋体" w:cs="宋体"/>
                <w:sz w:val="21"/>
                <w:szCs w:val="21"/>
              </w:rPr>
            </w:pPr>
            <w:r>
              <w:fldChar w:fldCharType="begin"/>
            </w:r>
            <w:r>
              <w:instrText xml:space="preserve"> HYPERLINK "1.1.2.6" </w:instrText>
            </w:r>
            <w:r>
              <w:fldChar w:fldCharType="separate"/>
            </w:r>
            <w:r>
              <w:rPr>
                <w:rFonts w:hint="eastAsia" w:ascii="宋体" w:hAnsi="宋体" w:eastAsia="宋体" w:cs="宋体"/>
                <w:sz w:val="21"/>
                <w:szCs w:val="21"/>
              </w:rPr>
              <w:t>1.1.2.6</w:t>
            </w:r>
            <w:r>
              <w:rPr>
                <w:rFonts w:hint="eastAsia" w:ascii="宋体" w:hAnsi="宋体" w:eastAsia="宋体" w:cs="宋体"/>
                <w:sz w:val="21"/>
                <w:szCs w:val="21"/>
              </w:rPr>
              <w:fldChar w:fldCharType="end"/>
            </w:r>
          </w:p>
        </w:tc>
        <w:tc>
          <w:tcPr>
            <w:tcW w:w="7268" w:type="dxa"/>
          </w:tcPr>
          <w:p w14:paraId="11FD6DC1">
            <w:pPr>
              <w:pStyle w:val="41"/>
              <w:spacing w:before="145"/>
              <w:ind w:left="538"/>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监理人：待定</w:t>
            </w:r>
          </w:p>
          <w:p w14:paraId="07C52928">
            <w:pPr>
              <w:pStyle w:val="41"/>
              <w:ind w:left="537"/>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地址：邮政编码：</w:t>
            </w:r>
          </w:p>
        </w:tc>
      </w:tr>
      <w:tr w14:paraId="053B2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0" w:type="dxa"/>
          </w:tcPr>
          <w:p w14:paraId="4A4B48AE">
            <w:pPr>
              <w:pStyle w:val="41"/>
              <w:spacing w:before="236"/>
              <w:ind w:left="367"/>
              <w:rPr>
                <w:rFonts w:ascii="宋体" w:hAnsi="宋体" w:eastAsia="宋体" w:cs="宋体"/>
                <w:sz w:val="21"/>
                <w:szCs w:val="21"/>
              </w:rPr>
            </w:pPr>
            <w:r>
              <w:rPr>
                <w:rFonts w:hint="eastAsia" w:ascii="宋体" w:hAnsi="宋体" w:eastAsia="宋体" w:cs="宋体"/>
                <w:sz w:val="21"/>
                <w:szCs w:val="21"/>
              </w:rPr>
              <w:t>3</w:t>
            </w:r>
          </w:p>
        </w:tc>
        <w:tc>
          <w:tcPr>
            <w:tcW w:w="1271" w:type="dxa"/>
          </w:tcPr>
          <w:p w14:paraId="16F98693">
            <w:pPr>
              <w:pStyle w:val="41"/>
              <w:spacing w:before="236"/>
              <w:ind w:left="288" w:firstLine="480"/>
              <w:rPr>
                <w:rFonts w:ascii="宋体" w:hAnsi="宋体" w:eastAsia="宋体" w:cs="宋体"/>
                <w:sz w:val="21"/>
                <w:szCs w:val="21"/>
              </w:rPr>
            </w:pPr>
            <w:r>
              <w:fldChar w:fldCharType="begin"/>
            </w:r>
            <w:r>
              <w:instrText xml:space="preserve"> HYPERLINK "1.1.4.5" </w:instrText>
            </w:r>
            <w:r>
              <w:fldChar w:fldCharType="separate"/>
            </w:r>
            <w:r>
              <w:rPr>
                <w:rFonts w:hint="eastAsia" w:ascii="宋体" w:hAnsi="宋体" w:eastAsia="宋体" w:cs="宋体"/>
                <w:sz w:val="21"/>
                <w:szCs w:val="21"/>
              </w:rPr>
              <w:t>1.1.4.5</w:t>
            </w:r>
            <w:r>
              <w:rPr>
                <w:rFonts w:hint="eastAsia" w:ascii="宋体" w:hAnsi="宋体" w:eastAsia="宋体" w:cs="宋体"/>
                <w:sz w:val="21"/>
                <w:szCs w:val="21"/>
              </w:rPr>
              <w:fldChar w:fldCharType="end"/>
            </w:r>
          </w:p>
        </w:tc>
        <w:tc>
          <w:tcPr>
            <w:tcW w:w="7268" w:type="dxa"/>
          </w:tcPr>
          <w:p w14:paraId="484741A4">
            <w:pPr>
              <w:pStyle w:val="41"/>
              <w:spacing w:before="203"/>
              <w:ind w:left="537"/>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缺陷责任期：自实际交工日期起计算</w:t>
            </w:r>
            <w:r>
              <w:rPr>
                <w:rFonts w:hint="eastAsia" w:ascii="宋体" w:hAnsi="宋体" w:eastAsia="宋体" w:cs="宋体"/>
                <w:color w:val="auto"/>
                <w:sz w:val="21"/>
                <w:szCs w:val="21"/>
                <w:highlight w:val="none"/>
                <w:u w:val="single"/>
                <w:lang w:eastAsia="zh-CN"/>
              </w:rPr>
              <w:t>12个月</w:t>
            </w:r>
          </w:p>
        </w:tc>
      </w:tr>
      <w:tr w14:paraId="68214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820" w:type="dxa"/>
          </w:tcPr>
          <w:p w14:paraId="5B01BB24">
            <w:pPr>
              <w:ind w:firstLine="422"/>
              <w:rPr>
                <w:sz w:val="21"/>
                <w:szCs w:val="21"/>
              </w:rPr>
            </w:pPr>
          </w:p>
          <w:p w14:paraId="478985E0">
            <w:pPr>
              <w:pStyle w:val="41"/>
              <w:spacing w:before="90"/>
              <w:ind w:left="362"/>
              <w:rPr>
                <w:rFonts w:ascii="宋体" w:hAnsi="宋体" w:eastAsia="宋体" w:cs="宋体"/>
                <w:sz w:val="21"/>
                <w:szCs w:val="21"/>
              </w:rPr>
            </w:pPr>
            <w:r>
              <w:rPr>
                <w:rFonts w:hint="eastAsia" w:ascii="宋体" w:hAnsi="宋体" w:eastAsia="宋体" w:cs="宋体"/>
                <w:sz w:val="21"/>
                <w:szCs w:val="21"/>
              </w:rPr>
              <w:t>4</w:t>
            </w:r>
          </w:p>
        </w:tc>
        <w:tc>
          <w:tcPr>
            <w:tcW w:w="1271" w:type="dxa"/>
          </w:tcPr>
          <w:p w14:paraId="1069C43E">
            <w:pPr>
              <w:ind w:firstLine="422"/>
              <w:rPr>
                <w:sz w:val="21"/>
                <w:szCs w:val="21"/>
              </w:rPr>
            </w:pPr>
          </w:p>
          <w:p w14:paraId="0AB3BFD2">
            <w:pPr>
              <w:pStyle w:val="41"/>
              <w:spacing w:before="90"/>
              <w:ind w:left="394"/>
              <w:rPr>
                <w:rFonts w:ascii="宋体" w:hAnsi="宋体" w:eastAsia="宋体" w:cs="宋体"/>
                <w:sz w:val="21"/>
                <w:szCs w:val="21"/>
              </w:rPr>
            </w:pPr>
            <w:r>
              <w:rPr>
                <w:rFonts w:hint="eastAsia" w:ascii="宋体" w:hAnsi="宋体" w:eastAsia="宋体" w:cs="宋体"/>
                <w:sz w:val="21"/>
                <w:szCs w:val="21"/>
              </w:rPr>
              <w:t>1.6.3</w:t>
            </w:r>
          </w:p>
        </w:tc>
        <w:tc>
          <w:tcPr>
            <w:tcW w:w="7268" w:type="dxa"/>
          </w:tcPr>
          <w:p w14:paraId="3C40F96B">
            <w:pPr>
              <w:pStyle w:val="41"/>
              <w:spacing w:before="171"/>
              <w:ind w:left="114" w:right="219" w:firstLine="422"/>
              <w:rPr>
                <w:rFonts w:ascii="宋体" w:hAnsi="宋体" w:eastAsia="宋体" w:cs="宋体"/>
                <w:sz w:val="21"/>
                <w:szCs w:val="21"/>
                <w:lang w:eastAsia="zh-CN"/>
              </w:rPr>
            </w:pPr>
            <w:r>
              <w:rPr>
                <w:rFonts w:hint="eastAsia" w:ascii="宋体" w:hAnsi="宋体" w:eastAsia="宋体" w:cs="宋体"/>
                <w:sz w:val="21"/>
                <w:szCs w:val="21"/>
                <w:lang w:eastAsia="zh-CN"/>
              </w:rPr>
              <w:t>图纸需要修改和补充的，应取得发包人同意后，在该工程或工程相应部位施工前</w:t>
            </w:r>
            <w:r>
              <w:rPr>
                <w:rFonts w:hint="eastAsia" w:ascii="宋体" w:hAnsi="宋体" w:eastAsia="宋体" w:cs="宋体"/>
                <w:sz w:val="21"/>
                <w:szCs w:val="21"/>
                <w:u w:val="single" w:color="000000"/>
                <w:lang w:eastAsia="zh-CN"/>
              </w:rPr>
              <w:t>14</w:t>
            </w:r>
            <w:r>
              <w:rPr>
                <w:rFonts w:hint="eastAsia" w:ascii="宋体" w:hAnsi="宋体" w:eastAsia="宋体" w:cs="宋体"/>
                <w:sz w:val="21"/>
                <w:szCs w:val="21"/>
                <w:lang w:eastAsia="zh-CN"/>
              </w:rPr>
              <w:t>天签发图纸修改图给承包人</w:t>
            </w:r>
          </w:p>
        </w:tc>
      </w:tr>
      <w:tr w14:paraId="442608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0" w:hRule="atLeast"/>
        </w:trPr>
        <w:tc>
          <w:tcPr>
            <w:tcW w:w="820" w:type="dxa"/>
          </w:tcPr>
          <w:p w14:paraId="416E576B">
            <w:pPr>
              <w:ind w:firstLine="422"/>
              <w:rPr>
                <w:sz w:val="21"/>
                <w:szCs w:val="21"/>
              </w:rPr>
            </w:pPr>
          </w:p>
          <w:p w14:paraId="10A85B40">
            <w:pPr>
              <w:pStyle w:val="41"/>
              <w:spacing w:before="90"/>
              <w:ind w:left="367"/>
              <w:rPr>
                <w:rFonts w:ascii="宋体" w:hAnsi="宋体" w:eastAsia="宋体" w:cs="宋体"/>
                <w:sz w:val="21"/>
                <w:szCs w:val="21"/>
              </w:rPr>
            </w:pPr>
            <w:r>
              <w:rPr>
                <w:rFonts w:hint="eastAsia" w:ascii="宋体" w:hAnsi="宋体" w:eastAsia="宋体" w:cs="宋体"/>
                <w:sz w:val="21"/>
                <w:szCs w:val="21"/>
              </w:rPr>
              <w:t>5</w:t>
            </w:r>
          </w:p>
        </w:tc>
        <w:tc>
          <w:tcPr>
            <w:tcW w:w="1271" w:type="dxa"/>
          </w:tcPr>
          <w:p w14:paraId="7A44F465">
            <w:pPr>
              <w:ind w:firstLine="422"/>
              <w:rPr>
                <w:sz w:val="21"/>
                <w:szCs w:val="21"/>
              </w:rPr>
            </w:pPr>
          </w:p>
          <w:p w14:paraId="0985E5AE">
            <w:pPr>
              <w:pStyle w:val="41"/>
              <w:spacing w:before="90"/>
              <w:ind w:left="382"/>
              <w:rPr>
                <w:rFonts w:ascii="宋体" w:hAnsi="宋体" w:eastAsia="宋体" w:cs="宋体"/>
                <w:sz w:val="21"/>
                <w:szCs w:val="21"/>
              </w:rPr>
            </w:pPr>
            <w:r>
              <w:rPr>
                <w:rFonts w:hint="eastAsia" w:ascii="宋体" w:hAnsi="宋体" w:eastAsia="宋体" w:cs="宋体"/>
                <w:sz w:val="21"/>
                <w:szCs w:val="21"/>
              </w:rPr>
              <w:t>3.1.1</w:t>
            </w:r>
          </w:p>
        </w:tc>
        <w:tc>
          <w:tcPr>
            <w:tcW w:w="7268" w:type="dxa"/>
          </w:tcPr>
          <w:p w14:paraId="2E46D304">
            <w:pPr>
              <w:pStyle w:val="41"/>
              <w:spacing w:before="74"/>
              <w:ind w:left="538"/>
              <w:rPr>
                <w:rFonts w:ascii="宋体" w:hAnsi="宋体" w:eastAsia="宋体" w:cs="宋体"/>
                <w:sz w:val="21"/>
                <w:szCs w:val="21"/>
                <w:lang w:eastAsia="zh-CN"/>
              </w:rPr>
            </w:pPr>
            <w:r>
              <w:rPr>
                <w:rFonts w:hint="eastAsia" w:ascii="宋体" w:hAnsi="宋体" w:eastAsia="宋体" w:cs="宋体"/>
                <w:sz w:val="21"/>
                <w:szCs w:val="21"/>
                <w:lang w:eastAsia="zh-CN"/>
              </w:rPr>
              <w:t>在行使下列权力前需要经发包人事先批准：</w:t>
            </w:r>
          </w:p>
          <w:p w14:paraId="49AD9BBA">
            <w:pPr>
              <w:pStyle w:val="41"/>
              <w:spacing w:before="4"/>
              <w:ind w:left="114" w:right="176" w:firstLine="422"/>
              <w:rPr>
                <w:rFonts w:ascii="宋体" w:hAnsi="宋体" w:eastAsia="宋体" w:cs="宋体"/>
                <w:sz w:val="21"/>
                <w:szCs w:val="21"/>
                <w:lang w:eastAsia="zh-CN"/>
              </w:rPr>
            </w:pPr>
            <w:r>
              <w:rPr>
                <w:rFonts w:hint="eastAsia" w:ascii="宋体" w:hAnsi="宋体" w:eastAsia="宋体" w:cs="宋体"/>
                <w:sz w:val="21"/>
                <w:szCs w:val="21"/>
                <w:lang w:eastAsia="zh-CN"/>
              </w:rPr>
              <w:t>（6）根据第15.3款发出的变更指示，其单项工程变更涉及的金额超过了该单项工程签约合同价的</w:t>
            </w:r>
            <w:r>
              <w:rPr>
                <w:rFonts w:hint="eastAsia" w:ascii="宋体" w:hAnsi="宋体" w:eastAsia="宋体" w:cs="宋体"/>
                <w:sz w:val="21"/>
                <w:szCs w:val="21"/>
                <w:u w:val="single"/>
                <w:lang w:eastAsia="zh-CN"/>
              </w:rPr>
              <w:t>/</w:t>
            </w:r>
            <w:r>
              <w:rPr>
                <w:rFonts w:hint="eastAsia" w:ascii="宋体" w:hAnsi="宋体" w:eastAsia="宋体" w:cs="宋体"/>
                <w:sz w:val="21"/>
                <w:szCs w:val="21"/>
                <w:lang w:eastAsia="zh-CN"/>
              </w:rPr>
              <w:t>%或累计变更超过了签约合同价的</w:t>
            </w:r>
            <w:r>
              <w:rPr>
                <w:rFonts w:hint="eastAsia" w:ascii="宋体" w:hAnsi="宋体" w:eastAsia="宋体" w:cs="宋体"/>
                <w:sz w:val="21"/>
                <w:szCs w:val="21"/>
                <w:u w:val="single"/>
                <w:lang w:eastAsia="zh-CN"/>
              </w:rPr>
              <w:t>/</w:t>
            </w:r>
            <w:r>
              <w:rPr>
                <w:rFonts w:hint="eastAsia" w:ascii="宋体" w:hAnsi="宋体" w:eastAsia="宋体" w:cs="宋体"/>
                <w:sz w:val="21"/>
                <w:szCs w:val="21"/>
                <w:lang w:eastAsia="zh-CN"/>
              </w:rPr>
              <w:t>%（即凡涉及费用调整的均应事先取得发包人的专门批准）</w:t>
            </w:r>
          </w:p>
        </w:tc>
      </w:tr>
      <w:tr w14:paraId="1142F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20" w:type="dxa"/>
          </w:tcPr>
          <w:p w14:paraId="45DFFCBB">
            <w:pPr>
              <w:pStyle w:val="41"/>
              <w:spacing w:before="204"/>
              <w:ind w:left="364"/>
              <w:rPr>
                <w:rFonts w:ascii="宋体" w:hAnsi="宋体" w:eastAsia="宋体" w:cs="宋体"/>
                <w:sz w:val="21"/>
                <w:szCs w:val="21"/>
              </w:rPr>
            </w:pPr>
            <w:r>
              <w:rPr>
                <w:rFonts w:hint="eastAsia" w:ascii="宋体" w:hAnsi="宋体" w:eastAsia="宋体" w:cs="宋体"/>
                <w:sz w:val="21"/>
                <w:szCs w:val="21"/>
              </w:rPr>
              <w:t>6</w:t>
            </w:r>
          </w:p>
        </w:tc>
        <w:tc>
          <w:tcPr>
            <w:tcW w:w="1271" w:type="dxa"/>
          </w:tcPr>
          <w:p w14:paraId="665F9FFB">
            <w:pPr>
              <w:pStyle w:val="41"/>
              <w:spacing w:before="203"/>
              <w:ind w:left="382"/>
              <w:rPr>
                <w:rFonts w:ascii="宋体" w:hAnsi="宋体" w:eastAsia="宋体" w:cs="宋体"/>
                <w:sz w:val="21"/>
                <w:szCs w:val="21"/>
              </w:rPr>
            </w:pPr>
            <w:r>
              <w:rPr>
                <w:rFonts w:hint="eastAsia" w:ascii="宋体" w:hAnsi="宋体" w:eastAsia="宋体" w:cs="宋体"/>
                <w:sz w:val="21"/>
                <w:szCs w:val="21"/>
              </w:rPr>
              <w:t>5.2.1</w:t>
            </w:r>
          </w:p>
        </w:tc>
        <w:tc>
          <w:tcPr>
            <w:tcW w:w="7268" w:type="dxa"/>
          </w:tcPr>
          <w:p w14:paraId="40DCC035">
            <w:pPr>
              <w:pStyle w:val="41"/>
              <w:spacing w:before="170"/>
              <w:ind w:left="541"/>
              <w:rPr>
                <w:rFonts w:ascii="宋体" w:hAnsi="宋体" w:eastAsia="宋体" w:cs="宋体"/>
                <w:sz w:val="21"/>
                <w:szCs w:val="21"/>
                <w:lang w:eastAsia="zh-CN"/>
              </w:rPr>
            </w:pPr>
            <w:r>
              <w:rPr>
                <w:rFonts w:hint="eastAsia" w:ascii="宋体" w:hAnsi="宋体" w:eastAsia="宋体" w:cs="宋体"/>
                <w:sz w:val="21"/>
                <w:szCs w:val="21"/>
                <w:lang w:eastAsia="zh-CN"/>
              </w:rPr>
              <w:t>发包人是否提供材料或施工设备：否</w:t>
            </w:r>
          </w:p>
        </w:tc>
      </w:tr>
      <w:tr w14:paraId="5DDD6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820" w:type="dxa"/>
          </w:tcPr>
          <w:p w14:paraId="485123A0">
            <w:pPr>
              <w:pStyle w:val="41"/>
              <w:spacing w:before="152"/>
              <w:ind w:left="368"/>
              <w:rPr>
                <w:rFonts w:ascii="宋体" w:hAnsi="宋体" w:eastAsia="宋体" w:cs="宋体"/>
                <w:sz w:val="21"/>
                <w:szCs w:val="21"/>
              </w:rPr>
            </w:pPr>
            <w:r>
              <w:rPr>
                <w:rFonts w:hint="eastAsia" w:ascii="宋体" w:hAnsi="宋体" w:eastAsia="宋体" w:cs="宋体"/>
                <w:sz w:val="21"/>
                <w:szCs w:val="21"/>
              </w:rPr>
              <w:t>7</w:t>
            </w:r>
          </w:p>
        </w:tc>
        <w:tc>
          <w:tcPr>
            <w:tcW w:w="1271" w:type="dxa"/>
          </w:tcPr>
          <w:p w14:paraId="71E75F1C">
            <w:pPr>
              <w:pStyle w:val="41"/>
              <w:spacing w:before="150"/>
              <w:ind w:left="485"/>
              <w:rPr>
                <w:rFonts w:ascii="宋体" w:hAnsi="宋体" w:eastAsia="宋体" w:cs="宋体"/>
                <w:sz w:val="21"/>
                <w:szCs w:val="21"/>
              </w:rPr>
            </w:pPr>
            <w:r>
              <w:rPr>
                <w:rFonts w:hint="eastAsia" w:ascii="宋体" w:hAnsi="宋体" w:eastAsia="宋体" w:cs="宋体"/>
                <w:sz w:val="21"/>
                <w:szCs w:val="21"/>
              </w:rPr>
              <w:t>6.2</w:t>
            </w:r>
          </w:p>
        </w:tc>
        <w:tc>
          <w:tcPr>
            <w:tcW w:w="7268" w:type="dxa"/>
          </w:tcPr>
          <w:p w14:paraId="46B58BA8">
            <w:pPr>
              <w:pStyle w:val="41"/>
              <w:spacing w:before="118"/>
              <w:ind w:left="541"/>
              <w:rPr>
                <w:rFonts w:ascii="宋体" w:hAnsi="宋体" w:eastAsia="宋体" w:cs="宋体"/>
                <w:sz w:val="21"/>
                <w:szCs w:val="21"/>
                <w:lang w:eastAsia="zh-CN"/>
              </w:rPr>
            </w:pPr>
            <w:r>
              <w:rPr>
                <w:rFonts w:hint="eastAsia" w:ascii="宋体" w:hAnsi="宋体" w:eastAsia="宋体" w:cs="宋体"/>
                <w:sz w:val="21"/>
                <w:szCs w:val="21"/>
                <w:lang w:eastAsia="zh-CN"/>
              </w:rPr>
              <w:t>发包人是否提供施工设备和临时设施：否</w:t>
            </w:r>
          </w:p>
        </w:tc>
      </w:tr>
      <w:tr w14:paraId="5F830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820" w:type="dxa"/>
          </w:tcPr>
          <w:p w14:paraId="3BC7F816">
            <w:pPr>
              <w:pStyle w:val="41"/>
              <w:spacing w:before="320"/>
              <w:ind w:left="364"/>
              <w:rPr>
                <w:rFonts w:ascii="宋体" w:hAnsi="宋体" w:eastAsia="宋体" w:cs="宋体"/>
                <w:sz w:val="21"/>
                <w:szCs w:val="21"/>
              </w:rPr>
            </w:pPr>
            <w:r>
              <w:rPr>
                <w:rFonts w:hint="eastAsia" w:ascii="宋体" w:hAnsi="宋体" w:eastAsia="宋体" w:cs="宋体"/>
                <w:sz w:val="21"/>
                <w:szCs w:val="21"/>
              </w:rPr>
              <w:t>8</w:t>
            </w:r>
          </w:p>
        </w:tc>
        <w:tc>
          <w:tcPr>
            <w:tcW w:w="1271" w:type="dxa"/>
          </w:tcPr>
          <w:p w14:paraId="480FF841">
            <w:pPr>
              <w:pStyle w:val="41"/>
              <w:spacing w:before="319"/>
              <w:ind w:left="379"/>
              <w:rPr>
                <w:rFonts w:ascii="宋体" w:hAnsi="宋体" w:eastAsia="宋体" w:cs="宋体"/>
                <w:sz w:val="21"/>
                <w:szCs w:val="21"/>
              </w:rPr>
            </w:pPr>
            <w:r>
              <w:rPr>
                <w:rFonts w:hint="eastAsia" w:ascii="宋体" w:hAnsi="宋体" w:eastAsia="宋体" w:cs="宋体"/>
                <w:sz w:val="21"/>
                <w:szCs w:val="21"/>
              </w:rPr>
              <w:t>8.1.1</w:t>
            </w:r>
          </w:p>
        </w:tc>
        <w:tc>
          <w:tcPr>
            <w:tcW w:w="7268" w:type="dxa"/>
          </w:tcPr>
          <w:p w14:paraId="17FDAB90">
            <w:pPr>
              <w:pStyle w:val="41"/>
              <w:spacing w:before="152"/>
              <w:ind w:left="537" w:right="215" w:firstLine="422"/>
              <w:rPr>
                <w:rFonts w:ascii="宋体" w:hAnsi="宋体" w:eastAsia="宋体" w:cs="宋体"/>
                <w:sz w:val="21"/>
                <w:szCs w:val="21"/>
                <w:lang w:eastAsia="zh-CN"/>
              </w:rPr>
            </w:pPr>
            <w:r>
              <w:rPr>
                <w:rFonts w:hint="eastAsia" w:ascii="宋体" w:hAnsi="宋体" w:eastAsia="宋体" w:cs="宋体"/>
                <w:sz w:val="21"/>
                <w:szCs w:val="21"/>
                <w:lang w:eastAsia="zh-CN"/>
              </w:rPr>
              <w:t>发包人提供测量基准点、基准线和水准点及其书面资料的期限：</w:t>
            </w:r>
            <w:r>
              <w:rPr>
                <w:rFonts w:hint="eastAsia" w:ascii="宋体" w:hAnsi="宋体" w:eastAsia="宋体" w:cs="宋体"/>
                <w:sz w:val="21"/>
                <w:szCs w:val="21"/>
                <w:u w:val="single" w:color="000000"/>
                <w:lang w:eastAsia="zh-CN"/>
              </w:rPr>
              <w:t>30天</w:t>
            </w:r>
            <w:r>
              <w:rPr>
                <w:rFonts w:hint="eastAsia" w:ascii="宋体" w:hAnsi="宋体" w:eastAsia="宋体" w:cs="宋体"/>
                <w:sz w:val="21"/>
                <w:szCs w:val="21"/>
                <w:lang w:eastAsia="zh-CN"/>
              </w:rPr>
              <w:t>承包人将施工控制网资料报送发包人审批的期限：</w:t>
            </w:r>
            <w:r>
              <w:rPr>
                <w:rFonts w:hint="eastAsia" w:ascii="宋体" w:hAnsi="宋体" w:eastAsia="宋体" w:cs="宋体"/>
                <w:sz w:val="21"/>
                <w:szCs w:val="21"/>
                <w:u w:val="single" w:color="000000"/>
                <w:lang w:eastAsia="zh-CN"/>
              </w:rPr>
              <w:t>发出开工通知后7天</w:t>
            </w:r>
          </w:p>
        </w:tc>
      </w:tr>
      <w:tr w14:paraId="1904B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tcPr>
          <w:p w14:paraId="6FF4191D">
            <w:pPr>
              <w:pStyle w:val="41"/>
              <w:spacing w:before="205"/>
              <w:ind w:left="364"/>
              <w:rPr>
                <w:rFonts w:ascii="宋体" w:hAnsi="宋体" w:eastAsia="宋体" w:cs="宋体"/>
                <w:sz w:val="21"/>
                <w:szCs w:val="21"/>
              </w:rPr>
            </w:pPr>
            <w:r>
              <w:rPr>
                <w:rFonts w:hint="eastAsia" w:ascii="宋体" w:hAnsi="宋体" w:eastAsia="宋体" w:cs="宋体"/>
                <w:sz w:val="21"/>
                <w:szCs w:val="21"/>
              </w:rPr>
              <w:t>9</w:t>
            </w:r>
          </w:p>
        </w:tc>
        <w:tc>
          <w:tcPr>
            <w:tcW w:w="1271" w:type="dxa"/>
          </w:tcPr>
          <w:p w14:paraId="35957B75">
            <w:pPr>
              <w:pStyle w:val="41"/>
              <w:spacing w:before="205"/>
              <w:ind w:left="446"/>
              <w:rPr>
                <w:rFonts w:ascii="宋体" w:hAnsi="宋体" w:eastAsia="宋体" w:cs="宋体"/>
                <w:sz w:val="21"/>
                <w:szCs w:val="21"/>
              </w:rPr>
            </w:pPr>
            <w:r>
              <w:rPr>
                <w:rFonts w:hint="eastAsia" w:ascii="宋体" w:hAnsi="宋体" w:eastAsia="宋体" w:cs="宋体"/>
                <w:sz w:val="21"/>
                <w:szCs w:val="21"/>
              </w:rPr>
              <w:t>11.5</w:t>
            </w:r>
          </w:p>
        </w:tc>
        <w:tc>
          <w:tcPr>
            <w:tcW w:w="7268" w:type="dxa"/>
          </w:tcPr>
          <w:p w14:paraId="2E73F691">
            <w:pPr>
              <w:pStyle w:val="41"/>
              <w:spacing w:before="172"/>
              <w:ind w:left="536"/>
              <w:rPr>
                <w:rFonts w:ascii="宋体" w:hAnsi="宋体" w:eastAsia="宋体" w:cs="宋体"/>
                <w:sz w:val="21"/>
                <w:szCs w:val="21"/>
                <w:lang w:eastAsia="zh-CN"/>
              </w:rPr>
            </w:pPr>
            <w:r>
              <w:rPr>
                <w:rFonts w:hint="eastAsia" w:ascii="宋体" w:hAnsi="宋体" w:eastAsia="宋体" w:cs="宋体"/>
                <w:sz w:val="21"/>
                <w:szCs w:val="21"/>
                <w:lang w:eastAsia="zh-CN"/>
              </w:rPr>
              <w:t>逾期交工违约金：5000元/天</w:t>
            </w:r>
          </w:p>
        </w:tc>
      </w:tr>
      <w:tr w14:paraId="606B1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tcPr>
          <w:p w14:paraId="6023B747">
            <w:pPr>
              <w:pStyle w:val="41"/>
              <w:spacing w:before="204"/>
              <w:ind w:left="326"/>
              <w:rPr>
                <w:rFonts w:ascii="宋体" w:hAnsi="宋体" w:eastAsia="宋体" w:cs="宋体"/>
                <w:sz w:val="21"/>
                <w:szCs w:val="21"/>
              </w:rPr>
            </w:pPr>
            <w:r>
              <w:rPr>
                <w:rFonts w:hint="eastAsia" w:ascii="宋体" w:hAnsi="宋体" w:eastAsia="宋体" w:cs="宋体"/>
                <w:sz w:val="21"/>
                <w:szCs w:val="21"/>
              </w:rPr>
              <w:t>10</w:t>
            </w:r>
          </w:p>
        </w:tc>
        <w:tc>
          <w:tcPr>
            <w:tcW w:w="1271" w:type="dxa"/>
          </w:tcPr>
          <w:p w14:paraId="21F5E14A">
            <w:pPr>
              <w:pStyle w:val="41"/>
              <w:spacing w:before="205"/>
              <w:ind w:left="446"/>
              <w:rPr>
                <w:rFonts w:ascii="宋体" w:hAnsi="宋体" w:eastAsia="宋体" w:cs="宋体"/>
                <w:sz w:val="21"/>
                <w:szCs w:val="21"/>
              </w:rPr>
            </w:pPr>
            <w:r>
              <w:rPr>
                <w:rFonts w:hint="eastAsia" w:ascii="宋体" w:hAnsi="宋体" w:eastAsia="宋体" w:cs="宋体"/>
                <w:sz w:val="21"/>
                <w:szCs w:val="21"/>
              </w:rPr>
              <w:t>11.5</w:t>
            </w:r>
          </w:p>
        </w:tc>
        <w:tc>
          <w:tcPr>
            <w:tcW w:w="7268" w:type="dxa"/>
          </w:tcPr>
          <w:p w14:paraId="2D9D2FC1">
            <w:pPr>
              <w:pStyle w:val="41"/>
              <w:spacing w:before="172"/>
              <w:ind w:left="536"/>
              <w:rPr>
                <w:rFonts w:ascii="宋体" w:hAnsi="宋体" w:eastAsia="宋体" w:cs="宋体"/>
                <w:sz w:val="21"/>
                <w:szCs w:val="21"/>
                <w:lang w:eastAsia="zh-CN"/>
              </w:rPr>
            </w:pPr>
            <w:r>
              <w:rPr>
                <w:rFonts w:hint="eastAsia" w:ascii="宋体" w:hAnsi="宋体" w:eastAsia="宋体" w:cs="宋体"/>
                <w:sz w:val="21"/>
                <w:szCs w:val="21"/>
                <w:lang w:eastAsia="zh-CN"/>
              </w:rPr>
              <w:t>逾期交工违约金限额：10%签约合同价</w:t>
            </w:r>
          </w:p>
        </w:tc>
      </w:tr>
      <w:tr w14:paraId="773FB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tcPr>
          <w:p w14:paraId="14A6C3DB">
            <w:pPr>
              <w:pStyle w:val="41"/>
              <w:spacing w:before="206"/>
              <w:ind w:left="326"/>
              <w:rPr>
                <w:rFonts w:ascii="宋体" w:hAnsi="宋体" w:eastAsia="宋体" w:cs="宋体"/>
                <w:sz w:val="21"/>
                <w:szCs w:val="21"/>
              </w:rPr>
            </w:pPr>
            <w:r>
              <w:rPr>
                <w:rFonts w:hint="eastAsia" w:ascii="宋体" w:hAnsi="宋体" w:eastAsia="宋体" w:cs="宋体"/>
                <w:sz w:val="21"/>
                <w:szCs w:val="21"/>
              </w:rPr>
              <w:t>11</w:t>
            </w:r>
          </w:p>
        </w:tc>
        <w:tc>
          <w:tcPr>
            <w:tcW w:w="1271" w:type="dxa"/>
          </w:tcPr>
          <w:p w14:paraId="5CF6EA5C">
            <w:pPr>
              <w:pStyle w:val="41"/>
              <w:spacing w:before="205"/>
              <w:ind w:left="446"/>
              <w:rPr>
                <w:rFonts w:ascii="宋体" w:hAnsi="宋体" w:eastAsia="宋体" w:cs="宋体"/>
                <w:sz w:val="21"/>
                <w:szCs w:val="21"/>
              </w:rPr>
            </w:pPr>
            <w:r>
              <w:rPr>
                <w:rFonts w:hint="eastAsia" w:ascii="宋体" w:hAnsi="宋体" w:eastAsia="宋体" w:cs="宋体"/>
                <w:sz w:val="21"/>
                <w:szCs w:val="21"/>
              </w:rPr>
              <w:t>11.6</w:t>
            </w:r>
          </w:p>
        </w:tc>
        <w:tc>
          <w:tcPr>
            <w:tcW w:w="7268" w:type="dxa"/>
          </w:tcPr>
          <w:p w14:paraId="33697FAC">
            <w:pPr>
              <w:pStyle w:val="41"/>
              <w:spacing w:before="173"/>
              <w:ind w:left="538"/>
              <w:rPr>
                <w:rFonts w:ascii="宋体" w:hAnsi="宋体" w:eastAsia="宋体" w:cs="宋体"/>
                <w:sz w:val="21"/>
                <w:szCs w:val="21"/>
                <w:lang w:eastAsia="zh-CN"/>
              </w:rPr>
            </w:pPr>
            <w:r>
              <w:rPr>
                <w:rFonts w:hint="eastAsia" w:ascii="宋体" w:hAnsi="宋体" w:eastAsia="宋体" w:cs="宋体"/>
                <w:sz w:val="21"/>
                <w:szCs w:val="21"/>
                <w:lang w:eastAsia="zh-CN"/>
              </w:rPr>
              <w:t>提前交工的奖金：</w:t>
            </w:r>
            <w:r>
              <w:rPr>
                <w:rFonts w:hint="eastAsia" w:ascii="宋体" w:hAnsi="宋体" w:eastAsia="宋体" w:cs="宋体"/>
                <w:sz w:val="21"/>
                <w:szCs w:val="21"/>
                <w:u w:val="single"/>
                <w:lang w:eastAsia="zh-CN"/>
              </w:rPr>
              <w:t>/</w:t>
            </w:r>
            <w:r>
              <w:rPr>
                <w:rFonts w:hint="eastAsia" w:ascii="宋体" w:hAnsi="宋体" w:eastAsia="宋体" w:cs="宋体"/>
                <w:sz w:val="21"/>
                <w:szCs w:val="21"/>
                <w:lang w:eastAsia="zh-CN"/>
              </w:rPr>
              <w:t>元/天</w:t>
            </w:r>
          </w:p>
        </w:tc>
      </w:tr>
      <w:tr w14:paraId="7E12A7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tcPr>
          <w:p w14:paraId="1C514B4E">
            <w:pPr>
              <w:pStyle w:val="41"/>
              <w:spacing w:before="206"/>
              <w:ind w:left="326"/>
              <w:rPr>
                <w:rFonts w:ascii="宋体" w:hAnsi="宋体" w:eastAsia="宋体" w:cs="宋体"/>
                <w:sz w:val="21"/>
                <w:szCs w:val="21"/>
              </w:rPr>
            </w:pPr>
            <w:r>
              <w:rPr>
                <w:rFonts w:hint="eastAsia" w:ascii="宋体" w:hAnsi="宋体" w:eastAsia="宋体" w:cs="宋体"/>
                <w:sz w:val="21"/>
                <w:szCs w:val="21"/>
              </w:rPr>
              <w:t>12</w:t>
            </w:r>
          </w:p>
        </w:tc>
        <w:tc>
          <w:tcPr>
            <w:tcW w:w="1271" w:type="dxa"/>
          </w:tcPr>
          <w:p w14:paraId="068A05FE">
            <w:pPr>
              <w:pStyle w:val="41"/>
              <w:spacing w:before="206"/>
              <w:ind w:left="446"/>
              <w:rPr>
                <w:rFonts w:ascii="宋体" w:hAnsi="宋体" w:eastAsia="宋体" w:cs="宋体"/>
                <w:sz w:val="21"/>
                <w:szCs w:val="21"/>
              </w:rPr>
            </w:pPr>
            <w:r>
              <w:rPr>
                <w:rFonts w:hint="eastAsia" w:ascii="宋体" w:hAnsi="宋体" w:eastAsia="宋体" w:cs="宋体"/>
                <w:sz w:val="21"/>
                <w:szCs w:val="21"/>
              </w:rPr>
              <w:t>11.6</w:t>
            </w:r>
          </w:p>
        </w:tc>
        <w:tc>
          <w:tcPr>
            <w:tcW w:w="7268" w:type="dxa"/>
          </w:tcPr>
          <w:p w14:paraId="5155F426">
            <w:pPr>
              <w:pStyle w:val="41"/>
              <w:spacing w:before="172"/>
              <w:ind w:left="538"/>
              <w:rPr>
                <w:rFonts w:ascii="宋体" w:hAnsi="宋体" w:eastAsia="宋体" w:cs="宋体"/>
                <w:sz w:val="21"/>
                <w:szCs w:val="21"/>
                <w:lang w:eastAsia="zh-CN"/>
              </w:rPr>
            </w:pPr>
            <w:r>
              <w:rPr>
                <w:rFonts w:hint="eastAsia" w:ascii="宋体" w:hAnsi="宋体" w:eastAsia="宋体" w:cs="宋体"/>
                <w:sz w:val="21"/>
                <w:szCs w:val="21"/>
                <w:lang w:eastAsia="zh-CN"/>
              </w:rPr>
              <w:t>提前交工的奖金限额：</w:t>
            </w:r>
            <w:r>
              <w:rPr>
                <w:rFonts w:hint="eastAsia" w:ascii="宋体" w:hAnsi="宋体" w:eastAsia="宋体" w:cs="宋体"/>
                <w:sz w:val="21"/>
                <w:szCs w:val="21"/>
                <w:u w:val="single"/>
                <w:lang w:eastAsia="zh-CN"/>
              </w:rPr>
              <w:t>/</w:t>
            </w:r>
            <w:r>
              <w:rPr>
                <w:rFonts w:hint="eastAsia" w:ascii="宋体" w:hAnsi="宋体" w:eastAsia="宋体" w:cs="宋体"/>
                <w:sz w:val="21"/>
                <w:szCs w:val="21"/>
                <w:lang w:eastAsia="zh-CN"/>
              </w:rPr>
              <w:t>元/天</w:t>
            </w:r>
          </w:p>
        </w:tc>
      </w:tr>
      <w:tr w14:paraId="39041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820" w:type="dxa"/>
          </w:tcPr>
          <w:p w14:paraId="5C225D1F">
            <w:pPr>
              <w:pStyle w:val="41"/>
              <w:spacing w:before="330"/>
              <w:ind w:left="326"/>
              <w:rPr>
                <w:rFonts w:ascii="宋体" w:hAnsi="宋体" w:eastAsia="宋体" w:cs="宋体"/>
                <w:sz w:val="21"/>
                <w:szCs w:val="21"/>
              </w:rPr>
            </w:pPr>
            <w:r>
              <w:rPr>
                <w:rFonts w:hint="eastAsia" w:ascii="宋体" w:hAnsi="宋体" w:eastAsia="宋体" w:cs="宋体"/>
                <w:sz w:val="21"/>
                <w:szCs w:val="21"/>
              </w:rPr>
              <w:t>13</w:t>
            </w:r>
          </w:p>
        </w:tc>
        <w:tc>
          <w:tcPr>
            <w:tcW w:w="1271" w:type="dxa"/>
          </w:tcPr>
          <w:p w14:paraId="01D65136">
            <w:pPr>
              <w:pStyle w:val="41"/>
              <w:spacing w:before="331"/>
              <w:ind w:left="341"/>
              <w:rPr>
                <w:rFonts w:ascii="宋体" w:hAnsi="宋体" w:eastAsia="宋体" w:cs="宋体"/>
                <w:sz w:val="21"/>
                <w:szCs w:val="21"/>
              </w:rPr>
            </w:pPr>
            <w:r>
              <w:rPr>
                <w:rFonts w:hint="eastAsia" w:ascii="宋体" w:hAnsi="宋体" w:eastAsia="宋体" w:cs="宋体"/>
                <w:sz w:val="21"/>
                <w:szCs w:val="21"/>
              </w:rPr>
              <w:t>15.5.2</w:t>
            </w:r>
          </w:p>
        </w:tc>
        <w:tc>
          <w:tcPr>
            <w:tcW w:w="7268" w:type="dxa"/>
          </w:tcPr>
          <w:p w14:paraId="5FA9F80A">
            <w:pPr>
              <w:pStyle w:val="41"/>
              <w:spacing w:before="298"/>
              <w:ind w:left="536"/>
              <w:rPr>
                <w:rFonts w:ascii="宋体" w:hAnsi="宋体" w:eastAsia="宋体" w:cs="宋体"/>
                <w:sz w:val="21"/>
                <w:szCs w:val="21"/>
              </w:rPr>
            </w:pPr>
            <w:r>
              <w:rPr>
                <w:rFonts w:hint="eastAsia" w:ascii="宋体" w:hAnsi="宋体" w:eastAsia="宋体" w:cs="宋体"/>
                <w:sz w:val="21"/>
                <w:szCs w:val="21"/>
                <w:u w:val="single"/>
              </w:rPr>
              <w:t>/</w:t>
            </w:r>
          </w:p>
        </w:tc>
      </w:tr>
      <w:tr w14:paraId="60A64D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trPr>
        <w:tc>
          <w:tcPr>
            <w:tcW w:w="820" w:type="dxa"/>
          </w:tcPr>
          <w:p w14:paraId="56F8B779">
            <w:pPr>
              <w:ind w:firstLine="422"/>
              <w:rPr>
                <w:sz w:val="21"/>
                <w:szCs w:val="21"/>
              </w:rPr>
            </w:pPr>
          </w:p>
          <w:p w14:paraId="341134DF">
            <w:pPr>
              <w:ind w:firstLine="422"/>
              <w:rPr>
                <w:sz w:val="21"/>
                <w:szCs w:val="21"/>
              </w:rPr>
            </w:pPr>
          </w:p>
          <w:p w14:paraId="72EFC383">
            <w:pPr>
              <w:pStyle w:val="41"/>
              <w:spacing w:before="90"/>
              <w:ind w:left="326"/>
              <w:rPr>
                <w:rFonts w:ascii="宋体" w:hAnsi="宋体" w:eastAsia="宋体" w:cs="宋体"/>
                <w:sz w:val="21"/>
                <w:szCs w:val="21"/>
              </w:rPr>
            </w:pPr>
            <w:r>
              <w:rPr>
                <w:rFonts w:hint="eastAsia" w:ascii="宋体" w:hAnsi="宋体" w:eastAsia="宋体" w:cs="宋体"/>
                <w:sz w:val="21"/>
                <w:szCs w:val="21"/>
              </w:rPr>
              <w:t>14</w:t>
            </w:r>
          </w:p>
        </w:tc>
        <w:tc>
          <w:tcPr>
            <w:tcW w:w="1271" w:type="dxa"/>
          </w:tcPr>
          <w:p w14:paraId="6BE43F49">
            <w:pPr>
              <w:ind w:firstLine="422"/>
              <w:rPr>
                <w:sz w:val="21"/>
                <w:szCs w:val="21"/>
              </w:rPr>
            </w:pPr>
          </w:p>
          <w:p w14:paraId="246F87FC">
            <w:pPr>
              <w:ind w:firstLine="422"/>
              <w:rPr>
                <w:sz w:val="21"/>
                <w:szCs w:val="21"/>
              </w:rPr>
            </w:pPr>
          </w:p>
          <w:p w14:paraId="3378BCCB">
            <w:pPr>
              <w:pStyle w:val="41"/>
              <w:spacing w:before="91"/>
              <w:ind w:left="446"/>
              <w:rPr>
                <w:rFonts w:ascii="宋体" w:hAnsi="宋体" w:eastAsia="宋体" w:cs="宋体"/>
                <w:sz w:val="21"/>
                <w:szCs w:val="21"/>
              </w:rPr>
            </w:pPr>
            <w:r>
              <w:rPr>
                <w:rFonts w:hint="eastAsia" w:ascii="宋体" w:hAnsi="宋体" w:eastAsia="宋体" w:cs="宋体"/>
                <w:sz w:val="21"/>
                <w:szCs w:val="21"/>
              </w:rPr>
              <w:t>16.1</w:t>
            </w:r>
          </w:p>
        </w:tc>
        <w:tc>
          <w:tcPr>
            <w:tcW w:w="7268" w:type="dxa"/>
          </w:tcPr>
          <w:p w14:paraId="22931CB8">
            <w:pPr>
              <w:pStyle w:val="41"/>
              <w:spacing w:before="107"/>
              <w:ind w:left="748"/>
              <w:rPr>
                <w:rFonts w:ascii="宋体" w:hAnsi="宋体" w:eastAsia="宋体" w:cs="宋体"/>
                <w:sz w:val="21"/>
                <w:szCs w:val="21"/>
                <w:lang w:eastAsia="zh-CN"/>
              </w:rPr>
            </w:pPr>
            <w:r>
              <w:rPr>
                <w:rFonts w:hint="eastAsia" w:ascii="宋体" w:hAnsi="宋体" w:eastAsia="宋体" w:cs="宋体"/>
                <w:sz w:val="21"/>
                <w:szCs w:val="21"/>
                <w:lang w:eastAsia="zh-CN"/>
              </w:rPr>
              <w:t>□因物价波动引起的价格调整按照第16.1.1项或第16.1.2项约定</w:t>
            </w:r>
          </w:p>
          <w:p w14:paraId="61A8DE15">
            <w:pPr>
              <w:pStyle w:val="41"/>
              <w:spacing w:before="5"/>
              <w:ind w:left="118" w:right="171" w:firstLine="422"/>
              <w:rPr>
                <w:rFonts w:ascii="宋体" w:hAnsi="宋体" w:eastAsia="宋体" w:cs="宋体"/>
                <w:sz w:val="21"/>
                <w:szCs w:val="21"/>
                <w:lang w:eastAsia="zh-CN"/>
              </w:rPr>
            </w:pPr>
            <w:r>
              <w:rPr>
                <w:rFonts w:hint="eastAsia" w:ascii="宋体" w:hAnsi="宋体" w:eastAsia="宋体" w:cs="宋体"/>
                <w:sz w:val="21"/>
                <w:szCs w:val="21"/>
                <w:lang w:eastAsia="zh-CN"/>
              </w:rPr>
              <w:t>的原则处理,若按第16.1.1项的约定采用价格调整公式进行调价，每半年或一年按价格调</w:t>
            </w:r>
          </w:p>
          <w:p w14:paraId="0A218ADB">
            <w:pPr>
              <w:pStyle w:val="41"/>
              <w:spacing w:before="71"/>
              <w:ind w:left="744"/>
              <w:rPr>
                <w:rFonts w:ascii="宋体" w:hAnsi="宋体" w:eastAsia="宋体" w:cs="宋体"/>
                <w:sz w:val="21"/>
                <w:szCs w:val="21"/>
              </w:rPr>
            </w:pPr>
            <w:r>
              <w:rPr>
                <w:rFonts w:hint="eastAsia" w:ascii="宋体" w:hAnsi="宋体" w:eastAsia="宋体" w:cs="宋体"/>
                <w:position w:val="-4"/>
                <w:sz w:val="21"/>
                <w:szCs w:val="21"/>
                <w:lang w:eastAsia="zh-CN"/>
              </w:rPr>
              <w:drawing>
                <wp:inline distT="0" distB="0" distL="0" distR="0">
                  <wp:extent cx="104140" cy="140970"/>
                  <wp:effectExtent l="0" t="0" r="10160" b="11430"/>
                  <wp:docPr id="55" name="IM 4"/>
                  <wp:cNvGraphicFramePr/>
                  <a:graphic xmlns:a="http://schemas.openxmlformats.org/drawingml/2006/main">
                    <a:graphicData uri="http://schemas.openxmlformats.org/drawingml/2006/picture">
                      <pic:pic xmlns:pic="http://schemas.openxmlformats.org/drawingml/2006/picture">
                        <pic:nvPicPr>
                          <pic:cNvPr id="55" name="IM 4"/>
                          <pic:cNvPicPr/>
                        </pic:nvPicPr>
                        <pic:blipFill>
                          <a:blip r:embed="rId18"/>
                          <a:stretch>
                            <a:fillRect/>
                          </a:stretch>
                        </pic:blipFill>
                        <pic:spPr>
                          <a:xfrm>
                            <a:off x="0" y="0"/>
                            <a:ext cx="104452" cy="141353"/>
                          </a:xfrm>
                          <a:prstGeom prst="rect">
                            <a:avLst/>
                          </a:prstGeom>
                        </pic:spPr>
                      </pic:pic>
                    </a:graphicData>
                  </a:graphic>
                </wp:inline>
              </w:drawing>
            </w:r>
            <w:r>
              <w:rPr>
                <w:rFonts w:hint="eastAsia" w:ascii="宋体" w:hAnsi="宋体" w:eastAsia="宋体" w:cs="宋体"/>
                <w:sz w:val="21"/>
                <w:szCs w:val="21"/>
              </w:rPr>
              <w:t>合同期内不调价</w:t>
            </w:r>
          </w:p>
        </w:tc>
      </w:tr>
    </w:tbl>
    <w:p w14:paraId="1A5F7E7F">
      <w:pPr>
        <w:pStyle w:val="12"/>
      </w:pPr>
    </w:p>
    <w:p w14:paraId="74A8A6AA">
      <w:pPr>
        <w:ind w:firstLine="422"/>
        <w:rPr>
          <w:sz w:val="21"/>
          <w:szCs w:val="21"/>
        </w:rPr>
        <w:sectPr>
          <w:footerReference r:id="rId7" w:type="default"/>
          <w:pgSz w:w="11900" w:h="16840"/>
          <w:pgMar w:top="1422" w:right="1244" w:bottom="801" w:left="1291" w:header="0" w:footer="637" w:gutter="0"/>
          <w:cols w:space="720" w:num="1"/>
        </w:sectPr>
      </w:pPr>
    </w:p>
    <w:p w14:paraId="19E0BAA0">
      <w:pPr>
        <w:spacing w:before="42"/>
        <w:ind w:firstLine="422"/>
        <w:jc w:val="right"/>
        <w:rPr>
          <w:sz w:val="21"/>
          <w:szCs w:val="21"/>
        </w:rPr>
      </w:pPr>
      <w:r>
        <w:rPr>
          <w:rFonts w:hint="eastAsia"/>
          <w:sz w:val="21"/>
          <w:szCs w:val="21"/>
        </w:rPr>
        <w:t>续上表</w:t>
      </w:r>
    </w:p>
    <w:p w14:paraId="771D5E61">
      <w:pPr>
        <w:ind w:firstLine="422"/>
        <w:rPr>
          <w:sz w:val="21"/>
          <w:szCs w:val="21"/>
        </w:rPr>
      </w:pPr>
    </w:p>
    <w:tbl>
      <w:tblPr>
        <w:tblStyle w:val="38"/>
        <w:tblW w:w="93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9"/>
        <w:gridCol w:w="1261"/>
        <w:gridCol w:w="7193"/>
        <w:gridCol w:w="23"/>
      </w:tblGrid>
      <w:tr w14:paraId="69E26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830" w:type="dxa"/>
          </w:tcPr>
          <w:p w14:paraId="4F0C8AAA">
            <w:pPr>
              <w:ind w:firstLine="422"/>
              <w:rPr>
                <w:sz w:val="21"/>
                <w:szCs w:val="21"/>
              </w:rPr>
            </w:pPr>
          </w:p>
        </w:tc>
        <w:tc>
          <w:tcPr>
            <w:tcW w:w="1261" w:type="dxa"/>
          </w:tcPr>
          <w:p w14:paraId="1BE0580C">
            <w:pPr>
              <w:pStyle w:val="41"/>
              <w:spacing w:before="206"/>
              <w:ind w:left="115"/>
              <w:rPr>
                <w:rFonts w:ascii="宋体" w:hAnsi="宋体" w:eastAsia="宋体" w:cs="宋体"/>
                <w:sz w:val="21"/>
                <w:szCs w:val="21"/>
              </w:rPr>
            </w:pPr>
            <w:r>
              <w:rPr>
                <w:rFonts w:hint="eastAsia" w:ascii="宋体" w:hAnsi="宋体" w:eastAsia="宋体" w:cs="宋体"/>
                <w:sz w:val="21"/>
                <w:szCs w:val="21"/>
              </w:rPr>
              <w:t>条目号</w:t>
            </w:r>
          </w:p>
        </w:tc>
        <w:tc>
          <w:tcPr>
            <w:tcW w:w="7215" w:type="dxa"/>
            <w:gridSpan w:val="2"/>
          </w:tcPr>
          <w:p w14:paraId="75362D7D">
            <w:pPr>
              <w:pStyle w:val="41"/>
              <w:spacing w:before="207"/>
              <w:ind w:left="3264"/>
              <w:rPr>
                <w:rFonts w:ascii="宋体" w:hAnsi="宋体" w:eastAsia="宋体" w:cs="宋体"/>
                <w:sz w:val="21"/>
                <w:szCs w:val="21"/>
              </w:rPr>
            </w:pPr>
            <w:r>
              <w:rPr>
                <w:rFonts w:hint="eastAsia" w:ascii="宋体" w:hAnsi="宋体" w:eastAsia="宋体" w:cs="宋体"/>
                <w:sz w:val="21"/>
                <w:szCs w:val="21"/>
              </w:rPr>
              <w:t>信息或数据</w:t>
            </w:r>
          </w:p>
        </w:tc>
      </w:tr>
      <w:tr w14:paraId="4BBC6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830" w:type="dxa"/>
          </w:tcPr>
          <w:p w14:paraId="57037A19">
            <w:pPr>
              <w:pStyle w:val="41"/>
              <w:spacing w:before="181"/>
              <w:ind w:left="335"/>
              <w:rPr>
                <w:rFonts w:ascii="宋体" w:hAnsi="宋体" w:eastAsia="宋体" w:cs="宋体"/>
                <w:sz w:val="21"/>
                <w:szCs w:val="21"/>
              </w:rPr>
            </w:pPr>
            <w:r>
              <w:rPr>
                <w:rFonts w:hint="eastAsia" w:ascii="宋体" w:hAnsi="宋体" w:eastAsia="宋体" w:cs="宋体"/>
                <w:sz w:val="21"/>
                <w:szCs w:val="21"/>
              </w:rPr>
              <w:t>15</w:t>
            </w:r>
          </w:p>
        </w:tc>
        <w:tc>
          <w:tcPr>
            <w:tcW w:w="1261" w:type="dxa"/>
          </w:tcPr>
          <w:p w14:paraId="02527ADA">
            <w:pPr>
              <w:spacing w:before="42"/>
              <w:ind w:left="130" w:firstLine="422"/>
              <w:rPr>
                <w:sz w:val="21"/>
                <w:szCs w:val="21"/>
              </w:rPr>
            </w:pPr>
            <w:r>
              <w:rPr>
                <w:rFonts w:hint="eastAsia"/>
                <w:sz w:val="21"/>
                <w:szCs w:val="21"/>
              </w:rPr>
              <w:t>17.2.1</w:t>
            </w:r>
          </w:p>
          <w:p w14:paraId="0DE6AD36">
            <w:pPr>
              <w:pStyle w:val="41"/>
              <w:spacing w:before="1"/>
              <w:ind w:left="120"/>
              <w:rPr>
                <w:rFonts w:ascii="宋体" w:hAnsi="宋体" w:eastAsia="宋体" w:cs="宋体"/>
                <w:sz w:val="21"/>
                <w:szCs w:val="21"/>
              </w:rPr>
            </w:pPr>
            <w:r>
              <w:rPr>
                <w:rFonts w:hint="eastAsia" w:ascii="宋体" w:hAnsi="宋体" w:eastAsia="宋体" w:cs="宋体"/>
                <w:sz w:val="21"/>
                <w:szCs w:val="21"/>
              </w:rPr>
              <w:t>（1）</w:t>
            </w:r>
          </w:p>
        </w:tc>
        <w:tc>
          <w:tcPr>
            <w:tcW w:w="7215" w:type="dxa"/>
            <w:gridSpan w:val="2"/>
          </w:tcPr>
          <w:p w14:paraId="02D20B11">
            <w:pPr>
              <w:pStyle w:val="41"/>
              <w:spacing w:before="149"/>
              <w:ind w:left="538"/>
              <w:rPr>
                <w:rFonts w:ascii="宋体" w:hAnsi="宋体" w:eastAsia="宋体" w:cs="宋体"/>
                <w:sz w:val="21"/>
                <w:szCs w:val="21"/>
                <w:lang w:eastAsia="zh-CN"/>
              </w:rPr>
            </w:pPr>
            <w:r>
              <w:rPr>
                <w:rFonts w:hint="eastAsia" w:ascii="宋体" w:hAnsi="宋体" w:eastAsia="宋体" w:cs="宋体"/>
                <w:sz w:val="21"/>
                <w:szCs w:val="21"/>
                <w:lang w:eastAsia="zh-CN"/>
              </w:rPr>
              <w:t>开工预付款金额：</w:t>
            </w:r>
            <w:r>
              <w:rPr>
                <w:rFonts w:hint="eastAsia" w:ascii="宋体" w:hAnsi="宋体" w:eastAsia="宋体" w:cs="宋体"/>
                <w:b/>
                <w:bCs/>
                <w:sz w:val="21"/>
                <w:szCs w:val="21"/>
                <w:u w:val="single"/>
                <w:lang w:eastAsia="zh-CN"/>
              </w:rPr>
              <w:t>10</w:t>
            </w:r>
            <w:r>
              <w:rPr>
                <w:rFonts w:hint="eastAsia" w:ascii="宋体" w:hAnsi="宋体" w:eastAsia="宋体" w:cs="宋体"/>
                <w:b/>
                <w:bCs/>
                <w:sz w:val="21"/>
                <w:szCs w:val="21"/>
                <w:lang w:eastAsia="zh-CN"/>
              </w:rPr>
              <w:t>%签约合同价</w:t>
            </w:r>
            <w:r>
              <w:rPr>
                <w:rFonts w:hint="eastAsia" w:ascii="宋体" w:hAnsi="宋体" w:eastAsia="宋体" w:cs="宋体"/>
                <w:sz w:val="21"/>
                <w:szCs w:val="21"/>
                <w:lang w:eastAsia="zh-CN"/>
              </w:rPr>
              <w:t>。</w:t>
            </w:r>
          </w:p>
        </w:tc>
      </w:tr>
      <w:tr w14:paraId="4C31B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830" w:type="dxa"/>
          </w:tcPr>
          <w:p w14:paraId="2E42904E">
            <w:pPr>
              <w:pStyle w:val="41"/>
              <w:spacing w:before="196"/>
              <w:ind w:left="335"/>
              <w:rPr>
                <w:rFonts w:ascii="宋体" w:hAnsi="宋体" w:eastAsia="宋体" w:cs="宋体"/>
                <w:sz w:val="21"/>
                <w:szCs w:val="21"/>
              </w:rPr>
            </w:pPr>
            <w:r>
              <w:rPr>
                <w:rFonts w:hint="eastAsia" w:ascii="宋体" w:hAnsi="宋体" w:eastAsia="宋体" w:cs="宋体"/>
                <w:sz w:val="21"/>
                <w:szCs w:val="21"/>
              </w:rPr>
              <w:t>16</w:t>
            </w:r>
          </w:p>
        </w:tc>
        <w:tc>
          <w:tcPr>
            <w:tcW w:w="1261" w:type="dxa"/>
          </w:tcPr>
          <w:p w14:paraId="3C381710">
            <w:pPr>
              <w:pStyle w:val="41"/>
              <w:spacing w:before="197"/>
              <w:ind w:left="336"/>
              <w:rPr>
                <w:rFonts w:ascii="宋体" w:hAnsi="宋体" w:eastAsia="宋体" w:cs="宋体"/>
                <w:sz w:val="21"/>
                <w:szCs w:val="21"/>
              </w:rPr>
            </w:pPr>
            <w:r>
              <w:rPr>
                <w:rFonts w:hint="eastAsia" w:ascii="宋体" w:hAnsi="宋体" w:eastAsia="宋体" w:cs="宋体"/>
                <w:sz w:val="21"/>
                <w:szCs w:val="21"/>
              </w:rPr>
              <w:t>17.2.1</w:t>
            </w:r>
          </w:p>
        </w:tc>
        <w:tc>
          <w:tcPr>
            <w:tcW w:w="7215" w:type="dxa"/>
            <w:gridSpan w:val="2"/>
          </w:tcPr>
          <w:p w14:paraId="1223D5F8">
            <w:pPr>
              <w:pStyle w:val="41"/>
              <w:spacing w:before="28"/>
              <w:ind w:left="118" w:right="303" w:firstLine="422"/>
              <w:rPr>
                <w:rFonts w:ascii="宋体" w:hAnsi="宋体" w:eastAsia="宋体" w:cs="宋体"/>
                <w:sz w:val="21"/>
                <w:szCs w:val="21"/>
                <w:lang w:eastAsia="zh-CN"/>
              </w:rPr>
            </w:pPr>
            <w:r>
              <w:rPr>
                <w:rFonts w:hint="eastAsia" w:ascii="宋体" w:hAnsi="宋体" w:eastAsia="宋体" w:cs="宋体"/>
                <w:sz w:val="21"/>
                <w:szCs w:val="21"/>
                <w:lang w:eastAsia="zh-CN"/>
              </w:rPr>
              <w:t>材料、设备预付款比例：</w:t>
            </w:r>
            <w:r>
              <w:rPr>
                <w:rFonts w:hint="eastAsia" w:ascii="宋体" w:hAnsi="宋体" w:eastAsia="宋体" w:cs="宋体"/>
                <w:sz w:val="21"/>
                <w:szCs w:val="21"/>
                <w:u w:val="single"/>
                <w:lang w:eastAsia="zh-CN"/>
              </w:rPr>
              <w:t>钢筋、水泥、沥青、砂、石</w:t>
            </w:r>
            <w:r>
              <w:rPr>
                <w:rFonts w:hint="eastAsia" w:ascii="宋体" w:hAnsi="宋体" w:eastAsia="宋体" w:cs="宋体"/>
                <w:sz w:val="21"/>
                <w:szCs w:val="21"/>
                <w:lang w:eastAsia="zh-CN"/>
              </w:rPr>
              <w:t>等主要材料、设备单据所列费用的70%</w:t>
            </w:r>
          </w:p>
        </w:tc>
      </w:tr>
      <w:tr w14:paraId="7FB64E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47095CD0">
            <w:pPr>
              <w:pStyle w:val="41"/>
              <w:spacing w:before="202"/>
              <w:ind w:left="335"/>
              <w:rPr>
                <w:rFonts w:ascii="宋体" w:hAnsi="宋体" w:eastAsia="宋体" w:cs="宋体"/>
                <w:sz w:val="21"/>
                <w:szCs w:val="21"/>
              </w:rPr>
            </w:pPr>
            <w:r>
              <w:rPr>
                <w:rFonts w:hint="eastAsia" w:ascii="宋体" w:hAnsi="宋体" w:eastAsia="宋体" w:cs="宋体"/>
                <w:sz w:val="21"/>
                <w:szCs w:val="21"/>
              </w:rPr>
              <w:t>17</w:t>
            </w:r>
          </w:p>
        </w:tc>
        <w:tc>
          <w:tcPr>
            <w:tcW w:w="1261" w:type="dxa"/>
          </w:tcPr>
          <w:p w14:paraId="08EF4910">
            <w:pPr>
              <w:pStyle w:val="41"/>
              <w:spacing w:before="201"/>
              <w:ind w:left="336"/>
              <w:rPr>
                <w:rFonts w:ascii="宋体" w:hAnsi="宋体" w:eastAsia="宋体" w:cs="宋体"/>
                <w:sz w:val="21"/>
                <w:szCs w:val="21"/>
              </w:rPr>
            </w:pPr>
            <w:r>
              <w:rPr>
                <w:rFonts w:hint="eastAsia" w:ascii="宋体" w:hAnsi="宋体" w:eastAsia="宋体" w:cs="宋体"/>
                <w:sz w:val="21"/>
                <w:szCs w:val="21"/>
              </w:rPr>
              <w:t>17.3.2</w:t>
            </w:r>
          </w:p>
        </w:tc>
        <w:tc>
          <w:tcPr>
            <w:tcW w:w="7215" w:type="dxa"/>
            <w:gridSpan w:val="2"/>
          </w:tcPr>
          <w:p w14:paraId="756B06BD">
            <w:pPr>
              <w:pStyle w:val="41"/>
              <w:spacing w:before="169"/>
              <w:ind w:left="504"/>
              <w:rPr>
                <w:rFonts w:ascii="宋体" w:hAnsi="宋体" w:eastAsia="宋体" w:cs="宋体"/>
                <w:sz w:val="21"/>
                <w:szCs w:val="21"/>
                <w:lang w:eastAsia="zh-CN"/>
              </w:rPr>
            </w:pPr>
            <w:r>
              <w:rPr>
                <w:rFonts w:hint="eastAsia" w:ascii="宋体" w:hAnsi="宋体" w:eastAsia="宋体" w:cs="宋体"/>
                <w:sz w:val="21"/>
                <w:szCs w:val="21"/>
                <w:lang w:eastAsia="zh-CN"/>
              </w:rPr>
              <w:t>承包人在每个付款周期末向发包人提交进度付款申请单的份数：4份</w:t>
            </w:r>
          </w:p>
        </w:tc>
      </w:tr>
      <w:tr w14:paraId="0EC771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07BEFC3E">
            <w:pPr>
              <w:pStyle w:val="41"/>
              <w:spacing w:before="201"/>
              <w:ind w:left="335"/>
              <w:rPr>
                <w:rFonts w:ascii="宋体" w:hAnsi="宋体" w:eastAsia="宋体" w:cs="宋体"/>
                <w:sz w:val="21"/>
                <w:szCs w:val="21"/>
              </w:rPr>
            </w:pPr>
            <w:r>
              <w:rPr>
                <w:rFonts w:hint="eastAsia" w:ascii="宋体" w:hAnsi="宋体" w:eastAsia="宋体" w:cs="宋体"/>
                <w:sz w:val="21"/>
                <w:szCs w:val="21"/>
              </w:rPr>
              <w:t>18</w:t>
            </w:r>
          </w:p>
        </w:tc>
        <w:tc>
          <w:tcPr>
            <w:tcW w:w="1261" w:type="dxa"/>
          </w:tcPr>
          <w:p w14:paraId="0B4FAA07">
            <w:pPr>
              <w:pStyle w:val="41"/>
              <w:spacing w:before="168"/>
              <w:ind w:left="177"/>
              <w:rPr>
                <w:rFonts w:ascii="宋体" w:hAnsi="宋体" w:eastAsia="宋体" w:cs="宋体"/>
                <w:sz w:val="21"/>
                <w:szCs w:val="21"/>
              </w:rPr>
            </w:pPr>
            <w:r>
              <w:rPr>
                <w:rFonts w:hint="eastAsia" w:ascii="宋体" w:hAnsi="宋体" w:eastAsia="宋体" w:cs="宋体"/>
                <w:sz w:val="21"/>
                <w:szCs w:val="21"/>
              </w:rPr>
              <w:t>17.3.3(1)</w:t>
            </w:r>
          </w:p>
        </w:tc>
        <w:tc>
          <w:tcPr>
            <w:tcW w:w="7215" w:type="dxa"/>
            <w:gridSpan w:val="2"/>
          </w:tcPr>
          <w:p w14:paraId="51302C16">
            <w:pPr>
              <w:pStyle w:val="41"/>
              <w:spacing w:before="168"/>
              <w:ind w:left="536"/>
              <w:rPr>
                <w:rFonts w:ascii="宋体" w:hAnsi="宋体" w:eastAsia="宋体" w:cs="宋体"/>
                <w:sz w:val="21"/>
                <w:szCs w:val="21"/>
                <w:lang w:eastAsia="zh-CN"/>
              </w:rPr>
            </w:pPr>
            <w:r>
              <w:rPr>
                <w:rFonts w:hint="eastAsia" w:ascii="宋体" w:hAnsi="宋体" w:eastAsia="宋体" w:cs="宋体"/>
                <w:sz w:val="21"/>
                <w:szCs w:val="21"/>
                <w:lang w:eastAsia="zh-CN"/>
              </w:rPr>
              <w:t>进度付款证书最低限额：按每月完成的任务工程量逐月结算或按进度结算</w:t>
            </w:r>
          </w:p>
        </w:tc>
      </w:tr>
      <w:tr w14:paraId="6EDB2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57E4B86F">
            <w:pPr>
              <w:pStyle w:val="41"/>
              <w:spacing w:before="201"/>
              <w:ind w:left="335"/>
              <w:rPr>
                <w:rFonts w:ascii="宋体" w:hAnsi="宋体" w:eastAsia="宋体" w:cs="宋体"/>
                <w:sz w:val="21"/>
                <w:szCs w:val="21"/>
              </w:rPr>
            </w:pPr>
            <w:r>
              <w:rPr>
                <w:rFonts w:hint="eastAsia" w:ascii="宋体" w:hAnsi="宋体" w:eastAsia="宋体" w:cs="宋体"/>
                <w:sz w:val="21"/>
                <w:szCs w:val="21"/>
              </w:rPr>
              <w:t>19</w:t>
            </w:r>
          </w:p>
        </w:tc>
        <w:tc>
          <w:tcPr>
            <w:tcW w:w="1261" w:type="dxa"/>
          </w:tcPr>
          <w:p w14:paraId="536DB024">
            <w:pPr>
              <w:pStyle w:val="41"/>
              <w:spacing w:before="169"/>
              <w:ind w:left="177"/>
              <w:rPr>
                <w:rFonts w:ascii="宋体" w:hAnsi="宋体" w:eastAsia="宋体" w:cs="宋体"/>
                <w:sz w:val="21"/>
                <w:szCs w:val="21"/>
              </w:rPr>
            </w:pPr>
            <w:r>
              <w:rPr>
                <w:rFonts w:hint="eastAsia" w:ascii="宋体" w:hAnsi="宋体" w:eastAsia="宋体" w:cs="宋体"/>
                <w:sz w:val="21"/>
                <w:szCs w:val="21"/>
              </w:rPr>
              <w:t>17.3.3(2)</w:t>
            </w:r>
          </w:p>
        </w:tc>
        <w:tc>
          <w:tcPr>
            <w:tcW w:w="7215" w:type="dxa"/>
            <w:gridSpan w:val="2"/>
          </w:tcPr>
          <w:p w14:paraId="1F550611">
            <w:pPr>
              <w:pStyle w:val="41"/>
              <w:spacing w:before="169"/>
              <w:ind w:left="536"/>
              <w:rPr>
                <w:rFonts w:ascii="宋体" w:hAnsi="宋体" w:eastAsia="宋体" w:cs="宋体"/>
                <w:sz w:val="21"/>
                <w:szCs w:val="21"/>
                <w:lang w:eastAsia="zh-CN"/>
              </w:rPr>
            </w:pPr>
            <w:r>
              <w:rPr>
                <w:rFonts w:hint="eastAsia" w:ascii="宋体" w:hAnsi="宋体" w:eastAsia="宋体" w:cs="宋体"/>
                <w:sz w:val="21"/>
                <w:szCs w:val="21"/>
                <w:lang w:eastAsia="zh-CN"/>
              </w:rPr>
              <w:t>逾期付款违约金的利率：0.15‰/天</w:t>
            </w:r>
          </w:p>
        </w:tc>
      </w:tr>
      <w:tr w14:paraId="35121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1" w:hRule="atLeast"/>
        </w:trPr>
        <w:tc>
          <w:tcPr>
            <w:tcW w:w="830" w:type="dxa"/>
          </w:tcPr>
          <w:p w14:paraId="2AD7C791">
            <w:pPr>
              <w:ind w:firstLine="422"/>
              <w:rPr>
                <w:sz w:val="21"/>
                <w:szCs w:val="21"/>
              </w:rPr>
            </w:pPr>
          </w:p>
          <w:p w14:paraId="424C1395">
            <w:pPr>
              <w:ind w:firstLine="422"/>
              <w:rPr>
                <w:sz w:val="21"/>
                <w:szCs w:val="21"/>
              </w:rPr>
            </w:pPr>
          </w:p>
          <w:p w14:paraId="1B697922">
            <w:pPr>
              <w:pStyle w:val="41"/>
              <w:spacing w:before="90"/>
              <w:ind w:left="322"/>
              <w:rPr>
                <w:rFonts w:ascii="宋体" w:hAnsi="宋体" w:eastAsia="宋体" w:cs="宋体"/>
                <w:sz w:val="21"/>
                <w:szCs w:val="21"/>
              </w:rPr>
            </w:pPr>
            <w:r>
              <w:rPr>
                <w:rFonts w:hint="eastAsia" w:ascii="宋体" w:hAnsi="宋体" w:eastAsia="宋体" w:cs="宋体"/>
                <w:sz w:val="21"/>
                <w:szCs w:val="21"/>
              </w:rPr>
              <w:t>20</w:t>
            </w:r>
          </w:p>
        </w:tc>
        <w:tc>
          <w:tcPr>
            <w:tcW w:w="1261" w:type="dxa"/>
          </w:tcPr>
          <w:p w14:paraId="0ADF8CAB">
            <w:pPr>
              <w:ind w:firstLine="422"/>
              <w:rPr>
                <w:sz w:val="21"/>
                <w:szCs w:val="21"/>
              </w:rPr>
            </w:pPr>
          </w:p>
          <w:p w14:paraId="73C8C6E1">
            <w:pPr>
              <w:ind w:firstLine="422"/>
              <w:rPr>
                <w:sz w:val="21"/>
                <w:szCs w:val="21"/>
              </w:rPr>
            </w:pPr>
          </w:p>
          <w:p w14:paraId="3C79D584">
            <w:pPr>
              <w:pStyle w:val="41"/>
              <w:spacing w:before="90"/>
              <w:ind w:left="336"/>
              <w:rPr>
                <w:rFonts w:ascii="宋体" w:hAnsi="宋体" w:eastAsia="宋体" w:cs="宋体"/>
                <w:sz w:val="21"/>
                <w:szCs w:val="21"/>
              </w:rPr>
            </w:pPr>
            <w:r>
              <w:rPr>
                <w:rFonts w:hint="eastAsia" w:ascii="宋体" w:hAnsi="宋体" w:eastAsia="宋体" w:cs="宋体"/>
                <w:sz w:val="21"/>
                <w:szCs w:val="21"/>
              </w:rPr>
              <w:t>17.4.1</w:t>
            </w:r>
          </w:p>
        </w:tc>
        <w:tc>
          <w:tcPr>
            <w:tcW w:w="7215" w:type="dxa"/>
            <w:gridSpan w:val="2"/>
          </w:tcPr>
          <w:p w14:paraId="19D119B3">
            <w:pPr>
              <w:pStyle w:val="41"/>
              <w:spacing w:before="27"/>
              <w:ind w:left="86" w:right="147" w:firstLine="422"/>
              <w:rPr>
                <w:rFonts w:ascii="宋体" w:hAnsi="宋体" w:eastAsia="宋体" w:cs="宋体"/>
                <w:sz w:val="21"/>
                <w:szCs w:val="21"/>
                <w:lang w:eastAsia="zh-CN"/>
              </w:rPr>
            </w:pPr>
          </w:p>
          <w:p w14:paraId="15BEB688">
            <w:pPr>
              <w:pStyle w:val="41"/>
              <w:spacing w:before="27"/>
              <w:ind w:right="147" w:firstLine="420" w:firstLineChars="200"/>
              <w:rPr>
                <w:rFonts w:ascii="宋体" w:hAnsi="宋体" w:eastAsia="宋体" w:cs="宋体"/>
                <w:b/>
                <w:bCs/>
                <w:sz w:val="21"/>
                <w:szCs w:val="21"/>
                <w:u w:val="single"/>
                <w:lang w:eastAsia="zh-CN"/>
              </w:rPr>
            </w:pPr>
            <w:r>
              <w:rPr>
                <w:rFonts w:hint="eastAsia" w:ascii="宋体" w:hAnsi="宋体" w:eastAsia="宋体" w:cs="宋体"/>
                <w:sz w:val="21"/>
                <w:szCs w:val="21"/>
                <w:lang w:eastAsia="zh-CN"/>
              </w:rPr>
              <w:t>质量保证金金额：</w:t>
            </w:r>
            <w:r>
              <w:rPr>
                <w:rFonts w:hint="eastAsia" w:ascii="宋体" w:hAnsi="宋体" w:eastAsia="宋体" w:cs="宋体"/>
                <w:b/>
                <w:bCs/>
                <w:sz w:val="21"/>
                <w:szCs w:val="21"/>
                <w:u w:val="single"/>
                <w:lang w:eastAsia="zh-CN"/>
              </w:rPr>
              <w:t>2%签约合同价格，每次计量支付前按支付比例2%，转入建设单位指定银行账号</w:t>
            </w:r>
          </w:p>
          <w:p w14:paraId="1B8E8FB5">
            <w:pPr>
              <w:pStyle w:val="41"/>
              <w:spacing w:before="1"/>
              <w:ind w:left="505"/>
              <w:rPr>
                <w:rFonts w:ascii="宋体" w:hAnsi="宋体" w:eastAsia="宋体" w:cs="宋体"/>
                <w:sz w:val="21"/>
                <w:szCs w:val="21"/>
                <w:lang w:eastAsia="zh-CN"/>
              </w:rPr>
            </w:pPr>
            <w:r>
              <w:rPr>
                <w:rFonts w:hint="eastAsia" w:ascii="宋体" w:hAnsi="宋体" w:eastAsia="宋体" w:cs="宋体"/>
                <w:sz w:val="21"/>
                <w:szCs w:val="21"/>
                <w:lang w:eastAsia="zh-CN"/>
              </w:rPr>
              <w:t>质量保证金是否计付利息：</w:t>
            </w:r>
          </w:p>
          <w:p w14:paraId="6F1C2930">
            <w:pPr>
              <w:pStyle w:val="41"/>
              <w:spacing w:before="8"/>
              <w:ind w:left="513"/>
              <w:rPr>
                <w:rFonts w:ascii="宋体" w:hAnsi="宋体" w:eastAsia="宋体" w:cs="宋体"/>
                <w:sz w:val="21"/>
                <w:szCs w:val="21"/>
                <w:lang w:eastAsia="zh-CN"/>
              </w:rPr>
            </w:pPr>
            <w:r>
              <w:rPr>
                <w:rFonts w:hint="eastAsia" w:ascii="宋体" w:hAnsi="宋体" w:eastAsia="宋体" w:cs="宋体"/>
                <w:sz w:val="21"/>
                <w:szCs w:val="21"/>
                <w:lang w:eastAsia="zh-CN"/>
              </w:rPr>
              <w:t>□是，利息的计算方式：</w:t>
            </w:r>
            <w:r>
              <w:rPr>
                <w:rFonts w:hint="eastAsia" w:ascii="宋体" w:hAnsi="宋体" w:eastAsia="宋体" w:cs="宋体"/>
                <w:sz w:val="21"/>
                <w:szCs w:val="21"/>
                <w:u w:val="single"/>
                <w:lang w:eastAsia="zh-CN"/>
              </w:rPr>
              <w:t>银行同期活期利息</w:t>
            </w:r>
          </w:p>
          <w:p w14:paraId="212681FD">
            <w:pPr>
              <w:pStyle w:val="41"/>
              <w:spacing w:before="1"/>
              <w:ind w:left="525"/>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否</w:t>
            </w:r>
          </w:p>
        </w:tc>
      </w:tr>
      <w:tr w14:paraId="187E2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144670E2">
            <w:pPr>
              <w:pStyle w:val="41"/>
              <w:spacing w:before="203"/>
              <w:ind w:left="322"/>
              <w:rPr>
                <w:rFonts w:ascii="宋体" w:hAnsi="宋体" w:eastAsia="宋体" w:cs="宋体"/>
                <w:sz w:val="21"/>
                <w:szCs w:val="21"/>
              </w:rPr>
            </w:pPr>
            <w:r>
              <w:rPr>
                <w:rFonts w:hint="eastAsia" w:ascii="宋体" w:hAnsi="宋体" w:eastAsia="宋体" w:cs="宋体"/>
                <w:sz w:val="21"/>
                <w:szCs w:val="21"/>
              </w:rPr>
              <w:t>21</w:t>
            </w:r>
          </w:p>
        </w:tc>
        <w:tc>
          <w:tcPr>
            <w:tcW w:w="1261" w:type="dxa"/>
          </w:tcPr>
          <w:p w14:paraId="402E7CB6">
            <w:pPr>
              <w:pStyle w:val="41"/>
              <w:spacing w:before="203"/>
              <w:ind w:left="336"/>
              <w:rPr>
                <w:rFonts w:ascii="宋体" w:hAnsi="宋体" w:eastAsia="宋体" w:cs="宋体"/>
                <w:sz w:val="21"/>
                <w:szCs w:val="21"/>
              </w:rPr>
            </w:pPr>
            <w:r>
              <w:rPr>
                <w:rFonts w:hint="eastAsia" w:ascii="宋体" w:hAnsi="宋体" w:eastAsia="宋体" w:cs="宋体"/>
                <w:sz w:val="21"/>
                <w:szCs w:val="21"/>
              </w:rPr>
              <w:t>17.5.1</w:t>
            </w:r>
          </w:p>
        </w:tc>
        <w:tc>
          <w:tcPr>
            <w:tcW w:w="7215" w:type="dxa"/>
            <w:gridSpan w:val="2"/>
          </w:tcPr>
          <w:p w14:paraId="758EB6B2">
            <w:pPr>
              <w:pStyle w:val="41"/>
              <w:spacing w:before="169"/>
              <w:ind w:left="115"/>
              <w:rPr>
                <w:rFonts w:ascii="宋体" w:hAnsi="宋体" w:eastAsia="宋体" w:cs="宋体"/>
                <w:sz w:val="21"/>
                <w:szCs w:val="21"/>
                <w:lang w:eastAsia="zh-CN"/>
              </w:rPr>
            </w:pPr>
            <w:r>
              <w:rPr>
                <w:rFonts w:hint="eastAsia" w:ascii="宋体" w:hAnsi="宋体" w:eastAsia="宋体" w:cs="宋体"/>
                <w:sz w:val="21"/>
                <w:szCs w:val="21"/>
                <w:lang w:eastAsia="zh-CN"/>
              </w:rPr>
              <w:t>承包人向发包人提交交工付款申请单（包括相关证明材料）的份数：5份</w:t>
            </w:r>
          </w:p>
        </w:tc>
      </w:tr>
      <w:tr w14:paraId="0B6F3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4882D5B8">
            <w:pPr>
              <w:pStyle w:val="41"/>
              <w:spacing w:before="203"/>
              <w:ind w:left="322"/>
              <w:rPr>
                <w:rFonts w:ascii="宋体" w:hAnsi="宋体" w:eastAsia="宋体" w:cs="宋体"/>
                <w:sz w:val="21"/>
                <w:szCs w:val="21"/>
              </w:rPr>
            </w:pPr>
            <w:r>
              <w:rPr>
                <w:rFonts w:hint="eastAsia" w:ascii="宋体" w:hAnsi="宋体" w:eastAsia="宋体" w:cs="宋体"/>
                <w:sz w:val="21"/>
                <w:szCs w:val="21"/>
              </w:rPr>
              <w:t>22</w:t>
            </w:r>
          </w:p>
        </w:tc>
        <w:tc>
          <w:tcPr>
            <w:tcW w:w="1261" w:type="dxa"/>
          </w:tcPr>
          <w:p w14:paraId="7B3D76A6">
            <w:pPr>
              <w:pStyle w:val="41"/>
              <w:spacing w:before="203"/>
              <w:ind w:left="336"/>
              <w:rPr>
                <w:rFonts w:ascii="宋体" w:hAnsi="宋体" w:eastAsia="宋体" w:cs="宋体"/>
                <w:sz w:val="21"/>
                <w:szCs w:val="21"/>
              </w:rPr>
            </w:pPr>
            <w:r>
              <w:rPr>
                <w:rFonts w:hint="eastAsia" w:ascii="宋体" w:hAnsi="宋体" w:eastAsia="宋体" w:cs="宋体"/>
                <w:sz w:val="21"/>
                <w:szCs w:val="21"/>
              </w:rPr>
              <w:t>17.6.1</w:t>
            </w:r>
          </w:p>
        </w:tc>
        <w:tc>
          <w:tcPr>
            <w:tcW w:w="7215" w:type="dxa"/>
            <w:gridSpan w:val="2"/>
          </w:tcPr>
          <w:p w14:paraId="16E7FFB6">
            <w:pPr>
              <w:pStyle w:val="41"/>
              <w:spacing w:before="170"/>
              <w:ind w:left="115"/>
              <w:rPr>
                <w:rFonts w:ascii="宋体" w:hAnsi="宋体" w:eastAsia="宋体" w:cs="宋体"/>
                <w:sz w:val="21"/>
                <w:szCs w:val="21"/>
                <w:lang w:eastAsia="zh-CN"/>
              </w:rPr>
            </w:pPr>
            <w:r>
              <w:rPr>
                <w:rFonts w:hint="eastAsia" w:ascii="宋体" w:hAnsi="宋体" w:eastAsia="宋体" w:cs="宋体"/>
                <w:sz w:val="21"/>
                <w:szCs w:val="21"/>
                <w:lang w:eastAsia="zh-CN"/>
              </w:rPr>
              <w:t>承包人向发包人提交最终结清申请单（包括相关证明材料）的份数：5份</w:t>
            </w:r>
          </w:p>
        </w:tc>
      </w:tr>
      <w:tr w14:paraId="1FAEA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44E67FA2">
            <w:pPr>
              <w:pStyle w:val="41"/>
              <w:spacing w:before="204"/>
              <w:ind w:left="322"/>
              <w:rPr>
                <w:rFonts w:ascii="宋体" w:hAnsi="宋体" w:eastAsia="宋体" w:cs="宋体"/>
                <w:sz w:val="21"/>
                <w:szCs w:val="21"/>
              </w:rPr>
            </w:pPr>
            <w:r>
              <w:rPr>
                <w:rFonts w:hint="eastAsia" w:ascii="宋体" w:hAnsi="宋体" w:eastAsia="宋体" w:cs="宋体"/>
                <w:sz w:val="21"/>
                <w:szCs w:val="21"/>
              </w:rPr>
              <w:t>23</w:t>
            </w:r>
          </w:p>
        </w:tc>
        <w:tc>
          <w:tcPr>
            <w:tcW w:w="1261" w:type="dxa"/>
          </w:tcPr>
          <w:p w14:paraId="593F8C5E">
            <w:pPr>
              <w:pStyle w:val="41"/>
              <w:spacing w:before="170"/>
              <w:ind w:left="177"/>
              <w:rPr>
                <w:rFonts w:ascii="宋体" w:hAnsi="宋体" w:eastAsia="宋体" w:cs="宋体"/>
                <w:sz w:val="21"/>
                <w:szCs w:val="21"/>
              </w:rPr>
            </w:pPr>
            <w:r>
              <w:rPr>
                <w:rFonts w:hint="eastAsia" w:ascii="宋体" w:hAnsi="宋体" w:eastAsia="宋体" w:cs="宋体"/>
                <w:sz w:val="21"/>
                <w:szCs w:val="21"/>
              </w:rPr>
              <w:t>18.2（2）</w:t>
            </w:r>
          </w:p>
        </w:tc>
        <w:tc>
          <w:tcPr>
            <w:tcW w:w="7215" w:type="dxa"/>
            <w:gridSpan w:val="2"/>
          </w:tcPr>
          <w:p w14:paraId="32488838">
            <w:pPr>
              <w:pStyle w:val="41"/>
              <w:spacing w:before="171"/>
              <w:ind w:left="505"/>
              <w:rPr>
                <w:rFonts w:ascii="宋体" w:hAnsi="宋体" w:eastAsia="宋体" w:cs="宋体"/>
                <w:sz w:val="21"/>
                <w:szCs w:val="21"/>
              </w:rPr>
            </w:pPr>
            <w:r>
              <w:rPr>
                <w:rFonts w:hint="eastAsia" w:ascii="宋体" w:hAnsi="宋体" w:eastAsia="宋体" w:cs="宋体"/>
                <w:sz w:val="21"/>
                <w:szCs w:val="21"/>
              </w:rPr>
              <w:t>竣工资料的份数：</w:t>
            </w:r>
            <w:r>
              <w:rPr>
                <w:rFonts w:hint="eastAsia" w:ascii="宋体" w:hAnsi="宋体" w:eastAsia="宋体" w:cs="宋体"/>
                <w:sz w:val="21"/>
                <w:szCs w:val="21"/>
                <w:lang w:eastAsia="zh-CN"/>
              </w:rPr>
              <w:t>4</w:t>
            </w:r>
            <w:r>
              <w:rPr>
                <w:rFonts w:hint="eastAsia" w:ascii="宋体" w:hAnsi="宋体" w:eastAsia="宋体" w:cs="宋体"/>
                <w:sz w:val="21"/>
                <w:szCs w:val="21"/>
              </w:rPr>
              <w:t>份</w:t>
            </w:r>
          </w:p>
        </w:tc>
      </w:tr>
      <w:tr w14:paraId="753B9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830" w:type="dxa"/>
          </w:tcPr>
          <w:p w14:paraId="46B88079">
            <w:pPr>
              <w:ind w:firstLine="422"/>
              <w:rPr>
                <w:sz w:val="21"/>
                <w:szCs w:val="21"/>
              </w:rPr>
            </w:pPr>
          </w:p>
          <w:p w14:paraId="69FE8F93">
            <w:pPr>
              <w:pStyle w:val="41"/>
              <w:spacing w:before="90"/>
              <w:ind w:left="322"/>
              <w:rPr>
                <w:rFonts w:ascii="宋体" w:hAnsi="宋体" w:eastAsia="宋体" w:cs="宋体"/>
                <w:sz w:val="21"/>
                <w:szCs w:val="21"/>
              </w:rPr>
            </w:pPr>
            <w:r>
              <w:rPr>
                <w:rFonts w:hint="eastAsia" w:ascii="宋体" w:hAnsi="宋体" w:eastAsia="宋体" w:cs="宋体"/>
                <w:sz w:val="21"/>
                <w:szCs w:val="21"/>
              </w:rPr>
              <w:t>24</w:t>
            </w:r>
          </w:p>
        </w:tc>
        <w:tc>
          <w:tcPr>
            <w:tcW w:w="1261" w:type="dxa"/>
          </w:tcPr>
          <w:p w14:paraId="70338A55">
            <w:pPr>
              <w:ind w:firstLine="422"/>
              <w:rPr>
                <w:sz w:val="21"/>
                <w:szCs w:val="21"/>
              </w:rPr>
            </w:pPr>
          </w:p>
          <w:p w14:paraId="21698AE8">
            <w:pPr>
              <w:pStyle w:val="41"/>
              <w:spacing w:before="91"/>
              <w:ind w:left="336"/>
              <w:rPr>
                <w:rFonts w:ascii="宋体" w:hAnsi="宋体" w:eastAsia="宋体" w:cs="宋体"/>
                <w:sz w:val="21"/>
                <w:szCs w:val="21"/>
              </w:rPr>
            </w:pPr>
            <w:r>
              <w:rPr>
                <w:rFonts w:hint="eastAsia" w:ascii="宋体" w:hAnsi="宋体" w:eastAsia="宋体" w:cs="宋体"/>
                <w:sz w:val="21"/>
                <w:szCs w:val="21"/>
              </w:rPr>
              <w:t>18.5.1</w:t>
            </w:r>
          </w:p>
        </w:tc>
        <w:tc>
          <w:tcPr>
            <w:tcW w:w="7215" w:type="dxa"/>
            <w:gridSpan w:val="2"/>
          </w:tcPr>
          <w:p w14:paraId="0E265929">
            <w:pPr>
              <w:pStyle w:val="41"/>
              <w:spacing w:before="215"/>
              <w:ind w:left="505"/>
              <w:rPr>
                <w:rFonts w:ascii="宋体" w:hAnsi="宋体" w:eastAsia="宋体" w:cs="宋体"/>
                <w:sz w:val="21"/>
                <w:szCs w:val="21"/>
                <w:lang w:eastAsia="zh-CN"/>
              </w:rPr>
            </w:pPr>
            <w:r>
              <w:rPr>
                <w:rFonts w:hint="eastAsia" w:ascii="宋体" w:hAnsi="宋体" w:eastAsia="宋体" w:cs="宋体"/>
                <w:sz w:val="21"/>
                <w:szCs w:val="21"/>
                <w:lang w:eastAsia="zh-CN"/>
              </w:rPr>
              <w:t>单位工程或工程设备是否需投入施工期运行：是</w:t>
            </w:r>
          </w:p>
          <w:p w14:paraId="1F9EA938">
            <w:pPr>
              <w:pStyle w:val="41"/>
              <w:ind w:left="505"/>
              <w:rPr>
                <w:rFonts w:ascii="宋体" w:hAnsi="宋体" w:eastAsia="宋体" w:cs="宋体"/>
                <w:sz w:val="21"/>
                <w:szCs w:val="21"/>
                <w:lang w:eastAsia="zh-CN"/>
              </w:rPr>
            </w:pPr>
            <w:r>
              <w:rPr>
                <w:rFonts w:hint="eastAsia" w:ascii="宋体" w:hAnsi="宋体" w:eastAsia="宋体" w:cs="宋体"/>
                <w:sz w:val="21"/>
                <w:szCs w:val="21"/>
                <w:lang w:eastAsia="zh-CN"/>
              </w:rPr>
              <w:t>本项目属于路面大中修工程，需要在施工期间维持交通畅通。</w:t>
            </w:r>
          </w:p>
        </w:tc>
      </w:tr>
      <w:tr w14:paraId="5D7AE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0A999D85">
            <w:pPr>
              <w:pStyle w:val="41"/>
              <w:spacing w:before="200"/>
              <w:ind w:left="322"/>
              <w:rPr>
                <w:rFonts w:ascii="宋体" w:hAnsi="宋体" w:eastAsia="宋体" w:cs="宋体"/>
                <w:sz w:val="21"/>
                <w:szCs w:val="21"/>
              </w:rPr>
            </w:pPr>
            <w:r>
              <w:rPr>
                <w:rFonts w:hint="eastAsia" w:ascii="宋体" w:hAnsi="宋体" w:eastAsia="宋体" w:cs="宋体"/>
                <w:sz w:val="21"/>
                <w:szCs w:val="21"/>
              </w:rPr>
              <w:t>25</w:t>
            </w:r>
          </w:p>
        </w:tc>
        <w:tc>
          <w:tcPr>
            <w:tcW w:w="1261" w:type="dxa"/>
          </w:tcPr>
          <w:p w14:paraId="44A229B6">
            <w:pPr>
              <w:pStyle w:val="41"/>
              <w:spacing w:before="199"/>
              <w:ind w:left="336"/>
              <w:rPr>
                <w:rFonts w:ascii="宋体" w:hAnsi="宋体" w:eastAsia="宋体" w:cs="宋体"/>
                <w:sz w:val="21"/>
                <w:szCs w:val="21"/>
              </w:rPr>
            </w:pPr>
            <w:r>
              <w:rPr>
                <w:rFonts w:hint="eastAsia" w:ascii="宋体" w:hAnsi="宋体" w:eastAsia="宋体" w:cs="宋体"/>
                <w:sz w:val="21"/>
                <w:szCs w:val="21"/>
              </w:rPr>
              <w:t>18.6.1</w:t>
            </w:r>
          </w:p>
        </w:tc>
        <w:tc>
          <w:tcPr>
            <w:tcW w:w="7215" w:type="dxa"/>
            <w:gridSpan w:val="2"/>
          </w:tcPr>
          <w:p w14:paraId="7F75C29B">
            <w:pPr>
              <w:pStyle w:val="41"/>
              <w:spacing w:before="167"/>
              <w:ind w:left="505"/>
              <w:rPr>
                <w:rFonts w:ascii="宋体" w:hAnsi="宋体" w:eastAsia="宋体" w:cs="宋体"/>
                <w:sz w:val="21"/>
                <w:szCs w:val="21"/>
                <w:lang w:eastAsia="zh-CN"/>
              </w:rPr>
            </w:pPr>
            <w:r>
              <w:rPr>
                <w:rFonts w:hint="eastAsia" w:ascii="宋体" w:hAnsi="宋体" w:eastAsia="宋体" w:cs="宋体"/>
                <w:sz w:val="21"/>
                <w:szCs w:val="21"/>
                <w:lang w:eastAsia="zh-CN"/>
              </w:rPr>
              <w:t>本工程及工程设备是否进行试运行：否</w:t>
            </w:r>
          </w:p>
        </w:tc>
      </w:tr>
      <w:tr w14:paraId="4EE72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73CA9447">
            <w:pPr>
              <w:pStyle w:val="41"/>
              <w:spacing w:before="200"/>
              <w:ind w:left="322"/>
              <w:rPr>
                <w:rFonts w:ascii="宋体" w:hAnsi="宋体" w:eastAsia="宋体" w:cs="宋体"/>
                <w:sz w:val="21"/>
                <w:szCs w:val="21"/>
              </w:rPr>
            </w:pPr>
            <w:r>
              <w:rPr>
                <w:rFonts w:hint="eastAsia" w:ascii="宋体" w:hAnsi="宋体" w:eastAsia="宋体" w:cs="宋体"/>
                <w:sz w:val="21"/>
                <w:szCs w:val="21"/>
              </w:rPr>
              <w:t>26</w:t>
            </w:r>
          </w:p>
        </w:tc>
        <w:tc>
          <w:tcPr>
            <w:tcW w:w="1261" w:type="dxa"/>
          </w:tcPr>
          <w:p w14:paraId="1B2875EC">
            <w:pPr>
              <w:pStyle w:val="41"/>
              <w:spacing w:before="166"/>
              <w:ind w:left="177"/>
              <w:rPr>
                <w:rFonts w:ascii="宋体" w:hAnsi="宋体" w:eastAsia="宋体" w:cs="宋体"/>
                <w:sz w:val="21"/>
                <w:szCs w:val="21"/>
              </w:rPr>
            </w:pPr>
            <w:r>
              <w:rPr>
                <w:rFonts w:hint="eastAsia" w:ascii="宋体" w:hAnsi="宋体" w:eastAsia="宋体" w:cs="宋体"/>
                <w:sz w:val="21"/>
                <w:szCs w:val="21"/>
              </w:rPr>
              <w:t>19.7（1）</w:t>
            </w:r>
          </w:p>
        </w:tc>
        <w:tc>
          <w:tcPr>
            <w:tcW w:w="7195" w:type="dxa"/>
          </w:tcPr>
          <w:p w14:paraId="15CE31CE">
            <w:pPr>
              <w:pStyle w:val="41"/>
              <w:spacing w:before="167"/>
              <w:ind w:left="505"/>
              <w:rPr>
                <w:rFonts w:ascii="宋体" w:hAnsi="宋体" w:eastAsia="宋体" w:cs="宋体"/>
                <w:sz w:val="21"/>
                <w:szCs w:val="21"/>
                <w:lang w:eastAsia="zh-CN"/>
              </w:rPr>
            </w:pPr>
            <w:r>
              <w:rPr>
                <w:rFonts w:hint="eastAsia" w:ascii="宋体" w:hAnsi="宋体" w:eastAsia="宋体" w:cs="宋体"/>
                <w:sz w:val="21"/>
                <w:szCs w:val="21"/>
                <w:lang w:eastAsia="zh-CN"/>
              </w:rPr>
              <w:t>保修期：自实际交工日期起计算5年</w:t>
            </w:r>
          </w:p>
        </w:tc>
        <w:tc>
          <w:tcPr>
            <w:tcW w:w="20" w:type="dxa"/>
            <w:tcBorders>
              <w:top w:val="single" w:color="FFFFFF" w:sz="2" w:space="0"/>
              <w:bottom w:val="nil"/>
              <w:right w:val="nil"/>
            </w:tcBorders>
          </w:tcPr>
          <w:p w14:paraId="49A1E281">
            <w:pPr>
              <w:ind w:firstLine="422"/>
              <w:rPr>
                <w:sz w:val="21"/>
                <w:szCs w:val="21"/>
              </w:rPr>
            </w:pPr>
          </w:p>
        </w:tc>
      </w:tr>
      <w:tr w14:paraId="5AC97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2C2D7E47">
            <w:pPr>
              <w:pStyle w:val="41"/>
              <w:spacing w:before="205"/>
              <w:ind w:left="322"/>
              <w:rPr>
                <w:rFonts w:ascii="宋体" w:hAnsi="宋体" w:eastAsia="宋体" w:cs="宋体"/>
                <w:sz w:val="21"/>
                <w:szCs w:val="21"/>
              </w:rPr>
            </w:pPr>
            <w:r>
              <w:rPr>
                <w:rFonts w:hint="eastAsia" w:ascii="宋体" w:hAnsi="宋体" w:eastAsia="宋体" w:cs="宋体"/>
                <w:sz w:val="21"/>
                <w:szCs w:val="21"/>
              </w:rPr>
              <w:t>27</w:t>
            </w:r>
          </w:p>
        </w:tc>
        <w:tc>
          <w:tcPr>
            <w:tcW w:w="1261" w:type="dxa"/>
          </w:tcPr>
          <w:p w14:paraId="056ECBA3">
            <w:pPr>
              <w:pStyle w:val="41"/>
              <w:spacing w:before="205"/>
              <w:ind w:left="428"/>
              <w:rPr>
                <w:rFonts w:ascii="宋体" w:hAnsi="宋体" w:eastAsia="宋体" w:cs="宋体"/>
                <w:sz w:val="21"/>
                <w:szCs w:val="21"/>
              </w:rPr>
            </w:pPr>
            <w:r>
              <w:rPr>
                <w:rFonts w:hint="eastAsia" w:ascii="宋体" w:hAnsi="宋体" w:eastAsia="宋体" w:cs="宋体"/>
                <w:sz w:val="21"/>
                <w:szCs w:val="21"/>
              </w:rPr>
              <w:t>20.1</w:t>
            </w:r>
          </w:p>
        </w:tc>
        <w:tc>
          <w:tcPr>
            <w:tcW w:w="7195" w:type="dxa"/>
          </w:tcPr>
          <w:p w14:paraId="47FD4483">
            <w:pPr>
              <w:pStyle w:val="41"/>
              <w:spacing w:before="173"/>
              <w:ind w:left="505"/>
              <w:rPr>
                <w:rFonts w:ascii="宋体" w:hAnsi="宋体" w:eastAsia="宋体" w:cs="宋体"/>
                <w:sz w:val="21"/>
                <w:szCs w:val="21"/>
                <w:lang w:eastAsia="zh-CN"/>
              </w:rPr>
            </w:pPr>
            <w:r>
              <w:rPr>
                <w:rFonts w:hint="eastAsia" w:ascii="宋体" w:hAnsi="宋体" w:eastAsia="宋体" w:cs="宋体"/>
                <w:sz w:val="21"/>
                <w:szCs w:val="21"/>
                <w:lang w:eastAsia="zh-CN"/>
              </w:rPr>
              <w:t>本项目取消建筑工程一切险</w:t>
            </w:r>
          </w:p>
        </w:tc>
        <w:tc>
          <w:tcPr>
            <w:tcW w:w="20" w:type="dxa"/>
            <w:tcBorders>
              <w:top w:val="nil"/>
              <w:bottom w:val="nil"/>
              <w:right w:val="nil"/>
            </w:tcBorders>
          </w:tcPr>
          <w:p w14:paraId="25D128DD">
            <w:pPr>
              <w:ind w:firstLine="422"/>
              <w:rPr>
                <w:sz w:val="21"/>
                <w:szCs w:val="21"/>
              </w:rPr>
            </w:pPr>
          </w:p>
        </w:tc>
      </w:tr>
      <w:tr w14:paraId="7DD0A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5" w:hRule="atLeast"/>
        </w:trPr>
        <w:tc>
          <w:tcPr>
            <w:tcW w:w="830" w:type="dxa"/>
          </w:tcPr>
          <w:p w14:paraId="556E8294">
            <w:pPr>
              <w:ind w:firstLine="422"/>
              <w:rPr>
                <w:sz w:val="21"/>
                <w:szCs w:val="21"/>
              </w:rPr>
            </w:pPr>
          </w:p>
          <w:p w14:paraId="5D771DEE">
            <w:pPr>
              <w:ind w:firstLine="422"/>
              <w:rPr>
                <w:sz w:val="21"/>
                <w:szCs w:val="21"/>
              </w:rPr>
            </w:pPr>
          </w:p>
          <w:p w14:paraId="36F4CEF7">
            <w:pPr>
              <w:pStyle w:val="41"/>
              <w:spacing w:before="95"/>
              <w:ind w:left="318"/>
              <w:rPr>
                <w:rFonts w:ascii="宋体" w:hAnsi="宋体" w:eastAsia="宋体" w:cs="宋体"/>
                <w:sz w:val="21"/>
                <w:szCs w:val="21"/>
              </w:rPr>
            </w:pPr>
            <w:r>
              <w:rPr>
                <w:rFonts w:hint="eastAsia" w:ascii="宋体" w:hAnsi="宋体" w:eastAsia="宋体" w:cs="宋体"/>
                <w:sz w:val="21"/>
                <w:szCs w:val="21"/>
              </w:rPr>
              <w:t>28</w:t>
            </w:r>
          </w:p>
        </w:tc>
        <w:tc>
          <w:tcPr>
            <w:tcW w:w="1261" w:type="dxa"/>
          </w:tcPr>
          <w:p w14:paraId="2D7E6B5C">
            <w:pPr>
              <w:ind w:firstLine="422"/>
              <w:rPr>
                <w:sz w:val="21"/>
                <w:szCs w:val="21"/>
              </w:rPr>
            </w:pPr>
          </w:p>
          <w:p w14:paraId="1C8E28AC">
            <w:pPr>
              <w:ind w:firstLine="422"/>
              <w:rPr>
                <w:sz w:val="21"/>
                <w:szCs w:val="21"/>
              </w:rPr>
            </w:pPr>
          </w:p>
          <w:p w14:paraId="3ABAD2DF">
            <w:pPr>
              <w:pStyle w:val="41"/>
              <w:spacing w:before="94"/>
              <w:ind w:left="414"/>
              <w:rPr>
                <w:rFonts w:ascii="宋体" w:hAnsi="宋体" w:eastAsia="宋体" w:cs="宋体"/>
                <w:sz w:val="21"/>
                <w:szCs w:val="21"/>
              </w:rPr>
            </w:pPr>
            <w:r>
              <w:rPr>
                <w:rFonts w:hint="eastAsia" w:ascii="宋体" w:hAnsi="宋体" w:eastAsia="宋体" w:cs="宋体"/>
                <w:sz w:val="21"/>
                <w:szCs w:val="21"/>
              </w:rPr>
              <w:t>20.7</w:t>
            </w:r>
          </w:p>
        </w:tc>
        <w:tc>
          <w:tcPr>
            <w:tcW w:w="7195" w:type="dxa"/>
          </w:tcPr>
          <w:p w14:paraId="682EBDCA">
            <w:pPr>
              <w:pStyle w:val="41"/>
              <w:spacing w:before="95"/>
              <w:ind w:left="114" w:right="151" w:firstLine="422"/>
              <w:jc w:val="both"/>
              <w:rPr>
                <w:rFonts w:ascii="宋体" w:hAnsi="宋体" w:eastAsia="宋体" w:cs="宋体"/>
                <w:sz w:val="21"/>
                <w:szCs w:val="21"/>
                <w:lang w:eastAsia="zh-CN"/>
              </w:rPr>
            </w:pPr>
            <w:r>
              <w:rPr>
                <w:rFonts w:hint="eastAsia" w:ascii="宋体" w:hAnsi="宋体" w:eastAsia="宋体" w:cs="宋体"/>
                <w:sz w:val="21"/>
                <w:szCs w:val="21"/>
                <w:lang w:eastAsia="zh-CN"/>
              </w:rPr>
              <w:t>承包人应根据《广西壮族自治区交通运输厅关于推进实施行业工程建设领域安全生产责任保险工作的通知》（桂交安监函〔2021〕89号）要求购买安全生产责任保险。</w:t>
            </w:r>
          </w:p>
        </w:tc>
        <w:tc>
          <w:tcPr>
            <w:tcW w:w="20" w:type="dxa"/>
            <w:tcBorders>
              <w:top w:val="nil"/>
              <w:bottom w:val="nil"/>
              <w:right w:val="nil"/>
            </w:tcBorders>
          </w:tcPr>
          <w:p w14:paraId="1D26137D">
            <w:pPr>
              <w:ind w:firstLine="422"/>
              <w:rPr>
                <w:sz w:val="21"/>
                <w:szCs w:val="21"/>
              </w:rPr>
            </w:pPr>
          </w:p>
        </w:tc>
      </w:tr>
      <w:tr w14:paraId="12D38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830" w:type="dxa"/>
          </w:tcPr>
          <w:p w14:paraId="13D37923">
            <w:pPr>
              <w:pStyle w:val="41"/>
              <w:spacing w:before="312"/>
              <w:ind w:left="322"/>
              <w:rPr>
                <w:rFonts w:ascii="宋体" w:hAnsi="宋体" w:eastAsia="宋体" w:cs="宋体"/>
                <w:sz w:val="21"/>
                <w:szCs w:val="21"/>
              </w:rPr>
            </w:pPr>
            <w:r>
              <w:rPr>
                <w:rFonts w:hint="eastAsia" w:ascii="宋体" w:hAnsi="宋体" w:eastAsia="宋体" w:cs="宋体"/>
                <w:sz w:val="21"/>
                <w:szCs w:val="21"/>
              </w:rPr>
              <w:t>29</w:t>
            </w:r>
          </w:p>
        </w:tc>
        <w:tc>
          <w:tcPr>
            <w:tcW w:w="1261" w:type="dxa"/>
          </w:tcPr>
          <w:p w14:paraId="4DED01E2">
            <w:pPr>
              <w:pStyle w:val="41"/>
              <w:spacing w:before="312"/>
              <w:ind w:left="428"/>
              <w:rPr>
                <w:rFonts w:ascii="宋体" w:hAnsi="宋体" w:eastAsia="宋体" w:cs="宋体"/>
                <w:sz w:val="21"/>
                <w:szCs w:val="21"/>
              </w:rPr>
            </w:pPr>
            <w:r>
              <w:rPr>
                <w:rFonts w:hint="eastAsia" w:ascii="宋体" w:hAnsi="宋体" w:eastAsia="宋体" w:cs="宋体"/>
                <w:sz w:val="21"/>
                <w:szCs w:val="21"/>
              </w:rPr>
              <w:t>24.1</w:t>
            </w:r>
          </w:p>
        </w:tc>
        <w:tc>
          <w:tcPr>
            <w:tcW w:w="7195" w:type="dxa"/>
          </w:tcPr>
          <w:p w14:paraId="21CB9991">
            <w:pPr>
              <w:pStyle w:val="41"/>
              <w:spacing w:before="279"/>
              <w:ind w:left="542"/>
              <w:rPr>
                <w:rFonts w:ascii="宋体" w:hAnsi="宋体" w:eastAsia="宋体" w:cs="宋体"/>
                <w:sz w:val="21"/>
                <w:szCs w:val="21"/>
                <w:lang w:eastAsia="zh-CN"/>
              </w:rPr>
            </w:pPr>
            <w:r>
              <w:rPr>
                <w:rFonts w:hint="eastAsia" w:ascii="宋体" w:hAnsi="宋体" w:eastAsia="宋体" w:cs="宋体"/>
                <w:sz w:val="21"/>
                <w:szCs w:val="21"/>
                <w:lang w:eastAsia="zh-CN"/>
              </w:rPr>
              <w:t>争议的最终解决方式：</w:t>
            </w:r>
            <w:r>
              <w:rPr>
                <w:rFonts w:hint="eastAsia" w:ascii="宋体" w:hAnsi="宋体" w:eastAsia="宋体" w:cs="宋体"/>
                <w:sz w:val="21"/>
                <w:szCs w:val="21"/>
                <w:u w:val="single"/>
                <w:lang w:eastAsia="zh-CN"/>
              </w:rPr>
              <w:t>诉讼</w:t>
            </w:r>
          </w:p>
        </w:tc>
        <w:tc>
          <w:tcPr>
            <w:tcW w:w="20" w:type="dxa"/>
            <w:tcBorders>
              <w:top w:val="nil"/>
              <w:bottom w:val="nil"/>
              <w:right w:val="nil"/>
            </w:tcBorders>
          </w:tcPr>
          <w:p w14:paraId="3AF4AD69">
            <w:pPr>
              <w:ind w:firstLine="422"/>
              <w:rPr>
                <w:sz w:val="21"/>
                <w:szCs w:val="21"/>
              </w:rPr>
            </w:pPr>
          </w:p>
        </w:tc>
      </w:tr>
    </w:tbl>
    <w:p w14:paraId="4BFEBFD2">
      <w:pPr>
        <w:pStyle w:val="12"/>
        <w:ind w:firstLine="402"/>
        <w:rPr>
          <w:sz w:val="20"/>
        </w:rPr>
      </w:pPr>
    </w:p>
    <w:p w14:paraId="17F60915">
      <w:pPr>
        <w:pStyle w:val="12"/>
        <w:ind w:firstLine="402"/>
        <w:rPr>
          <w:sz w:val="20"/>
        </w:rPr>
      </w:pPr>
    </w:p>
    <w:p w14:paraId="35655E46">
      <w:pPr>
        <w:pStyle w:val="12"/>
        <w:ind w:firstLine="402"/>
        <w:rPr>
          <w:sz w:val="20"/>
        </w:rPr>
      </w:pPr>
    </w:p>
    <w:p w14:paraId="1D6D196D">
      <w:pPr>
        <w:pStyle w:val="12"/>
        <w:ind w:firstLine="640"/>
        <w:rPr>
          <w:b/>
          <w:sz w:val="32"/>
        </w:rPr>
      </w:pPr>
    </w:p>
    <w:p w14:paraId="626D4385">
      <w:pPr>
        <w:pStyle w:val="12"/>
        <w:ind w:firstLine="640"/>
        <w:rPr>
          <w:b/>
          <w:sz w:val="32"/>
        </w:rPr>
      </w:pPr>
    </w:p>
    <w:p w14:paraId="74FA8843">
      <w:pPr>
        <w:pStyle w:val="12"/>
        <w:ind w:firstLine="640"/>
        <w:rPr>
          <w:b/>
          <w:sz w:val="32"/>
        </w:rPr>
      </w:pPr>
    </w:p>
    <w:p w14:paraId="23550F7A">
      <w:pPr>
        <w:spacing w:before="65" w:line="360" w:lineRule="auto"/>
        <w:jc w:val="center"/>
        <w:rPr>
          <w:sz w:val="32"/>
          <w:szCs w:val="32"/>
        </w:rPr>
      </w:pPr>
      <w:r>
        <w:rPr>
          <w:rFonts w:hint="eastAsia"/>
          <w:sz w:val="32"/>
          <w:szCs w:val="32"/>
        </w:rPr>
        <w:t>项目专用合同条款</w:t>
      </w:r>
    </w:p>
    <w:p w14:paraId="36D5D913">
      <w:pPr>
        <w:spacing w:before="194" w:line="360" w:lineRule="auto"/>
        <w:ind w:left="562" w:firstLine="482"/>
        <w:rPr>
          <w:sz w:val="24"/>
          <w:szCs w:val="24"/>
        </w:rPr>
      </w:pPr>
      <w:r>
        <w:rPr>
          <w:rFonts w:hint="eastAsia"/>
          <w:sz w:val="24"/>
          <w:szCs w:val="24"/>
        </w:rPr>
        <w:t>4.1承包人的一般义务</w:t>
      </w:r>
    </w:p>
    <w:p w14:paraId="53FCA402">
      <w:pPr>
        <w:spacing w:before="181" w:line="360" w:lineRule="auto"/>
        <w:ind w:left="480" w:firstLine="482"/>
        <w:rPr>
          <w:sz w:val="24"/>
          <w:szCs w:val="24"/>
        </w:rPr>
      </w:pPr>
      <w:r>
        <w:rPr>
          <w:rFonts w:hint="eastAsia"/>
          <w:sz w:val="24"/>
          <w:szCs w:val="24"/>
        </w:rPr>
        <w:t>4.1.10其他义务</w:t>
      </w:r>
    </w:p>
    <w:p w14:paraId="2CF90708">
      <w:pPr>
        <w:spacing w:before="61" w:line="360" w:lineRule="auto"/>
        <w:ind w:firstLine="482"/>
        <w:rPr>
          <w:sz w:val="24"/>
          <w:szCs w:val="24"/>
        </w:rPr>
      </w:pPr>
      <w:r>
        <w:rPr>
          <w:rFonts w:hint="eastAsia"/>
          <w:sz w:val="24"/>
          <w:szCs w:val="24"/>
        </w:rPr>
        <w:t>（1）修改为：承包人应承担并支付为获得合同工程所需的石料、砂、砾石等其他当地材料所发生的料场使用费、资源费（税）及其他开支或补偿费。发包人应尽可能协助该项目部办理料场租用手续及解决使用过程中的有关问题。发包人协助办理的成功与否，不免除根据合同文件规定的承包人的一切责任。</w:t>
      </w:r>
    </w:p>
    <w:p w14:paraId="131273A5">
      <w:pPr>
        <w:spacing w:before="60" w:line="360" w:lineRule="auto"/>
        <w:ind w:left="3" w:firstLine="482"/>
        <w:rPr>
          <w:sz w:val="24"/>
          <w:szCs w:val="24"/>
        </w:rPr>
      </w:pPr>
      <w:r>
        <w:rPr>
          <w:rFonts w:hint="eastAsia"/>
          <w:sz w:val="24"/>
          <w:szCs w:val="24"/>
        </w:rPr>
        <w:t>（2）（增加）承包人还应执行广西壮族自治区公路管理局《关于印发广西壮族自治区公路管理局公路工程建设农民工管理实施细则（修订）的通知》(桂路工程发[2014]300号)要求（注：文件内容附后）。各供应商必须对农民工工资保障金的问题作出以下承诺，格式见第八章响应文件格式“农民工工资保证金承诺书”。</w:t>
      </w:r>
    </w:p>
    <w:p w14:paraId="2075B590">
      <w:pPr>
        <w:spacing w:before="60" w:line="360" w:lineRule="auto"/>
        <w:ind w:left="487" w:firstLine="482"/>
        <w:rPr>
          <w:sz w:val="24"/>
          <w:szCs w:val="24"/>
        </w:rPr>
      </w:pPr>
      <w:r>
        <w:rPr>
          <w:rFonts w:hint="eastAsia"/>
          <w:sz w:val="24"/>
          <w:szCs w:val="24"/>
        </w:rPr>
        <w:t>（3）（增加）承包人应履行的其他义务：</w:t>
      </w:r>
    </w:p>
    <w:p w14:paraId="06DD3F1D">
      <w:pPr>
        <w:spacing w:before="67" w:line="360" w:lineRule="auto"/>
        <w:ind w:left="4" w:right="105" w:firstLine="482"/>
        <w:rPr>
          <w:sz w:val="24"/>
          <w:szCs w:val="24"/>
        </w:rPr>
      </w:pPr>
      <w:r>
        <w:rPr>
          <w:rFonts w:hint="eastAsia"/>
          <w:sz w:val="24"/>
          <w:szCs w:val="24"/>
        </w:rPr>
        <w:t>a.与本工程项目相关的审计和稽查、检查、视察等活动，承包人应高度重视并有义务委派专人积极予以配合。</w:t>
      </w:r>
    </w:p>
    <w:p w14:paraId="3AFC405D">
      <w:pPr>
        <w:spacing w:before="67" w:line="360" w:lineRule="auto"/>
        <w:ind w:left="4" w:right="105" w:firstLine="482"/>
        <w:rPr>
          <w:sz w:val="24"/>
          <w:szCs w:val="24"/>
        </w:rPr>
      </w:pPr>
      <w:r>
        <w:rPr>
          <w:rFonts w:hint="eastAsia"/>
          <w:sz w:val="24"/>
          <w:szCs w:val="24"/>
        </w:rPr>
        <w:t>b.发包人有权监督检查承包人的供货合同。</w:t>
      </w:r>
    </w:p>
    <w:p w14:paraId="7444A9B9">
      <w:pPr>
        <w:spacing w:before="67" w:line="360" w:lineRule="auto"/>
        <w:ind w:left="4" w:right="105" w:firstLine="482"/>
        <w:rPr>
          <w:sz w:val="24"/>
          <w:szCs w:val="24"/>
        </w:rPr>
      </w:pPr>
      <w:r>
        <w:rPr>
          <w:rFonts w:hint="eastAsia"/>
          <w:sz w:val="24"/>
          <w:szCs w:val="24"/>
        </w:rPr>
        <w:t>c.对项目使用的原有道路的维护和管理，以确保正常通行。</w:t>
      </w:r>
    </w:p>
    <w:p w14:paraId="06F4C1F0">
      <w:pPr>
        <w:spacing w:before="67" w:line="360" w:lineRule="auto"/>
        <w:ind w:left="4" w:right="105" w:firstLine="482"/>
        <w:rPr>
          <w:sz w:val="24"/>
          <w:szCs w:val="24"/>
        </w:rPr>
      </w:pPr>
      <w:r>
        <w:rPr>
          <w:rFonts w:hint="eastAsia"/>
          <w:sz w:val="24"/>
          <w:szCs w:val="24"/>
        </w:rPr>
        <w:t>d.维护社会稳定，避免发生因承包人原因引起施工队伍或施工引起周边群众等群体上访事件。</w:t>
      </w:r>
    </w:p>
    <w:p w14:paraId="6C467D4C">
      <w:pPr>
        <w:spacing w:before="67" w:line="360" w:lineRule="auto"/>
        <w:ind w:left="4" w:right="105" w:firstLine="482"/>
        <w:rPr>
          <w:sz w:val="24"/>
          <w:szCs w:val="24"/>
        </w:rPr>
      </w:pPr>
      <w:r>
        <w:rPr>
          <w:rFonts w:hint="eastAsia"/>
          <w:sz w:val="24"/>
          <w:szCs w:val="24"/>
        </w:rPr>
        <w:t>e.承包人应自觉接受交通主管部门、质量监督单位、公路管理机构的监督，对指出的问题进行认真的整改，及时报告处理结果。</w:t>
      </w:r>
    </w:p>
    <w:p w14:paraId="3B94DD2C">
      <w:pPr>
        <w:spacing w:before="67" w:line="360" w:lineRule="auto"/>
        <w:ind w:left="4" w:right="105" w:firstLine="482"/>
        <w:rPr>
          <w:sz w:val="24"/>
          <w:szCs w:val="24"/>
        </w:rPr>
      </w:pPr>
      <w:r>
        <w:rPr>
          <w:rFonts w:hint="eastAsia"/>
          <w:sz w:val="24"/>
          <w:szCs w:val="24"/>
        </w:rPr>
        <w:t>（4）合同实施时承包人应投入足够的技术和管理人员以满足工程施工需要，发包人要求承包人应投入本合同的最低人员要求见合同附件四（含相应要求的备选人员），在不少于合同附件四要求前提下，为确保工程进度，发包人有权要求承包人增加相应技术和管理人员以满足施工需要。</w:t>
      </w:r>
    </w:p>
    <w:p w14:paraId="0788F638">
      <w:pPr>
        <w:spacing w:before="67" w:line="360" w:lineRule="auto"/>
        <w:ind w:left="4" w:right="105" w:firstLine="482"/>
        <w:rPr>
          <w:sz w:val="24"/>
          <w:szCs w:val="24"/>
        </w:rPr>
      </w:pPr>
      <w:r>
        <w:rPr>
          <w:rFonts w:hint="eastAsia"/>
          <w:sz w:val="24"/>
          <w:szCs w:val="24"/>
        </w:rPr>
        <w:t>4.1.11(增加)承包人响应“美丽广西·清洁乡村”行动</w:t>
      </w:r>
    </w:p>
    <w:p w14:paraId="5D1A86B2">
      <w:pPr>
        <w:spacing w:before="67" w:line="360" w:lineRule="auto"/>
        <w:ind w:left="4" w:right="105" w:firstLine="482"/>
        <w:rPr>
          <w:sz w:val="24"/>
          <w:szCs w:val="24"/>
        </w:rPr>
      </w:pPr>
      <w:r>
        <w:rPr>
          <w:rFonts w:hint="eastAsia"/>
          <w:sz w:val="24"/>
          <w:szCs w:val="24"/>
        </w:rPr>
        <w:t>1、承包人应根据《中共广西壮族自治区交通厅党组关于印发自治区交通运输系统“美丽广西·清洁乡村”交通行动实施方案的通知》（桂交党宣[2013]15号）精神，响应号召，以清洁公路、清洁水路、清洁运输为目标，大力实施交通运输尤其是农村交通运输环境的净化、绿化、美化，为群众创造畅通、高效、平安、绿色的交通运输环境及服务，以实现“生态环境美、文明风尚美、平安和谐美”的“三美交通”。</w:t>
      </w:r>
    </w:p>
    <w:p w14:paraId="77DB0511">
      <w:pPr>
        <w:spacing w:before="67" w:line="360" w:lineRule="auto"/>
        <w:ind w:left="4" w:right="105" w:firstLine="482"/>
        <w:rPr>
          <w:sz w:val="24"/>
          <w:szCs w:val="24"/>
        </w:rPr>
      </w:pPr>
      <w:r>
        <w:rPr>
          <w:rFonts w:hint="eastAsia"/>
          <w:sz w:val="24"/>
          <w:szCs w:val="24"/>
        </w:rPr>
        <w:t>2、具体要求：在建公路项目要文明施工，强化施工路段的环境整治，施工车辆要避免扬尘洒漏，避免对原有公路的破坏，做好水土保持、环境保护工作；旧路改建项目要保证施工期间维持良好通车秩序；承包人应高度重视，有义务积极配合并委派专人参加“美丽广西·清洁乡村”的相关活动。</w:t>
      </w:r>
    </w:p>
    <w:p w14:paraId="2F781567">
      <w:pPr>
        <w:spacing w:before="62" w:line="360" w:lineRule="auto"/>
        <w:ind w:right="45" w:firstLine="482"/>
        <w:rPr>
          <w:color w:val="auto"/>
          <w:sz w:val="24"/>
          <w:szCs w:val="24"/>
          <w:highlight w:val="none"/>
        </w:rPr>
      </w:pPr>
      <w:r>
        <w:rPr>
          <w:rFonts w:hint="eastAsia"/>
          <w:color w:val="auto"/>
          <w:sz w:val="24"/>
          <w:szCs w:val="24"/>
          <w:highlight w:val="none"/>
        </w:rPr>
        <w:t>4.1.12（增加）</w:t>
      </w:r>
    </w:p>
    <w:p w14:paraId="0DD7F332">
      <w:pPr>
        <w:spacing w:before="62" w:line="360" w:lineRule="auto"/>
        <w:ind w:right="45" w:firstLine="482"/>
        <w:rPr>
          <w:color w:val="FF0000"/>
          <w:sz w:val="24"/>
          <w:szCs w:val="24"/>
          <w:highlight w:val="none"/>
        </w:rPr>
      </w:pPr>
      <w:r>
        <w:rPr>
          <w:rFonts w:hint="eastAsia"/>
          <w:color w:val="auto"/>
          <w:sz w:val="24"/>
          <w:szCs w:val="24"/>
          <w:highlight w:val="none"/>
        </w:rPr>
        <w:t>1、发包人有权对承包人已标价工程量清单中的项目单价进行审查，如存在严重不平衡报价、损害发包人利益，则认为该项不平衡报价违反诚实信用原则，有损社会公共利益、扰乱社会经济秩序，认定该项不平衡报价无效；发包人有权在保持投标报价总价不变的情况下进行调价或要求承包人重新组价。</w:t>
      </w:r>
    </w:p>
    <w:p w14:paraId="0D7F5706">
      <w:pPr>
        <w:spacing w:before="181" w:line="360" w:lineRule="auto"/>
        <w:ind w:left="562" w:firstLine="482"/>
        <w:rPr>
          <w:sz w:val="24"/>
          <w:szCs w:val="24"/>
        </w:rPr>
      </w:pPr>
      <w:r>
        <w:rPr>
          <w:rFonts w:hint="eastAsia"/>
          <w:sz w:val="24"/>
          <w:szCs w:val="24"/>
        </w:rPr>
        <w:t>4.6承包人人员的管理</w:t>
      </w:r>
    </w:p>
    <w:p w14:paraId="21099537">
      <w:pPr>
        <w:spacing w:before="67" w:line="360" w:lineRule="auto"/>
        <w:ind w:left="4" w:right="105" w:firstLine="482"/>
        <w:rPr>
          <w:sz w:val="24"/>
          <w:szCs w:val="24"/>
        </w:rPr>
      </w:pPr>
      <w:r>
        <w:rPr>
          <w:rFonts w:hint="eastAsia"/>
          <w:sz w:val="24"/>
          <w:szCs w:val="24"/>
        </w:rPr>
        <w:t>（增加）4.6.5项目经理、总工及主要管理人员每月驻工地现场时间不应少于22天，项目经理、总工及主要管理人员，技术骨干离开工地必须向招标人书面请假，并经项目建设管理机构相关负责人书面同意方能离开，否则视为违约并按22.2.3款执行。</w:t>
      </w:r>
    </w:p>
    <w:p w14:paraId="1939251C">
      <w:pPr>
        <w:spacing w:before="181" w:line="360" w:lineRule="auto"/>
        <w:ind w:left="562" w:firstLine="482"/>
        <w:rPr>
          <w:sz w:val="24"/>
          <w:szCs w:val="24"/>
        </w:rPr>
      </w:pPr>
      <w:r>
        <w:rPr>
          <w:rFonts w:hint="eastAsia"/>
          <w:sz w:val="24"/>
          <w:szCs w:val="24"/>
        </w:rPr>
        <w:t>4.9工程价款应专款专用</w:t>
      </w:r>
    </w:p>
    <w:p w14:paraId="161C35D7">
      <w:pPr>
        <w:spacing w:before="67" w:line="360" w:lineRule="auto"/>
        <w:ind w:left="4" w:right="105" w:firstLine="482"/>
        <w:rPr>
          <w:sz w:val="24"/>
          <w:szCs w:val="24"/>
        </w:rPr>
      </w:pPr>
      <w:r>
        <w:rPr>
          <w:rFonts w:hint="eastAsia"/>
          <w:sz w:val="24"/>
          <w:szCs w:val="24"/>
        </w:rPr>
        <w:t>在原条款末增加：项目法人向承包人支付的工程进度款等为本工程的专款专用资金，承包人违反下述规定的，项目法人将中止其任何款项的支付。</w:t>
      </w:r>
    </w:p>
    <w:p w14:paraId="550963CE">
      <w:pPr>
        <w:spacing w:before="67" w:line="360" w:lineRule="auto"/>
        <w:ind w:left="4" w:right="105" w:firstLine="482"/>
        <w:rPr>
          <w:sz w:val="24"/>
          <w:szCs w:val="24"/>
        </w:rPr>
      </w:pPr>
      <w:r>
        <w:rPr>
          <w:rFonts w:hint="eastAsia"/>
          <w:sz w:val="24"/>
          <w:szCs w:val="24"/>
        </w:rPr>
        <w:t>（1）凡不在项目法人指定银行开户的承包人，项目法人将不对其支付任何款项。</w:t>
      </w:r>
    </w:p>
    <w:p w14:paraId="3C29568D">
      <w:pPr>
        <w:spacing w:before="67" w:line="360" w:lineRule="auto"/>
        <w:ind w:left="4" w:right="105" w:firstLine="482"/>
        <w:rPr>
          <w:sz w:val="24"/>
          <w:szCs w:val="24"/>
        </w:rPr>
      </w:pPr>
      <w:r>
        <w:rPr>
          <w:rFonts w:hint="eastAsia"/>
          <w:sz w:val="24"/>
          <w:szCs w:val="24"/>
        </w:rPr>
        <w:t>（2）根据中国人民银行有关规定，每个承包人只能在一个银行开立一个结算账户，不允许多头开户。项目法人按合同条款规定对承包人支付的款项，只对合同规定的法人或者法人代表的授权代理人支付，不对其内部独立核算单位或经批准的分包人直接支付（合同有专项规定者除外）。</w:t>
      </w:r>
    </w:p>
    <w:p w14:paraId="15403348">
      <w:pPr>
        <w:spacing w:before="67" w:line="360" w:lineRule="auto"/>
        <w:ind w:left="4" w:right="105" w:firstLine="482"/>
        <w:rPr>
          <w:sz w:val="24"/>
          <w:szCs w:val="24"/>
        </w:rPr>
      </w:pPr>
      <w:r>
        <w:rPr>
          <w:rFonts w:hint="eastAsia"/>
          <w:sz w:val="24"/>
          <w:szCs w:val="24"/>
        </w:rPr>
        <w:t>（3）在合同执行期间，项目法人或项目法人委托的公路审计部门有权不定期检查或审计承包人项目经理部的财务收支情况，承包人必须严格财经纪律，确保项目经理部的财务收支能客观、真实的反映工程实际成本，承包人及项目经理部必须接受项目法人或项目法人委托部门的监督和检查。</w:t>
      </w:r>
    </w:p>
    <w:p w14:paraId="33287CFF">
      <w:pPr>
        <w:spacing w:before="67" w:line="360" w:lineRule="auto"/>
        <w:ind w:left="4" w:right="105" w:firstLine="482"/>
        <w:rPr>
          <w:sz w:val="24"/>
          <w:szCs w:val="24"/>
        </w:rPr>
      </w:pPr>
      <w:r>
        <w:rPr>
          <w:rFonts w:hint="eastAsia"/>
          <w:sz w:val="24"/>
          <w:szCs w:val="24"/>
        </w:rPr>
        <w:t>（4）在合同执行期间，为确保工程建设资金专款专用，承包人在收到项目法人支付的款项后，须向项目法人提供资金使用计划，详细说明资金使用流向，经项目法人批准并在项目法人的监督下使用，必须优先支付工人特别是农民工的工资，其次是材料价款以及工程建设直接的成本。</w:t>
      </w:r>
    </w:p>
    <w:p w14:paraId="350F32A5">
      <w:pPr>
        <w:spacing w:before="67" w:line="360" w:lineRule="auto"/>
        <w:ind w:left="4" w:right="105" w:firstLine="482"/>
        <w:rPr>
          <w:sz w:val="24"/>
          <w:szCs w:val="24"/>
        </w:rPr>
      </w:pPr>
      <w:r>
        <w:rPr>
          <w:rFonts w:hint="eastAsia"/>
          <w:sz w:val="24"/>
          <w:szCs w:val="24"/>
        </w:rPr>
        <w:t>（5）项目法人有权监督承包人对其雇员的工资发放，项目法人支付的计量支付款，承包人首先应支付民工工资，并做好记录备案。</w:t>
      </w:r>
    </w:p>
    <w:p w14:paraId="62814E33">
      <w:pPr>
        <w:spacing w:before="182" w:line="360" w:lineRule="auto"/>
        <w:ind w:left="561" w:firstLine="482"/>
        <w:rPr>
          <w:sz w:val="24"/>
          <w:szCs w:val="24"/>
        </w:rPr>
      </w:pPr>
      <w:r>
        <w:rPr>
          <w:rFonts w:hint="eastAsia"/>
          <w:sz w:val="24"/>
          <w:szCs w:val="24"/>
        </w:rPr>
        <w:t>4.11不利物质条件</w:t>
      </w:r>
    </w:p>
    <w:p w14:paraId="1B330224">
      <w:pPr>
        <w:spacing w:before="181" w:line="360" w:lineRule="auto"/>
        <w:ind w:left="480" w:firstLine="482"/>
        <w:rPr>
          <w:sz w:val="24"/>
          <w:szCs w:val="24"/>
        </w:rPr>
      </w:pPr>
      <w:r>
        <w:rPr>
          <w:rFonts w:hint="eastAsia"/>
          <w:sz w:val="24"/>
          <w:szCs w:val="24"/>
        </w:rPr>
        <w:t>4.11.1不利物质条件的范围：</w:t>
      </w:r>
      <w:r>
        <w:rPr>
          <w:rFonts w:hint="eastAsia"/>
          <w:sz w:val="24"/>
          <w:szCs w:val="24"/>
          <w:u w:val="single"/>
        </w:rPr>
        <w:t>/</w:t>
      </w:r>
    </w:p>
    <w:p w14:paraId="4049DF97">
      <w:pPr>
        <w:spacing w:before="67" w:line="360" w:lineRule="auto"/>
        <w:ind w:left="4" w:right="105" w:firstLine="482"/>
        <w:rPr>
          <w:sz w:val="24"/>
          <w:szCs w:val="24"/>
        </w:rPr>
      </w:pPr>
      <w:r>
        <w:rPr>
          <w:rFonts w:hint="eastAsia"/>
          <w:sz w:val="24"/>
          <w:szCs w:val="24"/>
        </w:rPr>
        <w:t>7.3场外交通</w:t>
      </w:r>
    </w:p>
    <w:p w14:paraId="639EC21F">
      <w:pPr>
        <w:spacing w:before="67" w:line="360" w:lineRule="auto"/>
        <w:ind w:left="4" w:right="105" w:firstLine="482"/>
        <w:rPr>
          <w:sz w:val="24"/>
          <w:szCs w:val="24"/>
        </w:rPr>
      </w:pPr>
      <w:r>
        <w:rPr>
          <w:rFonts w:hint="eastAsia"/>
          <w:sz w:val="24"/>
          <w:szCs w:val="24"/>
        </w:rPr>
        <w:t>（增加）7.3.3为保证道路交通安全及运输畅通，承包人应采取以下措施：</w:t>
      </w:r>
    </w:p>
    <w:p w14:paraId="3FA8A1EC">
      <w:pPr>
        <w:spacing w:before="67" w:line="360" w:lineRule="auto"/>
        <w:ind w:left="4" w:right="105" w:firstLine="482"/>
        <w:rPr>
          <w:sz w:val="24"/>
          <w:szCs w:val="24"/>
        </w:rPr>
      </w:pPr>
      <w:r>
        <w:rPr>
          <w:rFonts w:hint="eastAsia"/>
          <w:sz w:val="24"/>
          <w:szCs w:val="24"/>
        </w:rPr>
        <w:t>当施工期间，因施工原因造成原有道路暂时堵塞时，承包人必须与交通和公安部门协商，采取足够的措施引导、疏通交通。但不管何种原因，因其交通堵塞时间均不能超过30分钟。若堵塞交通超过上述规定的时间，将视为承包人违约按22.2.3款等相关条款处理，同时发包人可指令采取任何措施疏通，一切费用由承包人承担。</w:t>
      </w:r>
    </w:p>
    <w:p w14:paraId="393D7301">
      <w:pPr>
        <w:spacing w:before="67" w:line="360" w:lineRule="auto"/>
        <w:ind w:left="4" w:right="105" w:firstLine="482"/>
        <w:rPr>
          <w:sz w:val="24"/>
          <w:szCs w:val="24"/>
        </w:rPr>
      </w:pPr>
      <w:r>
        <w:rPr>
          <w:rFonts w:hint="eastAsia"/>
          <w:sz w:val="24"/>
          <w:szCs w:val="24"/>
        </w:rPr>
        <w:t>7.3.4承包人应加强文明施工，保障道路通畅的管理</w:t>
      </w:r>
    </w:p>
    <w:p w14:paraId="16F55504">
      <w:pPr>
        <w:spacing w:before="67" w:line="360" w:lineRule="auto"/>
        <w:ind w:left="4" w:right="105" w:firstLine="482"/>
        <w:rPr>
          <w:sz w:val="24"/>
          <w:szCs w:val="24"/>
        </w:rPr>
      </w:pPr>
      <w:r>
        <w:rPr>
          <w:rFonts w:hint="eastAsia"/>
          <w:sz w:val="24"/>
          <w:szCs w:val="24"/>
        </w:rPr>
        <w:t>（1）承包人在施工期内应按国家、交通主管部门与公路管理机构有关文明施工，保障畅通的规定组织施工，对出现的交通堵塞无条件地采取措施进行疏通。</w:t>
      </w:r>
    </w:p>
    <w:p w14:paraId="4DF1FEE1">
      <w:pPr>
        <w:spacing w:before="67" w:line="360" w:lineRule="auto"/>
        <w:ind w:left="4" w:right="105" w:firstLine="482"/>
        <w:rPr>
          <w:sz w:val="24"/>
          <w:szCs w:val="24"/>
        </w:rPr>
      </w:pPr>
      <w:r>
        <w:rPr>
          <w:rFonts w:hint="eastAsia"/>
          <w:sz w:val="24"/>
          <w:szCs w:val="24"/>
        </w:rPr>
        <w:t>（2）对于施工工程项目：破坏旧路必须作出交通维持与恢复路面通行条件方案并必须取得项目法人的书面批准，未经批准进行旧路开挖与填筑的，项目法人有权责令停工，并由承包人恢复原良好的通车条件，并需承担一切费用；不得在道路上堆放材料或占道施工影响交通；路基、路面施工应避免出现晴天扬尘，雨天打滑影响安全与交通和影响群众生活、生产的现象；维持交通的路基施工应保证表面平整，行车通畅。</w:t>
      </w:r>
    </w:p>
    <w:p w14:paraId="21726F9B">
      <w:pPr>
        <w:spacing w:before="67" w:line="360" w:lineRule="auto"/>
        <w:ind w:left="4" w:right="105" w:firstLine="482"/>
        <w:rPr>
          <w:sz w:val="24"/>
          <w:szCs w:val="24"/>
        </w:rPr>
      </w:pPr>
      <w:r>
        <w:rPr>
          <w:rFonts w:hint="eastAsia"/>
          <w:sz w:val="24"/>
          <w:szCs w:val="24"/>
        </w:rPr>
        <w:t>9.2承包人的施工安全责任</w:t>
      </w:r>
    </w:p>
    <w:p w14:paraId="5031534C">
      <w:pPr>
        <w:spacing w:before="67" w:line="360" w:lineRule="auto"/>
        <w:ind w:left="4" w:right="105" w:firstLine="482"/>
        <w:rPr>
          <w:sz w:val="24"/>
          <w:szCs w:val="24"/>
        </w:rPr>
      </w:pPr>
      <w:r>
        <w:rPr>
          <w:rFonts w:hint="eastAsia"/>
          <w:sz w:val="24"/>
          <w:szCs w:val="24"/>
        </w:rPr>
        <w:t>9.2.5条款末增加：如项目法人在日常检查中发现承包人用于危险路段、有安全隐患路段施工安全防护的设施和用具（含交通标志牌、安全危险告知牌、安全隐患告知牌等）不齐全或缺乏，并且承包人没有按规定及时添置安放的情况，则项目法人应按照合同有关规定指令承包人纠正和整改，承包人拒不整改或整改不彻底的，项目法人有权进行直接购置施工安全防护设施和用具（含交通标志牌、安全危险告知牌、安全隐患告知牌等）并安排专人进行设置管理等安全管理工作，所发生的费用由承包人负责，并由项目法人在承包人合同价中计量扣除。</w:t>
      </w:r>
    </w:p>
    <w:p w14:paraId="63B102CE">
      <w:pPr>
        <w:spacing w:before="67" w:line="360" w:lineRule="auto"/>
        <w:ind w:left="4" w:right="105" w:firstLine="482"/>
        <w:rPr>
          <w:sz w:val="24"/>
          <w:szCs w:val="24"/>
        </w:rPr>
      </w:pPr>
      <w:r>
        <w:rPr>
          <w:rFonts w:hint="eastAsia"/>
          <w:sz w:val="24"/>
          <w:szCs w:val="24"/>
        </w:rPr>
        <w:t>9.6运营中的公路道路施工安全（增加）</w:t>
      </w:r>
    </w:p>
    <w:p w14:paraId="15CE2BD7">
      <w:pPr>
        <w:spacing w:before="67" w:line="360" w:lineRule="auto"/>
        <w:ind w:left="4" w:right="105" w:firstLine="482"/>
        <w:rPr>
          <w:sz w:val="24"/>
          <w:szCs w:val="24"/>
        </w:rPr>
      </w:pPr>
      <w:r>
        <w:rPr>
          <w:rFonts w:hint="eastAsia"/>
          <w:sz w:val="24"/>
          <w:szCs w:val="24"/>
        </w:rPr>
        <w:t>9.6.1承包人进场施工前需到路政部门和安监部门办理上路施工许可证和安全监督等手续，签订路上施工安全协议书，并接受监督。</w:t>
      </w:r>
    </w:p>
    <w:p w14:paraId="26B935BD">
      <w:pPr>
        <w:spacing w:before="67" w:line="360" w:lineRule="auto"/>
        <w:ind w:left="4" w:right="105" w:firstLine="482"/>
        <w:rPr>
          <w:sz w:val="24"/>
          <w:szCs w:val="24"/>
        </w:rPr>
      </w:pPr>
      <w:r>
        <w:rPr>
          <w:rFonts w:hint="eastAsia"/>
          <w:sz w:val="24"/>
          <w:szCs w:val="24"/>
        </w:rPr>
        <w:t>9.6.2在运营公路上进行施工，必须严格执行国家颁布的《公路法》、《安全生产法》、《道路交通标志和标线》（GB5768）、《公路工程施工安全技术规程》（JTJ076）、《公路养护安全作业规程》（JTGH30-2015）要求等国家及交通部门颁发的有关安全生产的法律法规、标准及制度，并按照有关规定设置施工标志、标牌、水马等安全设施)，施工过程中承包人必须派专人维护各施工标志牌正常使用。路上作业施工人员应统一着桔红色反光标志服，招标文件要求的主要施工管理人员在现场时应挂戴统一制作的上岗牌做标识，每个施工点的现场应摆放由业主规定统一格式的施工公示牌。供应商报价时要充分考虑上述设施所需费用，以及施工、生活用水用电的费用，所需费用由供应商考虑在有关报价中，业主不单独进行计量支付。施工标志牌的制作应符合国家有关标准的规定，标志牌版面的反光膜应不低于国标GB5768《道路交通标志和标线》的三级标准。</w:t>
      </w:r>
    </w:p>
    <w:p w14:paraId="4158630C">
      <w:pPr>
        <w:spacing w:before="67" w:line="360" w:lineRule="auto"/>
        <w:ind w:left="4" w:right="105" w:firstLine="482"/>
        <w:rPr>
          <w:sz w:val="24"/>
          <w:szCs w:val="24"/>
        </w:rPr>
      </w:pPr>
      <w:r>
        <w:rPr>
          <w:rFonts w:hint="eastAsia"/>
          <w:sz w:val="24"/>
          <w:szCs w:val="24"/>
        </w:rPr>
        <w:t>9.6.3工程使用的水泥、碎石、砂等材料不得堆放在公路上，工棚搭设应设置在公路行车看不到的位置，如确需搭棚看守机械设备的，应按业主规定的式样搭设；机械设备摆放不得有碍路容路貌和行车安全。</w:t>
      </w:r>
    </w:p>
    <w:p w14:paraId="3878D074">
      <w:pPr>
        <w:spacing w:before="67" w:line="360" w:lineRule="auto"/>
        <w:ind w:left="4" w:right="105" w:firstLine="482"/>
        <w:rPr>
          <w:sz w:val="24"/>
          <w:szCs w:val="24"/>
        </w:rPr>
      </w:pPr>
      <w:r>
        <w:rPr>
          <w:rFonts w:hint="eastAsia"/>
          <w:sz w:val="24"/>
          <w:szCs w:val="24"/>
        </w:rPr>
        <w:t>9.6.6破除的公路废弃材料应集中废弃到弃土场。</w:t>
      </w:r>
    </w:p>
    <w:p w14:paraId="2F00B17A">
      <w:pPr>
        <w:spacing w:before="67" w:line="360" w:lineRule="auto"/>
        <w:ind w:left="4" w:right="105" w:firstLine="482"/>
        <w:rPr>
          <w:sz w:val="24"/>
          <w:szCs w:val="24"/>
        </w:rPr>
      </w:pPr>
      <w:r>
        <w:rPr>
          <w:rFonts w:hint="eastAsia"/>
          <w:sz w:val="24"/>
          <w:szCs w:val="24"/>
        </w:rPr>
        <w:t>9.6.7日常养护工程施工时，应设置相应防护措施确保公路行人及车流的安全畅通。安全生产发生的一切费用由供应商考虑在有关报价中，业主不单独进行计量支付。由于未采用防护措施或防护措施不力而造成公路下行人、车流受影响的，由承包人承担其责任。</w:t>
      </w:r>
    </w:p>
    <w:p w14:paraId="682E4F4C">
      <w:pPr>
        <w:spacing w:before="67" w:line="360" w:lineRule="auto"/>
        <w:ind w:left="4" w:right="105" w:firstLine="482"/>
        <w:rPr>
          <w:sz w:val="24"/>
          <w:szCs w:val="24"/>
        </w:rPr>
      </w:pPr>
      <w:r>
        <w:rPr>
          <w:rFonts w:hint="eastAsia"/>
          <w:sz w:val="24"/>
          <w:szCs w:val="24"/>
        </w:rPr>
        <w:t>9.6.8承包人不得在公路路面上拌和公路材料。</w:t>
      </w:r>
    </w:p>
    <w:p w14:paraId="7E08EAB0">
      <w:pPr>
        <w:spacing w:before="67" w:line="360" w:lineRule="auto"/>
        <w:ind w:left="4" w:right="105" w:firstLine="482"/>
        <w:rPr>
          <w:sz w:val="24"/>
          <w:szCs w:val="24"/>
        </w:rPr>
      </w:pPr>
      <w:r>
        <w:rPr>
          <w:rFonts w:hint="eastAsia"/>
          <w:sz w:val="24"/>
          <w:szCs w:val="24"/>
        </w:rPr>
        <w:t>9.6.9承包人须将拟施工点报发包人审批后，方可进行施工。</w:t>
      </w:r>
    </w:p>
    <w:p w14:paraId="522D76F6">
      <w:pPr>
        <w:spacing w:before="67" w:line="360" w:lineRule="auto"/>
        <w:ind w:left="4" w:right="105" w:firstLine="482"/>
        <w:rPr>
          <w:sz w:val="24"/>
          <w:szCs w:val="24"/>
        </w:rPr>
      </w:pPr>
      <w:r>
        <w:rPr>
          <w:rFonts w:hint="eastAsia"/>
          <w:sz w:val="24"/>
          <w:szCs w:val="24"/>
        </w:rPr>
        <w:t>10.1合同进度计划</w:t>
      </w:r>
    </w:p>
    <w:p w14:paraId="0509CBD2">
      <w:pPr>
        <w:spacing w:before="67" w:line="360" w:lineRule="auto"/>
        <w:ind w:left="4" w:right="105" w:firstLine="482"/>
        <w:rPr>
          <w:sz w:val="24"/>
          <w:szCs w:val="24"/>
        </w:rPr>
      </w:pPr>
      <w:r>
        <w:rPr>
          <w:rFonts w:hint="eastAsia"/>
          <w:sz w:val="24"/>
          <w:szCs w:val="24"/>
        </w:rPr>
        <w:t>承包人编制施工计划的内容：承包人应在签订合同协议书后7天内，向发包人提交2份其格式和内容符合发包人规定的工程进度计划，以及为完成该计划而建议采用的实施性的施工安排和施工方案的说明。发包人应在收到该计划后7天内审查同意或提出修改意见，否则该进度计划视为已得到批准。经发包人批准的施工进度计划称为合同进度计划，是控制合同工程进度的依据。工程进度计划应按照关键线路网络图和主要工作横道图两种形式分别绘制，并应包括每月预计完成的工作量和形象进度。</w:t>
      </w:r>
    </w:p>
    <w:p w14:paraId="3C460BEF">
      <w:pPr>
        <w:spacing w:before="67" w:line="360" w:lineRule="auto"/>
        <w:ind w:left="4" w:right="105" w:firstLine="482"/>
        <w:rPr>
          <w:sz w:val="24"/>
          <w:szCs w:val="24"/>
        </w:rPr>
      </w:pPr>
      <w:r>
        <w:rPr>
          <w:rFonts w:hint="eastAsia"/>
          <w:sz w:val="24"/>
          <w:szCs w:val="24"/>
        </w:rPr>
        <w:t>11.4异常恶劣的气候条件</w:t>
      </w:r>
    </w:p>
    <w:p w14:paraId="6D558678">
      <w:pPr>
        <w:spacing w:before="67" w:line="360" w:lineRule="auto"/>
        <w:ind w:left="4" w:right="105" w:firstLine="482"/>
        <w:rPr>
          <w:sz w:val="24"/>
          <w:szCs w:val="24"/>
        </w:rPr>
      </w:pPr>
      <w:r>
        <w:rPr>
          <w:rFonts w:hint="eastAsia"/>
          <w:sz w:val="24"/>
          <w:szCs w:val="24"/>
        </w:rPr>
        <w:t>异常恶劣的气候条件的范围：对本项目而言，指发生烈度7度（含7度）以上地震、龙卷风、施工场地受淹超过项目法人提供的设计图纸指明的设计洪水水位引起的延误的情况。</w:t>
      </w:r>
    </w:p>
    <w:p w14:paraId="09CF5866">
      <w:pPr>
        <w:spacing w:before="67" w:line="360" w:lineRule="auto"/>
        <w:ind w:left="4" w:right="105" w:firstLine="482"/>
        <w:rPr>
          <w:sz w:val="24"/>
          <w:szCs w:val="24"/>
        </w:rPr>
      </w:pPr>
      <w:r>
        <w:rPr>
          <w:rFonts w:hint="eastAsia"/>
          <w:sz w:val="24"/>
          <w:szCs w:val="24"/>
        </w:rPr>
        <w:t>增加：异常恶劣的气候条件，政府及有关部门预先有预报的，由于承包人没有应急措施或没有采取应急措施的，造成的损失和工期延误，由承包人负责。</w:t>
      </w:r>
    </w:p>
    <w:p w14:paraId="7891E701">
      <w:pPr>
        <w:spacing w:before="67" w:line="360" w:lineRule="auto"/>
        <w:ind w:left="4" w:right="105" w:firstLine="482"/>
        <w:rPr>
          <w:sz w:val="24"/>
          <w:szCs w:val="24"/>
        </w:rPr>
      </w:pPr>
      <w:r>
        <w:rPr>
          <w:rFonts w:hint="eastAsia"/>
          <w:sz w:val="24"/>
          <w:szCs w:val="24"/>
        </w:rPr>
        <w:t>（增加）11.8其它进度要求</w:t>
      </w:r>
    </w:p>
    <w:p w14:paraId="695A56A4">
      <w:pPr>
        <w:spacing w:before="67" w:line="360" w:lineRule="auto"/>
        <w:ind w:left="4" w:right="105" w:firstLine="482"/>
        <w:rPr>
          <w:sz w:val="24"/>
          <w:szCs w:val="24"/>
        </w:rPr>
      </w:pPr>
      <w:r>
        <w:rPr>
          <w:rFonts w:hint="eastAsia"/>
          <w:sz w:val="24"/>
          <w:szCs w:val="24"/>
        </w:rPr>
        <w:t>（1）承包人应加强工程进度计划管理，努力实现均衡组织施工的目标。</w:t>
      </w:r>
    </w:p>
    <w:p w14:paraId="3A7B529A">
      <w:pPr>
        <w:spacing w:before="67" w:line="360" w:lineRule="auto"/>
        <w:ind w:left="4" w:right="105" w:firstLine="482"/>
        <w:rPr>
          <w:sz w:val="24"/>
          <w:szCs w:val="24"/>
        </w:rPr>
      </w:pPr>
      <w:r>
        <w:rPr>
          <w:rFonts w:hint="eastAsia"/>
          <w:sz w:val="24"/>
          <w:szCs w:val="24"/>
        </w:rPr>
        <w:t>a.养护工作影响原有道路交通的，应根据施工必须保证交通通畅的特点，科学合理安排施工时间，采取妥当的施工方法，避免在雨季破坏旧路利用新路基维持交通，对破坏旧路的路段应及时安排路面施工，确保不影响道路交通畅通。</w:t>
      </w:r>
    </w:p>
    <w:p w14:paraId="12002AEF">
      <w:pPr>
        <w:spacing w:before="67" w:line="360" w:lineRule="auto"/>
        <w:ind w:left="4" w:right="105" w:firstLine="482"/>
        <w:rPr>
          <w:sz w:val="24"/>
          <w:szCs w:val="24"/>
        </w:rPr>
      </w:pPr>
      <w:r>
        <w:rPr>
          <w:rFonts w:hint="eastAsia"/>
          <w:sz w:val="24"/>
          <w:szCs w:val="24"/>
        </w:rPr>
        <w:t>b.路面碎石材料的采备应与路基施工进度同步，以保证路面施工进度。</w:t>
      </w:r>
    </w:p>
    <w:p w14:paraId="153812F7">
      <w:pPr>
        <w:spacing w:before="67" w:line="360" w:lineRule="auto"/>
        <w:ind w:left="4" w:right="105" w:firstLine="482"/>
        <w:rPr>
          <w:sz w:val="24"/>
          <w:szCs w:val="24"/>
        </w:rPr>
      </w:pPr>
      <w:r>
        <w:rPr>
          <w:rFonts w:hint="eastAsia"/>
          <w:sz w:val="24"/>
          <w:szCs w:val="24"/>
        </w:rPr>
        <w:t>c.桥梁、主要涵洞、高大支挡结构、旧路改建（破坏旧路路面）的路面等关键工程及分项应有独立详细的施工组织设计，并采取措施确保落实。</w:t>
      </w:r>
    </w:p>
    <w:p w14:paraId="44A62457">
      <w:pPr>
        <w:spacing w:before="67" w:line="360" w:lineRule="auto"/>
        <w:ind w:left="4" w:right="105" w:firstLine="482"/>
        <w:rPr>
          <w:sz w:val="24"/>
          <w:szCs w:val="24"/>
        </w:rPr>
      </w:pPr>
      <w:r>
        <w:rPr>
          <w:rFonts w:hint="eastAsia"/>
          <w:sz w:val="24"/>
          <w:szCs w:val="24"/>
        </w:rPr>
        <w:t>12．暂停施工</w:t>
      </w:r>
    </w:p>
    <w:p w14:paraId="23A46A58">
      <w:pPr>
        <w:spacing w:before="67" w:line="360" w:lineRule="auto"/>
        <w:ind w:left="4" w:right="105" w:firstLine="482"/>
        <w:rPr>
          <w:sz w:val="24"/>
          <w:szCs w:val="24"/>
        </w:rPr>
      </w:pPr>
      <w:r>
        <w:rPr>
          <w:rFonts w:hint="eastAsia"/>
          <w:sz w:val="24"/>
          <w:szCs w:val="24"/>
        </w:rPr>
        <w:t>12.1承包人暂停施工的责任</w:t>
      </w:r>
    </w:p>
    <w:p w14:paraId="4089EFD1">
      <w:pPr>
        <w:spacing w:before="67" w:line="360" w:lineRule="auto"/>
        <w:ind w:left="4" w:right="105" w:firstLine="482"/>
        <w:rPr>
          <w:sz w:val="24"/>
          <w:szCs w:val="24"/>
        </w:rPr>
      </w:pPr>
      <w:r>
        <w:rPr>
          <w:rFonts w:hint="eastAsia"/>
          <w:sz w:val="24"/>
          <w:szCs w:val="24"/>
        </w:rPr>
        <w:t>公路工程专用合同条款12.1.(6）项约定:</w:t>
      </w:r>
    </w:p>
    <w:p w14:paraId="17C1C715">
      <w:pPr>
        <w:spacing w:before="67" w:line="360" w:lineRule="auto"/>
        <w:ind w:left="4" w:right="105" w:firstLine="482"/>
        <w:rPr>
          <w:sz w:val="24"/>
          <w:szCs w:val="24"/>
        </w:rPr>
      </w:pPr>
      <w:r>
        <w:rPr>
          <w:rFonts w:hint="eastAsia"/>
          <w:sz w:val="24"/>
          <w:szCs w:val="24"/>
        </w:rPr>
        <w:t>(6）由承包人承担的其他暂停施工：/</w:t>
      </w:r>
    </w:p>
    <w:p w14:paraId="69633793">
      <w:pPr>
        <w:spacing w:before="67" w:line="360" w:lineRule="auto"/>
        <w:ind w:left="4" w:right="105" w:firstLine="482"/>
        <w:rPr>
          <w:sz w:val="24"/>
          <w:szCs w:val="24"/>
        </w:rPr>
      </w:pPr>
      <w:r>
        <w:rPr>
          <w:rFonts w:hint="eastAsia"/>
          <w:sz w:val="24"/>
          <w:szCs w:val="24"/>
        </w:rPr>
        <w:t>13.3承包人的质量检查</w:t>
      </w:r>
    </w:p>
    <w:p w14:paraId="56CD78DE">
      <w:pPr>
        <w:spacing w:before="67" w:line="360" w:lineRule="auto"/>
        <w:ind w:left="4" w:right="105" w:firstLine="482"/>
        <w:rPr>
          <w:sz w:val="24"/>
          <w:szCs w:val="24"/>
        </w:rPr>
      </w:pPr>
      <w:r>
        <w:rPr>
          <w:rFonts w:hint="eastAsia"/>
          <w:sz w:val="24"/>
          <w:szCs w:val="24"/>
        </w:rPr>
        <w:t>增加内容：（1）落实质量责任制和质量保证体系</w:t>
      </w:r>
    </w:p>
    <w:p w14:paraId="09DE91BB">
      <w:pPr>
        <w:spacing w:before="67" w:line="360" w:lineRule="auto"/>
        <w:ind w:left="4" w:right="105" w:firstLine="482"/>
        <w:rPr>
          <w:sz w:val="24"/>
          <w:szCs w:val="24"/>
        </w:rPr>
      </w:pPr>
      <w:r>
        <w:rPr>
          <w:rFonts w:hint="eastAsia"/>
          <w:sz w:val="24"/>
          <w:szCs w:val="24"/>
        </w:rPr>
        <w:t>分项工程施工现场应实行质量责任牌管理，写明作业内容、项目质量管理责任人（施工单位、建设管理机构）和质量管理举报电话；</w:t>
      </w:r>
    </w:p>
    <w:p w14:paraId="5F06A22D">
      <w:pPr>
        <w:spacing w:before="67" w:line="360" w:lineRule="auto"/>
        <w:ind w:left="4" w:right="105" w:firstLine="482"/>
        <w:rPr>
          <w:sz w:val="24"/>
          <w:szCs w:val="24"/>
        </w:rPr>
      </w:pPr>
      <w:r>
        <w:rPr>
          <w:rFonts w:hint="eastAsia"/>
          <w:sz w:val="24"/>
          <w:szCs w:val="24"/>
        </w:rPr>
        <w:t>（2）认真执行质量检查制度</w:t>
      </w:r>
      <w:r>
        <w:rPr>
          <w:rFonts w:hint="eastAsia"/>
          <w:sz w:val="24"/>
          <w:szCs w:val="24"/>
          <w:lang w:eastAsia="zh-CN"/>
        </w:rPr>
        <w:t>（</w:t>
      </w:r>
      <w:r>
        <w:rPr>
          <w:rFonts w:hint="eastAsia"/>
          <w:sz w:val="24"/>
          <w:szCs w:val="24"/>
          <w:lang w:val="en-US" w:eastAsia="zh-CN"/>
        </w:rPr>
        <w:t>现行规范及标准</w:t>
      </w:r>
      <w:r>
        <w:rPr>
          <w:rFonts w:hint="eastAsia"/>
          <w:sz w:val="24"/>
          <w:szCs w:val="24"/>
          <w:lang w:eastAsia="zh-CN"/>
        </w:rPr>
        <w:t>）</w:t>
      </w:r>
      <w:r>
        <w:rPr>
          <w:rFonts w:hint="eastAsia"/>
          <w:sz w:val="24"/>
          <w:szCs w:val="24"/>
        </w:rPr>
        <w:t>：</w:t>
      </w:r>
    </w:p>
    <w:p w14:paraId="440ECDBE">
      <w:pPr>
        <w:spacing w:line="360" w:lineRule="auto"/>
        <w:ind w:firstLine="723" w:firstLineChars="300"/>
        <w:rPr>
          <w:b/>
          <w:bCs/>
          <w:sz w:val="24"/>
          <w:szCs w:val="24"/>
        </w:rPr>
      </w:pPr>
      <w:r>
        <w:rPr>
          <w:rFonts w:hint="eastAsia"/>
          <w:b/>
          <w:bCs/>
          <w:sz w:val="24"/>
          <w:szCs w:val="24"/>
        </w:rPr>
        <w:t>按照《公路养护技术规范》（JTGH10-2009）、《公路桥涵养护规范》（JTG</w:t>
      </w:r>
      <w:r>
        <w:rPr>
          <w:rFonts w:hint="eastAsia"/>
          <w:b/>
          <w:bCs/>
          <w:sz w:val="24"/>
          <w:szCs w:val="24"/>
          <w:lang w:val="en-US" w:eastAsia="zh-CN"/>
        </w:rPr>
        <w:t>5120</w:t>
      </w:r>
      <w:r>
        <w:rPr>
          <w:rFonts w:hint="eastAsia"/>
          <w:b/>
          <w:bCs/>
          <w:sz w:val="24"/>
          <w:szCs w:val="24"/>
        </w:rPr>
        <w:t>-20</w:t>
      </w:r>
      <w:r>
        <w:rPr>
          <w:rFonts w:hint="eastAsia"/>
          <w:b/>
          <w:bCs/>
          <w:sz w:val="24"/>
          <w:szCs w:val="24"/>
          <w:lang w:val="en-US" w:eastAsia="zh-CN"/>
        </w:rPr>
        <w:t>21</w:t>
      </w:r>
      <w:r>
        <w:rPr>
          <w:rFonts w:hint="eastAsia"/>
          <w:b/>
          <w:bCs/>
          <w:sz w:val="24"/>
          <w:szCs w:val="24"/>
        </w:rPr>
        <w:t>）、《公路隧道养护技术规范》（JTGH12-2015）、《公路养护安全作业规程》（JTGH30-2015）、《公路养护工程质量检验评定标准》第一册土建工程(JTG5220—2020)、《公路工程质量检验评定标准》（JTGF80/1-2017）、《公路养护技术标椎》（JTG5110-2023）等要求对公路进行路基路面小修保养工程。</w:t>
      </w:r>
    </w:p>
    <w:p w14:paraId="422343F4">
      <w:pPr>
        <w:spacing w:before="67" w:line="360" w:lineRule="auto"/>
        <w:ind w:left="4" w:right="105" w:firstLine="482"/>
        <w:rPr>
          <w:sz w:val="24"/>
          <w:szCs w:val="24"/>
        </w:rPr>
      </w:pPr>
      <w:r>
        <w:rPr>
          <w:rFonts w:hint="eastAsia"/>
          <w:sz w:val="24"/>
          <w:szCs w:val="24"/>
        </w:rPr>
        <w:t>(3)承包人应加强文明施工，保障道路通畅的管理</w:t>
      </w:r>
    </w:p>
    <w:p w14:paraId="41D94CC0">
      <w:pPr>
        <w:spacing w:before="67" w:line="360" w:lineRule="auto"/>
        <w:ind w:left="4" w:right="105" w:firstLine="482"/>
        <w:rPr>
          <w:sz w:val="24"/>
          <w:szCs w:val="24"/>
        </w:rPr>
      </w:pPr>
      <w:r>
        <w:rPr>
          <w:rFonts w:hint="eastAsia"/>
          <w:sz w:val="24"/>
          <w:szCs w:val="24"/>
        </w:rPr>
        <w:t>a.承包人在施工期内应按国家、交通主管部门与公路管理机构文明施工，保障畅通的有关规定组织施工，对出现的交通堵塞无条件地采取措施进行疏通。</w:t>
      </w:r>
    </w:p>
    <w:p w14:paraId="5DFC0F57">
      <w:pPr>
        <w:spacing w:before="67" w:line="360" w:lineRule="auto"/>
        <w:ind w:left="4" w:right="105" w:firstLine="482"/>
        <w:rPr>
          <w:sz w:val="24"/>
          <w:szCs w:val="24"/>
        </w:rPr>
      </w:pPr>
      <w:r>
        <w:rPr>
          <w:rFonts w:hint="eastAsia"/>
          <w:sz w:val="24"/>
          <w:szCs w:val="24"/>
        </w:rPr>
        <w:t>b.破坏旧路必须作出交通维持与恢复路面通行条件方案并必须取得业主的批准，未经批准进行旧路开挖与填筑的，业主有权责令停工，并由承包人恢复原良好的通车条件，并需承担一切费用。</w:t>
      </w:r>
    </w:p>
    <w:p w14:paraId="1019D5F7">
      <w:pPr>
        <w:spacing w:before="67" w:line="360" w:lineRule="auto"/>
        <w:ind w:left="4" w:right="105" w:firstLine="482"/>
        <w:rPr>
          <w:sz w:val="24"/>
          <w:szCs w:val="24"/>
        </w:rPr>
      </w:pPr>
      <w:r>
        <w:rPr>
          <w:rFonts w:hint="eastAsia"/>
          <w:sz w:val="24"/>
          <w:szCs w:val="24"/>
        </w:rPr>
        <w:t>c.不得在道路上堆放材料或占道施工影响交通。</w:t>
      </w:r>
    </w:p>
    <w:p w14:paraId="30B2CE7A">
      <w:pPr>
        <w:spacing w:before="67" w:line="360" w:lineRule="auto"/>
        <w:ind w:left="4" w:right="105" w:firstLine="482"/>
        <w:rPr>
          <w:sz w:val="24"/>
          <w:szCs w:val="24"/>
        </w:rPr>
      </w:pPr>
      <w:r>
        <w:rPr>
          <w:rFonts w:hint="eastAsia"/>
          <w:sz w:val="24"/>
          <w:szCs w:val="24"/>
        </w:rPr>
        <w:t>路基、路面施工应避免出现晴天扬尘，雨天打滑影响安全与交通和影响群众生活、生产的现象。维持交通的路基施工应保证表面平整，保证通畅。</w:t>
      </w:r>
    </w:p>
    <w:p w14:paraId="1AE746EB">
      <w:pPr>
        <w:spacing w:before="67" w:line="360" w:lineRule="auto"/>
        <w:ind w:left="4" w:right="105" w:firstLine="482"/>
        <w:rPr>
          <w:b/>
          <w:bCs/>
          <w:color w:val="auto"/>
          <w:sz w:val="24"/>
          <w:szCs w:val="24"/>
          <w:highlight w:val="none"/>
        </w:rPr>
      </w:pPr>
      <w:r>
        <w:rPr>
          <w:rFonts w:hint="eastAsia"/>
          <w:b/>
          <w:bCs/>
          <w:color w:val="auto"/>
          <w:sz w:val="24"/>
          <w:szCs w:val="24"/>
          <w:highlight w:val="none"/>
        </w:rPr>
        <w:t>（4）承包人应在拌合站或关键施工点建立云监控影像视频。</w:t>
      </w:r>
    </w:p>
    <w:p w14:paraId="09AE1EA5">
      <w:pPr>
        <w:spacing w:before="67" w:line="360" w:lineRule="auto"/>
        <w:ind w:left="4" w:right="105" w:firstLine="482"/>
        <w:rPr>
          <w:sz w:val="24"/>
          <w:szCs w:val="24"/>
        </w:rPr>
      </w:pPr>
      <w:r>
        <w:rPr>
          <w:rFonts w:hint="eastAsia"/>
          <w:sz w:val="24"/>
          <w:szCs w:val="24"/>
        </w:rPr>
        <w:t>（5）承包人应自觉接受交通主管部门、质量监督单位、公路管理机构的监督，对指出的问题进行认真的整改，及时报告处理结果。</w:t>
      </w:r>
    </w:p>
    <w:p w14:paraId="0492671E">
      <w:pPr>
        <w:spacing w:before="67" w:line="360" w:lineRule="auto"/>
        <w:ind w:left="4" w:right="105" w:firstLine="482"/>
        <w:rPr>
          <w:sz w:val="24"/>
          <w:szCs w:val="24"/>
        </w:rPr>
      </w:pPr>
      <w:r>
        <w:rPr>
          <w:rFonts w:hint="eastAsia"/>
          <w:sz w:val="24"/>
          <w:szCs w:val="24"/>
        </w:rPr>
        <w:t>在整个施工过程中，项目业主对承包人履行责任有权进行监督，并向承包人提出整改要求。承包人应认真履行责任，执行业主的指令，否则将按第22.1.1款视为承包人违约。</w:t>
      </w:r>
    </w:p>
    <w:p w14:paraId="2DFFE6E9">
      <w:pPr>
        <w:spacing w:before="67" w:line="360" w:lineRule="auto"/>
        <w:ind w:left="4" w:right="105" w:firstLine="482"/>
        <w:rPr>
          <w:sz w:val="24"/>
          <w:szCs w:val="24"/>
        </w:rPr>
      </w:pPr>
      <w:r>
        <w:rPr>
          <w:rFonts w:hint="eastAsia"/>
          <w:sz w:val="24"/>
          <w:szCs w:val="24"/>
        </w:rPr>
        <w:t>13.5工程隐蔽部位覆盖前的检查</w:t>
      </w:r>
    </w:p>
    <w:p w14:paraId="4A233E5E">
      <w:pPr>
        <w:spacing w:before="67" w:line="360" w:lineRule="auto"/>
        <w:ind w:left="4" w:right="105" w:firstLine="482"/>
        <w:rPr>
          <w:sz w:val="24"/>
          <w:szCs w:val="24"/>
        </w:rPr>
      </w:pPr>
      <w:r>
        <w:rPr>
          <w:rFonts w:hint="eastAsia"/>
          <w:sz w:val="24"/>
          <w:szCs w:val="24"/>
        </w:rPr>
        <w:t>（增加）13.5.1项补充：</w:t>
      </w:r>
    </w:p>
    <w:p w14:paraId="2D7EDB31">
      <w:pPr>
        <w:spacing w:before="67" w:line="360" w:lineRule="auto"/>
        <w:ind w:left="4" w:right="105" w:firstLine="482"/>
        <w:rPr>
          <w:sz w:val="24"/>
          <w:szCs w:val="24"/>
        </w:rPr>
      </w:pPr>
      <w:r>
        <w:rPr>
          <w:rFonts w:hint="eastAsia"/>
          <w:sz w:val="24"/>
          <w:szCs w:val="24"/>
        </w:rPr>
        <w:t>路面修补隐蔽部位覆盖前应经发包人检查确认,分阶段(工序)进行拍摄或照相,并向发包人提供相关影像相片等书面资料作为计量支付的依据，否则不应给予计量.</w:t>
      </w:r>
    </w:p>
    <w:p w14:paraId="3AFBFFD3">
      <w:pPr>
        <w:spacing w:before="67" w:line="360" w:lineRule="auto"/>
        <w:ind w:left="4" w:right="105" w:firstLine="482"/>
        <w:rPr>
          <w:sz w:val="24"/>
          <w:szCs w:val="24"/>
        </w:rPr>
      </w:pPr>
      <w:r>
        <w:rPr>
          <w:rFonts w:hint="eastAsia"/>
          <w:sz w:val="24"/>
          <w:szCs w:val="24"/>
        </w:rPr>
        <w:t>15.3变更</w:t>
      </w:r>
    </w:p>
    <w:p w14:paraId="3ABF9C75">
      <w:pPr>
        <w:spacing w:before="67" w:line="360" w:lineRule="auto"/>
        <w:ind w:left="4" w:right="105" w:firstLine="482"/>
        <w:rPr>
          <w:sz w:val="24"/>
          <w:szCs w:val="24"/>
        </w:rPr>
      </w:pPr>
      <w:r>
        <w:rPr>
          <w:rFonts w:hint="eastAsia"/>
          <w:sz w:val="24"/>
          <w:szCs w:val="24"/>
        </w:rPr>
        <w:t>（增加）15.3.5项补充：因工作需要发生工程量变化的，由项目业主根据实际情况对工程量清单中的工程数量作出调整，并列入计划下达给承包方。</w:t>
      </w:r>
    </w:p>
    <w:p w14:paraId="24808C47">
      <w:pPr>
        <w:spacing w:before="67" w:line="360" w:lineRule="auto"/>
        <w:ind w:left="4" w:right="105" w:firstLine="482"/>
        <w:rPr>
          <w:sz w:val="24"/>
          <w:szCs w:val="24"/>
        </w:rPr>
      </w:pPr>
      <w:r>
        <w:rPr>
          <w:rFonts w:hint="eastAsia"/>
          <w:sz w:val="24"/>
          <w:szCs w:val="24"/>
        </w:rPr>
        <w:t>17.2预付款</w:t>
      </w:r>
    </w:p>
    <w:p w14:paraId="54F744DD">
      <w:pPr>
        <w:spacing w:before="67" w:line="360" w:lineRule="auto"/>
        <w:ind w:left="4" w:right="105" w:firstLine="482"/>
        <w:rPr>
          <w:sz w:val="24"/>
          <w:szCs w:val="24"/>
        </w:rPr>
      </w:pPr>
      <w:r>
        <w:rPr>
          <w:rFonts w:hint="eastAsia"/>
          <w:sz w:val="24"/>
          <w:szCs w:val="24"/>
        </w:rPr>
        <w:t>（1）（修改）开工预付款的金额在项目专用合同条款数据表中约定。</w:t>
      </w:r>
    </w:p>
    <w:p w14:paraId="05B663C9">
      <w:pPr>
        <w:spacing w:before="67" w:line="360" w:lineRule="auto"/>
        <w:ind w:left="4" w:right="105" w:firstLine="482"/>
        <w:rPr>
          <w:sz w:val="24"/>
          <w:szCs w:val="24"/>
        </w:rPr>
      </w:pPr>
      <w:r>
        <w:rPr>
          <w:rFonts w:hint="eastAsia"/>
          <w:sz w:val="24"/>
          <w:szCs w:val="24"/>
        </w:rPr>
        <w:t>18.9竣工文件</w:t>
      </w:r>
    </w:p>
    <w:p w14:paraId="76B6D2D7">
      <w:pPr>
        <w:spacing w:before="181" w:line="360" w:lineRule="auto"/>
        <w:ind w:left="593" w:firstLine="482"/>
        <w:rPr>
          <w:sz w:val="24"/>
          <w:szCs w:val="24"/>
        </w:rPr>
      </w:pPr>
      <w:r>
        <w:rPr>
          <w:rFonts w:hint="eastAsia"/>
          <w:b/>
          <w:bCs/>
          <w:sz w:val="24"/>
          <w:szCs w:val="24"/>
        </w:rPr>
        <w:t>（增加）承包方应按时完成各种小修资料的收集整理工作。</w:t>
      </w:r>
    </w:p>
    <w:p w14:paraId="73CADE15">
      <w:pPr>
        <w:spacing w:before="67" w:line="360" w:lineRule="auto"/>
        <w:ind w:left="4" w:right="105" w:firstLine="482"/>
        <w:rPr>
          <w:sz w:val="24"/>
          <w:szCs w:val="24"/>
        </w:rPr>
      </w:pPr>
      <w:r>
        <w:rPr>
          <w:rFonts w:hint="eastAsia"/>
          <w:sz w:val="24"/>
          <w:szCs w:val="24"/>
        </w:rPr>
        <w:t>20.1工程保险</w:t>
      </w:r>
    </w:p>
    <w:p w14:paraId="1FD04430">
      <w:pPr>
        <w:spacing w:before="67" w:line="360" w:lineRule="auto"/>
        <w:ind w:left="4" w:right="105" w:firstLine="482"/>
        <w:rPr>
          <w:sz w:val="24"/>
          <w:szCs w:val="24"/>
        </w:rPr>
      </w:pPr>
      <w:r>
        <w:rPr>
          <w:rFonts w:hint="eastAsia"/>
          <w:sz w:val="24"/>
          <w:szCs w:val="24"/>
        </w:rPr>
        <w:t>本项目取消建筑工程一切险</w:t>
      </w:r>
    </w:p>
    <w:p w14:paraId="77896237">
      <w:pPr>
        <w:spacing w:before="67" w:line="360" w:lineRule="auto"/>
        <w:ind w:left="4" w:right="105" w:firstLine="482"/>
        <w:rPr>
          <w:sz w:val="24"/>
          <w:szCs w:val="24"/>
        </w:rPr>
      </w:pPr>
      <w:r>
        <w:rPr>
          <w:rFonts w:hint="eastAsia"/>
          <w:sz w:val="24"/>
          <w:szCs w:val="24"/>
        </w:rPr>
        <w:t>20.2人员工伤事故的保险</w:t>
      </w:r>
    </w:p>
    <w:p w14:paraId="7DB3A546">
      <w:pPr>
        <w:spacing w:before="67" w:line="360" w:lineRule="auto"/>
        <w:ind w:left="4" w:right="105" w:firstLine="482"/>
        <w:rPr>
          <w:sz w:val="24"/>
          <w:szCs w:val="24"/>
        </w:rPr>
      </w:pPr>
      <w:r>
        <w:rPr>
          <w:rFonts w:hint="eastAsia"/>
          <w:sz w:val="24"/>
          <w:szCs w:val="24"/>
        </w:rPr>
        <w:t>20.2.1承包人员工伤事故的保险增加内容：</w:t>
      </w:r>
    </w:p>
    <w:p w14:paraId="78FFE32C">
      <w:pPr>
        <w:spacing w:before="67" w:line="360" w:lineRule="auto"/>
        <w:ind w:left="4" w:right="105" w:firstLine="482"/>
        <w:rPr>
          <w:sz w:val="24"/>
          <w:szCs w:val="24"/>
        </w:rPr>
      </w:pPr>
      <w:r>
        <w:rPr>
          <w:rFonts w:hint="eastAsia"/>
          <w:sz w:val="24"/>
          <w:szCs w:val="24"/>
        </w:rPr>
        <w:t>办理保险的一切费用均由承包人承担，并包括在工程量清单的单价及总额价中，发包人不单独支付。</w:t>
      </w:r>
    </w:p>
    <w:p w14:paraId="61AC96BA">
      <w:pPr>
        <w:spacing w:before="67" w:line="360" w:lineRule="auto"/>
        <w:ind w:left="4" w:right="105" w:firstLine="482"/>
        <w:rPr>
          <w:sz w:val="24"/>
          <w:szCs w:val="24"/>
        </w:rPr>
      </w:pPr>
      <w:r>
        <w:rPr>
          <w:rFonts w:hint="eastAsia"/>
          <w:sz w:val="24"/>
          <w:szCs w:val="24"/>
        </w:rPr>
        <w:t>20.3人身意外伤害险</w:t>
      </w:r>
    </w:p>
    <w:p w14:paraId="78786E34">
      <w:pPr>
        <w:spacing w:before="67" w:line="360" w:lineRule="auto"/>
        <w:ind w:left="4" w:right="105" w:firstLine="482"/>
        <w:rPr>
          <w:sz w:val="24"/>
          <w:szCs w:val="24"/>
        </w:rPr>
      </w:pPr>
      <w:r>
        <w:rPr>
          <w:rFonts w:hint="eastAsia"/>
          <w:sz w:val="24"/>
          <w:szCs w:val="24"/>
        </w:rPr>
        <w:t>20.3.2承包人应在整个施工期间为其现场机构雇用的全部人员，投保人身意外伤害险，缴纳保险费，并要求其分包人也进行此项保险。办理保险的一切费用均由承包人承担，并包括在工程量清单的单价及总额价中，发包人不单独支付。</w:t>
      </w:r>
    </w:p>
    <w:p w14:paraId="1FEB817C">
      <w:pPr>
        <w:spacing w:before="67" w:line="360" w:lineRule="auto"/>
        <w:ind w:left="4" w:right="105" w:firstLine="482"/>
        <w:rPr>
          <w:sz w:val="24"/>
          <w:szCs w:val="24"/>
        </w:rPr>
      </w:pPr>
      <w:r>
        <w:rPr>
          <w:rFonts w:hint="eastAsia"/>
          <w:sz w:val="24"/>
          <w:szCs w:val="24"/>
        </w:rPr>
        <w:t>其中：人身意外伤害险每位被保险人的最低保险金额为</w:t>
      </w:r>
      <w:r>
        <w:rPr>
          <w:rFonts w:hint="eastAsia"/>
          <w:b/>
          <w:bCs/>
          <w:sz w:val="24"/>
          <w:szCs w:val="24"/>
        </w:rPr>
        <w:t>60万元</w:t>
      </w:r>
      <w:r>
        <w:rPr>
          <w:rFonts w:hint="eastAsia"/>
          <w:sz w:val="24"/>
          <w:szCs w:val="24"/>
        </w:rPr>
        <w:t>人民币，附加意外伤害险医疗险的保险金额为</w:t>
      </w:r>
      <w:r>
        <w:rPr>
          <w:rFonts w:hint="eastAsia"/>
          <w:b/>
          <w:bCs/>
          <w:sz w:val="24"/>
          <w:szCs w:val="24"/>
        </w:rPr>
        <w:t>5万元</w:t>
      </w:r>
      <w:r>
        <w:rPr>
          <w:rFonts w:hint="eastAsia"/>
          <w:sz w:val="24"/>
          <w:szCs w:val="24"/>
        </w:rPr>
        <w:t>人民币，每合同段的人身意外伤害险和附加意外伤害医疗险保险费按合同价（不含该保险费）的</w:t>
      </w:r>
      <w:r>
        <w:rPr>
          <w:rFonts w:hint="eastAsia"/>
          <w:b/>
          <w:bCs/>
          <w:sz w:val="24"/>
          <w:szCs w:val="24"/>
        </w:rPr>
        <w:t>3‰</w:t>
      </w:r>
      <w:r>
        <w:rPr>
          <w:rFonts w:hint="eastAsia"/>
          <w:sz w:val="24"/>
          <w:szCs w:val="24"/>
        </w:rPr>
        <w:t>计列。人身意外伤害险和附加意外伤害医疗险的保险对象为建筑施工企业参加基建项目建设施工现场从事施工作业和管理的人员。时间上涵盖施工全过程的任一时段，在保险范围上覆盖所有参加工程建设的管理人员、施工人员（含农民工）。保险期限为自施工队伍进场之日起至工程通过竣工验收时止。</w:t>
      </w:r>
    </w:p>
    <w:p w14:paraId="1D6030FD">
      <w:pPr>
        <w:spacing w:before="67" w:line="360" w:lineRule="auto"/>
        <w:ind w:left="4" w:right="105" w:firstLine="482"/>
        <w:rPr>
          <w:sz w:val="24"/>
          <w:szCs w:val="24"/>
        </w:rPr>
      </w:pPr>
      <w:r>
        <w:rPr>
          <w:rFonts w:hint="eastAsia"/>
          <w:sz w:val="24"/>
          <w:szCs w:val="24"/>
        </w:rPr>
        <w:t>施工合同签订后工程开工前15日，承包人必须按有关规定与保险公司签订人身意外伤害险和附加意外伤害医疗险以及其他需要投保的保险的保险合同。</w:t>
      </w:r>
    </w:p>
    <w:p w14:paraId="7928BD6C">
      <w:pPr>
        <w:spacing w:before="67" w:line="360" w:lineRule="auto"/>
        <w:ind w:left="4" w:right="105" w:firstLine="482"/>
        <w:rPr>
          <w:sz w:val="24"/>
          <w:szCs w:val="24"/>
        </w:rPr>
      </w:pPr>
      <w:r>
        <w:rPr>
          <w:rFonts w:hint="eastAsia"/>
          <w:sz w:val="24"/>
          <w:szCs w:val="24"/>
        </w:rPr>
        <w:t>20.4第三者责任险</w:t>
      </w:r>
    </w:p>
    <w:p w14:paraId="0A71B60D">
      <w:pPr>
        <w:spacing w:before="67" w:line="360" w:lineRule="auto"/>
        <w:ind w:left="4" w:right="105" w:firstLine="482"/>
        <w:rPr>
          <w:sz w:val="24"/>
          <w:szCs w:val="24"/>
        </w:rPr>
      </w:pPr>
      <w:r>
        <w:rPr>
          <w:rFonts w:hint="eastAsia"/>
          <w:sz w:val="24"/>
          <w:szCs w:val="24"/>
        </w:rPr>
        <w:t>修改20.4.2款为：第三者责任险由承包人以承包人与项目法人的名义联名投保，保险费由承包人承担并支付，供应商应在所报的单价或总额价中对该保险费予以考虑，发包人不单独进行计量与支</w:t>
      </w:r>
    </w:p>
    <w:p w14:paraId="1C1F7A8A">
      <w:pPr>
        <w:spacing w:before="67" w:line="360" w:lineRule="auto"/>
        <w:ind w:left="4" w:right="105" w:firstLine="482"/>
        <w:rPr>
          <w:sz w:val="24"/>
          <w:szCs w:val="24"/>
        </w:rPr>
      </w:pPr>
      <w:r>
        <w:rPr>
          <w:rFonts w:hint="eastAsia"/>
          <w:sz w:val="24"/>
          <w:szCs w:val="24"/>
        </w:rPr>
        <w:t>付。</w:t>
      </w:r>
    </w:p>
    <w:p w14:paraId="5DB2DE0F">
      <w:pPr>
        <w:spacing w:before="67" w:line="360" w:lineRule="auto"/>
        <w:ind w:left="4" w:right="105" w:firstLine="482"/>
        <w:rPr>
          <w:sz w:val="24"/>
          <w:szCs w:val="24"/>
        </w:rPr>
      </w:pPr>
      <w:r>
        <w:rPr>
          <w:rFonts w:hint="eastAsia"/>
          <w:sz w:val="24"/>
          <w:szCs w:val="24"/>
        </w:rPr>
        <w:t>21.1不可抗力的确认</w:t>
      </w:r>
    </w:p>
    <w:p w14:paraId="0B5EABE4">
      <w:pPr>
        <w:spacing w:before="67" w:line="360" w:lineRule="auto"/>
        <w:ind w:left="4" w:right="105" w:firstLine="482"/>
        <w:rPr>
          <w:sz w:val="24"/>
          <w:szCs w:val="24"/>
        </w:rPr>
      </w:pPr>
      <w:r>
        <w:rPr>
          <w:rFonts w:hint="eastAsia"/>
          <w:sz w:val="24"/>
          <w:szCs w:val="24"/>
        </w:rPr>
        <w:t>公路工程专用合同条款21.1款</w:t>
      </w:r>
    </w:p>
    <w:p w14:paraId="3011E1AE">
      <w:pPr>
        <w:spacing w:before="67" w:line="360" w:lineRule="auto"/>
        <w:ind w:left="4" w:right="105" w:firstLine="482"/>
        <w:rPr>
          <w:sz w:val="24"/>
          <w:szCs w:val="24"/>
        </w:rPr>
      </w:pPr>
      <w:r>
        <w:rPr>
          <w:rFonts w:hint="eastAsia"/>
          <w:sz w:val="24"/>
          <w:szCs w:val="24"/>
        </w:rPr>
        <w:t>21.1.1(6）项目专用合同条款约定的其他情形：/</w:t>
      </w:r>
    </w:p>
    <w:p w14:paraId="41F4F991">
      <w:pPr>
        <w:spacing w:before="67" w:line="360" w:lineRule="auto"/>
        <w:ind w:left="4" w:right="105" w:firstLine="482"/>
        <w:rPr>
          <w:sz w:val="24"/>
          <w:szCs w:val="24"/>
        </w:rPr>
      </w:pPr>
      <w:r>
        <w:rPr>
          <w:rFonts w:hint="eastAsia"/>
          <w:sz w:val="24"/>
          <w:szCs w:val="24"/>
        </w:rPr>
        <w:t>22.1承包人违约</w:t>
      </w:r>
    </w:p>
    <w:p w14:paraId="2C1B4B26">
      <w:pPr>
        <w:spacing w:before="178" w:line="360" w:lineRule="auto"/>
        <w:ind w:left="492" w:firstLine="482"/>
        <w:outlineLvl w:val="6"/>
        <w:rPr>
          <w:sz w:val="24"/>
          <w:szCs w:val="24"/>
        </w:rPr>
      </w:pPr>
      <w:r>
        <w:rPr>
          <w:rFonts w:hint="eastAsia"/>
          <w:sz w:val="24"/>
          <w:szCs w:val="24"/>
        </w:rPr>
        <w:t>22.1.1承包人违约的情形</w:t>
      </w:r>
    </w:p>
    <w:p w14:paraId="1C2E079A">
      <w:pPr>
        <w:spacing w:before="67" w:line="360" w:lineRule="auto"/>
        <w:ind w:left="4" w:right="105" w:firstLine="482"/>
        <w:rPr>
          <w:sz w:val="24"/>
          <w:szCs w:val="24"/>
        </w:rPr>
      </w:pPr>
      <w:r>
        <w:rPr>
          <w:rFonts w:hint="eastAsia"/>
          <w:sz w:val="24"/>
          <w:szCs w:val="24"/>
        </w:rPr>
        <w:t>(1)承包人违反约定，私自将合同的全部或部分权利转让给其他人，或私自将合同的全部或部分义务转移给其他人；</w:t>
      </w:r>
    </w:p>
    <w:p w14:paraId="41213AEC">
      <w:pPr>
        <w:spacing w:before="67" w:line="360" w:lineRule="auto"/>
        <w:ind w:left="4" w:right="105" w:firstLine="482"/>
        <w:rPr>
          <w:sz w:val="24"/>
          <w:szCs w:val="24"/>
        </w:rPr>
      </w:pPr>
      <w:r>
        <w:rPr>
          <w:rFonts w:hint="eastAsia"/>
          <w:sz w:val="24"/>
          <w:szCs w:val="24"/>
        </w:rPr>
        <w:t>(2)承包人违反约定，未经发包人批准，私自将已按合同约定进入施工场地的施工设备、临时设施、材料或工程设备撤离施工场地；</w:t>
      </w:r>
    </w:p>
    <w:p w14:paraId="076052BE">
      <w:pPr>
        <w:spacing w:before="67" w:line="360" w:lineRule="auto"/>
        <w:ind w:left="4" w:right="105" w:firstLine="482"/>
        <w:rPr>
          <w:sz w:val="24"/>
          <w:szCs w:val="24"/>
        </w:rPr>
      </w:pPr>
      <w:r>
        <w:rPr>
          <w:rFonts w:hint="eastAsia"/>
          <w:sz w:val="24"/>
          <w:szCs w:val="24"/>
        </w:rPr>
        <w:t>(3)承包人违反第13.3款的约定月度质量考核，工程质量达不到标准要求，又拒绝清理不合格工程；</w:t>
      </w:r>
    </w:p>
    <w:p w14:paraId="2EEA853D">
      <w:pPr>
        <w:spacing w:before="67" w:line="360" w:lineRule="auto"/>
        <w:ind w:left="4" w:right="105" w:firstLine="482"/>
        <w:rPr>
          <w:sz w:val="24"/>
          <w:szCs w:val="24"/>
        </w:rPr>
      </w:pPr>
      <w:r>
        <w:rPr>
          <w:rFonts w:hint="eastAsia"/>
          <w:sz w:val="24"/>
          <w:szCs w:val="24"/>
        </w:rPr>
        <w:t>(4)承包人未能按项目业主的月度工作计划完成工作量，己造成或预期造成工期延误；</w:t>
      </w:r>
    </w:p>
    <w:p w14:paraId="0BEF3455">
      <w:pPr>
        <w:spacing w:before="67" w:line="360" w:lineRule="auto"/>
        <w:ind w:left="4" w:right="105" w:firstLine="482"/>
        <w:rPr>
          <w:sz w:val="24"/>
          <w:szCs w:val="24"/>
        </w:rPr>
      </w:pPr>
      <w:r>
        <w:rPr>
          <w:rFonts w:hint="eastAsia"/>
          <w:sz w:val="24"/>
          <w:szCs w:val="24"/>
        </w:rPr>
        <w:t>(5)承包人在缺陷责任期内，未能对工程接受证书所列的缺陷清单的内容或缺陷责任期内发生的缺陷进行修复，而又拒绝按发包人指示再进行修补；</w:t>
      </w:r>
    </w:p>
    <w:p w14:paraId="5165D6D2">
      <w:pPr>
        <w:spacing w:before="67" w:line="360" w:lineRule="auto"/>
        <w:ind w:left="4" w:right="105" w:firstLine="482"/>
        <w:rPr>
          <w:sz w:val="24"/>
          <w:szCs w:val="24"/>
        </w:rPr>
      </w:pPr>
      <w:r>
        <w:rPr>
          <w:rFonts w:hint="eastAsia"/>
          <w:sz w:val="24"/>
          <w:szCs w:val="24"/>
        </w:rPr>
        <w:t>(6）承包人无法继续履行或明确表示不履行或实质上己停止履行合同；</w:t>
      </w:r>
    </w:p>
    <w:p w14:paraId="76372B09">
      <w:pPr>
        <w:spacing w:before="67" w:line="360" w:lineRule="auto"/>
        <w:ind w:left="4" w:right="105" w:firstLine="482"/>
        <w:rPr>
          <w:sz w:val="24"/>
          <w:szCs w:val="24"/>
        </w:rPr>
      </w:pPr>
      <w:r>
        <w:rPr>
          <w:rFonts w:hint="eastAsia"/>
          <w:sz w:val="24"/>
          <w:szCs w:val="24"/>
        </w:rPr>
        <w:t>(7)承包人未能按期开工；</w:t>
      </w:r>
    </w:p>
    <w:p w14:paraId="35F3DD27">
      <w:pPr>
        <w:spacing w:before="67" w:line="360" w:lineRule="auto"/>
        <w:ind w:left="4" w:right="105" w:firstLine="482"/>
        <w:rPr>
          <w:sz w:val="24"/>
          <w:szCs w:val="24"/>
        </w:rPr>
      </w:pPr>
      <w:r>
        <w:rPr>
          <w:rFonts w:hint="eastAsia"/>
          <w:sz w:val="24"/>
          <w:szCs w:val="24"/>
        </w:rPr>
        <w:t>(8)承包人违反第4.6款的规定，未按承诺或未按发包人的要求及时配备称职的主要管理人员、技术骨干或关键施工设备；</w:t>
      </w:r>
    </w:p>
    <w:p w14:paraId="55A60618">
      <w:pPr>
        <w:spacing w:before="67" w:line="360" w:lineRule="auto"/>
        <w:ind w:left="4" w:right="105" w:firstLine="482"/>
        <w:rPr>
          <w:sz w:val="24"/>
          <w:szCs w:val="24"/>
        </w:rPr>
      </w:pPr>
      <w:r>
        <w:rPr>
          <w:rFonts w:hint="eastAsia"/>
          <w:sz w:val="24"/>
          <w:szCs w:val="24"/>
        </w:rPr>
        <w:t>(9)经发包人检查，发现承包人有安全问题或有违反安全管理规章制度的情况；(10）承包人不按合同约定履行义务的其他情况。</w:t>
      </w:r>
    </w:p>
    <w:p w14:paraId="150E312F">
      <w:pPr>
        <w:spacing w:before="67" w:line="360" w:lineRule="auto"/>
        <w:ind w:left="4" w:right="105" w:firstLine="482"/>
        <w:rPr>
          <w:b/>
          <w:bCs/>
          <w:sz w:val="24"/>
          <w:szCs w:val="24"/>
        </w:rPr>
      </w:pPr>
      <w:r>
        <w:rPr>
          <w:rFonts w:hint="eastAsia"/>
          <w:b/>
          <w:bCs/>
          <w:sz w:val="24"/>
          <w:szCs w:val="24"/>
        </w:rPr>
        <w:t>22.1.2对承包人违约的处理</w:t>
      </w:r>
    </w:p>
    <w:p w14:paraId="7E8853E8">
      <w:pPr>
        <w:spacing w:before="67" w:line="360" w:lineRule="auto"/>
        <w:ind w:left="4" w:right="105" w:firstLine="482"/>
        <w:rPr>
          <w:sz w:val="24"/>
          <w:szCs w:val="24"/>
        </w:rPr>
      </w:pPr>
      <w:r>
        <w:rPr>
          <w:rFonts w:hint="eastAsia"/>
          <w:sz w:val="24"/>
          <w:szCs w:val="24"/>
        </w:rPr>
        <w:t>（1）承包人发生第22.1.1⑹目约定的违约情形时，发包人可通知承包人立即解除合同，并按有关法律处理。</w:t>
      </w:r>
    </w:p>
    <w:p w14:paraId="36C91E9B">
      <w:pPr>
        <w:spacing w:before="67" w:line="360" w:lineRule="auto"/>
        <w:ind w:left="4" w:right="105" w:firstLine="482"/>
        <w:rPr>
          <w:sz w:val="24"/>
          <w:szCs w:val="24"/>
        </w:rPr>
      </w:pPr>
      <w:r>
        <w:rPr>
          <w:rFonts w:hint="eastAsia"/>
          <w:sz w:val="24"/>
          <w:szCs w:val="24"/>
        </w:rPr>
        <w:t>（2）承包人发生第22.1.1⑹目约定以外的违约情形时，发包人可向承包人发出整改通知，要求其在指定的期限内改正。承包人应承担其违约所引起的费用增加和（或）工期延误。</w:t>
      </w:r>
    </w:p>
    <w:p w14:paraId="1AACC8DA">
      <w:pPr>
        <w:spacing w:before="67" w:line="360" w:lineRule="auto"/>
        <w:ind w:left="4" w:right="105" w:firstLine="482"/>
        <w:rPr>
          <w:sz w:val="24"/>
          <w:szCs w:val="24"/>
        </w:rPr>
      </w:pPr>
      <w:r>
        <w:rPr>
          <w:rFonts w:hint="eastAsia"/>
          <w:sz w:val="24"/>
          <w:szCs w:val="24"/>
        </w:rPr>
        <w:t>（3）经检查证明承包人已采取了有效措施纠正违约行为，具备复工条件的可由发包人签发复工通知进行复工。</w:t>
      </w:r>
    </w:p>
    <w:p w14:paraId="462A424B">
      <w:pPr>
        <w:spacing w:before="67" w:line="360" w:lineRule="auto"/>
        <w:ind w:left="4" w:right="105" w:firstLine="482"/>
        <w:rPr>
          <w:sz w:val="24"/>
          <w:szCs w:val="24"/>
        </w:rPr>
      </w:pPr>
      <w:r>
        <w:rPr>
          <w:rFonts w:hint="eastAsia"/>
          <w:sz w:val="24"/>
          <w:szCs w:val="24"/>
        </w:rPr>
        <w:t>（4）承包人发生第22.1.1项约定的违约情况时，无论发包人是否解除合同，发包人均有权向承包人课以违约金，并由发包人将其违约行为上报省级交通主管部门，作为不良记录纳人公路建设市场信用信息管理系统。</w:t>
      </w:r>
    </w:p>
    <w:p w14:paraId="07723B4A">
      <w:pPr>
        <w:spacing w:before="42" w:line="360" w:lineRule="auto"/>
        <w:ind w:left="563" w:firstLine="482"/>
        <w:rPr>
          <w:sz w:val="24"/>
          <w:szCs w:val="24"/>
        </w:rPr>
      </w:pPr>
      <w:bookmarkStart w:id="89" w:name="bookmark6"/>
      <w:bookmarkEnd w:id="89"/>
      <w:r>
        <w:rPr>
          <w:rFonts w:hint="eastAsia"/>
          <w:b/>
          <w:bCs/>
          <w:sz w:val="24"/>
          <w:szCs w:val="24"/>
        </w:rPr>
        <w:t>增加</w:t>
      </w:r>
    </w:p>
    <w:p w14:paraId="2B6CFB3C">
      <w:pPr>
        <w:spacing w:before="205" w:line="360" w:lineRule="auto"/>
        <w:ind w:left="425" w:firstLine="482"/>
        <w:outlineLvl w:val="6"/>
        <w:rPr>
          <w:sz w:val="24"/>
          <w:szCs w:val="24"/>
        </w:rPr>
      </w:pPr>
      <w:r>
        <w:rPr>
          <w:rFonts w:hint="eastAsia"/>
          <w:b/>
          <w:bCs/>
          <w:sz w:val="24"/>
          <w:szCs w:val="24"/>
        </w:rPr>
        <w:t>22.1.3处罚行为</w:t>
      </w:r>
    </w:p>
    <w:p w14:paraId="080477C8">
      <w:pPr>
        <w:spacing w:before="67" w:line="360" w:lineRule="auto"/>
        <w:ind w:left="4" w:right="105" w:firstLine="482"/>
        <w:rPr>
          <w:sz w:val="24"/>
          <w:szCs w:val="24"/>
        </w:rPr>
      </w:pPr>
      <w:r>
        <w:rPr>
          <w:rFonts w:hint="eastAsia"/>
          <w:sz w:val="24"/>
          <w:szCs w:val="24"/>
        </w:rPr>
        <w:t>（1）因承包人管理不善，造成本合同约定的公路养护工作范围内在上级检查部门检查、验收扣分1分（不含1分）以上的，每超过0.5分扣工程款0.5%。</w:t>
      </w:r>
    </w:p>
    <w:p w14:paraId="74150674">
      <w:pPr>
        <w:spacing w:before="67" w:line="360" w:lineRule="auto"/>
        <w:ind w:left="4" w:right="105" w:firstLine="482"/>
        <w:rPr>
          <w:sz w:val="24"/>
          <w:szCs w:val="24"/>
        </w:rPr>
      </w:pPr>
      <w:r>
        <w:rPr>
          <w:rFonts w:hint="eastAsia"/>
          <w:sz w:val="24"/>
          <w:szCs w:val="24"/>
        </w:rPr>
        <w:t>（2）上级检查组等部门对承包人养护公路进行检查，因承包人履行合同不力造成被发书面“警告”的扣200元/次；被发“黄牌”警告扣500元/张；被发“红牌”警告扣1000元/张。</w:t>
      </w:r>
    </w:p>
    <w:p w14:paraId="49C9B0E9">
      <w:pPr>
        <w:spacing w:before="67" w:line="360" w:lineRule="auto"/>
        <w:ind w:left="4" w:right="105" w:firstLine="482"/>
        <w:rPr>
          <w:sz w:val="24"/>
          <w:szCs w:val="24"/>
        </w:rPr>
      </w:pPr>
      <w:r>
        <w:rPr>
          <w:rFonts w:hint="eastAsia"/>
          <w:sz w:val="24"/>
          <w:szCs w:val="24"/>
        </w:rPr>
        <w:t>（3）为强化承包人的履行合同职责，每月定期或不定期考核验收、每季度一次大检查和年终一次全面检查，存在以下情形的，发包人将承包人列为失信企业。</w:t>
      </w:r>
    </w:p>
    <w:p w14:paraId="4E373A3C">
      <w:pPr>
        <w:spacing w:before="67" w:line="360" w:lineRule="auto"/>
        <w:ind w:left="4" w:right="105" w:firstLine="482"/>
        <w:rPr>
          <w:sz w:val="24"/>
          <w:szCs w:val="24"/>
        </w:rPr>
      </w:pPr>
      <w:r>
        <w:rPr>
          <w:rFonts w:hint="eastAsia"/>
          <w:sz w:val="24"/>
          <w:szCs w:val="24"/>
        </w:rPr>
        <w:t>①连续叁个月或年累计五个月月度平分低于90分的。</w:t>
      </w:r>
    </w:p>
    <w:p w14:paraId="42288B5E">
      <w:pPr>
        <w:spacing w:before="67" w:line="360" w:lineRule="auto"/>
        <w:ind w:left="4" w:right="105" w:firstLine="482"/>
        <w:rPr>
          <w:sz w:val="24"/>
          <w:szCs w:val="24"/>
        </w:rPr>
      </w:pPr>
      <w:r>
        <w:rPr>
          <w:rFonts w:hint="eastAsia"/>
          <w:sz w:val="24"/>
          <w:szCs w:val="24"/>
        </w:rPr>
        <w:t>②年内累计2个季度在上级部门检查中被扣分2分（含2分）以上的。</w:t>
      </w:r>
    </w:p>
    <w:p w14:paraId="6BD0DB96">
      <w:pPr>
        <w:spacing w:before="67" w:line="360" w:lineRule="auto"/>
        <w:ind w:left="4" w:right="105" w:firstLine="482"/>
        <w:rPr>
          <w:sz w:val="24"/>
          <w:szCs w:val="24"/>
        </w:rPr>
      </w:pPr>
      <w:r>
        <w:rPr>
          <w:rFonts w:hint="eastAsia"/>
          <w:sz w:val="24"/>
          <w:szCs w:val="24"/>
        </w:rPr>
        <w:t>③上级部门年终检查中被扣2分（含2分）以上的。</w:t>
      </w:r>
    </w:p>
    <w:p w14:paraId="61377D04">
      <w:pPr>
        <w:spacing w:before="67" w:line="360" w:lineRule="auto"/>
        <w:ind w:left="4" w:right="105" w:firstLine="482"/>
        <w:rPr>
          <w:b/>
          <w:bCs/>
          <w:sz w:val="24"/>
          <w:szCs w:val="24"/>
        </w:rPr>
      </w:pPr>
      <w:r>
        <w:rPr>
          <w:rFonts w:hint="eastAsia"/>
          <w:b/>
          <w:bCs/>
          <w:sz w:val="24"/>
          <w:szCs w:val="24"/>
        </w:rPr>
        <w:t>（4）有22.1.1.（8）款行为或以下行为的，视为承包人违约，可对承包人处以以下的违约金：</w:t>
      </w:r>
    </w:p>
    <w:p w14:paraId="577AAC12">
      <w:pPr>
        <w:spacing w:before="67" w:line="360" w:lineRule="auto"/>
        <w:ind w:left="4" w:right="105" w:firstLine="482"/>
        <w:rPr>
          <w:sz w:val="24"/>
          <w:szCs w:val="24"/>
        </w:rPr>
      </w:pPr>
      <w:r>
        <w:rPr>
          <w:rFonts w:hint="eastAsia"/>
          <w:sz w:val="24"/>
          <w:szCs w:val="24"/>
        </w:rPr>
        <w:t>a.承包人更换主要人员的（不管是否经项目法人同意），项目经理处10万元/人次，总工（或技术负责人）处5万元/人次；</w:t>
      </w:r>
    </w:p>
    <w:p w14:paraId="5A017D6D">
      <w:pPr>
        <w:spacing w:before="67" w:line="360" w:lineRule="auto"/>
        <w:ind w:left="4" w:right="105" w:firstLine="482"/>
        <w:rPr>
          <w:sz w:val="24"/>
          <w:szCs w:val="24"/>
        </w:rPr>
      </w:pPr>
      <w:r>
        <w:rPr>
          <w:rFonts w:hint="eastAsia"/>
          <w:sz w:val="24"/>
          <w:szCs w:val="24"/>
        </w:rPr>
        <w:t>b．项目经理或项目技术负责人未经发包人同意擅自离开工地，每天课以违约金500元／人；若虽经批准离开工地但每月在工地天数不足22天（特殊情况经发包人批准报发包人同意例外）的，每不足一天课以违约金500元／人；</w:t>
      </w:r>
    </w:p>
    <w:p w14:paraId="73ED2E7C">
      <w:pPr>
        <w:spacing w:before="67" w:line="360" w:lineRule="auto"/>
        <w:ind w:left="4" w:right="105" w:firstLine="482"/>
        <w:rPr>
          <w:sz w:val="24"/>
          <w:szCs w:val="24"/>
        </w:rPr>
      </w:pPr>
      <w:r>
        <w:rPr>
          <w:rFonts w:hint="eastAsia"/>
          <w:sz w:val="24"/>
          <w:szCs w:val="24"/>
        </w:rPr>
        <w:t>c.主要设备没有按进度和合同规定承诺进场的处500元/日台。</w:t>
      </w:r>
    </w:p>
    <w:p w14:paraId="028018BA">
      <w:pPr>
        <w:spacing w:before="62" w:line="360" w:lineRule="auto"/>
        <w:ind w:left="424" w:firstLine="482"/>
        <w:rPr>
          <w:sz w:val="24"/>
          <w:szCs w:val="24"/>
        </w:rPr>
      </w:pPr>
      <w:r>
        <w:rPr>
          <w:rFonts w:hint="eastAsia"/>
          <w:b/>
          <w:bCs/>
          <w:sz w:val="24"/>
          <w:szCs w:val="24"/>
        </w:rPr>
        <w:t>（5）承包人存在以下情形的，可对承包人处以以下违约金：</w:t>
      </w:r>
    </w:p>
    <w:p w14:paraId="11CFBC33">
      <w:pPr>
        <w:spacing w:before="67" w:line="360" w:lineRule="auto"/>
        <w:ind w:left="4" w:right="105" w:firstLine="482"/>
        <w:rPr>
          <w:sz w:val="24"/>
          <w:szCs w:val="24"/>
        </w:rPr>
      </w:pPr>
      <w:r>
        <w:rPr>
          <w:rFonts w:hint="eastAsia"/>
          <w:sz w:val="24"/>
          <w:szCs w:val="24"/>
        </w:rPr>
        <w:t>a.发生质量事故，未按有关规定和时间向有关部门报告的,处2000元/次；</w:t>
      </w:r>
    </w:p>
    <w:p w14:paraId="1441C166">
      <w:pPr>
        <w:spacing w:before="67" w:line="360" w:lineRule="auto"/>
        <w:ind w:left="4" w:right="105" w:firstLine="482"/>
        <w:rPr>
          <w:sz w:val="24"/>
          <w:szCs w:val="24"/>
        </w:rPr>
      </w:pPr>
      <w:r>
        <w:rPr>
          <w:rFonts w:hint="eastAsia"/>
          <w:sz w:val="24"/>
          <w:szCs w:val="24"/>
        </w:rPr>
        <w:t>b.出现二、三级一般质量事故，且承包人负有直接责任，或不能证明其履行其职责的,可处5000元/次；</w:t>
      </w:r>
    </w:p>
    <w:p w14:paraId="18D21EAB">
      <w:pPr>
        <w:spacing w:before="67" w:line="360" w:lineRule="auto"/>
        <w:ind w:left="4" w:right="105" w:firstLine="482"/>
        <w:rPr>
          <w:sz w:val="24"/>
          <w:szCs w:val="24"/>
        </w:rPr>
      </w:pPr>
      <w:r>
        <w:rPr>
          <w:rFonts w:hint="eastAsia"/>
          <w:sz w:val="24"/>
          <w:szCs w:val="24"/>
        </w:rPr>
        <w:t>c.发生一级一般质量事故或重大质量事故，且承包人负有直接责任，或不能证明其履行其职责的,可处10000元/次；</w:t>
      </w:r>
    </w:p>
    <w:p w14:paraId="5B8208A5">
      <w:pPr>
        <w:spacing w:before="67" w:line="360" w:lineRule="auto"/>
        <w:ind w:left="4" w:right="105" w:firstLine="482"/>
        <w:rPr>
          <w:sz w:val="24"/>
          <w:szCs w:val="24"/>
        </w:rPr>
      </w:pPr>
      <w:r>
        <w:rPr>
          <w:rFonts w:hint="eastAsia"/>
          <w:sz w:val="24"/>
          <w:szCs w:val="24"/>
        </w:rPr>
        <w:t>d.因质量问题被地市级及以上交通主管部门、质量监督单位、公路管理机构通报（批评）的，可对承包人处以20000元违约金/次，红牌警告10000元/次，黄牌警告5000元/次。</w:t>
      </w:r>
    </w:p>
    <w:p w14:paraId="117499D0">
      <w:pPr>
        <w:spacing w:before="67" w:line="360" w:lineRule="auto"/>
        <w:ind w:left="4" w:right="105" w:firstLine="482"/>
        <w:rPr>
          <w:sz w:val="24"/>
          <w:szCs w:val="24"/>
        </w:rPr>
      </w:pPr>
      <w:r>
        <w:rPr>
          <w:rFonts w:hint="eastAsia"/>
          <w:sz w:val="24"/>
          <w:szCs w:val="24"/>
        </w:rPr>
        <w:t>e．出现一般安全生事故负有责任的或发生重大安全事故不按规定报告的,可处1000元/处·次。f.出现重大安全生产事故负有责任的，可处10000元/处·次。</w:t>
      </w:r>
    </w:p>
    <w:p w14:paraId="59F3D398">
      <w:pPr>
        <w:spacing w:before="67" w:line="360" w:lineRule="auto"/>
        <w:ind w:left="4" w:right="105" w:firstLine="482"/>
        <w:rPr>
          <w:sz w:val="24"/>
          <w:szCs w:val="24"/>
        </w:rPr>
      </w:pPr>
      <w:r>
        <w:rPr>
          <w:rFonts w:hint="eastAsia"/>
          <w:sz w:val="24"/>
          <w:szCs w:val="24"/>
        </w:rPr>
        <w:t>g．由于施工原因造成污染、破坏被群众向政府、主管单位投诉或被环保、水利部门责令整改的，处1000元/次。</w:t>
      </w:r>
    </w:p>
    <w:p w14:paraId="0C251F27">
      <w:pPr>
        <w:spacing w:before="67" w:line="360" w:lineRule="auto"/>
        <w:ind w:left="4" w:right="105" w:firstLine="482"/>
        <w:rPr>
          <w:sz w:val="24"/>
          <w:szCs w:val="24"/>
        </w:rPr>
      </w:pPr>
      <w:r>
        <w:rPr>
          <w:rFonts w:hint="eastAsia"/>
          <w:sz w:val="24"/>
          <w:szCs w:val="24"/>
        </w:rPr>
        <w:t>h.由于承包人原因违反7.3等条款造成交通堵塞，堵车30分钟至60分钟的处3000元/次，堵车60分钟至二小时的处5000元/次，堵车二小时至三小时的处1万元/次，堵车三小时以上的处每小时（不满1小时按1小时计）1万元，严重的建议上级主管单位进行通报。</w:t>
      </w:r>
    </w:p>
    <w:p w14:paraId="00569234">
      <w:pPr>
        <w:spacing w:before="67" w:line="360" w:lineRule="auto"/>
        <w:ind w:left="4" w:right="105" w:firstLine="482"/>
        <w:rPr>
          <w:sz w:val="24"/>
          <w:szCs w:val="24"/>
        </w:rPr>
      </w:pPr>
      <w:r>
        <w:rPr>
          <w:rFonts w:hint="eastAsia"/>
          <w:sz w:val="24"/>
          <w:szCs w:val="24"/>
        </w:rPr>
        <w:t>j．劳务人员未按规定签订聘用合同并向项目法人报备的,处500元/人次。</w:t>
      </w:r>
    </w:p>
    <w:p w14:paraId="783F4030">
      <w:pPr>
        <w:spacing w:before="67" w:line="360" w:lineRule="auto"/>
        <w:ind w:left="4" w:right="105" w:firstLine="482"/>
        <w:rPr>
          <w:b/>
          <w:bCs/>
          <w:sz w:val="24"/>
          <w:szCs w:val="24"/>
        </w:rPr>
      </w:pPr>
      <w:r>
        <w:rPr>
          <w:rFonts w:hint="eastAsia"/>
          <w:b/>
          <w:bCs/>
          <w:sz w:val="24"/>
          <w:szCs w:val="24"/>
        </w:rPr>
        <w:t>22.2发包人违约</w:t>
      </w:r>
    </w:p>
    <w:p w14:paraId="397D7349">
      <w:pPr>
        <w:spacing w:before="67" w:line="360" w:lineRule="auto"/>
        <w:ind w:left="4" w:right="105" w:firstLine="482"/>
        <w:rPr>
          <w:sz w:val="24"/>
          <w:szCs w:val="24"/>
        </w:rPr>
      </w:pPr>
      <w:r>
        <w:rPr>
          <w:rFonts w:hint="eastAsia"/>
          <w:sz w:val="24"/>
          <w:szCs w:val="24"/>
        </w:rPr>
        <w:t>22.2.2发包人无正当理由不按时返还质量保证金或农民工资保证金的，发包人应向承包人支付的违约金如下：/</w:t>
      </w:r>
    </w:p>
    <w:p w14:paraId="5134A6AA">
      <w:pPr>
        <w:spacing w:before="67" w:line="360" w:lineRule="auto"/>
        <w:ind w:left="4" w:right="105" w:firstLine="482"/>
        <w:rPr>
          <w:sz w:val="24"/>
          <w:szCs w:val="24"/>
        </w:rPr>
        <w:sectPr>
          <w:footerReference r:id="rId8" w:type="default"/>
          <w:pgSz w:w="11900" w:h="16840"/>
          <w:pgMar w:top="1112" w:right="1193" w:bottom="801" w:left="1303" w:header="0" w:footer="637" w:gutter="0"/>
          <w:cols w:space="720" w:num="1"/>
        </w:sectPr>
      </w:pPr>
    </w:p>
    <w:p w14:paraId="31401D44">
      <w:pPr>
        <w:spacing w:line="360" w:lineRule="auto"/>
        <w:ind w:firstLine="482" w:firstLineChars="200"/>
        <w:rPr>
          <w:b/>
          <w:bCs/>
          <w:color w:val="auto"/>
          <w:sz w:val="24"/>
          <w:szCs w:val="24"/>
          <w:highlight w:val="none"/>
        </w:rPr>
      </w:pPr>
      <w:r>
        <w:rPr>
          <w:rFonts w:hint="eastAsia"/>
          <w:b/>
          <w:bCs/>
          <w:color w:val="auto"/>
          <w:sz w:val="24"/>
          <w:szCs w:val="24"/>
          <w:highlight w:val="none"/>
        </w:rPr>
        <w:t>补充以下项目专用条款：</w:t>
      </w:r>
    </w:p>
    <w:p w14:paraId="23580F44">
      <w:pPr>
        <w:pStyle w:val="12"/>
        <w:spacing w:line="360" w:lineRule="auto"/>
        <w:ind w:firstLine="482" w:firstLineChars="200"/>
        <w:rPr>
          <w:b/>
          <w:bCs/>
          <w:color w:val="auto"/>
          <w:sz w:val="24"/>
          <w:szCs w:val="24"/>
          <w:highlight w:val="none"/>
        </w:rPr>
      </w:pPr>
      <w:r>
        <w:rPr>
          <w:rFonts w:hint="eastAsia"/>
          <w:b/>
          <w:bCs/>
          <w:color w:val="auto"/>
          <w:sz w:val="24"/>
          <w:szCs w:val="24"/>
          <w:highlight w:val="none"/>
        </w:rPr>
        <w:t>25、技术规范新增加内容：道路交通标线</w:t>
      </w:r>
    </w:p>
    <w:p w14:paraId="2964EFDC">
      <w:pPr>
        <w:spacing w:line="440" w:lineRule="exact"/>
        <w:ind w:firstLine="482" w:firstLineChars="200"/>
        <w:rPr>
          <w:b/>
          <w:bCs/>
          <w:sz w:val="24"/>
          <w:szCs w:val="24"/>
        </w:rPr>
      </w:pPr>
      <w:bookmarkStart w:id="90" w:name="_Toc25928"/>
      <w:bookmarkStart w:id="91" w:name="_Toc34838410"/>
      <w:bookmarkStart w:id="92" w:name="_Toc26177982"/>
      <w:bookmarkStart w:id="93" w:name="_Toc16915"/>
      <w:r>
        <w:rPr>
          <w:rFonts w:hint="eastAsia"/>
          <w:b/>
          <w:bCs/>
          <w:sz w:val="24"/>
          <w:szCs w:val="24"/>
        </w:rPr>
        <w:t>25.1 材 料</w:t>
      </w:r>
      <w:bookmarkEnd w:id="90"/>
      <w:bookmarkEnd w:id="91"/>
      <w:bookmarkEnd w:id="92"/>
      <w:bookmarkEnd w:id="93"/>
    </w:p>
    <w:p w14:paraId="6C404BB0">
      <w:pPr>
        <w:spacing w:line="440" w:lineRule="exact"/>
        <w:ind w:firstLine="480" w:firstLineChars="200"/>
        <w:rPr>
          <w:sz w:val="24"/>
          <w:szCs w:val="24"/>
        </w:rPr>
      </w:pPr>
      <w:r>
        <w:rPr>
          <w:rFonts w:hint="eastAsia"/>
          <w:sz w:val="24"/>
          <w:szCs w:val="24"/>
        </w:rPr>
        <w:t>25.1.1  路面标线所用涂料应符合《路面标线涂料》（JT/T 280-2004）的规定，应能满足在沥青混凝土、水泥混凝土路面上耐久使用的要求，且应有合适的施工机械与之配套。</w:t>
      </w:r>
    </w:p>
    <w:p w14:paraId="3AB326E8">
      <w:pPr>
        <w:spacing w:line="440" w:lineRule="exact"/>
        <w:ind w:firstLine="480" w:firstLineChars="200"/>
        <w:rPr>
          <w:sz w:val="24"/>
          <w:szCs w:val="24"/>
        </w:rPr>
      </w:pPr>
      <w:r>
        <w:rPr>
          <w:rFonts w:hint="eastAsia"/>
          <w:sz w:val="24"/>
          <w:szCs w:val="24"/>
        </w:rPr>
        <w:t>25.1.2  路面标线涂料的色度性能应符合《安全色》（GB 2893-2008）的要求，其色品坐标应符合《路面标线涂料》（JT/T 280-2004）表6和图1中规定的范围。</w:t>
      </w:r>
    </w:p>
    <w:p w14:paraId="31950509">
      <w:pPr>
        <w:spacing w:line="440" w:lineRule="exact"/>
        <w:ind w:firstLine="480" w:firstLineChars="200"/>
        <w:rPr>
          <w:sz w:val="24"/>
          <w:szCs w:val="24"/>
        </w:rPr>
      </w:pPr>
      <w:r>
        <w:rPr>
          <w:rFonts w:hint="eastAsia"/>
          <w:sz w:val="24"/>
          <w:szCs w:val="24"/>
        </w:rPr>
        <w:t>25.1.3 宜用1号玻璃珠作为面撒玻璃珠、2号玻璃珠作为预混玻璃珠，玻璃珠的各项指标应满足《路面标线用玻璃珠》（GB/T 24722-2009）的相关要求。</w:t>
      </w:r>
    </w:p>
    <w:p w14:paraId="0E35BD5A">
      <w:pPr>
        <w:spacing w:line="440" w:lineRule="exact"/>
        <w:ind w:firstLine="480" w:firstLineChars="200"/>
        <w:rPr>
          <w:sz w:val="24"/>
          <w:szCs w:val="24"/>
        </w:rPr>
      </w:pPr>
      <w:r>
        <w:rPr>
          <w:rFonts w:hint="eastAsia"/>
          <w:sz w:val="24"/>
          <w:szCs w:val="24"/>
        </w:rPr>
        <w:t>25.1.4 所采用的热熔涂料及玻璃珠材料，在满足《路面标线涂料》（JT/T 280）、《路面标线用玻璃珠》（GB/T 24722）和《安全色》（GB 2893）标准的全部要求外，还应满足表1、表2规定的关键技术指标要求：</w:t>
      </w:r>
    </w:p>
    <w:p w14:paraId="2C937D8F">
      <w:pPr>
        <w:spacing w:line="440" w:lineRule="exact"/>
        <w:ind w:firstLine="482"/>
        <w:jc w:val="center"/>
        <w:rPr>
          <w:sz w:val="24"/>
          <w:szCs w:val="24"/>
        </w:rPr>
      </w:pPr>
      <w:r>
        <w:rPr>
          <w:rFonts w:hint="eastAsia"/>
          <w:sz w:val="24"/>
          <w:szCs w:val="24"/>
        </w:rPr>
        <w:t>表1  热熔型涂料原材料关键技术指标</w:t>
      </w:r>
    </w:p>
    <w:tbl>
      <w:tblPr>
        <w:tblStyle w:val="23"/>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778"/>
        <w:gridCol w:w="2050"/>
        <w:gridCol w:w="5053"/>
      </w:tblGrid>
      <w:tr w14:paraId="7C0E40D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8" w:type="dxa"/>
            <w:vAlign w:val="center"/>
          </w:tcPr>
          <w:p w14:paraId="0CF09E2B">
            <w:pPr>
              <w:spacing w:line="440" w:lineRule="exact"/>
              <w:ind w:firstLine="422"/>
              <w:rPr>
                <w:szCs w:val="21"/>
              </w:rPr>
            </w:pPr>
            <w:r>
              <w:rPr>
                <w:rFonts w:hint="eastAsia"/>
                <w:szCs w:val="21"/>
              </w:rPr>
              <w:t>材料名称</w:t>
            </w:r>
          </w:p>
        </w:tc>
        <w:tc>
          <w:tcPr>
            <w:tcW w:w="2050" w:type="dxa"/>
            <w:vAlign w:val="center"/>
          </w:tcPr>
          <w:p w14:paraId="7D88D3D3">
            <w:pPr>
              <w:spacing w:line="440" w:lineRule="exact"/>
              <w:ind w:firstLine="422"/>
              <w:rPr>
                <w:szCs w:val="21"/>
              </w:rPr>
            </w:pPr>
            <w:r>
              <w:rPr>
                <w:rFonts w:hint="eastAsia"/>
                <w:szCs w:val="21"/>
              </w:rPr>
              <w:t>技术指标</w:t>
            </w:r>
          </w:p>
        </w:tc>
        <w:tc>
          <w:tcPr>
            <w:tcW w:w="5053" w:type="dxa"/>
            <w:vAlign w:val="center"/>
          </w:tcPr>
          <w:p w14:paraId="4C506E2C">
            <w:pPr>
              <w:spacing w:line="440" w:lineRule="exact"/>
              <w:ind w:firstLine="422"/>
              <w:rPr>
                <w:szCs w:val="21"/>
              </w:rPr>
            </w:pPr>
            <w:r>
              <w:rPr>
                <w:rFonts w:hint="eastAsia"/>
                <w:szCs w:val="21"/>
              </w:rPr>
              <w:t>技术要求</w:t>
            </w:r>
          </w:p>
        </w:tc>
      </w:tr>
      <w:tr w14:paraId="1DEF331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8" w:type="dxa"/>
            <w:vMerge w:val="restart"/>
            <w:vAlign w:val="center"/>
          </w:tcPr>
          <w:p w14:paraId="16DD7DE4">
            <w:pPr>
              <w:spacing w:line="440" w:lineRule="exact"/>
              <w:ind w:firstLine="422"/>
              <w:rPr>
                <w:szCs w:val="21"/>
              </w:rPr>
            </w:pPr>
            <w:r>
              <w:rPr>
                <w:rFonts w:hint="eastAsia"/>
                <w:szCs w:val="21"/>
              </w:rPr>
              <w:t>标线涂料</w:t>
            </w:r>
          </w:p>
        </w:tc>
        <w:tc>
          <w:tcPr>
            <w:tcW w:w="2050" w:type="dxa"/>
            <w:vAlign w:val="center"/>
          </w:tcPr>
          <w:p w14:paraId="6DC44168">
            <w:pPr>
              <w:spacing w:line="440" w:lineRule="exact"/>
              <w:ind w:firstLine="422"/>
              <w:rPr>
                <w:szCs w:val="21"/>
              </w:rPr>
            </w:pPr>
            <w:r>
              <w:rPr>
                <w:rFonts w:hint="eastAsia"/>
                <w:szCs w:val="21"/>
              </w:rPr>
              <w:t>总有机物含量</w:t>
            </w:r>
          </w:p>
        </w:tc>
        <w:tc>
          <w:tcPr>
            <w:tcW w:w="5053" w:type="dxa"/>
            <w:vAlign w:val="center"/>
          </w:tcPr>
          <w:p w14:paraId="4B630C43">
            <w:pPr>
              <w:spacing w:line="440" w:lineRule="exact"/>
              <w:ind w:firstLine="422"/>
              <w:rPr>
                <w:szCs w:val="21"/>
              </w:rPr>
            </w:pPr>
            <w:r>
              <w:rPr>
                <w:rFonts w:hint="eastAsia"/>
                <w:szCs w:val="21"/>
              </w:rPr>
              <w:t>≥19</w:t>
            </w:r>
            <w:r>
              <w:rPr>
                <w:szCs w:val="21"/>
              </w:rPr>
              <w:t>%</w:t>
            </w:r>
          </w:p>
        </w:tc>
      </w:tr>
      <w:tr w14:paraId="6DFE618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8" w:type="dxa"/>
            <w:vMerge w:val="continue"/>
            <w:vAlign w:val="center"/>
          </w:tcPr>
          <w:p w14:paraId="1B5382C4">
            <w:pPr>
              <w:spacing w:line="440" w:lineRule="exact"/>
              <w:ind w:firstLine="422"/>
              <w:rPr>
                <w:szCs w:val="21"/>
              </w:rPr>
            </w:pPr>
          </w:p>
        </w:tc>
        <w:tc>
          <w:tcPr>
            <w:tcW w:w="2050" w:type="dxa"/>
            <w:vAlign w:val="center"/>
          </w:tcPr>
          <w:p w14:paraId="0AE3D2F4">
            <w:pPr>
              <w:spacing w:line="440" w:lineRule="exact"/>
              <w:ind w:firstLine="422"/>
              <w:rPr>
                <w:szCs w:val="21"/>
              </w:rPr>
            </w:pPr>
            <w:r>
              <w:rPr>
                <w:rFonts w:hint="eastAsia"/>
                <w:szCs w:val="21"/>
              </w:rPr>
              <w:t>钛白粉含量</w:t>
            </w:r>
          </w:p>
        </w:tc>
        <w:tc>
          <w:tcPr>
            <w:tcW w:w="5053" w:type="dxa"/>
            <w:vAlign w:val="center"/>
          </w:tcPr>
          <w:p w14:paraId="719492F0">
            <w:pPr>
              <w:spacing w:line="440" w:lineRule="exact"/>
              <w:ind w:firstLine="422"/>
              <w:rPr>
                <w:szCs w:val="21"/>
              </w:rPr>
            </w:pPr>
            <w:r>
              <w:rPr>
                <w:rFonts w:hint="eastAsia"/>
                <w:szCs w:val="21"/>
              </w:rPr>
              <w:t>≥</w:t>
            </w:r>
            <w:r>
              <w:rPr>
                <w:szCs w:val="21"/>
              </w:rPr>
              <w:t>7</w:t>
            </w:r>
            <w:r>
              <w:rPr>
                <w:rFonts w:hint="eastAsia"/>
                <w:szCs w:val="21"/>
              </w:rPr>
              <w:t>%（重量比）</w:t>
            </w:r>
          </w:p>
        </w:tc>
      </w:tr>
      <w:tr w14:paraId="6EED4D9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8" w:type="dxa"/>
            <w:vAlign w:val="center"/>
          </w:tcPr>
          <w:p w14:paraId="5F27A60B">
            <w:pPr>
              <w:spacing w:line="440" w:lineRule="exact"/>
              <w:ind w:firstLine="422"/>
              <w:rPr>
                <w:szCs w:val="21"/>
              </w:rPr>
            </w:pPr>
            <w:r>
              <w:rPr>
                <w:rFonts w:hint="eastAsia"/>
                <w:szCs w:val="21"/>
              </w:rPr>
              <w:t>面撒及内混玻璃珠</w:t>
            </w:r>
          </w:p>
        </w:tc>
        <w:tc>
          <w:tcPr>
            <w:tcW w:w="2050" w:type="dxa"/>
            <w:vAlign w:val="center"/>
          </w:tcPr>
          <w:p w14:paraId="450CBC00">
            <w:pPr>
              <w:spacing w:line="440" w:lineRule="exact"/>
              <w:ind w:firstLine="422"/>
              <w:rPr>
                <w:szCs w:val="21"/>
              </w:rPr>
            </w:pPr>
            <w:r>
              <w:rPr>
                <w:rFonts w:hint="eastAsia"/>
                <w:szCs w:val="21"/>
              </w:rPr>
              <w:t>成圆率</w:t>
            </w:r>
          </w:p>
        </w:tc>
        <w:tc>
          <w:tcPr>
            <w:tcW w:w="5053" w:type="dxa"/>
            <w:vAlign w:val="center"/>
          </w:tcPr>
          <w:p w14:paraId="2FAFE0E5">
            <w:pPr>
              <w:spacing w:line="440" w:lineRule="exact"/>
              <w:ind w:firstLine="422"/>
              <w:rPr>
                <w:szCs w:val="21"/>
              </w:rPr>
            </w:pPr>
            <w:r>
              <w:rPr>
                <w:rFonts w:hint="eastAsia"/>
                <w:szCs w:val="21"/>
              </w:rPr>
              <w:t>≥90%（面撒</w:t>
            </w:r>
            <w:r>
              <w:rPr>
                <w:szCs w:val="21"/>
              </w:rPr>
              <w:t>玻璃珠）</w:t>
            </w:r>
            <w:r>
              <w:rPr>
                <w:rFonts w:hint="eastAsia"/>
                <w:szCs w:val="21"/>
              </w:rPr>
              <w:t>、≥80%（内混</w:t>
            </w:r>
            <w:r>
              <w:rPr>
                <w:szCs w:val="21"/>
              </w:rPr>
              <w:t>玻璃珠）</w:t>
            </w:r>
          </w:p>
        </w:tc>
      </w:tr>
    </w:tbl>
    <w:p w14:paraId="71F8B1C4">
      <w:pPr>
        <w:spacing w:line="440" w:lineRule="exact"/>
        <w:ind w:firstLine="482"/>
        <w:jc w:val="center"/>
        <w:rPr>
          <w:sz w:val="24"/>
          <w:szCs w:val="24"/>
        </w:rPr>
      </w:pPr>
      <w:r>
        <w:rPr>
          <w:rFonts w:hint="eastAsia"/>
          <w:sz w:val="24"/>
          <w:szCs w:val="24"/>
        </w:rPr>
        <w:t>表2  热熔型涂料混合料的性能</w:t>
      </w:r>
    </w:p>
    <w:tbl>
      <w:tblPr>
        <w:tblStyle w:val="23"/>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261"/>
        <w:gridCol w:w="1419"/>
        <w:gridCol w:w="3015"/>
        <w:gridCol w:w="242"/>
        <w:gridCol w:w="2972"/>
      </w:tblGrid>
      <w:tr w14:paraId="2B88C04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2680" w:type="dxa"/>
            <w:gridSpan w:val="2"/>
            <w:vMerge w:val="restart"/>
            <w:vAlign w:val="center"/>
          </w:tcPr>
          <w:p w14:paraId="7B8526A8">
            <w:pPr>
              <w:spacing w:line="440" w:lineRule="exact"/>
              <w:ind w:firstLine="422"/>
              <w:rPr>
                <w:szCs w:val="21"/>
              </w:rPr>
            </w:pPr>
            <w:r>
              <w:rPr>
                <w:szCs w:val="21"/>
              </w:rPr>
              <w:t>项目</w:t>
            </w:r>
          </w:p>
        </w:tc>
        <w:tc>
          <w:tcPr>
            <w:tcW w:w="6229" w:type="dxa"/>
            <w:gridSpan w:val="3"/>
            <w:vAlign w:val="center"/>
          </w:tcPr>
          <w:p w14:paraId="4B50A5A5">
            <w:pPr>
              <w:spacing w:line="440" w:lineRule="exact"/>
              <w:ind w:firstLine="422"/>
              <w:rPr>
                <w:szCs w:val="21"/>
              </w:rPr>
            </w:pPr>
            <w:r>
              <w:rPr>
                <w:rFonts w:hint="eastAsia"/>
                <w:szCs w:val="21"/>
              </w:rPr>
              <w:t xml:space="preserve">      热熔型</w:t>
            </w:r>
          </w:p>
        </w:tc>
      </w:tr>
      <w:tr w14:paraId="5F3C7AC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2680" w:type="dxa"/>
            <w:gridSpan w:val="2"/>
            <w:vMerge w:val="continue"/>
            <w:vAlign w:val="center"/>
          </w:tcPr>
          <w:p w14:paraId="34745CD2">
            <w:pPr>
              <w:spacing w:line="440" w:lineRule="exact"/>
              <w:ind w:firstLine="422"/>
              <w:rPr>
                <w:szCs w:val="21"/>
              </w:rPr>
            </w:pPr>
          </w:p>
        </w:tc>
        <w:tc>
          <w:tcPr>
            <w:tcW w:w="3257" w:type="dxa"/>
            <w:gridSpan w:val="2"/>
            <w:tcBorders>
              <w:right w:val="single" w:color="auto" w:sz="4" w:space="0"/>
            </w:tcBorders>
            <w:vAlign w:val="center"/>
          </w:tcPr>
          <w:p w14:paraId="3C16E116">
            <w:pPr>
              <w:spacing w:line="440" w:lineRule="exact"/>
              <w:ind w:firstLine="422"/>
              <w:rPr>
                <w:szCs w:val="21"/>
              </w:rPr>
            </w:pPr>
            <w:r>
              <w:rPr>
                <w:rFonts w:hint="eastAsia"/>
                <w:szCs w:val="21"/>
              </w:rPr>
              <w:t>反光型</w:t>
            </w:r>
          </w:p>
        </w:tc>
        <w:tc>
          <w:tcPr>
            <w:tcW w:w="2972" w:type="dxa"/>
            <w:tcBorders>
              <w:left w:val="single" w:color="auto" w:sz="4" w:space="0"/>
            </w:tcBorders>
            <w:vAlign w:val="center"/>
          </w:tcPr>
          <w:p w14:paraId="060580EF">
            <w:pPr>
              <w:spacing w:line="440" w:lineRule="exact"/>
              <w:ind w:firstLine="422"/>
              <w:rPr>
                <w:szCs w:val="21"/>
              </w:rPr>
            </w:pPr>
            <w:r>
              <w:rPr>
                <w:szCs w:val="21"/>
              </w:rPr>
              <w:t>突起型</w:t>
            </w:r>
          </w:p>
        </w:tc>
      </w:tr>
      <w:tr w14:paraId="670368D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2680" w:type="dxa"/>
            <w:gridSpan w:val="2"/>
            <w:vAlign w:val="center"/>
          </w:tcPr>
          <w:p w14:paraId="40AAE8C6">
            <w:pPr>
              <w:spacing w:line="440" w:lineRule="exact"/>
              <w:ind w:firstLine="422"/>
              <w:rPr>
                <w:szCs w:val="21"/>
              </w:rPr>
            </w:pPr>
            <w:r>
              <w:rPr>
                <w:szCs w:val="21"/>
              </w:rPr>
              <w:t>软化点(℃)</w:t>
            </w:r>
          </w:p>
        </w:tc>
        <w:tc>
          <w:tcPr>
            <w:tcW w:w="6229" w:type="dxa"/>
            <w:gridSpan w:val="3"/>
            <w:vAlign w:val="center"/>
          </w:tcPr>
          <w:p w14:paraId="115CA276">
            <w:pPr>
              <w:spacing w:line="440" w:lineRule="exact"/>
              <w:ind w:firstLine="422"/>
              <w:rPr>
                <w:szCs w:val="21"/>
              </w:rPr>
            </w:pPr>
            <w:r>
              <w:rPr>
                <w:rFonts w:hint="eastAsia"/>
                <w:szCs w:val="21"/>
              </w:rPr>
              <w:t>100</w:t>
            </w:r>
            <w:r>
              <w:rPr>
                <w:szCs w:val="21"/>
              </w:rPr>
              <w:t>～125</w:t>
            </w:r>
          </w:p>
          <w:p w14:paraId="093B4A23">
            <w:pPr>
              <w:spacing w:line="440" w:lineRule="exact"/>
              <w:ind w:firstLine="422"/>
              <w:rPr>
                <w:szCs w:val="21"/>
              </w:rPr>
            </w:pPr>
            <w:r>
              <w:rPr>
                <w:szCs w:val="21"/>
              </w:rPr>
              <w:t>100</w:t>
            </w:r>
          </w:p>
        </w:tc>
      </w:tr>
      <w:tr w14:paraId="3297B90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2680" w:type="dxa"/>
            <w:gridSpan w:val="2"/>
            <w:vAlign w:val="center"/>
          </w:tcPr>
          <w:p w14:paraId="2AD28B3C">
            <w:pPr>
              <w:spacing w:line="440" w:lineRule="exact"/>
              <w:ind w:firstLine="422"/>
              <w:rPr>
                <w:szCs w:val="21"/>
              </w:rPr>
            </w:pPr>
            <w:r>
              <w:rPr>
                <w:rFonts w:hint="eastAsia"/>
                <w:szCs w:val="21"/>
              </w:rPr>
              <w:t>内混</w:t>
            </w:r>
            <w:r>
              <w:rPr>
                <w:szCs w:val="21"/>
              </w:rPr>
              <w:t>玻璃珠含量(%)</w:t>
            </w:r>
          </w:p>
        </w:tc>
        <w:tc>
          <w:tcPr>
            <w:tcW w:w="6229" w:type="dxa"/>
            <w:gridSpan w:val="3"/>
            <w:vAlign w:val="center"/>
          </w:tcPr>
          <w:p w14:paraId="1CAD17EC">
            <w:pPr>
              <w:spacing w:line="440" w:lineRule="exact"/>
              <w:ind w:firstLine="422"/>
              <w:rPr>
                <w:szCs w:val="21"/>
              </w:rPr>
            </w:pPr>
            <w:r>
              <w:rPr>
                <w:rFonts w:hint="eastAsia"/>
                <w:szCs w:val="21"/>
              </w:rPr>
              <w:t>≥18</w:t>
            </w:r>
          </w:p>
        </w:tc>
      </w:tr>
      <w:tr w14:paraId="27C680E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1261" w:type="dxa"/>
            <w:vMerge w:val="restart"/>
            <w:vAlign w:val="center"/>
          </w:tcPr>
          <w:p w14:paraId="2935A22D">
            <w:pPr>
              <w:spacing w:line="440" w:lineRule="exact"/>
              <w:ind w:firstLine="422"/>
              <w:rPr>
                <w:szCs w:val="21"/>
              </w:rPr>
            </w:pPr>
            <w:r>
              <w:rPr>
                <w:rFonts w:hint="eastAsia"/>
                <w:szCs w:val="21"/>
              </w:rPr>
              <w:t>亮度因素</w:t>
            </w:r>
          </w:p>
        </w:tc>
        <w:tc>
          <w:tcPr>
            <w:tcW w:w="1419" w:type="dxa"/>
            <w:vAlign w:val="center"/>
          </w:tcPr>
          <w:p w14:paraId="5DD7DF5D">
            <w:pPr>
              <w:spacing w:line="440" w:lineRule="exact"/>
              <w:ind w:firstLine="422"/>
              <w:rPr>
                <w:szCs w:val="21"/>
              </w:rPr>
            </w:pPr>
            <w:r>
              <w:rPr>
                <w:szCs w:val="21"/>
              </w:rPr>
              <w:t>白色</w:t>
            </w:r>
          </w:p>
        </w:tc>
        <w:tc>
          <w:tcPr>
            <w:tcW w:w="3015" w:type="dxa"/>
            <w:tcBorders>
              <w:right w:val="single" w:color="auto" w:sz="4" w:space="0"/>
            </w:tcBorders>
            <w:vAlign w:val="center"/>
          </w:tcPr>
          <w:p w14:paraId="4B8B0718">
            <w:pPr>
              <w:spacing w:line="440" w:lineRule="exact"/>
              <w:ind w:firstLine="422"/>
              <w:rPr>
                <w:szCs w:val="21"/>
              </w:rPr>
            </w:pPr>
            <w:r>
              <w:rPr>
                <w:rFonts w:hint="eastAsia"/>
                <w:szCs w:val="21"/>
              </w:rPr>
              <w:t>≥0.82</w:t>
            </w:r>
          </w:p>
        </w:tc>
        <w:tc>
          <w:tcPr>
            <w:tcW w:w="3214" w:type="dxa"/>
            <w:gridSpan w:val="2"/>
            <w:tcBorders>
              <w:left w:val="single" w:color="auto" w:sz="4" w:space="0"/>
              <w:bottom w:val="single" w:color="auto" w:sz="4" w:space="0"/>
            </w:tcBorders>
            <w:vAlign w:val="center"/>
          </w:tcPr>
          <w:p w14:paraId="05EBD902">
            <w:pPr>
              <w:spacing w:line="440" w:lineRule="exact"/>
              <w:ind w:firstLine="422"/>
              <w:rPr>
                <w:szCs w:val="21"/>
              </w:rPr>
            </w:pPr>
            <w:r>
              <w:rPr>
                <w:rFonts w:hint="eastAsia"/>
                <w:szCs w:val="21"/>
              </w:rPr>
              <w:t>≥0.8</w:t>
            </w:r>
            <w:r>
              <w:rPr>
                <w:szCs w:val="21"/>
              </w:rPr>
              <w:t>0</w:t>
            </w:r>
          </w:p>
        </w:tc>
      </w:tr>
      <w:tr w14:paraId="7FD337F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1261" w:type="dxa"/>
            <w:vMerge w:val="continue"/>
            <w:vAlign w:val="center"/>
          </w:tcPr>
          <w:p w14:paraId="0F8986A7">
            <w:pPr>
              <w:spacing w:line="440" w:lineRule="exact"/>
              <w:ind w:firstLine="422"/>
              <w:rPr>
                <w:szCs w:val="21"/>
              </w:rPr>
            </w:pPr>
          </w:p>
        </w:tc>
        <w:tc>
          <w:tcPr>
            <w:tcW w:w="1419" w:type="dxa"/>
            <w:vAlign w:val="center"/>
          </w:tcPr>
          <w:p w14:paraId="794D0DAC">
            <w:pPr>
              <w:spacing w:line="440" w:lineRule="exact"/>
              <w:ind w:firstLine="422"/>
              <w:rPr>
                <w:szCs w:val="21"/>
              </w:rPr>
            </w:pPr>
            <w:r>
              <w:rPr>
                <w:szCs w:val="21"/>
              </w:rPr>
              <w:t>黄色</w:t>
            </w:r>
          </w:p>
        </w:tc>
        <w:tc>
          <w:tcPr>
            <w:tcW w:w="3015" w:type="dxa"/>
            <w:tcBorders>
              <w:right w:val="single" w:color="auto" w:sz="4" w:space="0"/>
            </w:tcBorders>
            <w:vAlign w:val="center"/>
          </w:tcPr>
          <w:p w14:paraId="7135846A">
            <w:pPr>
              <w:spacing w:line="440" w:lineRule="exact"/>
              <w:ind w:firstLine="422"/>
              <w:rPr>
                <w:szCs w:val="21"/>
              </w:rPr>
            </w:pPr>
            <w:r>
              <w:rPr>
                <w:rFonts w:hint="eastAsia"/>
                <w:szCs w:val="21"/>
              </w:rPr>
              <w:t xml:space="preserve">≥0.45  </w:t>
            </w:r>
          </w:p>
        </w:tc>
        <w:tc>
          <w:tcPr>
            <w:tcW w:w="3214" w:type="dxa"/>
            <w:gridSpan w:val="2"/>
            <w:tcBorders>
              <w:top w:val="single" w:color="auto" w:sz="4" w:space="0"/>
              <w:left w:val="single" w:color="auto" w:sz="4" w:space="0"/>
            </w:tcBorders>
            <w:vAlign w:val="center"/>
          </w:tcPr>
          <w:p w14:paraId="7E7499ED">
            <w:pPr>
              <w:spacing w:line="440" w:lineRule="exact"/>
              <w:ind w:firstLine="422"/>
              <w:rPr>
                <w:szCs w:val="21"/>
              </w:rPr>
            </w:pPr>
            <w:r>
              <w:rPr>
                <w:rFonts w:hint="eastAsia"/>
                <w:szCs w:val="21"/>
              </w:rPr>
              <w:t>≥0.45</w:t>
            </w:r>
          </w:p>
        </w:tc>
      </w:tr>
      <w:tr w14:paraId="0D485EF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90" w:hRule="exact"/>
          <w:jc w:val="center"/>
        </w:trPr>
        <w:tc>
          <w:tcPr>
            <w:tcW w:w="2680" w:type="dxa"/>
            <w:gridSpan w:val="2"/>
            <w:vAlign w:val="center"/>
          </w:tcPr>
          <w:p w14:paraId="60778F56">
            <w:pPr>
              <w:spacing w:line="440" w:lineRule="exact"/>
              <w:ind w:firstLine="422"/>
              <w:rPr>
                <w:szCs w:val="21"/>
              </w:rPr>
            </w:pPr>
            <w:r>
              <w:rPr>
                <w:szCs w:val="21"/>
              </w:rPr>
              <w:t>抗压强度(MPa)</w:t>
            </w:r>
          </w:p>
        </w:tc>
        <w:tc>
          <w:tcPr>
            <w:tcW w:w="3257" w:type="dxa"/>
            <w:gridSpan w:val="2"/>
            <w:vAlign w:val="center"/>
          </w:tcPr>
          <w:p w14:paraId="4F4D16D4">
            <w:pPr>
              <w:spacing w:line="440" w:lineRule="exact"/>
              <w:ind w:firstLine="422"/>
              <w:rPr>
                <w:szCs w:val="21"/>
              </w:rPr>
            </w:pPr>
            <w:r>
              <w:rPr>
                <w:szCs w:val="21"/>
              </w:rPr>
              <w:t>≥1</w:t>
            </w:r>
            <w:r>
              <w:rPr>
                <w:rFonts w:hint="eastAsia"/>
                <w:szCs w:val="21"/>
              </w:rPr>
              <w:t>5.0</w:t>
            </w:r>
          </w:p>
        </w:tc>
        <w:tc>
          <w:tcPr>
            <w:tcW w:w="2972" w:type="dxa"/>
            <w:vAlign w:val="center"/>
          </w:tcPr>
          <w:p w14:paraId="2D01BEDC">
            <w:pPr>
              <w:spacing w:line="440" w:lineRule="exact"/>
              <w:ind w:firstLine="422"/>
              <w:rPr>
                <w:szCs w:val="21"/>
                <w:vertAlign w:val="superscript"/>
              </w:rPr>
            </w:pPr>
            <w:r>
              <w:rPr>
                <w:szCs w:val="21"/>
              </w:rPr>
              <w:t>23℃±1℃时，≥1</w:t>
            </w:r>
            <w:r>
              <w:rPr>
                <w:rFonts w:hint="eastAsia"/>
                <w:szCs w:val="21"/>
              </w:rPr>
              <w:t>5.0</w:t>
            </w:r>
          </w:p>
          <w:p w14:paraId="0FAE82BF">
            <w:pPr>
              <w:spacing w:line="440" w:lineRule="exact"/>
              <w:ind w:firstLine="422"/>
              <w:rPr>
                <w:szCs w:val="21"/>
              </w:rPr>
            </w:pPr>
            <w:r>
              <w:rPr>
                <w:rFonts w:hint="eastAsia"/>
                <w:szCs w:val="21"/>
              </w:rPr>
              <w:t>50</w:t>
            </w:r>
            <w:r>
              <w:rPr>
                <w:szCs w:val="21"/>
              </w:rPr>
              <w:t>℃±2℃时，≥2</w:t>
            </w:r>
            <w:r>
              <w:rPr>
                <w:rFonts w:hint="eastAsia"/>
                <w:szCs w:val="21"/>
              </w:rPr>
              <w:t>.0</w:t>
            </w:r>
            <w:r>
              <w:rPr>
                <w:szCs w:val="21"/>
              </w:rPr>
              <w:t>（压下试块高度的20%）</w:t>
            </w:r>
          </w:p>
        </w:tc>
      </w:tr>
      <w:tr w14:paraId="2F5F19C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00" w:hRule="exact"/>
          <w:jc w:val="center"/>
        </w:trPr>
        <w:tc>
          <w:tcPr>
            <w:tcW w:w="2680" w:type="dxa"/>
            <w:gridSpan w:val="2"/>
            <w:vAlign w:val="center"/>
          </w:tcPr>
          <w:p w14:paraId="22D828A4">
            <w:pPr>
              <w:spacing w:line="440" w:lineRule="exact"/>
              <w:ind w:firstLine="422"/>
              <w:rPr>
                <w:szCs w:val="21"/>
              </w:rPr>
            </w:pPr>
            <w:r>
              <w:rPr>
                <w:szCs w:val="21"/>
              </w:rPr>
              <w:t>耐磨性（mg）</w:t>
            </w:r>
          </w:p>
          <w:p w14:paraId="01657AFD">
            <w:pPr>
              <w:spacing w:line="440" w:lineRule="exact"/>
              <w:ind w:firstLine="422"/>
              <w:rPr>
                <w:szCs w:val="21"/>
              </w:rPr>
            </w:pPr>
            <w:r>
              <w:rPr>
                <w:szCs w:val="21"/>
              </w:rPr>
              <w:t>(200转/1000g后减重)</w:t>
            </w:r>
          </w:p>
        </w:tc>
        <w:tc>
          <w:tcPr>
            <w:tcW w:w="3257" w:type="dxa"/>
            <w:gridSpan w:val="2"/>
            <w:vAlign w:val="center"/>
          </w:tcPr>
          <w:p w14:paraId="6F85C9BE">
            <w:pPr>
              <w:spacing w:line="440" w:lineRule="exact"/>
              <w:ind w:firstLine="422"/>
              <w:rPr>
                <w:szCs w:val="21"/>
              </w:rPr>
            </w:pPr>
            <w:r>
              <w:rPr>
                <w:szCs w:val="21"/>
              </w:rPr>
              <w:t></w:t>
            </w:r>
            <w:r>
              <w:rPr>
                <w:rFonts w:hint="eastAsia"/>
                <w:szCs w:val="21"/>
              </w:rPr>
              <w:t>≤6</w:t>
            </w:r>
            <w:r>
              <w:rPr>
                <w:szCs w:val="21"/>
              </w:rPr>
              <w:t>0（JM-100橡胶砂轮）</w:t>
            </w:r>
          </w:p>
        </w:tc>
        <w:tc>
          <w:tcPr>
            <w:tcW w:w="2972" w:type="dxa"/>
            <w:vAlign w:val="center"/>
          </w:tcPr>
          <w:p w14:paraId="3A233D00">
            <w:pPr>
              <w:spacing w:line="440" w:lineRule="exact"/>
              <w:ind w:firstLine="422"/>
              <w:rPr>
                <w:szCs w:val="21"/>
              </w:rPr>
            </w:pPr>
            <w:r>
              <w:rPr>
                <w:szCs w:val="21"/>
              </w:rPr>
              <w:t>—</w:t>
            </w:r>
          </w:p>
        </w:tc>
      </w:tr>
    </w:tbl>
    <w:p w14:paraId="627DEBB8">
      <w:pPr>
        <w:spacing w:line="440" w:lineRule="exact"/>
        <w:ind w:firstLine="480" w:firstLineChars="200"/>
        <w:rPr>
          <w:sz w:val="24"/>
          <w:szCs w:val="24"/>
        </w:rPr>
      </w:pPr>
      <w:r>
        <w:rPr>
          <w:rFonts w:hint="eastAsia"/>
          <w:sz w:val="24"/>
          <w:szCs w:val="24"/>
        </w:rPr>
        <w:t>25.1.5 材料的检验、包装、运输和储存以及涂料的试验应满足《公路工程标准施工招标文件》（2018年版）的有关要求。</w:t>
      </w:r>
    </w:p>
    <w:p w14:paraId="34D22C39">
      <w:pPr>
        <w:spacing w:line="440" w:lineRule="exact"/>
        <w:ind w:firstLine="480" w:firstLineChars="200"/>
        <w:rPr>
          <w:sz w:val="24"/>
          <w:szCs w:val="24"/>
          <w:u w:val="double"/>
        </w:rPr>
      </w:pPr>
      <w:r>
        <w:rPr>
          <w:rFonts w:hint="eastAsia"/>
          <w:sz w:val="24"/>
          <w:szCs w:val="24"/>
          <w:u w:val="double"/>
        </w:rPr>
        <w:t>25.1.6  应对运至工地的涂料和玻璃珠等材料进行抽样检验，不合格产品，严禁使用。</w:t>
      </w:r>
    </w:p>
    <w:p w14:paraId="4C43CFA5">
      <w:pPr>
        <w:spacing w:line="440" w:lineRule="exact"/>
        <w:ind w:firstLine="482" w:firstLineChars="200"/>
        <w:rPr>
          <w:b/>
          <w:bCs/>
          <w:sz w:val="24"/>
          <w:szCs w:val="24"/>
        </w:rPr>
      </w:pPr>
      <w:bookmarkStart w:id="94" w:name="_Toc26177988"/>
      <w:bookmarkStart w:id="95" w:name="_Toc17671"/>
      <w:bookmarkStart w:id="96" w:name="_Toc30984"/>
      <w:bookmarkStart w:id="97" w:name="_Toc34838411"/>
      <w:r>
        <w:rPr>
          <w:rFonts w:hint="eastAsia"/>
          <w:b/>
          <w:bCs/>
          <w:sz w:val="24"/>
          <w:szCs w:val="24"/>
        </w:rPr>
        <w:t>25.2 施工要求</w:t>
      </w:r>
      <w:bookmarkEnd w:id="94"/>
      <w:bookmarkEnd w:id="95"/>
      <w:bookmarkEnd w:id="96"/>
      <w:bookmarkEnd w:id="97"/>
      <w:bookmarkStart w:id="98" w:name="_Toc22743"/>
      <w:bookmarkStart w:id="99" w:name="_Toc11817"/>
      <w:bookmarkStart w:id="100" w:name="_Toc2661"/>
      <w:bookmarkStart w:id="101" w:name="_Toc26177989"/>
    </w:p>
    <w:p w14:paraId="5C8AC827">
      <w:pPr>
        <w:spacing w:line="440" w:lineRule="exact"/>
        <w:ind w:firstLine="480" w:firstLineChars="200"/>
        <w:rPr>
          <w:sz w:val="24"/>
          <w:szCs w:val="24"/>
        </w:rPr>
      </w:pPr>
      <w:bookmarkStart w:id="102" w:name="_Toc34838412"/>
      <w:r>
        <w:rPr>
          <w:rFonts w:hint="eastAsia"/>
          <w:sz w:val="24"/>
          <w:szCs w:val="24"/>
        </w:rPr>
        <w:t>25.2.1 旧标线清除</w:t>
      </w:r>
      <w:bookmarkEnd w:id="98"/>
      <w:bookmarkEnd w:id="99"/>
      <w:bookmarkEnd w:id="100"/>
      <w:bookmarkEnd w:id="101"/>
      <w:bookmarkEnd w:id="102"/>
      <w:r>
        <w:rPr>
          <w:rFonts w:hint="eastAsia"/>
          <w:sz w:val="24"/>
          <w:szCs w:val="24"/>
        </w:rPr>
        <w:t>（如有）</w:t>
      </w:r>
    </w:p>
    <w:p w14:paraId="5DF74EA4">
      <w:pPr>
        <w:spacing w:line="440" w:lineRule="exact"/>
        <w:ind w:firstLine="480" w:firstLineChars="200"/>
        <w:rPr>
          <w:sz w:val="24"/>
          <w:szCs w:val="24"/>
          <w:u w:val="double"/>
        </w:rPr>
      </w:pPr>
      <w:r>
        <w:rPr>
          <w:rFonts w:hint="eastAsia"/>
          <w:sz w:val="24"/>
          <w:szCs w:val="24"/>
          <w:u w:val="double"/>
        </w:rPr>
        <w:t>（1） 旧标线应采用除线机清除。除线机应运转正常，磨头损坏后应及时更换，以免在除线过程中损伤路面；</w:t>
      </w:r>
    </w:p>
    <w:p w14:paraId="6E13654A">
      <w:pPr>
        <w:spacing w:line="440" w:lineRule="exact"/>
        <w:ind w:firstLine="480" w:firstLineChars="200"/>
        <w:rPr>
          <w:sz w:val="24"/>
          <w:szCs w:val="24"/>
          <w:u w:val="double"/>
        </w:rPr>
      </w:pPr>
      <w:r>
        <w:rPr>
          <w:rFonts w:hint="eastAsia"/>
          <w:sz w:val="24"/>
          <w:szCs w:val="24"/>
          <w:u w:val="double"/>
        </w:rPr>
        <w:t>（2） 清除旧标线时，每处以打磨两遍为宜，清除掉的旧标线废弃物应及时回收不得随意丢弃，避免污染环境；</w:t>
      </w:r>
    </w:p>
    <w:p w14:paraId="20147F3D">
      <w:pPr>
        <w:spacing w:line="440" w:lineRule="exact"/>
        <w:ind w:firstLine="480" w:firstLineChars="200"/>
        <w:rPr>
          <w:sz w:val="24"/>
          <w:szCs w:val="24"/>
          <w:u w:val="double"/>
        </w:rPr>
      </w:pPr>
      <w:r>
        <w:rPr>
          <w:rFonts w:hint="eastAsia"/>
          <w:sz w:val="24"/>
          <w:szCs w:val="24"/>
          <w:u w:val="double"/>
        </w:rPr>
        <w:t>（3） 旧标线清除后，应使用带钢丝刷的扫地机清扫已除标线部位，然后采用吹风机将路面上的标线废弃物、沙石、尘埃等清扫干净；</w:t>
      </w:r>
    </w:p>
    <w:p w14:paraId="00F37946">
      <w:pPr>
        <w:spacing w:line="440" w:lineRule="exact"/>
        <w:ind w:firstLine="480" w:firstLineChars="200"/>
        <w:rPr>
          <w:sz w:val="24"/>
          <w:szCs w:val="24"/>
          <w:u w:val="double"/>
        </w:rPr>
      </w:pPr>
      <w:r>
        <w:rPr>
          <w:rFonts w:hint="eastAsia"/>
          <w:sz w:val="24"/>
          <w:szCs w:val="24"/>
          <w:u w:val="double"/>
        </w:rPr>
        <w:t>（4） 清除旧标线时应以保护原路面不受损坏为前提，清除面应保持与原路面相平，沥青路面清除面积应尽可能达到80%以上，水泥路面清除面积应尽可能达到95%以上，清除的旧标线应清扫干净。</w:t>
      </w:r>
    </w:p>
    <w:p w14:paraId="5676C3B7">
      <w:pPr>
        <w:spacing w:line="440" w:lineRule="exact"/>
        <w:ind w:firstLine="480" w:firstLineChars="200"/>
        <w:rPr>
          <w:sz w:val="24"/>
          <w:szCs w:val="24"/>
        </w:rPr>
      </w:pPr>
      <w:bookmarkStart w:id="103" w:name="_Toc26177990"/>
      <w:bookmarkStart w:id="104" w:name="_Toc25210"/>
      <w:bookmarkStart w:id="105" w:name="_Toc34838413"/>
      <w:bookmarkStart w:id="106" w:name="_Toc17275"/>
      <w:bookmarkStart w:id="107" w:name="_Toc16836"/>
      <w:r>
        <w:rPr>
          <w:rFonts w:hint="eastAsia"/>
          <w:sz w:val="24"/>
          <w:szCs w:val="24"/>
        </w:rPr>
        <w:t>25.2.2  路面标线施划</w:t>
      </w:r>
      <w:bookmarkEnd w:id="103"/>
      <w:bookmarkEnd w:id="104"/>
      <w:bookmarkEnd w:id="105"/>
      <w:bookmarkEnd w:id="106"/>
      <w:bookmarkEnd w:id="107"/>
    </w:p>
    <w:p w14:paraId="21BFECF6">
      <w:pPr>
        <w:spacing w:line="440" w:lineRule="exact"/>
        <w:ind w:firstLine="480" w:firstLineChars="200"/>
        <w:rPr>
          <w:sz w:val="24"/>
          <w:szCs w:val="24"/>
        </w:rPr>
      </w:pPr>
      <w:r>
        <w:rPr>
          <w:rFonts w:hint="eastAsia"/>
          <w:sz w:val="24"/>
          <w:szCs w:val="24"/>
        </w:rPr>
        <w:t>25.2.2.1 标线施划前的准备</w:t>
      </w:r>
    </w:p>
    <w:p w14:paraId="65ED1345">
      <w:pPr>
        <w:spacing w:line="440" w:lineRule="exact"/>
        <w:ind w:firstLine="480" w:firstLineChars="200"/>
        <w:rPr>
          <w:sz w:val="24"/>
          <w:szCs w:val="24"/>
        </w:rPr>
      </w:pPr>
      <w:r>
        <w:rPr>
          <w:rFonts w:hint="eastAsia"/>
          <w:sz w:val="24"/>
          <w:szCs w:val="24"/>
        </w:rPr>
        <w:t>（1）设置标线的路面表面应清洁干燥，无松散颗粒、灰尘、沥青、油污或其他有害物质。</w:t>
      </w:r>
    </w:p>
    <w:p w14:paraId="33B270E9">
      <w:pPr>
        <w:spacing w:line="440" w:lineRule="exact"/>
        <w:ind w:firstLine="480" w:firstLineChars="200"/>
        <w:rPr>
          <w:sz w:val="24"/>
          <w:szCs w:val="24"/>
        </w:rPr>
      </w:pPr>
      <w:r>
        <w:rPr>
          <w:rFonts w:hint="eastAsia"/>
          <w:sz w:val="24"/>
          <w:szCs w:val="24"/>
        </w:rPr>
        <w:t>（2） 应根据公路横断面的具体尺寸和设计文件的要求确定标线位置和标线宽度、长度，在路面上划出标线位置，</w:t>
      </w:r>
      <w:r>
        <w:rPr>
          <w:rFonts w:hint="eastAsia"/>
          <w:sz w:val="24"/>
          <w:szCs w:val="24"/>
          <w:u w:val="double"/>
        </w:rPr>
        <w:t>保证线条顺直、流畅 ，线型美观。</w:t>
      </w:r>
    </w:p>
    <w:p w14:paraId="72AAC7E0">
      <w:pPr>
        <w:spacing w:line="440" w:lineRule="exact"/>
        <w:ind w:firstLine="480" w:firstLineChars="200"/>
        <w:rPr>
          <w:sz w:val="24"/>
          <w:szCs w:val="24"/>
        </w:rPr>
      </w:pPr>
      <w:r>
        <w:rPr>
          <w:rFonts w:hint="eastAsia"/>
          <w:sz w:val="24"/>
          <w:szCs w:val="24"/>
        </w:rPr>
        <w:t>25.2.2.2 涂刷底油</w:t>
      </w:r>
    </w:p>
    <w:p w14:paraId="082EE704">
      <w:pPr>
        <w:spacing w:line="440" w:lineRule="exact"/>
        <w:ind w:firstLine="480" w:firstLineChars="200"/>
        <w:rPr>
          <w:sz w:val="24"/>
          <w:szCs w:val="24"/>
        </w:rPr>
      </w:pPr>
      <w:r>
        <w:rPr>
          <w:rFonts w:hint="eastAsia"/>
          <w:sz w:val="24"/>
          <w:szCs w:val="24"/>
        </w:rPr>
        <w:t>（1）在水泥路面和旧的沥青路面施加标线需要预涂底油时，应先喷涂热熔底油下涂剂，按试验决定的间隔时间喷涂热熔涂料，以提高其粘结力。</w:t>
      </w:r>
    </w:p>
    <w:p w14:paraId="16E7DA4E">
      <w:pPr>
        <w:spacing w:line="440" w:lineRule="exact"/>
        <w:ind w:firstLine="480" w:firstLineChars="200"/>
        <w:rPr>
          <w:sz w:val="24"/>
          <w:szCs w:val="24"/>
          <w:u w:val="double"/>
        </w:rPr>
      </w:pPr>
      <w:r>
        <w:rPr>
          <w:rFonts w:hint="eastAsia"/>
          <w:sz w:val="24"/>
          <w:szCs w:val="24"/>
        </w:rPr>
        <w:t>（2）为了确保标线涂料和路面材料完全相适应，底油的类型和用量应经监理人批准，</w:t>
      </w:r>
      <w:r>
        <w:rPr>
          <w:rFonts w:hint="eastAsia"/>
          <w:sz w:val="24"/>
          <w:szCs w:val="24"/>
          <w:u w:val="double"/>
        </w:rPr>
        <w:t>原则上，底油用量为0.15kg/㎡～0.20kg/㎡，应使用涂料厂家提供的底油，严禁使用废机油。</w:t>
      </w:r>
    </w:p>
    <w:p w14:paraId="59107CBC">
      <w:pPr>
        <w:spacing w:line="440" w:lineRule="exact"/>
        <w:ind w:firstLine="480" w:firstLineChars="200"/>
        <w:rPr>
          <w:sz w:val="24"/>
          <w:szCs w:val="24"/>
          <w:u w:val="double"/>
        </w:rPr>
      </w:pPr>
      <w:r>
        <w:rPr>
          <w:rFonts w:hint="eastAsia"/>
          <w:sz w:val="24"/>
          <w:szCs w:val="24"/>
          <w:u w:val="double"/>
        </w:rPr>
        <w:t>（3）底油应使用底油喷涂机进行喷涂，喷涂的底油应完全覆盖待划标线部位，且其边缘应较标线宽约1cm。</w:t>
      </w:r>
    </w:p>
    <w:p w14:paraId="51CA6D17">
      <w:pPr>
        <w:spacing w:line="440" w:lineRule="exact"/>
        <w:ind w:firstLine="480" w:firstLineChars="200"/>
        <w:rPr>
          <w:sz w:val="24"/>
          <w:szCs w:val="24"/>
        </w:rPr>
      </w:pPr>
      <w:r>
        <w:rPr>
          <w:rFonts w:hint="eastAsia"/>
          <w:sz w:val="24"/>
          <w:szCs w:val="24"/>
        </w:rPr>
        <w:t>（4）待底油彻底干燥，不粘附灰尘、沙土时，方可进行标线施划，以避免产生气泡甚至脱落等严重质量问题。</w:t>
      </w:r>
    </w:p>
    <w:p w14:paraId="4D0A763C">
      <w:pPr>
        <w:spacing w:line="440" w:lineRule="exact"/>
        <w:ind w:firstLine="480" w:firstLineChars="200"/>
        <w:rPr>
          <w:sz w:val="24"/>
          <w:szCs w:val="24"/>
        </w:rPr>
      </w:pPr>
      <w:r>
        <w:rPr>
          <w:rFonts w:hint="eastAsia"/>
          <w:sz w:val="24"/>
          <w:szCs w:val="24"/>
        </w:rPr>
        <w:t>25.2.2.3  涂料加热</w:t>
      </w:r>
    </w:p>
    <w:p w14:paraId="58AEABDA">
      <w:pPr>
        <w:spacing w:line="440" w:lineRule="exact"/>
        <w:ind w:firstLine="480" w:firstLineChars="200"/>
        <w:rPr>
          <w:sz w:val="24"/>
          <w:szCs w:val="24"/>
          <w:u w:val="double"/>
        </w:rPr>
      </w:pPr>
      <w:r>
        <w:rPr>
          <w:rFonts w:hint="eastAsia"/>
          <w:sz w:val="24"/>
          <w:szCs w:val="24"/>
          <w:u w:val="double"/>
        </w:rPr>
        <w:t>（1）根据环境气温和涂料特性，涂料熔融温度宜保持在215℃～240℃，涂料应在完全熔化，并搅拌均匀后方可使用，禁止使用烧焦的物料。</w:t>
      </w:r>
    </w:p>
    <w:p w14:paraId="741ABA7F">
      <w:pPr>
        <w:spacing w:line="440" w:lineRule="exact"/>
        <w:ind w:firstLine="480" w:firstLineChars="200"/>
        <w:rPr>
          <w:sz w:val="24"/>
          <w:szCs w:val="24"/>
        </w:rPr>
      </w:pPr>
      <w:r>
        <w:rPr>
          <w:rFonts w:hint="eastAsia"/>
          <w:sz w:val="24"/>
          <w:szCs w:val="24"/>
        </w:rPr>
        <w:t>（2）涂料在容器内加热时，温度应控制在涂料生产商的使用说明规定值内，不得超过最高限制温度。烃树脂类材料，保持在熔融状态的时间不得大于6h，树胶树脂类材料，保持在熔融状态的时间不得大于4h。</w:t>
      </w:r>
    </w:p>
    <w:p w14:paraId="00F8ECFB">
      <w:pPr>
        <w:spacing w:line="440" w:lineRule="exact"/>
        <w:ind w:firstLine="480" w:firstLineChars="200"/>
        <w:rPr>
          <w:sz w:val="24"/>
          <w:szCs w:val="24"/>
        </w:rPr>
      </w:pPr>
      <w:r>
        <w:rPr>
          <w:rFonts w:hint="eastAsia"/>
          <w:sz w:val="24"/>
          <w:szCs w:val="24"/>
        </w:rPr>
        <w:t>25.2.2.4 标线施划</w:t>
      </w:r>
    </w:p>
    <w:p w14:paraId="03DF8A3F">
      <w:pPr>
        <w:spacing w:line="440" w:lineRule="exact"/>
        <w:ind w:firstLine="480" w:firstLineChars="200"/>
        <w:rPr>
          <w:sz w:val="24"/>
          <w:szCs w:val="24"/>
        </w:rPr>
      </w:pPr>
      <w:r>
        <w:rPr>
          <w:rFonts w:hint="eastAsia"/>
          <w:sz w:val="24"/>
          <w:szCs w:val="24"/>
        </w:rPr>
        <w:t>（1）标线施工应在白天进行，雨天、风大、灰尘大或气温低于10℃时应暂时停止施工。</w:t>
      </w:r>
    </w:p>
    <w:p w14:paraId="36B6BA3D">
      <w:pPr>
        <w:spacing w:line="440" w:lineRule="exact"/>
        <w:ind w:firstLine="480" w:firstLineChars="200"/>
        <w:rPr>
          <w:sz w:val="24"/>
          <w:szCs w:val="24"/>
        </w:rPr>
      </w:pPr>
      <w:r>
        <w:rPr>
          <w:rFonts w:hint="eastAsia"/>
          <w:sz w:val="24"/>
          <w:szCs w:val="24"/>
        </w:rPr>
        <w:t>（2）正式施划前应进行试划，以检验划线车的行驶速度、线宽、标线厚度、玻璃珠撒布量等能否满足要求。调试合格后才能开始正式施工。</w:t>
      </w:r>
    </w:p>
    <w:p w14:paraId="271156C4">
      <w:pPr>
        <w:spacing w:line="440" w:lineRule="exact"/>
        <w:ind w:firstLine="480" w:firstLineChars="200"/>
        <w:rPr>
          <w:sz w:val="24"/>
          <w:szCs w:val="24"/>
          <w:u w:val="double"/>
        </w:rPr>
      </w:pPr>
      <w:r>
        <w:rPr>
          <w:rFonts w:hint="eastAsia"/>
          <w:sz w:val="24"/>
          <w:szCs w:val="24"/>
          <w:u w:val="double"/>
        </w:rPr>
        <w:t>（3）应使用安装有玻璃珠双撒播器的热熔划线车施划热熔标线，撒布在标线涂层上的玻璃珠应分布均匀，其撒布量应大于0.5kg/㎡，玻璃珠的撒布应经试验确认后方可实施。施工时应根据环境气温和路面状况，将涂料粘度调整到适宜的状态，尽量使面撒的玻璃珠颗粒有约2/3的体积沉入到标线涂层中。</w:t>
      </w:r>
    </w:p>
    <w:p w14:paraId="1CCD4EA4">
      <w:pPr>
        <w:spacing w:line="440" w:lineRule="exact"/>
        <w:ind w:firstLine="480" w:firstLineChars="200"/>
        <w:rPr>
          <w:sz w:val="24"/>
          <w:szCs w:val="24"/>
        </w:rPr>
      </w:pPr>
      <w:r>
        <w:rPr>
          <w:rFonts w:hint="eastAsia"/>
          <w:sz w:val="24"/>
          <w:szCs w:val="24"/>
        </w:rPr>
        <w:t>（4）连续设置的实线类标线，应每隔15m左右设置排水缝，其他标线有可能阻水时，应沿排水方向设置排水缝。排水缝宽度一般为3cm-5cm。</w:t>
      </w:r>
    </w:p>
    <w:p w14:paraId="47127CE6">
      <w:pPr>
        <w:spacing w:line="440" w:lineRule="exact"/>
        <w:ind w:firstLine="480" w:firstLineChars="200"/>
        <w:rPr>
          <w:sz w:val="24"/>
          <w:szCs w:val="24"/>
        </w:rPr>
      </w:pPr>
      <w:r>
        <w:rPr>
          <w:rFonts w:hint="eastAsia"/>
          <w:sz w:val="24"/>
          <w:szCs w:val="24"/>
        </w:rPr>
        <w:t>（5）有缺陷的、施工不当、尺寸不正确或位置错误的标线均应清除，重新施划。</w:t>
      </w:r>
    </w:p>
    <w:p w14:paraId="048A26A8">
      <w:pPr>
        <w:spacing w:line="440" w:lineRule="exact"/>
        <w:ind w:firstLine="480" w:firstLineChars="200"/>
        <w:rPr>
          <w:sz w:val="24"/>
          <w:szCs w:val="24"/>
        </w:rPr>
      </w:pPr>
      <w:r>
        <w:rPr>
          <w:rFonts w:hint="eastAsia"/>
          <w:sz w:val="24"/>
          <w:szCs w:val="24"/>
        </w:rPr>
        <w:t>（6）在作业区内通行，防止将涂料带出或形成车辙，直至标线充分干燥，方可开放交通。</w:t>
      </w:r>
    </w:p>
    <w:p w14:paraId="2734A28F">
      <w:pPr>
        <w:spacing w:line="440" w:lineRule="exact"/>
        <w:ind w:firstLine="482" w:firstLineChars="200"/>
        <w:rPr>
          <w:b/>
          <w:bCs/>
          <w:sz w:val="24"/>
          <w:szCs w:val="24"/>
        </w:rPr>
      </w:pPr>
      <w:bookmarkStart w:id="108" w:name="_Toc28247"/>
      <w:bookmarkStart w:id="109" w:name="_Toc2130"/>
      <w:bookmarkStart w:id="110" w:name="_Toc26177995"/>
      <w:bookmarkStart w:id="111" w:name="_Toc34838414"/>
      <w:r>
        <w:rPr>
          <w:rFonts w:hint="eastAsia"/>
          <w:b/>
          <w:bCs/>
          <w:sz w:val="24"/>
          <w:szCs w:val="24"/>
        </w:rPr>
        <w:t>25.3 质量检验</w:t>
      </w:r>
      <w:bookmarkEnd w:id="108"/>
      <w:bookmarkEnd w:id="109"/>
      <w:bookmarkEnd w:id="110"/>
      <w:bookmarkEnd w:id="111"/>
    </w:p>
    <w:p w14:paraId="0FD8E163">
      <w:pPr>
        <w:spacing w:line="440" w:lineRule="exact"/>
        <w:ind w:firstLine="480" w:firstLineChars="200"/>
        <w:rPr>
          <w:sz w:val="24"/>
          <w:szCs w:val="24"/>
        </w:rPr>
      </w:pPr>
      <w:bookmarkStart w:id="112" w:name="_Toc7400"/>
      <w:bookmarkStart w:id="113" w:name="_Toc26177996"/>
      <w:bookmarkStart w:id="114" w:name="_Toc34838415"/>
      <w:bookmarkStart w:id="115" w:name="_Toc32535"/>
      <w:bookmarkStart w:id="116" w:name="_Toc5572"/>
      <w:r>
        <w:rPr>
          <w:rFonts w:hint="eastAsia"/>
          <w:sz w:val="24"/>
          <w:szCs w:val="24"/>
        </w:rPr>
        <w:t>25.3.1 基本要求</w:t>
      </w:r>
      <w:bookmarkEnd w:id="112"/>
      <w:bookmarkEnd w:id="113"/>
      <w:bookmarkEnd w:id="114"/>
      <w:bookmarkEnd w:id="115"/>
      <w:bookmarkEnd w:id="116"/>
    </w:p>
    <w:p w14:paraId="2D42E737">
      <w:pPr>
        <w:spacing w:line="440" w:lineRule="exact"/>
        <w:ind w:firstLine="480" w:firstLineChars="200"/>
        <w:rPr>
          <w:sz w:val="24"/>
          <w:szCs w:val="24"/>
        </w:rPr>
      </w:pPr>
      <w:r>
        <w:rPr>
          <w:rFonts w:hint="eastAsia"/>
          <w:sz w:val="24"/>
          <w:szCs w:val="24"/>
        </w:rPr>
        <w:t>（1）标线的颜色、形状和位置应符合《道路交通标志和标线》（GB 5768）的规定并满足设计要求。</w:t>
      </w:r>
    </w:p>
    <w:p w14:paraId="0A6952D1">
      <w:pPr>
        <w:spacing w:line="440" w:lineRule="exact"/>
        <w:ind w:firstLine="480" w:firstLineChars="200"/>
        <w:rPr>
          <w:sz w:val="24"/>
          <w:szCs w:val="24"/>
        </w:rPr>
      </w:pPr>
      <w:r>
        <w:rPr>
          <w:rFonts w:hint="eastAsia"/>
          <w:sz w:val="24"/>
          <w:szCs w:val="24"/>
        </w:rPr>
        <w:t>（2）施划后的标线应具有良好的全天候视认性，颜色均匀、边缘整齐、线型规则、线条流畅。</w:t>
      </w:r>
    </w:p>
    <w:p w14:paraId="5CB2258B">
      <w:pPr>
        <w:spacing w:line="440" w:lineRule="exact"/>
        <w:ind w:firstLine="480" w:firstLineChars="200"/>
        <w:rPr>
          <w:sz w:val="24"/>
          <w:szCs w:val="24"/>
        </w:rPr>
      </w:pPr>
      <w:r>
        <w:rPr>
          <w:rFonts w:hint="eastAsia"/>
          <w:sz w:val="24"/>
          <w:szCs w:val="24"/>
        </w:rPr>
        <w:t>（3）标线面撒玻璃珠应撒布均匀。标线无明显起泡、皱纹、开裂、剥落等缺陷。</w:t>
      </w:r>
    </w:p>
    <w:p w14:paraId="196FB70B">
      <w:pPr>
        <w:spacing w:line="440" w:lineRule="exact"/>
        <w:ind w:firstLine="480" w:firstLineChars="200"/>
        <w:rPr>
          <w:sz w:val="24"/>
          <w:szCs w:val="24"/>
          <w:u w:val="double"/>
        </w:rPr>
      </w:pPr>
      <w:r>
        <w:rPr>
          <w:rFonts w:hint="eastAsia"/>
          <w:sz w:val="24"/>
          <w:szCs w:val="24"/>
          <w:u w:val="double"/>
        </w:rPr>
        <w:t>（4）标线施工污染路面应及时清理。</w:t>
      </w:r>
    </w:p>
    <w:p w14:paraId="54EBAA6E">
      <w:pPr>
        <w:spacing w:line="440" w:lineRule="exact"/>
        <w:ind w:firstLine="480" w:firstLineChars="200"/>
        <w:rPr>
          <w:sz w:val="24"/>
          <w:szCs w:val="24"/>
        </w:rPr>
      </w:pPr>
      <w:bookmarkStart w:id="117" w:name="_Toc31345"/>
      <w:bookmarkStart w:id="118" w:name="_Toc31844"/>
      <w:bookmarkStart w:id="119" w:name="_Toc6679"/>
      <w:r>
        <w:rPr>
          <w:rFonts w:hint="eastAsia"/>
          <w:sz w:val="24"/>
          <w:szCs w:val="24"/>
        </w:rPr>
        <w:t>25.3.2 实测项目</w:t>
      </w:r>
      <w:bookmarkEnd w:id="117"/>
      <w:bookmarkEnd w:id="118"/>
      <w:bookmarkEnd w:id="119"/>
    </w:p>
    <w:p w14:paraId="1857AF24">
      <w:pPr>
        <w:spacing w:line="440" w:lineRule="exact"/>
        <w:ind w:firstLine="480" w:firstLineChars="200"/>
        <w:rPr>
          <w:sz w:val="24"/>
          <w:szCs w:val="24"/>
        </w:rPr>
      </w:pPr>
      <w:r>
        <w:rPr>
          <w:rFonts w:hint="eastAsia"/>
          <w:sz w:val="24"/>
          <w:szCs w:val="24"/>
        </w:rPr>
        <w:t>热熔标线实测项目见表3和表4。</w:t>
      </w:r>
    </w:p>
    <w:p w14:paraId="12EA0D79">
      <w:pPr>
        <w:spacing w:line="440" w:lineRule="exact"/>
        <w:ind w:firstLine="482"/>
        <w:jc w:val="center"/>
        <w:rPr>
          <w:sz w:val="24"/>
          <w:szCs w:val="24"/>
        </w:rPr>
      </w:pPr>
      <w:r>
        <w:rPr>
          <w:rFonts w:hint="eastAsia"/>
          <w:sz w:val="24"/>
          <w:szCs w:val="24"/>
        </w:rPr>
        <w:t>表3 热熔标线实测项目</w:t>
      </w:r>
    </w:p>
    <w:tbl>
      <w:tblPr>
        <w:tblStyle w:val="23"/>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829"/>
        <w:gridCol w:w="1580"/>
        <w:gridCol w:w="817"/>
        <w:gridCol w:w="1196"/>
        <w:gridCol w:w="2011"/>
        <w:gridCol w:w="2471"/>
      </w:tblGrid>
      <w:tr w14:paraId="671C49C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19" w:hRule="exact"/>
          <w:jc w:val="center"/>
        </w:trPr>
        <w:tc>
          <w:tcPr>
            <w:tcW w:w="829" w:type="dxa"/>
            <w:vAlign w:val="center"/>
          </w:tcPr>
          <w:p w14:paraId="24E87EE5">
            <w:pPr>
              <w:spacing w:line="440" w:lineRule="exact"/>
              <w:ind w:firstLine="422"/>
              <w:jc w:val="center"/>
              <w:rPr>
                <w:szCs w:val="21"/>
              </w:rPr>
            </w:pPr>
            <w:r>
              <w:rPr>
                <w:szCs w:val="21"/>
              </w:rPr>
              <w:t>项次</w:t>
            </w:r>
          </w:p>
        </w:tc>
        <w:tc>
          <w:tcPr>
            <w:tcW w:w="3593" w:type="dxa"/>
            <w:gridSpan w:val="3"/>
            <w:vAlign w:val="center"/>
          </w:tcPr>
          <w:p w14:paraId="4D2B8D55">
            <w:pPr>
              <w:spacing w:line="440" w:lineRule="exact"/>
              <w:ind w:firstLine="422"/>
              <w:jc w:val="center"/>
              <w:rPr>
                <w:szCs w:val="21"/>
              </w:rPr>
            </w:pPr>
            <w:r>
              <w:rPr>
                <w:szCs w:val="21"/>
              </w:rPr>
              <w:t>检查项目</w:t>
            </w:r>
          </w:p>
        </w:tc>
        <w:tc>
          <w:tcPr>
            <w:tcW w:w="2011" w:type="dxa"/>
            <w:vAlign w:val="center"/>
          </w:tcPr>
          <w:p w14:paraId="54E6BA7E">
            <w:pPr>
              <w:spacing w:line="440" w:lineRule="exact"/>
              <w:ind w:firstLine="422"/>
              <w:jc w:val="center"/>
              <w:rPr>
                <w:szCs w:val="21"/>
              </w:rPr>
            </w:pPr>
            <w:r>
              <w:rPr>
                <w:szCs w:val="21"/>
              </w:rPr>
              <w:t>规定值或允许偏差</w:t>
            </w:r>
          </w:p>
        </w:tc>
        <w:tc>
          <w:tcPr>
            <w:tcW w:w="2471" w:type="dxa"/>
            <w:vAlign w:val="center"/>
          </w:tcPr>
          <w:p w14:paraId="150AA7F8">
            <w:pPr>
              <w:spacing w:line="440" w:lineRule="exact"/>
              <w:ind w:firstLine="422"/>
              <w:jc w:val="center"/>
              <w:rPr>
                <w:szCs w:val="21"/>
              </w:rPr>
            </w:pPr>
            <w:r>
              <w:rPr>
                <w:szCs w:val="21"/>
              </w:rPr>
              <w:t>检查方法和频率</w:t>
            </w:r>
          </w:p>
        </w:tc>
      </w:tr>
      <w:tr w14:paraId="63581DA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51" w:hRule="exact"/>
          <w:jc w:val="center"/>
        </w:trPr>
        <w:tc>
          <w:tcPr>
            <w:tcW w:w="829" w:type="dxa"/>
            <w:vMerge w:val="restart"/>
            <w:vAlign w:val="center"/>
          </w:tcPr>
          <w:p w14:paraId="6B2CEBD9">
            <w:pPr>
              <w:spacing w:line="440" w:lineRule="exact"/>
              <w:ind w:firstLine="422"/>
              <w:jc w:val="center"/>
              <w:rPr>
                <w:szCs w:val="21"/>
              </w:rPr>
            </w:pPr>
            <w:r>
              <w:rPr>
                <w:szCs w:val="21"/>
              </w:rPr>
              <w:t>1</w:t>
            </w:r>
          </w:p>
        </w:tc>
        <w:tc>
          <w:tcPr>
            <w:tcW w:w="1580" w:type="dxa"/>
            <w:vMerge w:val="restart"/>
            <w:vAlign w:val="center"/>
          </w:tcPr>
          <w:p w14:paraId="53C60351">
            <w:pPr>
              <w:spacing w:line="440" w:lineRule="exact"/>
              <w:ind w:firstLine="422"/>
              <w:rPr>
                <w:szCs w:val="21"/>
              </w:rPr>
            </w:pPr>
            <w:r>
              <w:rPr>
                <w:szCs w:val="21"/>
              </w:rPr>
              <w:t>标线线段长度</w:t>
            </w:r>
          </w:p>
          <w:p w14:paraId="5AE59329">
            <w:pPr>
              <w:spacing w:line="440" w:lineRule="exact"/>
              <w:ind w:firstLine="422"/>
              <w:rPr>
                <w:szCs w:val="21"/>
              </w:rPr>
            </w:pPr>
            <w:r>
              <w:rPr>
                <w:szCs w:val="21"/>
              </w:rPr>
              <w:t>（mm）</w:t>
            </w:r>
          </w:p>
        </w:tc>
        <w:tc>
          <w:tcPr>
            <w:tcW w:w="2012" w:type="dxa"/>
            <w:gridSpan w:val="2"/>
            <w:vAlign w:val="center"/>
          </w:tcPr>
          <w:p w14:paraId="6965300B">
            <w:pPr>
              <w:spacing w:line="440" w:lineRule="exact"/>
              <w:ind w:firstLine="422"/>
              <w:rPr>
                <w:szCs w:val="21"/>
              </w:rPr>
            </w:pPr>
            <w:r>
              <w:rPr>
                <w:szCs w:val="21"/>
              </w:rPr>
              <w:t>6000</w:t>
            </w:r>
          </w:p>
        </w:tc>
        <w:tc>
          <w:tcPr>
            <w:tcW w:w="2011" w:type="dxa"/>
            <w:vAlign w:val="center"/>
          </w:tcPr>
          <w:p w14:paraId="7A0FD4DD">
            <w:pPr>
              <w:spacing w:line="440" w:lineRule="exact"/>
              <w:ind w:firstLine="422"/>
              <w:rPr>
                <w:szCs w:val="21"/>
              </w:rPr>
            </w:pPr>
            <w:r>
              <w:rPr>
                <w:szCs w:val="21"/>
              </w:rPr>
              <w:t>±30</w:t>
            </w:r>
          </w:p>
        </w:tc>
        <w:tc>
          <w:tcPr>
            <w:tcW w:w="2471" w:type="dxa"/>
            <w:vMerge w:val="restart"/>
            <w:vAlign w:val="center"/>
          </w:tcPr>
          <w:p w14:paraId="53AB7A62">
            <w:pPr>
              <w:spacing w:line="440" w:lineRule="exact"/>
              <w:ind w:firstLine="422"/>
              <w:rPr>
                <w:szCs w:val="21"/>
              </w:rPr>
            </w:pPr>
            <w:r>
              <w:rPr>
                <w:szCs w:val="21"/>
              </w:rPr>
              <w:t>尺量：每1km测3处，每处测</w:t>
            </w:r>
          </w:p>
          <w:p w14:paraId="04F50CD6">
            <w:pPr>
              <w:spacing w:line="440" w:lineRule="exact"/>
              <w:ind w:firstLine="422"/>
              <w:rPr>
                <w:szCs w:val="21"/>
              </w:rPr>
            </w:pPr>
            <w:r>
              <w:rPr>
                <w:szCs w:val="21"/>
              </w:rPr>
              <w:t>3个线段</w:t>
            </w:r>
          </w:p>
        </w:tc>
      </w:tr>
      <w:tr w14:paraId="0DBEC35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1" w:hRule="exact"/>
          <w:jc w:val="center"/>
        </w:trPr>
        <w:tc>
          <w:tcPr>
            <w:tcW w:w="829" w:type="dxa"/>
            <w:vMerge w:val="continue"/>
            <w:vAlign w:val="center"/>
          </w:tcPr>
          <w:p w14:paraId="58AEFB51">
            <w:pPr>
              <w:spacing w:line="440" w:lineRule="exact"/>
              <w:ind w:firstLine="422"/>
              <w:jc w:val="center"/>
              <w:rPr>
                <w:szCs w:val="21"/>
              </w:rPr>
            </w:pPr>
          </w:p>
        </w:tc>
        <w:tc>
          <w:tcPr>
            <w:tcW w:w="1580" w:type="dxa"/>
            <w:vMerge w:val="continue"/>
            <w:vAlign w:val="center"/>
          </w:tcPr>
          <w:p w14:paraId="4342515D">
            <w:pPr>
              <w:spacing w:line="440" w:lineRule="exact"/>
              <w:ind w:firstLine="422"/>
              <w:rPr>
                <w:szCs w:val="21"/>
              </w:rPr>
            </w:pPr>
          </w:p>
        </w:tc>
        <w:tc>
          <w:tcPr>
            <w:tcW w:w="2012" w:type="dxa"/>
            <w:gridSpan w:val="2"/>
            <w:vAlign w:val="center"/>
          </w:tcPr>
          <w:p w14:paraId="3AD17FAD">
            <w:pPr>
              <w:spacing w:line="440" w:lineRule="exact"/>
              <w:ind w:firstLine="422"/>
              <w:rPr>
                <w:szCs w:val="21"/>
              </w:rPr>
            </w:pPr>
            <w:r>
              <w:rPr>
                <w:szCs w:val="21"/>
              </w:rPr>
              <w:t>4000</w:t>
            </w:r>
          </w:p>
        </w:tc>
        <w:tc>
          <w:tcPr>
            <w:tcW w:w="2011" w:type="dxa"/>
            <w:vAlign w:val="center"/>
          </w:tcPr>
          <w:p w14:paraId="3ADBA58F">
            <w:pPr>
              <w:spacing w:line="440" w:lineRule="exact"/>
              <w:ind w:firstLine="422"/>
              <w:rPr>
                <w:szCs w:val="21"/>
              </w:rPr>
            </w:pPr>
            <w:r>
              <w:rPr>
                <w:szCs w:val="21"/>
              </w:rPr>
              <w:t>±20</w:t>
            </w:r>
          </w:p>
        </w:tc>
        <w:tc>
          <w:tcPr>
            <w:tcW w:w="2471" w:type="dxa"/>
            <w:vMerge w:val="continue"/>
            <w:vAlign w:val="center"/>
          </w:tcPr>
          <w:p w14:paraId="3C8C147E">
            <w:pPr>
              <w:spacing w:line="440" w:lineRule="exact"/>
              <w:ind w:firstLine="422"/>
              <w:rPr>
                <w:szCs w:val="21"/>
              </w:rPr>
            </w:pPr>
          </w:p>
        </w:tc>
      </w:tr>
      <w:tr w14:paraId="3679B4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46" w:hRule="exact"/>
          <w:jc w:val="center"/>
        </w:trPr>
        <w:tc>
          <w:tcPr>
            <w:tcW w:w="829" w:type="dxa"/>
            <w:vMerge w:val="continue"/>
            <w:vAlign w:val="center"/>
          </w:tcPr>
          <w:p w14:paraId="63517850">
            <w:pPr>
              <w:spacing w:line="440" w:lineRule="exact"/>
              <w:ind w:firstLine="422"/>
              <w:jc w:val="center"/>
              <w:rPr>
                <w:szCs w:val="21"/>
              </w:rPr>
            </w:pPr>
          </w:p>
        </w:tc>
        <w:tc>
          <w:tcPr>
            <w:tcW w:w="1580" w:type="dxa"/>
            <w:vMerge w:val="continue"/>
            <w:vAlign w:val="center"/>
          </w:tcPr>
          <w:p w14:paraId="4C7314D7">
            <w:pPr>
              <w:spacing w:line="440" w:lineRule="exact"/>
              <w:ind w:firstLine="422"/>
              <w:rPr>
                <w:szCs w:val="21"/>
              </w:rPr>
            </w:pPr>
          </w:p>
        </w:tc>
        <w:tc>
          <w:tcPr>
            <w:tcW w:w="2012" w:type="dxa"/>
            <w:gridSpan w:val="2"/>
            <w:vAlign w:val="center"/>
          </w:tcPr>
          <w:p w14:paraId="2616FF26">
            <w:pPr>
              <w:spacing w:line="440" w:lineRule="exact"/>
              <w:ind w:firstLine="422"/>
              <w:rPr>
                <w:szCs w:val="21"/>
              </w:rPr>
            </w:pPr>
            <w:r>
              <w:rPr>
                <w:szCs w:val="21"/>
              </w:rPr>
              <w:t>3000</w:t>
            </w:r>
          </w:p>
        </w:tc>
        <w:tc>
          <w:tcPr>
            <w:tcW w:w="2011" w:type="dxa"/>
            <w:vAlign w:val="center"/>
          </w:tcPr>
          <w:p w14:paraId="1D96E223">
            <w:pPr>
              <w:spacing w:line="440" w:lineRule="exact"/>
              <w:ind w:firstLine="422"/>
              <w:rPr>
                <w:szCs w:val="21"/>
              </w:rPr>
            </w:pPr>
            <w:r>
              <w:rPr>
                <w:szCs w:val="21"/>
              </w:rPr>
              <w:t>±15</w:t>
            </w:r>
          </w:p>
        </w:tc>
        <w:tc>
          <w:tcPr>
            <w:tcW w:w="2471" w:type="dxa"/>
            <w:vMerge w:val="continue"/>
            <w:vAlign w:val="center"/>
          </w:tcPr>
          <w:p w14:paraId="422F4C27">
            <w:pPr>
              <w:spacing w:line="440" w:lineRule="exact"/>
              <w:ind w:firstLine="422"/>
              <w:rPr>
                <w:szCs w:val="21"/>
              </w:rPr>
            </w:pPr>
          </w:p>
        </w:tc>
      </w:tr>
      <w:tr w14:paraId="03F2BD5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61" w:hRule="exact"/>
          <w:jc w:val="center"/>
        </w:trPr>
        <w:tc>
          <w:tcPr>
            <w:tcW w:w="829" w:type="dxa"/>
            <w:vMerge w:val="continue"/>
            <w:vAlign w:val="center"/>
          </w:tcPr>
          <w:p w14:paraId="7E67FAA8">
            <w:pPr>
              <w:spacing w:line="440" w:lineRule="exact"/>
              <w:ind w:firstLine="422"/>
              <w:jc w:val="center"/>
              <w:rPr>
                <w:szCs w:val="21"/>
              </w:rPr>
            </w:pPr>
          </w:p>
        </w:tc>
        <w:tc>
          <w:tcPr>
            <w:tcW w:w="1580" w:type="dxa"/>
            <w:vMerge w:val="continue"/>
            <w:vAlign w:val="center"/>
          </w:tcPr>
          <w:p w14:paraId="3C9E67CF">
            <w:pPr>
              <w:spacing w:line="440" w:lineRule="exact"/>
              <w:ind w:firstLine="422"/>
              <w:rPr>
                <w:szCs w:val="21"/>
              </w:rPr>
            </w:pPr>
          </w:p>
        </w:tc>
        <w:tc>
          <w:tcPr>
            <w:tcW w:w="2012" w:type="dxa"/>
            <w:gridSpan w:val="2"/>
            <w:vAlign w:val="center"/>
          </w:tcPr>
          <w:p w14:paraId="63FD403C">
            <w:pPr>
              <w:spacing w:line="440" w:lineRule="exact"/>
              <w:ind w:firstLine="422"/>
              <w:rPr>
                <w:szCs w:val="21"/>
              </w:rPr>
            </w:pPr>
            <w:r>
              <w:rPr>
                <w:szCs w:val="21"/>
              </w:rPr>
              <w:t>2000</w:t>
            </w:r>
          </w:p>
        </w:tc>
        <w:tc>
          <w:tcPr>
            <w:tcW w:w="2011" w:type="dxa"/>
            <w:vAlign w:val="center"/>
          </w:tcPr>
          <w:p w14:paraId="283FA457">
            <w:pPr>
              <w:spacing w:line="440" w:lineRule="exact"/>
              <w:ind w:firstLine="422"/>
              <w:rPr>
                <w:szCs w:val="21"/>
              </w:rPr>
            </w:pPr>
            <w:r>
              <w:rPr>
                <w:szCs w:val="21"/>
              </w:rPr>
              <w:t>±10</w:t>
            </w:r>
          </w:p>
        </w:tc>
        <w:tc>
          <w:tcPr>
            <w:tcW w:w="2471" w:type="dxa"/>
            <w:vMerge w:val="continue"/>
            <w:vAlign w:val="center"/>
          </w:tcPr>
          <w:p w14:paraId="00E675F6">
            <w:pPr>
              <w:spacing w:line="440" w:lineRule="exact"/>
              <w:ind w:firstLine="422"/>
              <w:rPr>
                <w:szCs w:val="21"/>
              </w:rPr>
            </w:pPr>
          </w:p>
        </w:tc>
      </w:tr>
      <w:tr w14:paraId="29A807D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6" w:hRule="exact"/>
          <w:jc w:val="center"/>
        </w:trPr>
        <w:tc>
          <w:tcPr>
            <w:tcW w:w="829" w:type="dxa"/>
            <w:vMerge w:val="continue"/>
            <w:vAlign w:val="center"/>
          </w:tcPr>
          <w:p w14:paraId="6E185D66">
            <w:pPr>
              <w:spacing w:line="440" w:lineRule="exact"/>
              <w:ind w:firstLine="422"/>
              <w:jc w:val="center"/>
              <w:rPr>
                <w:szCs w:val="21"/>
              </w:rPr>
            </w:pPr>
          </w:p>
        </w:tc>
        <w:tc>
          <w:tcPr>
            <w:tcW w:w="1580" w:type="dxa"/>
            <w:vMerge w:val="continue"/>
            <w:vAlign w:val="center"/>
          </w:tcPr>
          <w:p w14:paraId="668A9057">
            <w:pPr>
              <w:spacing w:line="440" w:lineRule="exact"/>
              <w:ind w:firstLine="422"/>
              <w:rPr>
                <w:szCs w:val="21"/>
              </w:rPr>
            </w:pPr>
          </w:p>
        </w:tc>
        <w:tc>
          <w:tcPr>
            <w:tcW w:w="2012" w:type="dxa"/>
            <w:gridSpan w:val="2"/>
            <w:vAlign w:val="center"/>
          </w:tcPr>
          <w:p w14:paraId="7CBBB7E3">
            <w:pPr>
              <w:spacing w:line="440" w:lineRule="exact"/>
              <w:ind w:firstLine="422"/>
              <w:rPr>
                <w:szCs w:val="21"/>
              </w:rPr>
            </w:pPr>
            <w:r>
              <w:rPr>
                <w:szCs w:val="21"/>
              </w:rPr>
              <w:t>1000</w:t>
            </w:r>
          </w:p>
        </w:tc>
        <w:tc>
          <w:tcPr>
            <w:tcW w:w="2011" w:type="dxa"/>
            <w:vAlign w:val="center"/>
          </w:tcPr>
          <w:p w14:paraId="2486DD3B">
            <w:pPr>
              <w:spacing w:line="440" w:lineRule="exact"/>
              <w:ind w:firstLine="422"/>
              <w:rPr>
                <w:szCs w:val="21"/>
              </w:rPr>
            </w:pPr>
            <w:r>
              <w:rPr>
                <w:szCs w:val="21"/>
              </w:rPr>
              <w:t>±10</w:t>
            </w:r>
          </w:p>
        </w:tc>
        <w:tc>
          <w:tcPr>
            <w:tcW w:w="2471" w:type="dxa"/>
            <w:vMerge w:val="continue"/>
            <w:vAlign w:val="center"/>
          </w:tcPr>
          <w:p w14:paraId="026D798A">
            <w:pPr>
              <w:spacing w:line="440" w:lineRule="exact"/>
              <w:ind w:firstLine="422"/>
              <w:rPr>
                <w:szCs w:val="21"/>
              </w:rPr>
            </w:pPr>
          </w:p>
        </w:tc>
      </w:tr>
      <w:tr w14:paraId="0A9C635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7" w:hRule="exact"/>
          <w:jc w:val="center"/>
        </w:trPr>
        <w:tc>
          <w:tcPr>
            <w:tcW w:w="829" w:type="dxa"/>
            <w:vAlign w:val="center"/>
          </w:tcPr>
          <w:p w14:paraId="5AD668D4">
            <w:pPr>
              <w:spacing w:line="440" w:lineRule="exact"/>
              <w:ind w:firstLine="422"/>
              <w:jc w:val="center"/>
              <w:rPr>
                <w:szCs w:val="21"/>
              </w:rPr>
            </w:pPr>
            <w:r>
              <w:rPr>
                <w:szCs w:val="21"/>
              </w:rPr>
              <w:t>2</w:t>
            </w:r>
          </w:p>
        </w:tc>
        <w:tc>
          <w:tcPr>
            <w:tcW w:w="3593" w:type="dxa"/>
            <w:gridSpan w:val="3"/>
            <w:vAlign w:val="center"/>
          </w:tcPr>
          <w:p w14:paraId="37B09106">
            <w:pPr>
              <w:spacing w:line="440" w:lineRule="exact"/>
              <w:ind w:firstLine="422"/>
              <w:rPr>
                <w:szCs w:val="21"/>
              </w:rPr>
            </w:pPr>
            <w:r>
              <w:rPr>
                <w:szCs w:val="21"/>
              </w:rPr>
              <w:t>标线宽度（mm）</w:t>
            </w:r>
          </w:p>
        </w:tc>
        <w:tc>
          <w:tcPr>
            <w:tcW w:w="2011" w:type="dxa"/>
            <w:vAlign w:val="center"/>
          </w:tcPr>
          <w:p w14:paraId="1A660865">
            <w:pPr>
              <w:spacing w:line="440" w:lineRule="exact"/>
              <w:ind w:firstLine="422"/>
              <w:rPr>
                <w:szCs w:val="21"/>
              </w:rPr>
            </w:pPr>
            <w:r>
              <w:rPr>
                <w:szCs w:val="21"/>
              </w:rPr>
              <w:t>+5，0</w:t>
            </w:r>
          </w:p>
        </w:tc>
        <w:tc>
          <w:tcPr>
            <w:tcW w:w="2471" w:type="dxa"/>
            <w:vAlign w:val="center"/>
          </w:tcPr>
          <w:p w14:paraId="02105500">
            <w:pPr>
              <w:spacing w:line="440" w:lineRule="exact"/>
              <w:ind w:firstLine="422"/>
              <w:rPr>
                <w:szCs w:val="21"/>
              </w:rPr>
            </w:pPr>
            <w:r>
              <w:rPr>
                <w:szCs w:val="21"/>
              </w:rPr>
              <w:t>尺量：每1km测3处，每处测</w:t>
            </w:r>
          </w:p>
          <w:p w14:paraId="77FCF907">
            <w:pPr>
              <w:spacing w:line="440" w:lineRule="exact"/>
              <w:ind w:firstLine="422"/>
              <w:rPr>
                <w:szCs w:val="21"/>
              </w:rPr>
            </w:pPr>
            <w:r>
              <w:rPr>
                <w:szCs w:val="21"/>
              </w:rPr>
              <w:t>3点</w:t>
            </w:r>
          </w:p>
        </w:tc>
      </w:tr>
      <w:tr w14:paraId="7F31BF4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31" w:hRule="exact"/>
          <w:jc w:val="center"/>
        </w:trPr>
        <w:tc>
          <w:tcPr>
            <w:tcW w:w="829" w:type="dxa"/>
            <w:vMerge w:val="restart"/>
            <w:vAlign w:val="center"/>
          </w:tcPr>
          <w:p w14:paraId="47CA4DA7">
            <w:pPr>
              <w:spacing w:line="440" w:lineRule="exact"/>
              <w:ind w:firstLine="422"/>
              <w:jc w:val="center"/>
              <w:rPr>
                <w:szCs w:val="21"/>
              </w:rPr>
            </w:pPr>
            <w:r>
              <w:rPr>
                <w:szCs w:val="21"/>
              </w:rPr>
              <w:t>3</w:t>
            </w:r>
          </w:p>
        </w:tc>
        <w:tc>
          <w:tcPr>
            <w:tcW w:w="1580" w:type="dxa"/>
            <w:vMerge w:val="restart"/>
            <w:vAlign w:val="center"/>
          </w:tcPr>
          <w:p w14:paraId="28CECEC2">
            <w:pPr>
              <w:spacing w:line="440" w:lineRule="exact"/>
              <w:ind w:firstLine="422"/>
              <w:rPr>
                <w:szCs w:val="21"/>
              </w:rPr>
            </w:pPr>
            <w:r>
              <w:rPr>
                <w:szCs w:val="21"/>
              </w:rPr>
              <w:t>标线厚度</w:t>
            </w:r>
          </w:p>
          <w:p w14:paraId="7E157F87">
            <w:pPr>
              <w:spacing w:line="440" w:lineRule="exact"/>
              <w:ind w:firstLine="422"/>
              <w:rPr>
                <w:szCs w:val="21"/>
              </w:rPr>
            </w:pPr>
            <w:r>
              <w:rPr>
                <w:szCs w:val="21"/>
              </w:rPr>
              <w:t>（干膜，mm）</w:t>
            </w:r>
          </w:p>
        </w:tc>
        <w:tc>
          <w:tcPr>
            <w:tcW w:w="2012" w:type="dxa"/>
            <w:gridSpan w:val="2"/>
            <w:vAlign w:val="center"/>
          </w:tcPr>
          <w:p w14:paraId="62EF59D1">
            <w:pPr>
              <w:spacing w:line="440" w:lineRule="exact"/>
              <w:ind w:firstLine="422"/>
              <w:rPr>
                <w:szCs w:val="21"/>
              </w:rPr>
            </w:pPr>
            <w:r>
              <w:rPr>
                <w:szCs w:val="21"/>
              </w:rPr>
              <w:t>热熔型</w:t>
            </w:r>
          </w:p>
        </w:tc>
        <w:tc>
          <w:tcPr>
            <w:tcW w:w="2011" w:type="dxa"/>
            <w:vAlign w:val="center"/>
          </w:tcPr>
          <w:p w14:paraId="271BCA39">
            <w:pPr>
              <w:spacing w:line="440" w:lineRule="exact"/>
              <w:ind w:firstLine="422"/>
              <w:rPr>
                <w:szCs w:val="21"/>
              </w:rPr>
            </w:pPr>
            <w:r>
              <w:rPr>
                <w:rFonts w:hint="eastAsia"/>
                <w:szCs w:val="21"/>
              </w:rPr>
              <w:t>2.0mm(0,+0.5)</w:t>
            </w:r>
          </w:p>
        </w:tc>
        <w:tc>
          <w:tcPr>
            <w:tcW w:w="2471" w:type="dxa"/>
            <w:vMerge w:val="restart"/>
            <w:vAlign w:val="center"/>
          </w:tcPr>
          <w:p w14:paraId="2933FFFF">
            <w:pPr>
              <w:spacing w:line="440" w:lineRule="exact"/>
              <w:ind w:firstLine="422"/>
              <w:rPr>
                <w:szCs w:val="21"/>
              </w:rPr>
            </w:pPr>
            <w:r>
              <w:rPr>
                <w:szCs w:val="21"/>
              </w:rPr>
              <w:t>标线厚度测量仪或卡尺：每</w:t>
            </w:r>
          </w:p>
          <w:p w14:paraId="78432741">
            <w:pPr>
              <w:spacing w:line="440" w:lineRule="exact"/>
              <w:ind w:firstLine="422"/>
              <w:rPr>
                <w:szCs w:val="21"/>
              </w:rPr>
            </w:pPr>
            <w:r>
              <w:rPr>
                <w:szCs w:val="21"/>
              </w:rPr>
              <w:t>1km测3处，每处测6点</w:t>
            </w:r>
          </w:p>
        </w:tc>
      </w:tr>
      <w:tr w14:paraId="327A1FB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56" w:hRule="exact"/>
          <w:jc w:val="center"/>
        </w:trPr>
        <w:tc>
          <w:tcPr>
            <w:tcW w:w="829" w:type="dxa"/>
            <w:vMerge w:val="continue"/>
            <w:vAlign w:val="center"/>
          </w:tcPr>
          <w:p w14:paraId="7FFE5E48">
            <w:pPr>
              <w:spacing w:line="440" w:lineRule="exact"/>
              <w:ind w:firstLine="422"/>
              <w:jc w:val="center"/>
              <w:rPr>
                <w:szCs w:val="21"/>
              </w:rPr>
            </w:pPr>
          </w:p>
        </w:tc>
        <w:tc>
          <w:tcPr>
            <w:tcW w:w="1580" w:type="dxa"/>
            <w:vMerge w:val="continue"/>
            <w:vAlign w:val="center"/>
          </w:tcPr>
          <w:p w14:paraId="26C0AAD3">
            <w:pPr>
              <w:spacing w:line="440" w:lineRule="exact"/>
              <w:ind w:firstLine="422"/>
              <w:rPr>
                <w:szCs w:val="21"/>
              </w:rPr>
            </w:pPr>
          </w:p>
        </w:tc>
        <w:tc>
          <w:tcPr>
            <w:tcW w:w="817" w:type="dxa"/>
            <w:vMerge w:val="restart"/>
            <w:vAlign w:val="center"/>
          </w:tcPr>
          <w:p w14:paraId="4AE64224">
            <w:pPr>
              <w:spacing w:line="440" w:lineRule="exact"/>
              <w:ind w:firstLine="422"/>
              <w:rPr>
                <w:szCs w:val="21"/>
              </w:rPr>
            </w:pPr>
            <w:r>
              <w:rPr>
                <w:szCs w:val="21"/>
              </w:rPr>
              <w:t>突起型</w:t>
            </w:r>
          </w:p>
        </w:tc>
        <w:tc>
          <w:tcPr>
            <w:tcW w:w="1195" w:type="dxa"/>
            <w:vAlign w:val="center"/>
          </w:tcPr>
          <w:p w14:paraId="1173317F">
            <w:pPr>
              <w:spacing w:line="440" w:lineRule="exact"/>
              <w:ind w:firstLine="422"/>
              <w:rPr>
                <w:szCs w:val="21"/>
              </w:rPr>
            </w:pPr>
            <w:r>
              <w:rPr>
                <w:szCs w:val="21"/>
              </w:rPr>
              <w:t>突起高度</w:t>
            </w:r>
          </w:p>
        </w:tc>
        <w:tc>
          <w:tcPr>
            <w:tcW w:w="2011" w:type="dxa"/>
            <w:vAlign w:val="center"/>
          </w:tcPr>
          <w:p w14:paraId="6B8A3F9F">
            <w:pPr>
              <w:spacing w:line="440" w:lineRule="exact"/>
              <w:ind w:firstLine="422"/>
              <w:rPr>
                <w:szCs w:val="21"/>
              </w:rPr>
            </w:pPr>
            <w:r>
              <w:rPr>
                <w:szCs w:val="21"/>
              </w:rPr>
              <w:t>不小于设计值</w:t>
            </w:r>
          </w:p>
        </w:tc>
        <w:tc>
          <w:tcPr>
            <w:tcW w:w="2471" w:type="dxa"/>
            <w:vMerge w:val="continue"/>
            <w:vAlign w:val="center"/>
          </w:tcPr>
          <w:p w14:paraId="504AD9C5">
            <w:pPr>
              <w:spacing w:line="440" w:lineRule="exact"/>
              <w:ind w:firstLine="422"/>
              <w:rPr>
                <w:szCs w:val="21"/>
              </w:rPr>
            </w:pPr>
          </w:p>
        </w:tc>
      </w:tr>
      <w:tr w14:paraId="4B6B1B2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56" w:hRule="exact"/>
          <w:jc w:val="center"/>
        </w:trPr>
        <w:tc>
          <w:tcPr>
            <w:tcW w:w="829" w:type="dxa"/>
            <w:vMerge w:val="continue"/>
            <w:vAlign w:val="center"/>
          </w:tcPr>
          <w:p w14:paraId="36486579">
            <w:pPr>
              <w:spacing w:line="440" w:lineRule="exact"/>
              <w:ind w:firstLine="422"/>
              <w:jc w:val="center"/>
              <w:rPr>
                <w:szCs w:val="21"/>
              </w:rPr>
            </w:pPr>
          </w:p>
        </w:tc>
        <w:tc>
          <w:tcPr>
            <w:tcW w:w="1580" w:type="dxa"/>
            <w:vMerge w:val="continue"/>
            <w:vAlign w:val="center"/>
          </w:tcPr>
          <w:p w14:paraId="300DA8B8">
            <w:pPr>
              <w:spacing w:line="440" w:lineRule="exact"/>
              <w:ind w:firstLine="422"/>
              <w:rPr>
                <w:szCs w:val="21"/>
              </w:rPr>
            </w:pPr>
          </w:p>
        </w:tc>
        <w:tc>
          <w:tcPr>
            <w:tcW w:w="817" w:type="dxa"/>
            <w:vMerge w:val="continue"/>
            <w:vAlign w:val="center"/>
          </w:tcPr>
          <w:p w14:paraId="059989FD">
            <w:pPr>
              <w:spacing w:line="440" w:lineRule="exact"/>
              <w:ind w:firstLine="422"/>
              <w:rPr>
                <w:szCs w:val="21"/>
              </w:rPr>
            </w:pPr>
          </w:p>
        </w:tc>
        <w:tc>
          <w:tcPr>
            <w:tcW w:w="1195" w:type="dxa"/>
            <w:vAlign w:val="center"/>
          </w:tcPr>
          <w:p w14:paraId="74FAB7F7">
            <w:pPr>
              <w:spacing w:line="440" w:lineRule="exact"/>
              <w:ind w:firstLine="422"/>
              <w:rPr>
                <w:szCs w:val="21"/>
              </w:rPr>
            </w:pPr>
            <w:r>
              <w:rPr>
                <w:szCs w:val="21"/>
              </w:rPr>
              <w:t>基线厚度</w:t>
            </w:r>
          </w:p>
        </w:tc>
        <w:tc>
          <w:tcPr>
            <w:tcW w:w="2011" w:type="dxa"/>
            <w:vAlign w:val="center"/>
          </w:tcPr>
          <w:p w14:paraId="252169B8">
            <w:pPr>
              <w:spacing w:line="440" w:lineRule="exact"/>
              <w:ind w:firstLine="422"/>
              <w:rPr>
                <w:szCs w:val="21"/>
              </w:rPr>
            </w:pPr>
            <w:r>
              <w:rPr>
                <w:szCs w:val="21"/>
              </w:rPr>
              <w:t>不小于设计值</w:t>
            </w:r>
          </w:p>
        </w:tc>
        <w:tc>
          <w:tcPr>
            <w:tcW w:w="2471" w:type="dxa"/>
            <w:vMerge w:val="continue"/>
            <w:vAlign w:val="center"/>
          </w:tcPr>
          <w:p w14:paraId="0DC78C8D">
            <w:pPr>
              <w:spacing w:line="440" w:lineRule="exact"/>
              <w:ind w:firstLine="422"/>
              <w:rPr>
                <w:szCs w:val="21"/>
              </w:rPr>
            </w:pPr>
          </w:p>
        </w:tc>
      </w:tr>
      <w:tr w14:paraId="477A572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9" w:hRule="exact"/>
          <w:jc w:val="center"/>
        </w:trPr>
        <w:tc>
          <w:tcPr>
            <w:tcW w:w="829" w:type="dxa"/>
            <w:vAlign w:val="center"/>
          </w:tcPr>
          <w:p w14:paraId="28328242">
            <w:pPr>
              <w:spacing w:line="440" w:lineRule="exact"/>
              <w:ind w:firstLine="422"/>
              <w:jc w:val="center"/>
              <w:rPr>
                <w:szCs w:val="21"/>
              </w:rPr>
            </w:pPr>
            <w:r>
              <w:rPr>
                <w:szCs w:val="21"/>
              </w:rPr>
              <w:t>4</w:t>
            </w:r>
          </w:p>
        </w:tc>
        <w:tc>
          <w:tcPr>
            <w:tcW w:w="3593" w:type="dxa"/>
            <w:gridSpan w:val="3"/>
            <w:vAlign w:val="center"/>
          </w:tcPr>
          <w:p w14:paraId="6BC958E7">
            <w:pPr>
              <w:spacing w:line="440" w:lineRule="exact"/>
              <w:ind w:firstLine="422"/>
              <w:rPr>
                <w:szCs w:val="21"/>
              </w:rPr>
            </w:pPr>
            <w:r>
              <w:rPr>
                <w:szCs w:val="21"/>
              </w:rPr>
              <w:t>标线横向偏位（mm）</w:t>
            </w:r>
          </w:p>
        </w:tc>
        <w:tc>
          <w:tcPr>
            <w:tcW w:w="2011" w:type="dxa"/>
            <w:vAlign w:val="center"/>
          </w:tcPr>
          <w:p w14:paraId="6A4AF201">
            <w:pPr>
              <w:spacing w:line="440" w:lineRule="exact"/>
              <w:ind w:firstLine="422"/>
              <w:rPr>
                <w:szCs w:val="21"/>
              </w:rPr>
            </w:pPr>
            <w:r>
              <w:rPr>
                <w:szCs w:val="21"/>
              </w:rPr>
              <w:t>≤30</w:t>
            </w:r>
          </w:p>
        </w:tc>
        <w:tc>
          <w:tcPr>
            <w:tcW w:w="2471" w:type="dxa"/>
            <w:vAlign w:val="center"/>
          </w:tcPr>
          <w:p w14:paraId="09D3CBD5">
            <w:pPr>
              <w:spacing w:line="440" w:lineRule="exact"/>
              <w:ind w:firstLine="422"/>
              <w:rPr>
                <w:szCs w:val="21"/>
              </w:rPr>
            </w:pPr>
            <w:r>
              <w:rPr>
                <w:szCs w:val="21"/>
              </w:rPr>
              <w:t>尺量：每1km测3处，每处测</w:t>
            </w:r>
          </w:p>
          <w:p w14:paraId="27FF7079">
            <w:pPr>
              <w:spacing w:line="440" w:lineRule="exact"/>
              <w:ind w:firstLine="422"/>
              <w:rPr>
                <w:szCs w:val="21"/>
              </w:rPr>
            </w:pPr>
            <w:r>
              <w:rPr>
                <w:szCs w:val="21"/>
              </w:rPr>
              <w:t>3点</w:t>
            </w:r>
          </w:p>
        </w:tc>
      </w:tr>
      <w:tr w14:paraId="220CB66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01" w:hRule="exact"/>
          <w:jc w:val="center"/>
        </w:trPr>
        <w:tc>
          <w:tcPr>
            <w:tcW w:w="829" w:type="dxa"/>
            <w:vMerge w:val="restart"/>
            <w:vAlign w:val="center"/>
          </w:tcPr>
          <w:p w14:paraId="10113882">
            <w:pPr>
              <w:spacing w:line="440" w:lineRule="exact"/>
              <w:ind w:firstLine="422"/>
              <w:jc w:val="center"/>
              <w:rPr>
                <w:szCs w:val="21"/>
              </w:rPr>
            </w:pPr>
            <w:r>
              <w:rPr>
                <w:szCs w:val="21"/>
              </w:rPr>
              <w:t>5</w:t>
            </w:r>
          </w:p>
        </w:tc>
        <w:tc>
          <w:tcPr>
            <w:tcW w:w="1580" w:type="dxa"/>
            <w:vMerge w:val="restart"/>
            <w:vAlign w:val="center"/>
          </w:tcPr>
          <w:p w14:paraId="21325662">
            <w:pPr>
              <w:spacing w:line="440" w:lineRule="exact"/>
              <w:ind w:firstLine="422"/>
              <w:rPr>
                <w:szCs w:val="21"/>
              </w:rPr>
            </w:pPr>
            <w:r>
              <w:rPr>
                <w:szCs w:val="21"/>
              </w:rPr>
              <w:t>标线纵向间距</w:t>
            </w:r>
          </w:p>
          <w:p w14:paraId="03F84CF2">
            <w:pPr>
              <w:spacing w:line="440" w:lineRule="exact"/>
              <w:ind w:firstLine="422"/>
              <w:rPr>
                <w:szCs w:val="21"/>
              </w:rPr>
            </w:pPr>
            <w:r>
              <w:rPr>
                <w:szCs w:val="21"/>
              </w:rPr>
              <w:t>（mm）</w:t>
            </w:r>
          </w:p>
        </w:tc>
        <w:tc>
          <w:tcPr>
            <w:tcW w:w="2012" w:type="dxa"/>
            <w:gridSpan w:val="2"/>
            <w:vAlign w:val="center"/>
          </w:tcPr>
          <w:p w14:paraId="2C8BFE19">
            <w:pPr>
              <w:spacing w:line="440" w:lineRule="exact"/>
              <w:ind w:firstLine="422"/>
              <w:rPr>
                <w:szCs w:val="21"/>
              </w:rPr>
            </w:pPr>
            <w:r>
              <w:rPr>
                <w:szCs w:val="21"/>
              </w:rPr>
              <w:t>9000</w:t>
            </w:r>
          </w:p>
        </w:tc>
        <w:tc>
          <w:tcPr>
            <w:tcW w:w="2011" w:type="dxa"/>
            <w:vAlign w:val="center"/>
          </w:tcPr>
          <w:p w14:paraId="26789761">
            <w:pPr>
              <w:spacing w:line="440" w:lineRule="exact"/>
              <w:ind w:firstLine="422"/>
              <w:rPr>
                <w:szCs w:val="21"/>
              </w:rPr>
            </w:pPr>
            <w:r>
              <w:rPr>
                <w:szCs w:val="21"/>
              </w:rPr>
              <w:t>±45</w:t>
            </w:r>
          </w:p>
        </w:tc>
        <w:tc>
          <w:tcPr>
            <w:tcW w:w="2471" w:type="dxa"/>
            <w:vMerge w:val="restart"/>
            <w:vAlign w:val="center"/>
          </w:tcPr>
          <w:p w14:paraId="342E7A5A">
            <w:pPr>
              <w:spacing w:line="440" w:lineRule="exact"/>
              <w:ind w:firstLine="422"/>
              <w:rPr>
                <w:szCs w:val="21"/>
              </w:rPr>
            </w:pPr>
            <w:r>
              <w:rPr>
                <w:szCs w:val="21"/>
              </w:rPr>
              <w:t>尺量：每1km测3处，每处测</w:t>
            </w:r>
          </w:p>
          <w:p w14:paraId="020899CF">
            <w:pPr>
              <w:spacing w:line="440" w:lineRule="exact"/>
              <w:ind w:firstLine="422"/>
              <w:rPr>
                <w:szCs w:val="21"/>
              </w:rPr>
            </w:pPr>
            <w:r>
              <w:rPr>
                <w:szCs w:val="21"/>
              </w:rPr>
              <w:t>3个线段</w:t>
            </w:r>
          </w:p>
        </w:tc>
      </w:tr>
      <w:tr w14:paraId="0E463B5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91" w:hRule="exact"/>
          <w:jc w:val="center"/>
        </w:trPr>
        <w:tc>
          <w:tcPr>
            <w:tcW w:w="829" w:type="dxa"/>
            <w:vMerge w:val="continue"/>
            <w:vAlign w:val="center"/>
          </w:tcPr>
          <w:p w14:paraId="165BC6FD">
            <w:pPr>
              <w:spacing w:line="440" w:lineRule="exact"/>
              <w:ind w:firstLine="422"/>
              <w:jc w:val="center"/>
              <w:rPr>
                <w:szCs w:val="21"/>
              </w:rPr>
            </w:pPr>
          </w:p>
        </w:tc>
        <w:tc>
          <w:tcPr>
            <w:tcW w:w="1580" w:type="dxa"/>
            <w:vMerge w:val="continue"/>
            <w:vAlign w:val="center"/>
          </w:tcPr>
          <w:p w14:paraId="17887A79">
            <w:pPr>
              <w:spacing w:line="440" w:lineRule="exact"/>
              <w:ind w:firstLine="422"/>
              <w:rPr>
                <w:szCs w:val="21"/>
              </w:rPr>
            </w:pPr>
          </w:p>
        </w:tc>
        <w:tc>
          <w:tcPr>
            <w:tcW w:w="2012" w:type="dxa"/>
            <w:gridSpan w:val="2"/>
            <w:vAlign w:val="center"/>
          </w:tcPr>
          <w:p w14:paraId="43F1E8C5">
            <w:pPr>
              <w:spacing w:line="440" w:lineRule="exact"/>
              <w:ind w:firstLine="422"/>
              <w:rPr>
                <w:szCs w:val="21"/>
              </w:rPr>
            </w:pPr>
            <w:r>
              <w:rPr>
                <w:szCs w:val="21"/>
              </w:rPr>
              <w:t>6000</w:t>
            </w:r>
          </w:p>
        </w:tc>
        <w:tc>
          <w:tcPr>
            <w:tcW w:w="2011" w:type="dxa"/>
            <w:vAlign w:val="center"/>
          </w:tcPr>
          <w:p w14:paraId="670AE8D3">
            <w:pPr>
              <w:spacing w:line="440" w:lineRule="exact"/>
              <w:ind w:firstLine="422"/>
              <w:rPr>
                <w:szCs w:val="21"/>
              </w:rPr>
            </w:pPr>
            <w:r>
              <w:rPr>
                <w:szCs w:val="21"/>
              </w:rPr>
              <w:t>±30</w:t>
            </w:r>
          </w:p>
        </w:tc>
        <w:tc>
          <w:tcPr>
            <w:tcW w:w="2471" w:type="dxa"/>
            <w:vMerge w:val="continue"/>
            <w:vAlign w:val="center"/>
          </w:tcPr>
          <w:p w14:paraId="091DCB20">
            <w:pPr>
              <w:spacing w:line="440" w:lineRule="exact"/>
              <w:ind w:firstLine="422"/>
              <w:rPr>
                <w:szCs w:val="21"/>
              </w:rPr>
            </w:pPr>
          </w:p>
        </w:tc>
      </w:tr>
      <w:tr w14:paraId="62E677D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16" w:hRule="exact"/>
          <w:jc w:val="center"/>
        </w:trPr>
        <w:tc>
          <w:tcPr>
            <w:tcW w:w="829" w:type="dxa"/>
            <w:vMerge w:val="continue"/>
            <w:vAlign w:val="center"/>
          </w:tcPr>
          <w:p w14:paraId="54857C29">
            <w:pPr>
              <w:spacing w:line="440" w:lineRule="exact"/>
              <w:ind w:firstLine="422"/>
              <w:jc w:val="center"/>
              <w:rPr>
                <w:szCs w:val="21"/>
              </w:rPr>
            </w:pPr>
          </w:p>
        </w:tc>
        <w:tc>
          <w:tcPr>
            <w:tcW w:w="1580" w:type="dxa"/>
            <w:vMerge w:val="continue"/>
            <w:vAlign w:val="center"/>
          </w:tcPr>
          <w:p w14:paraId="7392889E">
            <w:pPr>
              <w:spacing w:line="440" w:lineRule="exact"/>
              <w:ind w:firstLine="422"/>
              <w:rPr>
                <w:szCs w:val="21"/>
              </w:rPr>
            </w:pPr>
          </w:p>
        </w:tc>
        <w:tc>
          <w:tcPr>
            <w:tcW w:w="2012" w:type="dxa"/>
            <w:gridSpan w:val="2"/>
            <w:vAlign w:val="center"/>
          </w:tcPr>
          <w:p w14:paraId="1FB04800">
            <w:pPr>
              <w:spacing w:line="440" w:lineRule="exact"/>
              <w:ind w:firstLine="422"/>
              <w:rPr>
                <w:szCs w:val="21"/>
              </w:rPr>
            </w:pPr>
            <w:r>
              <w:rPr>
                <w:szCs w:val="21"/>
              </w:rPr>
              <w:t>4000</w:t>
            </w:r>
          </w:p>
        </w:tc>
        <w:tc>
          <w:tcPr>
            <w:tcW w:w="2011" w:type="dxa"/>
            <w:vAlign w:val="center"/>
          </w:tcPr>
          <w:p w14:paraId="7964A918">
            <w:pPr>
              <w:spacing w:line="440" w:lineRule="exact"/>
              <w:ind w:firstLine="422"/>
              <w:rPr>
                <w:szCs w:val="21"/>
              </w:rPr>
            </w:pPr>
            <w:r>
              <w:rPr>
                <w:szCs w:val="21"/>
              </w:rPr>
              <w:t>±20</w:t>
            </w:r>
          </w:p>
        </w:tc>
        <w:tc>
          <w:tcPr>
            <w:tcW w:w="2471" w:type="dxa"/>
            <w:vMerge w:val="continue"/>
            <w:vAlign w:val="center"/>
          </w:tcPr>
          <w:p w14:paraId="11334E07">
            <w:pPr>
              <w:spacing w:line="440" w:lineRule="exact"/>
              <w:ind w:firstLine="422"/>
              <w:rPr>
                <w:szCs w:val="21"/>
              </w:rPr>
            </w:pPr>
          </w:p>
        </w:tc>
      </w:tr>
      <w:tr w14:paraId="6519927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46" w:hRule="exact"/>
          <w:jc w:val="center"/>
        </w:trPr>
        <w:tc>
          <w:tcPr>
            <w:tcW w:w="829" w:type="dxa"/>
            <w:vMerge w:val="continue"/>
            <w:vAlign w:val="center"/>
          </w:tcPr>
          <w:p w14:paraId="288E1A6E">
            <w:pPr>
              <w:spacing w:line="440" w:lineRule="exact"/>
              <w:ind w:firstLine="422"/>
              <w:jc w:val="center"/>
              <w:rPr>
                <w:szCs w:val="21"/>
              </w:rPr>
            </w:pPr>
          </w:p>
        </w:tc>
        <w:tc>
          <w:tcPr>
            <w:tcW w:w="1580" w:type="dxa"/>
            <w:vMerge w:val="continue"/>
            <w:vAlign w:val="center"/>
          </w:tcPr>
          <w:p w14:paraId="7F98D10B">
            <w:pPr>
              <w:spacing w:line="440" w:lineRule="exact"/>
              <w:ind w:firstLine="422"/>
              <w:rPr>
                <w:szCs w:val="21"/>
              </w:rPr>
            </w:pPr>
          </w:p>
        </w:tc>
        <w:tc>
          <w:tcPr>
            <w:tcW w:w="2012" w:type="dxa"/>
            <w:gridSpan w:val="2"/>
            <w:vAlign w:val="center"/>
          </w:tcPr>
          <w:p w14:paraId="77D3F347">
            <w:pPr>
              <w:spacing w:line="440" w:lineRule="exact"/>
              <w:ind w:firstLine="422"/>
              <w:rPr>
                <w:szCs w:val="21"/>
              </w:rPr>
            </w:pPr>
            <w:r>
              <w:rPr>
                <w:szCs w:val="21"/>
              </w:rPr>
              <w:t>3000</w:t>
            </w:r>
          </w:p>
        </w:tc>
        <w:tc>
          <w:tcPr>
            <w:tcW w:w="2011" w:type="dxa"/>
            <w:vAlign w:val="center"/>
          </w:tcPr>
          <w:p w14:paraId="17A8B9B8">
            <w:pPr>
              <w:spacing w:line="440" w:lineRule="exact"/>
              <w:ind w:firstLine="422"/>
              <w:rPr>
                <w:szCs w:val="21"/>
              </w:rPr>
            </w:pPr>
            <w:r>
              <w:rPr>
                <w:szCs w:val="21"/>
              </w:rPr>
              <w:t>±15</w:t>
            </w:r>
          </w:p>
        </w:tc>
        <w:tc>
          <w:tcPr>
            <w:tcW w:w="2471" w:type="dxa"/>
            <w:vMerge w:val="continue"/>
            <w:vAlign w:val="center"/>
          </w:tcPr>
          <w:p w14:paraId="769A0244">
            <w:pPr>
              <w:spacing w:line="440" w:lineRule="exact"/>
              <w:ind w:firstLine="422"/>
              <w:rPr>
                <w:szCs w:val="21"/>
              </w:rPr>
            </w:pPr>
          </w:p>
        </w:tc>
      </w:tr>
      <w:tr w14:paraId="21D635F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94" w:hRule="exact"/>
          <w:jc w:val="center"/>
        </w:trPr>
        <w:tc>
          <w:tcPr>
            <w:tcW w:w="829" w:type="dxa"/>
            <w:vAlign w:val="center"/>
          </w:tcPr>
          <w:p w14:paraId="215C1A95">
            <w:pPr>
              <w:spacing w:line="440" w:lineRule="exact"/>
              <w:ind w:firstLine="422"/>
              <w:jc w:val="center"/>
              <w:rPr>
                <w:szCs w:val="21"/>
              </w:rPr>
            </w:pPr>
            <w:r>
              <w:rPr>
                <w:rFonts w:hint="eastAsia"/>
                <w:szCs w:val="21"/>
              </w:rPr>
              <w:t>6</w:t>
            </w:r>
          </w:p>
        </w:tc>
        <w:tc>
          <w:tcPr>
            <w:tcW w:w="1580" w:type="dxa"/>
            <w:vAlign w:val="center"/>
          </w:tcPr>
          <w:p w14:paraId="2BD49D94">
            <w:pPr>
              <w:spacing w:line="440" w:lineRule="exact"/>
              <w:ind w:firstLine="422"/>
              <w:rPr>
                <w:szCs w:val="21"/>
              </w:rPr>
            </w:pPr>
            <w:r>
              <w:rPr>
                <w:szCs w:val="21"/>
              </w:rPr>
              <w:t>抗滑值</w:t>
            </w:r>
          </w:p>
          <w:p w14:paraId="4615DAAD">
            <w:pPr>
              <w:spacing w:line="440" w:lineRule="exact"/>
              <w:ind w:firstLine="422"/>
              <w:rPr>
                <w:szCs w:val="21"/>
              </w:rPr>
            </w:pPr>
            <w:r>
              <w:rPr>
                <w:szCs w:val="21"/>
              </w:rPr>
              <w:t>（BPN）</w:t>
            </w:r>
          </w:p>
        </w:tc>
        <w:tc>
          <w:tcPr>
            <w:tcW w:w="2012" w:type="dxa"/>
            <w:gridSpan w:val="2"/>
            <w:vAlign w:val="center"/>
          </w:tcPr>
          <w:p w14:paraId="20102498">
            <w:pPr>
              <w:spacing w:line="440" w:lineRule="exact"/>
              <w:ind w:firstLine="422"/>
              <w:rPr>
                <w:szCs w:val="21"/>
              </w:rPr>
            </w:pPr>
            <w:r>
              <w:rPr>
                <w:rFonts w:hint="eastAsia"/>
                <w:szCs w:val="21"/>
              </w:rPr>
              <w:t>防</w:t>
            </w:r>
            <w:r>
              <w:rPr>
                <w:szCs w:val="21"/>
              </w:rPr>
              <w:t>滑标线</w:t>
            </w:r>
          </w:p>
        </w:tc>
        <w:tc>
          <w:tcPr>
            <w:tcW w:w="2011" w:type="dxa"/>
            <w:vAlign w:val="center"/>
          </w:tcPr>
          <w:p w14:paraId="75A6D17F">
            <w:pPr>
              <w:spacing w:line="440" w:lineRule="exact"/>
              <w:ind w:firstLine="422"/>
              <w:rPr>
                <w:szCs w:val="21"/>
              </w:rPr>
            </w:pPr>
            <w:r>
              <w:rPr>
                <w:szCs w:val="21"/>
              </w:rPr>
              <w:t>≥45</w:t>
            </w:r>
          </w:p>
        </w:tc>
        <w:tc>
          <w:tcPr>
            <w:tcW w:w="2471" w:type="dxa"/>
            <w:vAlign w:val="center"/>
          </w:tcPr>
          <w:p w14:paraId="274F77D1">
            <w:pPr>
              <w:spacing w:line="440" w:lineRule="exact"/>
              <w:ind w:firstLine="422"/>
              <w:rPr>
                <w:szCs w:val="21"/>
              </w:rPr>
            </w:pPr>
            <w:r>
              <w:rPr>
                <w:szCs w:val="21"/>
              </w:rPr>
              <w:t>摆式摩擦系数测试仪：每</w:t>
            </w:r>
          </w:p>
          <w:p w14:paraId="7CE44185">
            <w:pPr>
              <w:spacing w:line="440" w:lineRule="exact"/>
              <w:ind w:firstLine="422"/>
              <w:rPr>
                <w:szCs w:val="21"/>
              </w:rPr>
            </w:pPr>
            <w:r>
              <w:rPr>
                <w:szCs w:val="21"/>
              </w:rPr>
              <w:t>1km测3处</w:t>
            </w:r>
          </w:p>
        </w:tc>
      </w:tr>
    </w:tbl>
    <w:p w14:paraId="168C7C93">
      <w:pPr>
        <w:spacing w:line="440" w:lineRule="exact"/>
        <w:ind w:firstLine="422"/>
        <w:jc w:val="center"/>
        <w:rPr>
          <w:szCs w:val="21"/>
        </w:rPr>
      </w:pPr>
      <w:r>
        <w:rPr>
          <w:rFonts w:hint="eastAsia"/>
          <w:szCs w:val="21"/>
        </w:rPr>
        <w:t>表</w:t>
      </w:r>
      <w:r>
        <w:rPr>
          <w:szCs w:val="21"/>
        </w:rPr>
        <w:t xml:space="preserve">4 </w:t>
      </w:r>
      <w:r>
        <w:rPr>
          <w:rFonts w:hint="eastAsia"/>
          <w:szCs w:val="21"/>
        </w:rPr>
        <w:t>热熔标线逆反射亮度系数RL技术要求</w:t>
      </w:r>
    </w:p>
    <w:tbl>
      <w:tblPr>
        <w:tblStyle w:val="23"/>
        <w:tblW w:w="883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979"/>
        <w:gridCol w:w="3262"/>
        <w:gridCol w:w="2598"/>
      </w:tblGrid>
      <w:tr w14:paraId="7A76289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979" w:type="dxa"/>
            <w:vAlign w:val="center"/>
          </w:tcPr>
          <w:p w14:paraId="70062F1B">
            <w:pPr>
              <w:spacing w:line="440" w:lineRule="exact"/>
              <w:ind w:firstLine="422"/>
              <w:jc w:val="center"/>
              <w:rPr>
                <w:szCs w:val="21"/>
              </w:rPr>
            </w:pPr>
            <w:r>
              <w:rPr>
                <w:rFonts w:hint="eastAsia"/>
                <w:szCs w:val="21"/>
              </w:rPr>
              <w:t>检测项目</w:t>
            </w:r>
          </w:p>
        </w:tc>
        <w:tc>
          <w:tcPr>
            <w:tcW w:w="3262" w:type="dxa"/>
            <w:vAlign w:val="center"/>
          </w:tcPr>
          <w:p w14:paraId="4231C135">
            <w:pPr>
              <w:spacing w:line="440" w:lineRule="exact"/>
              <w:ind w:firstLine="422"/>
              <w:jc w:val="center"/>
              <w:rPr>
                <w:szCs w:val="21"/>
              </w:rPr>
            </w:pPr>
            <w:r>
              <w:rPr>
                <w:rFonts w:hint="eastAsia"/>
                <w:szCs w:val="21"/>
              </w:rPr>
              <w:t>检测时间</w:t>
            </w:r>
          </w:p>
        </w:tc>
        <w:tc>
          <w:tcPr>
            <w:tcW w:w="2598" w:type="dxa"/>
            <w:vAlign w:val="center"/>
          </w:tcPr>
          <w:p w14:paraId="3F48FAF0">
            <w:pPr>
              <w:spacing w:line="440" w:lineRule="exact"/>
              <w:ind w:firstLine="422"/>
              <w:jc w:val="center"/>
              <w:rPr>
                <w:szCs w:val="21"/>
              </w:rPr>
            </w:pPr>
            <w:r>
              <w:rPr>
                <w:rFonts w:hint="eastAsia"/>
                <w:szCs w:val="21"/>
              </w:rPr>
              <w:t>合格标准</w:t>
            </w:r>
          </w:p>
        </w:tc>
      </w:tr>
      <w:tr w14:paraId="45FE1D6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2979" w:type="dxa"/>
            <w:vMerge w:val="restart"/>
            <w:vAlign w:val="center"/>
          </w:tcPr>
          <w:p w14:paraId="71C4A382">
            <w:pPr>
              <w:spacing w:line="440" w:lineRule="exact"/>
              <w:ind w:firstLine="422"/>
              <w:rPr>
                <w:szCs w:val="21"/>
              </w:rPr>
            </w:pPr>
            <w:r>
              <w:rPr>
                <w:rFonts w:hint="eastAsia"/>
                <w:szCs w:val="21"/>
              </w:rPr>
              <w:t>白色标线R</w:t>
            </w:r>
            <w:r>
              <w:rPr>
                <w:rFonts w:hint="eastAsia"/>
                <w:szCs w:val="21"/>
                <w:vertAlign w:val="subscript"/>
              </w:rPr>
              <w:t>L</w:t>
            </w:r>
            <w:r>
              <w:rPr>
                <w:rFonts w:hint="eastAsia"/>
                <w:szCs w:val="21"/>
              </w:rPr>
              <w:t>（干态））</w:t>
            </w:r>
          </w:p>
          <w:p w14:paraId="475E6077">
            <w:pPr>
              <w:spacing w:line="440" w:lineRule="exact"/>
              <w:ind w:firstLine="422"/>
              <w:rPr>
                <w:szCs w:val="21"/>
              </w:rPr>
            </w:pPr>
            <w:r>
              <w:rPr>
                <w:rFonts w:hint="eastAsia"/>
                <w:szCs w:val="21"/>
              </w:rPr>
              <w:t>mcd• m</w:t>
            </w:r>
            <w:r>
              <w:rPr>
                <w:rFonts w:hint="eastAsia"/>
                <w:szCs w:val="21"/>
                <w:vertAlign w:val="superscript"/>
              </w:rPr>
              <w:t>-2</w:t>
            </w:r>
            <w:r>
              <w:rPr>
                <w:rFonts w:hint="eastAsia"/>
                <w:szCs w:val="21"/>
              </w:rPr>
              <w:t>•lx</w:t>
            </w:r>
            <w:r>
              <w:rPr>
                <w:rFonts w:hint="eastAsia"/>
                <w:szCs w:val="21"/>
                <w:vertAlign w:val="superscript"/>
              </w:rPr>
              <w:t>-1</w:t>
            </w:r>
          </w:p>
        </w:tc>
        <w:tc>
          <w:tcPr>
            <w:tcW w:w="3262" w:type="dxa"/>
            <w:vAlign w:val="center"/>
          </w:tcPr>
          <w:p w14:paraId="3A53BCCC">
            <w:pPr>
              <w:pStyle w:val="20"/>
              <w:spacing w:line="360" w:lineRule="auto"/>
              <w:ind w:right="-20" w:firstLine="480" w:firstLineChars="200"/>
              <w:jc w:val="center"/>
              <w:rPr>
                <w:color w:val="auto"/>
                <w:kern w:val="2"/>
              </w:rPr>
            </w:pPr>
            <w:r>
              <w:rPr>
                <w:rFonts w:hint="eastAsia"/>
                <w:color w:val="auto"/>
                <w:szCs w:val="21"/>
              </w:rPr>
              <w:t>交工验收前的任何时间</w:t>
            </w:r>
          </w:p>
        </w:tc>
        <w:tc>
          <w:tcPr>
            <w:tcW w:w="2598" w:type="dxa"/>
            <w:vAlign w:val="center"/>
          </w:tcPr>
          <w:p w14:paraId="6D00B856">
            <w:pPr>
              <w:pStyle w:val="20"/>
              <w:spacing w:line="360" w:lineRule="auto"/>
              <w:ind w:right="-20" w:firstLine="480" w:firstLineChars="200"/>
              <w:jc w:val="center"/>
              <w:rPr>
                <w:kern w:val="2"/>
              </w:rPr>
            </w:pPr>
            <w:r>
              <w:rPr>
                <w:rFonts w:hint="eastAsia"/>
                <w:kern w:val="2"/>
              </w:rPr>
              <w:t xml:space="preserve">≥150 </w:t>
            </w:r>
          </w:p>
        </w:tc>
      </w:tr>
      <w:tr w14:paraId="212D68F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2979" w:type="dxa"/>
            <w:vMerge w:val="continue"/>
            <w:vAlign w:val="center"/>
          </w:tcPr>
          <w:p w14:paraId="7818310B">
            <w:pPr>
              <w:spacing w:line="440" w:lineRule="exact"/>
              <w:ind w:firstLine="422"/>
              <w:rPr>
                <w:szCs w:val="21"/>
              </w:rPr>
            </w:pPr>
          </w:p>
        </w:tc>
        <w:tc>
          <w:tcPr>
            <w:tcW w:w="3262" w:type="dxa"/>
            <w:vAlign w:val="center"/>
          </w:tcPr>
          <w:p w14:paraId="4F3AA943">
            <w:pPr>
              <w:pStyle w:val="20"/>
              <w:spacing w:line="360" w:lineRule="auto"/>
              <w:ind w:right="-20" w:firstLine="480" w:firstLineChars="200"/>
              <w:jc w:val="center"/>
              <w:rPr>
                <w:color w:val="auto"/>
                <w:kern w:val="2"/>
              </w:rPr>
            </w:pPr>
            <w:r>
              <w:rPr>
                <w:rFonts w:hint="eastAsia"/>
                <w:color w:val="auto"/>
                <w:szCs w:val="21"/>
              </w:rPr>
              <w:t>正常使用一年后</w:t>
            </w:r>
          </w:p>
        </w:tc>
        <w:tc>
          <w:tcPr>
            <w:tcW w:w="2598" w:type="dxa"/>
            <w:vAlign w:val="center"/>
          </w:tcPr>
          <w:p w14:paraId="729FF38F">
            <w:pPr>
              <w:pStyle w:val="20"/>
              <w:spacing w:line="360" w:lineRule="auto"/>
              <w:ind w:right="-20" w:firstLine="480" w:firstLineChars="200"/>
              <w:jc w:val="center"/>
              <w:rPr>
                <w:kern w:val="2"/>
              </w:rPr>
            </w:pPr>
            <w:r>
              <w:rPr>
                <w:rFonts w:hint="eastAsia"/>
                <w:kern w:val="2"/>
              </w:rPr>
              <w:t>≥80</w:t>
            </w:r>
          </w:p>
        </w:tc>
      </w:tr>
      <w:tr w14:paraId="4DEC803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2979" w:type="dxa"/>
            <w:vMerge w:val="restart"/>
            <w:vAlign w:val="center"/>
          </w:tcPr>
          <w:p w14:paraId="6823E882">
            <w:pPr>
              <w:spacing w:line="440" w:lineRule="exact"/>
              <w:ind w:firstLine="422"/>
              <w:rPr>
                <w:szCs w:val="21"/>
              </w:rPr>
            </w:pPr>
          </w:p>
          <w:p w14:paraId="6EE98487">
            <w:pPr>
              <w:spacing w:line="440" w:lineRule="exact"/>
              <w:ind w:firstLine="422"/>
              <w:rPr>
                <w:szCs w:val="21"/>
              </w:rPr>
            </w:pPr>
            <w:r>
              <w:rPr>
                <w:rFonts w:hint="eastAsia"/>
                <w:szCs w:val="21"/>
              </w:rPr>
              <w:t xml:space="preserve">黄色标线RL（干态）） </w:t>
            </w:r>
          </w:p>
          <w:p w14:paraId="63A83F33">
            <w:pPr>
              <w:spacing w:line="440" w:lineRule="exact"/>
              <w:ind w:firstLine="422"/>
              <w:rPr>
                <w:szCs w:val="21"/>
              </w:rPr>
            </w:pPr>
            <w:r>
              <w:rPr>
                <w:rFonts w:hint="eastAsia"/>
                <w:szCs w:val="21"/>
              </w:rPr>
              <w:t xml:space="preserve">mcd• m-2•lx-1 </w:t>
            </w:r>
          </w:p>
          <w:p w14:paraId="5839526B">
            <w:pPr>
              <w:spacing w:line="440" w:lineRule="exact"/>
              <w:ind w:firstLine="422"/>
              <w:rPr>
                <w:szCs w:val="21"/>
              </w:rPr>
            </w:pPr>
          </w:p>
        </w:tc>
        <w:tc>
          <w:tcPr>
            <w:tcW w:w="3262" w:type="dxa"/>
            <w:vAlign w:val="center"/>
          </w:tcPr>
          <w:p w14:paraId="5B619F71">
            <w:pPr>
              <w:pStyle w:val="20"/>
              <w:spacing w:line="360" w:lineRule="auto"/>
              <w:ind w:right="-20" w:firstLine="480" w:firstLineChars="200"/>
              <w:jc w:val="center"/>
              <w:rPr>
                <w:color w:val="auto"/>
                <w:kern w:val="2"/>
              </w:rPr>
            </w:pPr>
            <w:r>
              <w:rPr>
                <w:rFonts w:hint="eastAsia"/>
                <w:color w:val="auto"/>
                <w:szCs w:val="21"/>
              </w:rPr>
              <w:t>交工验收前的任何时间</w:t>
            </w:r>
          </w:p>
        </w:tc>
        <w:tc>
          <w:tcPr>
            <w:tcW w:w="2598" w:type="dxa"/>
            <w:vAlign w:val="center"/>
          </w:tcPr>
          <w:p w14:paraId="6D15A4D0">
            <w:pPr>
              <w:pStyle w:val="20"/>
              <w:spacing w:line="360" w:lineRule="auto"/>
              <w:ind w:right="-20" w:firstLine="480" w:firstLineChars="200"/>
              <w:jc w:val="center"/>
              <w:rPr>
                <w:kern w:val="2"/>
              </w:rPr>
            </w:pPr>
            <w:r>
              <w:rPr>
                <w:rFonts w:hint="eastAsia"/>
                <w:kern w:val="2"/>
              </w:rPr>
              <w:t>≥100</w:t>
            </w:r>
          </w:p>
        </w:tc>
      </w:tr>
      <w:tr w14:paraId="58A9ED4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474" w:hRule="atLeast"/>
          <w:jc w:val="center"/>
        </w:trPr>
        <w:tc>
          <w:tcPr>
            <w:tcW w:w="2979" w:type="dxa"/>
            <w:vMerge w:val="continue"/>
            <w:vAlign w:val="center"/>
          </w:tcPr>
          <w:p w14:paraId="6F58E374">
            <w:pPr>
              <w:spacing w:line="440" w:lineRule="exact"/>
              <w:ind w:firstLine="422"/>
              <w:rPr>
                <w:szCs w:val="21"/>
              </w:rPr>
            </w:pPr>
          </w:p>
        </w:tc>
        <w:tc>
          <w:tcPr>
            <w:tcW w:w="3262" w:type="dxa"/>
            <w:vAlign w:val="center"/>
          </w:tcPr>
          <w:p w14:paraId="13B902F1">
            <w:pPr>
              <w:pStyle w:val="20"/>
              <w:spacing w:line="360" w:lineRule="auto"/>
              <w:ind w:right="-20" w:firstLine="480" w:firstLineChars="200"/>
              <w:jc w:val="center"/>
              <w:rPr>
                <w:color w:val="auto"/>
                <w:kern w:val="2"/>
              </w:rPr>
            </w:pPr>
            <w:r>
              <w:rPr>
                <w:rFonts w:hint="eastAsia"/>
                <w:color w:val="auto"/>
                <w:szCs w:val="21"/>
              </w:rPr>
              <w:t>正常使用一年后</w:t>
            </w:r>
          </w:p>
        </w:tc>
        <w:tc>
          <w:tcPr>
            <w:tcW w:w="2598" w:type="dxa"/>
            <w:vAlign w:val="center"/>
          </w:tcPr>
          <w:p w14:paraId="4491B782">
            <w:pPr>
              <w:pStyle w:val="20"/>
              <w:spacing w:line="360" w:lineRule="auto"/>
              <w:ind w:right="-20" w:firstLine="480" w:firstLineChars="200"/>
              <w:jc w:val="center"/>
              <w:rPr>
                <w:kern w:val="2"/>
              </w:rPr>
            </w:pPr>
            <w:r>
              <w:rPr>
                <w:rFonts w:hint="eastAsia"/>
                <w:kern w:val="2"/>
              </w:rPr>
              <w:t>≥50</w:t>
            </w:r>
          </w:p>
        </w:tc>
      </w:tr>
    </w:tbl>
    <w:p w14:paraId="219F6747">
      <w:pPr>
        <w:spacing w:line="440" w:lineRule="exact"/>
        <w:ind w:firstLine="562"/>
        <w:rPr>
          <w:rFonts w:hint="eastAsia" w:ascii="仿宋_GB2312" w:eastAsia="仿宋_GB2312"/>
          <w:sz w:val="28"/>
          <w:szCs w:val="28"/>
        </w:rPr>
      </w:pPr>
      <w:r>
        <w:rPr>
          <w:rFonts w:hint="eastAsia" w:ascii="仿宋_GB2312" w:eastAsia="仿宋_GB2312"/>
          <w:sz w:val="28"/>
          <w:szCs w:val="28"/>
        </w:rPr>
        <w:t>26、技术规范新增加内容：橡胶沥青混凝土面层</w:t>
      </w:r>
    </w:p>
    <w:p w14:paraId="2072EFA1">
      <w:pPr>
        <w:spacing w:line="440" w:lineRule="exact"/>
        <w:ind w:firstLine="562"/>
        <w:rPr>
          <w:rFonts w:ascii="仿宋_GB2312" w:eastAsia="仿宋_GB2312"/>
          <w:sz w:val="28"/>
          <w:szCs w:val="28"/>
        </w:rPr>
      </w:pPr>
      <w:r>
        <w:rPr>
          <w:rFonts w:hint="eastAsia" w:ascii="仿宋_GB2312" w:eastAsia="仿宋_GB2312"/>
          <w:sz w:val="28"/>
          <w:szCs w:val="28"/>
        </w:rPr>
        <w:t>橡胶沥青混凝土面层的材料、各项试验及储存、配合比设计、施工、质量检验严格按《橡胶沥青路面施工技术规范》（DB45/T 1098-2024）实施。</w:t>
      </w:r>
    </w:p>
    <w:p w14:paraId="39C54D92">
      <w:pPr>
        <w:pStyle w:val="12"/>
        <w:spacing w:line="296" w:lineRule="auto"/>
      </w:pPr>
    </w:p>
    <w:p w14:paraId="38FDC160">
      <w:pPr>
        <w:ind w:firstLine="422"/>
      </w:pPr>
    </w:p>
    <w:p w14:paraId="75A974F9">
      <w:pPr>
        <w:pStyle w:val="12"/>
        <w:spacing w:line="296" w:lineRule="auto"/>
      </w:pPr>
    </w:p>
    <w:p w14:paraId="14DF6AF9">
      <w:pPr>
        <w:keepNext w:val="0"/>
        <w:keepLines w:val="0"/>
        <w:pageBreakBefore w:val="0"/>
        <w:widowControl w:val="0"/>
        <w:kinsoku/>
        <w:wordWrap/>
        <w:overflowPunct/>
        <w:topLinePunct w:val="0"/>
        <w:autoSpaceDE w:val="0"/>
        <w:autoSpaceDN w:val="0"/>
        <w:bidi w:val="0"/>
        <w:adjustRightInd/>
        <w:snapToGrid/>
        <w:spacing w:before="155" w:line="240" w:lineRule="auto"/>
        <w:jc w:val="center"/>
        <w:textAlignment w:val="auto"/>
        <w:rPr>
          <w:sz w:val="36"/>
          <w:szCs w:val="36"/>
        </w:rPr>
      </w:pPr>
      <w:r>
        <w:rPr>
          <w:rFonts w:hint="eastAsia"/>
          <w:sz w:val="36"/>
          <w:szCs w:val="36"/>
        </w:rPr>
        <w:t>第三节合同附件格式</w:t>
      </w:r>
    </w:p>
    <w:p w14:paraId="14AD5A34">
      <w:pPr>
        <w:spacing w:before="278" w:line="181" w:lineRule="auto"/>
        <w:ind w:left="1" w:firstLine="482"/>
        <w:rPr>
          <w:sz w:val="24"/>
          <w:szCs w:val="24"/>
        </w:rPr>
      </w:pPr>
      <w:r>
        <w:rPr>
          <w:rFonts w:hint="eastAsia"/>
          <w:b/>
          <w:bCs/>
          <w:sz w:val="24"/>
          <w:szCs w:val="24"/>
        </w:rPr>
        <w:t>均采用交通运输部《公路工程标准施工招标文件》（2018年版）的格式。</w:t>
      </w:r>
    </w:p>
    <w:p w14:paraId="1B5984FF">
      <w:pPr>
        <w:spacing w:line="181" w:lineRule="auto"/>
        <w:ind w:firstLine="482"/>
        <w:rPr>
          <w:sz w:val="24"/>
          <w:szCs w:val="24"/>
        </w:rPr>
        <w:sectPr>
          <w:footerReference r:id="rId9" w:type="default"/>
          <w:pgSz w:w="11900" w:h="16840"/>
          <w:pgMar w:top="1431" w:right="1785" w:bottom="801" w:left="1785" w:header="0" w:footer="637" w:gutter="0"/>
          <w:cols w:space="720" w:num="1"/>
        </w:sectPr>
      </w:pPr>
    </w:p>
    <w:p w14:paraId="101FF7AF">
      <w:pPr>
        <w:spacing w:before="64" w:line="360" w:lineRule="auto"/>
        <w:ind w:left="30" w:firstLine="643"/>
        <w:rPr>
          <w:sz w:val="32"/>
          <w:szCs w:val="32"/>
        </w:rPr>
      </w:pPr>
      <w:r>
        <w:rPr>
          <w:rFonts w:hint="eastAsia"/>
          <w:sz w:val="32"/>
          <w:szCs w:val="32"/>
        </w:rPr>
        <w:t>附件一合同协议书</w:t>
      </w:r>
    </w:p>
    <w:p w14:paraId="02FA2667">
      <w:pPr>
        <w:spacing w:before="1" w:line="360" w:lineRule="auto"/>
        <w:jc w:val="center"/>
        <w:rPr>
          <w:sz w:val="36"/>
          <w:szCs w:val="36"/>
        </w:rPr>
      </w:pPr>
      <w:r>
        <w:rPr>
          <w:rFonts w:hint="eastAsia"/>
          <w:sz w:val="36"/>
          <w:szCs w:val="36"/>
        </w:rPr>
        <w:t>合同协议书</w:t>
      </w:r>
    </w:p>
    <w:p w14:paraId="3600B865">
      <w:pPr>
        <w:spacing w:line="360" w:lineRule="auto"/>
        <w:ind w:firstLine="440" w:firstLineChars="200"/>
      </w:pPr>
      <w:r>
        <w:rPr>
          <w:rFonts w:hint="eastAsia"/>
          <w:color w:val="auto"/>
          <w:u w:val="single"/>
        </w:rPr>
        <w:t>广西壮族自治区临桂公路养护中心</w:t>
      </w:r>
      <w:r>
        <w:rPr>
          <w:rFonts w:hint="eastAsia"/>
          <w:color w:val="auto"/>
        </w:rPr>
        <w:t>（发包人名称，以下简称“发包人”）为实施</w:t>
      </w:r>
      <w:r>
        <w:rPr>
          <w:rFonts w:hint="eastAsia"/>
          <w:color w:val="auto"/>
          <w:u w:val="single"/>
        </w:rPr>
        <w:t>广西壮族自治区临桂公路养护中心G322临桂艳滩村至罗江村K1662+000～K</w:t>
      </w:r>
      <w:r>
        <w:rPr>
          <w:rFonts w:hint="eastAsia"/>
          <w:color w:val="auto"/>
          <w:u w:val="single"/>
          <w:lang w:eastAsia="zh-CN"/>
        </w:rPr>
        <w:t>1663+000</w:t>
      </w:r>
      <w:r>
        <w:rPr>
          <w:rFonts w:hint="eastAsia"/>
          <w:color w:val="auto"/>
          <w:u w:val="single"/>
        </w:rPr>
        <w:t>段路面修复养护工程</w:t>
      </w:r>
      <w:r>
        <w:rPr>
          <w:rFonts w:hint="eastAsia"/>
          <w:color w:val="auto"/>
        </w:rPr>
        <w:t>，</w:t>
      </w:r>
      <w:r>
        <w:rPr>
          <w:rFonts w:hint="eastAsia"/>
        </w:rPr>
        <w:t>已接受</w:t>
      </w:r>
      <w:r>
        <w:rPr>
          <w:rFonts w:hint="eastAsia"/>
          <w:u w:val="single"/>
        </w:rPr>
        <w:tab/>
      </w:r>
      <w:r>
        <w:rPr>
          <w:rFonts w:hint="eastAsia"/>
        </w:rPr>
        <w:t>（承包人名称，以下简称“承包人”）对该项目</w:t>
      </w:r>
      <w:r>
        <w:rPr>
          <w:rFonts w:hint="eastAsia"/>
          <w:u w:val="single"/>
        </w:rPr>
        <w:t xml:space="preserve">第  1  </w:t>
      </w:r>
      <w:r>
        <w:rPr>
          <w:rFonts w:hint="eastAsia"/>
        </w:rPr>
        <w:t>标段施工的投标。发包人和承包人共同达成如下协议。</w:t>
      </w:r>
    </w:p>
    <w:p w14:paraId="7B082DA6">
      <w:pPr>
        <w:numPr>
          <w:ilvl w:val="0"/>
          <w:numId w:val="6"/>
        </w:numPr>
        <w:spacing w:line="360" w:lineRule="auto"/>
        <w:ind w:firstLine="440" w:firstLineChars="200"/>
        <w:rPr>
          <w:color w:val="auto"/>
        </w:rPr>
      </w:pPr>
      <w:r>
        <w:rPr>
          <w:rFonts w:hint="eastAsia"/>
          <w:color w:val="auto"/>
        </w:rPr>
        <w:t>该项目</w:t>
      </w:r>
      <w:r>
        <w:rPr>
          <w:rFonts w:hint="eastAsia"/>
          <w:color w:val="auto"/>
          <w:lang w:val="en-US" w:eastAsia="zh-CN"/>
        </w:rPr>
        <w:t>由</w:t>
      </w:r>
      <w:r>
        <w:rPr>
          <w:rFonts w:hint="eastAsia"/>
          <w:color w:val="auto"/>
        </w:rPr>
        <w:t>K1662+000～K</w:t>
      </w:r>
      <w:r>
        <w:rPr>
          <w:rFonts w:hint="eastAsia"/>
          <w:color w:val="auto"/>
          <w:lang w:eastAsia="zh-CN"/>
        </w:rPr>
        <w:t>1663+000</w:t>
      </w:r>
      <w:r>
        <w:rPr>
          <w:rFonts w:hint="eastAsia"/>
          <w:color w:val="auto"/>
        </w:rPr>
        <w:t>段，全长</w:t>
      </w:r>
      <w:r>
        <w:rPr>
          <w:rFonts w:hint="eastAsia"/>
          <w:color w:val="auto"/>
          <w:lang w:eastAsia="zh-CN"/>
        </w:rPr>
        <w:t>约</w:t>
      </w:r>
      <w:r>
        <w:rPr>
          <w:rFonts w:hint="eastAsia"/>
          <w:color w:val="auto"/>
        </w:rPr>
        <w:t>1km，</w:t>
      </w:r>
      <w:r>
        <w:rPr>
          <w:rFonts w:hint="eastAsia"/>
          <w:color w:val="auto"/>
          <w:lang w:eastAsia="zh-CN"/>
        </w:rPr>
        <w:t>公路</w:t>
      </w:r>
      <w:r>
        <w:rPr>
          <w:rFonts w:hint="eastAsia"/>
          <w:color w:val="auto"/>
        </w:rPr>
        <w:t>等级为二级公路，设计速度60</w:t>
      </w:r>
      <w:r>
        <w:rPr>
          <w:rFonts w:hint="eastAsia"/>
          <w:color w:val="auto"/>
          <w:lang w:eastAsia="zh-CN"/>
        </w:rPr>
        <w:t>（</w:t>
      </w:r>
      <w:r>
        <w:rPr>
          <w:rFonts w:hint="eastAsia"/>
          <w:color w:val="auto"/>
          <w:lang w:val="en-US" w:eastAsia="zh-CN"/>
        </w:rPr>
        <w:t>40</w:t>
      </w:r>
      <w:r>
        <w:rPr>
          <w:rFonts w:hint="eastAsia"/>
          <w:color w:val="auto"/>
          <w:lang w:eastAsia="zh-CN"/>
        </w:rPr>
        <w:t>）</w:t>
      </w:r>
      <w:r>
        <w:rPr>
          <w:rFonts w:hint="eastAsia"/>
          <w:color w:val="auto"/>
        </w:rPr>
        <w:t>km/h。路面结构</w:t>
      </w:r>
      <w:r>
        <w:rPr>
          <w:rFonts w:hint="eastAsia"/>
          <w:color w:val="auto"/>
          <w:lang w:eastAsia="zh-CN"/>
        </w:rPr>
        <w:t>层</w:t>
      </w:r>
      <w:r>
        <w:rPr>
          <w:rFonts w:hint="eastAsia"/>
          <w:color w:val="auto"/>
        </w:rPr>
        <w:t>：5cm厚ARAC-16橡胶沥青混凝土面层+1.5cm厚两油两料石油沥青同步碎石封层(骨料除尘加热)+20cm大粒径级配碎石基层+经病害处理后的旧路面；有路面工程、交安工程、</w:t>
      </w:r>
      <w:r>
        <w:rPr>
          <w:rFonts w:hint="eastAsia"/>
          <w:color w:val="auto"/>
          <w:lang w:eastAsia="zh-CN"/>
        </w:rPr>
        <w:t>防护、</w:t>
      </w:r>
      <w:r>
        <w:rPr>
          <w:rFonts w:hint="eastAsia"/>
          <w:color w:val="auto"/>
        </w:rPr>
        <w:t>排水等。</w:t>
      </w:r>
    </w:p>
    <w:p w14:paraId="6E302199">
      <w:pPr>
        <w:spacing w:line="360" w:lineRule="auto"/>
        <w:ind w:firstLine="440" w:firstLineChars="200"/>
      </w:pPr>
      <w:r>
        <w:rPr>
          <w:rFonts w:hint="eastAsia"/>
        </w:rPr>
        <w:t>主要施工内容:</w:t>
      </w:r>
      <w:r>
        <w:rPr>
          <w:rFonts w:hint="eastAsia"/>
          <w:lang w:val="en-US" w:eastAsia="zh-CN"/>
        </w:rPr>
        <w:t>(</w:t>
      </w:r>
      <w:r>
        <w:rPr>
          <w:rFonts w:hint="eastAsia"/>
          <w:u w:val="single"/>
        </w:rPr>
        <w:t>1</w:t>
      </w:r>
      <w:r>
        <w:rPr>
          <w:rFonts w:hint="eastAsia"/>
          <w:u w:val="single"/>
          <w:lang w:val="en-US" w:eastAsia="zh-CN"/>
        </w:rPr>
        <w:t>)</w:t>
      </w:r>
      <w:r>
        <w:rPr>
          <w:rFonts w:hint="eastAsia"/>
          <w:u w:val="single"/>
        </w:rPr>
        <w:t>、路面结构：5cm厚ARAC-16橡胶沥青混凝土面层+1.5cm厚两油两料石油沥青同步碎石封层(骨料除尘加热)+20cm大粒径级配碎石基层+经病害处理后的旧路面；</w:t>
      </w:r>
      <w:r>
        <w:rPr>
          <w:rFonts w:hint="eastAsia"/>
          <w:u w:val="single"/>
          <w:lang w:val="en-US" w:eastAsia="zh-CN"/>
        </w:rPr>
        <w:t>(</w:t>
      </w:r>
      <w:r>
        <w:rPr>
          <w:rFonts w:hint="eastAsia"/>
          <w:u w:val="single"/>
        </w:rPr>
        <w:t>2</w:t>
      </w:r>
      <w:r>
        <w:rPr>
          <w:rFonts w:hint="eastAsia"/>
          <w:u w:val="single"/>
          <w:lang w:val="en-US" w:eastAsia="zh-CN"/>
        </w:rPr>
        <w:t>)</w:t>
      </w:r>
      <w:r>
        <w:rPr>
          <w:rFonts w:hint="eastAsia"/>
          <w:u w:val="single"/>
        </w:rPr>
        <w:t>、相应加高C20砼路肩墙，维修挡土墙；重新设置路面标线、里程碑、百米桩、道口桩等设施；</w:t>
      </w:r>
      <w:r>
        <w:rPr>
          <w:rFonts w:hint="eastAsia"/>
          <w:u w:val="single"/>
          <w:lang w:val="en-US" w:eastAsia="zh-CN"/>
        </w:rPr>
        <w:t>(</w:t>
      </w:r>
      <w:r>
        <w:rPr>
          <w:rFonts w:hint="eastAsia"/>
          <w:u w:val="single"/>
        </w:rPr>
        <w:t>3</w:t>
      </w:r>
      <w:r>
        <w:rPr>
          <w:rFonts w:hint="eastAsia"/>
          <w:u w:val="single"/>
          <w:lang w:val="en-US" w:eastAsia="zh-CN"/>
        </w:rPr>
        <w:t>)</w:t>
      </w:r>
      <w:r>
        <w:rPr>
          <w:rFonts w:hint="eastAsia"/>
          <w:u w:val="single"/>
        </w:rPr>
        <w:t>、平面交叉工程：接顺平交道口，</w:t>
      </w:r>
      <w:r>
        <w:rPr>
          <w:rFonts w:hint="eastAsia"/>
        </w:rPr>
        <w:t>详见设计施工图纸及招标工程量清单要求范围内的工程内容。</w:t>
      </w:r>
    </w:p>
    <w:p w14:paraId="50B44852">
      <w:pPr>
        <w:spacing w:line="360" w:lineRule="auto"/>
        <w:ind w:firstLine="440" w:firstLineChars="200"/>
        <w:rPr>
          <w:rFonts w:hint="eastAsia"/>
        </w:rPr>
      </w:pPr>
      <w:r>
        <w:rPr>
          <w:rFonts w:hint="eastAsia"/>
        </w:rPr>
        <w:t>2.下列文件应视为构成合同文件的组成部分：</w:t>
      </w:r>
    </w:p>
    <w:p w14:paraId="3F601336">
      <w:pPr>
        <w:spacing w:line="360" w:lineRule="auto"/>
        <w:ind w:firstLine="440" w:firstLineChars="200"/>
        <w:rPr>
          <w:rFonts w:hint="eastAsia"/>
        </w:rPr>
      </w:pPr>
      <w:r>
        <w:rPr>
          <w:rFonts w:hint="eastAsia"/>
        </w:rPr>
        <w:t>本协议书及各种合同附件（含评标期间和合同谈判过程中的澄清文件和补充资料）；</w:t>
      </w:r>
    </w:p>
    <w:p w14:paraId="489DE0E8">
      <w:pPr>
        <w:spacing w:line="360" w:lineRule="auto"/>
        <w:ind w:firstLine="440" w:firstLineChars="200"/>
        <w:rPr>
          <w:rFonts w:hint="eastAsia"/>
        </w:rPr>
      </w:pPr>
      <w:r>
        <w:rPr>
          <w:rFonts w:hint="eastAsia"/>
        </w:rPr>
        <w:t>中标通知书；</w:t>
      </w:r>
    </w:p>
    <w:p w14:paraId="6BA751B9">
      <w:pPr>
        <w:spacing w:line="360" w:lineRule="auto"/>
        <w:ind w:firstLine="440" w:firstLineChars="200"/>
        <w:rPr>
          <w:rFonts w:hint="eastAsia"/>
        </w:rPr>
      </w:pPr>
      <w:r>
        <w:rPr>
          <w:rFonts w:hint="eastAsia"/>
        </w:rPr>
        <w:t>投标函及投标函附录；</w:t>
      </w:r>
    </w:p>
    <w:p w14:paraId="23E64A76">
      <w:pPr>
        <w:spacing w:line="360" w:lineRule="auto"/>
        <w:ind w:firstLine="440" w:firstLineChars="200"/>
        <w:rPr>
          <w:rFonts w:hint="eastAsia"/>
        </w:rPr>
      </w:pPr>
      <w:r>
        <w:rPr>
          <w:rFonts w:hint="eastAsia"/>
        </w:rPr>
        <w:t>项目专用合同条款；</w:t>
      </w:r>
    </w:p>
    <w:p w14:paraId="716B7A89">
      <w:pPr>
        <w:spacing w:line="360" w:lineRule="auto"/>
        <w:ind w:firstLine="440" w:firstLineChars="200"/>
        <w:rPr>
          <w:rFonts w:hint="eastAsia"/>
        </w:rPr>
      </w:pPr>
      <w:r>
        <w:rPr>
          <w:rFonts w:hint="eastAsia"/>
        </w:rPr>
        <w:t>公路工程专用合同条款；</w:t>
      </w:r>
    </w:p>
    <w:p w14:paraId="2270615D">
      <w:pPr>
        <w:spacing w:line="360" w:lineRule="auto"/>
        <w:ind w:firstLine="440" w:firstLineChars="200"/>
        <w:rPr>
          <w:rFonts w:hint="eastAsia"/>
        </w:rPr>
      </w:pPr>
      <w:r>
        <w:rPr>
          <w:rFonts w:hint="eastAsia"/>
        </w:rPr>
        <w:t>通用合同条款；</w:t>
      </w:r>
    </w:p>
    <w:p w14:paraId="36BEA534">
      <w:pPr>
        <w:spacing w:line="360" w:lineRule="auto"/>
        <w:ind w:firstLine="440" w:firstLineChars="200"/>
        <w:rPr>
          <w:rFonts w:hint="eastAsia"/>
        </w:rPr>
      </w:pPr>
      <w:r>
        <w:rPr>
          <w:rFonts w:hint="eastAsia"/>
        </w:rPr>
        <w:t>工程量清单计量规则；</w:t>
      </w:r>
    </w:p>
    <w:p w14:paraId="761F7B4F">
      <w:pPr>
        <w:spacing w:line="360" w:lineRule="auto"/>
        <w:ind w:firstLine="440" w:firstLineChars="200"/>
        <w:rPr>
          <w:rFonts w:hint="eastAsia"/>
        </w:rPr>
      </w:pPr>
      <w:r>
        <w:rPr>
          <w:rFonts w:hint="eastAsia"/>
        </w:rPr>
        <w:t>技术规范；</w:t>
      </w:r>
    </w:p>
    <w:p w14:paraId="3A83972F">
      <w:pPr>
        <w:spacing w:line="360" w:lineRule="auto"/>
        <w:ind w:firstLine="440" w:firstLineChars="200"/>
        <w:rPr>
          <w:rFonts w:hint="eastAsia"/>
        </w:rPr>
      </w:pPr>
      <w:r>
        <w:rPr>
          <w:rFonts w:hint="eastAsia"/>
        </w:rPr>
        <w:t>图纸；</w:t>
      </w:r>
    </w:p>
    <w:p w14:paraId="1B056FC1">
      <w:pPr>
        <w:spacing w:line="360" w:lineRule="auto"/>
        <w:ind w:firstLine="440" w:firstLineChars="200"/>
        <w:rPr>
          <w:rFonts w:hint="eastAsia"/>
        </w:rPr>
      </w:pPr>
      <w:r>
        <w:rPr>
          <w:rFonts w:hint="eastAsia"/>
        </w:rPr>
        <w:t>已标价工程量清单；</w:t>
      </w:r>
    </w:p>
    <w:p w14:paraId="59467827">
      <w:pPr>
        <w:spacing w:line="360" w:lineRule="auto"/>
        <w:ind w:firstLine="440" w:firstLineChars="200"/>
        <w:rPr>
          <w:rFonts w:hint="eastAsia"/>
        </w:rPr>
      </w:pPr>
      <w:r>
        <w:rPr>
          <w:rFonts w:hint="eastAsia"/>
        </w:rPr>
        <w:t>承包人有关人员、设备投入的承诺及</w:t>
      </w:r>
      <w:r>
        <w:rPr>
          <w:rFonts w:hint="eastAsia"/>
          <w:lang w:eastAsia="zh-CN"/>
        </w:rPr>
        <w:t>响应文件</w:t>
      </w:r>
      <w:r>
        <w:rPr>
          <w:rFonts w:hint="eastAsia"/>
        </w:rPr>
        <w:t>中的施工组织设计；</w:t>
      </w:r>
    </w:p>
    <w:p w14:paraId="12E236BB">
      <w:pPr>
        <w:spacing w:line="360" w:lineRule="auto"/>
        <w:ind w:firstLine="440" w:firstLineChars="200"/>
        <w:rPr>
          <w:rFonts w:hint="eastAsia"/>
        </w:rPr>
      </w:pPr>
      <w:r>
        <w:rPr>
          <w:rFonts w:hint="eastAsia"/>
        </w:rPr>
        <w:t>其他合同文件。</w:t>
      </w:r>
    </w:p>
    <w:p w14:paraId="47DBD023">
      <w:pPr>
        <w:spacing w:line="360" w:lineRule="auto"/>
        <w:ind w:firstLine="440" w:firstLineChars="200"/>
      </w:pPr>
      <w:r>
        <w:rPr>
          <w:rFonts w:hint="eastAsia"/>
        </w:rPr>
        <w:t>上述合同文件互相补充和解释。如果合同文件之间存在矛盾或不一致之处， 以上述文件的排列顺序在先者为准。</w:t>
      </w:r>
    </w:p>
    <w:p w14:paraId="6CD22DAF">
      <w:pPr>
        <w:spacing w:line="360" w:lineRule="auto"/>
        <w:ind w:firstLine="440" w:firstLineChars="200"/>
      </w:pPr>
      <w:r>
        <w:rPr>
          <w:rFonts w:hint="eastAsia"/>
        </w:rPr>
        <w:t>3.根据工程量清单所列的预计数量和单价或总额价计算的签约合同价：人民币_________（大写）</w:t>
      </w:r>
      <w:r>
        <w:rPr>
          <w:rFonts w:hint="eastAsia"/>
          <w:u w:val="single"/>
        </w:rPr>
        <w:tab/>
      </w:r>
      <w:r>
        <w:rPr>
          <w:rFonts w:hint="eastAsia"/>
        </w:rPr>
        <w:t>元（¥</w:t>
      </w:r>
      <w:r>
        <w:rPr>
          <w:rFonts w:hint="eastAsia"/>
        </w:rPr>
        <w:tab/>
      </w:r>
      <w:r>
        <w:rPr>
          <w:rFonts w:hint="eastAsia"/>
        </w:rPr>
        <w:t xml:space="preserve">  ）。</w:t>
      </w:r>
    </w:p>
    <w:p w14:paraId="2E89D339">
      <w:pPr>
        <w:spacing w:line="360" w:lineRule="auto"/>
        <w:ind w:firstLine="440" w:firstLineChars="200"/>
      </w:pPr>
      <w:r>
        <w:rPr>
          <w:rFonts w:hint="eastAsia"/>
        </w:rPr>
        <w:t>4.承包人项目经理：</w:t>
      </w:r>
      <w:r>
        <w:rPr>
          <w:rFonts w:hint="eastAsia"/>
          <w:u w:val="single"/>
        </w:rPr>
        <w:tab/>
      </w:r>
      <w:r>
        <w:rPr>
          <w:rFonts w:hint="eastAsia"/>
        </w:rPr>
        <w:t>。承包人项目总工：</w:t>
      </w:r>
      <w:r>
        <w:rPr>
          <w:rFonts w:hint="eastAsia"/>
          <w:u w:val="single"/>
        </w:rPr>
        <w:tab/>
      </w:r>
      <w:r>
        <w:rPr>
          <w:rFonts w:hint="eastAsia"/>
        </w:rPr>
        <w:t>。</w:t>
      </w:r>
    </w:p>
    <w:p w14:paraId="00249400">
      <w:pPr>
        <w:spacing w:line="360" w:lineRule="auto"/>
        <w:ind w:firstLine="440" w:firstLineChars="200"/>
      </w:pPr>
      <w:r>
        <w:rPr>
          <w:rFonts w:hint="eastAsia"/>
        </w:rPr>
        <w:t>5.工程质量:</w:t>
      </w:r>
      <w:r>
        <w:rPr>
          <w:rFonts w:hint="eastAsia"/>
          <w:u w:val="single"/>
        </w:rPr>
        <w:t xml:space="preserve"> 交工验收的质量评定合格,竣工验收的质量评定优良 </w:t>
      </w:r>
      <w:r>
        <w:rPr>
          <w:rFonts w:hint="eastAsia"/>
        </w:rPr>
        <w:t xml:space="preserve">标准。工程安全目标： </w:t>
      </w:r>
      <w:r>
        <w:rPr>
          <w:rFonts w:hint="eastAsia"/>
          <w:u w:val="single"/>
        </w:rPr>
        <w:t xml:space="preserve">无安全生产责任事故 </w:t>
      </w:r>
      <w:r>
        <w:rPr>
          <w:rFonts w:hint="eastAsia"/>
        </w:rPr>
        <w:t>。</w:t>
      </w:r>
    </w:p>
    <w:p w14:paraId="2B8602F3">
      <w:pPr>
        <w:spacing w:line="360" w:lineRule="auto"/>
        <w:ind w:firstLine="440" w:firstLineChars="200"/>
      </w:pPr>
      <w:r>
        <w:rPr>
          <w:rFonts w:hint="eastAsia"/>
        </w:rPr>
        <w:t>6</w:t>
      </w:r>
      <w:r>
        <w:rPr>
          <w:rFonts w:hint="eastAsia"/>
          <w:lang w:val="zh-CN"/>
        </w:rPr>
        <w:t>.</w:t>
      </w:r>
      <w:r>
        <w:rPr>
          <w:rFonts w:hint="eastAsia"/>
        </w:rPr>
        <w:t>承包人承诺按合同约定承担工程的实施、完成及缺陷修复。</w:t>
      </w:r>
    </w:p>
    <w:p w14:paraId="5D3220C8">
      <w:pPr>
        <w:spacing w:line="360" w:lineRule="auto"/>
        <w:ind w:firstLine="440" w:firstLineChars="200"/>
      </w:pPr>
      <w:r>
        <w:rPr>
          <w:rFonts w:hint="eastAsia"/>
        </w:rPr>
        <w:t>7</w:t>
      </w:r>
      <w:r>
        <w:rPr>
          <w:rFonts w:hint="eastAsia"/>
          <w:lang w:val="zh-CN"/>
        </w:rPr>
        <w:t>.</w:t>
      </w:r>
      <w:r>
        <w:rPr>
          <w:rFonts w:hint="eastAsia"/>
        </w:rPr>
        <w:t>发包人承诺按合同约定的条件、时间和方式向承包人支付合同价款。</w:t>
      </w:r>
    </w:p>
    <w:p w14:paraId="2593075A">
      <w:pPr>
        <w:spacing w:line="360" w:lineRule="auto"/>
        <w:ind w:firstLine="440" w:firstLineChars="200"/>
      </w:pPr>
      <w:r>
        <w:rPr>
          <w:rFonts w:hint="eastAsia"/>
        </w:rPr>
        <w:t>8</w:t>
      </w:r>
      <w:r>
        <w:rPr>
          <w:rFonts w:hint="eastAsia"/>
          <w:lang w:val="zh-CN"/>
        </w:rPr>
        <w:t>.</w:t>
      </w:r>
      <w:r>
        <w:rPr>
          <w:rFonts w:hint="eastAsia"/>
        </w:rPr>
        <w:t>承包人应按照监理人指示开工，工期为</w:t>
      </w:r>
      <w:r>
        <w:rPr>
          <w:rFonts w:hint="eastAsia"/>
          <w:u w:val="single"/>
        </w:rPr>
        <w:tab/>
      </w:r>
      <w:r>
        <w:rPr>
          <w:rFonts w:hint="eastAsia"/>
        </w:rPr>
        <w:t>日历天。</w:t>
      </w:r>
    </w:p>
    <w:p w14:paraId="5A8F8E5F">
      <w:pPr>
        <w:spacing w:line="360" w:lineRule="auto"/>
        <w:ind w:firstLine="440" w:firstLineChars="200"/>
      </w:pPr>
      <w:r>
        <w:rPr>
          <w:rFonts w:hint="eastAsia"/>
        </w:rPr>
        <w:t>9</w:t>
      </w:r>
      <w:r>
        <w:rPr>
          <w:rFonts w:hint="eastAsia"/>
          <w:lang w:val="zh-CN"/>
        </w:rPr>
        <w:t>.</w:t>
      </w:r>
      <w:r>
        <w:rPr>
          <w:rFonts w:hint="eastAsia"/>
        </w:rPr>
        <w:t>本协议书在承包人提供履约保证金后，由双方法定代表人或其委托代理人签署并加盖单位章后生效。全部工程完工后经交工验收合格、缺陷责任期满签发缺陷责任终止证书后失效。</w:t>
      </w:r>
    </w:p>
    <w:p w14:paraId="0460AD76">
      <w:pPr>
        <w:spacing w:line="360" w:lineRule="auto"/>
        <w:ind w:firstLine="440" w:firstLineChars="200"/>
      </w:pPr>
      <w:r>
        <w:rPr>
          <w:rFonts w:hint="eastAsia"/>
        </w:rPr>
        <w:t>10</w:t>
      </w:r>
      <w:r>
        <w:rPr>
          <w:rFonts w:hint="eastAsia"/>
          <w:lang w:val="zh-CN"/>
        </w:rPr>
        <w:t>.</w:t>
      </w:r>
      <w:r>
        <w:rPr>
          <w:rFonts w:hint="eastAsia"/>
        </w:rPr>
        <w:t>本协议书一式六份，合同双方各执三份。</w:t>
      </w:r>
    </w:p>
    <w:p w14:paraId="42DACA2F">
      <w:pPr>
        <w:spacing w:line="360" w:lineRule="auto"/>
        <w:ind w:firstLine="440" w:firstLineChars="200"/>
      </w:pPr>
      <w:r>
        <w:rPr>
          <w:rFonts w:hint="eastAsia"/>
        </w:rPr>
        <w:t>11</w:t>
      </w:r>
      <w:r>
        <w:rPr>
          <w:rFonts w:hint="eastAsia"/>
          <w:lang w:val="zh-CN"/>
        </w:rPr>
        <w:t>.</w:t>
      </w:r>
      <w:r>
        <w:rPr>
          <w:rFonts w:hint="eastAsia"/>
        </w:rPr>
        <w:t>合同未尽事宜，双方另行签订补充协议。补充协议是合同的组成部分。</w:t>
      </w:r>
    </w:p>
    <w:p w14:paraId="39A2F1DD">
      <w:pPr>
        <w:pStyle w:val="12"/>
        <w:spacing w:line="360" w:lineRule="auto"/>
        <w:ind w:firstLine="442"/>
        <w:rPr>
          <w:sz w:val="22"/>
          <w:szCs w:val="22"/>
        </w:rPr>
      </w:pPr>
    </w:p>
    <w:p w14:paraId="486D7393">
      <w:pPr>
        <w:pStyle w:val="12"/>
        <w:spacing w:before="7"/>
        <w:ind w:firstLine="442"/>
        <w:rPr>
          <w:sz w:val="22"/>
          <w:szCs w:val="22"/>
        </w:rPr>
      </w:pPr>
    </w:p>
    <w:p w14:paraId="1DF0E0FC">
      <w:pPr>
        <w:pStyle w:val="12"/>
        <w:tabs>
          <w:tab w:val="left" w:pos="3151"/>
          <w:tab w:val="left" w:pos="4934"/>
          <w:tab w:val="left" w:pos="5174"/>
          <w:tab w:val="left" w:pos="7781"/>
        </w:tabs>
        <w:spacing w:line="345" w:lineRule="auto"/>
        <w:ind w:left="424" w:right="262" w:firstLine="442"/>
        <w:rPr>
          <w:spacing w:val="-17"/>
          <w:sz w:val="22"/>
          <w:szCs w:val="22"/>
        </w:rPr>
      </w:pPr>
      <w:r>
        <w:rPr>
          <w:rFonts w:hint="eastAsia"/>
          <w:sz w:val="22"/>
          <w:szCs w:val="22"/>
        </w:rPr>
        <w:t>发包人</w:t>
      </w:r>
      <w:r>
        <w:rPr>
          <w:rFonts w:hint="eastAsia"/>
          <w:spacing w:val="-17"/>
          <w:sz w:val="22"/>
          <w:szCs w:val="22"/>
        </w:rPr>
        <w:t>：</w:t>
      </w:r>
      <w:r>
        <w:rPr>
          <w:rFonts w:hint="eastAsia"/>
          <w:sz w:val="22"/>
          <w:szCs w:val="22"/>
        </w:rPr>
        <w:t>（盖单位章）承包人</w:t>
      </w:r>
      <w:r>
        <w:rPr>
          <w:rFonts w:hint="eastAsia"/>
          <w:spacing w:val="-17"/>
          <w:sz w:val="22"/>
          <w:szCs w:val="22"/>
        </w:rPr>
        <w:t>：</w:t>
      </w:r>
      <w:r>
        <w:rPr>
          <w:rFonts w:hint="eastAsia"/>
          <w:sz w:val="22"/>
          <w:szCs w:val="22"/>
        </w:rPr>
        <w:t>（盖单位章</w:t>
      </w:r>
      <w:r>
        <w:rPr>
          <w:rFonts w:hint="eastAsia"/>
          <w:spacing w:val="-17"/>
          <w:sz w:val="22"/>
          <w:szCs w:val="22"/>
        </w:rPr>
        <w:t xml:space="preserve">） </w:t>
      </w:r>
    </w:p>
    <w:p w14:paraId="2E7181EC">
      <w:pPr>
        <w:pStyle w:val="12"/>
        <w:tabs>
          <w:tab w:val="left" w:pos="3151"/>
          <w:tab w:val="left" w:pos="4934"/>
          <w:tab w:val="left" w:pos="5174"/>
          <w:tab w:val="left" w:pos="7781"/>
        </w:tabs>
        <w:spacing w:line="345" w:lineRule="auto"/>
        <w:ind w:left="424" w:right="37" w:firstLine="442"/>
        <w:rPr>
          <w:sz w:val="22"/>
          <w:szCs w:val="22"/>
        </w:rPr>
      </w:pPr>
      <w:r>
        <w:rPr>
          <w:rFonts w:hint="eastAsia"/>
          <w:sz w:val="22"/>
          <w:szCs w:val="22"/>
        </w:rPr>
        <w:t>法定代表人或其委托代理人</w:t>
      </w:r>
      <w:r>
        <w:rPr>
          <w:rFonts w:hint="eastAsia"/>
          <w:spacing w:val="-17"/>
          <w:sz w:val="22"/>
          <w:szCs w:val="22"/>
        </w:rPr>
        <w:t>：</w:t>
      </w:r>
      <w:r>
        <w:rPr>
          <w:rFonts w:hint="eastAsia"/>
          <w:sz w:val="22"/>
          <w:szCs w:val="22"/>
        </w:rPr>
        <w:t>（签字）法定代表人或其委托代理人</w:t>
      </w:r>
      <w:r>
        <w:rPr>
          <w:rFonts w:hint="eastAsia"/>
          <w:spacing w:val="-16"/>
          <w:sz w:val="22"/>
          <w:szCs w:val="22"/>
        </w:rPr>
        <w:t>：</w:t>
      </w:r>
      <w:r>
        <w:rPr>
          <w:rFonts w:hint="eastAsia"/>
          <w:sz w:val="22"/>
          <w:szCs w:val="22"/>
        </w:rPr>
        <w:t>（签字</w:t>
      </w:r>
      <w:r>
        <w:rPr>
          <w:rFonts w:hint="eastAsia"/>
          <w:spacing w:val="-17"/>
          <w:sz w:val="22"/>
          <w:szCs w:val="22"/>
        </w:rPr>
        <w:t>）</w:t>
      </w:r>
    </w:p>
    <w:p w14:paraId="48EB8AB8">
      <w:pPr>
        <w:pStyle w:val="12"/>
        <w:tabs>
          <w:tab w:val="left" w:pos="2344"/>
          <w:tab w:val="left" w:pos="3184"/>
          <w:tab w:val="left" w:pos="4024"/>
          <w:tab w:val="left" w:pos="5945"/>
          <w:tab w:val="left" w:pos="7025"/>
          <w:tab w:val="left" w:pos="7865"/>
          <w:tab w:val="left" w:pos="8705"/>
        </w:tabs>
        <w:spacing w:line="303" w:lineRule="exact"/>
        <w:ind w:left="1264" w:firstLine="442"/>
        <w:rPr>
          <w:sz w:val="22"/>
          <w:szCs w:val="22"/>
        </w:rPr>
        <w:sectPr>
          <w:pgSz w:w="11911" w:h="16849"/>
          <w:pgMar w:top="1417" w:right="1417" w:bottom="1417" w:left="1417" w:header="720" w:footer="720" w:gutter="0"/>
          <w:cols w:space="720" w:num="1"/>
        </w:sectPr>
      </w:pPr>
      <w:r>
        <w:rPr>
          <w:rFonts w:hint="eastAsia"/>
          <w:sz w:val="22"/>
          <w:szCs w:val="22"/>
          <w:u w:val="single"/>
        </w:rPr>
        <w:tab/>
      </w:r>
      <w:r>
        <w:rPr>
          <w:rFonts w:hint="eastAsia"/>
          <w:sz w:val="22"/>
          <w:szCs w:val="22"/>
        </w:rPr>
        <w:t>年</w:t>
      </w:r>
      <w:r>
        <w:rPr>
          <w:rFonts w:hint="eastAsia"/>
          <w:sz w:val="22"/>
          <w:szCs w:val="22"/>
          <w:u w:val="single"/>
        </w:rPr>
        <w:tab/>
      </w:r>
      <w:r>
        <w:rPr>
          <w:rFonts w:hint="eastAsia"/>
          <w:sz w:val="22"/>
          <w:szCs w:val="22"/>
        </w:rPr>
        <w:t>月</w:t>
      </w:r>
      <w:r>
        <w:rPr>
          <w:rFonts w:hint="eastAsia"/>
          <w:sz w:val="22"/>
          <w:szCs w:val="22"/>
          <w:u w:val="single"/>
        </w:rPr>
        <w:tab/>
      </w:r>
      <w:r>
        <w:rPr>
          <w:rFonts w:hint="eastAsia"/>
          <w:sz w:val="22"/>
          <w:szCs w:val="22"/>
        </w:rPr>
        <w:t>日</w:t>
      </w:r>
      <w:r>
        <w:rPr>
          <w:rFonts w:hint="eastAsia"/>
          <w:sz w:val="22"/>
          <w:szCs w:val="22"/>
        </w:rPr>
        <w:tab/>
      </w:r>
      <w:r>
        <w:rPr>
          <w:rFonts w:hint="eastAsia"/>
          <w:sz w:val="22"/>
          <w:szCs w:val="22"/>
          <w:u w:val="single"/>
        </w:rPr>
        <w:tab/>
      </w:r>
      <w:r>
        <w:rPr>
          <w:rFonts w:hint="eastAsia"/>
          <w:sz w:val="22"/>
          <w:szCs w:val="22"/>
        </w:rPr>
        <w:t>年</w:t>
      </w:r>
      <w:r>
        <w:rPr>
          <w:rFonts w:hint="eastAsia"/>
          <w:sz w:val="22"/>
          <w:szCs w:val="22"/>
          <w:u w:val="single"/>
        </w:rPr>
        <w:tab/>
      </w:r>
      <w:r>
        <w:rPr>
          <w:rFonts w:hint="eastAsia"/>
          <w:sz w:val="22"/>
          <w:szCs w:val="22"/>
        </w:rPr>
        <w:t>月</w:t>
      </w:r>
      <w:r>
        <w:rPr>
          <w:rFonts w:hint="eastAsia"/>
          <w:sz w:val="22"/>
          <w:szCs w:val="22"/>
          <w:u w:val="single"/>
        </w:rPr>
        <w:tab/>
      </w:r>
      <w:r>
        <w:rPr>
          <w:rFonts w:hint="eastAsia"/>
          <w:sz w:val="22"/>
          <w:szCs w:val="22"/>
        </w:rPr>
        <w:t>日</w:t>
      </w:r>
    </w:p>
    <w:p w14:paraId="5B5A3545">
      <w:pPr>
        <w:spacing w:line="420" w:lineRule="exact"/>
        <w:ind w:firstLine="482"/>
        <w:rPr>
          <w:b/>
          <w:sz w:val="24"/>
        </w:rPr>
      </w:pPr>
      <w:r>
        <w:rPr>
          <w:rFonts w:hint="eastAsia"/>
          <w:b/>
          <w:sz w:val="24"/>
        </w:rPr>
        <w:t>附件二：廉政合同</w:t>
      </w:r>
    </w:p>
    <w:p w14:paraId="4C3334A7">
      <w:pPr>
        <w:spacing w:line="420" w:lineRule="exact"/>
        <w:ind w:firstLine="643"/>
        <w:jc w:val="center"/>
        <w:rPr>
          <w:b/>
          <w:sz w:val="32"/>
          <w:szCs w:val="32"/>
        </w:rPr>
      </w:pPr>
      <w:r>
        <w:rPr>
          <w:rFonts w:hint="eastAsia"/>
          <w:b/>
          <w:sz w:val="32"/>
          <w:szCs w:val="32"/>
        </w:rPr>
        <w:t>廉政合同</w:t>
      </w:r>
    </w:p>
    <w:p w14:paraId="5E635EF3">
      <w:pPr>
        <w:spacing w:line="420" w:lineRule="exact"/>
        <w:ind w:firstLine="640"/>
        <w:jc w:val="center"/>
        <w:rPr>
          <w:b/>
          <w:sz w:val="32"/>
          <w:szCs w:val="32"/>
        </w:rPr>
      </w:pPr>
    </w:p>
    <w:p w14:paraId="5D0C17DD">
      <w:pPr>
        <w:spacing w:line="420" w:lineRule="exact"/>
        <w:ind w:firstLine="440" w:firstLineChars="200"/>
        <w:rPr>
          <w:szCs w:val="21"/>
        </w:rPr>
      </w:pPr>
      <w:r>
        <w:rPr>
          <w:rFonts w:hint="eastAsia"/>
          <w:szCs w:val="21"/>
        </w:rPr>
        <w:t>根据《关于在交通基础设施建设中加强廉政建设的若干意见》以及有关工程建设、廉政建设的规定，为做好工程建设中的党风廉政建设，保证工程建设高效优质，保证建设资金的安全和有效使用以及投资效益，（项目名称）的项目法人（项目法人名称，以下简称“发包人”）与该项目标段的施工单位 （施工单位名称，以下简称“承包人”），特订立如下合同。</w:t>
      </w:r>
    </w:p>
    <w:p w14:paraId="7436CD1D">
      <w:pPr>
        <w:spacing w:line="420" w:lineRule="exact"/>
        <w:ind w:firstLine="440" w:firstLineChars="200"/>
        <w:rPr>
          <w:szCs w:val="21"/>
        </w:rPr>
      </w:pPr>
      <w:r>
        <w:rPr>
          <w:rFonts w:hint="eastAsia"/>
          <w:szCs w:val="21"/>
        </w:rPr>
        <w:t>1.发包人和承包人双方的权利和义务</w:t>
      </w:r>
    </w:p>
    <w:p w14:paraId="3B28BBFE">
      <w:pPr>
        <w:spacing w:line="420" w:lineRule="exact"/>
        <w:ind w:firstLine="220" w:firstLineChars="100"/>
        <w:rPr>
          <w:szCs w:val="21"/>
        </w:rPr>
      </w:pPr>
      <w:r>
        <w:rPr>
          <w:rFonts w:hint="eastAsia"/>
          <w:szCs w:val="21"/>
        </w:rPr>
        <w:t>（1）严格遵守党的政策规定和国家有关法律法规及交通运输部的有关规定。</w:t>
      </w:r>
    </w:p>
    <w:p w14:paraId="32AF3DB2">
      <w:pPr>
        <w:spacing w:line="420" w:lineRule="exact"/>
        <w:ind w:firstLine="220" w:firstLineChars="100"/>
        <w:rPr>
          <w:szCs w:val="21"/>
        </w:rPr>
      </w:pPr>
      <w:r>
        <w:rPr>
          <w:rFonts w:hint="eastAsia"/>
          <w:szCs w:val="21"/>
        </w:rPr>
        <w:t>（2）严格执行（项目名称）标段施工合同文件，自觉按合同办事。</w:t>
      </w:r>
    </w:p>
    <w:p w14:paraId="4D13C8CA">
      <w:pPr>
        <w:spacing w:line="420" w:lineRule="exact"/>
        <w:ind w:firstLine="220" w:firstLineChars="100"/>
        <w:rPr>
          <w:szCs w:val="21"/>
        </w:rPr>
      </w:pPr>
      <w:r>
        <w:rPr>
          <w:rFonts w:hint="eastAsia"/>
          <w:szCs w:val="21"/>
        </w:rPr>
        <w:t>（3）双方的业务活动坚持公开、公正、诚信、透明的原则（法律认定的商业秘密和合同文件另有规定除外），不得损害国家和集体利益，不得违反工程建设管理规章制度。</w:t>
      </w:r>
    </w:p>
    <w:p w14:paraId="24752913">
      <w:pPr>
        <w:spacing w:line="420" w:lineRule="exact"/>
        <w:ind w:firstLine="220" w:firstLineChars="100"/>
        <w:rPr>
          <w:szCs w:val="21"/>
        </w:rPr>
      </w:pPr>
      <w:r>
        <w:rPr>
          <w:rFonts w:hint="eastAsia"/>
          <w:szCs w:val="21"/>
        </w:rPr>
        <w:t>（4）建立健全廉政制度，开展廉政教育，设立廉政告示牌，公布举报电话， 监督并认真查处违法违纪行为。</w:t>
      </w:r>
    </w:p>
    <w:p w14:paraId="37717A11">
      <w:pPr>
        <w:spacing w:line="420" w:lineRule="exact"/>
        <w:ind w:firstLine="220" w:firstLineChars="100"/>
        <w:rPr>
          <w:szCs w:val="21"/>
        </w:rPr>
      </w:pPr>
      <w:r>
        <w:rPr>
          <w:rFonts w:hint="eastAsia"/>
          <w:szCs w:val="21"/>
        </w:rPr>
        <w:t>（5）发现对方在业务活动中有违反廉政规定的行为，有及时提醒对方纠正的权利和义务。</w:t>
      </w:r>
    </w:p>
    <w:p w14:paraId="640C5A06">
      <w:pPr>
        <w:spacing w:line="420" w:lineRule="exact"/>
        <w:ind w:firstLine="220" w:firstLineChars="100"/>
        <w:rPr>
          <w:szCs w:val="21"/>
        </w:rPr>
      </w:pPr>
      <w:r>
        <w:rPr>
          <w:rFonts w:hint="eastAsia"/>
          <w:szCs w:val="21"/>
        </w:rPr>
        <w:t>（6）发现对方严重违反本合同义务条款的行为，有向其上级有关部门举报、建议给予处理并要求告知处理结果的权利。</w:t>
      </w:r>
    </w:p>
    <w:p w14:paraId="16AFE232">
      <w:pPr>
        <w:spacing w:line="420" w:lineRule="exact"/>
        <w:ind w:firstLine="440" w:firstLineChars="200"/>
        <w:rPr>
          <w:szCs w:val="21"/>
        </w:rPr>
      </w:pPr>
      <w:r>
        <w:rPr>
          <w:rFonts w:hint="eastAsia"/>
          <w:szCs w:val="21"/>
        </w:rPr>
        <w:t>2.发包人的义务</w:t>
      </w:r>
    </w:p>
    <w:p w14:paraId="322E26A6">
      <w:pPr>
        <w:spacing w:line="420" w:lineRule="exact"/>
        <w:ind w:firstLine="220" w:firstLineChars="100"/>
        <w:rPr>
          <w:szCs w:val="21"/>
        </w:rPr>
      </w:pPr>
      <w:r>
        <w:rPr>
          <w:rFonts w:hint="eastAsia"/>
          <w:szCs w:val="21"/>
        </w:rPr>
        <w:t>（1）发包人及其工作人员不得索要或接受承包人的礼金、有价证券和贵重物品，不得让承包人报销任何应由发包人或发包人工作人员个人支付的费用等。</w:t>
      </w:r>
    </w:p>
    <w:p w14:paraId="697B41AA">
      <w:pPr>
        <w:spacing w:line="420" w:lineRule="exact"/>
        <w:ind w:firstLine="220" w:firstLineChars="100"/>
        <w:rPr>
          <w:szCs w:val="21"/>
        </w:rPr>
      </w:pPr>
      <w:r>
        <w:rPr>
          <w:rFonts w:hint="eastAsia"/>
          <w:szCs w:val="21"/>
        </w:rPr>
        <w:t>（2）发包人工作人员不得参加承包人安排的超标准宴请和娱乐活动；不得接受承包人提供的通信工具、交通工具和高档办公用品等。</w:t>
      </w:r>
    </w:p>
    <w:p w14:paraId="07DE7954">
      <w:pPr>
        <w:spacing w:line="420" w:lineRule="exact"/>
        <w:ind w:firstLine="220" w:firstLineChars="100"/>
        <w:rPr>
          <w:szCs w:val="21"/>
        </w:rPr>
      </w:pPr>
      <w:r>
        <w:rPr>
          <w:rFonts w:hint="eastAsia"/>
          <w:szCs w:val="21"/>
        </w:rPr>
        <w:t>（3）发包人及其工作人员不得要求或者接受承包人为其住房装修、婚丧嫁娶活动、配偶子女的工作安排以及出国出境、旅游等提供方便等。</w:t>
      </w:r>
    </w:p>
    <w:p w14:paraId="07553EBF">
      <w:pPr>
        <w:spacing w:line="420" w:lineRule="exact"/>
        <w:ind w:firstLine="220" w:firstLineChars="100"/>
        <w:rPr>
          <w:szCs w:val="21"/>
        </w:rPr>
      </w:pPr>
      <w:r>
        <w:rPr>
          <w:rFonts w:hint="eastAsia"/>
          <w:szCs w:val="21"/>
        </w:rPr>
        <w:t>（4）发包人工作人员及其配偶、子女不得从事与发包人工程有关的材料设备供应、工程分包、劳务等经济活动等。</w:t>
      </w:r>
    </w:p>
    <w:p w14:paraId="5EEC5CCF">
      <w:pPr>
        <w:spacing w:line="420" w:lineRule="exact"/>
        <w:ind w:firstLine="220" w:firstLineChars="100"/>
        <w:rPr>
          <w:szCs w:val="21"/>
        </w:rPr>
      </w:pPr>
      <w:r>
        <w:rPr>
          <w:rFonts w:hint="eastAsia"/>
          <w:szCs w:val="21"/>
        </w:rPr>
        <w:t>（5）发包人及其工作人员不得以任何理由向承包人推荐分包单位或推销材料，不得要求承包人购买合同规定外的材料和设备。</w:t>
      </w:r>
    </w:p>
    <w:p w14:paraId="705C1B50">
      <w:pPr>
        <w:spacing w:line="420" w:lineRule="exact"/>
        <w:ind w:firstLine="220" w:firstLineChars="100"/>
        <w:rPr>
          <w:szCs w:val="21"/>
        </w:rPr>
      </w:pPr>
      <w:r>
        <w:rPr>
          <w:rFonts w:hint="eastAsia"/>
          <w:szCs w:val="21"/>
        </w:rPr>
        <w:t>（6）发包人工作人员要秉公办事，不准营私舞弊，不准利用职权从事各种个人有偿中介活动和安排个人施工队伍。</w:t>
      </w:r>
    </w:p>
    <w:p w14:paraId="049B92B7">
      <w:pPr>
        <w:spacing w:line="420" w:lineRule="exact"/>
        <w:ind w:firstLine="440" w:firstLineChars="200"/>
        <w:rPr>
          <w:szCs w:val="21"/>
        </w:rPr>
      </w:pPr>
      <w:r>
        <w:rPr>
          <w:rFonts w:hint="eastAsia"/>
          <w:szCs w:val="21"/>
        </w:rPr>
        <w:t>3.承包人的义务</w:t>
      </w:r>
    </w:p>
    <w:p w14:paraId="1ECC1C27">
      <w:pPr>
        <w:spacing w:line="420" w:lineRule="exact"/>
        <w:ind w:firstLine="220" w:firstLineChars="100"/>
        <w:rPr>
          <w:szCs w:val="21"/>
        </w:rPr>
      </w:pPr>
      <w:r>
        <w:rPr>
          <w:rFonts w:hint="eastAsia"/>
          <w:szCs w:val="21"/>
        </w:rPr>
        <w:t>（1）承包人不得以任何理由向发包人及其工作人员行贿或馈赠礼金、有价证券、贵重礼品。</w:t>
      </w:r>
    </w:p>
    <w:p w14:paraId="5DB8A8E9">
      <w:pPr>
        <w:spacing w:line="420" w:lineRule="exact"/>
        <w:ind w:firstLine="220" w:firstLineChars="100"/>
        <w:rPr>
          <w:szCs w:val="21"/>
        </w:rPr>
      </w:pPr>
      <w:r>
        <w:rPr>
          <w:rFonts w:hint="eastAsia"/>
          <w:szCs w:val="21"/>
        </w:rPr>
        <w:t>（2）承包人不得以任何名义为发包人及其工作人员报销应由发包人单位或个人支付的任何费用。</w:t>
      </w:r>
    </w:p>
    <w:p w14:paraId="46AA93D6">
      <w:pPr>
        <w:spacing w:line="420" w:lineRule="exact"/>
        <w:ind w:firstLine="220" w:firstLineChars="100"/>
        <w:rPr>
          <w:szCs w:val="21"/>
        </w:rPr>
      </w:pPr>
      <w:r>
        <w:rPr>
          <w:rFonts w:hint="eastAsia"/>
          <w:szCs w:val="21"/>
        </w:rPr>
        <w:t>（3）承包人不得以任何理由安排发包人工作人员参加超标准宴请及娱乐活动。</w:t>
      </w:r>
    </w:p>
    <w:p w14:paraId="60C867B7">
      <w:pPr>
        <w:spacing w:line="420" w:lineRule="exact"/>
        <w:ind w:firstLine="220" w:firstLineChars="100"/>
        <w:rPr>
          <w:szCs w:val="21"/>
        </w:rPr>
      </w:pPr>
      <w:r>
        <w:rPr>
          <w:rFonts w:hint="eastAsia"/>
          <w:szCs w:val="21"/>
        </w:rPr>
        <w:t>（4）承包人不得为发包人单位和个人购置或提供通信工具、交通工具和高档办公用品等。</w:t>
      </w:r>
    </w:p>
    <w:p w14:paraId="6B7A155D">
      <w:pPr>
        <w:spacing w:line="420" w:lineRule="exact"/>
        <w:ind w:firstLine="440" w:firstLineChars="200"/>
        <w:rPr>
          <w:szCs w:val="21"/>
        </w:rPr>
      </w:pPr>
      <w:r>
        <w:rPr>
          <w:rFonts w:hint="eastAsia"/>
          <w:szCs w:val="21"/>
        </w:rPr>
        <w:t>4.违约责任</w:t>
      </w:r>
    </w:p>
    <w:p w14:paraId="36618AD4">
      <w:pPr>
        <w:spacing w:line="420" w:lineRule="exact"/>
        <w:ind w:firstLine="220" w:firstLineChars="100"/>
        <w:rPr>
          <w:szCs w:val="21"/>
        </w:rPr>
      </w:pPr>
      <w:r>
        <w:rPr>
          <w:rFonts w:hint="eastAsia"/>
          <w:szCs w:val="21"/>
        </w:rPr>
        <w:t>（1）发包人及其工作人员违反本合同第 1、2 条，按管理权限，依据有关规定给予党纪、政纪或组织处理；涉嫌犯罪的，移交司法机关追究刑事责任；给承包人单位造成经济损失的，应予以赔偿。</w:t>
      </w:r>
    </w:p>
    <w:p w14:paraId="24BF13BA">
      <w:pPr>
        <w:spacing w:line="420" w:lineRule="exact"/>
        <w:ind w:firstLine="220" w:firstLineChars="100"/>
        <w:rPr>
          <w:szCs w:val="21"/>
        </w:rPr>
      </w:pPr>
      <w:r>
        <w:rPr>
          <w:rFonts w:hint="eastAsia"/>
          <w:szCs w:val="21"/>
        </w:rPr>
        <w:t>（2）承包人及其工作人员违反本合同第 1、3 条，按管理权限，依据有关规定给予党纪、政纪或组织处理；给发包人单位造成经济损失的，应予以赔偿；情节严重的，发包人建议交通运输主管部门给予承包人一至三年内不得进入其主管的公路建设市场的处罚。</w:t>
      </w:r>
    </w:p>
    <w:p w14:paraId="4C9EB949">
      <w:pPr>
        <w:spacing w:line="420" w:lineRule="exact"/>
        <w:ind w:firstLine="440" w:firstLineChars="200"/>
        <w:rPr>
          <w:szCs w:val="21"/>
        </w:rPr>
      </w:pPr>
      <w:r>
        <w:rPr>
          <w:rFonts w:hint="eastAsia"/>
          <w:szCs w:val="21"/>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48BF72AB">
      <w:pPr>
        <w:spacing w:line="420" w:lineRule="exact"/>
        <w:ind w:firstLine="440" w:firstLineChars="200"/>
        <w:rPr>
          <w:szCs w:val="21"/>
        </w:rPr>
      </w:pPr>
      <w:r>
        <w:rPr>
          <w:rFonts w:hint="eastAsia"/>
          <w:szCs w:val="21"/>
        </w:rPr>
        <w:t>6.本合同有效期为发包人和承包人签署之日起至该工程项目竣工验收后止。</w:t>
      </w:r>
    </w:p>
    <w:p w14:paraId="49D0F7BB">
      <w:pPr>
        <w:spacing w:line="420" w:lineRule="exact"/>
        <w:ind w:firstLine="440" w:firstLineChars="200"/>
        <w:rPr>
          <w:szCs w:val="21"/>
        </w:rPr>
      </w:pPr>
      <w:r>
        <w:rPr>
          <w:rFonts w:hint="eastAsia"/>
          <w:szCs w:val="21"/>
        </w:rPr>
        <w:t>7.本合同作为（项目名称）标段施工合同的附件，与工程施工合同具有同等的法律效力，经合同双方签署后立即生效。</w:t>
      </w:r>
    </w:p>
    <w:p w14:paraId="210F88BE">
      <w:pPr>
        <w:spacing w:line="420" w:lineRule="exact"/>
        <w:ind w:firstLine="440" w:firstLineChars="200"/>
        <w:rPr>
          <w:szCs w:val="21"/>
        </w:rPr>
      </w:pPr>
      <w:r>
        <w:rPr>
          <w:rFonts w:hint="eastAsia"/>
          <w:szCs w:val="21"/>
        </w:rPr>
        <w:t>8.本合同一式六份，由发包人和承包人各执三份。</w:t>
      </w:r>
    </w:p>
    <w:p w14:paraId="48A6D5F9">
      <w:pPr>
        <w:spacing w:line="420" w:lineRule="exact"/>
        <w:ind w:firstLine="440" w:firstLineChars="200"/>
        <w:rPr>
          <w:szCs w:val="21"/>
        </w:rPr>
      </w:pPr>
    </w:p>
    <w:p w14:paraId="63BAEFEE">
      <w:pPr>
        <w:spacing w:line="420" w:lineRule="exact"/>
        <w:ind w:firstLine="422"/>
        <w:rPr>
          <w:szCs w:val="21"/>
        </w:rPr>
      </w:pPr>
    </w:p>
    <w:p w14:paraId="31CCF862">
      <w:pPr>
        <w:spacing w:line="420" w:lineRule="exact"/>
        <w:ind w:firstLine="440" w:firstLineChars="200"/>
        <w:rPr>
          <w:szCs w:val="21"/>
          <w:u w:val="single"/>
        </w:rPr>
      </w:pPr>
      <w:r>
        <w:rPr>
          <w:rFonts w:hint="eastAsia"/>
          <w:szCs w:val="21"/>
        </w:rPr>
        <w:t>发包人：承包人</w:t>
      </w:r>
      <w:r>
        <w:rPr>
          <w:rFonts w:hint="eastAsia"/>
          <w:spacing w:val="-17"/>
          <w:szCs w:val="21"/>
        </w:rPr>
        <w:t>：</w:t>
      </w:r>
    </w:p>
    <w:p w14:paraId="14841A51">
      <w:pPr>
        <w:spacing w:line="420" w:lineRule="exact"/>
        <w:ind w:firstLine="1760" w:firstLineChars="800"/>
        <w:rPr>
          <w:szCs w:val="21"/>
        </w:rPr>
      </w:pPr>
      <w:r>
        <w:rPr>
          <w:rFonts w:hint="eastAsia"/>
          <w:szCs w:val="21"/>
        </w:rPr>
        <w:t>（盖单位章）                              （盖单位章）</w:t>
      </w:r>
    </w:p>
    <w:p w14:paraId="5CAFF958">
      <w:pPr>
        <w:spacing w:line="420" w:lineRule="exact"/>
        <w:ind w:firstLine="440" w:firstLineChars="200"/>
        <w:rPr>
          <w:szCs w:val="21"/>
        </w:rPr>
      </w:pPr>
      <w:r>
        <w:rPr>
          <w:rFonts w:hint="eastAsia"/>
          <w:szCs w:val="21"/>
        </w:rPr>
        <w:t>法定代表人：                                 法定代表人：</w:t>
      </w:r>
    </w:p>
    <w:p w14:paraId="77A778B3">
      <w:pPr>
        <w:spacing w:line="420" w:lineRule="exact"/>
        <w:ind w:firstLine="440" w:firstLineChars="200"/>
        <w:rPr>
          <w:szCs w:val="21"/>
        </w:rPr>
      </w:pPr>
      <w:r>
        <w:rPr>
          <w:rFonts w:hint="eastAsia"/>
          <w:szCs w:val="21"/>
        </w:rPr>
        <w:t>或其委托代理人：（签字）             或其委托代理人：（签字）</w:t>
      </w:r>
    </w:p>
    <w:p w14:paraId="67F5C733">
      <w:pPr>
        <w:spacing w:line="420" w:lineRule="exact"/>
        <w:ind w:firstLine="440" w:firstLineChars="200"/>
        <w:rPr>
          <w:szCs w:val="21"/>
        </w:rPr>
      </w:pPr>
      <w:r>
        <w:rPr>
          <w:rFonts w:hint="eastAsia"/>
          <w:szCs w:val="21"/>
        </w:rPr>
        <w:t xml:space="preserve">        年   月   日                               年   月    日</w:t>
      </w:r>
    </w:p>
    <w:p w14:paraId="0FA6E7DD">
      <w:pPr>
        <w:pStyle w:val="12"/>
        <w:ind w:firstLine="400"/>
        <w:rPr>
          <w:b/>
          <w:sz w:val="20"/>
        </w:rPr>
      </w:pPr>
    </w:p>
    <w:p w14:paraId="41654D51">
      <w:pPr>
        <w:ind w:firstLine="400"/>
        <w:rPr>
          <w:b/>
          <w:sz w:val="20"/>
        </w:rPr>
      </w:pPr>
    </w:p>
    <w:p w14:paraId="59DE69DF">
      <w:pPr>
        <w:pStyle w:val="12"/>
        <w:ind w:firstLine="400"/>
        <w:rPr>
          <w:b/>
          <w:sz w:val="20"/>
        </w:rPr>
      </w:pPr>
    </w:p>
    <w:p w14:paraId="0F1CE6E2">
      <w:pPr>
        <w:ind w:firstLine="400"/>
        <w:rPr>
          <w:b/>
          <w:sz w:val="20"/>
        </w:rPr>
      </w:pPr>
    </w:p>
    <w:p w14:paraId="6B540F34">
      <w:pPr>
        <w:pStyle w:val="12"/>
        <w:ind w:firstLine="400"/>
        <w:rPr>
          <w:b/>
          <w:sz w:val="20"/>
        </w:rPr>
      </w:pPr>
    </w:p>
    <w:p w14:paraId="4D826FC6">
      <w:pPr>
        <w:ind w:firstLine="400"/>
        <w:rPr>
          <w:b/>
          <w:sz w:val="20"/>
        </w:rPr>
      </w:pPr>
    </w:p>
    <w:p w14:paraId="694BD4A0">
      <w:pPr>
        <w:pStyle w:val="12"/>
        <w:ind w:firstLine="400"/>
        <w:rPr>
          <w:b/>
          <w:sz w:val="20"/>
        </w:rPr>
      </w:pPr>
    </w:p>
    <w:p w14:paraId="38FEC356">
      <w:pPr>
        <w:ind w:firstLine="400"/>
        <w:rPr>
          <w:b/>
          <w:sz w:val="20"/>
        </w:rPr>
      </w:pPr>
    </w:p>
    <w:p w14:paraId="23C242B2">
      <w:pPr>
        <w:pStyle w:val="12"/>
        <w:ind w:firstLine="400"/>
        <w:rPr>
          <w:b/>
          <w:sz w:val="20"/>
        </w:rPr>
      </w:pPr>
    </w:p>
    <w:p w14:paraId="2C5424C0">
      <w:pPr>
        <w:ind w:firstLine="400"/>
        <w:rPr>
          <w:b/>
          <w:sz w:val="20"/>
        </w:rPr>
      </w:pPr>
    </w:p>
    <w:p w14:paraId="443CD3BD">
      <w:pPr>
        <w:pStyle w:val="12"/>
        <w:ind w:firstLine="400"/>
        <w:rPr>
          <w:b/>
          <w:sz w:val="20"/>
        </w:rPr>
      </w:pPr>
    </w:p>
    <w:p w14:paraId="258D7D76">
      <w:pPr>
        <w:ind w:firstLine="400"/>
        <w:rPr>
          <w:b/>
          <w:sz w:val="20"/>
        </w:rPr>
      </w:pPr>
    </w:p>
    <w:p w14:paraId="187FF0AB">
      <w:pPr>
        <w:pStyle w:val="12"/>
        <w:ind w:firstLine="400"/>
        <w:rPr>
          <w:b/>
          <w:sz w:val="20"/>
        </w:rPr>
      </w:pPr>
    </w:p>
    <w:p w14:paraId="41B9CA4E">
      <w:pPr>
        <w:ind w:firstLine="400"/>
        <w:rPr>
          <w:b/>
          <w:sz w:val="20"/>
        </w:rPr>
      </w:pPr>
    </w:p>
    <w:p w14:paraId="6199831E">
      <w:pPr>
        <w:pStyle w:val="12"/>
        <w:ind w:firstLine="400"/>
        <w:rPr>
          <w:b/>
          <w:sz w:val="20"/>
        </w:rPr>
      </w:pPr>
    </w:p>
    <w:p w14:paraId="338FDA9F">
      <w:pPr>
        <w:ind w:firstLine="400"/>
        <w:rPr>
          <w:b/>
          <w:sz w:val="20"/>
        </w:rPr>
      </w:pPr>
    </w:p>
    <w:p w14:paraId="145DA353">
      <w:pPr>
        <w:pStyle w:val="12"/>
        <w:ind w:firstLine="400"/>
        <w:rPr>
          <w:b/>
          <w:sz w:val="20"/>
        </w:rPr>
      </w:pPr>
    </w:p>
    <w:p w14:paraId="2B29CBCB">
      <w:pPr>
        <w:ind w:firstLine="400"/>
        <w:rPr>
          <w:b/>
          <w:sz w:val="20"/>
        </w:rPr>
      </w:pPr>
    </w:p>
    <w:p w14:paraId="257267CF">
      <w:pPr>
        <w:pStyle w:val="12"/>
        <w:ind w:firstLine="400"/>
        <w:rPr>
          <w:b/>
          <w:sz w:val="20"/>
        </w:rPr>
      </w:pPr>
    </w:p>
    <w:p w14:paraId="586AB1BA">
      <w:pPr>
        <w:ind w:firstLine="422"/>
      </w:pPr>
    </w:p>
    <w:p w14:paraId="495D4945">
      <w:pPr>
        <w:ind w:firstLine="400"/>
        <w:rPr>
          <w:b/>
          <w:sz w:val="20"/>
        </w:rPr>
      </w:pPr>
    </w:p>
    <w:p w14:paraId="2DCE4CD6">
      <w:pPr>
        <w:widowControl/>
        <w:spacing w:line="420" w:lineRule="exact"/>
        <w:ind w:firstLine="482" w:firstLineChars="200"/>
        <w:rPr>
          <w:sz w:val="24"/>
        </w:rPr>
      </w:pPr>
      <w:r>
        <w:rPr>
          <w:rFonts w:hint="eastAsia"/>
          <w:b/>
          <w:bCs/>
          <w:sz w:val="24"/>
        </w:rPr>
        <w:t>附件三：安全生产合同</w:t>
      </w:r>
    </w:p>
    <w:p w14:paraId="37843686">
      <w:pPr>
        <w:widowControl/>
        <w:spacing w:line="420" w:lineRule="exact"/>
        <w:ind w:firstLine="643" w:firstLineChars="200"/>
        <w:jc w:val="center"/>
        <w:rPr>
          <w:b/>
          <w:sz w:val="32"/>
          <w:szCs w:val="32"/>
        </w:rPr>
      </w:pPr>
      <w:r>
        <w:rPr>
          <w:rFonts w:hint="eastAsia"/>
          <w:b/>
          <w:sz w:val="32"/>
          <w:szCs w:val="32"/>
        </w:rPr>
        <w:t>安全生产合同</w:t>
      </w:r>
    </w:p>
    <w:p w14:paraId="236138B7">
      <w:pPr>
        <w:widowControl/>
        <w:spacing w:line="420" w:lineRule="exact"/>
        <w:ind w:firstLine="643" w:firstLineChars="200"/>
        <w:jc w:val="center"/>
        <w:rPr>
          <w:b/>
          <w:sz w:val="32"/>
          <w:szCs w:val="32"/>
        </w:rPr>
      </w:pPr>
    </w:p>
    <w:p w14:paraId="5E2943B4">
      <w:pPr>
        <w:spacing w:line="420" w:lineRule="exact"/>
        <w:ind w:firstLine="440" w:firstLineChars="200"/>
        <w:rPr>
          <w:szCs w:val="21"/>
        </w:rPr>
      </w:pPr>
      <w:r>
        <w:rPr>
          <w:rFonts w:hint="eastAsia"/>
          <w:szCs w:val="21"/>
        </w:rPr>
        <w:t xml:space="preserve">为在（项目名称）标段施工合同的实施过程中创造安全、高效的施工环境，切实搞好本项目的安全管理工作，本项目发包人（发包人名称，以下简称“发包人”）与承包人（承包人名称，以下简称“承包人”）特此签订安全生产合同。 </w:t>
      </w:r>
    </w:p>
    <w:p w14:paraId="06AB4539">
      <w:pPr>
        <w:spacing w:line="420" w:lineRule="exact"/>
        <w:ind w:firstLine="440" w:firstLineChars="200"/>
        <w:rPr>
          <w:szCs w:val="21"/>
        </w:rPr>
      </w:pPr>
      <w:r>
        <w:rPr>
          <w:rFonts w:hint="eastAsia"/>
          <w:szCs w:val="21"/>
        </w:rPr>
        <w:t>1.发包人职责</w:t>
      </w:r>
    </w:p>
    <w:p w14:paraId="54AD49D7">
      <w:pPr>
        <w:spacing w:line="420" w:lineRule="exact"/>
        <w:ind w:firstLine="220" w:firstLineChars="100"/>
        <w:rPr>
          <w:szCs w:val="21"/>
        </w:rPr>
      </w:pPr>
      <w:r>
        <w:rPr>
          <w:rFonts w:hint="eastAsia"/>
          <w:szCs w:val="21"/>
        </w:rPr>
        <w:t>（1）严格遵守国家有关安全生产的法律法规，认真执行工程承包合同中的有关安全要求。</w:t>
      </w:r>
    </w:p>
    <w:p w14:paraId="06A1836C">
      <w:pPr>
        <w:spacing w:line="420" w:lineRule="exact"/>
        <w:ind w:firstLine="220" w:firstLineChars="100"/>
        <w:rPr>
          <w:szCs w:val="21"/>
        </w:rPr>
      </w:pPr>
      <w:r>
        <w:rPr>
          <w:rFonts w:hint="eastAsia"/>
          <w:szCs w:val="21"/>
        </w:rPr>
        <w:t>（2）按照“安全第一、预防为主、综合治理”和坚持“管生产必须管安全”的原则进行安全生产管理，做到生产与安全工作同时计划、布置、检查、总结和评比。</w:t>
      </w:r>
    </w:p>
    <w:p w14:paraId="11E744AC">
      <w:pPr>
        <w:spacing w:line="420" w:lineRule="exact"/>
        <w:ind w:firstLine="220" w:firstLineChars="100"/>
        <w:rPr>
          <w:szCs w:val="21"/>
        </w:rPr>
      </w:pPr>
      <w:r>
        <w:rPr>
          <w:rFonts w:hint="eastAsia"/>
          <w:szCs w:val="21"/>
        </w:rPr>
        <w:t>（3）重要的安全设施必须坚持与主体工程“三同时”的原则，即：同时设计、审批，同时施工，同时验收，投入使用。</w:t>
      </w:r>
    </w:p>
    <w:p w14:paraId="5BE25D53">
      <w:pPr>
        <w:spacing w:line="420" w:lineRule="exact"/>
        <w:ind w:firstLine="220" w:firstLineChars="100"/>
        <w:rPr>
          <w:szCs w:val="21"/>
        </w:rPr>
      </w:pPr>
      <w:r>
        <w:rPr>
          <w:rFonts w:hint="eastAsia"/>
          <w:szCs w:val="21"/>
        </w:rPr>
        <w:t>（4）定期召开安全生产调度会，及时传达中央及地方有关安全生产的精神。</w:t>
      </w:r>
    </w:p>
    <w:p w14:paraId="279D687C">
      <w:pPr>
        <w:spacing w:line="420" w:lineRule="exact"/>
        <w:ind w:firstLine="220" w:firstLineChars="100"/>
        <w:rPr>
          <w:szCs w:val="21"/>
        </w:rPr>
      </w:pPr>
      <w:r>
        <w:rPr>
          <w:rFonts w:hint="eastAsia"/>
          <w:szCs w:val="21"/>
        </w:rPr>
        <w:t>（5）组织对承包人施工现场进行安全生产检查，监督承包人及时处理发现的各种安全隐患。</w:t>
      </w:r>
    </w:p>
    <w:p w14:paraId="5E9D20AF">
      <w:pPr>
        <w:spacing w:line="420" w:lineRule="exact"/>
        <w:ind w:firstLine="440" w:firstLineChars="200"/>
        <w:rPr>
          <w:szCs w:val="21"/>
        </w:rPr>
      </w:pPr>
      <w:r>
        <w:rPr>
          <w:rFonts w:hint="eastAsia"/>
          <w:szCs w:val="21"/>
        </w:rPr>
        <w:t>2.承包人职责</w:t>
      </w:r>
    </w:p>
    <w:p w14:paraId="38306BC8">
      <w:pPr>
        <w:spacing w:line="420" w:lineRule="exact"/>
        <w:ind w:firstLine="220" w:firstLineChars="100"/>
        <w:rPr>
          <w:szCs w:val="21"/>
        </w:rPr>
      </w:pPr>
      <w:r>
        <w:rPr>
          <w:rFonts w:hint="eastAsia"/>
          <w:szCs w:val="21"/>
        </w:rPr>
        <w:t>（1）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14:paraId="09D9DCBB">
      <w:pPr>
        <w:spacing w:line="420" w:lineRule="exact"/>
        <w:ind w:firstLine="220" w:firstLineChars="100"/>
        <w:rPr>
          <w:szCs w:val="21"/>
        </w:rPr>
      </w:pPr>
      <w:r>
        <w:rPr>
          <w:rFonts w:hint="eastAsia"/>
          <w:szCs w:val="21"/>
        </w:rPr>
        <w:t>（2）坚持“安全第一、预防为主、综合治理”和“管生产必须管安全”的原则， 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41A3C5EE">
      <w:pPr>
        <w:spacing w:line="420" w:lineRule="exact"/>
        <w:ind w:firstLine="220" w:firstLineChars="100"/>
        <w:rPr>
          <w:szCs w:val="21"/>
        </w:rPr>
      </w:pPr>
      <w:r>
        <w:rPr>
          <w:rFonts w:hint="eastAsia"/>
          <w:szCs w:val="21"/>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60823E80">
      <w:pPr>
        <w:spacing w:line="420" w:lineRule="exact"/>
        <w:ind w:firstLine="220" w:firstLineChars="100"/>
        <w:rPr>
          <w:szCs w:val="21"/>
        </w:rPr>
      </w:pPr>
      <w:r>
        <w:rPr>
          <w:rFonts w:hint="eastAsia"/>
          <w:szCs w:val="21"/>
        </w:rPr>
        <w:t>（4）承包人在任何时候都应采取各种合理的预防措施，防止其员工发生任何违法、违禁、暴力或妨碍治安的行为。</w:t>
      </w:r>
    </w:p>
    <w:p w14:paraId="585E1CD5">
      <w:pPr>
        <w:spacing w:line="420" w:lineRule="exact"/>
        <w:ind w:firstLine="220" w:firstLineChars="100"/>
        <w:rPr>
          <w:szCs w:val="21"/>
        </w:rPr>
      </w:pPr>
      <w:r>
        <w:rPr>
          <w:rFonts w:hint="eastAsia"/>
          <w:szCs w:val="21"/>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4757080B">
      <w:pPr>
        <w:spacing w:line="420" w:lineRule="exact"/>
        <w:ind w:firstLine="220" w:firstLineChars="100"/>
        <w:rPr>
          <w:szCs w:val="21"/>
        </w:rPr>
      </w:pPr>
      <w:r>
        <w:rPr>
          <w:rFonts w:hint="eastAsia"/>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0CF5C5F7">
      <w:pPr>
        <w:spacing w:line="420" w:lineRule="exact"/>
        <w:ind w:firstLine="220" w:firstLineChars="100"/>
        <w:rPr>
          <w:szCs w:val="21"/>
        </w:rPr>
      </w:pPr>
      <w:r>
        <w:rPr>
          <w:rFonts w:hint="eastAsia"/>
          <w:szCs w:val="21"/>
        </w:rPr>
        <w:t>（7）操作人员上岗，必须按规定穿戴防护用品。施工负责人和安全检查员应随时检查劳动防护用品的穿戴情况，不按规定穿戴防护用品的人员不得上岗。</w:t>
      </w:r>
    </w:p>
    <w:p w14:paraId="21CFA0C6">
      <w:pPr>
        <w:spacing w:line="420" w:lineRule="exact"/>
        <w:ind w:firstLine="220" w:firstLineChars="100"/>
        <w:rPr>
          <w:szCs w:val="21"/>
        </w:rPr>
      </w:pPr>
      <w:r>
        <w:rPr>
          <w:rFonts w:hint="eastAsia"/>
          <w:szCs w:val="21"/>
        </w:rPr>
        <w:t>（8）所有施工机具设备和高空作业的设备均应定期检查，并有安全员的签字记录，保证其经常处于完好状态；不合格的机具、设备和劳动保护用品严禁使用。</w:t>
      </w:r>
    </w:p>
    <w:p w14:paraId="7CA46243">
      <w:pPr>
        <w:spacing w:line="420" w:lineRule="exact"/>
        <w:ind w:firstLine="220" w:firstLineChars="100"/>
        <w:rPr>
          <w:szCs w:val="21"/>
        </w:rPr>
      </w:pPr>
      <w:r>
        <w:rPr>
          <w:rFonts w:hint="eastAsia"/>
          <w:szCs w:val="21"/>
        </w:rPr>
        <w:t>（9）施工中采用新技术、新工艺、新设备、新材料时，必须制定相应的安全技术措施，施工现场必须具有相关的安全标志牌。</w:t>
      </w:r>
    </w:p>
    <w:p w14:paraId="52E073E3">
      <w:pPr>
        <w:spacing w:line="420" w:lineRule="exact"/>
        <w:ind w:firstLine="220" w:firstLineChars="100"/>
        <w:rPr>
          <w:szCs w:val="21"/>
        </w:rPr>
      </w:pPr>
      <w:r>
        <w:rPr>
          <w:rFonts w:hint="eastAsia"/>
          <w:szCs w:val="21"/>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234FE49D">
      <w:pPr>
        <w:spacing w:line="420" w:lineRule="exact"/>
        <w:ind w:firstLine="220" w:firstLineChars="100"/>
        <w:rPr>
          <w:szCs w:val="21"/>
        </w:rPr>
      </w:pPr>
      <w:r>
        <w:rPr>
          <w:rFonts w:hint="eastAsia"/>
          <w:szCs w:val="21"/>
        </w:rPr>
        <w:t>（11）安全生产费用按照《公路水运工程安全生产监督管理办法》的相关规定使用和管理。</w:t>
      </w:r>
    </w:p>
    <w:p w14:paraId="39678E27">
      <w:pPr>
        <w:spacing w:line="420" w:lineRule="exact"/>
        <w:ind w:firstLine="440" w:firstLineChars="200"/>
        <w:rPr>
          <w:szCs w:val="21"/>
        </w:rPr>
      </w:pPr>
      <w:r>
        <w:rPr>
          <w:rFonts w:hint="eastAsia"/>
          <w:szCs w:val="21"/>
        </w:rPr>
        <w:t>3.违约责任</w:t>
      </w:r>
    </w:p>
    <w:p w14:paraId="746F4448">
      <w:pPr>
        <w:spacing w:line="420" w:lineRule="exact"/>
        <w:ind w:firstLine="440" w:firstLineChars="200"/>
        <w:rPr>
          <w:szCs w:val="21"/>
        </w:rPr>
      </w:pPr>
      <w:r>
        <w:rPr>
          <w:rFonts w:hint="eastAsia"/>
          <w:szCs w:val="21"/>
        </w:rPr>
        <w:t>如因发包人或承包人违约造成安全事故，将依法追究责任。</w:t>
      </w:r>
    </w:p>
    <w:p w14:paraId="0A282F7E">
      <w:pPr>
        <w:spacing w:line="420" w:lineRule="exact"/>
        <w:ind w:firstLine="440" w:firstLineChars="200"/>
        <w:rPr>
          <w:szCs w:val="21"/>
        </w:rPr>
      </w:pPr>
      <w:r>
        <w:rPr>
          <w:rFonts w:hint="eastAsia"/>
          <w:szCs w:val="21"/>
        </w:rPr>
        <w:t>4.本合同由双方法定代表人或其授权的代理人签署并加盖单位章后生效， 全部工程竣工验收后失效。</w:t>
      </w:r>
    </w:p>
    <w:p w14:paraId="0A278818">
      <w:pPr>
        <w:spacing w:line="420" w:lineRule="exact"/>
        <w:ind w:firstLine="440" w:firstLineChars="200"/>
        <w:rPr>
          <w:szCs w:val="21"/>
        </w:rPr>
      </w:pPr>
      <w:r>
        <w:rPr>
          <w:rFonts w:hint="eastAsia"/>
          <w:szCs w:val="21"/>
        </w:rPr>
        <w:t>5.本合同一式六份，由发包人和承包人各执三份。</w:t>
      </w:r>
    </w:p>
    <w:p w14:paraId="30A3776F">
      <w:pPr>
        <w:spacing w:line="420" w:lineRule="exact"/>
        <w:ind w:firstLine="422"/>
        <w:rPr>
          <w:szCs w:val="21"/>
        </w:rPr>
      </w:pPr>
    </w:p>
    <w:p w14:paraId="27CAB773">
      <w:pPr>
        <w:spacing w:line="420" w:lineRule="exact"/>
        <w:ind w:firstLine="422"/>
        <w:rPr>
          <w:szCs w:val="21"/>
        </w:rPr>
      </w:pPr>
    </w:p>
    <w:p w14:paraId="28F498FA">
      <w:pPr>
        <w:spacing w:line="420" w:lineRule="exact"/>
        <w:ind w:firstLine="422"/>
        <w:rPr>
          <w:szCs w:val="21"/>
        </w:rPr>
      </w:pPr>
    </w:p>
    <w:p w14:paraId="0979AA0C">
      <w:pPr>
        <w:spacing w:line="420" w:lineRule="exact"/>
        <w:ind w:firstLine="220" w:firstLineChars="100"/>
        <w:rPr>
          <w:szCs w:val="21"/>
          <w:u w:val="single"/>
        </w:rPr>
      </w:pPr>
      <w:r>
        <w:rPr>
          <w:rFonts w:hint="eastAsia"/>
          <w:szCs w:val="21"/>
        </w:rPr>
        <w:t>发包人：承包人：</w:t>
      </w:r>
    </w:p>
    <w:p w14:paraId="56405090">
      <w:pPr>
        <w:spacing w:line="420" w:lineRule="exact"/>
        <w:ind w:firstLine="1760" w:firstLineChars="800"/>
        <w:rPr>
          <w:szCs w:val="21"/>
        </w:rPr>
      </w:pPr>
      <w:r>
        <w:rPr>
          <w:rFonts w:hint="eastAsia"/>
          <w:szCs w:val="21"/>
        </w:rPr>
        <w:t>（盖单位章）                              （盖单位章）</w:t>
      </w:r>
    </w:p>
    <w:p w14:paraId="03F79470">
      <w:pPr>
        <w:spacing w:line="420" w:lineRule="exact"/>
        <w:ind w:firstLine="220" w:firstLineChars="100"/>
        <w:rPr>
          <w:szCs w:val="21"/>
        </w:rPr>
      </w:pPr>
      <w:r>
        <w:rPr>
          <w:rFonts w:hint="eastAsia"/>
          <w:szCs w:val="21"/>
        </w:rPr>
        <w:t>法定代表人：                                 法定代表人：</w:t>
      </w:r>
    </w:p>
    <w:p w14:paraId="37646B4F">
      <w:pPr>
        <w:spacing w:line="420" w:lineRule="exact"/>
        <w:ind w:firstLine="220" w:firstLineChars="100"/>
        <w:rPr>
          <w:szCs w:val="21"/>
        </w:rPr>
      </w:pPr>
      <w:r>
        <w:rPr>
          <w:rFonts w:hint="eastAsia"/>
          <w:szCs w:val="21"/>
        </w:rPr>
        <w:t>或其委托代理人：（签字）             或其委托代理人：（签字）</w:t>
      </w:r>
    </w:p>
    <w:p w14:paraId="7E79ECB3">
      <w:pPr>
        <w:spacing w:line="420" w:lineRule="exact"/>
        <w:ind w:firstLine="440" w:firstLineChars="200"/>
        <w:rPr>
          <w:szCs w:val="21"/>
        </w:rPr>
      </w:pPr>
      <w:r>
        <w:rPr>
          <w:rFonts w:hint="eastAsia"/>
          <w:szCs w:val="21"/>
        </w:rPr>
        <w:t>年   月   日                            年   月    日</w:t>
      </w:r>
    </w:p>
    <w:p w14:paraId="476DB45A">
      <w:pPr>
        <w:ind w:firstLine="422"/>
        <w:rPr>
          <w:szCs w:val="21"/>
        </w:rPr>
      </w:pPr>
    </w:p>
    <w:p w14:paraId="6251E8D5">
      <w:pPr>
        <w:tabs>
          <w:tab w:val="left" w:pos="1080"/>
        </w:tabs>
        <w:spacing w:line="280" w:lineRule="exact"/>
        <w:ind w:left="420" w:firstLine="422"/>
        <w:rPr>
          <w:szCs w:val="21"/>
        </w:rPr>
      </w:pPr>
      <w:r>
        <w:rPr>
          <w:rFonts w:hint="eastAsia"/>
          <w:szCs w:val="21"/>
        </w:rPr>
        <w:br w:type="page"/>
      </w:r>
    </w:p>
    <w:p w14:paraId="435102FF">
      <w:pPr>
        <w:spacing w:before="41" w:line="186" w:lineRule="auto"/>
        <w:ind w:firstLine="420"/>
        <w:rPr>
          <w:rFonts w:ascii="微软雅黑" w:hAnsi="微软雅黑" w:eastAsia="微软雅黑" w:cs="微软雅黑"/>
          <w:sz w:val="21"/>
          <w:szCs w:val="21"/>
        </w:rPr>
      </w:pPr>
    </w:p>
    <w:p w14:paraId="68D022CE">
      <w:pPr>
        <w:spacing w:before="41" w:line="186" w:lineRule="auto"/>
        <w:ind w:left="12" w:firstLine="420"/>
        <w:rPr>
          <w:rFonts w:ascii="微软雅黑" w:hAnsi="微软雅黑" w:eastAsia="微软雅黑" w:cs="微软雅黑"/>
          <w:sz w:val="21"/>
          <w:szCs w:val="21"/>
        </w:rPr>
      </w:pPr>
      <w:r>
        <w:rPr>
          <w:rFonts w:ascii="微软雅黑" w:hAnsi="微软雅黑" w:eastAsia="微软雅黑" w:cs="微软雅黑"/>
          <w:sz w:val="21"/>
          <w:szCs w:val="21"/>
        </w:rPr>
        <w:t>附件四其他主要管理人员和技术人员最低要求</w:t>
      </w:r>
    </w:p>
    <w:p w14:paraId="50A7881D">
      <w:pPr>
        <w:spacing w:line="238" w:lineRule="exact"/>
        <w:ind w:firstLine="422"/>
      </w:pPr>
    </w:p>
    <w:tbl>
      <w:tblPr>
        <w:tblStyle w:val="38"/>
        <w:tblW w:w="7919" w:type="dxa"/>
        <w:tblInd w:w="7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4"/>
        <w:gridCol w:w="849"/>
        <w:gridCol w:w="4936"/>
      </w:tblGrid>
      <w:tr w14:paraId="3EC09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2134" w:type="dxa"/>
          </w:tcPr>
          <w:p w14:paraId="4C12067E">
            <w:pPr>
              <w:pStyle w:val="41"/>
              <w:spacing w:before="230" w:line="186" w:lineRule="auto"/>
              <w:jc w:val="center"/>
              <w:rPr>
                <w:sz w:val="21"/>
                <w:szCs w:val="21"/>
              </w:rPr>
            </w:pPr>
            <w:r>
              <w:rPr>
                <w:sz w:val="21"/>
                <w:szCs w:val="21"/>
              </w:rPr>
              <w:t>人员</w:t>
            </w:r>
          </w:p>
        </w:tc>
        <w:tc>
          <w:tcPr>
            <w:tcW w:w="849" w:type="dxa"/>
          </w:tcPr>
          <w:p w14:paraId="62D44C98">
            <w:pPr>
              <w:pStyle w:val="41"/>
              <w:spacing w:before="231" w:line="185" w:lineRule="auto"/>
              <w:jc w:val="center"/>
              <w:rPr>
                <w:sz w:val="21"/>
                <w:szCs w:val="21"/>
              </w:rPr>
            </w:pPr>
            <w:r>
              <w:rPr>
                <w:sz w:val="21"/>
                <w:szCs w:val="21"/>
              </w:rPr>
              <w:t>数量</w:t>
            </w:r>
          </w:p>
        </w:tc>
        <w:tc>
          <w:tcPr>
            <w:tcW w:w="4936" w:type="dxa"/>
          </w:tcPr>
          <w:p w14:paraId="4E76508E">
            <w:pPr>
              <w:pStyle w:val="41"/>
              <w:spacing w:before="231" w:line="186" w:lineRule="auto"/>
              <w:jc w:val="center"/>
              <w:rPr>
                <w:sz w:val="21"/>
                <w:szCs w:val="21"/>
              </w:rPr>
            </w:pPr>
            <w:r>
              <w:rPr>
                <w:sz w:val="21"/>
                <w:szCs w:val="21"/>
              </w:rPr>
              <w:t>资格要求</w:t>
            </w:r>
          </w:p>
        </w:tc>
      </w:tr>
      <w:tr w14:paraId="49BF6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2134" w:type="dxa"/>
            <w:shd w:val="clear" w:color="auto" w:fill="auto"/>
            <w:vAlign w:val="top"/>
          </w:tcPr>
          <w:p w14:paraId="24AA6CA7">
            <w:pPr>
              <w:ind w:firstLine="422" w:firstLineChars="0"/>
              <w:rPr>
                <w:rFonts w:hint="eastAsia" w:ascii="Arial" w:hAnsi="宋体" w:eastAsia="宋体" w:cs="宋体"/>
                <w:sz w:val="21"/>
                <w:szCs w:val="22"/>
                <w:lang w:val="en-US" w:eastAsia="zh-CN" w:bidi="ar-SA"/>
              </w:rPr>
            </w:pPr>
            <w:r>
              <w:rPr>
                <w:rFonts w:hint="eastAsia" w:ascii="Arial"/>
                <w:sz w:val="21"/>
                <w:lang w:eastAsia="zh-CN"/>
              </w:rPr>
              <w:t>专职安全员</w:t>
            </w:r>
          </w:p>
        </w:tc>
        <w:tc>
          <w:tcPr>
            <w:tcW w:w="849" w:type="dxa"/>
            <w:shd w:val="clear" w:color="auto" w:fill="auto"/>
            <w:vAlign w:val="top"/>
          </w:tcPr>
          <w:p w14:paraId="6F92B5D5">
            <w:pPr>
              <w:ind w:firstLine="422" w:firstLineChars="0"/>
              <w:rPr>
                <w:rFonts w:hint="eastAsia" w:ascii="Arial" w:hAnsi="宋体" w:eastAsia="宋体" w:cs="宋体"/>
                <w:sz w:val="21"/>
                <w:szCs w:val="22"/>
                <w:lang w:val="en-US" w:eastAsia="zh-CN" w:bidi="ar-SA"/>
              </w:rPr>
            </w:pPr>
            <w:r>
              <w:rPr>
                <w:rFonts w:hint="eastAsia" w:ascii="Arial"/>
                <w:sz w:val="21"/>
                <w:lang w:val="en-US" w:eastAsia="zh-CN"/>
              </w:rPr>
              <w:t>1</w:t>
            </w:r>
          </w:p>
        </w:tc>
        <w:tc>
          <w:tcPr>
            <w:tcW w:w="4936" w:type="dxa"/>
            <w:shd w:val="clear" w:color="auto" w:fill="auto"/>
            <w:vAlign w:val="top"/>
          </w:tcPr>
          <w:p w14:paraId="47BA0830">
            <w:pPr>
              <w:ind w:firstLine="422" w:firstLineChars="0"/>
              <w:rPr>
                <w:rFonts w:hint="default" w:ascii="Arial" w:hAnsi="宋体" w:eastAsia="宋体" w:cs="宋体"/>
                <w:sz w:val="21"/>
                <w:szCs w:val="22"/>
                <w:lang w:val="en-US" w:eastAsia="zh-CN" w:bidi="ar-SA"/>
              </w:rPr>
            </w:pPr>
            <w:r>
              <w:rPr>
                <w:rFonts w:hint="eastAsia" w:ascii="Arial"/>
                <w:sz w:val="21"/>
                <w:lang w:eastAsia="zh-CN"/>
              </w:rPr>
              <w:t>具有省级（或以上）交通主管部门颁发的《安全生产考核合格证书》</w:t>
            </w:r>
            <w:r>
              <w:rPr>
                <w:rFonts w:hint="eastAsia" w:ascii="Arial"/>
                <w:sz w:val="21"/>
                <w:lang w:val="en-US" w:eastAsia="zh-CN"/>
              </w:rPr>
              <w:t>C证。</w:t>
            </w:r>
          </w:p>
        </w:tc>
      </w:tr>
      <w:tr w14:paraId="5F82F3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8" w:hRule="atLeast"/>
        </w:trPr>
        <w:tc>
          <w:tcPr>
            <w:tcW w:w="2134" w:type="dxa"/>
          </w:tcPr>
          <w:p w14:paraId="4B5EBFFA">
            <w:pPr>
              <w:ind w:firstLine="422"/>
              <w:rPr>
                <w:rFonts w:ascii="Arial"/>
                <w:sz w:val="21"/>
              </w:rPr>
            </w:pPr>
          </w:p>
        </w:tc>
        <w:tc>
          <w:tcPr>
            <w:tcW w:w="849" w:type="dxa"/>
          </w:tcPr>
          <w:p w14:paraId="0DB4EA63">
            <w:pPr>
              <w:ind w:firstLine="422"/>
              <w:rPr>
                <w:rFonts w:ascii="Arial"/>
                <w:sz w:val="21"/>
              </w:rPr>
            </w:pPr>
          </w:p>
        </w:tc>
        <w:tc>
          <w:tcPr>
            <w:tcW w:w="4936" w:type="dxa"/>
          </w:tcPr>
          <w:p w14:paraId="7117190A">
            <w:pPr>
              <w:ind w:firstLine="422"/>
              <w:rPr>
                <w:rFonts w:ascii="Arial"/>
                <w:sz w:val="21"/>
              </w:rPr>
            </w:pPr>
          </w:p>
        </w:tc>
      </w:tr>
      <w:tr w14:paraId="593BA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trPr>
        <w:tc>
          <w:tcPr>
            <w:tcW w:w="2134" w:type="dxa"/>
          </w:tcPr>
          <w:p w14:paraId="25002878">
            <w:pPr>
              <w:ind w:firstLine="422"/>
              <w:rPr>
                <w:rFonts w:ascii="Arial"/>
                <w:sz w:val="21"/>
              </w:rPr>
            </w:pPr>
          </w:p>
        </w:tc>
        <w:tc>
          <w:tcPr>
            <w:tcW w:w="849" w:type="dxa"/>
          </w:tcPr>
          <w:p w14:paraId="29E172B4">
            <w:pPr>
              <w:ind w:firstLine="422"/>
              <w:rPr>
                <w:rFonts w:ascii="Arial"/>
                <w:sz w:val="21"/>
              </w:rPr>
            </w:pPr>
          </w:p>
        </w:tc>
        <w:tc>
          <w:tcPr>
            <w:tcW w:w="4936" w:type="dxa"/>
          </w:tcPr>
          <w:p w14:paraId="680AE78B">
            <w:pPr>
              <w:ind w:firstLine="422"/>
              <w:rPr>
                <w:rFonts w:ascii="Arial"/>
                <w:sz w:val="21"/>
              </w:rPr>
            </w:pPr>
          </w:p>
        </w:tc>
      </w:tr>
      <w:tr w14:paraId="28210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8" w:hRule="atLeast"/>
        </w:trPr>
        <w:tc>
          <w:tcPr>
            <w:tcW w:w="2134" w:type="dxa"/>
          </w:tcPr>
          <w:p w14:paraId="7D3BC36F">
            <w:pPr>
              <w:ind w:firstLine="422"/>
              <w:rPr>
                <w:rFonts w:ascii="Arial"/>
                <w:sz w:val="21"/>
              </w:rPr>
            </w:pPr>
          </w:p>
        </w:tc>
        <w:tc>
          <w:tcPr>
            <w:tcW w:w="849" w:type="dxa"/>
          </w:tcPr>
          <w:p w14:paraId="3DE61FC0">
            <w:pPr>
              <w:ind w:firstLine="422"/>
              <w:rPr>
                <w:rFonts w:ascii="Arial"/>
                <w:sz w:val="21"/>
              </w:rPr>
            </w:pPr>
          </w:p>
        </w:tc>
        <w:tc>
          <w:tcPr>
            <w:tcW w:w="4936" w:type="dxa"/>
          </w:tcPr>
          <w:p w14:paraId="6E41EAAB">
            <w:pPr>
              <w:ind w:firstLine="422"/>
              <w:rPr>
                <w:rFonts w:ascii="Arial"/>
                <w:sz w:val="21"/>
              </w:rPr>
            </w:pPr>
          </w:p>
        </w:tc>
      </w:tr>
      <w:tr w14:paraId="506DA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0" w:hRule="atLeast"/>
        </w:trPr>
        <w:tc>
          <w:tcPr>
            <w:tcW w:w="2134" w:type="dxa"/>
          </w:tcPr>
          <w:p w14:paraId="3FFBD5A2">
            <w:pPr>
              <w:ind w:firstLine="422"/>
              <w:rPr>
                <w:rFonts w:ascii="Arial"/>
                <w:sz w:val="21"/>
              </w:rPr>
            </w:pPr>
          </w:p>
        </w:tc>
        <w:tc>
          <w:tcPr>
            <w:tcW w:w="849" w:type="dxa"/>
          </w:tcPr>
          <w:p w14:paraId="6FC773F1">
            <w:pPr>
              <w:ind w:firstLine="422"/>
              <w:rPr>
                <w:rFonts w:ascii="Arial"/>
                <w:sz w:val="21"/>
              </w:rPr>
            </w:pPr>
          </w:p>
        </w:tc>
        <w:tc>
          <w:tcPr>
            <w:tcW w:w="4936" w:type="dxa"/>
          </w:tcPr>
          <w:p w14:paraId="2F94B96A">
            <w:pPr>
              <w:ind w:firstLine="422"/>
              <w:rPr>
                <w:rFonts w:ascii="Arial"/>
                <w:sz w:val="21"/>
              </w:rPr>
            </w:pPr>
          </w:p>
        </w:tc>
      </w:tr>
      <w:tr w14:paraId="6FC02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2134" w:type="dxa"/>
          </w:tcPr>
          <w:p w14:paraId="3E736531">
            <w:pPr>
              <w:ind w:firstLine="422"/>
              <w:rPr>
                <w:rFonts w:ascii="Arial"/>
                <w:sz w:val="21"/>
              </w:rPr>
            </w:pPr>
          </w:p>
        </w:tc>
        <w:tc>
          <w:tcPr>
            <w:tcW w:w="849" w:type="dxa"/>
          </w:tcPr>
          <w:p w14:paraId="712B74A9">
            <w:pPr>
              <w:ind w:firstLine="422"/>
              <w:rPr>
                <w:rFonts w:ascii="Arial"/>
                <w:sz w:val="21"/>
              </w:rPr>
            </w:pPr>
          </w:p>
        </w:tc>
        <w:tc>
          <w:tcPr>
            <w:tcW w:w="4936" w:type="dxa"/>
          </w:tcPr>
          <w:p w14:paraId="1FCF5123">
            <w:pPr>
              <w:ind w:firstLine="422"/>
              <w:rPr>
                <w:rFonts w:ascii="Arial"/>
                <w:sz w:val="21"/>
              </w:rPr>
            </w:pPr>
          </w:p>
        </w:tc>
      </w:tr>
    </w:tbl>
    <w:p w14:paraId="3B6DACC9">
      <w:pPr>
        <w:spacing w:before="298" w:line="184" w:lineRule="auto"/>
        <w:ind w:firstLine="420"/>
        <w:rPr>
          <w:rFonts w:ascii="微软雅黑" w:hAnsi="微软雅黑" w:eastAsia="微软雅黑" w:cs="微软雅黑"/>
          <w:sz w:val="21"/>
          <w:szCs w:val="21"/>
        </w:rPr>
      </w:pPr>
      <w:r>
        <w:rPr>
          <w:rFonts w:ascii="微软雅黑" w:hAnsi="微软雅黑" w:eastAsia="微软雅黑" w:cs="微软雅黑"/>
          <w:sz w:val="21"/>
          <w:szCs w:val="21"/>
        </w:rPr>
        <w:t>注：采购人将在发出成交通知书之前要求成交人按照本表的最低要求填报派驻本标段的其他主要管理人员，在经采购人审批后，作为派驻本标段的项目管理机构主要人员且不允许更换。</w:t>
      </w:r>
    </w:p>
    <w:p w14:paraId="701CA520">
      <w:pPr>
        <w:spacing w:line="184" w:lineRule="auto"/>
        <w:ind w:firstLine="420"/>
        <w:rPr>
          <w:rFonts w:ascii="微软雅黑" w:hAnsi="微软雅黑" w:eastAsia="微软雅黑" w:cs="微软雅黑"/>
          <w:sz w:val="21"/>
          <w:szCs w:val="21"/>
        </w:rPr>
        <w:sectPr>
          <w:footerReference r:id="rId10" w:type="default"/>
          <w:pgSz w:w="11900" w:h="16840"/>
          <w:pgMar w:top="1112" w:right="1359" w:bottom="801" w:left="1308" w:header="0" w:footer="637" w:gutter="0"/>
          <w:cols w:space="720" w:num="1"/>
        </w:sectPr>
      </w:pPr>
    </w:p>
    <w:p w14:paraId="71104560">
      <w:pPr>
        <w:spacing w:before="42" w:line="186" w:lineRule="auto"/>
        <w:ind w:left="43" w:firstLine="420"/>
        <w:rPr>
          <w:rFonts w:ascii="微软雅黑" w:hAnsi="微软雅黑" w:eastAsia="微软雅黑" w:cs="微软雅黑"/>
          <w:sz w:val="21"/>
          <w:szCs w:val="21"/>
        </w:rPr>
      </w:pPr>
      <w:r>
        <w:rPr>
          <w:rFonts w:ascii="微软雅黑" w:hAnsi="微软雅黑" w:eastAsia="微软雅黑" w:cs="微软雅黑"/>
          <w:sz w:val="21"/>
          <w:szCs w:val="21"/>
        </w:rPr>
        <w:t>附件五主要机械设备和试验检测设备最低要求</w:t>
      </w:r>
    </w:p>
    <w:p w14:paraId="38BC1AA7">
      <w:pPr>
        <w:spacing w:line="237" w:lineRule="exact"/>
        <w:ind w:firstLine="422"/>
      </w:pPr>
    </w:p>
    <w:tbl>
      <w:tblPr>
        <w:tblStyle w:val="38"/>
        <w:tblW w:w="884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80"/>
        <w:gridCol w:w="2159"/>
        <w:gridCol w:w="1257"/>
        <w:gridCol w:w="2350"/>
      </w:tblGrid>
      <w:tr w14:paraId="34CFE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4DA41F32">
            <w:pPr>
              <w:spacing w:line="274" w:lineRule="auto"/>
              <w:ind w:firstLine="482"/>
              <w:jc w:val="center"/>
              <w:rPr>
                <w:rFonts w:asciiTheme="minorEastAsia" w:hAnsiTheme="minorEastAsia" w:eastAsiaTheme="minorEastAsia" w:cstheme="minorEastAsia"/>
                <w:sz w:val="24"/>
                <w:szCs w:val="24"/>
              </w:rPr>
            </w:pPr>
          </w:p>
          <w:p w14:paraId="496942FC">
            <w:pPr>
              <w:pStyle w:val="41"/>
              <w:spacing w:before="103" w:line="18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设备名称</w:t>
            </w:r>
          </w:p>
        </w:tc>
        <w:tc>
          <w:tcPr>
            <w:tcW w:w="2159" w:type="dxa"/>
          </w:tcPr>
          <w:p w14:paraId="3029FFE2">
            <w:pPr>
              <w:spacing w:line="273" w:lineRule="auto"/>
              <w:ind w:firstLine="482"/>
              <w:jc w:val="center"/>
              <w:rPr>
                <w:rFonts w:asciiTheme="minorEastAsia" w:hAnsiTheme="minorEastAsia" w:eastAsiaTheme="minorEastAsia" w:cstheme="minorEastAsia"/>
                <w:sz w:val="24"/>
                <w:szCs w:val="24"/>
              </w:rPr>
            </w:pPr>
          </w:p>
          <w:p w14:paraId="354FBF84">
            <w:pPr>
              <w:pStyle w:val="41"/>
              <w:spacing w:before="103" w:line="18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规格、功率及容量</w:t>
            </w:r>
          </w:p>
        </w:tc>
        <w:tc>
          <w:tcPr>
            <w:tcW w:w="1257" w:type="dxa"/>
          </w:tcPr>
          <w:p w14:paraId="0143AC88">
            <w:pPr>
              <w:spacing w:line="274" w:lineRule="auto"/>
              <w:ind w:firstLine="482"/>
              <w:jc w:val="center"/>
              <w:rPr>
                <w:rFonts w:asciiTheme="minorEastAsia" w:hAnsiTheme="minorEastAsia" w:eastAsiaTheme="minorEastAsia" w:cstheme="minorEastAsia"/>
                <w:sz w:val="24"/>
                <w:szCs w:val="24"/>
              </w:rPr>
            </w:pPr>
          </w:p>
          <w:p w14:paraId="4CD05BE3">
            <w:pPr>
              <w:pStyle w:val="41"/>
              <w:spacing w:before="103" w:line="186"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单位</w:t>
            </w:r>
          </w:p>
        </w:tc>
        <w:tc>
          <w:tcPr>
            <w:tcW w:w="2350" w:type="dxa"/>
          </w:tcPr>
          <w:p w14:paraId="6D55C576">
            <w:pPr>
              <w:pStyle w:val="41"/>
              <w:spacing w:before="66" w:line="181" w:lineRule="auto"/>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要求（根据工作量情况的最低配备）</w:t>
            </w:r>
          </w:p>
        </w:tc>
      </w:tr>
      <w:tr w14:paraId="3D0ED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5991C27F">
            <w:pPr>
              <w:pStyle w:val="41"/>
              <w:spacing w:before="288" w:line="186" w:lineRule="auto"/>
              <w:ind w:left="829" w:firstLine="482"/>
              <w:rPr>
                <w:rFonts w:asciiTheme="minorEastAsia" w:hAnsiTheme="minorEastAsia" w:eastAsiaTheme="minorEastAsia" w:cstheme="minorEastAsia"/>
                <w:lang w:eastAsia="zh-CN"/>
              </w:rPr>
            </w:pPr>
          </w:p>
        </w:tc>
        <w:tc>
          <w:tcPr>
            <w:tcW w:w="2159" w:type="dxa"/>
          </w:tcPr>
          <w:p w14:paraId="4A04831A">
            <w:pPr>
              <w:pStyle w:val="41"/>
              <w:spacing w:before="326" w:line="176" w:lineRule="auto"/>
              <w:ind w:left="715" w:firstLine="482"/>
              <w:rPr>
                <w:rFonts w:asciiTheme="minorEastAsia" w:hAnsiTheme="minorEastAsia" w:eastAsiaTheme="minorEastAsia" w:cstheme="minorEastAsia"/>
                <w:lang w:eastAsia="zh-CN"/>
              </w:rPr>
            </w:pPr>
          </w:p>
        </w:tc>
        <w:tc>
          <w:tcPr>
            <w:tcW w:w="1257" w:type="dxa"/>
          </w:tcPr>
          <w:p w14:paraId="25B04E50">
            <w:pPr>
              <w:pStyle w:val="41"/>
              <w:spacing w:before="288" w:line="187" w:lineRule="auto"/>
              <w:ind w:left="529" w:firstLine="482"/>
              <w:rPr>
                <w:rFonts w:asciiTheme="minorEastAsia" w:hAnsiTheme="minorEastAsia" w:eastAsiaTheme="minorEastAsia" w:cstheme="minorEastAsia"/>
                <w:lang w:eastAsia="zh-CN"/>
              </w:rPr>
            </w:pPr>
          </w:p>
        </w:tc>
        <w:tc>
          <w:tcPr>
            <w:tcW w:w="2350" w:type="dxa"/>
          </w:tcPr>
          <w:p w14:paraId="1E0CC04F">
            <w:pPr>
              <w:pStyle w:val="41"/>
              <w:spacing w:before="326" w:line="160" w:lineRule="auto"/>
              <w:ind w:left="1124" w:firstLine="482"/>
              <w:rPr>
                <w:rFonts w:asciiTheme="minorEastAsia" w:hAnsiTheme="minorEastAsia" w:eastAsiaTheme="minorEastAsia" w:cstheme="minorEastAsia"/>
                <w:lang w:eastAsia="zh-CN"/>
              </w:rPr>
            </w:pPr>
          </w:p>
        </w:tc>
      </w:tr>
      <w:tr w14:paraId="28887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1140123E">
            <w:pPr>
              <w:pStyle w:val="41"/>
              <w:spacing w:before="124" w:line="186" w:lineRule="auto"/>
              <w:ind w:left="1064" w:firstLine="482"/>
              <w:rPr>
                <w:rFonts w:asciiTheme="minorEastAsia" w:hAnsiTheme="minorEastAsia" w:eastAsiaTheme="minorEastAsia" w:cstheme="minorEastAsia"/>
                <w:lang w:eastAsia="zh-CN"/>
              </w:rPr>
            </w:pPr>
          </w:p>
        </w:tc>
        <w:tc>
          <w:tcPr>
            <w:tcW w:w="2159" w:type="dxa"/>
          </w:tcPr>
          <w:p w14:paraId="252FF186">
            <w:pPr>
              <w:pStyle w:val="41"/>
              <w:spacing w:before="125" w:line="186" w:lineRule="auto"/>
              <w:ind w:left="604" w:firstLine="482"/>
              <w:rPr>
                <w:rFonts w:asciiTheme="minorEastAsia" w:hAnsiTheme="minorEastAsia" w:eastAsiaTheme="minorEastAsia" w:cstheme="minorEastAsia"/>
                <w:lang w:eastAsia="zh-CN"/>
              </w:rPr>
            </w:pPr>
          </w:p>
        </w:tc>
        <w:tc>
          <w:tcPr>
            <w:tcW w:w="1257" w:type="dxa"/>
          </w:tcPr>
          <w:p w14:paraId="755E9782">
            <w:pPr>
              <w:pStyle w:val="41"/>
              <w:spacing w:before="125" w:line="187" w:lineRule="auto"/>
              <w:ind w:left="529" w:firstLine="482"/>
              <w:rPr>
                <w:rFonts w:asciiTheme="minorEastAsia" w:hAnsiTheme="minorEastAsia" w:eastAsiaTheme="minorEastAsia" w:cstheme="minorEastAsia"/>
                <w:lang w:eastAsia="zh-CN"/>
              </w:rPr>
            </w:pPr>
          </w:p>
        </w:tc>
        <w:tc>
          <w:tcPr>
            <w:tcW w:w="2350" w:type="dxa"/>
          </w:tcPr>
          <w:p w14:paraId="639A6F57">
            <w:pPr>
              <w:pStyle w:val="41"/>
              <w:spacing w:before="163" w:line="160" w:lineRule="auto"/>
              <w:ind w:left="1124" w:firstLine="482"/>
              <w:rPr>
                <w:rFonts w:asciiTheme="minorEastAsia" w:hAnsiTheme="minorEastAsia" w:eastAsiaTheme="minorEastAsia" w:cstheme="minorEastAsia"/>
                <w:lang w:eastAsia="zh-CN"/>
              </w:rPr>
            </w:pPr>
          </w:p>
        </w:tc>
      </w:tr>
      <w:tr w14:paraId="590E11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675F56EF">
            <w:pPr>
              <w:pStyle w:val="41"/>
              <w:spacing w:before="125" w:line="186" w:lineRule="auto"/>
              <w:ind w:firstLine="482"/>
              <w:jc w:val="center"/>
              <w:rPr>
                <w:rFonts w:asciiTheme="minorEastAsia" w:hAnsiTheme="minorEastAsia" w:eastAsiaTheme="minorEastAsia" w:cstheme="minorEastAsia"/>
                <w:lang w:eastAsia="zh-CN"/>
              </w:rPr>
            </w:pPr>
          </w:p>
        </w:tc>
        <w:tc>
          <w:tcPr>
            <w:tcW w:w="2159" w:type="dxa"/>
          </w:tcPr>
          <w:p w14:paraId="2FF9C0BC">
            <w:pPr>
              <w:pStyle w:val="41"/>
              <w:spacing w:before="126" w:line="193" w:lineRule="auto"/>
              <w:ind w:left="801" w:firstLine="482"/>
              <w:rPr>
                <w:rFonts w:asciiTheme="minorEastAsia" w:hAnsiTheme="minorEastAsia" w:eastAsiaTheme="minorEastAsia" w:cstheme="minorEastAsia"/>
                <w:lang w:eastAsia="zh-CN"/>
              </w:rPr>
            </w:pPr>
          </w:p>
        </w:tc>
        <w:tc>
          <w:tcPr>
            <w:tcW w:w="1257" w:type="dxa"/>
          </w:tcPr>
          <w:p w14:paraId="42C63946">
            <w:pPr>
              <w:pStyle w:val="41"/>
              <w:spacing w:before="126" w:line="187" w:lineRule="auto"/>
              <w:ind w:left="529" w:firstLine="482"/>
              <w:rPr>
                <w:rFonts w:asciiTheme="minorEastAsia" w:hAnsiTheme="minorEastAsia" w:eastAsiaTheme="minorEastAsia" w:cstheme="minorEastAsia"/>
                <w:lang w:eastAsia="zh-CN"/>
              </w:rPr>
            </w:pPr>
          </w:p>
        </w:tc>
        <w:tc>
          <w:tcPr>
            <w:tcW w:w="2350" w:type="dxa"/>
          </w:tcPr>
          <w:p w14:paraId="2CF0924F">
            <w:pPr>
              <w:pStyle w:val="41"/>
              <w:spacing w:before="164" w:line="160" w:lineRule="auto"/>
              <w:ind w:left="1124" w:firstLine="482"/>
              <w:rPr>
                <w:rFonts w:asciiTheme="minorEastAsia" w:hAnsiTheme="minorEastAsia" w:eastAsiaTheme="minorEastAsia" w:cstheme="minorEastAsia"/>
                <w:lang w:eastAsia="zh-CN"/>
              </w:rPr>
            </w:pPr>
          </w:p>
        </w:tc>
      </w:tr>
      <w:tr w14:paraId="38B94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2800B32F">
            <w:pPr>
              <w:pStyle w:val="41"/>
              <w:spacing w:before="126" w:line="186" w:lineRule="auto"/>
              <w:ind w:firstLine="482"/>
              <w:jc w:val="center"/>
              <w:rPr>
                <w:rFonts w:asciiTheme="minorEastAsia" w:hAnsiTheme="minorEastAsia" w:eastAsiaTheme="minorEastAsia" w:cstheme="minorEastAsia"/>
                <w:lang w:eastAsia="zh-CN"/>
              </w:rPr>
            </w:pPr>
          </w:p>
        </w:tc>
        <w:tc>
          <w:tcPr>
            <w:tcW w:w="2159" w:type="dxa"/>
          </w:tcPr>
          <w:p w14:paraId="750DD40D">
            <w:pPr>
              <w:pStyle w:val="41"/>
              <w:spacing w:before="126" w:line="186" w:lineRule="auto"/>
              <w:ind w:left="652" w:firstLine="482"/>
              <w:rPr>
                <w:rFonts w:asciiTheme="minorEastAsia" w:hAnsiTheme="minorEastAsia" w:eastAsiaTheme="minorEastAsia" w:cstheme="minorEastAsia"/>
                <w:lang w:eastAsia="zh-CN"/>
              </w:rPr>
            </w:pPr>
          </w:p>
        </w:tc>
        <w:tc>
          <w:tcPr>
            <w:tcW w:w="1257" w:type="dxa"/>
          </w:tcPr>
          <w:p w14:paraId="6D150CFB">
            <w:pPr>
              <w:pStyle w:val="41"/>
              <w:spacing w:before="127" w:line="187" w:lineRule="auto"/>
              <w:ind w:left="529" w:firstLine="482"/>
              <w:rPr>
                <w:rFonts w:asciiTheme="minorEastAsia" w:hAnsiTheme="minorEastAsia" w:eastAsiaTheme="minorEastAsia" w:cstheme="minorEastAsia"/>
                <w:lang w:eastAsia="zh-CN"/>
              </w:rPr>
            </w:pPr>
          </w:p>
        </w:tc>
        <w:tc>
          <w:tcPr>
            <w:tcW w:w="2350" w:type="dxa"/>
          </w:tcPr>
          <w:p w14:paraId="79F4E315">
            <w:pPr>
              <w:pStyle w:val="41"/>
              <w:spacing w:before="165" w:line="160" w:lineRule="auto"/>
              <w:ind w:left="1124" w:firstLine="482"/>
              <w:rPr>
                <w:rFonts w:asciiTheme="minorEastAsia" w:hAnsiTheme="minorEastAsia" w:eastAsiaTheme="minorEastAsia" w:cstheme="minorEastAsia"/>
                <w:lang w:eastAsia="zh-CN"/>
              </w:rPr>
            </w:pPr>
          </w:p>
        </w:tc>
      </w:tr>
      <w:tr w14:paraId="7F597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572EB686">
            <w:pPr>
              <w:pStyle w:val="41"/>
              <w:spacing w:before="127" w:line="186" w:lineRule="auto"/>
              <w:ind w:firstLine="482"/>
              <w:jc w:val="center"/>
              <w:rPr>
                <w:rFonts w:asciiTheme="minorEastAsia" w:hAnsiTheme="minorEastAsia" w:eastAsiaTheme="minorEastAsia" w:cstheme="minorEastAsia"/>
                <w:lang w:eastAsia="zh-CN"/>
              </w:rPr>
            </w:pPr>
          </w:p>
        </w:tc>
        <w:tc>
          <w:tcPr>
            <w:tcW w:w="2159" w:type="dxa"/>
          </w:tcPr>
          <w:p w14:paraId="30C93505">
            <w:pPr>
              <w:pStyle w:val="41"/>
              <w:spacing w:before="164" w:line="160" w:lineRule="auto"/>
              <w:ind w:left="475" w:firstLine="482"/>
              <w:rPr>
                <w:rFonts w:asciiTheme="minorEastAsia" w:hAnsiTheme="minorEastAsia" w:eastAsiaTheme="minorEastAsia" w:cstheme="minorEastAsia"/>
                <w:lang w:eastAsia="zh-CN"/>
              </w:rPr>
            </w:pPr>
          </w:p>
        </w:tc>
        <w:tc>
          <w:tcPr>
            <w:tcW w:w="1257" w:type="dxa"/>
          </w:tcPr>
          <w:p w14:paraId="72F65209">
            <w:pPr>
              <w:pStyle w:val="41"/>
              <w:spacing w:before="127" w:line="187" w:lineRule="auto"/>
              <w:ind w:left="529" w:firstLine="482"/>
              <w:rPr>
                <w:rFonts w:asciiTheme="minorEastAsia" w:hAnsiTheme="minorEastAsia" w:eastAsiaTheme="minorEastAsia" w:cstheme="minorEastAsia"/>
                <w:lang w:eastAsia="zh-CN"/>
              </w:rPr>
            </w:pPr>
          </w:p>
        </w:tc>
        <w:tc>
          <w:tcPr>
            <w:tcW w:w="2350" w:type="dxa"/>
          </w:tcPr>
          <w:p w14:paraId="75184EAD">
            <w:pPr>
              <w:pStyle w:val="41"/>
              <w:spacing w:before="166" w:line="160" w:lineRule="auto"/>
              <w:ind w:left="1124" w:firstLine="482"/>
              <w:rPr>
                <w:rFonts w:asciiTheme="minorEastAsia" w:hAnsiTheme="minorEastAsia" w:eastAsiaTheme="minorEastAsia" w:cstheme="minorEastAsia"/>
                <w:lang w:eastAsia="zh-CN"/>
              </w:rPr>
            </w:pPr>
          </w:p>
        </w:tc>
      </w:tr>
      <w:tr w14:paraId="1B681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1A004C10">
            <w:pPr>
              <w:pStyle w:val="41"/>
              <w:spacing w:before="128" w:line="186" w:lineRule="auto"/>
              <w:ind w:firstLine="482"/>
              <w:jc w:val="center"/>
              <w:rPr>
                <w:rFonts w:asciiTheme="minorEastAsia" w:hAnsiTheme="minorEastAsia" w:eastAsiaTheme="minorEastAsia" w:cstheme="minorEastAsia"/>
                <w:lang w:eastAsia="zh-CN"/>
              </w:rPr>
            </w:pPr>
          </w:p>
        </w:tc>
        <w:tc>
          <w:tcPr>
            <w:tcW w:w="2159" w:type="dxa"/>
          </w:tcPr>
          <w:p w14:paraId="1B8C224F">
            <w:pPr>
              <w:pStyle w:val="41"/>
              <w:spacing w:before="167" w:line="159" w:lineRule="auto"/>
              <w:ind w:left="840" w:firstLine="482"/>
              <w:rPr>
                <w:rFonts w:asciiTheme="minorEastAsia" w:hAnsiTheme="minorEastAsia" w:eastAsiaTheme="minorEastAsia" w:cstheme="minorEastAsia"/>
                <w:lang w:eastAsia="zh-CN"/>
              </w:rPr>
            </w:pPr>
          </w:p>
        </w:tc>
        <w:tc>
          <w:tcPr>
            <w:tcW w:w="1257" w:type="dxa"/>
          </w:tcPr>
          <w:p w14:paraId="38F26724">
            <w:pPr>
              <w:pStyle w:val="41"/>
              <w:spacing w:before="128" w:line="187" w:lineRule="auto"/>
              <w:ind w:left="529" w:firstLine="482"/>
              <w:rPr>
                <w:rFonts w:asciiTheme="minorEastAsia" w:hAnsiTheme="minorEastAsia" w:eastAsiaTheme="minorEastAsia" w:cstheme="minorEastAsia"/>
                <w:lang w:eastAsia="zh-CN"/>
              </w:rPr>
            </w:pPr>
          </w:p>
        </w:tc>
        <w:tc>
          <w:tcPr>
            <w:tcW w:w="2350" w:type="dxa"/>
          </w:tcPr>
          <w:p w14:paraId="3671386F">
            <w:pPr>
              <w:pStyle w:val="41"/>
              <w:spacing w:before="169" w:line="158" w:lineRule="auto"/>
              <w:ind w:left="1125" w:firstLine="482"/>
              <w:rPr>
                <w:rFonts w:asciiTheme="minorEastAsia" w:hAnsiTheme="minorEastAsia" w:eastAsiaTheme="minorEastAsia" w:cstheme="minorEastAsia"/>
                <w:lang w:eastAsia="zh-CN"/>
              </w:rPr>
            </w:pPr>
          </w:p>
        </w:tc>
      </w:tr>
      <w:tr w14:paraId="440F8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1A7BDE8B">
            <w:pPr>
              <w:pStyle w:val="41"/>
              <w:spacing w:before="128" w:line="186" w:lineRule="auto"/>
              <w:ind w:firstLine="482"/>
              <w:jc w:val="center"/>
              <w:rPr>
                <w:rFonts w:asciiTheme="minorEastAsia" w:hAnsiTheme="minorEastAsia" w:eastAsiaTheme="minorEastAsia" w:cstheme="minorEastAsia"/>
                <w:lang w:eastAsia="zh-CN"/>
              </w:rPr>
            </w:pPr>
          </w:p>
        </w:tc>
        <w:tc>
          <w:tcPr>
            <w:tcW w:w="2159" w:type="dxa"/>
          </w:tcPr>
          <w:p w14:paraId="18777547">
            <w:pPr>
              <w:ind w:firstLine="482"/>
              <w:rPr>
                <w:rFonts w:asciiTheme="minorEastAsia" w:hAnsiTheme="minorEastAsia" w:eastAsiaTheme="minorEastAsia" w:cstheme="minorEastAsia"/>
                <w:sz w:val="24"/>
                <w:szCs w:val="24"/>
              </w:rPr>
            </w:pPr>
          </w:p>
        </w:tc>
        <w:tc>
          <w:tcPr>
            <w:tcW w:w="1257" w:type="dxa"/>
          </w:tcPr>
          <w:p w14:paraId="0D967EB3">
            <w:pPr>
              <w:pStyle w:val="41"/>
              <w:spacing w:before="129" w:line="187" w:lineRule="auto"/>
              <w:ind w:left="529" w:firstLine="482"/>
              <w:rPr>
                <w:rFonts w:asciiTheme="minorEastAsia" w:hAnsiTheme="minorEastAsia" w:eastAsiaTheme="minorEastAsia" w:cstheme="minorEastAsia"/>
                <w:lang w:eastAsia="zh-CN"/>
              </w:rPr>
            </w:pPr>
          </w:p>
        </w:tc>
        <w:tc>
          <w:tcPr>
            <w:tcW w:w="2350" w:type="dxa"/>
          </w:tcPr>
          <w:p w14:paraId="3868A74A">
            <w:pPr>
              <w:pStyle w:val="41"/>
              <w:spacing w:before="167" w:line="160" w:lineRule="auto"/>
              <w:ind w:left="1124" w:firstLine="482"/>
              <w:rPr>
                <w:rFonts w:asciiTheme="minorEastAsia" w:hAnsiTheme="minorEastAsia" w:eastAsiaTheme="minorEastAsia" w:cstheme="minorEastAsia"/>
                <w:lang w:eastAsia="zh-CN"/>
              </w:rPr>
            </w:pPr>
          </w:p>
        </w:tc>
      </w:tr>
      <w:tr w14:paraId="7DD90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554C339C">
            <w:pPr>
              <w:pStyle w:val="41"/>
              <w:spacing w:before="125" w:line="185" w:lineRule="auto"/>
              <w:ind w:firstLine="482"/>
              <w:jc w:val="center"/>
              <w:rPr>
                <w:rFonts w:asciiTheme="minorEastAsia" w:hAnsiTheme="minorEastAsia" w:eastAsiaTheme="minorEastAsia" w:cstheme="minorEastAsia"/>
                <w:lang w:eastAsia="zh-CN"/>
              </w:rPr>
            </w:pPr>
          </w:p>
        </w:tc>
        <w:tc>
          <w:tcPr>
            <w:tcW w:w="2159" w:type="dxa"/>
          </w:tcPr>
          <w:p w14:paraId="2C40B28E">
            <w:pPr>
              <w:ind w:firstLine="482"/>
              <w:rPr>
                <w:rFonts w:asciiTheme="minorEastAsia" w:hAnsiTheme="minorEastAsia" w:eastAsiaTheme="minorEastAsia" w:cstheme="minorEastAsia"/>
                <w:sz w:val="24"/>
                <w:szCs w:val="24"/>
              </w:rPr>
            </w:pPr>
          </w:p>
        </w:tc>
        <w:tc>
          <w:tcPr>
            <w:tcW w:w="1257" w:type="dxa"/>
          </w:tcPr>
          <w:p w14:paraId="0EC86785">
            <w:pPr>
              <w:pStyle w:val="41"/>
              <w:spacing w:before="125" w:line="186" w:lineRule="auto"/>
              <w:ind w:left="509" w:firstLine="482"/>
              <w:rPr>
                <w:rFonts w:asciiTheme="minorEastAsia" w:hAnsiTheme="minorEastAsia" w:eastAsiaTheme="minorEastAsia" w:cstheme="minorEastAsia"/>
                <w:lang w:eastAsia="zh-CN"/>
              </w:rPr>
            </w:pPr>
          </w:p>
        </w:tc>
        <w:tc>
          <w:tcPr>
            <w:tcW w:w="2350" w:type="dxa"/>
          </w:tcPr>
          <w:p w14:paraId="74CE4389">
            <w:pPr>
              <w:pStyle w:val="41"/>
              <w:spacing w:before="165" w:line="158" w:lineRule="auto"/>
              <w:ind w:left="1125" w:firstLine="482"/>
              <w:rPr>
                <w:rFonts w:asciiTheme="minorEastAsia" w:hAnsiTheme="minorEastAsia" w:eastAsiaTheme="minorEastAsia" w:cstheme="minorEastAsia"/>
                <w:lang w:eastAsia="zh-CN"/>
              </w:rPr>
            </w:pPr>
          </w:p>
        </w:tc>
      </w:tr>
      <w:tr w14:paraId="1D05C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7F9C1FAE">
            <w:pPr>
              <w:pStyle w:val="41"/>
              <w:spacing w:before="125" w:line="186" w:lineRule="auto"/>
              <w:ind w:left="1069" w:firstLine="482"/>
              <w:rPr>
                <w:rFonts w:asciiTheme="minorEastAsia" w:hAnsiTheme="minorEastAsia" w:eastAsiaTheme="minorEastAsia" w:cstheme="minorEastAsia"/>
                <w:lang w:eastAsia="zh-CN"/>
              </w:rPr>
            </w:pPr>
          </w:p>
        </w:tc>
        <w:tc>
          <w:tcPr>
            <w:tcW w:w="2159" w:type="dxa"/>
          </w:tcPr>
          <w:p w14:paraId="0DDD0BF0">
            <w:pPr>
              <w:ind w:firstLine="482"/>
              <w:rPr>
                <w:rFonts w:asciiTheme="minorEastAsia" w:hAnsiTheme="minorEastAsia" w:eastAsiaTheme="minorEastAsia" w:cstheme="minorEastAsia"/>
                <w:sz w:val="24"/>
                <w:szCs w:val="24"/>
              </w:rPr>
            </w:pPr>
          </w:p>
        </w:tc>
        <w:tc>
          <w:tcPr>
            <w:tcW w:w="1257" w:type="dxa"/>
          </w:tcPr>
          <w:p w14:paraId="6DF1D16B">
            <w:pPr>
              <w:pStyle w:val="41"/>
              <w:spacing w:before="125" w:line="186" w:lineRule="auto"/>
              <w:ind w:left="511" w:firstLine="482"/>
              <w:rPr>
                <w:rFonts w:asciiTheme="minorEastAsia" w:hAnsiTheme="minorEastAsia" w:eastAsiaTheme="minorEastAsia" w:cstheme="minorEastAsia"/>
                <w:lang w:eastAsia="zh-CN"/>
              </w:rPr>
            </w:pPr>
          </w:p>
        </w:tc>
        <w:tc>
          <w:tcPr>
            <w:tcW w:w="2350" w:type="dxa"/>
          </w:tcPr>
          <w:p w14:paraId="283753D6">
            <w:pPr>
              <w:pStyle w:val="41"/>
              <w:spacing w:before="162" w:line="161" w:lineRule="auto"/>
              <w:ind w:left="1138" w:firstLine="482"/>
              <w:rPr>
                <w:rFonts w:asciiTheme="minorEastAsia" w:hAnsiTheme="minorEastAsia" w:eastAsiaTheme="minorEastAsia" w:cstheme="minorEastAsia"/>
                <w:lang w:eastAsia="zh-CN"/>
              </w:rPr>
            </w:pPr>
          </w:p>
        </w:tc>
      </w:tr>
      <w:tr w14:paraId="3DBA4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11C7BE18">
            <w:pPr>
              <w:pStyle w:val="41"/>
              <w:spacing w:before="125" w:line="186" w:lineRule="auto"/>
              <w:ind w:left="1069" w:firstLine="482"/>
              <w:rPr>
                <w:rFonts w:asciiTheme="minorEastAsia" w:hAnsiTheme="minorEastAsia" w:eastAsiaTheme="minorEastAsia" w:cstheme="minorEastAsia"/>
                <w:lang w:eastAsia="zh-CN"/>
              </w:rPr>
            </w:pPr>
          </w:p>
        </w:tc>
        <w:tc>
          <w:tcPr>
            <w:tcW w:w="2159" w:type="dxa"/>
          </w:tcPr>
          <w:p w14:paraId="1CE5D925">
            <w:pPr>
              <w:ind w:firstLine="482"/>
              <w:jc w:val="center"/>
              <w:rPr>
                <w:rFonts w:asciiTheme="minorEastAsia" w:hAnsiTheme="minorEastAsia" w:eastAsiaTheme="minorEastAsia" w:cstheme="minorEastAsia"/>
                <w:sz w:val="24"/>
                <w:szCs w:val="24"/>
              </w:rPr>
            </w:pPr>
          </w:p>
        </w:tc>
        <w:tc>
          <w:tcPr>
            <w:tcW w:w="1257" w:type="dxa"/>
          </w:tcPr>
          <w:p w14:paraId="264BCAEC">
            <w:pPr>
              <w:pStyle w:val="41"/>
              <w:spacing w:before="125" w:line="186" w:lineRule="auto"/>
              <w:ind w:left="511" w:firstLine="482"/>
              <w:rPr>
                <w:rFonts w:asciiTheme="minorEastAsia" w:hAnsiTheme="minorEastAsia" w:eastAsiaTheme="minorEastAsia" w:cstheme="minorEastAsia"/>
                <w:lang w:eastAsia="zh-CN"/>
              </w:rPr>
            </w:pPr>
          </w:p>
        </w:tc>
        <w:tc>
          <w:tcPr>
            <w:tcW w:w="2350" w:type="dxa"/>
          </w:tcPr>
          <w:p w14:paraId="2ADB6406">
            <w:pPr>
              <w:pStyle w:val="41"/>
              <w:spacing w:before="162" w:line="161" w:lineRule="auto"/>
              <w:ind w:left="1138" w:firstLine="482"/>
              <w:rPr>
                <w:rFonts w:asciiTheme="minorEastAsia" w:hAnsiTheme="minorEastAsia" w:eastAsiaTheme="minorEastAsia" w:cstheme="minorEastAsia"/>
                <w:lang w:eastAsia="zh-CN"/>
              </w:rPr>
            </w:pPr>
          </w:p>
        </w:tc>
      </w:tr>
      <w:tr w14:paraId="609F6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383F2967">
            <w:pPr>
              <w:pStyle w:val="41"/>
              <w:spacing w:before="125" w:line="186" w:lineRule="auto"/>
              <w:ind w:firstLine="482"/>
              <w:jc w:val="center"/>
              <w:rPr>
                <w:rFonts w:asciiTheme="minorEastAsia" w:hAnsiTheme="minorEastAsia" w:eastAsiaTheme="minorEastAsia" w:cstheme="minorEastAsia"/>
                <w:lang w:eastAsia="zh-CN"/>
              </w:rPr>
            </w:pPr>
          </w:p>
        </w:tc>
        <w:tc>
          <w:tcPr>
            <w:tcW w:w="2159" w:type="dxa"/>
          </w:tcPr>
          <w:p w14:paraId="4A436DA3">
            <w:pPr>
              <w:ind w:firstLine="482"/>
              <w:jc w:val="center"/>
              <w:rPr>
                <w:rFonts w:asciiTheme="minorEastAsia" w:hAnsiTheme="minorEastAsia" w:eastAsiaTheme="minorEastAsia" w:cstheme="minorEastAsia"/>
                <w:sz w:val="24"/>
                <w:szCs w:val="24"/>
              </w:rPr>
            </w:pPr>
          </w:p>
        </w:tc>
        <w:tc>
          <w:tcPr>
            <w:tcW w:w="1257" w:type="dxa"/>
          </w:tcPr>
          <w:p w14:paraId="4A1CFF8A">
            <w:pPr>
              <w:pStyle w:val="41"/>
              <w:spacing w:before="125" w:line="186" w:lineRule="auto"/>
              <w:ind w:left="511" w:firstLine="482"/>
              <w:rPr>
                <w:rFonts w:asciiTheme="minorEastAsia" w:hAnsiTheme="minorEastAsia" w:eastAsiaTheme="minorEastAsia" w:cstheme="minorEastAsia"/>
                <w:lang w:eastAsia="zh-CN"/>
              </w:rPr>
            </w:pPr>
          </w:p>
        </w:tc>
        <w:tc>
          <w:tcPr>
            <w:tcW w:w="2350" w:type="dxa"/>
          </w:tcPr>
          <w:p w14:paraId="0F305114">
            <w:pPr>
              <w:pStyle w:val="41"/>
              <w:spacing w:before="162" w:line="161" w:lineRule="auto"/>
              <w:ind w:left="1138" w:firstLine="482"/>
              <w:rPr>
                <w:rFonts w:asciiTheme="minorEastAsia" w:hAnsiTheme="minorEastAsia" w:eastAsiaTheme="minorEastAsia" w:cstheme="minorEastAsia"/>
                <w:lang w:eastAsia="zh-CN"/>
              </w:rPr>
            </w:pPr>
          </w:p>
        </w:tc>
      </w:tr>
      <w:tr w14:paraId="21B6A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592AE544">
            <w:pPr>
              <w:pStyle w:val="41"/>
              <w:spacing w:before="126" w:line="184" w:lineRule="auto"/>
              <w:ind w:firstLine="482"/>
              <w:jc w:val="center"/>
              <w:rPr>
                <w:rFonts w:asciiTheme="minorEastAsia" w:hAnsiTheme="minorEastAsia" w:eastAsiaTheme="minorEastAsia" w:cstheme="minorEastAsia"/>
                <w:lang w:eastAsia="zh-CN"/>
              </w:rPr>
            </w:pPr>
          </w:p>
        </w:tc>
        <w:tc>
          <w:tcPr>
            <w:tcW w:w="2159" w:type="dxa"/>
          </w:tcPr>
          <w:p w14:paraId="5DE1C838">
            <w:pPr>
              <w:ind w:firstLine="482"/>
              <w:jc w:val="center"/>
              <w:rPr>
                <w:rFonts w:asciiTheme="minorEastAsia" w:hAnsiTheme="minorEastAsia" w:eastAsiaTheme="minorEastAsia" w:cstheme="minorEastAsia"/>
                <w:sz w:val="24"/>
                <w:szCs w:val="24"/>
              </w:rPr>
            </w:pPr>
          </w:p>
        </w:tc>
        <w:tc>
          <w:tcPr>
            <w:tcW w:w="1257" w:type="dxa"/>
          </w:tcPr>
          <w:p w14:paraId="5B03AD86">
            <w:pPr>
              <w:pStyle w:val="41"/>
              <w:spacing w:before="126" w:line="188" w:lineRule="auto"/>
              <w:ind w:left="510" w:firstLine="482"/>
              <w:rPr>
                <w:rFonts w:asciiTheme="minorEastAsia" w:hAnsiTheme="minorEastAsia" w:eastAsiaTheme="minorEastAsia" w:cstheme="minorEastAsia"/>
                <w:lang w:eastAsia="zh-CN"/>
              </w:rPr>
            </w:pPr>
          </w:p>
        </w:tc>
        <w:tc>
          <w:tcPr>
            <w:tcW w:w="2350" w:type="dxa"/>
          </w:tcPr>
          <w:p w14:paraId="7B0CC9B4">
            <w:pPr>
              <w:pStyle w:val="41"/>
              <w:spacing w:before="163" w:line="160" w:lineRule="auto"/>
              <w:ind w:left="1124" w:firstLine="482"/>
              <w:rPr>
                <w:rFonts w:asciiTheme="minorEastAsia" w:hAnsiTheme="minorEastAsia" w:eastAsiaTheme="minorEastAsia" w:cstheme="minorEastAsia"/>
                <w:lang w:eastAsia="zh-CN"/>
              </w:rPr>
            </w:pPr>
          </w:p>
        </w:tc>
      </w:tr>
      <w:tr w14:paraId="2B33B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5F99AF31">
            <w:pPr>
              <w:pStyle w:val="41"/>
              <w:spacing w:before="125" w:line="181" w:lineRule="auto"/>
              <w:ind w:firstLine="482"/>
              <w:jc w:val="center"/>
              <w:rPr>
                <w:rFonts w:asciiTheme="minorEastAsia" w:hAnsiTheme="minorEastAsia" w:eastAsiaTheme="minorEastAsia" w:cstheme="minorEastAsia"/>
                <w:lang w:eastAsia="zh-CN"/>
              </w:rPr>
            </w:pPr>
          </w:p>
        </w:tc>
        <w:tc>
          <w:tcPr>
            <w:tcW w:w="2159" w:type="dxa"/>
          </w:tcPr>
          <w:p w14:paraId="0B0F4C1A">
            <w:pPr>
              <w:ind w:firstLine="482"/>
              <w:jc w:val="center"/>
              <w:rPr>
                <w:rFonts w:asciiTheme="minorEastAsia" w:hAnsiTheme="minorEastAsia" w:eastAsiaTheme="minorEastAsia" w:cstheme="minorEastAsia"/>
                <w:sz w:val="24"/>
                <w:szCs w:val="24"/>
              </w:rPr>
            </w:pPr>
          </w:p>
        </w:tc>
        <w:tc>
          <w:tcPr>
            <w:tcW w:w="1257" w:type="dxa"/>
          </w:tcPr>
          <w:p w14:paraId="0896DD88">
            <w:pPr>
              <w:pStyle w:val="41"/>
              <w:spacing w:before="125" w:line="187" w:lineRule="auto"/>
              <w:ind w:left="529" w:firstLine="482"/>
              <w:rPr>
                <w:rFonts w:asciiTheme="minorEastAsia" w:hAnsiTheme="minorEastAsia" w:eastAsiaTheme="minorEastAsia" w:cstheme="minorEastAsia"/>
                <w:lang w:eastAsia="zh-CN"/>
              </w:rPr>
            </w:pPr>
          </w:p>
        </w:tc>
        <w:tc>
          <w:tcPr>
            <w:tcW w:w="2350" w:type="dxa"/>
          </w:tcPr>
          <w:p w14:paraId="43B52AA3">
            <w:pPr>
              <w:pStyle w:val="41"/>
              <w:spacing w:before="163" w:line="160" w:lineRule="auto"/>
              <w:ind w:left="1124" w:firstLine="482"/>
              <w:rPr>
                <w:rFonts w:asciiTheme="minorEastAsia" w:hAnsiTheme="minorEastAsia" w:eastAsiaTheme="minorEastAsia" w:cstheme="minorEastAsia"/>
                <w:lang w:eastAsia="zh-CN"/>
              </w:rPr>
            </w:pPr>
          </w:p>
        </w:tc>
      </w:tr>
      <w:tr w14:paraId="7478A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680EDA33">
            <w:pPr>
              <w:pStyle w:val="41"/>
              <w:spacing w:before="126" w:line="184" w:lineRule="auto"/>
              <w:ind w:firstLine="482"/>
              <w:jc w:val="center"/>
              <w:rPr>
                <w:rFonts w:asciiTheme="minorEastAsia" w:hAnsiTheme="minorEastAsia" w:eastAsiaTheme="minorEastAsia" w:cstheme="minorEastAsia"/>
                <w:lang w:eastAsia="zh-CN"/>
              </w:rPr>
            </w:pPr>
          </w:p>
        </w:tc>
        <w:tc>
          <w:tcPr>
            <w:tcW w:w="2159" w:type="dxa"/>
          </w:tcPr>
          <w:p w14:paraId="6E4B2B6C">
            <w:pPr>
              <w:ind w:firstLine="482"/>
              <w:jc w:val="center"/>
              <w:rPr>
                <w:rFonts w:asciiTheme="minorEastAsia" w:hAnsiTheme="minorEastAsia" w:eastAsiaTheme="minorEastAsia" w:cstheme="minorEastAsia"/>
                <w:sz w:val="24"/>
                <w:szCs w:val="24"/>
              </w:rPr>
            </w:pPr>
          </w:p>
        </w:tc>
        <w:tc>
          <w:tcPr>
            <w:tcW w:w="1257" w:type="dxa"/>
          </w:tcPr>
          <w:p w14:paraId="35F98BB5">
            <w:pPr>
              <w:pStyle w:val="41"/>
              <w:spacing w:before="125" w:line="187" w:lineRule="auto"/>
              <w:ind w:left="529" w:firstLine="482"/>
              <w:rPr>
                <w:rFonts w:asciiTheme="minorEastAsia" w:hAnsiTheme="minorEastAsia" w:eastAsiaTheme="minorEastAsia" w:cstheme="minorEastAsia"/>
                <w:lang w:eastAsia="zh-CN"/>
              </w:rPr>
            </w:pPr>
          </w:p>
        </w:tc>
        <w:tc>
          <w:tcPr>
            <w:tcW w:w="2350" w:type="dxa"/>
          </w:tcPr>
          <w:p w14:paraId="67B469FB">
            <w:pPr>
              <w:pStyle w:val="41"/>
              <w:spacing w:before="163" w:line="160" w:lineRule="auto"/>
              <w:ind w:firstLine="482"/>
              <w:jc w:val="center"/>
              <w:rPr>
                <w:rFonts w:asciiTheme="minorEastAsia" w:hAnsiTheme="minorEastAsia" w:eastAsiaTheme="minorEastAsia" w:cstheme="minorEastAsia"/>
                <w:lang w:eastAsia="zh-CN"/>
              </w:rPr>
            </w:pPr>
          </w:p>
        </w:tc>
      </w:tr>
      <w:tr w14:paraId="17A0C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5270808E">
            <w:pPr>
              <w:pStyle w:val="41"/>
              <w:spacing w:before="124" w:line="186" w:lineRule="auto"/>
              <w:ind w:firstLine="482"/>
              <w:jc w:val="center"/>
              <w:rPr>
                <w:rFonts w:asciiTheme="minorEastAsia" w:hAnsiTheme="minorEastAsia" w:eastAsiaTheme="minorEastAsia" w:cstheme="minorEastAsia"/>
                <w:lang w:eastAsia="zh-CN"/>
              </w:rPr>
            </w:pPr>
          </w:p>
        </w:tc>
        <w:tc>
          <w:tcPr>
            <w:tcW w:w="2159" w:type="dxa"/>
          </w:tcPr>
          <w:p w14:paraId="6AA69E08">
            <w:pPr>
              <w:ind w:firstLine="482"/>
              <w:jc w:val="center"/>
              <w:rPr>
                <w:rFonts w:asciiTheme="minorEastAsia" w:hAnsiTheme="minorEastAsia" w:eastAsiaTheme="minorEastAsia" w:cstheme="minorEastAsia"/>
                <w:sz w:val="24"/>
                <w:szCs w:val="24"/>
              </w:rPr>
            </w:pPr>
          </w:p>
        </w:tc>
        <w:tc>
          <w:tcPr>
            <w:tcW w:w="1257" w:type="dxa"/>
          </w:tcPr>
          <w:p w14:paraId="104289F8">
            <w:pPr>
              <w:pStyle w:val="41"/>
              <w:spacing w:before="125" w:line="187" w:lineRule="auto"/>
              <w:ind w:left="529" w:firstLine="482"/>
              <w:rPr>
                <w:rFonts w:asciiTheme="minorEastAsia" w:hAnsiTheme="minorEastAsia" w:eastAsiaTheme="minorEastAsia" w:cstheme="minorEastAsia"/>
                <w:lang w:eastAsia="zh-CN"/>
              </w:rPr>
            </w:pPr>
          </w:p>
        </w:tc>
        <w:tc>
          <w:tcPr>
            <w:tcW w:w="2350" w:type="dxa"/>
          </w:tcPr>
          <w:p w14:paraId="482D9FA0">
            <w:pPr>
              <w:pStyle w:val="41"/>
              <w:spacing w:before="163" w:line="160" w:lineRule="auto"/>
              <w:ind w:left="1124" w:firstLine="482"/>
              <w:rPr>
                <w:rFonts w:asciiTheme="minorEastAsia" w:hAnsiTheme="minorEastAsia" w:eastAsiaTheme="minorEastAsia" w:cstheme="minorEastAsia"/>
                <w:lang w:eastAsia="zh-CN"/>
              </w:rPr>
            </w:pPr>
          </w:p>
        </w:tc>
      </w:tr>
      <w:tr w14:paraId="7514E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58CC9824">
            <w:pPr>
              <w:pStyle w:val="41"/>
              <w:spacing w:before="125" w:line="185" w:lineRule="auto"/>
              <w:ind w:firstLine="482"/>
              <w:jc w:val="center"/>
              <w:rPr>
                <w:rFonts w:asciiTheme="minorEastAsia" w:hAnsiTheme="minorEastAsia" w:eastAsiaTheme="minorEastAsia" w:cstheme="minorEastAsia"/>
                <w:lang w:eastAsia="zh-CN"/>
              </w:rPr>
            </w:pPr>
          </w:p>
        </w:tc>
        <w:tc>
          <w:tcPr>
            <w:tcW w:w="2159" w:type="dxa"/>
          </w:tcPr>
          <w:p w14:paraId="795C345A">
            <w:pPr>
              <w:ind w:firstLine="482"/>
              <w:jc w:val="center"/>
              <w:rPr>
                <w:rFonts w:asciiTheme="minorEastAsia" w:hAnsiTheme="minorEastAsia" w:eastAsiaTheme="minorEastAsia" w:cstheme="minorEastAsia"/>
                <w:sz w:val="24"/>
                <w:szCs w:val="24"/>
              </w:rPr>
            </w:pPr>
          </w:p>
        </w:tc>
        <w:tc>
          <w:tcPr>
            <w:tcW w:w="1257" w:type="dxa"/>
          </w:tcPr>
          <w:p w14:paraId="5C8C218E">
            <w:pPr>
              <w:pStyle w:val="41"/>
              <w:spacing w:before="124" w:line="186" w:lineRule="auto"/>
              <w:ind w:left="511" w:firstLine="482"/>
              <w:rPr>
                <w:rFonts w:asciiTheme="minorEastAsia" w:hAnsiTheme="minorEastAsia" w:eastAsiaTheme="minorEastAsia" w:cstheme="minorEastAsia"/>
                <w:lang w:eastAsia="zh-CN"/>
              </w:rPr>
            </w:pPr>
          </w:p>
        </w:tc>
        <w:tc>
          <w:tcPr>
            <w:tcW w:w="2350" w:type="dxa"/>
          </w:tcPr>
          <w:p w14:paraId="15CC6C8C">
            <w:pPr>
              <w:pStyle w:val="41"/>
              <w:spacing w:before="163" w:line="160" w:lineRule="auto"/>
              <w:ind w:left="1124" w:firstLine="482"/>
              <w:rPr>
                <w:rFonts w:asciiTheme="minorEastAsia" w:hAnsiTheme="minorEastAsia" w:eastAsiaTheme="minorEastAsia" w:cstheme="minorEastAsia"/>
                <w:lang w:eastAsia="zh-CN"/>
              </w:rPr>
            </w:pPr>
          </w:p>
        </w:tc>
      </w:tr>
      <w:tr w14:paraId="050E9E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4A7D6BC3">
            <w:pPr>
              <w:pStyle w:val="41"/>
              <w:spacing w:before="125" w:line="185" w:lineRule="auto"/>
              <w:ind w:firstLine="482"/>
              <w:jc w:val="center"/>
              <w:rPr>
                <w:rFonts w:asciiTheme="minorEastAsia" w:hAnsiTheme="minorEastAsia" w:eastAsiaTheme="minorEastAsia" w:cstheme="minorEastAsia"/>
                <w:lang w:eastAsia="zh-CN"/>
              </w:rPr>
            </w:pPr>
          </w:p>
        </w:tc>
        <w:tc>
          <w:tcPr>
            <w:tcW w:w="2159" w:type="dxa"/>
          </w:tcPr>
          <w:p w14:paraId="522E6321">
            <w:pPr>
              <w:ind w:firstLine="482"/>
              <w:rPr>
                <w:rFonts w:asciiTheme="minorEastAsia" w:hAnsiTheme="minorEastAsia" w:eastAsiaTheme="minorEastAsia" w:cstheme="minorEastAsia"/>
                <w:sz w:val="24"/>
                <w:szCs w:val="24"/>
              </w:rPr>
            </w:pPr>
          </w:p>
        </w:tc>
        <w:tc>
          <w:tcPr>
            <w:tcW w:w="1257" w:type="dxa"/>
          </w:tcPr>
          <w:p w14:paraId="2AEB8EBA">
            <w:pPr>
              <w:pStyle w:val="41"/>
              <w:spacing w:before="124" w:line="186" w:lineRule="auto"/>
              <w:ind w:left="511" w:firstLine="482"/>
              <w:rPr>
                <w:rFonts w:asciiTheme="minorEastAsia" w:hAnsiTheme="minorEastAsia" w:eastAsiaTheme="minorEastAsia" w:cstheme="minorEastAsia"/>
                <w:lang w:eastAsia="zh-CN"/>
              </w:rPr>
            </w:pPr>
          </w:p>
        </w:tc>
        <w:tc>
          <w:tcPr>
            <w:tcW w:w="2350" w:type="dxa"/>
          </w:tcPr>
          <w:p w14:paraId="03E22286">
            <w:pPr>
              <w:pStyle w:val="41"/>
              <w:spacing w:before="163" w:line="160" w:lineRule="auto"/>
              <w:ind w:left="1124" w:firstLine="482"/>
              <w:rPr>
                <w:rFonts w:asciiTheme="minorEastAsia" w:hAnsiTheme="minorEastAsia" w:eastAsiaTheme="minorEastAsia" w:cstheme="minorEastAsia"/>
                <w:lang w:eastAsia="zh-CN"/>
              </w:rPr>
            </w:pPr>
          </w:p>
        </w:tc>
      </w:tr>
      <w:tr w14:paraId="58C99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1C63D913">
            <w:pPr>
              <w:pStyle w:val="41"/>
              <w:spacing w:before="125" w:line="185" w:lineRule="auto"/>
              <w:ind w:firstLine="482"/>
              <w:jc w:val="center"/>
              <w:rPr>
                <w:rFonts w:asciiTheme="minorEastAsia" w:hAnsiTheme="minorEastAsia" w:eastAsiaTheme="minorEastAsia" w:cstheme="minorEastAsia"/>
                <w:lang w:eastAsia="zh-CN"/>
              </w:rPr>
            </w:pPr>
          </w:p>
        </w:tc>
        <w:tc>
          <w:tcPr>
            <w:tcW w:w="2159" w:type="dxa"/>
          </w:tcPr>
          <w:p w14:paraId="29F5A385">
            <w:pPr>
              <w:ind w:firstLine="482"/>
              <w:rPr>
                <w:rFonts w:asciiTheme="minorEastAsia" w:hAnsiTheme="minorEastAsia" w:eastAsiaTheme="minorEastAsia" w:cstheme="minorEastAsia"/>
                <w:sz w:val="24"/>
                <w:szCs w:val="24"/>
              </w:rPr>
            </w:pPr>
          </w:p>
        </w:tc>
        <w:tc>
          <w:tcPr>
            <w:tcW w:w="1257" w:type="dxa"/>
          </w:tcPr>
          <w:p w14:paraId="38D43FF8">
            <w:pPr>
              <w:pStyle w:val="41"/>
              <w:spacing w:before="124" w:line="186" w:lineRule="auto"/>
              <w:ind w:left="511" w:firstLine="482"/>
              <w:rPr>
                <w:rFonts w:asciiTheme="minorEastAsia" w:hAnsiTheme="minorEastAsia" w:eastAsiaTheme="minorEastAsia" w:cstheme="minorEastAsia"/>
                <w:lang w:eastAsia="zh-CN"/>
              </w:rPr>
            </w:pPr>
          </w:p>
        </w:tc>
        <w:tc>
          <w:tcPr>
            <w:tcW w:w="2350" w:type="dxa"/>
          </w:tcPr>
          <w:p w14:paraId="35A28832">
            <w:pPr>
              <w:pStyle w:val="41"/>
              <w:spacing w:before="163" w:line="160" w:lineRule="auto"/>
              <w:ind w:left="1124" w:firstLine="482"/>
              <w:rPr>
                <w:rFonts w:asciiTheme="minorEastAsia" w:hAnsiTheme="minorEastAsia" w:eastAsiaTheme="minorEastAsia" w:cstheme="minorEastAsia"/>
                <w:lang w:eastAsia="zh-CN"/>
              </w:rPr>
            </w:pPr>
          </w:p>
        </w:tc>
      </w:tr>
      <w:tr w14:paraId="1435B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459BE036">
            <w:pPr>
              <w:pStyle w:val="41"/>
              <w:spacing w:before="125" w:line="185" w:lineRule="auto"/>
              <w:ind w:firstLine="482"/>
              <w:jc w:val="center"/>
              <w:rPr>
                <w:rFonts w:asciiTheme="minorEastAsia" w:hAnsiTheme="minorEastAsia" w:eastAsiaTheme="minorEastAsia" w:cstheme="minorEastAsia"/>
                <w:lang w:eastAsia="zh-CN"/>
              </w:rPr>
            </w:pPr>
          </w:p>
        </w:tc>
        <w:tc>
          <w:tcPr>
            <w:tcW w:w="2159" w:type="dxa"/>
          </w:tcPr>
          <w:p w14:paraId="43832006">
            <w:pPr>
              <w:ind w:firstLine="482"/>
              <w:rPr>
                <w:rFonts w:asciiTheme="minorEastAsia" w:hAnsiTheme="minorEastAsia" w:eastAsiaTheme="minorEastAsia" w:cstheme="minorEastAsia"/>
                <w:sz w:val="24"/>
                <w:szCs w:val="24"/>
              </w:rPr>
            </w:pPr>
          </w:p>
        </w:tc>
        <w:tc>
          <w:tcPr>
            <w:tcW w:w="1257" w:type="dxa"/>
          </w:tcPr>
          <w:p w14:paraId="66EDE1B8">
            <w:pPr>
              <w:pStyle w:val="41"/>
              <w:spacing w:before="124" w:line="186" w:lineRule="auto"/>
              <w:ind w:left="511" w:firstLine="482"/>
              <w:rPr>
                <w:rFonts w:asciiTheme="minorEastAsia" w:hAnsiTheme="minorEastAsia" w:eastAsiaTheme="minorEastAsia" w:cstheme="minorEastAsia"/>
                <w:lang w:eastAsia="zh-CN"/>
              </w:rPr>
            </w:pPr>
          </w:p>
        </w:tc>
        <w:tc>
          <w:tcPr>
            <w:tcW w:w="2350" w:type="dxa"/>
          </w:tcPr>
          <w:p w14:paraId="03959111">
            <w:pPr>
              <w:pStyle w:val="41"/>
              <w:spacing w:before="163" w:line="160" w:lineRule="auto"/>
              <w:ind w:left="1124" w:firstLine="482"/>
              <w:rPr>
                <w:rFonts w:asciiTheme="minorEastAsia" w:hAnsiTheme="minorEastAsia" w:eastAsiaTheme="minorEastAsia" w:cstheme="minorEastAsia"/>
                <w:lang w:eastAsia="zh-CN"/>
              </w:rPr>
            </w:pPr>
          </w:p>
        </w:tc>
      </w:tr>
      <w:tr w14:paraId="0184F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204FA352">
            <w:pPr>
              <w:pStyle w:val="41"/>
              <w:spacing w:before="125" w:line="185" w:lineRule="auto"/>
              <w:ind w:firstLine="482"/>
              <w:jc w:val="center"/>
              <w:rPr>
                <w:rFonts w:asciiTheme="minorEastAsia" w:hAnsiTheme="minorEastAsia" w:eastAsiaTheme="minorEastAsia" w:cstheme="minorEastAsia"/>
                <w:lang w:eastAsia="zh-CN"/>
              </w:rPr>
            </w:pPr>
          </w:p>
        </w:tc>
        <w:tc>
          <w:tcPr>
            <w:tcW w:w="2159" w:type="dxa"/>
          </w:tcPr>
          <w:p w14:paraId="75DAD5EC">
            <w:pPr>
              <w:ind w:firstLine="482"/>
              <w:rPr>
                <w:rFonts w:asciiTheme="minorEastAsia" w:hAnsiTheme="minorEastAsia" w:eastAsiaTheme="minorEastAsia" w:cstheme="minorEastAsia"/>
                <w:sz w:val="24"/>
                <w:szCs w:val="24"/>
              </w:rPr>
            </w:pPr>
          </w:p>
        </w:tc>
        <w:tc>
          <w:tcPr>
            <w:tcW w:w="1257" w:type="dxa"/>
          </w:tcPr>
          <w:p w14:paraId="3E95A2E3">
            <w:pPr>
              <w:pStyle w:val="41"/>
              <w:spacing w:before="124" w:line="186" w:lineRule="auto"/>
              <w:ind w:left="511" w:firstLine="482"/>
              <w:rPr>
                <w:rFonts w:asciiTheme="minorEastAsia" w:hAnsiTheme="minorEastAsia" w:eastAsiaTheme="minorEastAsia" w:cstheme="minorEastAsia"/>
                <w:lang w:eastAsia="zh-CN"/>
              </w:rPr>
            </w:pPr>
          </w:p>
        </w:tc>
        <w:tc>
          <w:tcPr>
            <w:tcW w:w="2350" w:type="dxa"/>
          </w:tcPr>
          <w:p w14:paraId="18981203">
            <w:pPr>
              <w:pStyle w:val="41"/>
              <w:spacing w:before="163" w:line="160" w:lineRule="auto"/>
              <w:ind w:left="1124" w:firstLine="482"/>
              <w:rPr>
                <w:rFonts w:asciiTheme="minorEastAsia" w:hAnsiTheme="minorEastAsia" w:eastAsiaTheme="minorEastAsia" w:cstheme="minorEastAsia"/>
                <w:lang w:eastAsia="zh-CN"/>
              </w:rPr>
            </w:pPr>
          </w:p>
        </w:tc>
      </w:tr>
      <w:tr w14:paraId="12D8C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0CB64006">
            <w:pPr>
              <w:pStyle w:val="41"/>
              <w:spacing w:before="125" w:line="185" w:lineRule="auto"/>
              <w:ind w:firstLine="482"/>
              <w:jc w:val="center"/>
              <w:rPr>
                <w:rFonts w:asciiTheme="minorEastAsia" w:hAnsiTheme="minorEastAsia" w:eastAsiaTheme="minorEastAsia" w:cstheme="minorEastAsia"/>
                <w:lang w:eastAsia="zh-CN"/>
              </w:rPr>
            </w:pPr>
          </w:p>
        </w:tc>
        <w:tc>
          <w:tcPr>
            <w:tcW w:w="2159" w:type="dxa"/>
          </w:tcPr>
          <w:p w14:paraId="446CDBC9">
            <w:pPr>
              <w:ind w:firstLine="482"/>
              <w:rPr>
                <w:rFonts w:asciiTheme="minorEastAsia" w:hAnsiTheme="minorEastAsia" w:eastAsiaTheme="minorEastAsia" w:cstheme="minorEastAsia"/>
                <w:sz w:val="24"/>
                <w:szCs w:val="24"/>
              </w:rPr>
            </w:pPr>
          </w:p>
        </w:tc>
        <w:tc>
          <w:tcPr>
            <w:tcW w:w="1257" w:type="dxa"/>
          </w:tcPr>
          <w:p w14:paraId="00CD1581">
            <w:pPr>
              <w:pStyle w:val="41"/>
              <w:spacing w:before="124" w:line="186" w:lineRule="auto"/>
              <w:ind w:left="511" w:firstLine="482"/>
              <w:rPr>
                <w:rFonts w:asciiTheme="minorEastAsia" w:hAnsiTheme="minorEastAsia" w:eastAsiaTheme="minorEastAsia" w:cstheme="minorEastAsia"/>
                <w:lang w:eastAsia="zh-CN"/>
              </w:rPr>
            </w:pPr>
          </w:p>
        </w:tc>
        <w:tc>
          <w:tcPr>
            <w:tcW w:w="2350" w:type="dxa"/>
          </w:tcPr>
          <w:p w14:paraId="4A90343B">
            <w:pPr>
              <w:pStyle w:val="41"/>
              <w:spacing w:before="163" w:line="160" w:lineRule="auto"/>
              <w:ind w:left="1124" w:firstLine="482"/>
              <w:rPr>
                <w:rFonts w:asciiTheme="minorEastAsia" w:hAnsiTheme="minorEastAsia" w:eastAsiaTheme="minorEastAsia" w:cstheme="minorEastAsia"/>
                <w:lang w:eastAsia="zh-CN"/>
              </w:rPr>
            </w:pPr>
          </w:p>
        </w:tc>
      </w:tr>
      <w:tr w14:paraId="1BF5C6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6179CC80">
            <w:pPr>
              <w:pStyle w:val="41"/>
              <w:spacing w:before="125" w:line="185" w:lineRule="auto"/>
              <w:ind w:firstLine="482"/>
              <w:jc w:val="center"/>
              <w:rPr>
                <w:rFonts w:asciiTheme="minorEastAsia" w:hAnsiTheme="minorEastAsia" w:eastAsiaTheme="minorEastAsia" w:cstheme="minorEastAsia"/>
                <w:lang w:eastAsia="zh-CN"/>
              </w:rPr>
            </w:pPr>
          </w:p>
        </w:tc>
        <w:tc>
          <w:tcPr>
            <w:tcW w:w="2159" w:type="dxa"/>
          </w:tcPr>
          <w:p w14:paraId="14C6BB15">
            <w:pPr>
              <w:ind w:firstLine="482"/>
              <w:rPr>
                <w:rFonts w:asciiTheme="minorEastAsia" w:hAnsiTheme="minorEastAsia" w:eastAsiaTheme="minorEastAsia" w:cstheme="minorEastAsia"/>
                <w:sz w:val="24"/>
                <w:szCs w:val="24"/>
              </w:rPr>
            </w:pPr>
          </w:p>
        </w:tc>
        <w:tc>
          <w:tcPr>
            <w:tcW w:w="1257" w:type="dxa"/>
          </w:tcPr>
          <w:p w14:paraId="55C8BDE1">
            <w:pPr>
              <w:pStyle w:val="41"/>
              <w:spacing w:before="124" w:line="186" w:lineRule="auto"/>
              <w:ind w:left="511" w:firstLine="482"/>
              <w:rPr>
                <w:rFonts w:asciiTheme="minorEastAsia" w:hAnsiTheme="minorEastAsia" w:eastAsiaTheme="minorEastAsia" w:cstheme="minorEastAsia"/>
                <w:lang w:eastAsia="zh-CN"/>
              </w:rPr>
            </w:pPr>
          </w:p>
        </w:tc>
        <w:tc>
          <w:tcPr>
            <w:tcW w:w="2350" w:type="dxa"/>
          </w:tcPr>
          <w:p w14:paraId="3870B6FD">
            <w:pPr>
              <w:pStyle w:val="41"/>
              <w:spacing w:before="163" w:line="160" w:lineRule="auto"/>
              <w:ind w:left="1124" w:firstLine="482"/>
              <w:rPr>
                <w:rFonts w:asciiTheme="minorEastAsia" w:hAnsiTheme="minorEastAsia" w:eastAsiaTheme="minorEastAsia" w:cstheme="minorEastAsia"/>
                <w:lang w:eastAsia="zh-CN"/>
              </w:rPr>
            </w:pPr>
          </w:p>
        </w:tc>
      </w:tr>
      <w:tr w14:paraId="0314F0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7CD3B695">
            <w:pPr>
              <w:pStyle w:val="41"/>
              <w:spacing w:before="125" w:line="185" w:lineRule="auto"/>
              <w:ind w:firstLine="482"/>
              <w:jc w:val="center"/>
              <w:rPr>
                <w:rFonts w:asciiTheme="minorEastAsia" w:hAnsiTheme="minorEastAsia" w:eastAsiaTheme="minorEastAsia" w:cstheme="minorEastAsia"/>
                <w:lang w:eastAsia="zh-CN"/>
              </w:rPr>
            </w:pPr>
          </w:p>
        </w:tc>
        <w:tc>
          <w:tcPr>
            <w:tcW w:w="2159" w:type="dxa"/>
          </w:tcPr>
          <w:p w14:paraId="683F5B20">
            <w:pPr>
              <w:ind w:firstLine="482"/>
              <w:rPr>
                <w:rFonts w:asciiTheme="minorEastAsia" w:hAnsiTheme="minorEastAsia" w:eastAsiaTheme="minorEastAsia" w:cstheme="minorEastAsia"/>
                <w:sz w:val="24"/>
                <w:szCs w:val="24"/>
              </w:rPr>
            </w:pPr>
          </w:p>
        </w:tc>
        <w:tc>
          <w:tcPr>
            <w:tcW w:w="1257" w:type="dxa"/>
          </w:tcPr>
          <w:p w14:paraId="0886E3C1">
            <w:pPr>
              <w:pStyle w:val="41"/>
              <w:spacing w:before="124" w:line="186" w:lineRule="auto"/>
              <w:ind w:left="511" w:firstLine="482"/>
              <w:rPr>
                <w:rFonts w:asciiTheme="minorEastAsia" w:hAnsiTheme="minorEastAsia" w:eastAsiaTheme="minorEastAsia" w:cstheme="minorEastAsia"/>
                <w:lang w:eastAsia="zh-CN"/>
              </w:rPr>
            </w:pPr>
          </w:p>
        </w:tc>
        <w:tc>
          <w:tcPr>
            <w:tcW w:w="2350" w:type="dxa"/>
          </w:tcPr>
          <w:p w14:paraId="0A7FED0D">
            <w:pPr>
              <w:pStyle w:val="41"/>
              <w:spacing w:before="163" w:line="160" w:lineRule="auto"/>
              <w:ind w:left="1124" w:firstLine="482"/>
              <w:rPr>
                <w:rFonts w:asciiTheme="minorEastAsia" w:hAnsiTheme="minorEastAsia" w:eastAsiaTheme="minorEastAsia" w:cstheme="minorEastAsia"/>
                <w:lang w:eastAsia="zh-CN"/>
              </w:rPr>
            </w:pPr>
          </w:p>
        </w:tc>
      </w:tr>
      <w:tr w14:paraId="485B8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11DB5595">
            <w:pPr>
              <w:pStyle w:val="41"/>
              <w:spacing w:before="125" w:line="185" w:lineRule="auto"/>
              <w:ind w:firstLine="482"/>
              <w:jc w:val="center"/>
              <w:rPr>
                <w:rFonts w:asciiTheme="minorEastAsia" w:hAnsiTheme="minorEastAsia" w:eastAsiaTheme="minorEastAsia" w:cstheme="minorEastAsia"/>
                <w:lang w:eastAsia="zh-CN"/>
              </w:rPr>
            </w:pPr>
          </w:p>
        </w:tc>
        <w:tc>
          <w:tcPr>
            <w:tcW w:w="2159" w:type="dxa"/>
          </w:tcPr>
          <w:p w14:paraId="00F5C2A4">
            <w:pPr>
              <w:ind w:firstLine="482"/>
              <w:rPr>
                <w:rFonts w:asciiTheme="minorEastAsia" w:hAnsiTheme="minorEastAsia" w:eastAsiaTheme="minorEastAsia" w:cstheme="minorEastAsia"/>
                <w:sz w:val="24"/>
                <w:szCs w:val="24"/>
              </w:rPr>
            </w:pPr>
          </w:p>
        </w:tc>
        <w:tc>
          <w:tcPr>
            <w:tcW w:w="1257" w:type="dxa"/>
          </w:tcPr>
          <w:p w14:paraId="57F10D7B">
            <w:pPr>
              <w:pStyle w:val="41"/>
              <w:spacing w:before="124" w:line="186" w:lineRule="auto"/>
              <w:ind w:left="511" w:firstLine="482"/>
              <w:rPr>
                <w:rFonts w:asciiTheme="minorEastAsia" w:hAnsiTheme="minorEastAsia" w:eastAsiaTheme="minorEastAsia" w:cstheme="minorEastAsia"/>
                <w:lang w:eastAsia="zh-CN"/>
              </w:rPr>
            </w:pPr>
          </w:p>
        </w:tc>
        <w:tc>
          <w:tcPr>
            <w:tcW w:w="2350" w:type="dxa"/>
          </w:tcPr>
          <w:p w14:paraId="4DD5BA23">
            <w:pPr>
              <w:pStyle w:val="41"/>
              <w:spacing w:before="163" w:line="160" w:lineRule="auto"/>
              <w:ind w:left="1124" w:firstLine="482"/>
              <w:rPr>
                <w:rFonts w:asciiTheme="minorEastAsia" w:hAnsiTheme="minorEastAsia" w:eastAsiaTheme="minorEastAsia" w:cstheme="minorEastAsia"/>
                <w:lang w:eastAsia="zh-CN"/>
              </w:rPr>
            </w:pPr>
          </w:p>
        </w:tc>
      </w:tr>
      <w:tr w14:paraId="7A875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25CEC58E">
            <w:pPr>
              <w:pStyle w:val="41"/>
              <w:spacing w:before="125" w:line="185" w:lineRule="auto"/>
              <w:ind w:firstLine="482"/>
              <w:jc w:val="center"/>
              <w:rPr>
                <w:rFonts w:asciiTheme="minorEastAsia" w:hAnsiTheme="minorEastAsia" w:eastAsiaTheme="minorEastAsia" w:cstheme="minorEastAsia"/>
                <w:lang w:eastAsia="zh-CN"/>
              </w:rPr>
            </w:pPr>
          </w:p>
        </w:tc>
        <w:tc>
          <w:tcPr>
            <w:tcW w:w="2159" w:type="dxa"/>
          </w:tcPr>
          <w:p w14:paraId="09876ECB">
            <w:pPr>
              <w:ind w:firstLine="482"/>
              <w:rPr>
                <w:rFonts w:asciiTheme="minorEastAsia" w:hAnsiTheme="minorEastAsia" w:eastAsiaTheme="minorEastAsia" w:cstheme="minorEastAsia"/>
                <w:sz w:val="24"/>
                <w:szCs w:val="24"/>
              </w:rPr>
            </w:pPr>
          </w:p>
        </w:tc>
        <w:tc>
          <w:tcPr>
            <w:tcW w:w="1257" w:type="dxa"/>
          </w:tcPr>
          <w:p w14:paraId="3FCFCBF4">
            <w:pPr>
              <w:pStyle w:val="41"/>
              <w:spacing w:before="124" w:line="186" w:lineRule="auto"/>
              <w:ind w:left="511" w:firstLine="482"/>
              <w:rPr>
                <w:rFonts w:asciiTheme="minorEastAsia" w:hAnsiTheme="minorEastAsia" w:eastAsiaTheme="minorEastAsia" w:cstheme="minorEastAsia"/>
                <w:lang w:eastAsia="zh-CN"/>
              </w:rPr>
            </w:pPr>
          </w:p>
        </w:tc>
        <w:tc>
          <w:tcPr>
            <w:tcW w:w="2350" w:type="dxa"/>
          </w:tcPr>
          <w:p w14:paraId="4F755A34">
            <w:pPr>
              <w:pStyle w:val="41"/>
              <w:spacing w:before="163" w:line="160" w:lineRule="auto"/>
              <w:ind w:left="1124" w:firstLine="482"/>
              <w:rPr>
                <w:rFonts w:asciiTheme="minorEastAsia" w:hAnsiTheme="minorEastAsia" w:eastAsiaTheme="minorEastAsia" w:cstheme="minorEastAsia"/>
                <w:lang w:eastAsia="zh-CN"/>
              </w:rPr>
            </w:pPr>
          </w:p>
        </w:tc>
      </w:tr>
      <w:tr w14:paraId="3512EE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36BCA088">
            <w:pPr>
              <w:pStyle w:val="41"/>
              <w:spacing w:before="125" w:line="185" w:lineRule="auto"/>
              <w:ind w:firstLine="482"/>
              <w:jc w:val="center"/>
              <w:rPr>
                <w:rFonts w:asciiTheme="minorEastAsia" w:hAnsiTheme="minorEastAsia" w:eastAsiaTheme="minorEastAsia" w:cstheme="minorEastAsia"/>
                <w:lang w:eastAsia="zh-CN"/>
              </w:rPr>
            </w:pPr>
          </w:p>
        </w:tc>
        <w:tc>
          <w:tcPr>
            <w:tcW w:w="2159" w:type="dxa"/>
          </w:tcPr>
          <w:p w14:paraId="7ED1C50F">
            <w:pPr>
              <w:ind w:firstLine="482"/>
              <w:rPr>
                <w:rFonts w:asciiTheme="minorEastAsia" w:hAnsiTheme="minorEastAsia" w:eastAsiaTheme="minorEastAsia" w:cstheme="minorEastAsia"/>
                <w:sz w:val="24"/>
                <w:szCs w:val="24"/>
              </w:rPr>
            </w:pPr>
          </w:p>
        </w:tc>
        <w:tc>
          <w:tcPr>
            <w:tcW w:w="1257" w:type="dxa"/>
          </w:tcPr>
          <w:p w14:paraId="09CB401C">
            <w:pPr>
              <w:pStyle w:val="41"/>
              <w:spacing w:before="124" w:line="186" w:lineRule="auto"/>
              <w:ind w:left="511" w:firstLine="482"/>
              <w:rPr>
                <w:rFonts w:asciiTheme="minorEastAsia" w:hAnsiTheme="minorEastAsia" w:eastAsiaTheme="minorEastAsia" w:cstheme="minorEastAsia"/>
                <w:lang w:eastAsia="zh-CN"/>
              </w:rPr>
            </w:pPr>
          </w:p>
        </w:tc>
        <w:tc>
          <w:tcPr>
            <w:tcW w:w="2350" w:type="dxa"/>
          </w:tcPr>
          <w:p w14:paraId="3E9C12EC">
            <w:pPr>
              <w:pStyle w:val="41"/>
              <w:spacing w:before="163" w:line="160" w:lineRule="auto"/>
              <w:ind w:left="1124" w:firstLine="482"/>
              <w:rPr>
                <w:rFonts w:asciiTheme="minorEastAsia" w:hAnsiTheme="minorEastAsia" w:eastAsiaTheme="minorEastAsia" w:cstheme="minorEastAsia"/>
                <w:lang w:eastAsia="zh-CN"/>
              </w:rPr>
            </w:pPr>
          </w:p>
        </w:tc>
      </w:tr>
    </w:tbl>
    <w:p w14:paraId="56DDF88F">
      <w:pPr>
        <w:spacing w:before="299" w:line="182" w:lineRule="auto"/>
        <w:ind w:left="29" w:firstLine="420"/>
        <w:rPr>
          <w:rFonts w:ascii="微软雅黑" w:hAnsi="微软雅黑" w:eastAsia="微软雅黑" w:cs="微软雅黑"/>
          <w:sz w:val="21"/>
          <w:szCs w:val="21"/>
        </w:rPr>
      </w:pPr>
      <w:r>
        <w:rPr>
          <w:rFonts w:ascii="微软雅黑" w:hAnsi="微软雅黑" w:eastAsia="微软雅黑" w:cs="微软雅黑"/>
          <w:sz w:val="21"/>
          <w:szCs w:val="21"/>
        </w:rPr>
        <w:t>注：采购人将在发出成交通知书之前要求成交人按照本表的最低要求填报为本标段配备的主要设备，在经采购人审批后作为投入本标段的主要设备且不允许更换。</w:t>
      </w:r>
    </w:p>
    <w:p w14:paraId="5D0DD4ED">
      <w:pPr>
        <w:spacing w:line="182" w:lineRule="auto"/>
        <w:ind w:firstLine="420"/>
        <w:rPr>
          <w:rFonts w:ascii="微软雅黑" w:hAnsi="微软雅黑" w:eastAsia="微软雅黑" w:cs="微软雅黑"/>
          <w:sz w:val="21"/>
          <w:szCs w:val="21"/>
        </w:rPr>
        <w:sectPr>
          <w:footerReference r:id="rId11" w:type="default"/>
          <w:pgSz w:w="11900" w:h="16840"/>
          <w:pgMar w:top="1385" w:right="1368" w:bottom="801" w:left="1276" w:header="0" w:footer="637" w:gutter="0"/>
          <w:cols w:space="720" w:num="1"/>
        </w:sectPr>
      </w:pPr>
    </w:p>
    <w:p w14:paraId="272897D2">
      <w:pPr>
        <w:pStyle w:val="5"/>
      </w:pPr>
      <w:bookmarkStart w:id="120" w:name="_Toc394929421"/>
      <w:r>
        <w:rPr>
          <w:rFonts w:hint="eastAsia"/>
        </w:rPr>
        <w:t>附件六  项目经理委任书</w:t>
      </w:r>
      <w:bookmarkEnd w:id="120"/>
    </w:p>
    <w:p w14:paraId="0F25C06D">
      <w:pPr>
        <w:spacing w:line="360" w:lineRule="auto"/>
        <w:ind w:firstLine="442"/>
        <w:jc w:val="center"/>
        <w:rPr>
          <w:szCs w:val="21"/>
        </w:rPr>
      </w:pPr>
      <w:bookmarkStart w:id="121" w:name="bookmark197"/>
      <w:r>
        <w:rPr>
          <w:rStyle w:val="48"/>
          <w:rFonts w:hint="eastAsia" w:ascii="宋体" w:hAnsi="宋体" w:eastAsia="宋体" w:cs="宋体"/>
          <w:color w:val="auto"/>
          <w:sz w:val="21"/>
          <w:szCs w:val="21"/>
        </w:rPr>
        <w:t>(承包人全称）</w:t>
      </w:r>
      <w:bookmarkEnd w:id="121"/>
    </w:p>
    <w:p w14:paraId="4F454CF4">
      <w:pPr>
        <w:spacing w:line="360" w:lineRule="auto"/>
        <w:ind w:firstLine="442"/>
        <w:jc w:val="center"/>
        <w:rPr>
          <w:szCs w:val="21"/>
        </w:rPr>
      </w:pPr>
      <w:bookmarkStart w:id="122" w:name="bookmark198"/>
      <w:r>
        <w:rPr>
          <w:rStyle w:val="48"/>
          <w:rFonts w:hint="eastAsia" w:ascii="宋体" w:hAnsi="宋体" w:eastAsia="宋体" w:cs="宋体"/>
          <w:color w:val="auto"/>
          <w:sz w:val="21"/>
          <w:szCs w:val="21"/>
        </w:rPr>
        <w:t>(合同工程名称）</w:t>
      </w:r>
      <w:r>
        <w:rPr>
          <w:rStyle w:val="49"/>
          <w:rFonts w:hint="eastAsia" w:ascii="宋体" w:hAnsi="宋体" w:eastAsia="宋体" w:cs="宋体"/>
          <w:color w:val="auto"/>
          <w:sz w:val="21"/>
          <w:szCs w:val="21"/>
        </w:rPr>
        <w:t>项目经理委任书</w:t>
      </w:r>
      <w:bookmarkEnd w:id="122"/>
    </w:p>
    <w:p w14:paraId="34127FB1">
      <w:pPr>
        <w:pStyle w:val="50"/>
        <w:shd w:val="clear" w:color="auto" w:fill="auto"/>
        <w:spacing w:before="0" w:line="360" w:lineRule="auto"/>
        <w:jc w:val="both"/>
        <w:rPr>
          <w:rFonts w:ascii="宋体" w:hAnsi="宋体" w:eastAsia="宋体"/>
          <w:sz w:val="21"/>
          <w:szCs w:val="21"/>
        </w:rPr>
      </w:pPr>
      <w:r>
        <w:rPr>
          <w:rStyle w:val="51"/>
          <w:rFonts w:hint="eastAsia" w:ascii="宋体" w:hAnsi="宋体" w:eastAsia="宋体" w:cs="宋体"/>
          <w:color w:val="auto"/>
          <w:sz w:val="21"/>
          <w:szCs w:val="21"/>
        </w:rPr>
        <w:t>致：</w:t>
      </w:r>
      <w:r>
        <w:rPr>
          <w:rStyle w:val="52"/>
          <w:rFonts w:hint="eastAsia" w:ascii="宋体" w:hAnsi="宋体" w:eastAsia="宋体" w:cs="宋体"/>
          <w:color w:val="auto"/>
          <w:sz w:val="21"/>
          <w:szCs w:val="21"/>
        </w:rPr>
        <w:t>（发包人全称）</w:t>
      </w:r>
    </w:p>
    <w:p w14:paraId="2E3BE376">
      <w:pPr>
        <w:pStyle w:val="50"/>
        <w:shd w:val="clear" w:color="auto" w:fill="auto"/>
        <w:spacing w:before="0" w:after="360" w:line="360" w:lineRule="auto"/>
        <w:ind w:firstLine="422"/>
        <w:jc w:val="both"/>
        <w:rPr>
          <w:rFonts w:ascii="宋体" w:hAnsi="宋体" w:eastAsia="宋体"/>
          <w:sz w:val="21"/>
          <w:szCs w:val="21"/>
        </w:rPr>
      </w:pPr>
      <w:r>
        <w:rPr>
          <w:rStyle w:val="52"/>
          <w:rFonts w:hint="eastAsia" w:ascii="宋体" w:hAnsi="宋体" w:eastAsia="宋体" w:cs="宋体"/>
          <w:color w:val="auto"/>
          <w:sz w:val="21"/>
          <w:szCs w:val="21"/>
        </w:rPr>
        <w:t>(承包人全称）</w:t>
      </w:r>
      <w:r>
        <w:rPr>
          <w:rStyle w:val="51"/>
          <w:rFonts w:hint="eastAsia" w:ascii="宋体" w:hAnsi="宋体" w:eastAsia="宋体" w:cs="宋体"/>
          <w:color w:val="auto"/>
          <w:sz w:val="21"/>
          <w:szCs w:val="21"/>
        </w:rPr>
        <w:t>法定代表人</w:t>
      </w:r>
      <w:r>
        <w:rPr>
          <w:rStyle w:val="52"/>
          <w:rFonts w:hint="eastAsia" w:ascii="宋体" w:hAnsi="宋体" w:eastAsia="宋体" w:cs="宋体"/>
          <w:color w:val="auto"/>
          <w:sz w:val="21"/>
          <w:szCs w:val="21"/>
        </w:rPr>
        <w:t>（职务、姓名）</w:t>
      </w:r>
      <w:r>
        <w:rPr>
          <w:rStyle w:val="51"/>
          <w:rFonts w:hint="eastAsia" w:ascii="宋体" w:hAnsi="宋体" w:eastAsia="宋体" w:cs="宋体"/>
          <w:color w:val="auto"/>
          <w:sz w:val="21"/>
          <w:szCs w:val="21"/>
        </w:rPr>
        <w:t>代表本单位委任</w:t>
      </w:r>
      <w:r>
        <w:rPr>
          <w:rStyle w:val="52"/>
          <w:rFonts w:hint="eastAsia" w:ascii="宋体" w:hAnsi="宋体" w:eastAsia="宋体" w:cs="宋体"/>
          <w:color w:val="auto"/>
          <w:sz w:val="21"/>
          <w:szCs w:val="21"/>
        </w:rPr>
        <w:t>（职务、姓 名）</w:t>
      </w:r>
      <w:r>
        <w:rPr>
          <w:rStyle w:val="51"/>
          <w:rFonts w:hint="eastAsia" w:ascii="宋体" w:hAnsi="宋体" w:eastAsia="宋体" w:cs="宋体"/>
          <w:color w:val="auto"/>
          <w:sz w:val="21"/>
          <w:szCs w:val="21"/>
        </w:rPr>
        <w:t>为</w:t>
      </w:r>
      <w:r>
        <w:rPr>
          <w:rStyle w:val="52"/>
          <w:rFonts w:hint="eastAsia" w:ascii="宋体" w:hAnsi="宋体" w:eastAsia="宋体" w:cs="宋体"/>
          <w:color w:val="auto"/>
          <w:sz w:val="21"/>
          <w:szCs w:val="21"/>
        </w:rPr>
        <w:t>（合同工程名称）</w:t>
      </w:r>
      <w:r>
        <w:rPr>
          <w:rStyle w:val="51"/>
          <w:rFonts w:hint="eastAsia" w:ascii="宋体" w:hAnsi="宋体" w:eastAsia="宋体" w:cs="宋体"/>
          <w:color w:val="auto"/>
          <w:sz w:val="21"/>
          <w:szCs w:val="21"/>
        </w:rPr>
        <w:t>的项目经理。凡本合同执行中的有关技术、工程进度、现 场管理、质量检验、结算与支付等方面工作，由</w:t>
      </w:r>
      <w:r>
        <w:rPr>
          <w:rStyle w:val="52"/>
          <w:rFonts w:hint="eastAsia" w:ascii="宋体" w:hAnsi="宋体" w:eastAsia="宋体" w:cs="宋体"/>
          <w:color w:val="auto"/>
          <w:sz w:val="21"/>
          <w:szCs w:val="21"/>
        </w:rPr>
        <w:t>（姓名）</w:t>
      </w:r>
      <w:r>
        <w:rPr>
          <w:rStyle w:val="51"/>
          <w:rFonts w:hint="eastAsia" w:ascii="宋体" w:hAnsi="宋体" w:eastAsia="宋体" w:cs="宋体"/>
          <w:color w:val="auto"/>
          <w:sz w:val="21"/>
          <w:szCs w:val="21"/>
        </w:rPr>
        <w:t>代表本单位全面负责。</w:t>
      </w:r>
    </w:p>
    <w:p w14:paraId="1BE1E6A1">
      <w:pPr>
        <w:pStyle w:val="50"/>
        <w:shd w:val="clear" w:color="auto" w:fill="auto"/>
        <w:tabs>
          <w:tab w:val="left" w:leader="underscore" w:pos="7348"/>
        </w:tabs>
        <w:spacing w:before="0" w:line="360" w:lineRule="auto"/>
        <w:ind w:left="3880"/>
        <w:jc w:val="both"/>
        <w:rPr>
          <w:rFonts w:ascii="宋体" w:hAnsi="宋体" w:eastAsia="宋体"/>
          <w:sz w:val="21"/>
          <w:szCs w:val="21"/>
        </w:rPr>
      </w:pPr>
      <w:r>
        <w:rPr>
          <w:rStyle w:val="51"/>
          <w:rFonts w:hint="eastAsia" w:ascii="宋体" w:hAnsi="宋体" w:eastAsia="宋体" w:cs="宋体"/>
          <w:color w:val="auto"/>
          <w:sz w:val="21"/>
          <w:szCs w:val="21"/>
        </w:rPr>
        <w:t>承包人：</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(盖单位章）</w:t>
      </w:r>
    </w:p>
    <w:p w14:paraId="502AC7A2">
      <w:pPr>
        <w:pStyle w:val="50"/>
        <w:shd w:val="clear" w:color="auto" w:fill="auto"/>
        <w:tabs>
          <w:tab w:val="center" w:pos="7411"/>
        </w:tabs>
        <w:spacing w:before="0" w:line="360" w:lineRule="auto"/>
        <w:ind w:left="686" w:leftChars="312" w:firstLine="3168" w:firstLineChars="1509"/>
        <w:jc w:val="both"/>
        <w:rPr>
          <w:rFonts w:ascii="宋体" w:hAnsi="宋体" w:eastAsia="宋体"/>
          <w:sz w:val="21"/>
          <w:szCs w:val="21"/>
        </w:rPr>
      </w:pPr>
      <w:r>
        <w:rPr>
          <w:rStyle w:val="51"/>
          <w:rFonts w:hint="eastAsia" w:ascii="宋体" w:hAnsi="宋体" w:eastAsia="宋体" w:cs="宋体"/>
          <w:color w:val="auto"/>
          <w:sz w:val="21"/>
          <w:szCs w:val="21"/>
        </w:rPr>
        <w:t>法定代表人：</w:t>
      </w:r>
      <w:r>
        <w:rPr>
          <w:rStyle w:val="51"/>
          <w:rFonts w:hint="eastAsia" w:ascii="宋体" w:hAnsi="宋体" w:eastAsia="宋体" w:cs="宋体"/>
          <w:color w:val="auto"/>
          <w:sz w:val="21"/>
          <w:szCs w:val="21"/>
          <w:u w:val="single"/>
        </w:rPr>
        <w:tab/>
      </w:r>
      <w:r>
        <w:rPr>
          <w:rStyle w:val="52"/>
          <w:rFonts w:hint="eastAsia" w:ascii="宋体" w:hAnsi="宋体" w:eastAsia="宋体" w:cs="宋体"/>
          <w:color w:val="auto"/>
          <w:sz w:val="21"/>
          <w:szCs w:val="21"/>
        </w:rPr>
        <w:t>(职务）</w:t>
      </w:r>
    </w:p>
    <w:p w14:paraId="5511830F">
      <w:pPr>
        <w:pStyle w:val="50"/>
        <w:shd w:val="clear" w:color="auto" w:fill="auto"/>
        <w:tabs>
          <w:tab w:val="center" w:leader="underscore" w:pos="7411"/>
        </w:tabs>
        <w:spacing w:before="0" w:line="360" w:lineRule="auto"/>
        <w:ind w:left="6140"/>
        <w:jc w:val="both"/>
        <w:rPr>
          <w:rFonts w:ascii="宋体" w:hAnsi="宋体" w:eastAsia="宋体"/>
          <w:sz w:val="21"/>
          <w:szCs w:val="21"/>
        </w:rPr>
      </w:pPr>
      <w:r>
        <w:rPr>
          <w:rStyle w:val="51"/>
          <w:rFonts w:hint="eastAsia" w:ascii="宋体" w:hAnsi="宋体" w:eastAsia="宋体" w:cs="宋体"/>
          <w:color w:val="auto"/>
          <w:sz w:val="21"/>
          <w:szCs w:val="21"/>
        </w:rPr>
        <w:tab/>
      </w:r>
      <w:r>
        <w:rPr>
          <w:rStyle w:val="52"/>
          <w:rFonts w:hint="eastAsia" w:ascii="宋体" w:hAnsi="宋体" w:eastAsia="宋体" w:cs="宋体"/>
          <w:color w:val="auto"/>
          <w:sz w:val="21"/>
          <w:szCs w:val="21"/>
        </w:rPr>
        <w:t>(姓名）</w:t>
      </w:r>
    </w:p>
    <w:p w14:paraId="39B98079">
      <w:pPr>
        <w:pStyle w:val="53"/>
        <w:shd w:val="clear" w:color="auto" w:fill="auto"/>
        <w:tabs>
          <w:tab w:val="center" w:leader="underscore" w:pos="7411"/>
          <w:tab w:val="left" w:leader="underscore" w:pos="8698"/>
        </w:tabs>
        <w:spacing w:line="360" w:lineRule="auto"/>
        <w:ind w:left="6140" w:firstLine="422"/>
        <w:jc w:val="both"/>
        <w:rPr>
          <w:rFonts w:ascii="宋体" w:hAnsi="宋体" w:eastAsia="宋体"/>
          <w:sz w:val="21"/>
          <w:szCs w:val="21"/>
        </w:rPr>
      </w:pPr>
      <w:r>
        <w:rPr>
          <w:rFonts w:hint="eastAsia" w:ascii="宋体" w:hAnsi="宋体" w:eastAsia="宋体"/>
          <w:sz w:val="21"/>
          <w:szCs w:val="21"/>
        </w:rPr>
        <w:tab/>
      </w:r>
      <w:r>
        <w:rPr>
          <w:rStyle w:val="54"/>
          <w:rFonts w:hint="eastAsia" w:ascii="宋体" w:hAnsi="宋体" w:eastAsia="宋体" w:cs="宋体"/>
          <w:b w:val="0"/>
          <w:bCs w:val="0"/>
          <w:color w:val="auto"/>
          <w:sz w:val="21"/>
          <w:szCs w:val="21"/>
        </w:rPr>
        <w:t>(签字)</w:t>
      </w:r>
      <w:r>
        <w:rPr>
          <w:rFonts w:hint="eastAsia" w:ascii="宋体" w:hAnsi="宋体" w:eastAsia="宋体"/>
          <w:sz w:val="21"/>
          <w:szCs w:val="21"/>
        </w:rPr>
        <w:tab/>
      </w:r>
    </w:p>
    <w:p w14:paraId="4B5D9CD6">
      <w:pPr>
        <w:pStyle w:val="50"/>
        <w:shd w:val="clear" w:color="auto" w:fill="auto"/>
        <w:tabs>
          <w:tab w:val="left" w:leader="underscore" w:pos="6502"/>
          <w:tab w:val="left" w:leader="underscore" w:pos="7348"/>
          <w:tab w:val="left" w:leader="underscore" w:pos="8182"/>
        </w:tabs>
        <w:spacing w:before="0" w:after="1283" w:line="360" w:lineRule="auto"/>
        <w:ind w:left="5660" w:firstLine="422"/>
        <w:jc w:val="both"/>
        <w:rPr>
          <w:rStyle w:val="51"/>
          <w:rFonts w:ascii="宋体" w:hAnsi="宋体" w:eastAsia="宋体" w:cs="宋体"/>
          <w:color w:val="auto"/>
          <w:sz w:val="21"/>
          <w:szCs w:val="21"/>
        </w:rPr>
      </w:pP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年</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月</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日</w:t>
      </w:r>
    </w:p>
    <w:p w14:paraId="6A173752">
      <w:pPr>
        <w:pStyle w:val="50"/>
        <w:shd w:val="clear" w:color="auto" w:fill="auto"/>
        <w:tabs>
          <w:tab w:val="left" w:leader="underscore" w:pos="6502"/>
          <w:tab w:val="left" w:leader="underscore" w:pos="7348"/>
          <w:tab w:val="left" w:leader="underscore" w:pos="8182"/>
        </w:tabs>
        <w:spacing w:before="0" w:after="1283" w:line="240" w:lineRule="auto"/>
        <w:ind w:firstLine="442"/>
        <w:jc w:val="both"/>
        <w:rPr>
          <w:rStyle w:val="51"/>
          <w:rFonts w:ascii="宋体" w:hAnsi="宋体" w:eastAsia="宋体" w:cs="宋体"/>
          <w:color w:val="auto"/>
        </w:rPr>
      </w:pPr>
    </w:p>
    <w:p w14:paraId="288A72C1">
      <w:pPr>
        <w:ind w:firstLine="442"/>
      </w:pPr>
      <w:r>
        <w:rPr>
          <w:rStyle w:val="51"/>
          <w:rFonts w:hint="eastAsia" w:ascii="宋体" w:hAnsi="宋体" w:eastAsia="宋体" w:cs="宋体"/>
          <w:color w:val="auto"/>
        </w:rPr>
        <w:t>抄送：</w:t>
      </w:r>
      <w:r>
        <w:rPr>
          <w:rStyle w:val="51"/>
          <w:rFonts w:hint="eastAsia" w:ascii="宋体" w:hAnsi="宋体" w:eastAsia="宋体" w:cs="宋体"/>
          <w:color w:val="auto"/>
        </w:rPr>
        <w:tab/>
      </w:r>
      <w:r>
        <w:rPr>
          <w:rStyle w:val="52"/>
          <w:rFonts w:hint="eastAsia" w:ascii="宋体" w:hAnsi="宋体" w:eastAsia="宋体" w:cs="宋体"/>
          <w:color w:val="auto"/>
        </w:rPr>
        <w:t>(监理人)</w:t>
      </w:r>
      <w:bookmarkStart w:id="123" w:name="第六章_响应文件（格式）"/>
      <w:bookmarkEnd w:id="123"/>
      <w:bookmarkStart w:id="124" w:name="_Toc4745"/>
    </w:p>
    <w:p w14:paraId="238E7523">
      <w:pPr>
        <w:ind w:firstLine="422"/>
      </w:pPr>
    </w:p>
    <w:p w14:paraId="06914F6D">
      <w:pPr>
        <w:pStyle w:val="12"/>
      </w:pPr>
    </w:p>
    <w:p w14:paraId="7338F64F">
      <w:pPr>
        <w:ind w:firstLine="422"/>
      </w:pPr>
    </w:p>
    <w:p w14:paraId="23A77674">
      <w:pPr>
        <w:pStyle w:val="12"/>
      </w:pPr>
    </w:p>
    <w:p w14:paraId="73F2C2E2">
      <w:pPr>
        <w:ind w:firstLine="422"/>
      </w:pPr>
    </w:p>
    <w:p w14:paraId="6DA17EC0">
      <w:pPr>
        <w:pStyle w:val="12"/>
      </w:pPr>
    </w:p>
    <w:p w14:paraId="79D78546">
      <w:pPr>
        <w:ind w:firstLine="422"/>
      </w:pPr>
    </w:p>
    <w:p w14:paraId="30FF4190">
      <w:pPr>
        <w:pStyle w:val="12"/>
      </w:pPr>
    </w:p>
    <w:p w14:paraId="1765379D">
      <w:pPr>
        <w:ind w:firstLine="422"/>
      </w:pPr>
    </w:p>
    <w:p w14:paraId="3001A7A2">
      <w:pPr>
        <w:pStyle w:val="12"/>
      </w:pPr>
    </w:p>
    <w:p w14:paraId="516699B7">
      <w:pPr>
        <w:ind w:firstLine="422"/>
      </w:pPr>
    </w:p>
    <w:p w14:paraId="060DAA52">
      <w:pPr>
        <w:pStyle w:val="12"/>
      </w:pPr>
    </w:p>
    <w:p w14:paraId="7B2CD023">
      <w:pPr>
        <w:ind w:firstLine="422"/>
      </w:pPr>
    </w:p>
    <w:p w14:paraId="7902FA0C">
      <w:pPr>
        <w:pStyle w:val="12"/>
      </w:pPr>
    </w:p>
    <w:p w14:paraId="21C69E1B">
      <w:pPr>
        <w:ind w:firstLine="422"/>
      </w:pPr>
    </w:p>
    <w:p w14:paraId="3CFD8A61">
      <w:pPr>
        <w:pStyle w:val="12"/>
      </w:pPr>
    </w:p>
    <w:p w14:paraId="46FEF381">
      <w:pPr>
        <w:ind w:firstLine="422"/>
      </w:pPr>
    </w:p>
    <w:p w14:paraId="25A8C05F">
      <w:pPr>
        <w:pStyle w:val="12"/>
      </w:pPr>
    </w:p>
    <w:p w14:paraId="20A1E1A6">
      <w:pPr>
        <w:ind w:firstLine="422"/>
      </w:pPr>
    </w:p>
    <w:p w14:paraId="67CA533B">
      <w:pPr>
        <w:pStyle w:val="12"/>
      </w:pPr>
    </w:p>
    <w:p w14:paraId="4154611E">
      <w:pPr>
        <w:pStyle w:val="5"/>
        <w:ind w:firstLine="422"/>
        <w:rPr>
          <w:sz w:val="21"/>
          <w:szCs w:val="21"/>
        </w:rPr>
      </w:pPr>
      <w:bookmarkStart w:id="125" w:name="_Toc394929422"/>
      <w:r>
        <w:rPr>
          <w:rFonts w:hint="eastAsia"/>
          <w:sz w:val="21"/>
          <w:szCs w:val="21"/>
        </w:rPr>
        <w:t>附件七  履约担保格式</w:t>
      </w:r>
      <w:bookmarkEnd w:id="125"/>
    </w:p>
    <w:p w14:paraId="4C19AD6B">
      <w:pPr>
        <w:pStyle w:val="50"/>
        <w:shd w:val="clear" w:color="auto" w:fill="auto"/>
        <w:spacing w:before="0" w:after="508" w:line="240" w:lineRule="auto"/>
        <w:ind w:firstLine="422"/>
        <w:jc w:val="both"/>
        <w:rPr>
          <w:rFonts w:ascii="宋体" w:hAnsi="宋体" w:eastAsia="宋体"/>
          <w:sz w:val="21"/>
          <w:szCs w:val="21"/>
        </w:rPr>
      </w:pPr>
      <w:r>
        <w:rPr>
          <w:rStyle w:val="51"/>
          <w:rFonts w:hint="eastAsia" w:ascii="宋体" w:hAnsi="宋体" w:eastAsia="宋体" w:cs="宋体"/>
          <w:color w:val="auto"/>
          <w:sz w:val="21"/>
          <w:szCs w:val="21"/>
        </w:rPr>
        <w:t>如采用银行保函，格式如下。</w:t>
      </w:r>
    </w:p>
    <w:p w14:paraId="0DF13883">
      <w:pPr>
        <w:ind w:firstLine="422"/>
        <w:jc w:val="center"/>
        <w:rPr>
          <w:szCs w:val="21"/>
        </w:rPr>
      </w:pPr>
      <w:bookmarkStart w:id="126" w:name="bookmark200"/>
      <w:r>
        <w:rPr>
          <w:rStyle w:val="55"/>
          <w:rFonts w:hint="eastAsia" w:ascii="宋体" w:hAnsi="宋体" w:eastAsia="宋体" w:cs="宋体"/>
          <w:color w:val="auto"/>
          <w:sz w:val="21"/>
          <w:szCs w:val="21"/>
        </w:rPr>
        <w:t>履约保证金</w:t>
      </w:r>
      <w:bookmarkEnd w:id="126"/>
    </w:p>
    <w:p w14:paraId="19C5199F">
      <w:pPr>
        <w:pStyle w:val="50"/>
        <w:shd w:val="clear" w:color="auto" w:fill="auto"/>
        <w:tabs>
          <w:tab w:val="left" w:leader="underscore" w:pos="2222"/>
        </w:tabs>
        <w:spacing w:before="0" w:after="388" w:line="240" w:lineRule="auto"/>
        <w:jc w:val="both"/>
        <w:rPr>
          <w:rFonts w:ascii="宋体" w:hAnsi="宋体" w:eastAsia="宋体"/>
          <w:sz w:val="21"/>
          <w:szCs w:val="21"/>
        </w:rPr>
      </w:pP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 xml:space="preserve"> (发包人名称）：</w:t>
      </w:r>
    </w:p>
    <w:p w14:paraId="4B32DE24">
      <w:pPr>
        <w:pStyle w:val="50"/>
        <w:shd w:val="clear" w:color="auto" w:fill="auto"/>
        <w:tabs>
          <w:tab w:val="left" w:leader="underscore" w:pos="2964"/>
          <w:tab w:val="left" w:leader="underscore" w:pos="8141"/>
        </w:tabs>
        <w:spacing w:before="0" w:line="240" w:lineRule="auto"/>
        <w:ind w:left="540"/>
        <w:jc w:val="both"/>
        <w:rPr>
          <w:rFonts w:ascii="宋体" w:hAnsi="宋体" w:eastAsia="宋体"/>
          <w:sz w:val="21"/>
          <w:szCs w:val="21"/>
        </w:rPr>
      </w:pPr>
      <w:r>
        <w:rPr>
          <w:rStyle w:val="51"/>
          <w:rFonts w:hint="eastAsia" w:ascii="宋体" w:hAnsi="宋体" w:eastAsia="宋体" w:cs="宋体"/>
          <w:color w:val="auto"/>
          <w:sz w:val="21"/>
          <w:szCs w:val="21"/>
        </w:rPr>
        <w:t>鉴于</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 xml:space="preserve"> (发包人名称，以下简称“发包人”）接受</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 xml:space="preserve"> (承</w:t>
      </w:r>
    </w:p>
    <w:p w14:paraId="0E5813BF">
      <w:pPr>
        <w:pStyle w:val="50"/>
        <w:shd w:val="clear" w:color="auto" w:fill="auto"/>
        <w:tabs>
          <w:tab w:val="left" w:leader="underscore" w:pos="4142"/>
          <w:tab w:val="left" w:leader="underscore" w:pos="7690"/>
        </w:tabs>
        <w:spacing w:before="0" w:line="240" w:lineRule="auto"/>
        <w:jc w:val="both"/>
        <w:rPr>
          <w:rFonts w:ascii="宋体" w:hAnsi="宋体" w:eastAsia="宋体"/>
          <w:sz w:val="21"/>
          <w:szCs w:val="21"/>
        </w:rPr>
      </w:pPr>
      <w:r>
        <w:rPr>
          <w:rStyle w:val="51"/>
          <w:rFonts w:hint="eastAsia" w:ascii="宋体" w:hAnsi="宋体" w:eastAsia="宋体" w:cs="宋体"/>
          <w:color w:val="auto"/>
          <w:sz w:val="21"/>
          <w:szCs w:val="21"/>
        </w:rPr>
        <w:t>包人名称，以下简称“承包人”）于</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年_月_日参加</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 xml:space="preserve"> (项目名</w:t>
      </w:r>
    </w:p>
    <w:p w14:paraId="0DF4A320">
      <w:pPr>
        <w:pStyle w:val="50"/>
        <w:shd w:val="clear" w:color="auto" w:fill="auto"/>
        <w:tabs>
          <w:tab w:val="left" w:leader="underscore" w:pos="1594"/>
        </w:tabs>
        <w:spacing w:before="0" w:line="240" w:lineRule="auto"/>
        <w:jc w:val="both"/>
        <w:rPr>
          <w:rFonts w:ascii="宋体" w:hAnsi="宋体" w:eastAsia="宋体"/>
          <w:sz w:val="21"/>
          <w:szCs w:val="21"/>
        </w:rPr>
      </w:pPr>
      <w:r>
        <w:rPr>
          <w:rStyle w:val="51"/>
          <w:rFonts w:hint="eastAsia" w:ascii="宋体" w:hAnsi="宋体" w:eastAsia="宋体" w:cs="宋体"/>
          <w:color w:val="auto"/>
          <w:sz w:val="21"/>
          <w:szCs w:val="21"/>
        </w:rPr>
        <w:t>称）</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标段施工的投标。我方愿意无条件地、不可撤销地就承包人履行与你方订立的合同，向你方提供担保。</w:t>
      </w:r>
    </w:p>
    <w:p w14:paraId="09A8A6A9">
      <w:pPr>
        <w:pStyle w:val="50"/>
        <w:numPr>
          <w:ilvl w:val="0"/>
          <w:numId w:val="7"/>
        </w:numPr>
        <w:shd w:val="clear" w:color="auto" w:fill="auto"/>
        <w:tabs>
          <w:tab w:val="left" w:leader="underscore" w:pos="5374"/>
          <w:tab w:val="left" w:leader="underscore" w:pos="7690"/>
        </w:tabs>
        <w:spacing w:before="0" w:line="240" w:lineRule="auto"/>
        <w:ind w:left="540"/>
        <w:jc w:val="both"/>
        <w:rPr>
          <w:rFonts w:ascii="宋体" w:hAnsi="宋体" w:eastAsia="宋体"/>
          <w:sz w:val="21"/>
          <w:szCs w:val="21"/>
        </w:rPr>
      </w:pPr>
      <w:r>
        <w:rPr>
          <w:rStyle w:val="51"/>
          <w:rFonts w:hint="eastAsia" w:ascii="宋体" w:hAnsi="宋体" w:eastAsia="宋体" w:cs="宋体"/>
          <w:color w:val="auto"/>
          <w:sz w:val="21"/>
          <w:szCs w:val="21"/>
        </w:rPr>
        <w:t xml:space="preserve"> 担保金额人民币（大写）</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元（¥</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w:t>
      </w:r>
    </w:p>
    <w:p w14:paraId="59FC262A">
      <w:pPr>
        <w:pStyle w:val="50"/>
        <w:numPr>
          <w:ilvl w:val="0"/>
          <w:numId w:val="7"/>
        </w:numPr>
        <w:shd w:val="clear" w:color="auto" w:fill="auto"/>
        <w:tabs>
          <w:tab w:val="left" w:pos="824"/>
        </w:tabs>
        <w:spacing w:before="0" w:line="240" w:lineRule="auto"/>
        <w:ind w:firstLine="422"/>
        <w:jc w:val="left"/>
        <w:rPr>
          <w:rFonts w:ascii="宋体" w:hAnsi="宋体" w:eastAsia="宋体"/>
          <w:sz w:val="21"/>
          <w:szCs w:val="21"/>
        </w:rPr>
      </w:pPr>
      <w:r>
        <w:rPr>
          <w:rStyle w:val="51"/>
          <w:rFonts w:hint="eastAsia" w:ascii="宋体" w:hAnsi="宋体" w:eastAsia="宋体" w:cs="宋体"/>
          <w:color w:val="auto"/>
          <w:sz w:val="21"/>
          <w:szCs w:val="21"/>
        </w:rPr>
        <w:t>担保有效期自发包人与承包人签订的合同生效之日起至发包人签发交工验收证书且承包人按照合同约定缴纳质量保证金之日止。</w:t>
      </w:r>
    </w:p>
    <w:p w14:paraId="588AF8D5">
      <w:pPr>
        <w:pStyle w:val="50"/>
        <w:numPr>
          <w:ilvl w:val="0"/>
          <w:numId w:val="7"/>
        </w:numPr>
        <w:shd w:val="clear" w:color="auto" w:fill="auto"/>
        <w:tabs>
          <w:tab w:val="left" w:pos="838"/>
        </w:tabs>
        <w:spacing w:before="0" w:line="240" w:lineRule="auto"/>
        <w:ind w:firstLine="422"/>
        <w:jc w:val="left"/>
        <w:rPr>
          <w:rFonts w:ascii="宋体" w:hAnsi="宋体" w:eastAsia="宋体"/>
          <w:sz w:val="21"/>
          <w:szCs w:val="21"/>
        </w:rPr>
      </w:pPr>
      <w:r>
        <w:rPr>
          <w:rStyle w:val="51"/>
          <w:rFonts w:hint="eastAsia" w:ascii="宋体" w:hAnsi="宋体" w:eastAsia="宋体" w:cs="宋体"/>
          <w:color w:val="auto"/>
          <w:sz w:val="21"/>
          <w:szCs w:val="21"/>
        </w:rPr>
        <w:t>在本担保有效期内，因承包人违反合同约定的义务给你方造成经济损失时，我方在收到你方以书面形式提出的在担保金额内的赔偿要求后，在7日内无条件支付，无须你方出具证明或陈述理由。</w:t>
      </w:r>
    </w:p>
    <w:p w14:paraId="4338B66A">
      <w:pPr>
        <w:pStyle w:val="50"/>
        <w:numPr>
          <w:ilvl w:val="0"/>
          <w:numId w:val="7"/>
        </w:numPr>
        <w:shd w:val="clear" w:color="auto" w:fill="auto"/>
        <w:tabs>
          <w:tab w:val="left" w:pos="831"/>
        </w:tabs>
        <w:spacing w:before="0" w:after="782" w:line="240" w:lineRule="auto"/>
        <w:ind w:firstLine="422"/>
        <w:jc w:val="left"/>
        <w:rPr>
          <w:rFonts w:ascii="宋体" w:hAnsi="宋体" w:eastAsia="宋体"/>
          <w:sz w:val="21"/>
          <w:szCs w:val="21"/>
        </w:rPr>
      </w:pPr>
      <w:r>
        <w:rPr>
          <w:rStyle w:val="51"/>
          <w:rFonts w:hint="eastAsia" w:ascii="宋体" w:hAnsi="宋体" w:eastAsia="宋体" w:cs="宋体"/>
          <w:color w:val="auto"/>
          <w:sz w:val="21"/>
          <w:szCs w:val="21"/>
        </w:rPr>
        <w:t>发包人和承包人按合同条款第15条变更合同时，无论我方是否收到该变更，我方承担本担保规定的义务不变。</w:t>
      </w:r>
    </w:p>
    <w:p w14:paraId="574E5F42">
      <w:pPr>
        <w:pStyle w:val="50"/>
        <w:shd w:val="clear" w:color="auto" w:fill="auto"/>
        <w:tabs>
          <w:tab w:val="left" w:leader="underscore" w:pos="6557"/>
        </w:tabs>
        <w:spacing w:before="0" w:line="240" w:lineRule="auto"/>
        <w:ind w:left="3540"/>
        <w:jc w:val="both"/>
        <w:rPr>
          <w:rFonts w:ascii="宋体" w:hAnsi="宋体" w:eastAsia="宋体"/>
          <w:sz w:val="21"/>
          <w:szCs w:val="21"/>
        </w:rPr>
      </w:pPr>
      <w:r>
        <w:rPr>
          <w:rFonts w:ascii="宋体" w:hAnsi="宋体" w:eastAsia="宋体"/>
          <w:sz w:val="21"/>
          <w:szCs w:val="21"/>
        </w:rPr>
        <mc:AlternateContent>
          <mc:Choice Requires="wps">
            <w:drawing>
              <wp:anchor distT="0" distB="413385" distL="567055" distR="63500" simplePos="0" relativeHeight="251676672" behindDoc="1" locked="0" layoutInCell="1" allowOverlap="1">
                <wp:simplePos x="0" y="0"/>
                <wp:positionH relativeFrom="margin">
                  <wp:posOffset>4727575</wp:posOffset>
                </wp:positionH>
                <wp:positionV relativeFrom="paragraph">
                  <wp:posOffset>-67310</wp:posOffset>
                </wp:positionV>
                <wp:extent cx="841375" cy="502920"/>
                <wp:effectExtent l="0" t="0" r="0" b="0"/>
                <wp:wrapSquare wrapText="left"/>
                <wp:docPr id="8" name="文本框 3"/>
                <wp:cNvGraphicFramePr/>
                <a:graphic xmlns:a="http://schemas.openxmlformats.org/drawingml/2006/main">
                  <a:graphicData uri="http://schemas.microsoft.com/office/word/2010/wordprocessingShape">
                    <wps:wsp>
                      <wps:cNvSpPr txBox="1"/>
                      <wps:spPr>
                        <a:xfrm>
                          <a:off x="0" y="0"/>
                          <a:ext cx="841375" cy="502920"/>
                        </a:xfrm>
                        <a:prstGeom prst="rect">
                          <a:avLst/>
                        </a:prstGeom>
                        <a:noFill/>
                        <a:ln>
                          <a:noFill/>
                        </a:ln>
                        <a:effectLst/>
                      </wps:spPr>
                      <wps:txbx>
                        <w:txbxContent>
                          <w:p w14:paraId="394F8406">
                            <w:pPr>
                              <w:pStyle w:val="50"/>
                              <w:shd w:val="clear" w:color="auto" w:fill="auto"/>
                              <w:tabs>
                                <w:tab w:val="left" w:leader="underscore" w:pos="470"/>
                              </w:tabs>
                              <w:spacing w:before="0" w:line="396" w:lineRule="exact"/>
                              <w:jc w:val="both"/>
                            </w:pPr>
                            <w:r>
                              <w:rPr>
                                <w:rStyle w:val="58"/>
                              </w:rPr>
                              <w:t>(</w:t>
                            </w:r>
                            <w:r>
                              <w:rPr>
                                <w:rStyle w:val="58"/>
                                <w:rFonts w:hint="eastAsia"/>
                              </w:rPr>
                              <w:t>盖单位章）</w:t>
                            </w:r>
                            <w:r>
                              <w:rPr>
                                <w:rStyle w:val="58"/>
                              </w:rPr>
                              <w:tab/>
                            </w:r>
                            <w:r>
                              <w:rPr>
                                <w:rStyle w:val="58"/>
                              </w:rPr>
                              <w:t>(</w:t>
                            </w:r>
                            <w:r>
                              <w:rPr>
                                <w:rStyle w:val="58"/>
                                <w:rFonts w:hint="eastAsia"/>
                              </w:rPr>
                              <w:t>签字</w:t>
                            </w:r>
                            <w:r>
                              <w:rPr>
                                <w:rStyle w:val="58"/>
                                <w:rFonts w:hint="eastAsia"/>
                                <w:lang w:eastAsia="en-US"/>
                              </w:rPr>
                              <w:t>）</w:t>
                            </w:r>
                          </w:p>
                        </w:txbxContent>
                      </wps:txbx>
                      <wps:bodyPr vert="horz" wrap="square" lIns="0" tIns="0" rIns="0" bIns="0" anchor="t" anchorCtr="0" upright="1">
                        <a:spAutoFit/>
                      </wps:bodyPr>
                    </wps:wsp>
                  </a:graphicData>
                </a:graphic>
              </wp:anchor>
            </w:drawing>
          </mc:Choice>
          <mc:Fallback>
            <w:pict>
              <v:shape id="文本框 3" o:spid="_x0000_s1026" o:spt="202" type="#_x0000_t202" style="position:absolute;left:0pt;margin-left:372.25pt;margin-top:-5.3pt;height:39.6pt;width:66.25pt;mso-position-horizontal-relative:margin;mso-wrap-distance-bottom:32.55pt;mso-wrap-distance-left:44.65pt;mso-wrap-distance-right:5pt;mso-wrap-distance-top:0pt;z-index:-251639808;mso-width-relative:page;mso-height-relative:page;" filled="f" stroked="f" coordsize="21600,21600" o:gfxdata="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Y&#10;MbEH1wAAAAoBAAAPAAAAAAAAAAEAIAAAACIAAABkcnMvZG93bnJldi54bWxQSwECFAAUAAAACACH&#10;TuJA69WtLOwBAADMAwAADgAAAAAAAAABACAAAAAmAQAAZHJzL2Uyb0RvYy54bWxQSwUGAAAAAAYA&#10;BgBZAQAAhAUAAAAA&#10;">
                <v:fill on="f" focussize="0,0"/>
                <v:stroke on="f"/>
                <v:imagedata o:title=""/>
                <o:lock v:ext="edit" aspectratio="f"/>
                <v:textbox inset="0mm,0mm,0mm,0mm" style="mso-fit-shape-to-text:t;">
                  <w:txbxContent>
                    <w:p w14:paraId="394F8406">
                      <w:pPr>
                        <w:pStyle w:val="50"/>
                        <w:shd w:val="clear" w:color="auto" w:fill="auto"/>
                        <w:tabs>
                          <w:tab w:val="left" w:leader="underscore" w:pos="470"/>
                        </w:tabs>
                        <w:spacing w:before="0" w:line="396" w:lineRule="exact"/>
                        <w:jc w:val="both"/>
                      </w:pPr>
                      <w:r>
                        <w:rPr>
                          <w:rStyle w:val="58"/>
                        </w:rPr>
                        <w:t>(</w:t>
                      </w:r>
                      <w:r>
                        <w:rPr>
                          <w:rStyle w:val="58"/>
                          <w:rFonts w:hint="eastAsia"/>
                        </w:rPr>
                        <w:t>盖单位章）</w:t>
                      </w:r>
                      <w:r>
                        <w:rPr>
                          <w:rStyle w:val="58"/>
                        </w:rPr>
                        <w:tab/>
                      </w:r>
                      <w:r>
                        <w:rPr>
                          <w:rStyle w:val="58"/>
                        </w:rPr>
                        <w:t>(</w:t>
                      </w:r>
                      <w:r>
                        <w:rPr>
                          <w:rStyle w:val="58"/>
                          <w:rFonts w:hint="eastAsia"/>
                        </w:rPr>
                        <w:t>签字</w:t>
                      </w:r>
                      <w:r>
                        <w:rPr>
                          <w:rStyle w:val="58"/>
                          <w:rFonts w:hint="eastAsia"/>
                          <w:lang w:eastAsia="en-US"/>
                        </w:rPr>
                        <w:t>）</w:t>
                      </w:r>
                    </w:p>
                  </w:txbxContent>
                </v:textbox>
                <w10:wrap type="square" side="left"/>
              </v:shape>
            </w:pict>
          </mc:Fallback>
        </mc:AlternateContent>
      </w:r>
      <w:r>
        <w:rPr>
          <w:rStyle w:val="51"/>
          <w:rFonts w:hint="eastAsia" w:ascii="宋体" w:hAnsi="宋体" w:eastAsia="宋体" w:cs="宋体"/>
          <w:color w:val="auto"/>
          <w:sz w:val="21"/>
          <w:szCs w:val="21"/>
        </w:rPr>
        <w:t>担保人名称:</w:t>
      </w:r>
      <w:r>
        <w:rPr>
          <w:rStyle w:val="51"/>
          <w:rFonts w:hint="eastAsia" w:ascii="宋体" w:hAnsi="宋体" w:eastAsia="宋体" w:cs="宋体"/>
          <w:color w:val="auto"/>
          <w:sz w:val="21"/>
          <w:szCs w:val="21"/>
        </w:rPr>
        <w:tab/>
      </w:r>
    </w:p>
    <w:p w14:paraId="07FEFB0A">
      <w:pPr>
        <w:pStyle w:val="50"/>
        <w:shd w:val="clear" w:color="auto" w:fill="auto"/>
        <w:spacing w:before="0" w:line="240" w:lineRule="auto"/>
        <w:ind w:left="3540"/>
        <w:jc w:val="both"/>
        <w:rPr>
          <w:rStyle w:val="51"/>
          <w:rFonts w:ascii="宋体" w:hAnsi="宋体" w:eastAsia="宋体" w:cs="宋体"/>
          <w:color w:val="auto"/>
          <w:sz w:val="21"/>
          <w:szCs w:val="21"/>
        </w:rPr>
      </w:pPr>
      <w:r>
        <w:rPr>
          <w:rStyle w:val="51"/>
          <w:rFonts w:hint="eastAsia" w:ascii="宋体" w:hAnsi="宋体" w:eastAsia="宋体" w:cs="宋体"/>
          <w:color w:val="auto"/>
          <w:sz w:val="21"/>
          <w:szCs w:val="21"/>
        </w:rPr>
        <w:t>法定代表人或其委托代理人:</w:t>
      </w:r>
    </w:p>
    <w:p w14:paraId="5E975DA2">
      <w:pPr>
        <w:pStyle w:val="50"/>
        <w:shd w:val="clear" w:color="auto" w:fill="auto"/>
        <w:spacing w:before="0" w:line="240" w:lineRule="auto"/>
        <w:ind w:left="3540"/>
        <w:jc w:val="both"/>
        <w:rPr>
          <w:rFonts w:ascii="宋体" w:hAnsi="宋体" w:eastAsia="宋体"/>
          <w:sz w:val="21"/>
          <w:szCs w:val="21"/>
        </w:rPr>
      </w:pPr>
      <w:r>
        <w:rPr>
          <w:rStyle w:val="51"/>
          <w:rFonts w:hint="eastAsia" w:ascii="宋体" w:hAnsi="宋体" w:eastAsia="宋体" w:cs="宋体"/>
          <w:color w:val="auto"/>
          <w:sz w:val="21"/>
          <w:szCs w:val="21"/>
        </w:rPr>
        <w:t xml:space="preserve"> 地 址：</w:t>
      </w:r>
    </w:p>
    <w:p w14:paraId="520B3B94">
      <w:pPr>
        <w:pStyle w:val="50"/>
        <w:shd w:val="clear" w:color="auto" w:fill="auto"/>
        <w:spacing w:before="0" w:line="240" w:lineRule="auto"/>
        <w:ind w:left="3709" w:leftChars="1686"/>
        <w:jc w:val="both"/>
        <w:rPr>
          <w:rFonts w:ascii="宋体" w:hAnsi="宋体" w:eastAsia="宋体"/>
          <w:sz w:val="21"/>
          <w:szCs w:val="21"/>
        </w:rPr>
      </w:pPr>
      <w:r>
        <w:rPr>
          <w:rFonts w:ascii="宋体" w:hAnsi="宋体" w:eastAsia="宋体"/>
          <w:sz w:val="21"/>
          <w:szCs w:val="21"/>
        </w:rPr>
        <mc:AlternateContent>
          <mc:Choice Requires="wps">
            <w:drawing>
              <wp:anchor distT="0" distB="222250" distL="114300" distR="114300" simplePos="0" relativeHeight="251677696" behindDoc="1" locked="0" layoutInCell="1" allowOverlap="1">
                <wp:simplePos x="0" y="0"/>
                <wp:positionH relativeFrom="margin">
                  <wp:posOffset>2197735</wp:posOffset>
                </wp:positionH>
                <wp:positionV relativeFrom="paragraph">
                  <wp:posOffset>224155</wp:posOffset>
                </wp:positionV>
                <wp:extent cx="231775" cy="356235"/>
                <wp:effectExtent l="0" t="0" r="0" b="0"/>
                <wp:wrapTopAndBottom/>
                <wp:docPr id="11" name="文本框 4"/>
                <wp:cNvGraphicFramePr/>
                <a:graphic xmlns:a="http://schemas.openxmlformats.org/drawingml/2006/main">
                  <a:graphicData uri="http://schemas.microsoft.com/office/word/2010/wordprocessingShape">
                    <wps:wsp>
                      <wps:cNvSpPr txBox="1"/>
                      <wps:spPr>
                        <a:xfrm>
                          <a:off x="0" y="0"/>
                          <a:ext cx="231775" cy="356235"/>
                        </a:xfrm>
                        <a:prstGeom prst="rect">
                          <a:avLst/>
                        </a:prstGeom>
                        <a:noFill/>
                        <a:ln>
                          <a:noFill/>
                        </a:ln>
                        <a:effectLst/>
                      </wps:spPr>
                      <wps:txbx>
                        <w:txbxContent>
                          <w:p w14:paraId="40F09C29">
                            <w:pPr>
                              <w:pStyle w:val="50"/>
                              <w:shd w:val="clear" w:color="auto" w:fill="auto"/>
                              <w:spacing w:before="0" w:after="121" w:line="220" w:lineRule="exact"/>
                              <w:jc w:val="left"/>
                            </w:pPr>
                            <w:r>
                              <w:rPr>
                                <w:rStyle w:val="58"/>
                                <w:rFonts w:hint="eastAsia"/>
                              </w:rPr>
                              <w:t>电</w:t>
                            </w:r>
                          </w:p>
                          <w:p w14:paraId="55E525A1">
                            <w:pPr>
                              <w:pStyle w:val="50"/>
                              <w:shd w:val="clear" w:color="auto" w:fill="auto"/>
                              <w:spacing w:before="0" w:line="220" w:lineRule="exact"/>
                              <w:jc w:val="left"/>
                            </w:pPr>
                            <w:r>
                              <w:rPr>
                                <w:rStyle w:val="58"/>
                                <w:rFonts w:hint="eastAsia"/>
                              </w:rPr>
                              <w:t>传</w:t>
                            </w:r>
                          </w:p>
                        </w:txbxContent>
                      </wps:txbx>
                      <wps:bodyPr wrap="square" lIns="0" tIns="0" rIns="0" bIns="0" upright="1">
                        <a:spAutoFit/>
                      </wps:bodyPr>
                    </wps:wsp>
                  </a:graphicData>
                </a:graphic>
              </wp:anchor>
            </w:drawing>
          </mc:Choice>
          <mc:Fallback>
            <w:pict>
              <v:shape id="文本框 4" o:spid="_x0000_s1026" o:spt="202" type="#_x0000_t202" style="position:absolute;left:0pt;margin-left:173.05pt;margin-top:17.65pt;height:28.05pt;width:18.25pt;mso-position-horizontal-relative:margin;mso-wrap-distance-bottom:17.5pt;mso-wrap-distance-top:0pt;z-index:-251638784;mso-width-relative:page;mso-height-relative:page;" filled="f" stroked="f" coordsize="21600,21600" o:gfxdata="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0d2XHXAAAACQEAAA8AAAAAAAAAAQAg&#10;AAAAIgAAAGRycy9kb3ducmV2LnhtbFBLAQIUABQAAAAIAIdO4kAjYQha1gEAAKgDAAAOAAAAAAAA&#10;AAEAIAAAACYBAABkcnMvZTJvRG9jLnhtbFBLBQYAAAAABgAGAFkBAABuBQAAAAA=&#10;">
                <v:fill on="f" focussize="0,0"/>
                <v:stroke on="f"/>
                <v:imagedata o:title=""/>
                <o:lock v:ext="edit" aspectratio="f"/>
                <v:textbox inset="0mm,0mm,0mm,0mm" style="mso-fit-shape-to-text:t;">
                  <w:txbxContent>
                    <w:p w14:paraId="40F09C29">
                      <w:pPr>
                        <w:pStyle w:val="50"/>
                        <w:shd w:val="clear" w:color="auto" w:fill="auto"/>
                        <w:spacing w:before="0" w:after="121" w:line="220" w:lineRule="exact"/>
                        <w:jc w:val="left"/>
                      </w:pPr>
                      <w:r>
                        <w:rPr>
                          <w:rStyle w:val="58"/>
                          <w:rFonts w:hint="eastAsia"/>
                        </w:rPr>
                        <w:t>电</w:t>
                      </w:r>
                    </w:p>
                    <w:p w14:paraId="55E525A1">
                      <w:pPr>
                        <w:pStyle w:val="50"/>
                        <w:shd w:val="clear" w:color="auto" w:fill="auto"/>
                        <w:spacing w:before="0" w:line="220" w:lineRule="exact"/>
                        <w:jc w:val="left"/>
                      </w:pPr>
                      <w:r>
                        <w:rPr>
                          <w:rStyle w:val="58"/>
                          <w:rFonts w:hint="eastAsia"/>
                        </w:rPr>
                        <w:t>传</w:t>
                      </w:r>
                    </w:p>
                  </w:txbxContent>
                </v:textbox>
                <w10:wrap type="topAndBottom"/>
              </v:shape>
            </w:pict>
          </mc:Fallback>
        </mc:AlternateContent>
      </w:r>
      <w:r>
        <w:rPr>
          <w:rFonts w:ascii="宋体" w:hAnsi="宋体" w:eastAsia="宋体"/>
          <w:sz w:val="21"/>
          <w:szCs w:val="21"/>
        </w:rPr>
        <mc:AlternateContent>
          <mc:Choice Requires="wps">
            <w:drawing>
              <wp:anchor distT="0" distB="222250" distL="114300" distR="114300" simplePos="0" relativeHeight="251678720" behindDoc="1" locked="0" layoutInCell="1" allowOverlap="1">
                <wp:simplePos x="0" y="0"/>
                <wp:positionH relativeFrom="margin">
                  <wp:posOffset>2654935</wp:posOffset>
                </wp:positionH>
                <wp:positionV relativeFrom="paragraph">
                  <wp:posOffset>224155</wp:posOffset>
                </wp:positionV>
                <wp:extent cx="201295" cy="356235"/>
                <wp:effectExtent l="0" t="0" r="0" b="0"/>
                <wp:wrapTopAndBottom/>
                <wp:docPr id="12" name="文本框 5"/>
                <wp:cNvGraphicFramePr/>
                <a:graphic xmlns:a="http://schemas.openxmlformats.org/drawingml/2006/main">
                  <a:graphicData uri="http://schemas.microsoft.com/office/word/2010/wordprocessingShape">
                    <wps:wsp>
                      <wps:cNvSpPr txBox="1"/>
                      <wps:spPr>
                        <a:xfrm>
                          <a:off x="0" y="0"/>
                          <a:ext cx="201295" cy="356235"/>
                        </a:xfrm>
                        <a:prstGeom prst="rect">
                          <a:avLst/>
                        </a:prstGeom>
                        <a:noFill/>
                        <a:ln>
                          <a:noFill/>
                        </a:ln>
                        <a:effectLst/>
                      </wps:spPr>
                      <wps:txbx>
                        <w:txbxContent>
                          <w:p w14:paraId="6B70ED5A">
                            <w:pPr>
                              <w:pStyle w:val="50"/>
                              <w:shd w:val="clear" w:color="auto" w:fill="auto"/>
                              <w:spacing w:before="0" w:after="121" w:line="220" w:lineRule="exact"/>
                              <w:jc w:val="left"/>
                            </w:pPr>
                            <w:r>
                              <w:rPr>
                                <w:rStyle w:val="58"/>
                                <w:rFonts w:hint="eastAsia"/>
                              </w:rPr>
                              <w:t>话</w:t>
                            </w:r>
                          </w:p>
                          <w:p w14:paraId="6FD17FB0">
                            <w:pPr>
                              <w:pStyle w:val="50"/>
                              <w:shd w:val="clear" w:color="auto" w:fill="auto"/>
                              <w:spacing w:before="0" w:line="220" w:lineRule="exact"/>
                              <w:jc w:val="left"/>
                            </w:pPr>
                            <w:r>
                              <w:rPr>
                                <w:rStyle w:val="58"/>
                                <w:rFonts w:hint="eastAsia"/>
                              </w:rPr>
                              <w:t>真</w:t>
                            </w:r>
                          </w:p>
                        </w:txbxContent>
                      </wps:txbx>
                      <wps:bodyPr wrap="square" lIns="0" tIns="0" rIns="0" bIns="0" upright="1">
                        <a:spAutoFit/>
                      </wps:bodyPr>
                    </wps:wsp>
                  </a:graphicData>
                </a:graphic>
              </wp:anchor>
            </w:drawing>
          </mc:Choice>
          <mc:Fallback>
            <w:pict>
              <v:shape id="文本框 5" o:spid="_x0000_s1026" o:spt="202" type="#_x0000_t202" style="position:absolute;left:0pt;margin-left:209.05pt;margin-top:17.65pt;height:28.05pt;width:15.85pt;mso-position-horizontal-relative:margin;mso-wrap-distance-bottom:17.5pt;mso-wrap-distance-top:0pt;z-index:-251637760;mso-width-relative:page;mso-height-relative:page;" filled="f" stroked="f" coordsize="21600,21600" o:gfxdata="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0eE7HWAAAACQEAAA8AAAAAAAAAAQAgAAAA&#10;IgAAAGRycy9kb3ducmV2LnhtbFBLAQIUABQAAAAIAIdO4kACqqnJ1AEAAKgDAAAOAAAAAAAAAAEA&#10;IAAAACUBAABkcnMvZTJvRG9jLnhtbFBLBQYAAAAABgAGAFkBAABrBQAAAAA=&#10;">
                <v:fill on="f" focussize="0,0"/>
                <v:stroke on="f"/>
                <v:imagedata o:title=""/>
                <o:lock v:ext="edit" aspectratio="f"/>
                <v:textbox inset="0mm,0mm,0mm,0mm" style="mso-fit-shape-to-text:t;">
                  <w:txbxContent>
                    <w:p w14:paraId="6B70ED5A">
                      <w:pPr>
                        <w:pStyle w:val="50"/>
                        <w:shd w:val="clear" w:color="auto" w:fill="auto"/>
                        <w:spacing w:before="0" w:after="121" w:line="220" w:lineRule="exact"/>
                        <w:jc w:val="left"/>
                      </w:pPr>
                      <w:r>
                        <w:rPr>
                          <w:rStyle w:val="58"/>
                          <w:rFonts w:hint="eastAsia"/>
                        </w:rPr>
                        <w:t>话</w:t>
                      </w:r>
                    </w:p>
                    <w:p w14:paraId="6FD17FB0">
                      <w:pPr>
                        <w:pStyle w:val="50"/>
                        <w:shd w:val="clear" w:color="auto" w:fill="auto"/>
                        <w:spacing w:before="0" w:line="220" w:lineRule="exact"/>
                        <w:jc w:val="left"/>
                      </w:pPr>
                      <w:r>
                        <w:rPr>
                          <w:rStyle w:val="58"/>
                          <w:rFonts w:hint="eastAsia"/>
                        </w:rPr>
                        <w:t>真</w:t>
                      </w:r>
                    </w:p>
                  </w:txbxContent>
                </v:textbox>
                <w10:wrap type="topAndBottom"/>
              </v:shape>
            </w:pict>
          </mc:Fallback>
        </mc:AlternateContent>
      </w:r>
      <w:r>
        <w:rPr>
          <w:rFonts w:ascii="宋体" w:hAnsi="宋体" w:eastAsia="宋体"/>
          <w:sz w:val="21"/>
          <w:szCs w:val="21"/>
        </w:rPr>
        <mc:AlternateContent>
          <mc:Choice Requires="wps">
            <w:drawing>
              <wp:anchor distT="0" distB="0" distL="114300" distR="114300" simplePos="0" relativeHeight="251679744" behindDoc="1" locked="0" layoutInCell="1" allowOverlap="1">
                <wp:simplePos x="0" y="0"/>
                <wp:positionH relativeFrom="margin">
                  <wp:posOffset>4117975</wp:posOffset>
                </wp:positionH>
                <wp:positionV relativeFrom="paragraph">
                  <wp:posOffset>735965</wp:posOffset>
                </wp:positionV>
                <wp:extent cx="231775" cy="139700"/>
                <wp:effectExtent l="0" t="0" r="0" b="0"/>
                <wp:wrapTopAndBottom/>
                <wp:docPr id="13" name="文本框 6"/>
                <wp:cNvGraphicFramePr/>
                <a:graphic xmlns:a="http://schemas.openxmlformats.org/drawingml/2006/main">
                  <a:graphicData uri="http://schemas.microsoft.com/office/word/2010/wordprocessingShape">
                    <wps:wsp>
                      <wps:cNvSpPr txBox="1"/>
                      <wps:spPr>
                        <a:xfrm>
                          <a:off x="0" y="0"/>
                          <a:ext cx="231775" cy="139700"/>
                        </a:xfrm>
                        <a:prstGeom prst="rect">
                          <a:avLst/>
                        </a:prstGeom>
                        <a:noFill/>
                        <a:ln>
                          <a:noFill/>
                        </a:ln>
                        <a:effectLst/>
                      </wps:spPr>
                      <wps:txbx>
                        <w:txbxContent>
                          <w:p w14:paraId="55A49FCF">
                            <w:pPr>
                              <w:pStyle w:val="50"/>
                              <w:shd w:val="clear" w:color="auto" w:fill="auto"/>
                              <w:spacing w:before="0" w:line="220" w:lineRule="exact"/>
                              <w:jc w:val="left"/>
                            </w:pPr>
                            <w:r>
                              <w:rPr>
                                <w:rStyle w:val="58"/>
                                <w:rFonts w:hint="eastAsia"/>
                              </w:rPr>
                              <w:t>年</w:t>
                            </w:r>
                          </w:p>
                        </w:txbxContent>
                      </wps:txbx>
                      <wps:bodyPr wrap="square" lIns="0" tIns="0" rIns="0" bIns="0" upright="1">
                        <a:spAutoFit/>
                      </wps:bodyPr>
                    </wps:wsp>
                  </a:graphicData>
                </a:graphic>
              </wp:anchor>
            </w:drawing>
          </mc:Choice>
          <mc:Fallback>
            <w:pict>
              <v:shape id="文本框 6" o:spid="_x0000_s1026" o:spt="202" type="#_x0000_t202" style="position:absolute;left:0pt;margin-left:324.25pt;margin-top:57.95pt;height:11pt;width:18.25pt;mso-position-horizontal-relative:margin;mso-wrap-distance-bottom:0pt;mso-wrap-distance-top:0pt;z-index:-251636736;mso-width-relative:page;mso-height-relative:page;" filled="f" stroked="f" coordsize="21600,21600" o:gfxdata="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u6Ti9cAAAALAQAADwAAAAAAAAABACAA&#10;AAAiAAAAZHJzL2Rvd25yZXYueG1sUEsBAhQAFAAAAAgAh07iQCP/pGDVAQAAqAMAAA4AAAAAAAAA&#10;AQAgAAAAJgEAAGRycy9lMm9Eb2MueG1sUEsFBgAAAAAGAAYAWQEAAG0FAAAAAA==&#10;">
                <v:fill on="f" focussize="0,0"/>
                <v:stroke on="f"/>
                <v:imagedata o:title=""/>
                <o:lock v:ext="edit" aspectratio="f"/>
                <v:textbox inset="0mm,0mm,0mm,0mm" style="mso-fit-shape-to-text:t;">
                  <w:txbxContent>
                    <w:p w14:paraId="55A49FCF">
                      <w:pPr>
                        <w:pStyle w:val="50"/>
                        <w:shd w:val="clear" w:color="auto" w:fill="auto"/>
                        <w:spacing w:before="0" w:line="220" w:lineRule="exact"/>
                        <w:jc w:val="left"/>
                      </w:pPr>
                      <w:r>
                        <w:rPr>
                          <w:rStyle w:val="58"/>
                          <w:rFonts w:hint="eastAsia"/>
                        </w:rPr>
                        <w:t>年</w:t>
                      </w:r>
                    </w:p>
                  </w:txbxContent>
                </v:textbox>
                <w10:wrap type="topAndBottom"/>
              </v:shape>
            </w:pict>
          </mc:Fallback>
        </mc:AlternateContent>
      </w:r>
      <w:r>
        <w:rPr>
          <w:rFonts w:ascii="宋体" w:hAnsi="宋体" w:eastAsia="宋体"/>
          <w:sz w:val="21"/>
          <w:szCs w:val="21"/>
        </w:rPr>
        <mc:AlternateContent>
          <mc:Choice Requires="wps">
            <w:drawing>
              <wp:anchor distT="0" distB="0" distL="114300" distR="114300" simplePos="0" relativeHeight="251680768" behindDoc="1" locked="0" layoutInCell="1" allowOverlap="1">
                <wp:simplePos x="0" y="0"/>
                <wp:positionH relativeFrom="margin">
                  <wp:posOffset>4727575</wp:posOffset>
                </wp:positionH>
                <wp:positionV relativeFrom="paragraph">
                  <wp:posOffset>735965</wp:posOffset>
                </wp:positionV>
                <wp:extent cx="207010" cy="139700"/>
                <wp:effectExtent l="0" t="0" r="0" b="0"/>
                <wp:wrapTopAndBottom/>
                <wp:docPr id="18" name="文本框 7"/>
                <wp:cNvGraphicFramePr/>
                <a:graphic xmlns:a="http://schemas.openxmlformats.org/drawingml/2006/main">
                  <a:graphicData uri="http://schemas.microsoft.com/office/word/2010/wordprocessingShape">
                    <wps:wsp>
                      <wps:cNvSpPr txBox="1"/>
                      <wps:spPr>
                        <a:xfrm>
                          <a:off x="0" y="0"/>
                          <a:ext cx="207010" cy="139700"/>
                        </a:xfrm>
                        <a:prstGeom prst="rect">
                          <a:avLst/>
                        </a:prstGeom>
                        <a:noFill/>
                        <a:ln>
                          <a:noFill/>
                        </a:ln>
                        <a:effectLst/>
                      </wps:spPr>
                      <wps:txbx>
                        <w:txbxContent>
                          <w:p w14:paraId="00E36D4A">
                            <w:pPr>
                              <w:pStyle w:val="50"/>
                              <w:shd w:val="clear" w:color="auto" w:fill="auto"/>
                              <w:spacing w:before="0" w:line="220" w:lineRule="exact"/>
                              <w:jc w:val="left"/>
                            </w:pPr>
                            <w:r>
                              <w:rPr>
                                <w:rStyle w:val="58"/>
                                <w:rFonts w:hint="eastAsia"/>
                              </w:rPr>
                              <w:t>月</w:t>
                            </w:r>
                          </w:p>
                        </w:txbxContent>
                      </wps:txbx>
                      <wps:bodyPr wrap="square" lIns="0" tIns="0" rIns="0" bIns="0" upright="1">
                        <a:spAutoFit/>
                      </wps:bodyPr>
                    </wps:wsp>
                  </a:graphicData>
                </a:graphic>
              </wp:anchor>
            </w:drawing>
          </mc:Choice>
          <mc:Fallback>
            <w:pict>
              <v:shape id="文本框 7" o:spid="_x0000_s1026" o:spt="202" type="#_x0000_t202" style="position:absolute;left:0pt;margin-left:372.25pt;margin-top:57.95pt;height:11pt;width:16.3pt;mso-position-horizontal-relative:margin;mso-wrap-distance-bottom:0pt;mso-wrap-distance-top:0pt;z-index:-251635712;mso-width-relative:page;mso-height-relative:page;" filled="f" stroked="f" coordsize="21600,21600" o:gfxdata="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PrX3D1wAAAAsBAAAPAAAAAAAAAAEAIAAA&#10;ACIAAABkcnMvZG93bnJldi54bWxQSwECFAAUAAAACACHTuJAUgnxOtQBAACoAwAADgAAAAAAAAAB&#10;ACAAAAAmAQAAZHJzL2Uyb0RvYy54bWxQSwUGAAAAAAYABgBZAQAAbAUAAAAA&#10;">
                <v:fill on="f" focussize="0,0"/>
                <v:stroke on="f"/>
                <v:imagedata o:title=""/>
                <o:lock v:ext="edit" aspectratio="f"/>
                <v:textbox inset="0mm,0mm,0mm,0mm" style="mso-fit-shape-to-text:t;">
                  <w:txbxContent>
                    <w:p w14:paraId="00E36D4A">
                      <w:pPr>
                        <w:pStyle w:val="50"/>
                        <w:shd w:val="clear" w:color="auto" w:fill="auto"/>
                        <w:spacing w:before="0" w:line="220" w:lineRule="exact"/>
                        <w:jc w:val="left"/>
                      </w:pPr>
                      <w:r>
                        <w:rPr>
                          <w:rStyle w:val="58"/>
                          <w:rFonts w:hint="eastAsia"/>
                        </w:rPr>
                        <w:t>月</w:t>
                      </w:r>
                    </w:p>
                  </w:txbxContent>
                </v:textbox>
                <w10:wrap type="topAndBottom"/>
              </v:shape>
            </w:pict>
          </mc:Fallback>
        </mc:AlternateContent>
      </w:r>
      <w:r>
        <w:rPr>
          <w:rFonts w:ascii="宋体" w:hAnsi="宋体" w:eastAsia="宋体"/>
          <w:sz w:val="21"/>
          <w:szCs w:val="21"/>
        </w:rPr>
        <mc:AlternateContent>
          <mc:Choice Requires="wps">
            <w:drawing>
              <wp:anchor distT="0" distB="0" distL="114300" distR="114300" simplePos="0" relativeHeight="251681792" behindDoc="1" locked="0" layoutInCell="1" allowOverlap="1">
                <wp:simplePos x="0" y="0"/>
                <wp:positionH relativeFrom="margin">
                  <wp:posOffset>5361305</wp:posOffset>
                </wp:positionH>
                <wp:positionV relativeFrom="paragraph">
                  <wp:posOffset>742315</wp:posOffset>
                </wp:positionV>
                <wp:extent cx="189230" cy="139700"/>
                <wp:effectExtent l="0" t="0" r="0" b="0"/>
                <wp:wrapTopAndBottom/>
                <wp:docPr id="19" name="文本框 8"/>
                <wp:cNvGraphicFramePr/>
                <a:graphic xmlns:a="http://schemas.openxmlformats.org/drawingml/2006/main">
                  <a:graphicData uri="http://schemas.microsoft.com/office/word/2010/wordprocessingShape">
                    <wps:wsp>
                      <wps:cNvSpPr txBox="1"/>
                      <wps:spPr>
                        <a:xfrm>
                          <a:off x="0" y="0"/>
                          <a:ext cx="189230" cy="139700"/>
                        </a:xfrm>
                        <a:prstGeom prst="rect">
                          <a:avLst/>
                        </a:prstGeom>
                        <a:noFill/>
                        <a:ln>
                          <a:noFill/>
                        </a:ln>
                        <a:effectLst/>
                      </wps:spPr>
                      <wps:txbx>
                        <w:txbxContent>
                          <w:p w14:paraId="6998F2F0">
                            <w:pPr>
                              <w:pStyle w:val="50"/>
                              <w:shd w:val="clear" w:color="auto" w:fill="auto"/>
                              <w:spacing w:before="0" w:line="220" w:lineRule="exact"/>
                              <w:jc w:val="left"/>
                            </w:pPr>
                            <w:r>
                              <w:rPr>
                                <w:rStyle w:val="58"/>
                                <w:rFonts w:hint="eastAsia"/>
                              </w:rPr>
                              <w:t>曰</w:t>
                            </w:r>
                          </w:p>
                        </w:txbxContent>
                      </wps:txbx>
                      <wps:bodyPr wrap="square" lIns="0" tIns="0" rIns="0" bIns="0" upright="1">
                        <a:spAutoFit/>
                      </wps:bodyPr>
                    </wps:wsp>
                  </a:graphicData>
                </a:graphic>
              </wp:anchor>
            </w:drawing>
          </mc:Choice>
          <mc:Fallback>
            <w:pict>
              <v:shape id="文本框 8" o:spid="_x0000_s1026" o:spt="202" type="#_x0000_t202" style="position:absolute;left:0pt;margin-left:422.15pt;margin-top:58.45pt;height:11pt;width:14.9pt;mso-position-horizontal-relative:margin;mso-wrap-distance-bottom:0pt;mso-wrap-distance-top:0pt;z-index:-251634688;mso-width-relative:page;mso-height-relative:page;" filled="f" stroked="f" coordsize="21600,21600" o:gfxdata="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FJnDaNcAAAALAQAADwAAAAAAAAABACAA&#10;AAAiAAAAZHJzL2Rvd25yZXYueG1sUEsBAhQAFAAAAAgAh07iQHqH/HnVAQAAqAMAAA4AAAAAAAAA&#10;AQAgAAAAJgEAAGRycy9lMm9Eb2MueG1sUEsFBgAAAAAGAAYAWQEAAG0FAAAAAA==&#10;">
                <v:fill on="f" focussize="0,0"/>
                <v:stroke on="f"/>
                <v:imagedata o:title=""/>
                <o:lock v:ext="edit" aspectratio="f"/>
                <v:textbox inset="0mm,0mm,0mm,0mm" style="mso-fit-shape-to-text:t;">
                  <w:txbxContent>
                    <w:p w14:paraId="6998F2F0">
                      <w:pPr>
                        <w:pStyle w:val="50"/>
                        <w:shd w:val="clear" w:color="auto" w:fill="auto"/>
                        <w:spacing w:before="0" w:line="220" w:lineRule="exact"/>
                        <w:jc w:val="left"/>
                      </w:pPr>
                      <w:r>
                        <w:rPr>
                          <w:rStyle w:val="58"/>
                          <w:rFonts w:hint="eastAsia"/>
                        </w:rPr>
                        <w:t>曰</w:t>
                      </w:r>
                    </w:p>
                  </w:txbxContent>
                </v:textbox>
                <w10:wrap type="topAndBottom"/>
              </v:shape>
            </w:pict>
          </mc:Fallback>
        </mc:AlternateContent>
      </w:r>
      <w:r>
        <w:rPr>
          <w:rStyle w:val="51"/>
          <w:rFonts w:hint="eastAsia" w:ascii="宋体" w:hAnsi="宋体" w:eastAsia="宋体" w:cs="宋体"/>
          <w:color w:val="auto"/>
          <w:sz w:val="21"/>
          <w:szCs w:val="21"/>
        </w:rPr>
        <w:t>邮政编码</w:t>
      </w:r>
    </w:p>
    <w:p w14:paraId="15844B6D">
      <w:pPr>
        <w:pStyle w:val="56"/>
        <w:shd w:val="clear" w:color="auto" w:fill="auto"/>
        <w:tabs>
          <w:tab w:val="left" w:leader="underscore" w:pos="3434"/>
          <w:tab w:val="left" w:leader="underscore" w:pos="6547"/>
        </w:tabs>
        <w:spacing w:before="0" w:line="240" w:lineRule="auto"/>
        <w:jc w:val="both"/>
        <w:rPr>
          <w:rFonts w:ascii="宋体" w:hAnsi="宋体" w:eastAsia="宋体"/>
          <w:sz w:val="21"/>
          <w:szCs w:val="21"/>
        </w:rPr>
      </w:pPr>
    </w:p>
    <w:p w14:paraId="622B0966">
      <w:pPr>
        <w:pStyle w:val="56"/>
        <w:shd w:val="clear" w:color="auto" w:fill="auto"/>
        <w:tabs>
          <w:tab w:val="left" w:leader="underscore" w:pos="3434"/>
          <w:tab w:val="left" w:leader="underscore" w:pos="6547"/>
        </w:tabs>
        <w:spacing w:before="0" w:line="240" w:lineRule="auto"/>
        <w:jc w:val="both"/>
        <w:rPr>
          <w:rFonts w:ascii="宋体" w:hAnsi="宋体" w:eastAsia="宋体"/>
          <w:sz w:val="21"/>
          <w:szCs w:val="21"/>
        </w:rPr>
      </w:pPr>
      <w:r>
        <w:rPr>
          <w:rFonts w:hint="eastAsia" w:ascii="宋体" w:hAnsi="宋体" w:eastAsia="宋体"/>
          <w:sz w:val="21"/>
          <w:szCs w:val="21"/>
        </w:rPr>
        <w:t>®本条内容可修改为：“本担保自</w:t>
      </w:r>
      <w:r>
        <w:rPr>
          <w:rFonts w:hint="eastAsia" w:ascii="宋体" w:hAnsi="宋体" w:eastAsia="宋体"/>
          <w:sz w:val="21"/>
          <w:szCs w:val="21"/>
        </w:rPr>
        <w:tab/>
      </w:r>
      <w:r>
        <w:rPr>
          <w:rFonts w:hint="eastAsia" w:ascii="宋体" w:hAnsi="宋体" w:eastAsia="宋体"/>
          <w:sz w:val="21"/>
          <w:szCs w:val="21"/>
        </w:rPr>
        <w:t>(生效日期）之日起生效，至</w:t>
      </w:r>
      <w:r>
        <w:rPr>
          <w:rFonts w:hint="eastAsia" w:ascii="宋体" w:hAnsi="宋体" w:eastAsia="宋体"/>
          <w:sz w:val="21"/>
          <w:szCs w:val="21"/>
        </w:rPr>
        <w:tab/>
      </w:r>
      <w:r>
        <w:rPr>
          <w:rFonts w:hint="eastAsia" w:ascii="宋体" w:hAnsi="宋体" w:eastAsia="宋体"/>
          <w:sz w:val="21"/>
          <w:szCs w:val="21"/>
        </w:rPr>
        <w:t>(失效日期）之日失效。”</w:t>
      </w:r>
    </w:p>
    <w:p w14:paraId="4433D1B0">
      <w:pPr>
        <w:ind w:firstLine="422"/>
        <w:rPr>
          <w:szCs w:val="21"/>
        </w:rPr>
      </w:pPr>
      <w:r>
        <w:rPr>
          <w:rFonts w:hint="eastAsia"/>
          <w:szCs w:val="21"/>
        </w:rPr>
        <w:t>如发包人接受履约保函采用固定有效期，在项目专用合同条款中应增加保证承包人在履约保函失效日前向发 包人出具后续阶段履约保函的约束性条款，直至发包人签发交工验收证书且承包人按照合同约定缴纳质量保 证金之日为止。</w:t>
      </w:r>
    </w:p>
    <w:p w14:paraId="502A37A9">
      <w:pPr>
        <w:ind w:firstLine="422"/>
      </w:pPr>
    </w:p>
    <w:p w14:paraId="6E96C19B">
      <w:pPr>
        <w:pStyle w:val="5"/>
        <w:ind w:firstLine="562"/>
        <w:rPr>
          <w:sz w:val="21"/>
          <w:szCs w:val="21"/>
        </w:rPr>
      </w:pPr>
      <w:r>
        <w:rPr>
          <w:rFonts w:hint="eastAsia"/>
        </w:rPr>
        <w:br w:type="page"/>
      </w:r>
      <w:bookmarkStart w:id="127" w:name="_Toc394929424"/>
      <w:r>
        <w:rPr>
          <w:rFonts w:hint="eastAsia"/>
          <w:sz w:val="21"/>
          <w:szCs w:val="21"/>
        </w:rPr>
        <w:t>附件八  工程资金监管协议格式</w:t>
      </w:r>
      <w:bookmarkEnd w:id="127"/>
    </w:p>
    <w:p w14:paraId="636091D7">
      <w:pPr>
        <w:keepNext w:val="0"/>
        <w:keepLines w:val="0"/>
        <w:pageBreakBefore w:val="0"/>
        <w:widowControl w:val="0"/>
        <w:kinsoku/>
        <w:wordWrap/>
        <w:overflowPunct/>
        <w:topLinePunct w:val="0"/>
        <w:autoSpaceDE w:val="0"/>
        <w:autoSpaceDN w:val="0"/>
        <w:bidi w:val="0"/>
        <w:adjustRightInd/>
        <w:snapToGrid/>
        <w:spacing w:line="360" w:lineRule="auto"/>
        <w:ind w:firstLine="422"/>
        <w:textAlignment w:val="auto"/>
        <w:rPr>
          <w:szCs w:val="21"/>
        </w:rPr>
      </w:pPr>
    </w:p>
    <w:p w14:paraId="7FC2EF1E">
      <w:pPr>
        <w:pStyle w:val="50"/>
        <w:keepNext w:val="0"/>
        <w:keepLines w:val="0"/>
        <w:pageBreakBefore w:val="0"/>
        <w:widowControl w:val="0"/>
        <w:shd w:val="clear" w:color="auto" w:fill="auto"/>
        <w:kinsoku/>
        <w:wordWrap/>
        <w:overflowPunct/>
        <w:topLinePunct w:val="0"/>
        <w:autoSpaceDE w:val="0"/>
        <w:autoSpaceDN w:val="0"/>
        <w:bidi w:val="0"/>
        <w:adjustRightInd/>
        <w:snapToGrid/>
        <w:spacing w:before="0" w:after="362" w:line="360" w:lineRule="auto"/>
        <w:ind w:firstLine="422"/>
        <w:jc w:val="both"/>
        <w:textAlignment w:val="auto"/>
        <w:rPr>
          <w:rFonts w:ascii="宋体" w:hAnsi="宋体" w:eastAsia="宋体"/>
          <w:sz w:val="21"/>
          <w:szCs w:val="21"/>
        </w:rPr>
      </w:pPr>
      <w:r>
        <w:rPr>
          <w:rStyle w:val="51"/>
          <w:rFonts w:hint="eastAsia" w:ascii="宋体" w:hAnsi="宋体" w:eastAsia="宋体" w:cs="宋体"/>
          <w:color w:val="auto"/>
          <w:sz w:val="21"/>
          <w:szCs w:val="21"/>
        </w:rPr>
        <w:t xml:space="preserve"> (发包人与承包人签订合同协议书时应与发包人指定的银行签署工程资金监管协议，工程资金监管协议内容在保证本项目资金有效监管的前提下由三方共同商定)</w:t>
      </w:r>
    </w:p>
    <w:p w14:paraId="599B8D38">
      <w:pPr>
        <w:keepNext w:val="0"/>
        <w:keepLines w:val="0"/>
        <w:pageBreakBefore w:val="0"/>
        <w:widowControl w:val="0"/>
        <w:kinsoku/>
        <w:wordWrap/>
        <w:overflowPunct/>
        <w:topLinePunct w:val="0"/>
        <w:autoSpaceDE w:val="0"/>
        <w:autoSpaceDN w:val="0"/>
        <w:bidi w:val="0"/>
        <w:adjustRightInd/>
        <w:snapToGrid/>
        <w:spacing w:line="360" w:lineRule="auto"/>
        <w:ind w:firstLine="422"/>
        <w:jc w:val="center"/>
        <w:textAlignment w:val="auto"/>
        <w:rPr>
          <w:sz w:val="32"/>
          <w:szCs w:val="32"/>
        </w:rPr>
      </w:pPr>
      <w:bookmarkStart w:id="128" w:name="bookmark202"/>
      <w:r>
        <w:rPr>
          <w:rStyle w:val="55"/>
          <w:rFonts w:hint="eastAsia" w:ascii="宋体" w:hAnsi="宋体" w:eastAsia="宋体" w:cs="宋体"/>
          <w:color w:val="auto"/>
          <w:sz w:val="32"/>
          <w:szCs w:val="32"/>
        </w:rPr>
        <w:t>工程资金监管协议</w:t>
      </w:r>
      <w:bookmarkEnd w:id="128"/>
    </w:p>
    <w:p w14:paraId="5CD74AEB">
      <w:pPr>
        <w:pStyle w:val="50"/>
        <w:keepNext w:val="0"/>
        <w:keepLines w:val="0"/>
        <w:pageBreakBefore w:val="0"/>
        <w:widowControl w:val="0"/>
        <w:shd w:val="clear" w:color="auto" w:fill="auto"/>
        <w:tabs>
          <w:tab w:val="left" w:leader="underscore" w:pos="2930"/>
        </w:tabs>
        <w:kinsoku/>
        <w:wordWrap/>
        <w:overflowPunct/>
        <w:topLinePunct w:val="0"/>
        <w:autoSpaceDE w:val="0"/>
        <w:autoSpaceDN w:val="0"/>
        <w:bidi w:val="0"/>
        <w:adjustRightInd/>
        <w:snapToGrid/>
        <w:spacing w:before="0" w:line="360" w:lineRule="auto"/>
        <w:ind w:firstLine="442"/>
        <w:jc w:val="both"/>
        <w:textAlignment w:val="auto"/>
        <w:rPr>
          <w:rFonts w:ascii="宋体" w:hAnsi="宋体" w:eastAsia="宋体"/>
          <w:sz w:val="21"/>
          <w:szCs w:val="21"/>
        </w:rPr>
      </w:pPr>
      <w:r>
        <w:rPr>
          <w:rStyle w:val="57"/>
          <w:rFonts w:hint="eastAsia" w:ascii="宋体" w:hAnsi="宋体" w:eastAsia="宋体" w:cs="宋体"/>
          <w:i w:val="0"/>
          <w:color w:val="auto"/>
          <w:sz w:val="21"/>
          <w:szCs w:val="21"/>
        </w:rPr>
        <w:t>发包人:</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(以下简称“甲方”）</w:t>
      </w:r>
    </w:p>
    <w:p w14:paraId="1F1150A9">
      <w:pPr>
        <w:pStyle w:val="50"/>
        <w:keepNext w:val="0"/>
        <w:keepLines w:val="0"/>
        <w:pageBreakBefore w:val="0"/>
        <w:widowControl w:val="0"/>
        <w:shd w:val="clear" w:color="auto" w:fill="auto"/>
        <w:tabs>
          <w:tab w:val="left" w:leader="underscore" w:pos="2930"/>
        </w:tabs>
        <w:kinsoku/>
        <w:wordWrap/>
        <w:overflowPunct/>
        <w:topLinePunct w:val="0"/>
        <w:autoSpaceDE w:val="0"/>
        <w:autoSpaceDN w:val="0"/>
        <w:bidi w:val="0"/>
        <w:adjustRightInd/>
        <w:snapToGrid/>
        <w:spacing w:before="0" w:line="360" w:lineRule="auto"/>
        <w:ind w:firstLine="420" w:firstLineChars="200"/>
        <w:jc w:val="both"/>
        <w:textAlignment w:val="auto"/>
        <w:rPr>
          <w:rFonts w:ascii="宋体" w:hAnsi="宋体" w:eastAsia="宋体"/>
          <w:sz w:val="21"/>
          <w:szCs w:val="21"/>
        </w:rPr>
      </w:pPr>
      <w:r>
        <w:rPr>
          <w:rStyle w:val="51"/>
          <w:rFonts w:hint="eastAsia" w:ascii="宋体" w:hAnsi="宋体" w:eastAsia="宋体" w:cs="宋体"/>
          <w:color w:val="auto"/>
          <w:sz w:val="21"/>
          <w:szCs w:val="21"/>
        </w:rPr>
        <w:t>承包人：</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(以下简称“乙方”）</w:t>
      </w:r>
    </w:p>
    <w:p w14:paraId="09F119B7">
      <w:pPr>
        <w:pStyle w:val="50"/>
        <w:keepNext w:val="0"/>
        <w:keepLines w:val="0"/>
        <w:pageBreakBefore w:val="0"/>
        <w:widowControl w:val="0"/>
        <w:shd w:val="clear" w:color="auto" w:fill="auto"/>
        <w:tabs>
          <w:tab w:val="left" w:leader="underscore" w:pos="2930"/>
        </w:tabs>
        <w:kinsoku/>
        <w:wordWrap/>
        <w:overflowPunct/>
        <w:topLinePunct w:val="0"/>
        <w:autoSpaceDE w:val="0"/>
        <w:autoSpaceDN w:val="0"/>
        <w:bidi w:val="0"/>
        <w:adjustRightInd/>
        <w:snapToGrid/>
        <w:spacing w:before="0" w:after="300" w:line="360" w:lineRule="auto"/>
        <w:ind w:firstLine="420" w:firstLineChars="200"/>
        <w:jc w:val="both"/>
        <w:textAlignment w:val="auto"/>
        <w:rPr>
          <w:rFonts w:ascii="宋体" w:hAnsi="宋体" w:eastAsia="宋体"/>
          <w:sz w:val="21"/>
          <w:szCs w:val="21"/>
        </w:rPr>
      </w:pPr>
      <w:r>
        <w:rPr>
          <w:rStyle w:val="51"/>
          <w:rFonts w:hint="eastAsia" w:ascii="宋体" w:hAnsi="宋体" w:eastAsia="宋体" w:cs="宋体"/>
          <w:color w:val="auto"/>
          <w:sz w:val="21"/>
          <w:szCs w:val="21"/>
        </w:rPr>
        <w:t>经办银行：</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(以下简称“丙方”）</w:t>
      </w:r>
    </w:p>
    <w:p w14:paraId="7694A505">
      <w:pPr>
        <w:pStyle w:val="50"/>
        <w:keepNext w:val="0"/>
        <w:keepLines w:val="0"/>
        <w:pageBreakBefore w:val="0"/>
        <w:widowControl w:val="0"/>
        <w:shd w:val="clear" w:color="auto" w:fill="auto"/>
        <w:tabs>
          <w:tab w:val="left" w:leader="underscore" w:pos="2482"/>
        </w:tabs>
        <w:kinsoku/>
        <w:wordWrap/>
        <w:overflowPunct/>
        <w:topLinePunct w:val="0"/>
        <w:autoSpaceDE w:val="0"/>
        <w:autoSpaceDN w:val="0"/>
        <w:bidi w:val="0"/>
        <w:adjustRightInd/>
        <w:snapToGrid/>
        <w:spacing w:before="0" w:line="360" w:lineRule="auto"/>
        <w:ind w:left="520"/>
        <w:jc w:val="both"/>
        <w:textAlignment w:val="auto"/>
        <w:rPr>
          <w:rFonts w:ascii="宋体" w:hAnsi="宋体" w:eastAsia="宋体"/>
          <w:sz w:val="21"/>
          <w:szCs w:val="21"/>
        </w:rPr>
      </w:pPr>
      <w:r>
        <w:rPr>
          <w:rStyle w:val="51"/>
          <w:rFonts w:hint="eastAsia" w:ascii="宋体" w:hAnsi="宋体" w:eastAsia="宋体" w:cs="宋体"/>
          <w:color w:val="auto"/>
          <w:sz w:val="21"/>
          <w:szCs w:val="21"/>
        </w:rPr>
        <w:t>为了促进</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(项目名称）的顺利实施，管好用好建设资金，确保工程资金专款专用，同时为承包人提供便捷有效的银行业务服务，根据</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(项目名称)合同条款有关规定，经甲、乙、丙三方协商，达成协议如下：</w:t>
      </w:r>
    </w:p>
    <w:p w14:paraId="1F341F6C">
      <w:pPr>
        <w:pStyle w:val="50"/>
        <w:keepNext w:val="0"/>
        <w:keepLines w:val="0"/>
        <w:pageBreakBefore w:val="0"/>
        <w:widowControl w:val="0"/>
        <w:numPr>
          <w:ilvl w:val="0"/>
          <w:numId w:val="8"/>
        </w:numPr>
        <w:shd w:val="clear" w:color="auto" w:fill="auto"/>
        <w:tabs>
          <w:tab w:val="left" w:pos="854"/>
        </w:tabs>
        <w:kinsoku/>
        <w:wordWrap/>
        <w:overflowPunct/>
        <w:topLinePunct w:val="0"/>
        <w:autoSpaceDE w:val="0"/>
        <w:autoSpaceDN w:val="0"/>
        <w:bidi w:val="0"/>
        <w:adjustRightInd/>
        <w:snapToGrid/>
        <w:spacing w:before="0" w:line="360" w:lineRule="auto"/>
        <w:ind w:left="520"/>
        <w:jc w:val="both"/>
        <w:textAlignment w:val="auto"/>
        <w:rPr>
          <w:rFonts w:ascii="宋体" w:hAnsi="宋体" w:eastAsia="宋体"/>
          <w:sz w:val="21"/>
          <w:szCs w:val="21"/>
        </w:rPr>
      </w:pPr>
      <w:r>
        <w:rPr>
          <w:rStyle w:val="51"/>
          <w:rFonts w:hint="eastAsia" w:ascii="宋体" w:hAnsi="宋体" w:eastAsia="宋体" w:cs="宋体"/>
          <w:color w:val="auto"/>
          <w:sz w:val="21"/>
          <w:szCs w:val="21"/>
        </w:rPr>
        <w:t>资金管理的内容</w:t>
      </w:r>
    </w:p>
    <w:p w14:paraId="0235935F">
      <w:pPr>
        <w:pStyle w:val="50"/>
        <w:keepNext w:val="0"/>
        <w:keepLines w:val="0"/>
        <w:pageBreakBefore w:val="0"/>
        <w:widowControl w:val="0"/>
        <w:numPr>
          <w:ilvl w:val="0"/>
          <w:numId w:val="9"/>
        </w:numPr>
        <w:shd w:val="clear" w:color="auto" w:fill="auto"/>
        <w:tabs>
          <w:tab w:val="left" w:pos="1169"/>
          <w:tab w:val="left" w:leader="underscore" w:pos="3237"/>
        </w:tabs>
        <w:kinsoku/>
        <w:wordWrap/>
        <w:overflowPunct/>
        <w:topLinePunct w:val="0"/>
        <w:autoSpaceDE w:val="0"/>
        <w:autoSpaceDN w:val="0"/>
        <w:bidi w:val="0"/>
        <w:adjustRightInd/>
        <w:snapToGrid/>
        <w:spacing w:before="0" w:line="360" w:lineRule="auto"/>
        <w:ind w:firstLine="422"/>
        <w:jc w:val="both"/>
        <w:textAlignment w:val="auto"/>
        <w:rPr>
          <w:rFonts w:ascii="宋体" w:hAnsi="宋体" w:eastAsia="宋体"/>
          <w:sz w:val="21"/>
          <w:szCs w:val="21"/>
        </w:rPr>
      </w:pPr>
      <w:r>
        <w:rPr>
          <w:rStyle w:val="51"/>
          <w:rFonts w:hint="eastAsia" w:ascii="宋体" w:hAnsi="宋体" w:eastAsia="宋体" w:cs="宋体"/>
          <w:color w:val="auto"/>
          <w:sz w:val="21"/>
          <w:szCs w:val="21"/>
        </w:rPr>
        <w:t>乙方为完成</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(项目名称）工程成立的项目经理部在丙方开设基本结算户；</w:t>
      </w:r>
    </w:p>
    <w:p w14:paraId="37901C94">
      <w:pPr>
        <w:pStyle w:val="50"/>
        <w:keepNext w:val="0"/>
        <w:keepLines w:val="0"/>
        <w:pageBreakBefore w:val="0"/>
        <w:widowControl w:val="0"/>
        <w:numPr>
          <w:ilvl w:val="0"/>
          <w:numId w:val="9"/>
        </w:numPr>
        <w:shd w:val="clear" w:color="auto" w:fill="auto"/>
        <w:tabs>
          <w:tab w:val="left" w:pos="1169"/>
        </w:tabs>
        <w:kinsoku/>
        <w:wordWrap/>
        <w:overflowPunct/>
        <w:topLinePunct w:val="0"/>
        <w:autoSpaceDE w:val="0"/>
        <w:autoSpaceDN w:val="0"/>
        <w:bidi w:val="0"/>
        <w:adjustRightInd/>
        <w:snapToGrid/>
        <w:spacing w:before="0" w:line="360" w:lineRule="auto"/>
        <w:ind w:firstLine="422"/>
        <w:jc w:val="both"/>
        <w:textAlignment w:val="auto"/>
        <w:rPr>
          <w:rFonts w:ascii="宋体" w:hAnsi="宋体" w:eastAsia="宋体"/>
          <w:sz w:val="21"/>
          <w:szCs w:val="21"/>
        </w:rPr>
      </w:pPr>
      <w:r>
        <w:rPr>
          <w:rStyle w:val="51"/>
          <w:rFonts w:hint="eastAsia" w:ascii="宋体" w:hAnsi="宋体" w:eastAsia="宋体" w:cs="宋体"/>
          <w:color w:val="auto"/>
          <w:sz w:val="21"/>
          <w:szCs w:val="21"/>
        </w:rPr>
        <w:t>甲方应按合同规定将工程款汇入乙方在丙方开设的账户；</w:t>
      </w:r>
    </w:p>
    <w:p w14:paraId="3F53D8C7">
      <w:pPr>
        <w:pStyle w:val="50"/>
        <w:keepNext w:val="0"/>
        <w:keepLines w:val="0"/>
        <w:pageBreakBefore w:val="0"/>
        <w:widowControl w:val="0"/>
        <w:numPr>
          <w:ilvl w:val="0"/>
          <w:numId w:val="9"/>
        </w:numPr>
        <w:shd w:val="clear" w:color="auto" w:fill="auto"/>
        <w:tabs>
          <w:tab w:val="left" w:leader="underscore" w:pos="6866"/>
        </w:tabs>
        <w:kinsoku/>
        <w:wordWrap/>
        <w:overflowPunct/>
        <w:topLinePunct w:val="0"/>
        <w:autoSpaceDE w:val="0"/>
        <w:autoSpaceDN w:val="0"/>
        <w:bidi w:val="0"/>
        <w:adjustRightInd/>
        <w:snapToGrid/>
        <w:spacing w:before="0" w:line="360" w:lineRule="auto"/>
        <w:ind w:firstLine="422"/>
        <w:jc w:val="both"/>
        <w:textAlignment w:val="auto"/>
        <w:rPr>
          <w:rFonts w:ascii="宋体" w:hAnsi="宋体" w:eastAsia="宋体"/>
          <w:sz w:val="21"/>
          <w:szCs w:val="21"/>
        </w:rPr>
      </w:pPr>
      <w:r>
        <w:rPr>
          <w:rStyle w:val="51"/>
          <w:rFonts w:hint="eastAsia" w:ascii="宋体" w:hAnsi="宋体" w:eastAsia="宋体" w:cs="宋体"/>
          <w:color w:val="auto"/>
          <w:sz w:val="21"/>
          <w:szCs w:val="21"/>
        </w:rPr>
        <w:t xml:space="preserve"> 乙方应将流动资金及甲方所拨付资金专项用于</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 xml:space="preserve"> (项目名称）；</w:t>
      </w:r>
    </w:p>
    <w:p w14:paraId="59D121C8">
      <w:pPr>
        <w:pStyle w:val="50"/>
        <w:keepNext w:val="0"/>
        <w:keepLines w:val="0"/>
        <w:pageBreakBefore w:val="0"/>
        <w:widowControl w:val="0"/>
        <w:numPr>
          <w:ilvl w:val="0"/>
          <w:numId w:val="9"/>
        </w:numPr>
        <w:shd w:val="clear" w:color="auto" w:fill="auto"/>
        <w:tabs>
          <w:tab w:val="left" w:pos="1136"/>
        </w:tabs>
        <w:kinsoku/>
        <w:wordWrap/>
        <w:overflowPunct/>
        <w:topLinePunct w:val="0"/>
        <w:autoSpaceDE w:val="0"/>
        <w:autoSpaceDN w:val="0"/>
        <w:bidi w:val="0"/>
        <w:adjustRightInd/>
        <w:snapToGrid/>
        <w:spacing w:before="0" w:line="360" w:lineRule="auto"/>
        <w:ind w:firstLine="422"/>
        <w:jc w:val="both"/>
        <w:textAlignment w:val="auto"/>
        <w:rPr>
          <w:rFonts w:ascii="宋体" w:hAnsi="宋体" w:eastAsia="宋体"/>
          <w:sz w:val="21"/>
          <w:szCs w:val="21"/>
        </w:rPr>
      </w:pPr>
      <w:r>
        <w:rPr>
          <w:rStyle w:val="51"/>
          <w:rFonts w:hint="eastAsia" w:ascii="宋体" w:hAnsi="宋体" w:eastAsia="宋体" w:cs="宋体"/>
          <w:color w:val="auto"/>
          <w:sz w:val="21"/>
          <w:szCs w:val="21"/>
        </w:rPr>
        <w:t>丙方应为乙方提供便捷有效的银行业务服务，并接受甲方委托对乙方在丙 方开设的基本结算户资金使用情况进行监督。</w:t>
      </w:r>
    </w:p>
    <w:p w14:paraId="11E7D105">
      <w:pPr>
        <w:pStyle w:val="50"/>
        <w:keepNext w:val="0"/>
        <w:keepLines w:val="0"/>
        <w:pageBreakBefore w:val="0"/>
        <w:widowControl w:val="0"/>
        <w:numPr>
          <w:ilvl w:val="0"/>
          <w:numId w:val="8"/>
        </w:numPr>
        <w:shd w:val="clear" w:color="auto" w:fill="auto"/>
        <w:tabs>
          <w:tab w:val="left" w:pos="878"/>
        </w:tabs>
        <w:kinsoku/>
        <w:wordWrap/>
        <w:overflowPunct/>
        <w:topLinePunct w:val="0"/>
        <w:autoSpaceDE w:val="0"/>
        <w:autoSpaceDN w:val="0"/>
        <w:bidi w:val="0"/>
        <w:adjustRightInd/>
        <w:snapToGrid/>
        <w:spacing w:before="0" w:line="360" w:lineRule="auto"/>
        <w:ind w:left="520"/>
        <w:jc w:val="both"/>
        <w:textAlignment w:val="auto"/>
        <w:rPr>
          <w:rFonts w:ascii="宋体" w:hAnsi="宋体" w:eastAsia="宋体"/>
          <w:sz w:val="21"/>
          <w:szCs w:val="21"/>
        </w:rPr>
      </w:pPr>
      <w:r>
        <w:rPr>
          <w:rStyle w:val="51"/>
          <w:rFonts w:hint="eastAsia" w:ascii="宋体" w:hAnsi="宋体" w:eastAsia="宋体" w:cs="宋体"/>
          <w:color w:val="auto"/>
          <w:sz w:val="21"/>
          <w:szCs w:val="21"/>
        </w:rPr>
        <w:t>甲方的权责</w:t>
      </w:r>
    </w:p>
    <w:p w14:paraId="33169843">
      <w:pPr>
        <w:pStyle w:val="50"/>
        <w:keepNext w:val="0"/>
        <w:keepLines w:val="0"/>
        <w:pageBreakBefore w:val="0"/>
        <w:widowControl w:val="0"/>
        <w:numPr>
          <w:ilvl w:val="0"/>
          <w:numId w:val="10"/>
        </w:numPr>
        <w:shd w:val="clear" w:color="auto" w:fill="auto"/>
        <w:tabs>
          <w:tab w:val="left" w:pos="1169"/>
          <w:tab w:val="left" w:leader="underscore" w:pos="2482"/>
        </w:tabs>
        <w:kinsoku/>
        <w:wordWrap/>
        <w:overflowPunct/>
        <w:topLinePunct w:val="0"/>
        <w:autoSpaceDE w:val="0"/>
        <w:autoSpaceDN w:val="0"/>
        <w:bidi w:val="0"/>
        <w:adjustRightInd/>
        <w:snapToGrid/>
        <w:spacing w:before="0" w:line="360" w:lineRule="auto"/>
        <w:ind w:firstLine="422"/>
        <w:jc w:val="both"/>
        <w:textAlignment w:val="auto"/>
        <w:rPr>
          <w:rFonts w:ascii="宋体" w:hAnsi="宋体" w:eastAsia="宋体"/>
          <w:sz w:val="21"/>
          <w:szCs w:val="21"/>
        </w:rPr>
      </w:pPr>
      <w:r>
        <w:rPr>
          <w:rStyle w:val="51"/>
          <w:rFonts w:hint="eastAsia" w:ascii="宋体" w:hAnsi="宋体" w:eastAsia="宋体" w:cs="宋体"/>
          <w:color w:val="auto"/>
          <w:sz w:val="21"/>
          <w:szCs w:val="21"/>
        </w:rPr>
        <w:t>按照</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 xml:space="preserve"> (项目名称）合同有关条款规定的时间和方式，向乙方支付工程款；</w:t>
      </w:r>
    </w:p>
    <w:p w14:paraId="1642C63A">
      <w:pPr>
        <w:pStyle w:val="50"/>
        <w:keepNext w:val="0"/>
        <w:keepLines w:val="0"/>
        <w:pageBreakBefore w:val="0"/>
        <w:widowControl w:val="0"/>
        <w:numPr>
          <w:ilvl w:val="0"/>
          <w:numId w:val="10"/>
        </w:numPr>
        <w:shd w:val="clear" w:color="auto" w:fill="auto"/>
        <w:tabs>
          <w:tab w:val="left" w:pos="1136"/>
        </w:tabs>
        <w:kinsoku/>
        <w:wordWrap/>
        <w:overflowPunct/>
        <w:topLinePunct w:val="0"/>
        <w:autoSpaceDE w:val="0"/>
        <w:autoSpaceDN w:val="0"/>
        <w:bidi w:val="0"/>
        <w:adjustRightInd/>
        <w:snapToGrid/>
        <w:spacing w:before="0" w:line="360" w:lineRule="auto"/>
        <w:ind w:firstLine="422"/>
        <w:jc w:val="both"/>
        <w:textAlignment w:val="auto"/>
        <w:rPr>
          <w:rFonts w:ascii="宋体" w:hAnsi="宋体" w:eastAsia="宋体"/>
          <w:sz w:val="21"/>
          <w:szCs w:val="21"/>
        </w:rPr>
      </w:pPr>
      <w:r>
        <w:rPr>
          <w:rStyle w:val="51"/>
          <w:rFonts w:hint="eastAsia" w:ascii="宋体" w:hAnsi="宋体" w:eastAsia="宋体" w:cs="宋体"/>
          <w:color w:val="auto"/>
          <w:sz w:val="21"/>
          <w:szCs w:val="21"/>
        </w:rPr>
        <w:t>在发现乙方将本项目资金挪用、转移时，甲方有权中止工程支付，直至乙 方改正为止；</w:t>
      </w:r>
    </w:p>
    <w:p w14:paraId="01F7CC5D">
      <w:pPr>
        <w:pStyle w:val="50"/>
        <w:keepNext w:val="0"/>
        <w:keepLines w:val="0"/>
        <w:pageBreakBefore w:val="0"/>
        <w:widowControl w:val="0"/>
        <w:numPr>
          <w:ilvl w:val="0"/>
          <w:numId w:val="10"/>
        </w:numPr>
        <w:shd w:val="clear" w:color="auto" w:fill="auto"/>
        <w:tabs>
          <w:tab w:val="left" w:pos="1136"/>
        </w:tabs>
        <w:kinsoku/>
        <w:wordWrap/>
        <w:overflowPunct/>
        <w:topLinePunct w:val="0"/>
        <w:autoSpaceDE w:val="0"/>
        <w:autoSpaceDN w:val="0"/>
        <w:bidi w:val="0"/>
        <w:adjustRightInd/>
        <w:snapToGrid/>
        <w:spacing w:before="0" w:line="360" w:lineRule="auto"/>
        <w:ind w:firstLine="422"/>
        <w:jc w:val="both"/>
        <w:textAlignment w:val="auto"/>
        <w:rPr>
          <w:rFonts w:ascii="宋体" w:hAnsi="宋体" w:eastAsia="宋体"/>
          <w:sz w:val="21"/>
          <w:szCs w:val="21"/>
        </w:rPr>
      </w:pPr>
      <w:r>
        <w:rPr>
          <w:rStyle w:val="51"/>
          <w:rFonts w:hint="eastAsia" w:ascii="宋体" w:hAnsi="宋体" w:eastAsia="宋体" w:cs="宋体"/>
          <w:color w:val="auto"/>
          <w:sz w:val="21"/>
          <w:szCs w:val="21"/>
        </w:rPr>
        <w:t>不定期审查丙方对乙方的资金使用监督情况，如丙方不能履行其责任，甲 方有权随时终止本协议；</w:t>
      </w:r>
    </w:p>
    <w:p w14:paraId="52C76678">
      <w:pPr>
        <w:pStyle w:val="50"/>
        <w:keepNext w:val="0"/>
        <w:keepLines w:val="0"/>
        <w:pageBreakBefore w:val="0"/>
        <w:widowControl w:val="0"/>
        <w:numPr>
          <w:ilvl w:val="0"/>
          <w:numId w:val="10"/>
        </w:numPr>
        <w:shd w:val="clear" w:color="auto" w:fill="auto"/>
        <w:tabs>
          <w:tab w:val="left" w:pos="1169"/>
        </w:tabs>
        <w:kinsoku/>
        <w:wordWrap/>
        <w:overflowPunct/>
        <w:topLinePunct w:val="0"/>
        <w:autoSpaceDE w:val="0"/>
        <w:autoSpaceDN w:val="0"/>
        <w:bidi w:val="0"/>
        <w:adjustRightInd/>
        <w:snapToGrid/>
        <w:spacing w:before="0" w:line="360" w:lineRule="auto"/>
        <w:ind w:firstLine="422"/>
        <w:jc w:val="both"/>
        <w:textAlignment w:val="auto"/>
        <w:rPr>
          <w:rFonts w:ascii="宋体" w:hAnsi="宋体" w:eastAsia="宋体"/>
          <w:sz w:val="21"/>
          <w:szCs w:val="21"/>
        </w:rPr>
      </w:pPr>
      <w:r>
        <w:rPr>
          <w:rStyle w:val="51"/>
          <w:rFonts w:hint="eastAsia" w:ascii="宋体" w:hAnsi="宋体" w:eastAsia="宋体" w:cs="宋体"/>
          <w:color w:val="auto"/>
          <w:sz w:val="21"/>
          <w:szCs w:val="21"/>
        </w:rPr>
        <w:t>在乙、丙双方发生争议时，甲方应负责协调、解决。</w:t>
      </w:r>
    </w:p>
    <w:p w14:paraId="545B648F">
      <w:pPr>
        <w:pStyle w:val="50"/>
        <w:keepNext w:val="0"/>
        <w:keepLines w:val="0"/>
        <w:pageBreakBefore w:val="0"/>
        <w:widowControl w:val="0"/>
        <w:numPr>
          <w:ilvl w:val="0"/>
          <w:numId w:val="8"/>
        </w:numPr>
        <w:shd w:val="clear" w:color="auto" w:fill="auto"/>
        <w:tabs>
          <w:tab w:val="left" w:pos="878"/>
        </w:tabs>
        <w:kinsoku/>
        <w:wordWrap/>
        <w:overflowPunct/>
        <w:topLinePunct w:val="0"/>
        <w:autoSpaceDE w:val="0"/>
        <w:autoSpaceDN w:val="0"/>
        <w:bidi w:val="0"/>
        <w:adjustRightInd/>
        <w:snapToGrid/>
        <w:spacing w:before="0" w:line="360" w:lineRule="auto"/>
        <w:ind w:left="520"/>
        <w:jc w:val="both"/>
        <w:textAlignment w:val="auto"/>
        <w:rPr>
          <w:rFonts w:ascii="宋体" w:hAnsi="宋体" w:eastAsia="宋体"/>
          <w:sz w:val="21"/>
          <w:szCs w:val="21"/>
        </w:rPr>
      </w:pPr>
      <w:r>
        <w:rPr>
          <w:rStyle w:val="51"/>
          <w:rFonts w:hint="eastAsia" w:ascii="宋体" w:hAnsi="宋体" w:eastAsia="宋体" w:cs="宋体"/>
          <w:color w:val="auto"/>
          <w:sz w:val="21"/>
          <w:szCs w:val="21"/>
        </w:rPr>
        <w:t>乙方的权责</w:t>
      </w:r>
    </w:p>
    <w:p w14:paraId="6814FD0E">
      <w:pPr>
        <w:pStyle w:val="50"/>
        <w:keepNext w:val="0"/>
        <w:keepLines w:val="0"/>
        <w:pageBreakBefore w:val="0"/>
        <w:widowControl w:val="0"/>
        <w:numPr>
          <w:ilvl w:val="0"/>
          <w:numId w:val="11"/>
        </w:numPr>
        <w:shd w:val="clear" w:color="auto" w:fill="auto"/>
        <w:tabs>
          <w:tab w:val="left" w:pos="1169"/>
        </w:tabs>
        <w:kinsoku/>
        <w:wordWrap/>
        <w:overflowPunct/>
        <w:topLinePunct w:val="0"/>
        <w:autoSpaceDE w:val="0"/>
        <w:autoSpaceDN w:val="0"/>
        <w:bidi w:val="0"/>
        <w:adjustRightInd/>
        <w:snapToGrid/>
        <w:spacing w:before="0" w:line="360" w:lineRule="auto"/>
        <w:ind w:firstLine="422"/>
        <w:jc w:val="both"/>
        <w:textAlignment w:val="auto"/>
        <w:rPr>
          <w:rFonts w:ascii="宋体" w:hAnsi="宋体" w:eastAsia="宋体"/>
          <w:sz w:val="21"/>
          <w:szCs w:val="21"/>
        </w:rPr>
      </w:pPr>
      <w:r>
        <w:rPr>
          <w:rStyle w:val="51"/>
          <w:rFonts w:hint="eastAsia" w:ascii="宋体" w:hAnsi="宋体" w:eastAsia="宋体" w:cs="宋体"/>
          <w:color w:val="auto"/>
          <w:sz w:val="21"/>
          <w:szCs w:val="21"/>
        </w:rPr>
        <w:t>项目经理部成立以后，乙方应尽快在丙方开设基本结算户；</w:t>
      </w:r>
    </w:p>
    <w:p w14:paraId="6A36DAA6">
      <w:pPr>
        <w:pStyle w:val="50"/>
        <w:keepNext w:val="0"/>
        <w:keepLines w:val="0"/>
        <w:pageBreakBefore w:val="0"/>
        <w:widowControl w:val="0"/>
        <w:numPr>
          <w:ilvl w:val="0"/>
          <w:numId w:val="11"/>
        </w:numPr>
        <w:shd w:val="clear" w:color="auto" w:fill="auto"/>
        <w:tabs>
          <w:tab w:val="left" w:pos="1134"/>
        </w:tabs>
        <w:kinsoku/>
        <w:wordWrap/>
        <w:overflowPunct/>
        <w:topLinePunct w:val="0"/>
        <w:autoSpaceDE w:val="0"/>
        <w:autoSpaceDN w:val="0"/>
        <w:bidi w:val="0"/>
        <w:adjustRightInd/>
        <w:snapToGrid/>
        <w:spacing w:before="0" w:line="360" w:lineRule="auto"/>
        <w:ind w:firstLine="422"/>
        <w:jc w:val="both"/>
        <w:textAlignment w:val="auto"/>
        <w:rPr>
          <w:rFonts w:ascii="宋体" w:hAnsi="宋体" w:eastAsia="宋体"/>
          <w:sz w:val="21"/>
          <w:szCs w:val="21"/>
        </w:rPr>
      </w:pPr>
      <w:r>
        <w:rPr>
          <w:rStyle w:val="51"/>
          <w:rFonts w:hint="eastAsia" w:ascii="宋体" w:hAnsi="宋体" w:eastAsia="宋体" w:cs="宋体"/>
          <w:color w:val="auto"/>
          <w:sz w:val="21"/>
          <w:szCs w:val="21"/>
        </w:rPr>
        <w:t>确保本项目资金专款专用，不发生挪用、转移资金的现象；保证不通过权益转让、抵押、担保承担债务等任何其他方式使用基本结算户的资金；</w:t>
      </w:r>
    </w:p>
    <w:p w14:paraId="738F8D7E">
      <w:pPr>
        <w:pStyle w:val="50"/>
        <w:keepNext w:val="0"/>
        <w:keepLines w:val="0"/>
        <w:pageBreakBefore w:val="0"/>
        <w:widowControl w:val="0"/>
        <w:numPr>
          <w:ilvl w:val="0"/>
          <w:numId w:val="11"/>
        </w:numPr>
        <w:shd w:val="clear" w:color="auto" w:fill="auto"/>
        <w:tabs>
          <w:tab w:val="left" w:pos="1138"/>
        </w:tabs>
        <w:kinsoku/>
        <w:wordWrap/>
        <w:overflowPunct/>
        <w:topLinePunct w:val="0"/>
        <w:autoSpaceDE w:val="0"/>
        <w:autoSpaceDN w:val="0"/>
        <w:bidi w:val="0"/>
        <w:adjustRightInd/>
        <w:snapToGrid/>
        <w:spacing w:before="0" w:line="360" w:lineRule="auto"/>
        <w:ind w:firstLine="422"/>
        <w:jc w:val="both"/>
        <w:textAlignment w:val="auto"/>
        <w:rPr>
          <w:rFonts w:ascii="宋体" w:hAnsi="宋体" w:eastAsia="宋体"/>
          <w:sz w:val="21"/>
          <w:szCs w:val="21"/>
        </w:rPr>
      </w:pPr>
      <w:r>
        <w:rPr>
          <w:rStyle w:val="51"/>
          <w:rFonts w:hint="eastAsia" w:ascii="宋体" w:hAnsi="宋体" w:eastAsia="宋体" w:cs="宋体"/>
          <w:color w:val="auto"/>
          <w:sz w:val="21"/>
          <w:szCs w:val="21"/>
        </w:rPr>
        <w:t>办理材料、设备等采购业务金额在_万元以上的，应出示购货合同、协议和发票；在办理总额超过_万元以上的釆购业务时，应将合同、协议和发票复印件 送丙方备案；购买应急材料、设备时可先办理支付手续，但事后必须补备有关资料;</w:t>
      </w:r>
    </w:p>
    <w:p w14:paraId="1295D341">
      <w:pPr>
        <w:pStyle w:val="50"/>
        <w:keepNext w:val="0"/>
        <w:keepLines w:val="0"/>
        <w:pageBreakBefore w:val="0"/>
        <w:widowControl w:val="0"/>
        <w:numPr>
          <w:ilvl w:val="0"/>
          <w:numId w:val="11"/>
        </w:numPr>
        <w:shd w:val="clear" w:color="auto" w:fill="auto"/>
        <w:tabs>
          <w:tab w:val="left" w:pos="529"/>
        </w:tabs>
        <w:kinsoku/>
        <w:wordWrap/>
        <w:overflowPunct/>
        <w:topLinePunct w:val="0"/>
        <w:autoSpaceDE w:val="0"/>
        <w:autoSpaceDN w:val="0"/>
        <w:bidi w:val="0"/>
        <w:adjustRightInd/>
        <w:snapToGrid/>
        <w:spacing w:before="0" w:line="360" w:lineRule="auto"/>
        <w:ind w:firstLine="422"/>
        <w:jc w:val="both"/>
        <w:textAlignment w:val="auto"/>
        <w:rPr>
          <w:rFonts w:ascii="宋体" w:hAnsi="宋体" w:eastAsia="宋体"/>
          <w:sz w:val="21"/>
          <w:szCs w:val="21"/>
        </w:rPr>
      </w:pPr>
      <w:r>
        <w:rPr>
          <w:rStyle w:val="51"/>
          <w:rFonts w:hint="eastAsia" w:ascii="宋体" w:hAnsi="宋体" w:eastAsia="宋体" w:cs="宋体"/>
          <w:color w:val="auto"/>
          <w:sz w:val="21"/>
          <w:szCs w:val="21"/>
        </w:rPr>
        <w:t>用银行转账支票办理支付款项时，必须将转账支票送交丙方，由丙方负责 办理支票转付手续；</w:t>
      </w:r>
    </w:p>
    <w:p w14:paraId="7C8CC215">
      <w:pPr>
        <w:pStyle w:val="50"/>
        <w:keepNext w:val="0"/>
        <w:keepLines w:val="0"/>
        <w:pageBreakBefore w:val="0"/>
        <w:widowControl w:val="0"/>
        <w:numPr>
          <w:ilvl w:val="0"/>
          <w:numId w:val="11"/>
        </w:numPr>
        <w:shd w:val="clear" w:color="auto" w:fill="auto"/>
        <w:tabs>
          <w:tab w:val="left" w:pos="1169"/>
        </w:tabs>
        <w:kinsoku/>
        <w:wordWrap/>
        <w:overflowPunct/>
        <w:topLinePunct w:val="0"/>
        <w:autoSpaceDE w:val="0"/>
        <w:autoSpaceDN w:val="0"/>
        <w:bidi w:val="0"/>
        <w:adjustRightInd/>
        <w:snapToGrid/>
        <w:spacing w:before="0" w:line="360" w:lineRule="auto"/>
        <w:ind w:firstLine="422"/>
        <w:jc w:val="both"/>
        <w:textAlignment w:val="auto"/>
        <w:rPr>
          <w:rFonts w:ascii="宋体" w:hAnsi="宋体" w:eastAsia="宋体"/>
          <w:sz w:val="21"/>
          <w:szCs w:val="21"/>
        </w:rPr>
      </w:pPr>
      <w:r>
        <w:rPr>
          <w:rStyle w:val="51"/>
          <w:rFonts w:hint="eastAsia" w:ascii="宋体" w:hAnsi="宋体" w:eastAsia="宋体" w:cs="宋体"/>
          <w:color w:val="auto"/>
          <w:sz w:val="21"/>
          <w:szCs w:val="21"/>
        </w:rPr>
        <w:t>向分包单位支付工程进度款时，应附甲方批准分包的文件；</w:t>
      </w:r>
    </w:p>
    <w:p w14:paraId="77CFA77C">
      <w:pPr>
        <w:pStyle w:val="50"/>
        <w:keepNext w:val="0"/>
        <w:keepLines w:val="0"/>
        <w:pageBreakBefore w:val="0"/>
        <w:widowControl w:val="0"/>
        <w:numPr>
          <w:ilvl w:val="0"/>
          <w:numId w:val="11"/>
        </w:numPr>
        <w:shd w:val="clear" w:color="auto" w:fill="auto"/>
        <w:tabs>
          <w:tab w:val="left" w:pos="1134"/>
        </w:tabs>
        <w:kinsoku/>
        <w:wordWrap/>
        <w:overflowPunct/>
        <w:topLinePunct w:val="0"/>
        <w:autoSpaceDE w:val="0"/>
        <w:autoSpaceDN w:val="0"/>
        <w:bidi w:val="0"/>
        <w:adjustRightInd/>
        <w:snapToGrid/>
        <w:spacing w:before="0" w:line="360" w:lineRule="auto"/>
        <w:ind w:firstLine="422"/>
        <w:jc w:val="both"/>
        <w:textAlignment w:val="auto"/>
        <w:rPr>
          <w:rFonts w:ascii="宋体" w:hAnsi="宋体" w:eastAsia="宋体"/>
          <w:sz w:val="21"/>
          <w:szCs w:val="21"/>
        </w:rPr>
      </w:pPr>
      <w:r>
        <w:rPr>
          <w:rStyle w:val="51"/>
          <w:rFonts w:hint="eastAsia" w:ascii="宋体" w:hAnsi="宋体" w:eastAsia="宋体" w:cs="宋体"/>
          <w:color w:val="auto"/>
          <w:sz w:val="21"/>
          <w:szCs w:val="21"/>
        </w:rPr>
        <w:t>向上级单位缴纳管理费、机械设备及周转材料租赁摊销费等款项时，应附上级单位出具的转账通知等有关资料，以确保资金专款专用。</w:t>
      </w:r>
    </w:p>
    <w:p w14:paraId="36625AA9">
      <w:pPr>
        <w:pStyle w:val="50"/>
        <w:keepNext w:val="0"/>
        <w:keepLines w:val="0"/>
        <w:pageBreakBefore w:val="0"/>
        <w:widowControl w:val="0"/>
        <w:numPr>
          <w:ilvl w:val="0"/>
          <w:numId w:val="8"/>
        </w:numPr>
        <w:shd w:val="clear" w:color="auto" w:fill="auto"/>
        <w:tabs>
          <w:tab w:val="left" w:pos="858"/>
        </w:tabs>
        <w:kinsoku/>
        <w:wordWrap/>
        <w:overflowPunct/>
        <w:topLinePunct w:val="0"/>
        <w:autoSpaceDE w:val="0"/>
        <w:autoSpaceDN w:val="0"/>
        <w:bidi w:val="0"/>
        <w:adjustRightInd/>
        <w:snapToGrid/>
        <w:spacing w:before="0" w:line="360" w:lineRule="auto"/>
        <w:ind w:left="500"/>
        <w:jc w:val="both"/>
        <w:textAlignment w:val="auto"/>
        <w:rPr>
          <w:rFonts w:ascii="宋体" w:hAnsi="宋体" w:eastAsia="宋体"/>
          <w:sz w:val="21"/>
          <w:szCs w:val="21"/>
        </w:rPr>
      </w:pPr>
      <w:r>
        <w:rPr>
          <w:rStyle w:val="51"/>
          <w:rFonts w:hint="eastAsia" w:ascii="宋体" w:hAnsi="宋体" w:eastAsia="宋体" w:cs="宋体"/>
          <w:color w:val="auto"/>
          <w:sz w:val="21"/>
          <w:szCs w:val="21"/>
        </w:rPr>
        <w:t>丙方的权责</w:t>
      </w:r>
    </w:p>
    <w:p w14:paraId="4E79267B">
      <w:pPr>
        <w:pStyle w:val="50"/>
        <w:keepNext w:val="0"/>
        <w:keepLines w:val="0"/>
        <w:pageBreakBefore w:val="0"/>
        <w:widowControl w:val="0"/>
        <w:numPr>
          <w:ilvl w:val="0"/>
          <w:numId w:val="12"/>
        </w:numPr>
        <w:shd w:val="clear" w:color="auto" w:fill="auto"/>
        <w:tabs>
          <w:tab w:val="left" w:pos="1169"/>
          <w:tab w:val="left" w:leader="underscore" w:pos="2529"/>
        </w:tabs>
        <w:kinsoku/>
        <w:wordWrap/>
        <w:overflowPunct/>
        <w:topLinePunct w:val="0"/>
        <w:autoSpaceDE w:val="0"/>
        <w:autoSpaceDN w:val="0"/>
        <w:bidi w:val="0"/>
        <w:adjustRightInd/>
        <w:snapToGrid/>
        <w:spacing w:before="0" w:line="360" w:lineRule="auto"/>
        <w:ind w:firstLine="422"/>
        <w:jc w:val="both"/>
        <w:textAlignment w:val="auto"/>
        <w:rPr>
          <w:rFonts w:ascii="宋体" w:hAnsi="宋体" w:eastAsia="宋体"/>
          <w:sz w:val="21"/>
          <w:szCs w:val="21"/>
        </w:rPr>
      </w:pPr>
      <w:r>
        <w:rPr>
          <w:rStyle w:val="51"/>
          <w:rFonts w:hint="eastAsia" w:ascii="宋体" w:hAnsi="宋体" w:eastAsia="宋体" w:cs="宋体"/>
          <w:color w:val="auto"/>
          <w:sz w:val="21"/>
          <w:szCs w:val="21"/>
        </w:rPr>
        <w:t>成立</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 xml:space="preserve"> (项目名称）工程资金管理服务小组，明确业务流程，提高工作效率，杜绝“压票”现象；</w:t>
      </w:r>
    </w:p>
    <w:p w14:paraId="1477D4B9">
      <w:pPr>
        <w:pStyle w:val="50"/>
        <w:keepNext w:val="0"/>
        <w:keepLines w:val="0"/>
        <w:pageBreakBefore w:val="0"/>
        <w:widowControl w:val="0"/>
        <w:numPr>
          <w:ilvl w:val="0"/>
          <w:numId w:val="12"/>
        </w:numPr>
        <w:shd w:val="clear" w:color="auto" w:fill="auto"/>
        <w:tabs>
          <w:tab w:val="left" w:pos="1169"/>
        </w:tabs>
        <w:kinsoku/>
        <w:wordWrap/>
        <w:overflowPunct/>
        <w:topLinePunct w:val="0"/>
        <w:autoSpaceDE w:val="0"/>
        <w:autoSpaceDN w:val="0"/>
        <w:bidi w:val="0"/>
        <w:adjustRightInd/>
        <w:snapToGrid/>
        <w:spacing w:before="0" w:line="360" w:lineRule="auto"/>
        <w:ind w:left="160" w:firstLine="422"/>
        <w:jc w:val="left"/>
        <w:textAlignment w:val="auto"/>
        <w:rPr>
          <w:rFonts w:ascii="宋体" w:hAnsi="宋体" w:eastAsia="宋体"/>
          <w:sz w:val="21"/>
          <w:szCs w:val="21"/>
        </w:rPr>
      </w:pPr>
      <w:r>
        <w:rPr>
          <w:rStyle w:val="51"/>
          <w:rFonts w:hint="eastAsia" w:ascii="宋体" w:hAnsi="宋体" w:eastAsia="宋体" w:cs="宋体"/>
          <w:color w:val="auto"/>
          <w:sz w:val="21"/>
          <w:szCs w:val="21"/>
        </w:rPr>
        <w:t>根据乙方提供的购货合同、协议和发票，检查其所购材料、设备是否用于 (项目名称）工程建设，对本标段以外的购货款项，有权拒绝办理，并及时报告甲方；</w:t>
      </w:r>
    </w:p>
    <w:p w14:paraId="7D326119">
      <w:pPr>
        <w:pStyle w:val="50"/>
        <w:keepNext w:val="0"/>
        <w:keepLines w:val="0"/>
        <w:pageBreakBefore w:val="0"/>
        <w:widowControl w:val="0"/>
        <w:numPr>
          <w:ilvl w:val="0"/>
          <w:numId w:val="12"/>
        </w:numPr>
        <w:shd w:val="clear" w:color="auto" w:fill="auto"/>
        <w:tabs>
          <w:tab w:val="left" w:pos="1131"/>
        </w:tabs>
        <w:kinsoku/>
        <w:wordWrap/>
        <w:overflowPunct/>
        <w:topLinePunct w:val="0"/>
        <w:autoSpaceDE w:val="0"/>
        <w:autoSpaceDN w:val="0"/>
        <w:bidi w:val="0"/>
        <w:adjustRightInd/>
        <w:snapToGrid/>
        <w:spacing w:before="0" w:line="360" w:lineRule="auto"/>
        <w:ind w:firstLine="422"/>
        <w:jc w:val="both"/>
        <w:textAlignment w:val="auto"/>
        <w:rPr>
          <w:rFonts w:ascii="宋体" w:hAnsi="宋体" w:eastAsia="宋体"/>
          <w:sz w:val="21"/>
          <w:szCs w:val="21"/>
        </w:rPr>
      </w:pPr>
      <w:r>
        <w:rPr>
          <w:rStyle w:val="51"/>
          <w:rFonts w:hint="eastAsia" w:ascii="宋体" w:hAnsi="宋体" w:eastAsia="宋体" w:cs="宋体"/>
          <w:color w:val="auto"/>
          <w:sz w:val="21"/>
          <w:szCs w:val="21"/>
        </w:rPr>
        <w:t>根据乙方与分包单位签订的合同及支付文件，检查其支付款项是否符合有关条件，向分包单位以外单位的支付有权拒绝办理，并及时报告甲方；</w:t>
      </w:r>
    </w:p>
    <w:p w14:paraId="70DAB166">
      <w:pPr>
        <w:pStyle w:val="50"/>
        <w:keepNext w:val="0"/>
        <w:keepLines w:val="0"/>
        <w:pageBreakBefore w:val="0"/>
        <w:widowControl w:val="0"/>
        <w:numPr>
          <w:ilvl w:val="0"/>
          <w:numId w:val="12"/>
        </w:numPr>
        <w:shd w:val="clear" w:color="auto" w:fill="auto"/>
        <w:tabs>
          <w:tab w:val="left" w:pos="1136"/>
        </w:tabs>
        <w:kinsoku/>
        <w:wordWrap/>
        <w:overflowPunct/>
        <w:topLinePunct w:val="0"/>
        <w:autoSpaceDE w:val="0"/>
        <w:autoSpaceDN w:val="0"/>
        <w:bidi w:val="0"/>
        <w:adjustRightInd/>
        <w:snapToGrid/>
        <w:spacing w:before="0" w:line="360" w:lineRule="auto"/>
        <w:ind w:firstLine="422"/>
        <w:jc w:val="both"/>
        <w:textAlignment w:val="auto"/>
        <w:rPr>
          <w:rFonts w:ascii="宋体" w:hAnsi="宋体" w:eastAsia="宋体"/>
          <w:sz w:val="21"/>
          <w:szCs w:val="21"/>
        </w:rPr>
      </w:pPr>
      <w:r>
        <w:rPr>
          <w:rStyle w:val="51"/>
          <w:rFonts w:hint="eastAsia" w:ascii="宋体" w:hAnsi="宋体" w:eastAsia="宋体" w:cs="宋体"/>
          <w:color w:val="auto"/>
          <w:sz w:val="21"/>
          <w:szCs w:val="21"/>
        </w:rPr>
        <w:t>根据乙方提供的上级单位出具的转账通知等有关资料，办理管理费、机械设备及周转材料租赁摊销费等款项的支付；对超出转账通知等有关资料以外的支付， 有权拒绝办理，并及时报告甲方；</w:t>
      </w:r>
    </w:p>
    <w:p w14:paraId="00AEBE21">
      <w:pPr>
        <w:pStyle w:val="50"/>
        <w:keepNext w:val="0"/>
        <w:keepLines w:val="0"/>
        <w:pageBreakBefore w:val="0"/>
        <w:widowControl w:val="0"/>
        <w:numPr>
          <w:ilvl w:val="0"/>
          <w:numId w:val="12"/>
        </w:numPr>
        <w:shd w:val="clear" w:color="auto" w:fill="auto"/>
        <w:tabs>
          <w:tab w:val="left" w:pos="1117"/>
        </w:tabs>
        <w:kinsoku/>
        <w:wordWrap/>
        <w:overflowPunct/>
        <w:topLinePunct w:val="0"/>
        <w:autoSpaceDE w:val="0"/>
        <w:autoSpaceDN w:val="0"/>
        <w:bidi w:val="0"/>
        <w:adjustRightInd/>
        <w:snapToGrid/>
        <w:spacing w:before="0" w:line="360" w:lineRule="auto"/>
        <w:ind w:firstLine="422"/>
        <w:jc w:val="both"/>
        <w:textAlignment w:val="auto"/>
        <w:rPr>
          <w:rFonts w:ascii="宋体" w:hAnsi="宋体" w:eastAsia="宋体"/>
          <w:sz w:val="21"/>
          <w:szCs w:val="21"/>
        </w:rPr>
      </w:pPr>
      <w:r>
        <w:rPr>
          <w:rStyle w:val="51"/>
          <w:rFonts w:hint="eastAsia" w:ascii="宋体" w:hAnsi="宋体" w:eastAsia="宋体" w:cs="宋体"/>
          <w:color w:val="auto"/>
          <w:sz w:val="21"/>
          <w:szCs w:val="21"/>
        </w:rPr>
        <w:t>定期将乙方前一个周期的支付情况，整理后书面报送甲方；乙方复印备案的材料一并送甲方。</w:t>
      </w:r>
    </w:p>
    <w:p w14:paraId="103B43FC">
      <w:pPr>
        <w:pStyle w:val="50"/>
        <w:keepNext w:val="0"/>
        <w:keepLines w:val="0"/>
        <w:pageBreakBefore w:val="0"/>
        <w:widowControl w:val="0"/>
        <w:numPr>
          <w:ilvl w:val="0"/>
          <w:numId w:val="8"/>
        </w:numPr>
        <w:shd w:val="clear" w:color="auto" w:fill="auto"/>
        <w:tabs>
          <w:tab w:val="left" w:pos="812"/>
        </w:tabs>
        <w:kinsoku/>
        <w:wordWrap/>
        <w:overflowPunct/>
        <w:topLinePunct w:val="0"/>
        <w:autoSpaceDE w:val="0"/>
        <w:autoSpaceDN w:val="0"/>
        <w:bidi w:val="0"/>
        <w:adjustRightInd/>
        <w:snapToGrid/>
        <w:spacing w:before="0" w:line="360" w:lineRule="auto"/>
        <w:ind w:firstLine="422"/>
        <w:jc w:val="left"/>
        <w:textAlignment w:val="auto"/>
        <w:rPr>
          <w:rFonts w:ascii="宋体" w:hAnsi="宋体" w:eastAsia="宋体"/>
          <w:sz w:val="21"/>
          <w:szCs w:val="21"/>
        </w:rPr>
      </w:pPr>
      <w:r>
        <w:rPr>
          <w:rStyle w:val="51"/>
          <w:rFonts w:hint="eastAsia" w:ascii="宋体" w:hAnsi="宋体" w:eastAsia="宋体" w:cs="宋体"/>
          <w:color w:val="auto"/>
          <w:sz w:val="21"/>
          <w:szCs w:val="21"/>
        </w:rPr>
        <w:t>甲、乙、丙三方都应履行保密责任，不得将其他两方的业务情况透露给三方以外的其他单位或个人。</w:t>
      </w:r>
    </w:p>
    <w:p w14:paraId="18EEBCEA">
      <w:pPr>
        <w:pStyle w:val="50"/>
        <w:keepNext w:val="0"/>
        <w:keepLines w:val="0"/>
        <w:pageBreakBefore w:val="0"/>
        <w:widowControl w:val="0"/>
        <w:numPr>
          <w:ilvl w:val="0"/>
          <w:numId w:val="8"/>
        </w:numPr>
        <w:shd w:val="clear" w:color="auto" w:fill="auto"/>
        <w:tabs>
          <w:tab w:val="left" w:pos="829"/>
        </w:tabs>
        <w:kinsoku/>
        <w:wordWrap/>
        <w:overflowPunct/>
        <w:topLinePunct w:val="0"/>
        <w:autoSpaceDE w:val="0"/>
        <w:autoSpaceDN w:val="0"/>
        <w:bidi w:val="0"/>
        <w:adjustRightInd/>
        <w:snapToGrid/>
        <w:spacing w:before="0" w:line="360" w:lineRule="auto"/>
        <w:ind w:firstLine="422"/>
        <w:jc w:val="left"/>
        <w:textAlignment w:val="auto"/>
        <w:rPr>
          <w:rFonts w:ascii="宋体" w:hAnsi="宋体" w:eastAsia="宋体"/>
          <w:sz w:val="21"/>
          <w:szCs w:val="21"/>
        </w:rPr>
      </w:pPr>
      <w:r>
        <w:rPr>
          <w:rStyle w:val="51"/>
          <w:rFonts w:hint="eastAsia" w:ascii="宋体" w:hAnsi="宋体" w:eastAsia="宋体" w:cs="宋体"/>
          <w:color w:val="auto"/>
          <w:sz w:val="21"/>
          <w:szCs w:val="21"/>
        </w:rPr>
        <w:t>本协议有效期自乙方在丙方开户起，至工程交工验收甲方向乙方颁发交工验收证书后结束。</w:t>
      </w:r>
    </w:p>
    <w:p w14:paraId="26693A53">
      <w:pPr>
        <w:pStyle w:val="50"/>
        <w:keepNext w:val="0"/>
        <w:keepLines w:val="0"/>
        <w:pageBreakBefore w:val="0"/>
        <w:widowControl w:val="0"/>
        <w:numPr>
          <w:ilvl w:val="0"/>
          <w:numId w:val="8"/>
        </w:numPr>
        <w:shd w:val="clear" w:color="auto" w:fill="auto"/>
        <w:tabs>
          <w:tab w:val="left" w:pos="858"/>
        </w:tabs>
        <w:kinsoku/>
        <w:wordWrap/>
        <w:overflowPunct/>
        <w:topLinePunct w:val="0"/>
        <w:autoSpaceDE w:val="0"/>
        <w:autoSpaceDN w:val="0"/>
        <w:bidi w:val="0"/>
        <w:adjustRightInd/>
        <w:snapToGrid/>
        <w:spacing w:before="0" w:line="360" w:lineRule="auto"/>
        <w:ind w:left="500"/>
        <w:jc w:val="both"/>
        <w:textAlignment w:val="auto"/>
        <w:rPr>
          <w:rFonts w:ascii="宋体" w:hAnsi="宋体" w:eastAsia="宋体"/>
          <w:sz w:val="21"/>
          <w:szCs w:val="21"/>
        </w:rPr>
      </w:pPr>
      <w:r>
        <w:rPr>
          <w:rStyle w:val="51"/>
          <w:rFonts w:hint="eastAsia" w:ascii="宋体" w:hAnsi="宋体" w:eastAsia="宋体" w:cs="宋体"/>
          <w:color w:val="auto"/>
          <w:sz w:val="21"/>
          <w:szCs w:val="21"/>
        </w:rPr>
        <w:t>本协议未尽事宜，由甲方牵头，三方协商解决。</w:t>
      </w:r>
    </w:p>
    <w:p w14:paraId="220AD035">
      <w:pPr>
        <w:pStyle w:val="50"/>
        <w:keepNext w:val="0"/>
        <w:keepLines w:val="0"/>
        <w:pageBreakBefore w:val="0"/>
        <w:widowControl w:val="0"/>
        <w:numPr>
          <w:ilvl w:val="0"/>
          <w:numId w:val="8"/>
        </w:numPr>
        <w:shd w:val="clear" w:color="auto" w:fill="auto"/>
        <w:tabs>
          <w:tab w:val="left" w:pos="838"/>
        </w:tabs>
        <w:kinsoku/>
        <w:wordWrap/>
        <w:overflowPunct/>
        <w:topLinePunct w:val="0"/>
        <w:autoSpaceDE w:val="0"/>
        <w:autoSpaceDN w:val="0"/>
        <w:bidi w:val="0"/>
        <w:adjustRightInd/>
        <w:snapToGrid/>
        <w:spacing w:before="0" w:after="269" w:line="360" w:lineRule="auto"/>
        <w:ind w:firstLine="422"/>
        <w:jc w:val="left"/>
        <w:textAlignment w:val="auto"/>
        <w:rPr>
          <w:rFonts w:ascii="宋体" w:hAnsi="宋体" w:eastAsia="宋体"/>
          <w:sz w:val="21"/>
          <w:szCs w:val="21"/>
        </w:rPr>
      </w:pPr>
      <w:r>
        <w:rPr>
          <w:rStyle w:val="51"/>
          <w:rFonts w:hint="eastAsia" w:ascii="宋体" w:hAnsi="宋体" w:eastAsia="宋体" w:cs="宋体"/>
          <w:color w:val="auto"/>
          <w:sz w:val="21"/>
          <w:szCs w:val="21"/>
        </w:rPr>
        <w:t>本协议正本三份、副本_份。合同三方各执正本一份、副本_份，当正本与副本内容不一致时，以正本为准。</w:t>
      </w:r>
    </w:p>
    <w:p w14:paraId="6F73B3B1">
      <w:pPr>
        <w:pStyle w:val="50"/>
        <w:keepNext w:val="0"/>
        <w:keepLines w:val="0"/>
        <w:pageBreakBefore w:val="0"/>
        <w:widowControl w:val="0"/>
        <w:shd w:val="clear" w:color="auto" w:fill="auto"/>
        <w:tabs>
          <w:tab w:val="left" w:leader="underscore" w:pos="4086"/>
        </w:tabs>
        <w:kinsoku/>
        <w:wordWrap/>
        <w:overflowPunct/>
        <w:topLinePunct w:val="0"/>
        <w:autoSpaceDE w:val="0"/>
        <w:autoSpaceDN w:val="0"/>
        <w:bidi w:val="0"/>
        <w:adjustRightInd/>
        <w:snapToGrid/>
        <w:spacing w:before="0" w:line="360" w:lineRule="auto"/>
        <w:ind w:firstLine="442"/>
        <w:jc w:val="both"/>
        <w:textAlignment w:val="auto"/>
        <w:rPr>
          <w:rFonts w:ascii="宋体" w:hAnsi="宋体" w:eastAsia="宋体"/>
          <w:sz w:val="21"/>
          <w:szCs w:val="21"/>
        </w:rPr>
      </w:pPr>
      <w:r>
        <w:rPr>
          <w:rStyle w:val="57"/>
          <w:rFonts w:hint="eastAsia" w:ascii="宋体" w:hAnsi="宋体" w:eastAsia="宋体" w:cs="宋体"/>
          <w:i w:val="0"/>
          <w:color w:val="auto"/>
          <w:sz w:val="21"/>
          <w:szCs w:val="21"/>
        </w:rPr>
        <w:t>发包人:</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 xml:space="preserve"> (盖单位章)</w:t>
      </w:r>
    </w:p>
    <w:p w14:paraId="56198C89">
      <w:pPr>
        <w:pStyle w:val="50"/>
        <w:keepNext w:val="0"/>
        <w:keepLines w:val="0"/>
        <w:pageBreakBefore w:val="0"/>
        <w:widowControl w:val="0"/>
        <w:shd w:val="clear" w:color="auto" w:fill="auto"/>
        <w:tabs>
          <w:tab w:val="left" w:leader="underscore" w:pos="4689"/>
        </w:tabs>
        <w:kinsoku/>
        <w:wordWrap/>
        <w:overflowPunct/>
        <w:topLinePunct w:val="0"/>
        <w:autoSpaceDE w:val="0"/>
        <w:autoSpaceDN w:val="0"/>
        <w:bidi w:val="0"/>
        <w:adjustRightInd/>
        <w:snapToGrid/>
        <w:spacing w:before="0" w:line="360" w:lineRule="auto"/>
        <w:jc w:val="both"/>
        <w:textAlignment w:val="auto"/>
        <w:rPr>
          <w:rFonts w:ascii="宋体" w:hAnsi="宋体" w:eastAsia="宋体"/>
          <w:sz w:val="21"/>
          <w:szCs w:val="21"/>
        </w:rPr>
      </w:pPr>
      <w:r>
        <w:rPr>
          <w:rStyle w:val="51"/>
          <w:rFonts w:hint="eastAsia" w:ascii="宋体" w:hAnsi="宋体" w:eastAsia="宋体" w:cs="宋体"/>
          <w:color w:val="auto"/>
          <w:sz w:val="21"/>
          <w:szCs w:val="21"/>
        </w:rPr>
        <w:t>法定代表人或其委托代理人：</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(签字)</w:t>
      </w:r>
    </w:p>
    <w:p w14:paraId="713D4DC3">
      <w:pPr>
        <w:pStyle w:val="50"/>
        <w:keepNext w:val="0"/>
        <w:keepLines w:val="0"/>
        <w:pageBreakBefore w:val="0"/>
        <w:widowControl w:val="0"/>
        <w:shd w:val="clear" w:color="auto" w:fill="auto"/>
        <w:tabs>
          <w:tab w:val="left" w:leader="underscore" w:pos="3022"/>
          <w:tab w:val="left" w:leader="underscore" w:pos="4086"/>
        </w:tabs>
        <w:kinsoku/>
        <w:wordWrap/>
        <w:overflowPunct/>
        <w:topLinePunct w:val="0"/>
        <w:autoSpaceDE w:val="0"/>
        <w:autoSpaceDN w:val="0"/>
        <w:bidi w:val="0"/>
        <w:adjustRightInd/>
        <w:snapToGrid/>
        <w:spacing w:before="0" w:after="242" w:line="360" w:lineRule="auto"/>
        <w:ind w:left="1940"/>
        <w:jc w:val="both"/>
        <w:textAlignment w:val="auto"/>
        <w:rPr>
          <w:rFonts w:ascii="宋体" w:hAnsi="宋体" w:eastAsia="宋体"/>
          <w:sz w:val="21"/>
          <w:szCs w:val="21"/>
        </w:rPr>
      </w:pP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年</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月日</w:t>
      </w:r>
    </w:p>
    <w:p w14:paraId="2AD0B326">
      <w:pPr>
        <w:pStyle w:val="50"/>
        <w:keepNext w:val="0"/>
        <w:keepLines w:val="0"/>
        <w:pageBreakBefore w:val="0"/>
        <w:widowControl w:val="0"/>
        <w:shd w:val="clear" w:color="auto" w:fill="auto"/>
        <w:tabs>
          <w:tab w:val="left" w:leader="underscore" w:pos="4086"/>
        </w:tabs>
        <w:kinsoku/>
        <w:wordWrap/>
        <w:overflowPunct/>
        <w:topLinePunct w:val="0"/>
        <w:autoSpaceDE w:val="0"/>
        <w:autoSpaceDN w:val="0"/>
        <w:bidi w:val="0"/>
        <w:adjustRightInd/>
        <w:snapToGrid/>
        <w:spacing w:before="0" w:line="360" w:lineRule="auto"/>
        <w:jc w:val="both"/>
        <w:textAlignment w:val="auto"/>
        <w:rPr>
          <w:rFonts w:ascii="宋体" w:hAnsi="宋体" w:eastAsia="宋体"/>
          <w:sz w:val="21"/>
          <w:szCs w:val="21"/>
        </w:rPr>
      </w:pPr>
      <w:r>
        <w:rPr>
          <w:rStyle w:val="51"/>
          <w:rFonts w:hint="eastAsia" w:ascii="宋体" w:hAnsi="宋体" w:eastAsia="宋体" w:cs="宋体"/>
          <w:color w:val="auto"/>
          <w:sz w:val="21"/>
          <w:szCs w:val="21"/>
        </w:rPr>
        <w:t>承包人：</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 xml:space="preserve"> (盖单位章)</w:t>
      </w:r>
    </w:p>
    <w:p w14:paraId="59C29C0C">
      <w:pPr>
        <w:pStyle w:val="50"/>
        <w:keepNext w:val="0"/>
        <w:keepLines w:val="0"/>
        <w:pageBreakBefore w:val="0"/>
        <w:widowControl w:val="0"/>
        <w:shd w:val="clear" w:color="auto" w:fill="auto"/>
        <w:tabs>
          <w:tab w:val="left" w:leader="underscore" w:pos="4689"/>
        </w:tabs>
        <w:kinsoku/>
        <w:wordWrap/>
        <w:overflowPunct/>
        <w:topLinePunct w:val="0"/>
        <w:autoSpaceDE w:val="0"/>
        <w:autoSpaceDN w:val="0"/>
        <w:bidi w:val="0"/>
        <w:adjustRightInd/>
        <w:snapToGrid/>
        <w:spacing w:before="0" w:line="360" w:lineRule="auto"/>
        <w:jc w:val="both"/>
        <w:textAlignment w:val="auto"/>
        <w:rPr>
          <w:rFonts w:ascii="宋体" w:hAnsi="宋体" w:eastAsia="宋体"/>
          <w:sz w:val="21"/>
          <w:szCs w:val="21"/>
        </w:rPr>
      </w:pPr>
      <w:r>
        <w:rPr>
          <w:rStyle w:val="51"/>
          <w:rFonts w:hint="eastAsia" w:ascii="宋体" w:hAnsi="宋体" w:eastAsia="宋体" w:cs="宋体"/>
          <w:color w:val="auto"/>
          <w:sz w:val="21"/>
          <w:szCs w:val="21"/>
        </w:rPr>
        <w:t>法定代表人或其委托代理人：</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（签字)</w:t>
      </w:r>
    </w:p>
    <w:p w14:paraId="7B0BD185">
      <w:pPr>
        <w:pStyle w:val="50"/>
        <w:keepNext w:val="0"/>
        <w:keepLines w:val="0"/>
        <w:pageBreakBefore w:val="0"/>
        <w:widowControl w:val="0"/>
        <w:shd w:val="clear" w:color="auto" w:fill="auto"/>
        <w:tabs>
          <w:tab w:val="left" w:leader="underscore" w:pos="3022"/>
          <w:tab w:val="left" w:leader="underscore" w:pos="4086"/>
        </w:tabs>
        <w:kinsoku/>
        <w:wordWrap/>
        <w:overflowPunct/>
        <w:topLinePunct w:val="0"/>
        <w:autoSpaceDE w:val="0"/>
        <w:autoSpaceDN w:val="0"/>
        <w:bidi w:val="0"/>
        <w:adjustRightInd/>
        <w:snapToGrid/>
        <w:spacing w:before="0" w:after="240" w:line="360" w:lineRule="auto"/>
        <w:ind w:left="1940"/>
        <w:jc w:val="both"/>
        <w:textAlignment w:val="auto"/>
        <w:rPr>
          <w:rFonts w:ascii="宋体" w:hAnsi="宋体" w:eastAsia="宋体"/>
          <w:sz w:val="21"/>
          <w:szCs w:val="21"/>
        </w:rPr>
      </w:pP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年</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月日</w:t>
      </w:r>
    </w:p>
    <w:p w14:paraId="19538E94">
      <w:pPr>
        <w:pStyle w:val="50"/>
        <w:keepNext w:val="0"/>
        <w:keepLines w:val="0"/>
        <w:pageBreakBefore w:val="0"/>
        <w:widowControl w:val="0"/>
        <w:shd w:val="clear" w:color="auto" w:fill="auto"/>
        <w:tabs>
          <w:tab w:val="left" w:leader="underscore" w:pos="4086"/>
        </w:tabs>
        <w:kinsoku/>
        <w:wordWrap/>
        <w:overflowPunct/>
        <w:topLinePunct w:val="0"/>
        <w:autoSpaceDE w:val="0"/>
        <w:autoSpaceDN w:val="0"/>
        <w:bidi w:val="0"/>
        <w:adjustRightInd/>
        <w:snapToGrid/>
        <w:spacing w:before="0" w:line="360" w:lineRule="auto"/>
        <w:jc w:val="both"/>
        <w:textAlignment w:val="auto"/>
        <w:rPr>
          <w:rFonts w:ascii="宋体" w:hAnsi="宋体" w:eastAsia="宋体"/>
          <w:sz w:val="21"/>
          <w:szCs w:val="21"/>
        </w:rPr>
      </w:pPr>
      <w:r>
        <w:rPr>
          <w:rStyle w:val="51"/>
          <w:rFonts w:hint="eastAsia" w:ascii="宋体" w:hAnsi="宋体" w:eastAsia="宋体" w:cs="宋体"/>
          <w:color w:val="auto"/>
          <w:sz w:val="21"/>
          <w:szCs w:val="21"/>
        </w:rPr>
        <w:t>经办银行：</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 xml:space="preserve"> (盖单位章)</w:t>
      </w:r>
    </w:p>
    <w:p w14:paraId="08B06516">
      <w:pPr>
        <w:pStyle w:val="50"/>
        <w:keepNext w:val="0"/>
        <w:keepLines w:val="0"/>
        <w:pageBreakBefore w:val="0"/>
        <w:widowControl w:val="0"/>
        <w:shd w:val="clear" w:color="auto" w:fill="auto"/>
        <w:tabs>
          <w:tab w:val="left" w:leader="underscore" w:pos="4689"/>
        </w:tabs>
        <w:kinsoku/>
        <w:wordWrap/>
        <w:overflowPunct/>
        <w:topLinePunct w:val="0"/>
        <w:autoSpaceDE w:val="0"/>
        <w:autoSpaceDN w:val="0"/>
        <w:bidi w:val="0"/>
        <w:adjustRightInd/>
        <w:snapToGrid/>
        <w:spacing w:before="0" w:line="360" w:lineRule="auto"/>
        <w:ind w:firstLine="422"/>
        <w:jc w:val="both"/>
        <w:textAlignment w:val="auto"/>
        <w:rPr>
          <w:rFonts w:ascii="宋体" w:hAnsi="宋体" w:eastAsia="宋体"/>
          <w:sz w:val="21"/>
          <w:szCs w:val="21"/>
        </w:rPr>
      </w:pPr>
      <w:r>
        <w:rPr>
          <w:rStyle w:val="51"/>
          <w:rFonts w:hint="eastAsia" w:ascii="宋体" w:hAnsi="宋体" w:eastAsia="宋体" w:cs="宋体"/>
          <w:color w:val="auto"/>
          <w:sz w:val="21"/>
          <w:szCs w:val="21"/>
        </w:rPr>
        <w:t>法定代表人或其委托代理人：</w:t>
      </w:r>
      <w:r>
        <w:rPr>
          <w:rStyle w:val="51"/>
          <w:rFonts w:hint="eastAsia" w:ascii="宋体" w:hAnsi="宋体" w:eastAsia="宋体" w:cs="宋体"/>
          <w:color w:val="auto"/>
          <w:sz w:val="21"/>
          <w:szCs w:val="21"/>
        </w:rPr>
        <w:tab/>
      </w:r>
      <w:r>
        <w:rPr>
          <w:rStyle w:val="51"/>
          <w:rFonts w:hint="eastAsia" w:ascii="宋体" w:hAnsi="宋体" w:eastAsia="宋体" w:cs="宋体"/>
          <w:color w:val="auto"/>
          <w:sz w:val="21"/>
          <w:szCs w:val="21"/>
        </w:rPr>
        <w:t>（签字)</w:t>
      </w:r>
    </w:p>
    <w:p w14:paraId="6ECB98C7">
      <w:pPr>
        <w:keepNext w:val="0"/>
        <w:keepLines w:val="0"/>
        <w:pageBreakBefore w:val="0"/>
        <w:widowControl w:val="0"/>
        <w:kinsoku/>
        <w:wordWrap/>
        <w:overflowPunct/>
        <w:topLinePunct w:val="0"/>
        <w:autoSpaceDE w:val="0"/>
        <w:autoSpaceDN w:val="0"/>
        <w:bidi w:val="0"/>
        <w:adjustRightInd/>
        <w:snapToGrid/>
        <w:spacing w:line="360" w:lineRule="auto"/>
        <w:ind w:firstLine="422"/>
        <w:textAlignment w:val="auto"/>
        <w:rPr>
          <w:szCs w:val="21"/>
        </w:rPr>
      </w:pPr>
      <w:r>
        <w:rPr>
          <w:rStyle w:val="51"/>
          <w:rFonts w:hint="eastAsia" w:ascii="宋体" w:hAnsi="宋体" w:eastAsia="宋体" w:cs="宋体"/>
          <w:color w:val="auto"/>
          <w:sz w:val="21"/>
          <w:szCs w:val="21"/>
        </w:rPr>
        <w:t>年月日</w:t>
      </w:r>
    </w:p>
    <w:p w14:paraId="6559B4ED">
      <w:pPr>
        <w:pStyle w:val="12"/>
        <w:keepNext w:val="0"/>
        <w:keepLines w:val="0"/>
        <w:pageBreakBefore w:val="0"/>
        <w:widowControl w:val="0"/>
        <w:kinsoku/>
        <w:wordWrap/>
        <w:overflowPunct/>
        <w:topLinePunct w:val="0"/>
        <w:autoSpaceDE w:val="0"/>
        <w:autoSpaceDN w:val="0"/>
        <w:bidi w:val="0"/>
        <w:adjustRightInd/>
        <w:snapToGrid/>
        <w:spacing w:line="360" w:lineRule="auto"/>
        <w:textAlignment w:val="auto"/>
      </w:pPr>
    </w:p>
    <w:p w14:paraId="1FB47D3A">
      <w:pPr>
        <w:keepNext w:val="0"/>
        <w:keepLines w:val="0"/>
        <w:pageBreakBefore w:val="0"/>
        <w:widowControl w:val="0"/>
        <w:kinsoku/>
        <w:wordWrap/>
        <w:overflowPunct/>
        <w:topLinePunct w:val="0"/>
        <w:autoSpaceDE w:val="0"/>
        <w:autoSpaceDN w:val="0"/>
        <w:bidi w:val="0"/>
        <w:adjustRightInd/>
        <w:snapToGrid/>
        <w:spacing w:line="360" w:lineRule="auto"/>
        <w:ind w:firstLine="422"/>
        <w:textAlignment w:val="auto"/>
      </w:pPr>
    </w:p>
    <w:p w14:paraId="73CC7A82">
      <w:pPr>
        <w:keepNext w:val="0"/>
        <w:keepLines w:val="0"/>
        <w:pageBreakBefore w:val="0"/>
        <w:widowControl w:val="0"/>
        <w:kinsoku/>
        <w:wordWrap/>
        <w:overflowPunct/>
        <w:topLinePunct w:val="0"/>
        <w:autoSpaceDE w:val="0"/>
        <w:autoSpaceDN w:val="0"/>
        <w:bidi w:val="0"/>
        <w:adjustRightInd/>
        <w:snapToGrid/>
        <w:spacing w:line="360" w:lineRule="auto"/>
        <w:ind w:firstLine="422"/>
        <w:textAlignment w:val="auto"/>
      </w:pPr>
    </w:p>
    <w:p w14:paraId="6E84C929">
      <w:pPr>
        <w:pStyle w:val="12"/>
        <w:keepNext w:val="0"/>
        <w:keepLines w:val="0"/>
        <w:pageBreakBefore w:val="0"/>
        <w:widowControl w:val="0"/>
        <w:kinsoku/>
        <w:wordWrap/>
        <w:overflowPunct/>
        <w:topLinePunct w:val="0"/>
        <w:autoSpaceDE w:val="0"/>
        <w:autoSpaceDN w:val="0"/>
        <w:bidi w:val="0"/>
        <w:adjustRightInd/>
        <w:snapToGrid/>
        <w:spacing w:line="360" w:lineRule="auto"/>
        <w:textAlignment w:val="auto"/>
      </w:pPr>
    </w:p>
    <w:p w14:paraId="129A2C97">
      <w:pPr>
        <w:ind w:firstLine="422"/>
      </w:pPr>
    </w:p>
    <w:p w14:paraId="37D28475">
      <w:pPr>
        <w:pStyle w:val="12"/>
      </w:pPr>
    </w:p>
    <w:p w14:paraId="4216AEF5">
      <w:pPr>
        <w:ind w:firstLine="422"/>
      </w:pPr>
    </w:p>
    <w:p w14:paraId="6C774082">
      <w:pPr>
        <w:ind w:firstLine="422"/>
      </w:pPr>
    </w:p>
    <w:p w14:paraId="186D1D1D">
      <w:pPr>
        <w:pStyle w:val="2"/>
        <w:spacing w:before="35"/>
        <w:ind w:right="320" w:firstLine="643"/>
        <w:jc w:val="center"/>
      </w:pPr>
      <w:r>
        <w:rPr>
          <w:rFonts w:hint="eastAsia"/>
        </w:rPr>
        <w:t>第六章工程量清单</w:t>
      </w:r>
      <w:bookmarkEnd w:id="124"/>
    </w:p>
    <w:p w14:paraId="001287C2">
      <w:pPr>
        <w:ind w:firstLine="560"/>
        <w:jc w:val="both"/>
        <w:rPr>
          <w:b/>
          <w:bCs/>
          <w:sz w:val="28"/>
          <w:szCs w:val="28"/>
        </w:rPr>
      </w:pPr>
    </w:p>
    <w:p w14:paraId="410B744A">
      <w:pPr>
        <w:spacing w:line="360" w:lineRule="auto"/>
        <w:ind w:firstLine="562"/>
        <w:jc w:val="center"/>
        <w:rPr>
          <w:b/>
          <w:bCs/>
          <w:sz w:val="28"/>
          <w:szCs w:val="28"/>
        </w:rPr>
      </w:pPr>
      <w:r>
        <w:rPr>
          <w:rFonts w:hint="eastAsia"/>
          <w:b/>
          <w:bCs/>
          <w:sz w:val="28"/>
          <w:szCs w:val="28"/>
        </w:rPr>
        <w:t>（另册）</w:t>
      </w:r>
    </w:p>
    <w:p w14:paraId="0C4A891B">
      <w:pPr>
        <w:spacing w:line="360" w:lineRule="auto"/>
        <w:ind w:firstLine="560" w:firstLineChars="200"/>
        <w:rPr>
          <w:color w:val="auto"/>
          <w:sz w:val="28"/>
          <w:szCs w:val="28"/>
          <w:highlight w:val="none"/>
        </w:rPr>
      </w:pPr>
      <w:r>
        <w:rPr>
          <w:rFonts w:hint="eastAsia"/>
          <w:color w:val="auto"/>
          <w:sz w:val="28"/>
          <w:szCs w:val="28"/>
          <w:highlight w:val="none"/>
        </w:rPr>
        <w:t>注：除项目专用合同条款另有约定外，</w:t>
      </w:r>
      <w:r>
        <w:rPr>
          <w:rFonts w:hint="eastAsia"/>
          <w:b/>
          <w:bCs/>
          <w:color w:val="auto"/>
          <w:sz w:val="28"/>
          <w:szCs w:val="28"/>
          <w:highlight w:val="none"/>
        </w:rPr>
        <w:t>安全生产费用应按采购人公布的最高投标限价的1.5%计。安</w:t>
      </w:r>
      <w:r>
        <w:rPr>
          <w:rFonts w:hint="eastAsia"/>
          <w:color w:val="auto"/>
          <w:sz w:val="28"/>
          <w:szCs w:val="28"/>
          <w:highlight w:val="none"/>
        </w:rPr>
        <w:t>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采购人不再另行支付。</w:t>
      </w:r>
    </w:p>
    <w:p w14:paraId="6C4044EB">
      <w:pPr>
        <w:spacing w:line="360" w:lineRule="auto"/>
        <w:ind w:firstLine="562" w:firstLineChars="200"/>
        <w:rPr>
          <w:b/>
          <w:bCs/>
          <w:color w:val="auto"/>
          <w:sz w:val="28"/>
          <w:szCs w:val="28"/>
          <w:highlight w:val="none"/>
        </w:rPr>
      </w:pPr>
      <w:r>
        <w:rPr>
          <w:rFonts w:hint="eastAsia"/>
          <w:b/>
          <w:bCs/>
          <w:color w:val="auto"/>
          <w:sz w:val="28"/>
          <w:szCs w:val="28"/>
          <w:highlight w:val="none"/>
        </w:rPr>
        <w:t>安全生产费用不按采购人公布的最高投标限价的1.5%填报的，响应文件作废标处理。</w:t>
      </w:r>
    </w:p>
    <w:p w14:paraId="6DE5E40D">
      <w:pPr>
        <w:pStyle w:val="2"/>
        <w:spacing w:before="30"/>
        <w:ind w:right="320" w:firstLine="643"/>
        <w:jc w:val="center"/>
      </w:pPr>
    </w:p>
    <w:p w14:paraId="11A9F6D5">
      <w:pPr>
        <w:pStyle w:val="2"/>
        <w:spacing w:before="30"/>
        <w:ind w:right="320" w:firstLine="643"/>
        <w:jc w:val="center"/>
      </w:pPr>
    </w:p>
    <w:p w14:paraId="00DBCD32">
      <w:pPr>
        <w:pStyle w:val="2"/>
        <w:spacing w:before="30"/>
        <w:ind w:right="320" w:firstLine="643"/>
        <w:jc w:val="center"/>
      </w:pPr>
    </w:p>
    <w:p w14:paraId="5A4A2CCE">
      <w:pPr>
        <w:pStyle w:val="2"/>
        <w:spacing w:before="30"/>
        <w:ind w:right="320" w:firstLine="643"/>
        <w:jc w:val="center"/>
      </w:pPr>
    </w:p>
    <w:p w14:paraId="3FF14FB4">
      <w:pPr>
        <w:pStyle w:val="2"/>
        <w:spacing w:before="30"/>
        <w:ind w:right="320" w:firstLine="643"/>
        <w:jc w:val="center"/>
      </w:pPr>
    </w:p>
    <w:p w14:paraId="027DDBB9">
      <w:pPr>
        <w:pStyle w:val="2"/>
        <w:spacing w:before="30"/>
        <w:ind w:right="320" w:firstLine="643"/>
        <w:jc w:val="center"/>
      </w:pPr>
    </w:p>
    <w:p w14:paraId="26F4CF8E">
      <w:pPr>
        <w:pStyle w:val="2"/>
        <w:spacing w:before="30"/>
        <w:ind w:right="320" w:firstLine="643"/>
        <w:jc w:val="center"/>
      </w:pPr>
    </w:p>
    <w:p w14:paraId="7ED72169">
      <w:pPr>
        <w:pStyle w:val="2"/>
        <w:spacing w:before="30"/>
        <w:ind w:right="320" w:firstLine="643"/>
        <w:jc w:val="center"/>
      </w:pPr>
    </w:p>
    <w:p w14:paraId="63A4CD0D">
      <w:pPr>
        <w:pStyle w:val="2"/>
        <w:spacing w:before="30"/>
        <w:ind w:right="320" w:firstLine="643"/>
        <w:jc w:val="center"/>
      </w:pPr>
    </w:p>
    <w:p w14:paraId="02EB0871">
      <w:pPr>
        <w:pStyle w:val="2"/>
        <w:spacing w:before="30"/>
        <w:ind w:right="320" w:firstLine="643"/>
        <w:jc w:val="center"/>
      </w:pPr>
    </w:p>
    <w:p w14:paraId="07640CCF">
      <w:pPr>
        <w:pStyle w:val="2"/>
        <w:spacing w:before="30"/>
        <w:ind w:right="320" w:firstLine="643"/>
        <w:jc w:val="center"/>
      </w:pPr>
    </w:p>
    <w:p w14:paraId="6AA8A0E0">
      <w:pPr>
        <w:pStyle w:val="2"/>
        <w:spacing w:before="30"/>
        <w:ind w:right="320" w:firstLine="643"/>
        <w:jc w:val="center"/>
      </w:pPr>
    </w:p>
    <w:p w14:paraId="7A5D292C">
      <w:pPr>
        <w:pStyle w:val="2"/>
        <w:spacing w:before="30"/>
        <w:ind w:right="320" w:firstLine="643"/>
        <w:jc w:val="center"/>
      </w:pPr>
    </w:p>
    <w:p w14:paraId="7F4A5E59">
      <w:pPr>
        <w:pStyle w:val="2"/>
        <w:spacing w:before="30"/>
        <w:ind w:right="320" w:firstLine="643"/>
        <w:jc w:val="center"/>
      </w:pPr>
    </w:p>
    <w:p w14:paraId="70D950E5">
      <w:pPr>
        <w:pStyle w:val="2"/>
        <w:spacing w:before="30"/>
        <w:ind w:right="320" w:firstLine="643"/>
        <w:jc w:val="center"/>
      </w:pPr>
    </w:p>
    <w:p w14:paraId="4DEB64CC">
      <w:pPr>
        <w:pStyle w:val="2"/>
        <w:spacing w:before="30"/>
        <w:ind w:right="320" w:firstLine="643"/>
        <w:jc w:val="center"/>
      </w:pPr>
    </w:p>
    <w:p w14:paraId="226F7202">
      <w:pPr>
        <w:pStyle w:val="2"/>
        <w:spacing w:before="30"/>
        <w:ind w:right="320" w:firstLine="643"/>
        <w:jc w:val="center"/>
      </w:pPr>
    </w:p>
    <w:p w14:paraId="2037DC17">
      <w:pPr>
        <w:pStyle w:val="2"/>
        <w:spacing w:before="30"/>
        <w:ind w:right="320" w:firstLine="643"/>
        <w:jc w:val="center"/>
      </w:pPr>
    </w:p>
    <w:p w14:paraId="42A910CC">
      <w:pPr>
        <w:pStyle w:val="2"/>
        <w:spacing w:before="30"/>
        <w:ind w:right="320" w:firstLine="643"/>
        <w:jc w:val="center"/>
      </w:pPr>
    </w:p>
    <w:p w14:paraId="7EBCFE87">
      <w:pPr>
        <w:pStyle w:val="2"/>
        <w:spacing w:before="30"/>
        <w:ind w:right="320" w:firstLine="643"/>
        <w:jc w:val="both"/>
      </w:pPr>
    </w:p>
    <w:p w14:paraId="12627602">
      <w:pPr>
        <w:pStyle w:val="2"/>
        <w:spacing w:before="35"/>
        <w:ind w:right="320" w:firstLine="643"/>
        <w:jc w:val="center"/>
      </w:pPr>
      <w:bookmarkStart w:id="129" w:name="_Toc17206"/>
      <w:r>
        <w:rPr>
          <w:rFonts w:hint="eastAsia"/>
        </w:rPr>
        <w:t>第七章图纸</w:t>
      </w:r>
      <w:bookmarkEnd w:id="129"/>
    </w:p>
    <w:p w14:paraId="4245C700">
      <w:pPr>
        <w:ind w:firstLine="560"/>
        <w:jc w:val="center"/>
        <w:rPr>
          <w:b/>
          <w:bCs/>
          <w:sz w:val="28"/>
          <w:szCs w:val="28"/>
        </w:rPr>
      </w:pPr>
    </w:p>
    <w:p w14:paraId="5BFF9073">
      <w:pPr>
        <w:ind w:firstLine="560"/>
        <w:jc w:val="center"/>
        <w:rPr>
          <w:b/>
          <w:bCs/>
          <w:sz w:val="28"/>
          <w:szCs w:val="28"/>
        </w:rPr>
      </w:pPr>
    </w:p>
    <w:p w14:paraId="536EA762">
      <w:pPr>
        <w:ind w:firstLine="562"/>
        <w:jc w:val="center"/>
        <w:rPr>
          <w:b/>
          <w:bCs/>
          <w:sz w:val="28"/>
          <w:szCs w:val="28"/>
        </w:rPr>
      </w:pPr>
      <w:r>
        <w:rPr>
          <w:rFonts w:hint="eastAsia"/>
          <w:b/>
          <w:bCs/>
          <w:sz w:val="28"/>
          <w:szCs w:val="28"/>
        </w:rPr>
        <w:t>（另册）</w:t>
      </w:r>
    </w:p>
    <w:p w14:paraId="754B4344">
      <w:pPr>
        <w:ind w:firstLine="422"/>
      </w:pPr>
    </w:p>
    <w:p w14:paraId="64884D03">
      <w:pPr>
        <w:pStyle w:val="2"/>
        <w:spacing w:before="30"/>
        <w:ind w:right="320" w:firstLine="643"/>
        <w:jc w:val="center"/>
      </w:pPr>
    </w:p>
    <w:p w14:paraId="5BBDD9E6">
      <w:pPr>
        <w:pStyle w:val="2"/>
        <w:spacing w:before="30"/>
        <w:ind w:right="320" w:firstLine="643"/>
        <w:jc w:val="center"/>
      </w:pPr>
    </w:p>
    <w:p w14:paraId="06E70947">
      <w:pPr>
        <w:pStyle w:val="2"/>
        <w:spacing w:before="30"/>
        <w:ind w:right="320" w:firstLine="643"/>
        <w:jc w:val="center"/>
      </w:pPr>
    </w:p>
    <w:p w14:paraId="2D9810E3">
      <w:pPr>
        <w:pStyle w:val="2"/>
        <w:spacing w:before="30"/>
        <w:ind w:right="320" w:firstLine="643"/>
        <w:jc w:val="center"/>
      </w:pPr>
    </w:p>
    <w:p w14:paraId="54B4D8A9">
      <w:pPr>
        <w:pStyle w:val="2"/>
        <w:spacing w:before="30"/>
        <w:ind w:right="320" w:firstLine="643"/>
        <w:jc w:val="center"/>
      </w:pPr>
    </w:p>
    <w:p w14:paraId="6EDC6BED">
      <w:pPr>
        <w:pStyle w:val="2"/>
        <w:spacing w:before="30"/>
        <w:ind w:right="320" w:firstLine="643"/>
        <w:jc w:val="center"/>
      </w:pPr>
    </w:p>
    <w:p w14:paraId="3AB029B6">
      <w:pPr>
        <w:pStyle w:val="2"/>
        <w:spacing w:before="30"/>
        <w:ind w:right="320" w:firstLine="643"/>
        <w:jc w:val="center"/>
      </w:pPr>
    </w:p>
    <w:p w14:paraId="4223D7FA">
      <w:pPr>
        <w:pStyle w:val="2"/>
        <w:spacing w:before="30"/>
        <w:ind w:right="320" w:firstLine="643"/>
        <w:jc w:val="center"/>
      </w:pPr>
    </w:p>
    <w:p w14:paraId="569F92A4">
      <w:pPr>
        <w:pStyle w:val="2"/>
        <w:spacing w:before="30"/>
        <w:ind w:right="320" w:firstLine="643"/>
        <w:jc w:val="center"/>
      </w:pPr>
    </w:p>
    <w:p w14:paraId="7C8AFFC4">
      <w:pPr>
        <w:pStyle w:val="2"/>
        <w:spacing w:before="30"/>
        <w:ind w:right="320" w:firstLine="643"/>
        <w:jc w:val="center"/>
      </w:pPr>
    </w:p>
    <w:p w14:paraId="503A36D1">
      <w:pPr>
        <w:pStyle w:val="2"/>
        <w:spacing w:before="30"/>
        <w:ind w:right="320" w:firstLine="643"/>
        <w:jc w:val="center"/>
      </w:pPr>
    </w:p>
    <w:p w14:paraId="189406ED">
      <w:pPr>
        <w:pStyle w:val="2"/>
        <w:spacing w:before="30"/>
        <w:ind w:right="320" w:firstLine="643"/>
        <w:jc w:val="center"/>
      </w:pPr>
    </w:p>
    <w:p w14:paraId="2B62C4E4">
      <w:pPr>
        <w:pStyle w:val="2"/>
        <w:spacing w:before="30"/>
        <w:ind w:right="320" w:firstLine="643"/>
        <w:jc w:val="center"/>
      </w:pPr>
    </w:p>
    <w:p w14:paraId="21D4C99C">
      <w:pPr>
        <w:pStyle w:val="2"/>
        <w:spacing w:before="30"/>
        <w:ind w:right="320" w:firstLine="643"/>
        <w:jc w:val="center"/>
      </w:pPr>
    </w:p>
    <w:p w14:paraId="703A89F9">
      <w:pPr>
        <w:pStyle w:val="2"/>
        <w:spacing w:before="30"/>
        <w:ind w:right="320" w:firstLine="643"/>
        <w:jc w:val="center"/>
      </w:pPr>
    </w:p>
    <w:p w14:paraId="3E4E6E3D">
      <w:pPr>
        <w:pStyle w:val="2"/>
        <w:spacing w:before="30"/>
        <w:ind w:right="320" w:firstLine="643"/>
        <w:jc w:val="center"/>
      </w:pPr>
    </w:p>
    <w:p w14:paraId="5093BEAB">
      <w:pPr>
        <w:pStyle w:val="2"/>
        <w:spacing w:before="30"/>
        <w:ind w:right="320" w:firstLine="643"/>
        <w:jc w:val="center"/>
      </w:pPr>
    </w:p>
    <w:p w14:paraId="4F1F4145">
      <w:pPr>
        <w:pStyle w:val="2"/>
        <w:spacing w:before="30"/>
        <w:ind w:right="320" w:firstLine="643"/>
        <w:jc w:val="center"/>
      </w:pPr>
    </w:p>
    <w:p w14:paraId="342B6321">
      <w:pPr>
        <w:ind w:firstLine="422"/>
      </w:pPr>
    </w:p>
    <w:p w14:paraId="061056F8">
      <w:pPr>
        <w:ind w:firstLine="422"/>
      </w:pPr>
    </w:p>
    <w:p w14:paraId="1711C7EA">
      <w:pPr>
        <w:ind w:firstLine="422"/>
      </w:pPr>
    </w:p>
    <w:p w14:paraId="67BAE053">
      <w:pPr>
        <w:ind w:firstLine="422"/>
      </w:pPr>
    </w:p>
    <w:p w14:paraId="6F12D381">
      <w:pPr>
        <w:ind w:firstLine="422"/>
      </w:pPr>
    </w:p>
    <w:p w14:paraId="320FDBF5">
      <w:pPr>
        <w:ind w:firstLine="422"/>
      </w:pPr>
    </w:p>
    <w:p w14:paraId="37290FEF">
      <w:pPr>
        <w:ind w:firstLine="422"/>
      </w:pPr>
    </w:p>
    <w:p w14:paraId="4047180D">
      <w:pPr>
        <w:ind w:firstLine="422"/>
      </w:pPr>
    </w:p>
    <w:p w14:paraId="10F8908E">
      <w:pPr>
        <w:ind w:firstLine="422"/>
      </w:pPr>
    </w:p>
    <w:p w14:paraId="49492EDE">
      <w:pPr>
        <w:ind w:firstLine="422"/>
      </w:pPr>
    </w:p>
    <w:p w14:paraId="13FE9708">
      <w:pPr>
        <w:ind w:firstLine="422"/>
      </w:pPr>
    </w:p>
    <w:p w14:paraId="34A54F52">
      <w:pPr>
        <w:pStyle w:val="2"/>
        <w:spacing w:before="30"/>
        <w:ind w:right="320" w:firstLine="643"/>
        <w:jc w:val="both"/>
      </w:pPr>
    </w:p>
    <w:p w14:paraId="255CD434">
      <w:pPr>
        <w:pStyle w:val="2"/>
        <w:spacing w:before="30"/>
        <w:ind w:right="320" w:firstLine="643"/>
        <w:jc w:val="both"/>
      </w:pPr>
    </w:p>
    <w:p w14:paraId="6642F510">
      <w:pPr>
        <w:pStyle w:val="2"/>
        <w:spacing w:before="30"/>
        <w:ind w:right="320" w:firstLine="643"/>
        <w:jc w:val="center"/>
      </w:pPr>
      <w:bookmarkStart w:id="130" w:name="_Toc32116"/>
      <w:r>
        <w:t>第</w:t>
      </w:r>
      <w:r>
        <w:rPr>
          <w:rFonts w:hint="eastAsia"/>
        </w:rPr>
        <w:t>八</w:t>
      </w:r>
      <w:r>
        <w:t>章响应文件（格式）</w:t>
      </w:r>
      <w:bookmarkEnd w:id="130"/>
    </w:p>
    <w:p w14:paraId="47AA6F08">
      <w:pPr>
        <w:pStyle w:val="12"/>
        <w:ind w:firstLine="640"/>
        <w:rPr>
          <w:b/>
          <w:sz w:val="32"/>
        </w:rPr>
      </w:pPr>
    </w:p>
    <w:p w14:paraId="4495D30E">
      <w:pPr>
        <w:pStyle w:val="12"/>
        <w:ind w:firstLine="640"/>
        <w:rPr>
          <w:b/>
          <w:sz w:val="32"/>
        </w:rPr>
      </w:pPr>
    </w:p>
    <w:p w14:paraId="47FDB6DC">
      <w:pPr>
        <w:pStyle w:val="3"/>
        <w:ind w:firstLine="643"/>
      </w:pPr>
      <w:bookmarkStart w:id="131" w:name="_Toc2749"/>
      <w:bookmarkStart w:id="132" w:name="_Toc26733"/>
      <w:r>
        <w:t>响应文件</w:t>
      </w:r>
      <w:bookmarkEnd w:id="131"/>
      <w:bookmarkEnd w:id="132"/>
    </w:p>
    <w:p w14:paraId="3713E928">
      <w:pPr>
        <w:pStyle w:val="12"/>
        <w:ind w:firstLine="402"/>
        <w:rPr>
          <w:sz w:val="20"/>
        </w:rPr>
      </w:pPr>
    </w:p>
    <w:p w14:paraId="2EC238EB">
      <w:pPr>
        <w:pStyle w:val="12"/>
        <w:ind w:firstLine="361"/>
        <w:rPr>
          <w:sz w:val="18"/>
        </w:rPr>
      </w:pPr>
    </w:p>
    <w:p w14:paraId="133AD2F3">
      <w:pPr>
        <w:pStyle w:val="8"/>
        <w:spacing w:before="67"/>
        <w:ind w:left="840" w:firstLine="482"/>
      </w:pPr>
      <w:r>
        <w:t>项目名称：</w:t>
      </w:r>
    </w:p>
    <w:p w14:paraId="5DB8121C">
      <w:pPr>
        <w:pStyle w:val="12"/>
        <w:ind w:firstLine="482"/>
        <w:rPr>
          <w:sz w:val="24"/>
        </w:rPr>
      </w:pPr>
    </w:p>
    <w:p w14:paraId="06F7BDC0">
      <w:pPr>
        <w:pStyle w:val="12"/>
        <w:ind w:firstLine="482"/>
        <w:rPr>
          <w:sz w:val="24"/>
        </w:rPr>
      </w:pPr>
    </w:p>
    <w:p w14:paraId="276C64D6">
      <w:pPr>
        <w:pStyle w:val="12"/>
        <w:spacing w:before="2"/>
        <w:ind w:firstLine="582"/>
        <w:rPr>
          <w:sz w:val="29"/>
        </w:rPr>
      </w:pPr>
    </w:p>
    <w:p w14:paraId="0E8E0025">
      <w:pPr>
        <w:pStyle w:val="8"/>
        <w:ind w:left="840" w:firstLine="482"/>
      </w:pPr>
      <w:r>
        <w:t>项目编号：</w:t>
      </w:r>
    </w:p>
    <w:p w14:paraId="7E1B9C62">
      <w:pPr>
        <w:pStyle w:val="12"/>
        <w:ind w:firstLine="482"/>
        <w:rPr>
          <w:sz w:val="24"/>
        </w:rPr>
      </w:pPr>
    </w:p>
    <w:p w14:paraId="6FEB4D22">
      <w:pPr>
        <w:pStyle w:val="12"/>
        <w:ind w:firstLine="482"/>
        <w:rPr>
          <w:sz w:val="24"/>
        </w:rPr>
      </w:pPr>
    </w:p>
    <w:p w14:paraId="0FD728F0">
      <w:pPr>
        <w:pStyle w:val="12"/>
        <w:spacing w:before="3"/>
        <w:ind w:firstLine="602"/>
        <w:rPr>
          <w:sz w:val="30"/>
        </w:rPr>
      </w:pPr>
    </w:p>
    <w:p w14:paraId="0F9C5468">
      <w:pPr>
        <w:pStyle w:val="8"/>
        <w:ind w:left="840" w:firstLine="482"/>
        <w:rPr>
          <w:rFonts w:hint="eastAsia" w:eastAsia="宋体"/>
          <w:lang w:eastAsia="zh-CN"/>
        </w:rPr>
      </w:pPr>
      <w:r>
        <w:t>采购代理机构：</w:t>
      </w:r>
      <w:r>
        <w:rPr>
          <w:rFonts w:hint="eastAsia"/>
          <w:lang w:eastAsia="zh-CN"/>
        </w:rPr>
        <w:t>广西建设工程机电设备招标中心有限公司</w:t>
      </w:r>
    </w:p>
    <w:p w14:paraId="6C147B0F">
      <w:pPr>
        <w:pStyle w:val="12"/>
        <w:ind w:firstLine="482"/>
        <w:rPr>
          <w:sz w:val="24"/>
        </w:rPr>
      </w:pPr>
    </w:p>
    <w:p w14:paraId="0918AF00">
      <w:pPr>
        <w:pStyle w:val="12"/>
        <w:ind w:firstLine="482"/>
        <w:rPr>
          <w:sz w:val="24"/>
        </w:rPr>
      </w:pPr>
    </w:p>
    <w:p w14:paraId="48B9DBEA">
      <w:pPr>
        <w:pStyle w:val="12"/>
        <w:ind w:firstLine="482"/>
        <w:rPr>
          <w:sz w:val="24"/>
        </w:rPr>
      </w:pPr>
    </w:p>
    <w:p w14:paraId="458BEC95">
      <w:pPr>
        <w:pStyle w:val="12"/>
        <w:ind w:firstLine="482"/>
        <w:rPr>
          <w:sz w:val="24"/>
        </w:rPr>
      </w:pPr>
    </w:p>
    <w:p w14:paraId="3D964493">
      <w:pPr>
        <w:pStyle w:val="12"/>
        <w:ind w:firstLine="482"/>
        <w:rPr>
          <w:sz w:val="24"/>
        </w:rPr>
      </w:pPr>
    </w:p>
    <w:p w14:paraId="666DC277">
      <w:pPr>
        <w:pStyle w:val="12"/>
        <w:ind w:firstLine="482"/>
        <w:rPr>
          <w:sz w:val="24"/>
        </w:rPr>
      </w:pPr>
    </w:p>
    <w:p w14:paraId="46A0AB76">
      <w:pPr>
        <w:pStyle w:val="12"/>
        <w:ind w:firstLine="482"/>
        <w:rPr>
          <w:sz w:val="24"/>
        </w:rPr>
      </w:pPr>
    </w:p>
    <w:p w14:paraId="68373E67">
      <w:pPr>
        <w:pStyle w:val="12"/>
        <w:ind w:firstLine="482"/>
        <w:rPr>
          <w:sz w:val="24"/>
        </w:rPr>
      </w:pPr>
    </w:p>
    <w:p w14:paraId="22AD61D0">
      <w:pPr>
        <w:pStyle w:val="12"/>
        <w:ind w:firstLine="482"/>
        <w:rPr>
          <w:sz w:val="24"/>
        </w:rPr>
      </w:pPr>
    </w:p>
    <w:p w14:paraId="436E6123">
      <w:pPr>
        <w:pStyle w:val="12"/>
        <w:ind w:firstLine="482"/>
        <w:rPr>
          <w:sz w:val="24"/>
        </w:rPr>
      </w:pPr>
    </w:p>
    <w:p w14:paraId="3868C465">
      <w:pPr>
        <w:pStyle w:val="12"/>
        <w:ind w:firstLine="482"/>
        <w:rPr>
          <w:sz w:val="24"/>
        </w:rPr>
      </w:pPr>
    </w:p>
    <w:p w14:paraId="3574C940">
      <w:pPr>
        <w:pStyle w:val="12"/>
        <w:spacing w:before="10"/>
        <w:ind w:firstLine="683"/>
        <w:rPr>
          <w:sz w:val="34"/>
        </w:rPr>
      </w:pPr>
    </w:p>
    <w:p w14:paraId="3594A0EC">
      <w:pPr>
        <w:pStyle w:val="7"/>
        <w:ind w:left="900" w:firstLine="482"/>
      </w:pPr>
      <w:r>
        <w:t>磋商供应商[公章(CA签章)、自然人除外]：</w:t>
      </w:r>
    </w:p>
    <w:p w14:paraId="2C41D3BB">
      <w:pPr>
        <w:pStyle w:val="12"/>
        <w:spacing w:before="8"/>
        <w:ind w:firstLine="380"/>
        <w:rPr>
          <w:b/>
          <w:sz w:val="19"/>
        </w:rPr>
      </w:pPr>
    </w:p>
    <w:p w14:paraId="2E43851D">
      <w:pPr>
        <w:pStyle w:val="7"/>
        <w:ind w:left="900" w:firstLine="482"/>
      </w:pPr>
      <w:r>
        <w:t>法定代表人、负责人、自然人或相应的委托代理人签字[或盖章(CA签章)]</w:t>
      </w:r>
    </w:p>
    <w:p w14:paraId="0808691A">
      <w:pPr>
        <w:pStyle w:val="7"/>
        <w:spacing w:before="134" w:line="436" w:lineRule="auto"/>
        <w:ind w:left="900" w:right="3020" w:firstLine="482"/>
      </w:pPr>
      <w:r>
        <w:t>（属自然人的应在签名处加盖大拇指指印或个人CA签章）：联系电话：</w:t>
      </w:r>
    </w:p>
    <w:p w14:paraId="481F0D0D">
      <w:pPr>
        <w:pStyle w:val="7"/>
        <w:spacing w:line="307" w:lineRule="exact"/>
        <w:ind w:left="900" w:firstLine="482"/>
      </w:pPr>
      <w:r>
        <w:t>日期：年</w:t>
      </w:r>
      <w:r>
        <w:rPr>
          <w:rFonts w:hint="eastAsia"/>
          <w:lang w:val="en-US" w:eastAsia="zh-CN"/>
        </w:rPr>
        <w:t xml:space="preserve"> </w:t>
      </w:r>
      <w:r>
        <w:t>月</w:t>
      </w:r>
      <w:r>
        <w:rPr>
          <w:rFonts w:hint="eastAsia"/>
          <w:lang w:val="en-US" w:eastAsia="zh-CN"/>
        </w:rPr>
        <w:t xml:space="preserve"> </w:t>
      </w:r>
      <w:r>
        <w:t>日</w:t>
      </w:r>
    </w:p>
    <w:p w14:paraId="1CA96F9E">
      <w:pPr>
        <w:spacing w:line="307" w:lineRule="exact"/>
        <w:ind w:firstLine="422"/>
        <w:sectPr>
          <w:footerReference r:id="rId12" w:type="default"/>
          <w:pgSz w:w="11910" w:h="16840"/>
          <w:pgMar w:top="1500" w:right="640" w:bottom="1180" w:left="960" w:header="0" w:footer="954" w:gutter="0"/>
          <w:cols w:space="720" w:num="1"/>
        </w:sectPr>
      </w:pPr>
    </w:p>
    <w:p w14:paraId="6121D5AB">
      <w:pPr>
        <w:spacing w:before="43"/>
        <w:ind w:left="480" w:firstLine="643"/>
        <w:outlineLvl w:val="0"/>
        <w:rPr>
          <w:b/>
          <w:sz w:val="32"/>
        </w:rPr>
      </w:pPr>
      <w:bookmarkStart w:id="133" w:name="二、响应文件组成"/>
      <w:bookmarkEnd w:id="133"/>
      <w:bookmarkStart w:id="134" w:name="_Toc29213"/>
      <w:bookmarkStart w:id="135" w:name="_Toc20369"/>
      <w:bookmarkStart w:id="136" w:name="_Toc18970"/>
      <w:r>
        <w:rPr>
          <w:b/>
          <w:sz w:val="32"/>
        </w:rPr>
        <w:t>二、响应文件组成</w:t>
      </w:r>
      <w:bookmarkEnd w:id="134"/>
      <w:bookmarkEnd w:id="135"/>
      <w:bookmarkEnd w:id="136"/>
    </w:p>
    <w:p w14:paraId="234C7F7C">
      <w:pPr>
        <w:pStyle w:val="12"/>
        <w:ind w:firstLine="640"/>
        <w:rPr>
          <w:b/>
          <w:sz w:val="32"/>
        </w:rPr>
      </w:pPr>
    </w:p>
    <w:p w14:paraId="536F47E2">
      <w:pPr>
        <w:pStyle w:val="12"/>
        <w:spacing w:before="8"/>
        <w:ind w:firstLine="580"/>
        <w:rPr>
          <w:b/>
          <w:sz w:val="29"/>
        </w:rPr>
      </w:pPr>
    </w:p>
    <w:p w14:paraId="210618BC">
      <w:pPr>
        <w:ind w:left="480" w:firstLine="482"/>
        <w:rPr>
          <w:b w:val="0"/>
          <w:bCs/>
          <w:sz w:val="32"/>
        </w:rPr>
      </w:pPr>
      <w:r>
        <w:rPr>
          <w:b w:val="0"/>
          <w:bCs/>
          <w:sz w:val="24"/>
        </w:rPr>
        <w:t>（一）</w:t>
      </w:r>
      <w:r>
        <w:rPr>
          <w:b w:val="0"/>
          <w:bCs/>
          <w:sz w:val="32"/>
        </w:rPr>
        <w:t>资格性响应证明材料</w:t>
      </w:r>
    </w:p>
    <w:p w14:paraId="37E724B5">
      <w:pPr>
        <w:pStyle w:val="12"/>
        <w:ind w:firstLine="640"/>
        <w:rPr>
          <w:b w:val="0"/>
          <w:bCs/>
          <w:sz w:val="32"/>
        </w:rPr>
      </w:pPr>
    </w:p>
    <w:p w14:paraId="3F657AC2">
      <w:pPr>
        <w:pStyle w:val="12"/>
        <w:ind w:firstLine="640"/>
        <w:rPr>
          <w:b w:val="0"/>
          <w:bCs/>
          <w:sz w:val="32"/>
        </w:rPr>
      </w:pPr>
    </w:p>
    <w:p w14:paraId="566F25B2">
      <w:pPr>
        <w:pStyle w:val="12"/>
        <w:spacing w:before="12"/>
        <w:ind w:firstLine="560"/>
        <w:rPr>
          <w:b w:val="0"/>
          <w:bCs/>
          <w:sz w:val="28"/>
        </w:rPr>
      </w:pPr>
    </w:p>
    <w:p w14:paraId="5688DCA8">
      <w:pPr>
        <w:ind w:left="480" w:firstLine="482"/>
        <w:rPr>
          <w:b w:val="0"/>
          <w:bCs/>
          <w:sz w:val="32"/>
        </w:rPr>
      </w:pPr>
      <w:r>
        <w:rPr>
          <w:b w:val="0"/>
          <w:bCs/>
          <w:sz w:val="24"/>
        </w:rPr>
        <w:t>（二）</w:t>
      </w:r>
      <w:r>
        <w:rPr>
          <w:b w:val="0"/>
          <w:bCs/>
          <w:sz w:val="32"/>
        </w:rPr>
        <w:t>符合性响应证明材料</w:t>
      </w:r>
    </w:p>
    <w:p w14:paraId="61A75D1F">
      <w:pPr>
        <w:pStyle w:val="12"/>
        <w:ind w:firstLine="640"/>
        <w:rPr>
          <w:b w:val="0"/>
          <w:bCs/>
          <w:sz w:val="32"/>
        </w:rPr>
      </w:pPr>
    </w:p>
    <w:p w14:paraId="09115951">
      <w:pPr>
        <w:pStyle w:val="12"/>
        <w:ind w:firstLine="640"/>
        <w:rPr>
          <w:b w:val="0"/>
          <w:bCs/>
          <w:sz w:val="32"/>
        </w:rPr>
      </w:pPr>
    </w:p>
    <w:p w14:paraId="189CDBFE">
      <w:pPr>
        <w:pStyle w:val="12"/>
        <w:spacing w:before="10"/>
        <w:ind w:firstLine="560"/>
        <w:rPr>
          <w:b w:val="0"/>
          <w:bCs/>
          <w:sz w:val="28"/>
        </w:rPr>
      </w:pPr>
    </w:p>
    <w:p w14:paraId="29BE7671">
      <w:pPr>
        <w:ind w:left="480" w:firstLine="482"/>
        <w:rPr>
          <w:b w:val="0"/>
          <w:bCs/>
          <w:sz w:val="32"/>
        </w:rPr>
      </w:pPr>
      <w:r>
        <w:rPr>
          <w:b w:val="0"/>
          <w:bCs/>
          <w:sz w:val="24"/>
        </w:rPr>
        <w:t>（三）</w:t>
      </w:r>
      <w:r>
        <w:rPr>
          <w:b w:val="0"/>
          <w:bCs/>
          <w:sz w:val="32"/>
        </w:rPr>
        <w:t>其它有效证明材料</w:t>
      </w:r>
    </w:p>
    <w:p w14:paraId="211AD8DA">
      <w:pPr>
        <w:ind w:firstLine="643"/>
        <w:rPr>
          <w:sz w:val="32"/>
        </w:rPr>
        <w:sectPr>
          <w:pgSz w:w="11910" w:h="16840"/>
          <w:pgMar w:top="1900" w:right="640" w:bottom="1180" w:left="960" w:header="0" w:footer="954" w:gutter="0"/>
          <w:cols w:space="720" w:num="1"/>
        </w:sectPr>
      </w:pPr>
    </w:p>
    <w:p w14:paraId="5D5D585D">
      <w:pPr>
        <w:spacing w:before="24" w:line="360" w:lineRule="auto"/>
        <w:ind w:right="322" w:firstLine="643"/>
        <w:jc w:val="center"/>
        <w:rPr>
          <w:b/>
          <w:sz w:val="32"/>
        </w:rPr>
      </w:pPr>
      <w:r>
        <w:rPr>
          <w:b/>
          <w:sz w:val="32"/>
        </w:rPr>
        <w:t>（一）资格性响应证明材料目录</w:t>
      </w:r>
    </w:p>
    <w:p w14:paraId="28599582">
      <w:pPr>
        <w:spacing w:line="360" w:lineRule="auto"/>
        <w:ind w:firstLine="420" w:firstLineChars="200"/>
        <w:rPr>
          <w:sz w:val="21"/>
          <w:szCs w:val="21"/>
        </w:rPr>
      </w:pPr>
      <w:r>
        <w:rPr>
          <w:rFonts w:hint="eastAsia"/>
          <w:sz w:val="21"/>
          <w:szCs w:val="21"/>
        </w:rPr>
        <w:t>1.供应商相应的法定代表人(负责人、自然人)身份证正反两面复印件</w:t>
      </w:r>
      <w:r>
        <w:rPr>
          <w:rFonts w:hint="eastAsia"/>
          <w:b/>
          <w:bCs/>
          <w:sz w:val="21"/>
          <w:szCs w:val="21"/>
        </w:rPr>
        <w:t>（必须提供）；</w:t>
      </w:r>
    </w:p>
    <w:p w14:paraId="1A943E8F">
      <w:pPr>
        <w:spacing w:line="360" w:lineRule="auto"/>
        <w:ind w:firstLine="420" w:firstLineChars="200"/>
        <w:rPr>
          <w:sz w:val="21"/>
          <w:szCs w:val="21"/>
        </w:rPr>
      </w:pPr>
      <w:r>
        <w:rPr>
          <w:rFonts w:hint="eastAsia"/>
          <w:sz w:val="21"/>
          <w:szCs w:val="21"/>
        </w:rPr>
        <w:t>2.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14:paraId="2C220E9E">
      <w:pPr>
        <w:spacing w:line="360" w:lineRule="auto"/>
        <w:ind w:firstLine="420" w:firstLineChars="200"/>
        <w:rPr>
          <w:sz w:val="21"/>
          <w:szCs w:val="21"/>
        </w:rPr>
      </w:pPr>
      <w:r>
        <w:rPr>
          <w:rFonts w:hint="eastAsia"/>
          <w:sz w:val="21"/>
          <w:szCs w:val="21"/>
        </w:rPr>
        <w:t>①如供应商为截标时间前60日以内成立的公司，可以提供供应商与委托代理人签订的劳动合同复印件代替社保证明复印件；</w:t>
      </w:r>
    </w:p>
    <w:p w14:paraId="783A494A">
      <w:pPr>
        <w:spacing w:line="360" w:lineRule="auto"/>
        <w:ind w:firstLine="420" w:firstLineChars="200"/>
        <w:rPr>
          <w:sz w:val="21"/>
          <w:szCs w:val="21"/>
        </w:rPr>
      </w:pPr>
      <w:r>
        <w:rPr>
          <w:rFonts w:hint="eastAsia"/>
          <w:sz w:val="21"/>
          <w:szCs w:val="21"/>
        </w:rPr>
        <w:t>②如供应商为事业单位，可以提供事业单位机构编制管理证复印件或事业单位机构为其发放工资的工资条复印件代替社保证明复印件；</w:t>
      </w:r>
    </w:p>
    <w:p w14:paraId="3D97BDC7">
      <w:pPr>
        <w:spacing w:line="360" w:lineRule="auto"/>
        <w:ind w:firstLine="420" w:firstLineChars="200"/>
        <w:rPr>
          <w:sz w:val="21"/>
          <w:szCs w:val="21"/>
        </w:rPr>
      </w:pPr>
      <w:r>
        <w:rPr>
          <w:rFonts w:hint="eastAsia"/>
          <w:sz w:val="21"/>
          <w:szCs w:val="21"/>
        </w:rPr>
        <w:t>③如委托代理人为免缴纳社保人员，提供免缴纳社保的证明材料复印件及供应商与委托代理人签订的劳动合同复印件代替社保证明复印件。</w:t>
      </w:r>
    </w:p>
    <w:p w14:paraId="67B1F3E6">
      <w:pPr>
        <w:spacing w:line="360" w:lineRule="auto"/>
        <w:ind w:firstLine="420" w:firstLineChars="200"/>
        <w:rPr>
          <w:sz w:val="21"/>
          <w:szCs w:val="21"/>
        </w:rPr>
      </w:pPr>
      <w:r>
        <w:rPr>
          <w:rFonts w:hint="eastAsia"/>
          <w:sz w:val="21"/>
          <w:szCs w:val="21"/>
        </w:rPr>
        <w:t>【属自然人的应提供由县级以上（含县级）社会养老保险经办机构出具的自然人本人及委托代理人所交纳的响应文件递交截止时间前半年内任意连续三个月社保证明复印件】</w:t>
      </w:r>
      <w:r>
        <w:rPr>
          <w:rFonts w:hint="eastAsia"/>
          <w:b/>
          <w:bCs/>
          <w:sz w:val="21"/>
          <w:szCs w:val="21"/>
        </w:rPr>
        <w:t>（委托代理时必须提供）</w:t>
      </w:r>
      <w:r>
        <w:rPr>
          <w:rFonts w:hint="eastAsia"/>
          <w:sz w:val="21"/>
          <w:szCs w:val="21"/>
        </w:rPr>
        <w:t>；</w:t>
      </w:r>
    </w:p>
    <w:p w14:paraId="4345B66A">
      <w:pPr>
        <w:spacing w:line="360" w:lineRule="auto"/>
        <w:ind w:firstLine="420" w:firstLineChars="200"/>
        <w:rPr>
          <w:sz w:val="21"/>
          <w:szCs w:val="21"/>
        </w:rPr>
      </w:pPr>
      <w:r>
        <w:rPr>
          <w:rFonts w:hint="eastAsia"/>
          <w:sz w:val="21"/>
          <w:szCs w:val="21"/>
        </w:rPr>
        <w:t>3.供应商的法人或者其他组织营业执照等证明文件复印件</w:t>
      </w:r>
      <w:r>
        <w:rPr>
          <w:rFonts w:hint="eastAsia"/>
          <w:b/>
          <w:bCs/>
          <w:sz w:val="21"/>
          <w:szCs w:val="21"/>
        </w:rPr>
        <w:t>（必须提供，自然人除外）</w:t>
      </w:r>
      <w:r>
        <w:rPr>
          <w:rFonts w:hint="eastAsia"/>
          <w:sz w:val="21"/>
          <w:szCs w:val="21"/>
        </w:rPr>
        <w:t>；</w:t>
      </w:r>
    </w:p>
    <w:p w14:paraId="3F6E4F37">
      <w:pPr>
        <w:spacing w:line="360" w:lineRule="auto"/>
        <w:ind w:firstLine="420" w:firstLineChars="200"/>
        <w:rPr>
          <w:sz w:val="21"/>
          <w:szCs w:val="21"/>
        </w:rPr>
      </w:pPr>
      <w:r>
        <w:rPr>
          <w:rFonts w:hint="eastAsia"/>
          <w:sz w:val="21"/>
          <w:szCs w:val="21"/>
        </w:rPr>
        <w:t>注：①法人包括企业法人、机关法人、事业单位法人和社会团体法人；其他组织主要包括合伙企业、非企业专业服务机构、个体工商户、农村承包经营户。②如供应商为企业（包括合伙企业），应提供市场监督管理部门或行政审批部门注册的有效“企业法人营业执照”或“营业执照；供应商为事业单位，应提供有效的“事业单位法人证书”；供应商为非企业专业服务机构的，应提供执业许可证等证明文件；供应商为个体工商户，应提供有效的“个体工商户营业执照”；供应商为社会团体法人的，应提供有效的“社会团体法人登记证书”。③如供应商为企业法人的分支机构的，除应提供营业执照复印件外，还应提供其所属的总公司授权其参加政府采购的授权文件或总公司颁布的授权其独立开展经营业务活动的证明材料复印件。</w:t>
      </w:r>
    </w:p>
    <w:p w14:paraId="02168945">
      <w:pPr>
        <w:spacing w:line="360" w:lineRule="auto"/>
        <w:ind w:firstLine="420" w:firstLineChars="200"/>
        <w:rPr>
          <w:sz w:val="21"/>
          <w:szCs w:val="21"/>
        </w:rPr>
      </w:pPr>
      <w:r>
        <w:rPr>
          <w:rFonts w:hint="eastAsia"/>
          <w:sz w:val="21"/>
          <w:szCs w:val="21"/>
        </w:rPr>
        <w:t>4.供应商有效的资质证书复印件</w:t>
      </w:r>
      <w:r>
        <w:rPr>
          <w:rFonts w:hint="eastAsia"/>
          <w:b/>
          <w:bCs/>
          <w:sz w:val="21"/>
          <w:szCs w:val="21"/>
        </w:rPr>
        <w:t>（必须提供）</w:t>
      </w:r>
      <w:r>
        <w:rPr>
          <w:rFonts w:hint="eastAsia"/>
          <w:sz w:val="21"/>
          <w:szCs w:val="21"/>
        </w:rPr>
        <w:t>；</w:t>
      </w:r>
    </w:p>
    <w:p w14:paraId="4802D6C7">
      <w:pPr>
        <w:spacing w:line="360" w:lineRule="auto"/>
        <w:ind w:firstLine="420" w:firstLineChars="200"/>
        <w:rPr>
          <w:sz w:val="21"/>
          <w:szCs w:val="21"/>
        </w:rPr>
      </w:pPr>
      <w:r>
        <w:rPr>
          <w:rFonts w:hint="eastAsia"/>
          <w:sz w:val="21"/>
          <w:szCs w:val="21"/>
        </w:rPr>
        <w:t>5.供应商有效的安全生产许可证书扫描件</w:t>
      </w:r>
      <w:r>
        <w:rPr>
          <w:rFonts w:hint="eastAsia"/>
          <w:b/>
          <w:bCs/>
          <w:sz w:val="21"/>
          <w:szCs w:val="21"/>
        </w:rPr>
        <w:t>（必须提供）</w:t>
      </w:r>
      <w:r>
        <w:rPr>
          <w:rFonts w:hint="eastAsia"/>
          <w:sz w:val="21"/>
          <w:szCs w:val="21"/>
        </w:rPr>
        <w:t>；</w:t>
      </w:r>
    </w:p>
    <w:p w14:paraId="04DE7B79">
      <w:pPr>
        <w:spacing w:line="360" w:lineRule="auto"/>
        <w:ind w:firstLine="420" w:firstLineChars="200"/>
        <w:rPr>
          <w:sz w:val="21"/>
          <w:szCs w:val="21"/>
        </w:rPr>
      </w:pPr>
      <w:r>
        <w:rPr>
          <w:rFonts w:hint="eastAsia"/>
          <w:sz w:val="21"/>
          <w:szCs w:val="21"/>
        </w:rPr>
        <w:t>6.项目经理：符合第三章“采购需求”项目经理资格要求</w:t>
      </w:r>
      <w:r>
        <w:rPr>
          <w:rFonts w:hint="eastAsia"/>
          <w:b/>
          <w:bCs/>
          <w:sz w:val="21"/>
          <w:szCs w:val="21"/>
        </w:rPr>
        <w:t>（必须提供）</w:t>
      </w:r>
      <w:r>
        <w:rPr>
          <w:rFonts w:hint="eastAsia"/>
          <w:sz w:val="21"/>
          <w:szCs w:val="21"/>
        </w:rPr>
        <w:t>；</w:t>
      </w:r>
    </w:p>
    <w:p w14:paraId="690AA248">
      <w:pPr>
        <w:spacing w:line="360" w:lineRule="auto"/>
        <w:ind w:firstLine="420" w:firstLineChars="200"/>
        <w:rPr>
          <w:sz w:val="21"/>
          <w:szCs w:val="21"/>
        </w:rPr>
      </w:pPr>
      <w:r>
        <w:rPr>
          <w:rFonts w:hint="eastAsia"/>
          <w:sz w:val="21"/>
          <w:szCs w:val="21"/>
        </w:rPr>
        <w:t>7.项目总工：符合第三章“采购需求”项目总工资格要求</w:t>
      </w:r>
      <w:r>
        <w:rPr>
          <w:rFonts w:hint="eastAsia"/>
          <w:b/>
          <w:bCs/>
          <w:sz w:val="21"/>
          <w:szCs w:val="21"/>
        </w:rPr>
        <w:t>（必须提供）</w:t>
      </w:r>
      <w:r>
        <w:rPr>
          <w:rFonts w:hint="eastAsia"/>
          <w:sz w:val="21"/>
          <w:szCs w:val="21"/>
        </w:rPr>
        <w:t>；</w:t>
      </w:r>
    </w:p>
    <w:p w14:paraId="2CAA6330">
      <w:pPr>
        <w:spacing w:line="360" w:lineRule="auto"/>
        <w:ind w:firstLine="420" w:firstLineChars="200"/>
        <w:rPr>
          <w:sz w:val="21"/>
          <w:szCs w:val="21"/>
        </w:rPr>
      </w:pPr>
      <w:r>
        <w:rPr>
          <w:rFonts w:hint="eastAsia"/>
          <w:sz w:val="21"/>
          <w:szCs w:val="21"/>
        </w:rPr>
        <w:t>8.供应商参加政府采购活动前3年内在经营活动中没有重大违法记录及有关信用信息的书面声明</w:t>
      </w:r>
      <w:r>
        <w:rPr>
          <w:rFonts w:hint="eastAsia"/>
          <w:b/>
          <w:bCs/>
          <w:sz w:val="21"/>
          <w:szCs w:val="21"/>
        </w:rPr>
        <w:t>（必须提供）</w:t>
      </w:r>
      <w:r>
        <w:rPr>
          <w:rFonts w:hint="eastAsia"/>
          <w:sz w:val="21"/>
          <w:szCs w:val="21"/>
        </w:rPr>
        <w:t>；</w:t>
      </w:r>
    </w:p>
    <w:p w14:paraId="11A9DB35">
      <w:pPr>
        <w:spacing w:line="360" w:lineRule="auto"/>
        <w:ind w:firstLine="420" w:firstLineChars="200"/>
        <w:rPr>
          <w:sz w:val="21"/>
          <w:szCs w:val="21"/>
        </w:rPr>
      </w:pPr>
      <w:r>
        <w:rPr>
          <w:rFonts w:hint="eastAsia"/>
          <w:sz w:val="21"/>
          <w:szCs w:val="21"/>
        </w:rPr>
        <w:t>9.供应商202</w:t>
      </w:r>
      <w:r>
        <w:rPr>
          <w:rFonts w:hint="eastAsia"/>
          <w:sz w:val="21"/>
          <w:szCs w:val="21"/>
          <w:lang w:val="en-US" w:eastAsia="zh-CN"/>
        </w:rPr>
        <w:t>1</w:t>
      </w:r>
      <w:r>
        <w:rPr>
          <w:rFonts w:hint="eastAsia"/>
          <w:sz w:val="21"/>
          <w:szCs w:val="21"/>
        </w:rPr>
        <w:t>-202</w:t>
      </w:r>
      <w:r>
        <w:rPr>
          <w:rFonts w:hint="eastAsia"/>
          <w:sz w:val="21"/>
          <w:szCs w:val="21"/>
          <w:lang w:val="en-US" w:eastAsia="zh-CN"/>
        </w:rPr>
        <w:t>3</w:t>
      </w:r>
      <w:r>
        <w:rPr>
          <w:rFonts w:hint="eastAsia"/>
          <w:sz w:val="21"/>
          <w:szCs w:val="21"/>
        </w:rPr>
        <w:t>年度以来通过中介审计的有效财务审计报告（新成立的公司应提供公司成立日之后的财务报表扫描件）</w:t>
      </w:r>
      <w:r>
        <w:rPr>
          <w:rFonts w:hint="eastAsia"/>
          <w:b/>
          <w:bCs/>
          <w:sz w:val="21"/>
          <w:szCs w:val="21"/>
        </w:rPr>
        <w:t>（必须提供）</w:t>
      </w:r>
      <w:r>
        <w:rPr>
          <w:rFonts w:hint="eastAsia"/>
          <w:sz w:val="21"/>
          <w:szCs w:val="21"/>
        </w:rPr>
        <w:t>；</w:t>
      </w:r>
    </w:p>
    <w:p w14:paraId="5AA2C900">
      <w:pPr>
        <w:spacing w:line="360" w:lineRule="auto"/>
        <w:ind w:firstLine="420" w:firstLineChars="200"/>
        <w:rPr>
          <w:b/>
          <w:bCs/>
          <w:sz w:val="21"/>
          <w:szCs w:val="21"/>
        </w:rPr>
      </w:pPr>
      <w:r>
        <w:rPr>
          <w:rFonts w:hint="eastAsia"/>
          <w:sz w:val="21"/>
          <w:szCs w:val="21"/>
        </w:rPr>
        <w:t>10</w:t>
      </w:r>
      <w:r>
        <w:rPr>
          <w:rFonts w:hint="eastAsia"/>
          <w:b/>
          <w:bCs/>
          <w:sz w:val="21"/>
          <w:szCs w:val="21"/>
        </w:rPr>
        <w:t>.本项目专门面向中小微企业采购。(监狱企业或残疾人福利性单位)的相关材料；根据企业所属类型，必须提供以下材料之一：</w:t>
      </w:r>
    </w:p>
    <w:p w14:paraId="3958611D">
      <w:pPr>
        <w:spacing w:line="360" w:lineRule="auto"/>
        <w:ind w:firstLine="420" w:firstLineChars="200"/>
        <w:rPr>
          <w:sz w:val="21"/>
          <w:szCs w:val="21"/>
        </w:rPr>
      </w:pPr>
      <w:r>
        <w:rPr>
          <w:rFonts w:hint="eastAsia"/>
          <w:sz w:val="21"/>
          <w:szCs w:val="21"/>
        </w:rPr>
        <w:t>①中小企业声明函（如供应商为中小微型企业的，格式见附件，供应商对出具的声明函真实性负责，成交结果将同时公告企业《中小企业声明函》，接受社会监督）；</w:t>
      </w:r>
    </w:p>
    <w:p w14:paraId="1FBA7944">
      <w:pPr>
        <w:spacing w:line="360" w:lineRule="auto"/>
        <w:ind w:firstLine="420" w:firstLineChars="200"/>
        <w:rPr>
          <w:sz w:val="21"/>
          <w:szCs w:val="21"/>
        </w:rPr>
      </w:pPr>
      <w:r>
        <w:rPr>
          <w:rFonts w:hint="eastAsia"/>
          <w:sz w:val="21"/>
          <w:szCs w:val="21"/>
        </w:rPr>
        <w:t>②监狱企业的证明文件[供应商如为监狱企业的，应当提供由省级以上监狱管理局、戒毒管理局（含新疆生产建设兵团）出具的属于监狱企业的证明文件,否则不予享受优惠政策]；</w:t>
      </w:r>
    </w:p>
    <w:p w14:paraId="729AA72D">
      <w:pPr>
        <w:spacing w:line="360" w:lineRule="auto"/>
        <w:ind w:firstLine="420" w:firstLineChars="200"/>
        <w:rPr>
          <w:sz w:val="21"/>
          <w:szCs w:val="21"/>
        </w:rPr>
      </w:pPr>
      <w:r>
        <w:rPr>
          <w:rFonts w:hint="eastAsia"/>
          <w:sz w:val="21"/>
          <w:szCs w:val="21"/>
        </w:rPr>
        <w:t>③《残疾人福利性单位声明函》【符合条件的残疾人福利性单位在参加政府采购活动时，应当提供《残疾人福利性单位声明函》（格式见附件），并对声明的真实性负责，成交结果将同时公告企业《残疾人福利性单位声明函》，接受社会监督】。</w:t>
      </w:r>
    </w:p>
    <w:p w14:paraId="3696EC85">
      <w:pPr>
        <w:spacing w:line="360" w:lineRule="auto"/>
        <w:ind w:firstLine="420" w:firstLineChars="200"/>
        <w:rPr>
          <w:sz w:val="21"/>
          <w:szCs w:val="21"/>
        </w:rPr>
      </w:pPr>
      <w:r>
        <w:rPr>
          <w:rFonts w:hint="eastAsia"/>
          <w:sz w:val="21"/>
          <w:szCs w:val="21"/>
        </w:rPr>
        <w:t>注：本项目专门面向中小微企业采购（监狱企业及残疾人福利性单位视同于小微企业），本项目不接受非上述企业参与磋商。）</w:t>
      </w:r>
    </w:p>
    <w:p w14:paraId="01F299C9">
      <w:pPr>
        <w:spacing w:line="360" w:lineRule="auto"/>
        <w:ind w:firstLine="422"/>
        <w:rPr>
          <w:sz w:val="21"/>
          <w:szCs w:val="21"/>
        </w:rPr>
      </w:pPr>
    </w:p>
    <w:p w14:paraId="442724DF">
      <w:pPr>
        <w:spacing w:line="338" w:lineRule="auto"/>
        <w:ind w:firstLine="422"/>
      </w:pPr>
    </w:p>
    <w:p w14:paraId="16262EE3">
      <w:pPr>
        <w:spacing w:line="338" w:lineRule="auto"/>
        <w:ind w:firstLine="422"/>
      </w:pPr>
    </w:p>
    <w:p w14:paraId="299828CC">
      <w:pPr>
        <w:spacing w:line="338" w:lineRule="auto"/>
        <w:ind w:firstLine="422"/>
      </w:pPr>
    </w:p>
    <w:p w14:paraId="79CD8D1A">
      <w:pPr>
        <w:spacing w:line="338" w:lineRule="auto"/>
        <w:ind w:firstLine="422"/>
      </w:pPr>
    </w:p>
    <w:p w14:paraId="1A480A5C">
      <w:pPr>
        <w:spacing w:line="338" w:lineRule="auto"/>
        <w:ind w:firstLine="422"/>
      </w:pPr>
    </w:p>
    <w:p w14:paraId="1FAB8561">
      <w:pPr>
        <w:spacing w:line="338" w:lineRule="auto"/>
        <w:ind w:firstLine="422"/>
      </w:pPr>
    </w:p>
    <w:p w14:paraId="27A28610">
      <w:pPr>
        <w:spacing w:line="338" w:lineRule="auto"/>
        <w:ind w:firstLine="422"/>
      </w:pPr>
    </w:p>
    <w:p w14:paraId="4CF287A2">
      <w:pPr>
        <w:spacing w:line="338" w:lineRule="auto"/>
        <w:ind w:firstLine="422"/>
      </w:pPr>
    </w:p>
    <w:p w14:paraId="2852C70E">
      <w:pPr>
        <w:spacing w:line="338" w:lineRule="auto"/>
        <w:ind w:firstLine="422"/>
      </w:pPr>
    </w:p>
    <w:p w14:paraId="7A766838">
      <w:pPr>
        <w:spacing w:line="338" w:lineRule="auto"/>
        <w:ind w:firstLine="422"/>
      </w:pPr>
    </w:p>
    <w:p w14:paraId="7BCA817E">
      <w:pPr>
        <w:spacing w:line="338" w:lineRule="auto"/>
        <w:ind w:firstLine="422"/>
      </w:pPr>
    </w:p>
    <w:p w14:paraId="071EFFDD">
      <w:pPr>
        <w:spacing w:line="338" w:lineRule="auto"/>
        <w:ind w:firstLine="422"/>
      </w:pPr>
    </w:p>
    <w:p w14:paraId="47C76621">
      <w:pPr>
        <w:spacing w:line="338" w:lineRule="auto"/>
        <w:ind w:firstLine="422"/>
      </w:pPr>
    </w:p>
    <w:p w14:paraId="3E3B0968">
      <w:pPr>
        <w:spacing w:line="338" w:lineRule="auto"/>
        <w:ind w:firstLine="422"/>
      </w:pPr>
    </w:p>
    <w:p w14:paraId="0BF2DAD1">
      <w:pPr>
        <w:spacing w:line="338" w:lineRule="auto"/>
        <w:ind w:firstLine="422"/>
      </w:pPr>
    </w:p>
    <w:p w14:paraId="37204CBE">
      <w:pPr>
        <w:spacing w:line="338" w:lineRule="auto"/>
        <w:ind w:firstLine="422"/>
      </w:pPr>
    </w:p>
    <w:p w14:paraId="066CB177">
      <w:pPr>
        <w:spacing w:line="338" w:lineRule="auto"/>
        <w:ind w:firstLine="422"/>
      </w:pPr>
    </w:p>
    <w:p w14:paraId="6FD28347">
      <w:pPr>
        <w:spacing w:line="338" w:lineRule="auto"/>
        <w:ind w:firstLine="422"/>
      </w:pPr>
    </w:p>
    <w:p w14:paraId="0221D31E">
      <w:pPr>
        <w:spacing w:line="338" w:lineRule="auto"/>
        <w:ind w:firstLine="422"/>
      </w:pPr>
    </w:p>
    <w:p w14:paraId="4FC5C396">
      <w:pPr>
        <w:spacing w:line="338" w:lineRule="auto"/>
        <w:ind w:firstLine="422"/>
      </w:pPr>
    </w:p>
    <w:p w14:paraId="534313EB">
      <w:pPr>
        <w:spacing w:line="338" w:lineRule="auto"/>
        <w:ind w:firstLine="422"/>
      </w:pPr>
    </w:p>
    <w:p w14:paraId="3E6B6E23">
      <w:pPr>
        <w:spacing w:line="338" w:lineRule="auto"/>
        <w:ind w:firstLine="422"/>
      </w:pPr>
    </w:p>
    <w:p w14:paraId="7F049EA2">
      <w:pPr>
        <w:spacing w:line="338" w:lineRule="auto"/>
        <w:ind w:firstLine="422"/>
      </w:pPr>
    </w:p>
    <w:p w14:paraId="7BD44268">
      <w:pPr>
        <w:spacing w:line="338" w:lineRule="auto"/>
        <w:ind w:firstLine="422"/>
      </w:pPr>
    </w:p>
    <w:p w14:paraId="1E5D596F">
      <w:pPr>
        <w:spacing w:line="338" w:lineRule="auto"/>
        <w:ind w:firstLine="422"/>
      </w:pPr>
    </w:p>
    <w:p w14:paraId="0F1D60E3">
      <w:pPr>
        <w:spacing w:line="338" w:lineRule="auto"/>
        <w:ind w:firstLine="422"/>
      </w:pPr>
    </w:p>
    <w:p w14:paraId="380EFCF7">
      <w:pPr>
        <w:spacing w:line="338" w:lineRule="auto"/>
        <w:ind w:firstLine="422"/>
      </w:pPr>
    </w:p>
    <w:p w14:paraId="4334522C">
      <w:pPr>
        <w:spacing w:line="338" w:lineRule="auto"/>
        <w:ind w:firstLine="422"/>
      </w:pPr>
    </w:p>
    <w:p w14:paraId="4F35AFA6">
      <w:pPr>
        <w:spacing w:line="338" w:lineRule="auto"/>
        <w:ind w:firstLine="422"/>
        <w:sectPr>
          <w:pgSz w:w="11910" w:h="16840"/>
          <w:pgMar w:top="1134" w:right="1134" w:bottom="1134" w:left="1134" w:header="0" w:footer="954" w:gutter="0"/>
          <w:cols w:space="720" w:num="1"/>
        </w:sectPr>
      </w:pPr>
    </w:p>
    <w:p w14:paraId="56C41BEB">
      <w:pPr>
        <w:pStyle w:val="5"/>
        <w:numPr>
          <w:ilvl w:val="0"/>
          <w:numId w:val="0"/>
        </w:numPr>
        <w:tabs>
          <w:tab w:val="left" w:pos="763"/>
        </w:tabs>
        <w:spacing w:before="48" w:line="254" w:lineRule="auto"/>
        <w:ind w:right="799" w:rightChars="0" w:firstLine="640" w:firstLineChars="200"/>
        <w:rPr>
          <w:b w:val="0"/>
          <w:bCs w:val="0"/>
          <w:sz w:val="32"/>
          <w:szCs w:val="32"/>
        </w:rPr>
      </w:pPr>
      <w:r>
        <w:rPr>
          <w:rFonts w:hint="eastAsia"/>
          <w:b w:val="0"/>
          <w:bCs w:val="0"/>
          <w:sz w:val="32"/>
          <w:szCs w:val="32"/>
          <w:lang w:val="en-US" w:eastAsia="zh-CN"/>
        </w:rPr>
        <w:t>1、</w:t>
      </w:r>
      <w:r>
        <w:rPr>
          <w:b w:val="0"/>
          <w:bCs w:val="0"/>
          <w:sz w:val="32"/>
          <w:szCs w:val="32"/>
        </w:rPr>
        <w:t>供应商相应的法定代表人(负责人、自然人)身份证正反两面复印件（必须提供）</w:t>
      </w:r>
    </w:p>
    <w:p w14:paraId="77318C3E">
      <w:pPr>
        <w:widowControl w:val="0"/>
        <w:numPr>
          <w:ilvl w:val="0"/>
          <w:numId w:val="0"/>
        </w:numPr>
        <w:autoSpaceDE w:val="0"/>
        <w:autoSpaceDN w:val="0"/>
        <w:rPr>
          <w:b w:val="0"/>
          <w:bCs w:val="0"/>
        </w:rPr>
      </w:pPr>
    </w:p>
    <w:p w14:paraId="4906B219">
      <w:pPr>
        <w:widowControl w:val="0"/>
        <w:numPr>
          <w:ilvl w:val="0"/>
          <w:numId w:val="0"/>
        </w:numPr>
        <w:autoSpaceDE w:val="0"/>
        <w:autoSpaceDN w:val="0"/>
      </w:pPr>
    </w:p>
    <w:p w14:paraId="01AACBC1">
      <w:pPr>
        <w:widowControl w:val="0"/>
        <w:numPr>
          <w:ilvl w:val="0"/>
          <w:numId w:val="0"/>
        </w:numPr>
        <w:autoSpaceDE w:val="0"/>
        <w:autoSpaceDN w:val="0"/>
      </w:pPr>
    </w:p>
    <w:p w14:paraId="76C0A466">
      <w:pPr>
        <w:widowControl w:val="0"/>
        <w:numPr>
          <w:ilvl w:val="0"/>
          <w:numId w:val="0"/>
        </w:numPr>
        <w:autoSpaceDE w:val="0"/>
        <w:autoSpaceDN w:val="0"/>
      </w:pPr>
    </w:p>
    <w:p w14:paraId="469D0305">
      <w:pPr>
        <w:widowControl w:val="0"/>
        <w:numPr>
          <w:ilvl w:val="0"/>
          <w:numId w:val="0"/>
        </w:numPr>
        <w:autoSpaceDE w:val="0"/>
        <w:autoSpaceDN w:val="0"/>
      </w:pPr>
    </w:p>
    <w:p w14:paraId="076EE74B">
      <w:pPr>
        <w:widowControl w:val="0"/>
        <w:numPr>
          <w:ilvl w:val="0"/>
          <w:numId w:val="0"/>
        </w:numPr>
        <w:autoSpaceDE w:val="0"/>
        <w:autoSpaceDN w:val="0"/>
      </w:pPr>
    </w:p>
    <w:p w14:paraId="2812C35B">
      <w:pPr>
        <w:pStyle w:val="5"/>
        <w:keepNext w:val="0"/>
        <w:keepLines w:val="0"/>
        <w:pageBreakBefore w:val="0"/>
        <w:widowControl w:val="0"/>
        <w:tabs>
          <w:tab w:val="left" w:pos="763"/>
        </w:tabs>
        <w:kinsoku/>
        <w:wordWrap/>
        <w:overflowPunct/>
        <w:topLinePunct w:val="0"/>
        <w:autoSpaceDE w:val="0"/>
        <w:autoSpaceDN w:val="0"/>
        <w:bidi w:val="0"/>
        <w:adjustRightInd/>
        <w:snapToGrid/>
        <w:spacing w:line="360" w:lineRule="auto"/>
        <w:ind w:left="0" w:leftChars="0" w:right="797" w:firstLine="640" w:firstLineChars="200"/>
        <w:jc w:val="both"/>
        <w:textAlignment w:val="auto"/>
        <w:rPr>
          <w:b w:val="0"/>
          <w:bCs w:val="0"/>
          <w:sz w:val="32"/>
          <w:szCs w:val="32"/>
        </w:rPr>
      </w:pPr>
      <w:r>
        <w:rPr>
          <w:rFonts w:hint="eastAsia"/>
          <w:b w:val="0"/>
          <w:bCs w:val="0"/>
          <w:sz w:val="32"/>
          <w:szCs w:val="32"/>
          <w:lang w:val="en-US" w:eastAsia="zh-CN"/>
        </w:rPr>
        <w:t>2、</w:t>
      </w:r>
      <w:r>
        <w:rPr>
          <w:b w:val="0"/>
          <w:bCs w:val="0"/>
          <w:sz w:val="32"/>
          <w:szCs w:val="32"/>
        </w:rPr>
        <w:t>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14:paraId="50B0F1A1">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799" w:firstLine="420" w:firstLineChars="200"/>
        <w:jc w:val="both"/>
        <w:textAlignment w:val="auto"/>
        <w:rPr>
          <w:b w:val="0"/>
          <w:bCs w:val="0"/>
          <w:sz w:val="21"/>
          <w:szCs w:val="21"/>
        </w:rPr>
      </w:pPr>
      <w:r>
        <w:rPr>
          <w:b w:val="0"/>
          <w:bCs w:val="0"/>
          <w:sz w:val="21"/>
          <w:szCs w:val="21"/>
        </w:rPr>
        <w:t>①如供应商为截标时间前60日以内成立的公司，可以提供供应商与委托代理人签订的劳动合同复印件代替社保证明复印件；</w:t>
      </w:r>
    </w:p>
    <w:p w14:paraId="61409BDA">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800" w:firstLine="420" w:firstLineChars="200"/>
        <w:textAlignment w:val="auto"/>
        <w:rPr>
          <w:b w:val="0"/>
          <w:bCs w:val="0"/>
          <w:sz w:val="21"/>
          <w:szCs w:val="21"/>
        </w:rPr>
      </w:pPr>
      <w:r>
        <w:rPr>
          <w:b w:val="0"/>
          <w:bCs w:val="0"/>
          <w:sz w:val="21"/>
          <w:szCs w:val="21"/>
        </w:rPr>
        <w:t>②如供应商为事业单位，可以提供事业单位机构编制管理证复印件或事业单位机构为其发放工资的工资条复印件代替社保证明复印件；</w:t>
      </w:r>
    </w:p>
    <w:p w14:paraId="722C29CC">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800" w:firstLine="420" w:firstLineChars="200"/>
        <w:textAlignment w:val="auto"/>
        <w:rPr>
          <w:b w:val="0"/>
          <w:bCs w:val="0"/>
          <w:sz w:val="21"/>
          <w:szCs w:val="21"/>
        </w:rPr>
      </w:pPr>
      <w:r>
        <w:rPr>
          <w:b w:val="0"/>
          <w:bCs w:val="0"/>
          <w:sz w:val="21"/>
          <w:szCs w:val="21"/>
        </w:rPr>
        <w:t>③如委托代理人为免缴纳社保人员，提供免缴纳社保的证明材料复印件及供应商与委托代理人签订的劳动合同复印件代替社保证明复印件。</w:t>
      </w:r>
    </w:p>
    <w:p w14:paraId="10A5E08A">
      <w:pPr>
        <w:pStyle w:val="5"/>
        <w:keepNext w:val="0"/>
        <w:keepLines w:val="0"/>
        <w:pageBreakBefore w:val="0"/>
        <w:widowControl w:val="0"/>
        <w:kinsoku/>
        <w:wordWrap/>
        <w:overflowPunct/>
        <w:topLinePunct w:val="0"/>
        <w:autoSpaceDE w:val="0"/>
        <w:autoSpaceDN w:val="0"/>
        <w:bidi w:val="0"/>
        <w:adjustRightInd/>
        <w:snapToGrid/>
        <w:spacing w:line="360" w:lineRule="auto"/>
        <w:ind w:left="0" w:leftChars="0" w:right="797" w:firstLine="420" w:firstLineChars="200"/>
        <w:jc w:val="both"/>
        <w:textAlignment w:val="auto"/>
        <w:rPr>
          <w:b w:val="0"/>
          <w:bCs w:val="0"/>
          <w:sz w:val="21"/>
          <w:szCs w:val="21"/>
        </w:rPr>
      </w:pPr>
      <w:r>
        <w:rPr>
          <w:b w:val="0"/>
          <w:bCs w:val="0"/>
          <w:sz w:val="21"/>
          <w:szCs w:val="21"/>
        </w:rPr>
        <w:t>【属自然人的应提供由县级以上（含县级）社会养老保险经办机构出具的自然人本人及委托代理人所交纳的响应文件递交截止时间前半年内任意连续三个月社保证明复印件】（委托代理时必须提供）</w:t>
      </w:r>
    </w:p>
    <w:p w14:paraId="0513D4CF">
      <w:pPr>
        <w:spacing w:line="400" w:lineRule="exact"/>
        <w:ind w:left="480" w:firstLine="643"/>
        <w:rPr>
          <w:b/>
          <w:sz w:val="32"/>
        </w:rPr>
      </w:pPr>
    </w:p>
    <w:p w14:paraId="1342D67E">
      <w:pPr>
        <w:spacing w:line="400" w:lineRule="exact"/>
        <w:ind w:firstLine="420" w:firstLineChars="200"/>
        <w:rPr>
          <w:b w:val="0"/>
          <w:bCs/>
          <w:sz w:val="21"/>
          <w:szCs w:val="21"/>
        </w:rPr>
      </w:pPr>
      <w:r>
        <w:rPr>
          <w:b w:val="0"/>
          <w:bCs/>
          <w:sz w:val="21"/>
          <w:szCs w:val="21"/>
        </w:rPr>
        <w:t>附件：</w:t>
      </w:r>
    </w:p>
    <w:p w14:paraId="170FEAFC">
      <w:pPr>
        <w:pStyle w:val="12"/>
        <w:spacing w:before="7"/>
        <w:ind w:firstLine="440"/>
        <w:rPr>
          <w:b w:val="0"/>
          <w:bCs/>
          <w:sz w:val="21"/>
          <w:szCs w:val="21"/>
        </w:rPr>
      </w:pPr>
    </w:p>
    <w:p w14:paraId="4379196E">
      <w:pPr>
        <w:jc w:val="center"/>
        <w:rPr>
          <w:b w:val="0"/>
          <w:bCs/>
          <w:sz w:val="21"/>
          <w:szCs w:val="21"/>
        </w:rPr>
      </w:pPr>
      <w:r>
        <w:rPr>
          <w:b w:val="0"/>
          <w:bCs/>
          <w:sz w:val="32"/>
          <w:szCs w:val="32"/>
        </w:rPr>
        <w:t>授权委托书</w:t>
      </w:r>
      <w:r>
        <w:rPr>
          <w:b w:val="0"/>
          <w:bCs/>
          <w:sz w:val="21"/>
          <w:szCs w:val="21"/>
        </w:rPr>
        <w:t>（格式一，适用于供应商为法人或者其他组织）</w:t>
      </w:r>
    </w:p>
    <w:p w14:paraId="4B9D4E16">
      <w:pPr>
        <w:pStyle w:val="12"/>
        <w:spacing w:before="113"/>
        <w:rPr>
          <w:rFonts w:hint="eastAsia" w:eastAsia="宋体"/>
          <w:b w:val="0"/>
          <w:bCs/>
          <w:sz w:val="21"/>
          <w:szCs w:val="21"/>
          <w:lang w:eastAsia="zh-CN"/>
        </w:rPr>
      </w:pPr>
      <w:r>
        <w:rPr>
          <w:b w:val="0"/>
          <w:bCs/>
          <w:sz w:val="21"/>
          <w:szCs w:val="21"/>
        </w:rPr>
        <w:t>致：</w:t>
      </w:r>
      <w:r>
        <w:rPr>
          <w:rFonts w:hint="eastAsia"/>
          <w:b w:val="0"/>
          <w:bCs/>
          <w:sz w:val="21"/>
          <w:szCs w:val="21"/>
          <w:u w:val="single"/>
          <w:lang w:eastAsia="zh-CN"/>
        </w:rPr>
        <w:t>广西壮族自治区临桂公路养护中心</w:t>
      </w:r>
    </w:p>
    <w:p w14:paraId="4CD0535C">
      <w:pPr>
        <w:pStyle w:val="12"/>
        <w:spacing w:before="12"/>
        <w:rPr>
          <w:sz w:val="21"/>
          <w:szCs w:val="21"/>
        </w:rPr>
      </w:pPr>
    </w:p>
    <w:p w14:paraId="3D41C79E">
      <w:pPr>
        <w:pStyle w:val="12"/>
        <w:tabs>
          <w:tab w:val="left" w:pos="5305"/>
        </w:tabs>
        <w:spacing w:before="70" w:line="357" w:lineRule="auto"/>
        <w:ind w:right="694" w:firstLine="420" w:firstLineChars="200"/>
      </w:pPr>
      <w:r>
        <w:t>我（姓名）系（供应商名称）的法定代表人（负责人），现授权委托本单位在职职工（姓名）以我公司名义参加</w:t>
      </w:r>
      <w:r>
        <w:rPr>
          <w:u w:val="single"/>
        </w:rPr>
        <w:t>（项目名称及项目编号）</w:t>
      </w:r>
      <w:r>
        <w:rPr>
          <w:u w:val="single"/>
        </w:rPr>
        <w:tab/>
      </w:r>
      <w:r>
        <w:t>项目的磋商活动，并代表我方全权办理针对上述项目的磋商、签约等具体事务和签署相关文件。</w:t>
      </w:r>
    </w:p>
    <w:p w14:paraId="6FED14F2">
      <w:pPr>
        <w:pStyle w:val="12"/>
        <w:spacing w:line="266" w:lineRule="exact"/>
        <w:ind w:firstLine="420" w:firstLineChars="200"/>
      </w:pPr>
      <w:r>
        <w:t>我方对被授权人的签字事项负全部责任。</w:t>
      </w:r>
    </w:p>
    <w:p w14:paraId="49669338">
      <w:pPr>
        <w:pStyle w:val="12"/>
        <w:spacing w:before="131"/>
        <w:ind w:firstLine="420" w:firstLineChars="200"/>
      </w:pPr>
      <w:r>
        <w:t>授权委托代理期限：从年月日起至年月日止。</w:t>
      </w:r>
    </w:p>
    <w:p w14:paraId="0C013F34">
      <w:pPr>
        <w:pStyle w:val="12"/>
        <w:ind w:firstLine="402"/>
        <w:rPr>
          <w:sz w:val="20"/>
        </w:rPr>
      </w:pPr>
    </w:p>
    <w:p w14:paraId="4C47779D">
      <w:pPr>
        <w:pStyle w:val="12"/>
        <w:spacing w:before="5"/>
      </w:pPr>
    </w:p>
    <w:p w14:paraId="527B8DE4">
      <w:pPr>
        <w:pStyle w:val="12"/>
        <w:spacing w:line="616" w:lineRule="auto"/>
        <w:ind w:left="900" w:right="6413"/>
      </w:pPr>
      <w:r>
        <w:t>代理人无转委托权,特此委托。我已在下面签字，以资证明。</w:t>
      </w:r>
    </w:p>
    <w:p w14:paraId="320756AD">
      <w:pPr>
        <w:pStyle w:val="12"/>
        <w:spacing w:line="616" w:lineRule="auto"/>
        <w:ind w:left="900" w:right="6413"/>
      </w:pPr>
      <w:r>
        <w:t>磋商供应商[公章（CA签章）]：</w:t>
      </w:r>
    </w:p>
    <w:p w14:paraId="490FAE85">
      <w:pPr>
        <w:pStyle w:val="12"/>
        <w:spacing w:before="110"/>
        <w:ind w:left="900" w:firstLine="2940" w:firstLineChars="1400"/>
      </w:pPr>
      <w:r>
        <w:t>法定代表人（负责人）签字（或个人CA签章）：年月日</w:t>
      </w:r>
    </w:p>
    <w:p w14:paraId="49249098"/>
    <w:p w14:paraId="0CCE5FCB"/>
    <w:p w14:paraId="34BEB9F4">
      <w:pPr>
        <w:pStyle w:val="7"/>
        <w:spacing w:before="1" w:line="312" w:lineRule="auto"/>
        <w:ind w:right="800" w:firstLine="482"/>
        <w:rPr>
          <w:b w:val="0"/>
          <w:bCs w:val="0"/>
        </w:rPr>
      </w:pPr>
      <w:r>
        <w:rPr>
          <w:b w:val="0"/>
          <w:bCs w:val="0"/>
        </w:rPr>
        <w:t>附：委托代理人身份证正反面复印件以及供应商缴纳社保证明复印件（委托代理时必须提供）。</w:t>
      </w:r>
    </w:p>
    <w:p w14:paraId="72037933">
      <w:pPr>
        <w:ind w:firstLine="422"/>
      </w:pPr>
    </w:p>
    <w:p w14:paraId="308A42B1">
      <w:pPr>
        <w:ind w:firstLine="422"/>
      </w:pPr>
    </w:p>
    <w:p w14:paraId="0515527A">
      <w:pPr>
        <w:ind w:firstLine="422"/>
      </w:pPr>
    </w:p>
    <w:p w14:paraId="0F995D3C">
      <w:pPr>
        <w:spacing w:line="312" w:lineRule="auto"/>
        <w:rPr>
          <w:b w:val="0"/>
          <w:bCs w:val="0"/>
          <w:sz w:val="21"/>
          <w:szCs w:val="21"/>
        </w:rPr>
        <w:sectPr>
          <w:pgSz w:w="11910" w:h="16840"/>
          <w:pgMar w:top="1280" w:right="640" w:bottom="1180" w:left="960" w:header="0" w:footer="954" w:gutter="0"/>
          <w:cols w:space="720" w:num="1"/>
        </w:sectPr>
      </w:pPr>
    </w:p>
    <w:p w14:paraId="3FDB7B4B">
      <w:pPr>
        <w:spacing w:before="35"/>
        <w:ind w:right="320" w:firstLine="643"/>
        <w:jc w:val="center"/>
        <w:rPr>
          <w:b w:val="0"/>
          <w:bCs w:val="0"/>
          <w:sz w:val="21"/>
          <w:szCs w:val="21"/>
        </w:rPr>
      </w:pPr>
      <w:r>
        <w:rPr>
          <w:b w:val="0"/>
          <w:bCs w:val="0"/>
          <w:sz w:val="32"/>
          <w:szCs w:val="32"/>
        </w:rPr>
        <w:t>授权委托书</w:t>
      </w:r>
      <w:r>
        <w:rPr>
          <w:b w:val="0"/>
          <w:bCs w:val="0"/>
          <w:sz w:val="21"/>
          <w:szCs w:val="21"/>
        </w:rPr>
        <w:t>（格式二，适用于供应商为自然人）</w:t>
      </w:r>
    </w:p>
    <w:p w14:paraId="54F7AC09">
      <w:pPr>
        <w:pStyle w:val="12"/>
        <w:spacing w:before="113"/>
        <w:ind w:left="480" w:firstLine="422"/>
        <w:rPr>
          <w:rFonts w:hint="eastAsia" w:eastAsia="宋体"/>
          <w:b w:val="0"/>
          <w:bCs w:val="0"/>
          <w:sz w:val="21"/>
          <w:szCs w:val="21"/>
          <w:lang w:eastAsia="zh-CN"/>
        </w:rPr>
      </w:pPr>
      <w:r>
        <w:rPr>
          <w:b w:val="0"/>
          <w:bCs w:val="0"/>
          <w:sz w:val="21"/>
          <w:szCs w:val="21"/>
        </w:rPr>
        <w:t>致：</w:t>
      </w:r>
      <w:r>
        <w:rPr>
          <w:rFonts w:hint="eastAsia"/>
          <w:b w:val="0"/>
          <w:bCs w:val="0"/>
          <w:sz w:val="21"/>
          <w:szCs w:val="21"/>
          <w:u w:val="single"/>
          <w:lang w:eastAsia="zh-CN"/>
        </w:rPr>
        <w:t>广西壮族自治区临桂公路养护中心</w:t>
      </w:r>
    </w:p>
    <w:p w14:paraId="29623181">
      <w:pPr>
        <w:pStyle w:val="12"/>
        <w:spacing w:before="4"/>
        <w:ind w:firstLine="442"/>
        <w:rPr>
          <w:sz w:val="22"/>
        </w:rPr>
      </w:pPr>
    </w:p>
    <w:p w14:paraId="00D9482C">
      <w:pPr>
        <w:pStyle w:val="12"/>
        <w:tabs>
          <w:tab w:val="left" w:pos="9295"/>
        </w:tabs>
        <w:spacing w:before="69" w:line="304" w:lineRule="auto"/>
        <w:ind w:left="480" w:right="799" w:firstLine="422"/>
      </w:pPr>
      <w:r>
        <mc:AlternateContent>
          <mc:Choice Requires="wps">
            <w:drawing>
              <wp:anchor distT="0" distB="0" distL="114300" distR="114300" simplePos="0" relativeHeight="251682816" behindDoc="1" locked="0" layoutInCell="1" allowOverlap="1">
                <wp:simplePos x="0" y="0"/>
                <wp:positionH relativeFrom="page">
                  <wp:posOffset>4570095</wp:posOffset>
                </wp:positionH>
                <wp:positionV relativeFrom="paragraph">
                  <wp:posOffset>191135</wp:posOffset>
                </wp:positionV>
                <wp:extent cx="1941830" cy="1270"/>
                <wp:effectExtent l="0" t="0" r="0" b="0"/>
                <wp:wrapNone/>
                <wp:docPr id="6" name="Graphic 19"/>
                <wp:cNvGraphicFramePr/>
                <a:graphic xmlns:a="http://schemas.openxmlformats.org/drawingml/2006/main">
                  <a:graphicData uri="http://schemas.microsoft.com/office/word/2010/wordprocessingShape">
                    <wps:wsp>
                      <wps:cNvSpPr/>
                      <wps:spPr>
                        <a:xfrm>
                          <a:off x="0" y="0"/>
                          <a:ext cx="1941830" cy="1270"/>
                        </a:xfrm>
                        <a:custGeom>
                          <a:avLst/>
                          <a:gdLst>
                            <a:gd name="A1" fmla="val 0"/>
                            <a:gd name="A2" fmla="val 0"/>
                            <a:gd name="A3" fmla="val 0"/>
                          </a:gdLst>
                          <a:ahLst/>
                          <a:cxnLst/>
                          <a:pathLst>
                            <a:path w="1941830" h="1">
                              <a:moveTo>
                                <a:pt x="0" y="0"/>
                              </a:moveTo>
                              <a:lnTo>
                                <a:pt x="1408429" y="0"/>
                              </a:lnTo>
                            </a:path>
                            <a:path w="1941830" h="1">
                              <a:moveTo>
                                <a:pt x="1408429" y="0"/>
                              </a:moveTo>
                              <a:lnTo>
                                <a:pt x="1941829" y="0"/>
                              </a:lnTo>
                            </a:path>
                          </a:pathLst>
                        </a:custGeom>
                        <a:noFill/>
                        <a:ln w="6096" cap="flat" cmpd="sng">
                          <a:solidFill>
                            <a:srgbClr val="000000"/>
                          </a:solidFill>
                          <a:prstDash val="solid"/>
                          <a:round/>
                          <a:headEnd type="none" w="med" len="med"/>
                          <a:tailEnd type="none" w="med" len="med"/>
                        </a:ln>
                      </wps:spPr>
                      <wps:bodyPr lIns="0" tIns="0" rIns="0" bIns="0" upright="1"/>
                    </wps:wsp>
                  </a:graphicData>
                </a:graphic>
              </wp:anchor>
            </w:drawing>
          </mc:Choice>
          <mc:Fallback>
            <w:pict>
              <v:shape id="Graphic 19" o:spid="_x0000_s1026" o:spt="100" style="position:absolute;left:0pt;margin-left:359.85pt;margin-top:15.05pt;height:0.1pt;width:152.9pt;mso-position-horizontal-relative:page;z-index:-251633664;mso-width-relative:page;mso-height-relative:page;" filled="f" stroked="t" coordsize="1941830,1" o:gfxdata="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DamghnZ&#10;AAAACgEAAA8AAAAAAAAAAQAgAAAAIgAAAGRycy9kb3ducmV2LnhtbFBLAQIUABQAAAAIAIdO4kDL&#10;rQcAWAIAAJYFAAAOAAAAAAAAAAEAIAAAACgBAABkcnMvZTJvRG9jLnhtbFBLBQYAAAAABgAGAFkB&#10;AADyBQAAAAA=&#10;" path="m0,0l1408429,0em1408429,0l1941829,0e">
                <v:fill on="f" focussize="0,0"/>
                <v:stroke weight="0.48pt" color="#000000" joinstyle="round"/>
                <v:imagedata o:title=""/>
                <o:lock v:ext="edit" aspectratio="f"/>
                <v:textbox inset="0mm,0mm,0mm,0mm"/>
              </v:shape>
            </w:pict>
          </mc:Fallback>
        </mc:AlternateContent>
      </w:r>
      <w:r>
        <w:t>我（姓名）系自然人，现授权委托（姓名）以本人名义参加（项目名称及项目编号）</w:t>
      </w:r>
      <w:r>
        <w:tab/>
      </w:r>
      <w:r>
        <w:t>项目的磋商活动，并代表本人全权办理针对上述项目的磋商、签约等具体事务和签署相关文件。</w:t>
      </w:r>
    </w:p>
    <w:p w14:paraId="48F5D22F">
      <w:pPr>
        <w:pStyle w:val="12"/>
        <w:spacing w:line="265" w:lineRule="exact"/>
        <w:ind w:left="900"/>
      </w:pPr>
      <w:r>
        <w:t>本人对被授权人的签字事项负全部责任。</w:t>
      </w:r>
    </w:p>
    <w:p w14:paraId="0310EA0B">
      <w:pPr>
        <w:pStyle w:val="12"/>
        <w:spacing w:before="72" w:line="604" w:lineRule="auto"/>
        <w:ind w:left="900" w:right="4889"/>
      </w:pPr>
      <w:r>
        <w:t>授权委托代理期限：从年月日起至年月日止。代理人无转委托权,特此委托。</w:t>
      </w:r>
    </w:p>
    <w:p w14:paraId="051C6D42">
      <w:pPr>
        <w:pStyle w:val="12"/>
        <w:spacing w:before="72" w:line="604" w:lineRule="auto"/>
        <w:ind w:left="900" w:right="4889"/>
        <w:rPr>
          <w:sz w:val="26"/>
        </w:rPr>
      </w:pPr>
      <w:r>
        <w:t>我已在下面签字，以资证明。</w:t>
      </w:r>
    </w:p>
    <w:p w14:paraId="0E41D6E6">
      <w:pPr>
        <w:ind w:firstLine="840" w:firstLineChars="400"/>
        <w:rPr>
          <w:sz w:val="21"/>
          <w:szCs w:val="21"/>
        </w:rPr>
      </w:pPr>
      <w:r>
        <w:rPr>
          <w:sz w:val="21"/>
          <w:szCs w:val="21"/>
        </w:rPr>
        <w:t>自然人签字（或个人CA证书签章）：年月日</w:t>
      </w:r>
    </w:p>
    <w:p w14:paraId="6A3A5CA2">
      <w:pPr>
        <w:pStyle w:val="12"/>
        <w:spacing w:line="604" w:lineRule="auto"/>
        <w:ind w:right="5860"/>
        <w:rPr>
          <w:b w:val="0"/>
          <w:bCs w:val="0"/>
        </w:rPr>
      </w:pPr>
    </w:p>
    <w:p w14:paraId="27981676">
      <w:pPr>
        <w:pStyle w:val="7"/>
        <w:spacing w:line="263" w:lineRule="exact"/>
        <w:ind w:firstLine="482"/>
        <w:rPr>
          <w:b w:val="0"/>
          <w:bCs w:val="0"/>
        </w:rPr>
      </w:pPr>
      <w:r>
        <w:rPr>
          <w:b w:val="0"/>
          <w:bCs w:val="0"/>
        </w:rPr>
        <w:t>附：委托代理人身份证正反面复印件以及供应商缴纳社保证明复印件（委托代理时必</w:t>
      </w:r>
    </w:p>
    <w:p w14:paraId="717CBA45">
      <w:pPr>
        <w:pStyle w:val="7"/>
        <w:spacing w:before="91"/>
        <w:ind w:firstLine="482"/>
        <w:rPr>
          <w:b w:val="0"/>
          <w:bCs w:val="0"/>
        </w:rPr>
      </w:pPr>
      <w:r>
        <w:rPr>
          <w:b w:val="0"/>
          <w:bCs w:val="0"/>
        </w:rPr>
        <w:t>须提供）。</w:t>
      </w:r>
    </w:p>
    <w:p w14:paraId="35F794DA"/>
    <w:p w14:paraId="103E0387"/>
    <w:p w14:paraId="327C9F57"/>
    <w:p w14:paraId="06613CE3"/>
    <w:p w14:paraId="59CEC471"/>
    <w:p w14:paraId="53DA601C">
      <w:pPr>
        <w:pStyle w:val="5"/>
        <w:tabs>
          <w:tab w:val="left" w:pos="800"/>
        </w:tabs>
        <w:spacing w:line="244" w:lineRule="auto"/>
        <w:ind w:right="799" w:firstLine="640" w:firstLineChars="200"/>
        <w:rPr>
          <w:b w:val="0"/>
          <w:bCs w:val="0"/>
          <w:sz w:val="32"/>
          <w:szCs w:val="32"/>
        </w:rPr>
      </w:pPr>
      <w:r>
        <w:rPr>
          <w:rFonts w:hint="eastAsia"/>
          <w:b w:val="0"/>
          <w:bCs w:val="0"/>
          <w:sz w:val="32"/>
          <w:szCs w:val="32"/>
        </w:rPr>
        <w:t>3.</w:t>
      </w:r>
      <w:r>
        <w:rPr>
          <w:b w:val="0"/>
          <w:bCs w:val="0"/>
          <w:sz w:val="32"/>
          <w:szCs w:val="32"/>
        </w:rPr>
        <w:t>供应商的法人或者其他组织营业执照等证明文件复印件（必须提供，自然人除外）</w:t>
      </w:r>
    </w:p>
    <w:p w14:paraId="198EB4B5">
      <w:pPr>
        <w:pStyle w:val="10"/>
        <w:spacing w:before="101" w:line="357" w:lineRule="auto"/>
        <w:ind w:left="480" w:right="694" w:firstLine="422"/>
        <w:rPr>
          <w:b w:val="0"/>
          <w:bCs w:val="0"/>
        </w:rPr>
      </w:pPr>
      <w:r>
        <w:rPr>
          <w:b w:val="0"/>
          <w:bCs w:val="0"/>
        </w:rPr>
        <w:t>注：①法人包括企业法人、机关法人、事业单位法人和社会团体法人；其他组织主要包括合伙企业、非企业专业服务机构、个体工商户、农村承包经营户。②如供应商为企业（包括合伙企业），应提供市场监督管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供应商为社会团体法人的，应提供有效的“社会团体法人登记证书”。③如供应商为企业法人的分支机构的，除应提供营业执照复印件外，还应提供其所属的总公司授权其参加政府采购的授权文件或总公司颁布的授权其独立开展经营业务活动的证明材料复印件。</w:t>
      </w:r>
    </w:p>
    <w:p w14:paraId="3B1E7C51"/>
    <w:p w14:paraId="0CEA0A4B"/>
    <w:p w14:paraId="644C2408"/>
    <w:p w14:paraId="02BA515A"/>
    <w:p w14:paraId="68FA1406"/>
    <w:p w14:paraId="5202DB6C">
      <w:pPr>
        <w:pStyle w:val="39"/>
        <w:tabs>
          <w:tab w:val="left" w:pos="800"/>
        </w:tabs>
        <w:ind w:left="480" w:firstLine="643"/>
        <w:rPr>
          <w:b w:val="0"/>
          <w:bCs/>
          <w:sz w:val="32"/>
        </w:rPr>
      </w:pPr>
      <w:r>
        <w:rPr>
          <w:rFonts w:hint="eastAsia"/>
          <w:b w:val="0"/>
          <w:bCs/>
          <w:sz w:val="32"/>
        </w:rPr>
        <w:t>4.</w:t>
      </w:r>
      <w:r>
        <w:rPr>
          <w:b w:val="0"/>
          <w:bCs/>
          <w:sz w:val="32"/>
        </w:rPr>
        <w:t>供应商有效的资质证书复印件（必须提供）</w:t>
      </w:r>
    </w:p>
    <w:p w14:paraId="165BB68B">
      <w:pPr>
        <w:pStyle w:val="39"/>
        <w:tabs>
          <w:tab w:val="left" w:pos="800"/>
        </w:tabs>
        <w:ind w:left="480" w:firstLine="643"/>
        <w:rPr>
          <w:b w:val="0"/>
          <w:bCs/>
          <w:sz w:val="32"/>
        </w:rPr>
      </w:pPr>
    </w:p>
    <w:p w14:paraId="00E2595A">
      <w:pPr>
        <w:pStyle w:val="39"/>
        <w:tabs>
          <w:tab w:val="left" w:pos="800"/>
        </w:tabs>
        <w:ind w:left="480" w:firstLine="643"/>
        <w:rPr>
          <w:b w:val="0"/>
          <w:bCs/>
          <w:sz w:val="32"/>
        </w:rPr>
      </w:pPr>
    </w:p>
    <w:p w14:paraId="19B7B6B1">
      <w:pPr>
        <w:pStyle w:val="39"/>
        <w:tabs>
          <w:tab w:val="left" w:pos="800"/>
        </w:tabs>
        <w:ind w:left="480" w:firstLine="643"/>
        <w:rPr>
          <w:b w:val="0"/>
          <w:bCs/>
          <w:sz w:val="32"/>
        </w:rPr>
      </w:pPr>
    </w:p>
    <w:p w14:paraId="520FE2BD">
      <w:pPr>
        <w:pStyle w:val="39"/>
        <w:tabs>
          <w:tab w:val="left" w:pos="800"/>
        </w:tabs>
        <w:ind w:left="480" w:firstLine="643"/>
        <w:rPr>
          <w:b w:val="0"/>
          <w:bCs/>
          <w:sz w:val="32"/>
        </w:rPr>
      </w:pPr>
    </w:p>
    <w:p w14:paraId="1828435C">
      <w:pPr>
        <w:pStyle w:val="39"/>
        <w:tabs>
          <w:tab w:val="left" w:pos="800"/>
        </w:tabs>
        <w:ind w:left="480" w:firstLine="643"/>
        <w:rPr>
          <w:b w:val="0"/>
          <w:bCs/>
          <w:sz w:val="32"/>
        </w:rPr>
      </w:pPr>
    </w:p>
    <w:p w14:paraId="715BB692">
      <w:pPr>
        <w:pStyle w:val="39"/>
        <w:tabs>
          <w:tab w:val="left" w:pos="800"/>
        </w:tabs>
        <w:ind w:left="480" w:firstLine="643"/>
        <w:rPr>
          <w:b w:val="0"/>
          <w:bCs/>
          <w:sz w:val="32"/>
        </w:rPr>
      </w:pPr>
      <w:r>
        <w:rPr>
          <w:rFonts w:hint="eastAsia"/>
          <w:b w:val="0"/>
          <w:bCs/>
          <w:sz w:val="32"/>
        </w:rPr>
        <w:t>5.供应商有效的安全生产许可证书扫描件</w:t>
      </w:r>
      <w:r>
        <w:rPr>
          <w:b w:val="0"/>
          <w:bCs/>
          <w:sz w:val="32"/>
        </w:rPr>
        <w:t>（必须提供）</w:t>
      </w:r>
    </w:p>
    <w:p w14:paraId="4FE2A3DE">
      <w:pPr>
        <w:pStyle w:val="39"/>
        <w:tabs>
          <w:tab w:val="left" w:pos="800"/>
        </w:tabs>
        <w:ind w:left="480" w:firstLine="643"/>
        <w:rPr>
          <w:b/>
          <w:sz w:val="32"/>
        </w:rPr>
      </w:pPr>
    </w:p>
    <w:p w14:paraId="65BBA6BE">
      <w:pPr>
        <w:pStyle w:val="39"/>
        <w:tabs>
          <w:tab w:val="left" w:pos="800"/>
        </w:tabs>
        <w:ind w:left="480" w:firstLine="643"/>
        <w:rPr>
          <w:b/>
          <w:sz w:val="32"/>
        </w:rPr>
      </w:pPr>
    </w:p>
    <w:p w14:paraId="1EEF9F21">
      <w:pPr>
        <w:pStyle w:val="39"/>
        <w:tabs>
          <w:tab w:val="left" w:pos="800"/>
        </w:tabs>
        <w:ind w:left="480" w:firstLine="643"/>
        <w:rPr>
          <w:b/>
          <w:sz w:val="32"/>
        </w:rPr>
      </w:pPr>
    </w:p>
    <w:p w14:paraId="574DA4E6">
      <w:pPr>
        <w:pStyle w:val="39"/>
        <w:tabs>
          <w:tab w:val="left" w:pos="800"/>
        </w:tabs>
        <w:ind w:left="480" w:firstLine="643"/>
        <w:rPr>
          <w:b/>
          <w:sz w:val="32"/>
        </w:rPr>
      </w:pPr>
    </w:p>
    <w:p w14:paraId="5B22776F">
      <w:pPr>
        <w:pStyle w:val="39"/>
        <w:tabs>
          <w:tab w:val="left" w:pos="800"/>
        </w:tabs>
        <w:ind w:left="0" w:firstLine="640"/>
        <w:rPr>
          <w:b w:val="0"/>
          <w:bCs/>
          <w:sz w:val="32"/>
        </w:rPr>
      </w:pPr>
    </w:p>
    <w:p w14:paraId="091DB347">
      <w:pPr>
        <w:pStyle w:val="39"/>
        <w:tabs>
          <w:tab w:val="left" w:pos="800"/>
        </w:tabs>
        <w:ind w:left="0" w:firstLine="960" w:firstLineChars="300"/>
        <w:rPr>
          <w:b w:val="0"/>
          <w:bCs/>
          <w:sz w:val="32"/>
        </w:rPr>
      </w:pPr>
      <w:r>
        <w:rPr>
          <w:rFonts w:hint="eastAsia"/>
          <w:b w:val="0"/>
          <w:bCs/>
          <w:sz w:val="32"/>
        </w:rPr>
        <w:t>6.项目经理：符合第三章“采购需求”项目经理资格要求（必须提供）</w:t>
      </w:r>
    </w:p>
    <w:p w14:paraId="2ADDB8C0">
      <w:pPr>
        <w:pStyle w:val="12"/>
        <w:spacing w:before="11"/>
        <w:ind w:firstLine="680"/>
        <w:rPr>
          <w:b/>
          <w:sz w:val="34"/>
        </w:rPr>
      </w:pPr>
    </w:p>
    <w:p w14:paraId="43BA5C73">
      <w:pPr>
        <w:pStyle w:val="8"/>
        <w:spacing w:before="1"/>
        <w:ind w:firstLine="482"/>
        <w:jc w:val="center"/>
        <w:rPr>
          <w:rFonts w:ascii="新宋体" w:eastAsia="新宋体"/>
        </w:rPr>
      </w:pPr>
      <w:r>
        <w:rPr>
          <w:rFonts w:hint="eastAsia" w:ascii="新宋体" w:eastAsia="新宋体"/>
        </w:rPr>
        <w:t>拟委任的项目经理资历表</w:t>
      </w:r>
    </w:p>
    <w:p w14:paraId="437B37C4">
      <w:pPr>
        <w:pStyle w:val="12"/>
        <w:spacing w:before="10"/>
        <w:ind w:firstLine="240"/>
        <w:rPr>
          <w:rFonts w:ascii="新宋体"/>
          <w:b/>
          <w:sz w:val="12"/>
        </w:rPr>
      </w:pPr>
    </w:p>
    <w:tbl>
      <w:tblPr>
        <w:tblStyle w:val="23"/>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3"/>
        <w:gridCol w:w="1376"/>
        <w:gridCol w:w="102"/>
        <w:gridCol w:w="1059"/>
        <w:gridCol w:w="1379"/>
        <w:gridCol w:w="340"/>
        <w:gridCol w:w="1540"/>
        <w:gridCol w:w="386"/>
        <w:gridCol w:w="1284"/>
      </w:tblGrid>
      <w:tr w14:paraId="7FD0E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jc w:val="center"/>
        </w:trPr>
        <w:tc>
          <w:tcPr>
            <w:tcW w:w="1263" w:type="dxa"/>
            <w:vAlign w:val="center"/>
          </w:tcPr>
          <w:p w14:paraId="45C26C81">
            <w:pPr>
              <w:pStyle w:val="40"/>
              <w:spacing w:line="276" w:lineRule="exact"/>
              <w:jc w:val="center"/>
            </w:pPr>
            <w:r>
              <w:t>姓名</w:t>
            </w:r>
          </w:p>
        </w:tc>
        <w:tc>
          <w:tcPr>
            <w:tcW w:w="1478" w:type="dxa"/>
            <w:gridSpan w:val="2"/>
            <w:vAlign w:val="center"/>
          </w:tcPr>
          <w:p w14:paraId="4500C776">
            <w:pPr>
              <w:pStyle w:val="40"/>
              <w:jc w:val="center"/>
              <w:rPr>
                <w:rFonts w:ascii="Times New Roman"/>
              </w:rPr>
            </w:pPr>
          </w:p>
        </w:tc>
        <w:tc>
          <w:tcPr>
            <w:tcW w:w="1059" w:type="dxa"/>
            <w:vAlign w:val="center"/>
          </w:tcPr>
          <w:p w14:paraId="76C74F14">
            <w:pPr>
              <w:pStyle w:val="40"/>
              <w:spacing w:line="276" w:lineRule="exact"/>
              <w:jc w:val="center"/>
            </w:pPr>
            <w:r>
              <w:t>年龄</w:t>
            </w:r>
          </w:p>
        </w:tc>
        <w:tc>
          <w:tcPr>
            <w:tcW w:w="1379" w:type="dxa"/>
            <w:vAlign w:val="center"/>
          </w:tcPr>
          <w:p w14:paraId="621CB29D">
            <w:pPr>
              <w:pStyle w:val="40"/>
              <w:jc w:val="center"/>
              <w:rPr>
                <w:rFonts w:ascii="Times New Roman"/>
              </w:rPr>
            </w:pPr>
          </w:p>
        </w:tc>
        <w:tc>
          <w:tcPr>
            <w:tcW w:w="1880" w:type="dxa"/>
            <w:gridSpan w:val="2"/>
            <w:vAlign w:val="center"/>
          </w:tcPr>
          <w:p w14:paraId="2AED7C7A">
            <w:pPr>
              <w:pStyle w:val="40"/>
              <w:spacing w:line="276" w:lineRule="exact"/>
              <w:jc w:val="center"/>
            </w:pPr>
            <w:r>
              <w:t>专业</w:t>
            </w:r>
          </w:p>
        </w:tc>
        <w:tc>
          <w:tcPr>
            <w:tcW w:w="1670" w:type="dxa"/>
            <w:gridSpan w:val="2"/>
            <w:vAlign w:val="center"/>
          </w:tcPr>
          <w:p w14:paraId="5EF1BBE4">
            <w:pPr>
              <w:pStyle w:val="40"/>
              <w:jc w:val="center"/>
              <w:rPr>
                <w:rFonts w:ascii="Times New Roman"/>
              </w:rPr>
            </w:pPr>
          </w:p>
        </w:tc>
      </w:tr>
      <w:tr w14:paraId="08A11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6" w:hRule="atLeast"/>
          <w:jc w:val="center"/>
        </w:trPr>
        <w:tc>
          <w:tcPr>
            <w:tcW w:w="1263" w:type="dxa"/>
            <w:vAlign w:val="center"/>
          </w:tcPr>
          <w:p w14:paraId="135CFCF2">
            <w:pPr>
              <w:pStyle w:val="40"/>
              <w:jc w:val="center"/>
            </w:pPr>
            <w:r>
              <w:t>技术职称</w:t>
            </w:r>
          </w:p>
        </w:tc>
        <w:tc>
          <w:tcPr>
            <w:tcW w:w="1478" w:type="dxa"/>
            <w:gridSpan w:val="2"/>
            <w:vAlign w:val="center"/>
          </w:tcPr>
          <w:p w14:paraId="1543C9ED">
            <w:pPr>
              <w:pStyle w:val="40"/>
              <w:jc w:val="center"/>
              <w:rPr>
                <w:rFonts w:ascii="Times New Roman"/>
              </w:rPr>
            </w:pPr>
          </w:p>
        </w:tc>
        <w:tc>
          <w:tcPr>
            <w:tcW w:w="1059" w:type="dxa"/>
            <w:vAlign w:val="center"/>
          </w:tcPr>
          <w:p w14:paraId="67FC28D0">
            <w:pPr>
              <w:pStyle w:val="40"/>
              <w:jc w:val="center"/>
            </w:pPr>
            <w:r>
              <w:t>学历</w:t>
            </w:r>
          </w:p>
        </w:tc>
        <w:tc>
          <w:tcPr>
            <w:tcW w:w="1379" w:type="dxa"/>
            <w:vAlign w:val="center"/>
          </w:tcPr>
          <w:p w14:paraId="6CB06A69">
            <w:pPr>
              <w:pStyle w:val="40"/>
              <w:jc w:val="center"/>
              <w:rPr>
                <w:rFonts w:ascii="Times New Roman"/>
              </w:rPr>
            </w:pPr>
          </w:p>
        </w:tc>
        <w:tc>
          <w:tcPr>
            <w:tcW w:w="1880" w:type="dxa"/>
            <w:gridSpan w:val="2"/>
            <w:vAlign w:val="center"/>
          </w:tcPr>
          <w:p w14:paraId="5409A69C">
            <w:pPr>
              <w:pStyle w:val="40"/>
              <w:spacing w:before="172"/>
              <w:jc w:val="center"/>
            </w:pPr>
            <w:r>
              <w:t>拟在本标段</w:t>
            </w:r>
            <w:r>
              <w:rPr>
                <w:rFonts w:hint="eastAsia"/>
                <w:lang w:val="en-US" w:eastAsia="zh-CN"/>
              </w:rPr>
              <w:t xml:space="preserve">      </w:t>
            </w:r>
            <w:r>
              <w:t>工程任职</w:t>
            </w:r>
          </w:p>
        </w:tc>
        <w:tc>
          <w:tcPr>
            <w:tcW w:w="1670" w:type="dxa"/>
            <w:gridSpan w:val="2"/>
            <w:vAlign w:val="center"/>
          </w:tcPr>
          <w:p w14:paraId="0B1CFDFA">
            <w:pPr>
              <w:pStyle w:val="40"/>
              <w:jc w:val="center"/>
              <w:rPr>
                <w:rFonts w:ascii="Times New Roman"/>
              </w:rPr>
            </w:pPr>
          </w:p>
        </w:tc>
      </w:tr>
      <w:tr w14:paraId="74394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1263" w:type="dxa"/>
            <w:vAlign w:val="center"/>
          </w:tcPr>
          <w:p w14:paraId="77DC5B6E">
            <w:pPr>
              <w:pStyle w:val="40"/>
              <w:spacing w:line="277" w:lineRule="exact"/>
              <w:jc w:val="center"/>
            </w:pPr>
            <w:r>
              <w:t>工作年限</w:t>
            </w:r>
          </w:p>
        </w:tc>
        <w:tc>
          <w:tcPr>
            <w:tcW w:w="3916" w:type="dxa"/>
            <w:gridSpan w:val="4"/>
            <w:vAlign w:val="center"/>
          </w:tcPr>
          <w:p w14:paraId="228C7611">
            <w:pPr>
              <w:pStyle w:val="40"/>
              <w:jc w:val="center"/>
              <w:rPr>
                <w:rFonts w:ascii="Times New Roman"/>
              </w:rPr>
            </w:pPr>
          </w:p>
        </w:tc>
        <w:tc>
          <w:tcPr>
            <w:tcW w:w="1880" w:type="dxa"/>
            <w:gridSpan w:val="2"/>
            <w:vAlign w:val="center"/>
          </w:tcPr>
          <w:p w14:paraId="1F8BA26A">
            <w:pPr>
              <w:pStyle w:val="40"/>
              <w:spacing w:line="277" w:lineRule="exact"/>
              <w:jc w:val="center"/>
            </w:pPr>
            <w:r>
              <w:t>类似施工经验年限</w:t>
            </w:r>
          </w:p>
        </w:tc>
        <w:tc>
          <w:tcPr>
            <w:tcW w:w="1670" w:type="dxa"/>
            <w:gridSpan w:val="2"/>
            <w:vAlign w:val="center"/>
          </w:tcPr>
          <w:p w14:paraId="7229F10C">
            <w:pPr>
              <w:pStyle w:val="40"/>
              <w:jc w:val="center"/>
              <w:rPr>
                <w:rFonts w:ascii="Times New Roman"/>
              </w:rPr>
            </w:pPr>
          </w:p>
        </w:tc>
      </w:tr>
      <w:tr w14:paraId="01056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263" w:type="dxa"/>
            <w:vAlign w:val="center"/>
          </w:tcPr>
          <w:p w14:paraId="3659175E">
            <w:pPr>
              <w:pStyle w:val="40"/>
              <w:spacing w:before="2"/>
              <w:ind w:firstLine="360"/>
              <w:jc w:val="center"/>
              <w:rPr>
                <w:rFonts w:ascii="新宋体"/>
                <w:b/>
                <w:sz w:val="18"/>
              </w:rPr>
            </w:pPr>
          </w:p>
          <w:p w14:paraId="0E675ABE">
            <w:pPr>
              <w:pStyle w:val="40"/>
              <w:spacing w:line="276" w:lineRule="exact"/>
              <w:jc w:val="center"/>
            </w:pPr>
            <w:r>
              <w:t>毕业学校</w:t>
            </w:r>
          </w:p>
        </w:tc>
        <w:tc>
          <w:tcPr>
            <w:tcW w:w="7466" w:type="dxa"/>
            <w:gridSpan w:val="8"/>
            <w:vAlign w:val="center"/>
          </w:tcPr>
          <w:p w14:paraId="7B784850">
            <w:pPr>
              <w:pStyle w:val="40"/>
              <w:spacing w:before="2"/>
              <w:ind w:firstLine="360"/>
              <w:jc w:val="center"/>
              <w:rPr>
                <w:rFonts w:ascii="新宋体"/>
                <w:b/>
                <w:sz w:val="18"/>
              </w:rPr>
            </w:pPr>
          </w:p>
          <w:p w14:paraId="0DEEF2BD">
            <w:pPr>
              <w:pStyle w:val="40"/>
              <w:tabs>
                <w:tab w:val="left" w:pos="542"/>
                <w:tab w:val="left" w:pos="3886"/>
                <w:tab w:val="left" w:pos="5529"/>
                <w:tab w:val="left" w:pos="7253"/>
              </w:tabs>
              <w:spacing w:line="276" w:lineRule="exact"/>
              <w:ind w:right="-15" w:firstLine="440" w:firstLineChars="200"/>
              <w:jc w:val="both"/>
            </w:pPr>
            <w:r>
              <w:t>年月毕业于</w:t>
            </w:r>
            <w:r>
              <w:rPr>
                <w:rFonts w:ascii="Times New Roman" w:eastAsia="Times New Roman"/>
                <w:u w:val="single"/>
              </w:rPr>
              <w:tab/>
            </w:r>
            <w:r>
              <w:t>学校</w:t>
            </w:r>
            <w:r>
              <w:rPr>
                <w:rFonts w:ascii="Times New Roman" w:eastAsia="Times New Roman"/>
                <w:u w:val="single"/>
              </w:rPr>
              <w:tab/>
            </w:r>
            <w:r>
              <w:t>专业，学制</w:t>
            </w:r>
            <w:r>
              <w:rPr>
                <w:rFonts w:ascii="Times New Roman" w:eastAsia="Times New Roman"/>
                <w:u w:val="single"/>
              </w:rPr>
              <w:tab/>
            </w:r>
            <w:r>
              <w:t>年</w:t>
            </w:r>
          </w:p>
        </w:tc>
      </w:tr>
      <w:tr w14:paraId="34B23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8729" w:type="dxa"/>
            <w:gridSpan w:val="9"/>
            <w:vAlign w:val="center"/>
          </w:tcPr>
          <w:p w14:paraId="67FDD725">
            <w:pPr>
              <w:pStyle w:val="40"/>
              <w:spacing w:line="277" w:lineRule="exact"/>
              <w:ind w:right="99"/>
              <w:jc w:val="center"/>
              <w:rPr>
                <w:rFonts w:ascii="Times New Roman"/>
              </w:rPr>
            </w:pPr>
            <w:r>
              <w:t>经历</w:t>
            </w:r>
          </w:p>
        </w:tc>
      </w:tr>
      <w:tr w14:paraId="1C0AE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jc w:val="center"/>
        </w:trPr>
        <w:tc>
          <w:tcPr>
            <w:tcW w:w="1263" w:type="dxa"/>
            <w:vAlign w:val="center"/>
          </w:tcPr>
          <w:p w14:paraId="11E4B5C3">
            <w:pPr>
              <w:pStyle w:val="40"/>
              <w:jc w:val="center"/>
            </w:pPr>
            <w:r>
              <w:t>时间</w:t>
            </w:r>
          </w:p>
        </w:tc>
        <w:tc>
          <w:tcPr>
            <w:tcW w:w="4256" w:type="dxa"/>
            <w:gridSpan w:val="5"/>
            <w:vAlign w:val="center"/>
          </w:tcPr>
          <w:p w14:paraId="45E22528">
            <w:pPr>
              <w:pStyle w:val="40"/>
              <w:jc w:val="center"/>
            </w:pPr>
            <w:r>
              <w:t>参加过的类似工程项目名称</w:t>
            </w:r>
          </w:p>
        </w:tc>
        <w:tc>
          <w:tcPr>
            <w:tcW w:w="1926" w:type="dxa"/>
            <w:gridSpan w:val="2"/>
            <w:vAlign w:val="center"/>
          </w:tcPr>
          <w:p w14:paraId="28AAD54A">
            <w:pPr>
              <w:pStyle w:val="40"/>
              <w:jc w:val="center"/>
            </w:pPr>
            <w:r>
              <w:t>担任职务</w:t>
            </w:r>
          </w:p>
        </w:tc>
        <w:tc>
          <w:tcPr>
            <w:tcW w:w="1284" w:type="dxa"/>
            <w:vAlign w:val="center"/>
          </w:tcPr>
          <w:p w14:paraId="08FD067C">
            <w:pPr>
              <w:pStyle w:val="40"/>
              <w:spacing w:before="173"/>
              <w:jc w:val="center"/>
            </w:pPr>
            <w:r>
              <w:t>发包人及联系电话</w:t>
            </w:r>
          </w:p>
        </w:tc>
      </w:tr>
      <w:tr w14:paraId="28414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3" w:type="dxa"/>
            <w:vAlign w:val="center"/>
          </w:tcPr>
          <w:p w14:paraId="055C7FD8">
            <w:pPr>
              <w:pStyle w:val="40"/>
              <w:ind w:firstLine="422"/>
              <w:jc w:val="center"/>
              <w:rPr>
                <w:rFonts w:ascii="Times New Roman"/>
              </w:rPr>
            </w:pPr>
          </w:p>
        </w:tc>
        <w:tc>
          <w:tcPr>
            <w:tcW w:w="4256" w:type="dxa"/>
            <w:gridSpan w:val="5"/>
            <w:vAlign w:val="center"/>
          </w:tcPr>
          <w:p w14:paraId="7BEBEA14">
            <w:pPr>
              <w:pStyle w:val="40"/>
              <w:jc w:val="center"/>
              <w:rPr>
                <w:rFonts w:ascii="Times New Roman"/>
              </w:rPr>
            </w:pPr>
          </w:p>
        </w:tc>
        <w:tc>
          <w:tcPr>
            <w:tcW w:w="1926" w:type="dxa"/>
            <w:gridSpan w:val="2"/>
            <w:vAlign w:val="center"/>
          </w:tcPr>
          <w:p w14:paraId="3BE779BC">
            <w:pPr>
              <w:pStyle w:val="40"/>
              <w:jc w:val="center"/>
              <w:rPr>
                <w:rFonts w:ascii="Times New Roman"/>
              </w:rPr>
            </w:pPr>
          </w:p>
        </w:tc>
        <w:tc>
          <w:tcPr>
            <w:tcW w:w="1284" w:type="dxa"/>
            <w:vAlign w:val="center"/>
          </w:tcPr>
          <w:p w14:paraId="7F6D3839">
            <w:pPr>
              <w:pStyle w:val="40"/>
              <w:jc w:val="center"/>
              <w:rPr>
                <w:rFonts w:ascii="Times New Roman"/>
              </w:rPr>
            </w:pPr>
          </w:p>
        </w:tc>
      </w:tr>
      <w:tr w14:paraId="08717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3" w:type="dxa"/>
            <w:vAlign w:val="center"/>
          </w:tcPr>
          <w:p w14:paraId="38643D65">
            <w:pPr>
              <w:pStyle w:val="40"/>
              <w:ind w:firstLine="422"/>
              <w:jc w:val="center"/>
              <w:rPr>
                <w:rFonts w:ascii="Times New Roman"/>
              </w:rPr>
            </w:pPr>
          </w:p>
        </w:tc>
        <w:tc>
          <w:tcPr>
            <w:tcW w:w="4256" w:type="dxa"/>
            <w:gridSpan w:val="5"/>
            <w:vAlign w:val="center"/>
          </w:tcPr>
          <w:p w14:paraId="0CAF1F78">
            <w:pPr>
              <w:pStyle w:val="40"/>
              <w:jc w:val="center"/>
              <w:rPr>
                <w:rFonts w:ascii="Times New Roman"/>
              </w:rPr>
            </w:pPr>
          </w:p>
        </w:tc>
        <w:tc>
          <w:tcPr>
            <w:tcW w:w="1926" w:type="dxa"/>
            <w:gridSpan w:val="2"/>
            <w:vAlign w:val="center"/>
          </w:tcPr>
          <w:p w14:paraId="7F5AB795">
            <w:pPr>
              <w:pStyle w:val="40"/>
              <w:jc w:val="center"/>
              <w:rPr>
                <w:rFonts w:ascii="Times New Roman"/>
              </w:rPr>
            </w:pPr>
          </w:p>
        </w:tc>
        <w:tc>
          <w:tcPr>
            <w:tcW w:w="1284" w:type="dxa"/>
            <w:vAlign w:val="center"/>
          </w:tcPr>
          <w:p w14:paraId="12DB2B32">
            <w:pPr>
              <w:pStyle w:val="40"/>
              <w:jc w:val="center"/>
              <w:rPr>
                <w:rFonts w:ascii="Times New Roman"/>
              </w:rPr>
            </w:pPr>
          </w:p>
        </w:tc>
      </w:tr>
      <w:tr w14:paraId="79FE7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jc w:val="center"/>
        </w:trPr>
        <w:tc>
          <w:tcPr>
            <w:tcW w:w="1263" w:type="dxa"/>
            <w:vAlign w:val="center"/>
          </w:tcPr>
          <w:p w14:paraId="7F3AD271">
            <w:pPr>
              <w:pStyle w:val="40"/>
              <w:ind w:firstLine="422"/>
              <w:jc w:val="center"/>
              <w:rPr>
                <w:rFonts w:ascii="Times New Roman"/>
              </w:rPr>
            </w:pPr>
          </w:p>
        </w:tc>
        <w:tc>
          <w:tcPr>
            <w:tcW w:w="4256" w:type="dxa"/>
            <w:gridSpan w:val="5"/>
            <w:vAlign w:val="center"/>
          </w:tcPr>
          <w:p w14:paraId="704F4A9E">
            <w:pPr>
              <w:pStyle w:val="40"/>
              <w:jc w:val="center"/>
              <w:rPr>
                <w:rFonts w:ascii="Times New Roman"/>
              </w:rPr>
            </w:pPr>
          </w:p>
        </w:tc>
        <w:tc>
          <w:tcPr>
            <w:tcW w:w="1926" w:type="dxa"/>
            <w:gridSpan w:val="2"/>
            <w:vAlign w:val="center"/>
          </w:tcPr>
          <w:p w14:paraId="5605ECB2">
            <w:pPr>
              <w:pStyle w:val="40"/>
              <w:jc w:val="center"/>
              <w:rPr>
                <w:rFonts w:ascii="Times New Roman"/>
              </w:rPr>
            </w:pPr>
          </w:p>
        </w:tc>
        <w:tc>
          <w:tcPr>
            <w:tcW w:w="1284" w:type="dxa"/>
            <w:vAlign w:val="center"/>
          </w:tcPr>
          <w:p w14:paraId="3B854219">
            <w:pPr>
              <w:pStyle w:val="40"/>
              <w:jc w:val="center"/>
              <w:rPr>
                <w:rFonts w:ascii="Times New Roman"/>
              </w:rPr>
            </w:pPr>
          </w:p>
        </w:tc>
      </w:tr>
      <w:tr w14:paraId="67945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6" w:hRule="atLeast"/>
          <w:jc w:val="center"/>
        </w:trPr>
        <w:tc>
          <w:tcPr>
            <w:tcW w:w="2639" w:type="dxa"/>
            <w:gridSpan w:val="2"/>
            <w:vAlign w:val="center"/>
          </w:tcPr>
          <w:p w14:paraId="7397DBC9">
            <w:pPr>
              <w:pStyle w:val="40"/>
              <w:spacing w:line="276" w:lineRule="exact"/>
              <w:jc w:val="center"/>
            </w:pPr>
            <w:r>
              <w:t>获奖情况</w:t>
            </w:r>
          </w:p>
        </w:tc>
        <w:tc>
          <w:tcPr>
            <w:tcW w:w="6090" w:type="dxa"/>
            <w:gridSpan w:val="7"/>
            <w:vAlign w:val="center"/>
          </w:tcPr>
          <w:p w14:paraId="32084EED">
            <w:pPr>
              <w:pStyle w:val="40"/>
              <w:jc w:val="center"/>
              <w:rPr>
                <w:rFonts w:ascii="Times New Roman"/>
              </w:rPr>
            </w:pPr>
          </w:p>
        </w:tc>
      </w:tr>
      <w:tr w14:paraId="00EDC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8" w:hRule="atLeast"/>
          <w:jc w:val="center"/>
        </w:trPr>
        <w:tc>
          <w:tcPr>
            <w:tcW w:w="2639" w:type="dxa"/>
            <w:gridSpan w:val="2"/>
            <w:vAlign w:val="center"/>
          </w:tcPr>
          <w:p w14:paraId="230B323C">
            <w:pPr>
              <w:pStyle w:val="40"/>
              <w:jc w:val="center"/>
            </w:pPr>
            <w:r>
              <w:t>说明在岗情况</w:t>
            </w:r>
          </w:p>
        </w:tc>
        <w:tc>
          <w:tcPr>
            <w:tcW w:w="6090" w:type="dxa"/>
            <w:gridSpan w:val="7"/>
            <w:vAlign w:val="center"/>
          </w:tcPr>
          <w:p w14:paraId="76D972C7">
            <w:pPr>
              <w:pStyle w:val="40"/>
              <w:numPr>
                <w:ilvl w:val="0"/>
                <w:numId w:val="0"/>
              </w:numPr>
              <w:tabs>
                <w:tab w:val="left" w:pos="474"/>
                <w:tab w:val="left" w:pos="3225"/>
                <w:tab w:val="left" w:pos="5346"/>
              </w:tabs>
              <w:spacing w:before="128" w:line="350" w:lineRule="atLeast"/>
              <w:ind w:left="-286" w:leftChars="0" w:right="6" w:rightChars="0" w:firstLine="422" w:firstLineChars="0"/>
              <w:jc w:val="center"/>
            </w:pPr>
            <w:r>
              <w:rPr>
                <w:rFonts w:hint="eastAsia" w:ascii="宋体" w:hAnsi="宋体" w:eastAsia="宋体" w:cs="宋体"/>
                <w:b w:val="0"/>
                <w:bCs w:val="0"/>
                <w:i w:val="0"/>
                <w:iCs w:val="0"/>
                <w:spacing w:val="0"/>
                <w:w w:val="100"/>
                <w:sz w:val="22"/>
                <w:szCs w:val="22"/>
                <w:lang w:val="en-US" w:eastAsia="zh-CN" w:bidi="ar-SA"/>
              </w:rPr>
              <w:t>□</w:t>
            </w:r>
            <w:r>
              <w:t>目前未在其他项目上任职，现从事工作为：</w:t>
            </w:r>
            <w:r>
              <w:rPr>
                <w:rFonts w:ascii="Times New Roman" w:hAnsi="Times New Roman" w:eastAsia="Times New Roman"/>
                <w:u w:val="single"/>
              </w:rPr>
              <w:tab/>
            </w:r>
            <w:r>
              <w:t>。</w:t>
            </w:r>
          </w:p>
          <w:p w14:paraId="19CAB0FF">
            <w:pPr>
              <w:pStyle w:val="40"/>
              <w:numPr>
                <w:ilvl w:val="0"/>
                <w:numId w:val="0"/>
              </w:numPr>
              <w:tabs>
                <w:tab w:val="left" w:pos="474"/>
                <w:tab w:val="left" w:pos="3225"/>
                <w:tab w:val="left" w:pos="5346"/>
              </w:tabs>
              <w:spacing w:before="128" w:line="350" w:lineRule="atLeast"/>
              <w:ind w:left="-286" w:leftChars="0" w:right="6" w:rightChars="0" w:firstLine="422" w:firstLineChars="0"/>
              <w:jc w:val="center"/>
            </w:pPr>
            <w:r>
              <w:rPr>
                <w:rFonts w:hint="eastAsia" w:eastAsia="宋体"/>
                <w:lang w:val="en-US" w:eastAsia="zh-CN"/>
              </w:rPr>
              <w:t xml:space="preserve">  </w:t>
            </w:r>
            <w:r>
              <w:rPr>
                <w:rFonts w:hint="eastAsia" w:ascii="宋体" w:hAnsi="宋体" w:eastAsia="宋体" w:cs="宋体"/>
                <w:b w:val="0"/>
                <w:bCs w:val="0"/>
                <w:i w:val="0"/>
                <w:iCs w:val="0"/>
                <w:spacing w:val="0"/>
                <w:w w:val="100"/>
                <w:sz w:val="22"/>
                <w:szCs w:val="22"/>
                <w:lang w:val="en-US" w:eastAsia="zh-CN" w:bidi="ar-SA"/>
              </w:rPr>
              <w:t>□</w:t>
            </w:r>
            <w:r>
              <w:t>目前虽在其他项目上任职，但本项目中标后能够从该项目撤离，目前任职项目：</w:t>
            </w:r>
            <w:r>
              <w:tab/>
            </w:r>
            <w:r>
              <w:t>，担任职位：</w:t>
            </w:r>
            <w:r>
              <w:tab/>
            </w:r>
            <w:r>
              <w:t>。</w:t>
            </w:r>
          </w:p>
        </w:tc>
      </w:tr>
      <w:tr w14:paraId="010D2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 w:hRule="atLeast"/>
          <w:jc w:val="center"/>
        </w:trPr>
        <w:tc>
          <w:tcPr>
            <w:tcW w:w="2639" w:type="dxa"/>
            <w:gridSpan w:val="2"/>
            <w:vAlign w:val="center"/>
          </w:tcPr>
          <w:p w14:paraId="78ED1C26">
            <w:pPr>
              <w:pStyle w:val="40"/>
              <w:ind w:right="174" w:firstLine="422"/>
              <w:jc w:val="center"/>
            </w:pPr>
            <w:r>
              <w:t>备注</w:t>
            </w:r>
          </w:p>
        </w:tc>
        <w:tc>
          <w:tcPr>
            <w:tcW w:w="6090" w:type="dxa"/>
            <w:gridSpan w:val="7"/>
            <w:vAlign w:val="center"/>
          </w:tcPr>
          <w:p w14:paraId="7A7F4482">
            <w:pPr>
              <w:pStyle w:val="40"/>
              <w:jc w:val="center"/>
              <w:rPr>
                <w:rFonts w:ascii="Times New Roman"/>
              </w:rPr>
            </w:pPr>
          </w:p>
        </w:tc>
      </w:tr>
    </w:tbl>
    <w:p w14:paraId="5BFB31D3">
      <w:pPr>
        <w:pStyle w:val="12"/>
        <w:spacing w:before="189"/>
        <w:ind w:firstLine="420" w:firstLineChars="200"/>
      </w:pPr>
      <w:r>
        <w:t>注：</w:t>
      </w:r>
      <w:r>
        <w:rPr>
          <w:rFonts w:hint="eastAsia"/>
        </w:rPr>
        <w:t>1.</w:t>
      </w:r>
      <w:r>
        <w:t>本表应填写项目经理相关情况，可以根据项目情况增减表格内容。</w:t>
      </w:r>
    </w:p>
    <w:p w14:paraId="45CB6EAD">
      <w:pPr>
        <w:pStyle w:val="12"/>
        <w:spacing w:before="2"/>
        <w:ind w:firstLine="341"/>
        <w:rPr>
          <w:sz w:val="17"/>
        </w:rPr>
      </w:pPr>
    </w:p>
    <w:p w14:paraId="57246C98">
      <w:pPr>
        <w:spacing w:line="360" w:lineRule="auto"/>
        <w:ind w:firstLine="420" w:firstLineChars="200"/>
        <w:rPr>
          <w:sz w:val="21"/>
          <w:szCs w:val="21"/>
        </w:rPr>
      </w:pPr>
      <w:r>
        <w:rPr>
          <w:rFonts w:hint="eastAsia"/>
          <w:sz w:val="21"/>
          <w:szCs w:val="21"/>
        </w:rPr>
        <w:t>2.</w:t>
      </w:r>
      <w:r>
        <w:rPr>
          <w:rFonts w:hint="eastAsia"/>
          <w:sz w:val="21"/>
          <w:szCs w:val="21"/>
          <w:lang w:eastAsia="zh-CN"/>
        </w:rPr>
        <w:t>供应商</w:t>
      </w:r>
      <w:r>
        <w:rPr>
          <w:sz w:val="21"/>
          <w:szCs w:val="21"/>
        </w:rPr>
        <w:t>应在本表后附项目经理身份证扫描件、注册证扫描件、职称证扫描件、安全生产考核合格证扫描件及由县级以上（含县级）社会养老保险经办机构出具的供应商为项目实施人员交纳的</w:t>
      </w:r>
      <w:r>
        <w:rPr>
          <w:rFonts w:hint="eastAsia"/>
          <w:sz w:val="21"/>
          <w:szCs w:val="21"/>
          <w:lang w:eastAsia="zh-CN"/>
        </w:rPr>
        <w:t>响应文件</w:t>
      </w:r>
      <w:r>
        <w:rPr>
          <w:sz w:val="21"/>
          <w:szCs w:val="21"/>
        </w:rPr>
        <w:t>递交截止时间前半年内任意连续三个月社保证明扫描件、业绩证明等相关证明材料。</w:t>
      </w:r>
    </w:p>
    <w:p w14:paraId="78A71548">
      <w:pPr>
        <w:spacing w:line="360" w:lineRule="auto"/>
        <w:ind w:firstLine="422"/>
        <w:rPr>
          <w:sz w:val="21"/>
          <w:szCs w:val="21"/>
        </w:rPr>
        <w:sectPr>
          <w:type w:val="continuous"/>
          <w:pgSz w:w="11910" w:h="16840"/>
          <w:pgMar w:top="1160" w:right="800" w:bottom="980" w:left="660" w:header="968" w:footer="799" w:gutter="0"/>
          <w:cols w:space="720" w:num="1"/>
        </w:sectPr>
      </w:pPr>
    </w:p>
    <w:p w14:paraId="3623690A">
      <w:pPr>
        <w:pStyle w:val="39"/>
        <w:tabs>
          <w:tab w:val="left" w:pos="800"/>
        </w:tabs>
        <w:spacing w:line="360" w:lineRule="auto"/>
        <w:ind w:left="0" w:firstLine="640"/>
        <w:rPr>
          <w:b/>
          <w:sz w:val="32"/>
        </w:rPr>
      </w:pPr>
    </w:p>
    <w:p w14:paraId="3DCD1D7C">
      <w:pPr>
        <w:pStyle w:val="39"/>
        <w:tabs>
          <w:tab w:val="left" w:pos="800"/>
        </w:tabs>
        <w:ind w:left="0" w:firstLine="640"/>
        <w:rPr>
          <w:b/>
          <w:sz w:val="32"/>
        </w:rPr>
      </w:pPr>
    </w:p>
    <w:p w14:paraId="159A12D2">
      <w:pPr>
        <w:pStyle w:val="39"/>
        <w:tabs>
          <w:tab w:val="left" w:pos="800"/>
        </w:tabs>
        <w:ind w:left="0" w:leftChars="0" w:firstLine="0" w:firstLineChars="0"/>
        <w:rPr>
          <w:b w:val="0"/>
          <w:bCs/>
          <w:sz w:val="32"/>
        </w:rPr>
      </w:pPr>
      <w:r>
        <w:rPr>
          <w:rFonts w:hint="eastAsia"/>
          <w:b w:val="0"/>
          <w:bCs/>
          <w:sz w:val="32"/>
        </w:rPr>
        <w:t>7.项目总工：符合第三章“采购需求”项目总工资格要求（必须提供）</w:t>
      </w:r>
    </w:p>
    <w:p w14:paraId="78806F04">
      <w:pPr>
        <w:pStyle w:val="12"/>
        <w:spacing w:before="3"/>
        <w:ind w:firstLine="620"/>
        <w:rPr>
          <w:b/>
          <w:sz w:val="31"/>
        </w:rPr>
      </w:pPr>
    </w:p>
    <w:p w14:paraId="51D3582A">
      <w:pPr>
        <w:pStyle w:val="8"/>
        <w:ind w:firstLine="482"/>
        <w:jc w:val="center"/>
        <w:rPr>
          <w:rFonts w:ascii="新宋体" w:eastAsia="新宋体"/>
        </w:rPr>
      </w:pPr>
      <w:r>
        <w:rPr>
          <w:rFonts w:hint="eastAsia" w:ascii="新宋体" w:eastAsia="新宋体"/>
        </w:rPr>
        <w:t>拟委任的项目总工资历表</w:t>
      </w:r>
    </w:p>
    <w:p w14:paraId="2231CD09">
      <w:pPr>
        <w:pStyle w:val="12"/>
        <w:spacing w:before="10" w:after="1"/>
        <w:ind w:firstLine="240"/>
        <w:rPr>
          <w:rFonts w:ascii="新宋体"/>
          <w:b/>
          <w:sz w:val="12"/>
        </w:rPr>
      </w:pPr>
    </w:p>
    <w:tbl>
      <w:tblPr>
        <w:tblStyle w:val="23"/>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3"/>
        <w:gridCol w:w="1376"/>
        <w:gridCol w:w="102"/>
        <w:gridCol w:w="1059"/>
        <w:gridCol w:w="1379"/>
        <w:gridCol w:w="340"/>
        <w:gridCol w:w="1540"/>
        <w:gridCol w:w="386"/>
        <w:gridCol w:w="1284"/>
      </w:tblGrid>
      <w:tr w14:paraId="6ABA3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jc w:val="center"/>
        </w:trPr>
        <w:tc>
          <w:tcPr>
            <w:tcW w:w="1263" w:type="dxa"/>
          </w:tcPr>
          <w:p w14:paraId="0FB09F5E">
            <w:pPr>
              <w:pStyle w:val="40"/>
              <w:spacing w:before="6"/>
              <w:ind w:firstLine="360"/>
              <w:jc w:val="center"/>
              <w:rPr>
                <w:rFonts w:ascii="新宋体"/>
                <w:b/>
                <w:sz w:val="18"/>
              </w:rPr>
            </w:pPr>
          </w:p>
          <w:p w14:paraId="1D10644E">
            <w:pPr>
              <w:pStyle w:val="40"/>
              <w:spacing w:line="276" w:lineRule="exact"/>
              <w:ind w:left="207" w:firstLine="422"/>
              <w:jc w:val="center"/>
            </w:pPr>
            <w:r>
              <w:t>姓名</w:t>
            </w:r>
          </w:p>
        </w:tc>
        <w:tc>
          <w:tcPr>
            <w:tcW w:w="1478" w:type="dxa"/>
            <w:gridSpan w:val="2"/>
          </w:tcPr>
          <w:p w14:paraId="4B1D1242">
            <w:pPr>
              <w:pStyle w:val="40"/>
              <w:jc w:val="center"/>
              <w:rPr>
                <w:rFonts w:ascii="Times New Roman"/>
              </w:rPr>
            </w:pPr>
          </w:p>
        </w:tc>
        <w:tc>
          <w:tcPr>
            <w:tcW w:w="1059" w:type="dxa"/>
          </w:tcPr>
          <w:p w14:paraId="19DF2E35">
            <w:pPr>
              <w:pStyle w:val="40"/>
              <w:spacing w:before="6"/>
              <w:ind w:firstLine="360"/>
              <w:jc w:val="center"/>
              <w:rPr>
                <w:rFonts w:ascii="新宋体"/>
                <w:b/>
                <w:sz w:val="18"/>
              </w:rPr>
            </w:pPr>
          </w:p>
          <w:p w14:paraId="27649802">
            <w:pPr>
              <w:pStyle w:val="40"/>
              <w:spacing w:line="276" w:lineRule="exact"/>
              <w:ind w:left="121" w:firstLine="422"/>
              <w:jc w:val="center"/>
            </w:pPr>
            <w:r>
              <w:t>年龄</w:t>
            </w:r>
          </w:p>
        </w:tc>
        <w:tc>
          <w:tcPr>
            <w:tcW w:w="1379" w:type="dxa"/>
          </w:tcPr>
          <w:p w14:paraId="62FA8198">
            <w:pPr>
              <w:pStyle w:val="40"/>
              <w:jc w:val="center"/>
              <w:rPr>
                <w:rFonts w:ascii="Times New Roman"/>
              </w:rPr>
            </w:pPr>
          </w:p>
        </w:tc>
        <w:tc>
          <w:tcPr>
            <w:tcW w:w="1880" w:type="dxa"/>
            <w:gridSpan w:val="2"/>
          </w:tcPr>
          <w:p w14:paraId="725DBFEA">
            <w:pPr>
              <w:pStyle w:val="40"/>
              <w:spacing w:before="6"/>
              <w:ind w:firstLine="360"/>
              <w:jc w:val="center"/>
              <w:rPr>
                <w:rFonts w:ascii="新宋体"/>
                <w:b/>
                <w:sz w:val="18"/>
              </w:rPr>
            </w:pPr>
          </w:p>
          <w:p w14:paraId="2BACB5D6">
            <w:pPr>
              <w:pStyle w:val="40"/>
              <w:spacing w:line="276" w:lineRule="exact"/>
              <w:ind w:left="201" w:firstLine="422"/>
              <w:jc w:val="center"/>
            </w:pPr>
            <w:r>
              <w:t>专业</w:t>
            </w:r>
          </w:p>
        </w:tc>
        <w:tc>
          <w:tcPr>
            <w:tcW w:w="1670" w:type="dxa"/>
            <w:gridSpan w:val="2"/>
          </w:tcPr>
          <w:p w14:paraId="5272ED21">
            <w:pPr>
              <w:pStyle w:val="40"/>
              <w:rPr>
                <w:rFonts w:ascii="Times New Roman"/>
              </w:rPr>
            </w:pPr>
          </w:p>
        </w:tc>
      </w:tr>
      <w:tr w14:paraId="563D1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3" w:hRule="atLeast"/>
          <w:jc w:val="center"/>
        </w:trPr>
        <w:tc>
          <w:tcPr>
            <w:tcW w:w="1263" w:type="dxa"/>
          </w:tcPr>
          <w:p w14:paraId="7F6FE0DA">
            <w:pPr>
              <w:pStyle w:val="40"/>
              <w:ind w:firstLine="420"/>
              <w:rPr>
                <w:rFonts w:ascii="新宋体"/>
                <w:b/>
              </w:rPr>
            </w:pPr>
          </w:p>
          <w:p w14:paraId="6E07667A">
            <w:pPr>
              <w:pStyle w:val="40"/>
              <w:spacing w:before="11"/>
              <w:ind w:firstLine="420"/>
              <w:rPr>
                <w:rFonts w:ascii="新宋体"/>
                <w:b/>
              </w:rPr>
            </w:pPr>
          </w:p>
          <w:p w14:paraId="6B8E6C51">
            <w:pPr>
              <w:pStyle w:val="40"/>
              <w:ind w:left="193" w:firstLine="422"/>
            </w:pPr>
            <w:r>
              <w:t>技术职称</w:t>
            </w:r>
          </w:p>
        </w:tc>
        <w:tc>
          <w:tcPr>
            <w:tcW w:w="1478" w:type="dxa"/>
            <w:gridSpan w:val="2"/>
          </w:tcPr>
          <w:p w14:paraId="16535629">
            <w:pPr>
              <w:pStyle w:val="40"/>
              <w:rPr>
                <w:rFonts w:ascii="Times New Roman"/>
              </w:rPr>
            </w:pPr>
          </w:p>
        </w:tc>
        <w:tc>
          <w:tcPr>
            <w:tcW w:w="1059" w:type="dxa"/>
          </w:tcPr>
          <w:p w14:paraId="5B3505E9">
            <w:pPr>
              <w:pStyle w:val="40"/>
              <w:ind w:firstLine="420"/>
              <w:rPr>
                <w:rFonts w:ascii="新宋体"/>
                <w:b/>
              </w:rPr>
            </w:pPr>
          </w:p>
          <w:p w14:paraId="5A34E84A">
            <w:pPr>
              <w:pStyle w:val="40"/>
              <w:spacing w:before="11"/>
              <w:ind w:firstLine="420"/>
              <w:rPr>
                <w:rFonts w:ascii="新宋体"/>
                <w:b/>
              </w:rPr>
            </w:pPr>
          </w:p>
          <w:p w14:paraId="19AFD086">
            <w:pPr>
              <w:pStyle w:val="40"/>
              <w:ind w:left="125" w:firstLine="422"/>
              <w:jc w:val="center"/>
            </w:pPr>
            <w:r>
              <w:t>学历</w:t>
            </w:r>
          </w:p>
        </w:tc>
        <w:tc>
          <w:tcPr>
            <w:tcW w:w="1379" w:type="dxa"/>
          </w:tcPr>
          <w:p w14:paraId="4D3BF598">
            <w:pPr>
              <w:pStyle w:val="40"/>
              <w:rPr>
                <w:rFonts w:ascii="Times New Roman"/>
              </w:rPr>
            </w:pPr>
          </w:p>
        </w:tc>
        <w:tc>
          <w:tcPr>
            <w:tcW w:w="1880" w:type="dxa"/>
            <w:gridSpan w:val="2"/>
          </w:tcPr>
          <w:p w14:paraId="65A1A12A">
            <w:pPr>
              <w:pStyle w:val="40"/>
              <w:spacing w:before="172"/>
              <w:ind w:left="431" w:firstLine="422"/>
            </w:pPr>
            <w:r>
              <w:t>拟在本标</w:t>
            </w:r>
          </w:p>
          <w:p w14:paraId="02625CD2">
            <w:pPr>
              <w:pStyle w:val="40"/>
              <w:spacing w:before="8" w:line="500" w:lineRule="atLeast"/>
              <w:ind w:left="539" w:right="460" w:firstLine="422"/>
            </w:pPr>
            <w:r>
              <w:t>段工程任职</w:t>
            </w:r>
          </w:p>
        </w:tc>
        <w:tc>
          <w:tcPr>
            <w:tcW w:w="1670" w:type="dxa"/>
            <w:gridSpan w:val="2"/>
          </w:tcPr>
          <w:p w14:paraId="3EEA2297">
            <w:pPr>
              <w:pStyle w:val="40"/>
              <w:rPr>
                <w:rFonts w:ascii="Times New Roman"/>
              </w:rPr>
            </w:pPr>
          </w:p>
        </w:tc>
      </w:tr>
      <w:tr w14:paraId="044DB2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1263" w:type="dxa"/>
          </w:tcPr>
          <w:p w14:paraId="2F9DCB95">
            <w:pPr>
              <w:pStyle w:val="40"/>
              <w:spacing w:before="1"/>
              <w:ind w:firstLine="360"/>
              <w:rPr>
                <w:rFonts w:ascii="新宋体"/>
                <w:b/>
                <w:sz w:val="18"/>
              </w:rPr>
            </w:pPr>
          </w:p>
          <w:p w14:paraId="7A8F1F4F">
            <w:pPr>
              <w:pStyle w:val="40"/>
              <w:spacing w:line="277" w:lineRule="exact"/>
              <w:ind w:left="195" w:firstLine="422"/>
            </w:pPr>
            <w:r>
              <w:t>工作年限</w:t>
            </w:r>
          </w:p>
        </w:tc>
        <w:tc>
          <w:tcPr>
            <w:tcW w:w="3916" w:type="dxa"/>
            <w:gridSpan w:val="4"/>
          </w:tcPr>
          <w:p w14:paraId="0D7BA477">
            <w:pPr>
              <w:pStyle w:val="40"/>
              <w:rPr>
                <w:rFonts w:ascii="Times New Roman"/>
              </w:rPr>
            </w:pPr>
          </w:p>
        </w:tc>
        <w:tc>
          <w:tcPr>
            <w:tcW w:w="1880" w:type="dxa"/>
            <w:gridSpan w:val="2"/>
          </w:tcPr>
          <w:p w14:paraId="3048AB26">
            <w:pPr>
              <w:pStyle w:val="40"/>
              <w:spacing w:before="1"/>
              <w:ind w:firstLine="360"/>
              <w:rPr>
                <w:rFonts w:ascii="新宋体"/>
                <w:b/>
                <w:sz w:val="18"/>
              </w:rPr>
            </w:pPr>
          </w:p>
          <w:p w14:paraId="0832F376">
            <w:pPr>
              <w:pStyle w:val="40"/>
              <w:spacing w:line="277" w:lineRule="exact"/>
              <w:ind w:left="119" w:firstLine="422"/>
            </w:pPr>
            <w:r>
              <w:t>类似施工经验年限</w:t>
            </w:r>
          </w:p>
        </w:tc>
        <w:tc>
          <w:tcPr>
            <w:tcW w:w="1670" w:type="dxa"/>
            <w:gridSpan w:val="2"/>
          </w:tcPr>
          <w:p w14:paraId="1FCB656B">
            <w:pPr>
              <w:pStyle w:val="40"/>
              <w:rPr>
                <w:rFonts w:ascii="Times New Roman"/>
              </w:rPr>
            </w:pPr>
          </w:p>
        </w:tc>
      </w:tr>
      <w:tr w14:paraId="699DC8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1263" w:type="dxa"/>
          </w:tcPr>
          <w:p w14:paraId="6C74FB85">
            <w:pPr>
              <w:pStyle w:val="40"/>
              <w:spacing w:before="2"/>
              <w:ind w:firstLine="360"/>
              <w:rPr>
                <w:rFonts w:ascii="新宋体"/>
                <w:b/>
                <w:sz w:val="18"/>
              </w:rPr>
            </w:pPr>
          </w:p>
          <w:p w14:paraId="514E6B0F">
            <w:pPr>
              <w:pStyle w:val="40"/>
              <w:spacing w:line="276" w:lineRule="exact"/>
              <w:ind w:left="195" w:firstLine="422"/>
            </w:pPr>
            <w:r>
              <w:t>毕业学校</w:t>
            </w:r>
          </w:p>
        </w:tc>
        <w:tc>
          <w:tcPr>
            <w:tcW w:w="7466" w:type="dxa"/>
            <w:gridSpan w:val="8"/>
          </w:tcPr>
          <w:p w14:paraId="1F07ED32">
            <w:pPr>
              <w:pStyle w:val="40"/>
              <w:spacing w:before="2"/>
              <w:ind w:firstLine="360"/>
              <w:rPr>
                <w:rFonts w:ascii="新宋体"/>
                <w:b/>
                <w:sz w:val="18"/>
              </w:rPr>
            </w:pPr>
          </w:p>
          <w:p w14:paraId="36021A89">
            <w:pPr>
              <w:pStyle w:val="40"/>
              <w:tabs>
                <w:tab w:val="left" w:pos="542"/>
                <w:tab w:val="left" w:pos="3886"/>
                <w:tab w:val="left" w:pos="5529"/>
                <w:tab w:val="left" w:pos="7253"/>
              </w:tabs>
              <w:spacing w:line="276" w:lineRule="exact"/>
              <w:ind w:left="7" w:right="-15" w:firstLine="422"/>
            </w:pPr>
            <w:r>
              <w:rPr>
                <w:rFonts w:ascii="Times New Roman" w:eastAsia="Times New Roman"/>
                <w:u w:val="single"/>
              </w:rPr>
              <w:tab/>
            </w:r>
            <w:r>
              <w:t>年月毕业于</w:t>
            </w:r>
            <w:r>
              <w:rPr>
                <w:rFonts w:ascii="Times New Roman" w:eastAsia="Times New Roman"/>
                <w:u w:val="single"/>
              </w:rPr>
              <w:tab/>
            </w:r>
            <w:r>
              <w:t>学校</w:t>
            </w:r>
            <w:r>
              <w:rPr>
                <w:rFonts w:ascii="Times New Roman" w:eastAsia="Times New Roman"/>
                <w:u w:val="single"/>
              </w:rPr>
              <w:tab/>
            </w:r>
            <w:r>
              <w:t>专业，学制</w:t>
            </w:r>
            <w:r>
              <w:rPr>
                <w:rFonts w:ascii="Times New Roman" w:eastAsia="Times New Roman"/>
                <w:u w:val="single"/>
              </w:rPr>
              <w:tab/>
            </w:r>
            <w:r>
              <w:t>年</w:t>
            </w:r>
          </w:p>
        </w:tc>
      </w:tr>
      <w:tr w14:paraId="68EF1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8729" w:type="dxa"/>
            <w:gridSpan w:val="9"/>
          </w:tcPr>
          <w:p w14:paraId="1BCAA15C">
            <w:pPr>
              <w:pStyle w:val="40"/>
              <w:spacing w:before="3"/>
              <w:ind w:firstLine="360"/>
              <w:rPr>
                <w:rFonts w:ascii="新宋体"/>
                <w:b/>
                <w:sz w:val="18"/>
              </w:rPr>
            </w:pPr>
          </w:p>
          <w:p w14:paraId="5621D4FF">
            <w:pPr>
              <w:pStyle w:val="40"/>
              <w:spacing w:line="277" w:lineRule="exact"/>
              <w:ind w:right="99" w:firstLine="422"/>
              <w:jc w:val="center"/>
              <w:rPr>
                <w:rFonts w:ascii="Times New Roman"/>
              </w:rPr>
            </w:pPr>
            <w:r>
              <w:t>经历</w:t>
            </w:r>
          </w:p>
        </w:tc>
      </w:tr>
      <w:tr w14:paraId="5349B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 w:hRule="atLeast"/>
          <w:jc w:val="center"/>
        </w:trPr>
        <w:tc>
          <w:tcPr>
            <w:tcW w:w="1263" w:type="dxa"/>
          </w:tcPr>
          <w:p w14:paraId="630EBDEC">
            <w:pPr>
              <w:pStyle w:val="40"/>
              <w:ind w:firstLine="420"/>
              <w:rPr>
                <w:rFonts w:ascii="新宋体"/>
                <w:b/>
              </w:rPr>
            </w:pPr>
          </w:p>
          <w:p w14:paraId="0AF125D7">
            <w:pPr>
              <w:pStyle w:val="40"/>
              <w:ind w:firstLine="400"/>
              <w:rPr>
                <w:rFonts w:ascii="新宋体"/>
                <w:b/>
                <w:sz w:val="20"/>
              </w:rPr>
            </w:pPr>
          </w:p>
          <w:p w14:paraId="1EB15187">
            <w:pPr>
              <w:pStyle w:val="40"/>
              <w:ind w:left="344" w:firstLine="422"/>
            </w:pPr>
            <w:r>
              <w:t>时间</w:t>
            </w:r>
          </w:p>
        </w:tc>
        <w:tc>
          <w:tcPr>
            <w:tcW w:w="4256" w:type="dxa"/>
            <w:gridSpan w:val="5"/>
          </w:tcPr>
          <w:p w14:paraId="6AF8606A">
            <w:pPr>
              <w:pStyle w:val="40"/>
              <w:ind w:firstLine="420"/>
              <w:rPr>
                <w:rFonts w:ascii="新宋体"/>
                <w:b/>
              </w:rPr>
            </w:pPr>
          </w:p>
          <w:p w14:paraId="60AF327F">
            <w:pPr>
              <w:pStyle w:val="40"/>
              <w:ind w:firstLine="400"/>
              <w:rPr>
                <w:rFonts w:ascii="新宋体"/>
                <w:b/>
                <w:sz w:val="20"/>
              </w:rPr>
            </w:pPr>
          </w:p>
          <w:p w14:paraId="07C06EB1">
            <w:pPr>
              <w:pStyle w:val="40"/>
              <w:ind w:left="888" w:firstLine="422"/>
            </w:pPr>
            <w:r>
              <w:t>参加过的类似工程项目名称</w:t>
            </w:r>
          </w:p>
        </w:tc>
        <w:tc>
          <w:tcPr>
            <w:tcW w:w="1926" w:type="dxa"/>
            <w:gridSpan w:val="2"/>
          </w:tcPr>
          <w:p w14:paraId="43137811">
            <w:pPr>
              <w:pStyle w:val="40"/>
              <w:ind w:firstLine="420"/>
              <w:rPr>
                <w:rFonts w:ascii="新宋体"/>
                <w:b/>
              </w:rPr>
            </w:pPr>
          </w:p>
          <w:p w14:paraId="2A800919">
            <w:pPr>
              <w:pStyle w:val="40"/>
              <w:ind w:firstLine="400"/>
              <w:rPr>
                <w:rFonts w:ascii="新宋体"/>
                <w:b/>
                <w:sz w:val="20"/>
              </w:rPr>
            </w:pPr>
          </w:p>
          <w:p w14:paraId="38DBFF75">
            <w:pPr>
              <w:pStyle w:val="40"/>
              <w:ind w:left="559" w:firstLine="422"/>
            </w:pPr>
            <w:r>
              <w:t>担任职务</w:t>
            </w:r>
          </w:p>
        </w:tc>
        <w:tc>
          <w:tcPr>
            <w:tcW w:w="1284" w:type="dxa"/>
          </w:tcPr>
          <w:p w14:paraId="584764CD">
            <w:pPr>
              <w:pStyle w:val="40"/>
              <w:spacing w:before="173"/>
              <w:ind w:left="346" w:firstLine="422"/>
            </w:pPr>
            <w:r>
              <w:t>发包人及</w:t>
            </w:r>
          </w:p>
          <w:p w14:paraId="2507124F">
            <w:pPr>
              <w:pStyle w:val="40"/>
              <w:spacing w:before="5" w:line="440" w:lineRule="atLeast"/>
              <w:ind w:left="344" w:right="277" w:firstLine="422"/>
            </w:pPr>
            <w:r>
              <w:t>联系电话</w:t>
            </w:r>
          </w:p>
        </w:tc>
      </w:tr>
      <w:tr w14:paraId="4D5A8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3" w:type="dxa"/>
          </w:tcPr>
          <w:p w14:paraId="7F954A86">
            <w:pPr>
              <w:pStyle w:val="40"/>
              <w:ind w:firstLine="422"/>
              <w:rPr>
                <w:rFonts w:ascii="Times New Roman"/>
              </w:rPr>
            </w:pPr>
          </w:p>
        </w:tc>
        <w:tc>
          <w:tcPr>
            <w:tcW w:w="4256" w:type="dxa"/>
            <w:gridSpan w:val="5"/>
          </w:tcPr>
          <w:p w14:paraId="3B799362">
            <w:pPr>
              <w:pStyle w:val="40"/>
              <w:rPr>
                <w:rFonts w:ascii="Times New Roman"/>
              </w:rPr>
            </w:pPr>
          </w:p>
        </w:tc>
        <w:tc>
          <w:tcPr>
            <w:tcW w:w="1926" w:type="dxa"/>
            <w:gridSpan w:val="2"/>
          </w:tcPr>
          <w:p w14:paraId="5CB410B5">
            <w:pPr>
              <w:pStyle w:val="40"/>
              <w:rPr>
                <w:rFonts w:ascii="Times New Roman"/>
              </w:rPr>
            </w:pPr>
          </w:p>
        </w:tc>
        <w:tc>
          <w:tcPr>
            <w:tcW w:w="1284" w:type="dxa"/>
          </w:tcPr>
          <w:p w14:paraId="472E6D57">
            <w:pPr>
              <w:pStyle w:val="40"/>
              <w:rPr>
                <w:rFonts w:ascii="Times New Roman"/>
              </w:rPr>
            </w:pPr>
          </w:p>
        </w:tc>
      </w:tr>
      <w:tr w14:paraId="4AFB4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3" w:type="dxa"/>
          </w:tcPr>
          <w:p w14:paraId="5BAD4510">
            <w:pPr>
              <w:pStyle w:val="40"/>
              <w:ind w:firstLine="422"/>
              <w:rPr>
                <w:rFonts w:ascii="Times New Roman"/>
              </w:rPr>
            </w:pPr>
          </w:p>
        </w:tc>
        <w:tc>
          <w:tcPr>
            <w:tcW w:w="4256" w:type="dxa"/>
            <w:gridSpan w:val="5"/>
          </w:tcPr>
          <w:p w14:paraId="62F67DDD">
            <w:pPr>
              <w:pStyle w:val="40"/>
              <w:rPr>
                <w:rFonts w:ascii="Times New Roman"/>
              </w:rPr>
            </w:pPr>
          </w:p>
        </w:tc>
        <w:tc>
          <w:tcPr>
            <w:tcW w:w="1926" w:type="dxa"/>
            <w:gridSpan w:val="2"/>
          </w:tcPr>
          <w:p w14:paraId="6B3BE228">
            <w:pPr>
              <w:pStyle w:val="40"/>
              <w:rPr>
                <w:rFonts w:ascii="Times New Roman"/>
              </w:rPr>
            </w:pPr>
          </w:p>
        </w:tc>
        <w:tc>
          <w:tcPr>
            <w:tcW w:w="1284" w:type="dxa"/>
          </w:tcPr>
          <w:p w14:paraId="4FFB8A53">
            <w:pPr>
              <w:pStyle w:val="40"/>
              <w:rPr>
                <w:rFonts w:ascii="Times New Roman"/>
              </w:rPr>
            </w:pPr>
          </w:p>
        </w:tc>
      </w:tr>
      <w:tr w14:paraId="6B96D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jc w:val="center"/>
        </w:trPr>
        <w:tc>
          <w:tcPr>
            <w:tcW w:w="1263" w:type="dxa"/>
          </w:tcPr>
          <w:p w14:paraId="7EB8EDDD">
            <w:pPr>
              <w:pStyle w:val="40"/>
              <w:ind w:firstLine="422"/>
              <w:rPr>
                <w:rFonts w:ascii="Times New Roman"/>
              </w:rPr>
            </w:pPr>
          </w:p>
        </w:tc>
        <w:tc>
          <w:tcPr>
            <w:tcW w:w="4256" w:type="dxa"/>
            <w:gridSpan w:val="5"/>
          </w:tcPr>
          <w:p w14:paraId="6938EE8E">
            <w:pPr>
              <w:pStyle w:val="40"/>
              <w:rPr>
                <w:rFonts w:ascii="Times New Roman"/>
              </w:rPr>
            </w:pPr>
          </w:p>
        </w:tc>
        <w:tc>
          <w:tcPr>
            <w:tcW w:w="1926" w:type="dxa"/>
            <w:gridSpan w:val="2"/>
          </w:tcPr>
          <w:p w14:paraId="381C1323">
            <w:pPr>
              <w:pStyle w:val="40"/>
              <w:rPr>
                <w:rFonts w:ascii="Times New Roman"/>
              </w:rPr>
            </w:pPr>
          </w:p>
        </w:tc>
        <w:tc>
          <w:tcPr>
            <w:tcW w:w="1284" w:type="dxa"/>
          </w:tcPr>
          <w:p w14:paraId="11098C84">
            <w:pPr>
              <w:pStyle w:val="40"/>
              <w:rPr>
                <w:rFonts w:ascii="Times New Roman"/>
              </w:rPr>
            </w:pPr>
          </w:p>
        </w:tc>
      </w:tr>
      <w:tr w14:paraId="7764E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jc w:val="center"/>
        </w:trPr>
        <w:tc>
          <w:tcPr>
            <w:tcW w:w="2639" w:type="dxa"/>
            <w:gridSpan w:val="2"/>
          </w:tcPr>
          <w:p w14:paraId="4C865D53">
            <w:pPr>
              <w:pStyle w:val="40"/>
              <w:spacing w:before="9"/>
              <w:ind w:firstLine="360"/>
              <w:rPr>
                <w:rFonts w:ascii="新宋体"/>
                <w:b/>
                <w:sz w:val="18"/>
              </w:rPr>
            </w:pPr>
          </w:p>
          <w:p w14:paraId="35617A77">
            <w:pPr>
              <w:pStyle w:val="40"/>
              <w:spacing w:line="276" w:lineRule="exact"/>
              <w:ind w:left="896" w:firstLine="422"/>
            </w:pPr>
            <w:r>
              <w:t>获奖情况</w:t>
            </w:r>
          </w:p>
        </w:tc>
        <w:tc>
          <w:tcPr>
            <w:tcW w:w="6090" w:type="dxa"/>
            <w:gridSpan w:val="7"/>
          </w:tcPr>
          <w:p w14:paraId="2CC7F4F1">
            <w:pPr>
              <w:pStyle w:val="40"/>
              <w:rPr>
                <w:rFonts w:ascii="Times New Roman"/>
              </w:rPr>
            </w:pPr>
          </w:p>
        </w:tc>
      </w:tr>
      <w:tr w14:paraId="11EE7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 w:hRule="atLeast"/>
          <w:jc w:val="center"/>
        </w:trPr>
        <w:tc>
          <w:tcPr>
            <w:tcW w:w="2639" w:type="dxa"/>
            <w:gridSpan w:val="2"/>
          </w:tcPr>
          <w:p w14:paraId="7BFA7ABE">
            <w:pPr>
              <w:pStyle w:val="40"/>
              <w:ind w:firstLine="420"/>
              <w:rPr>
                <w:rFonts w:ascii="新宋体"/>
                <w:b/>
              </w:rPr>
            </w:pPr>
          </w:p>
          <w:p w14:paraId="1C0ED263">
            <w:pPr>
              <w:pStyle w:val="40"/>
              <w:spacing w:before="10"/>
              <w:ind w:firstLine="640"/>
              <w:rPr>
                <w:rFonts w:ascii="新宋体"/>
                <w:b/>
                <w:sz w:val="32"/>
              </w:rPr>
            </w:pPr>
          </w:p>
          <w:p w14:paraId="696AE88B">
            <w:pPr>
              <w:pStyle w:val="40"/>
              <w:ind w:left="706" w:firstLine="422"/>
            </w:pPr>
            <w:r>
              <w:t>说明在岗情况</w:t>
            </w:r>
          </w:p>
        </w:tc>
        <w:tc>
          <w:tcPr>
            <w:tcW w:w="6090" w:type="dxa"/>
            <w:gridSpan w:val="7"/>
          </w:tcPr>
          <w:p w14:paraId="36F4E195">
            <w:pPr>
              <w:pStyle w:val="40"/>
              <w:numPr>
                <w:ilvl w:val="0"/>
                <w:numId w:val="13"/>
              </w:numPr>
              <w:tabs>
                <w:tab w:val="left" w:pos="423"/>
                <w:tab w:val="left" w:pos="5418"/>
              </w:tabs>
              <w:spacing w:before="140"/>
              <w:ind w:left="423" w:firstLine="422"/>
            </w:pPr>
            <w:r>
              <w:t>目前未在其他项目上任职，现从事工作为：</w:t>
            </w:r>
            <w:r>
              <w:rPr>
                <w:rFonts w:ascii="Times New Roman" w:hAnsi="Times New Roman" w:eastAsia="Times New Roman"/>
                <w:u w:val="single"/>
              </w:rPr>
              <w:tab/>
            </w:r>
            <w:r>
              <w:t>。</w:t>
            </w:r>
          </w:p>
          <w:p w14:paraId="0D8BC309">
            <w:pPr>
              <w:pStyle w:val="40"/>
              <w:numPr>
                <w:ilvl w:val="0"/>
                <w:numId w:val="13"/>
              </w:numPr>
              <w:tabs>
                <w:tab w:val="left" w:pos="474"/>
                <w:tab w:val="left" w:pos="3225"/>
                <w:tab w:val="left" w:pos="5346"/>
              </w:tabs>
              <w:spacing w:before="128" w:line="350" w:lineRule="atLeast"/>
              <w:ind w:right="6" w:firstLine="422"/>
            </w:pPr>
            <w:r>
              <w:t>目前虽在其他项目上任职，但本项目中标后能够从该项目撤离，目前任职项目：</w:t>
            </w:r>
            <w:r>
              <w:tab/>
            </w:r>
            <w:r>
              <w:t>，担任职位：</w:t>
            </w:r>
            <w:r>
              <w:tab/>
            </w:r>
            <w:r>
              <w:t>。</w:t>
            </w:r>
          </w:p>
        </w:tc>
      </w:tr>
      <w:tr w14:paraId="5D6D9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1" w:hRule="atLeast"/>
          <w:jc w:val="center"/>
        </w:trPr>
        <w:tc>
          <w:tcPr>
            <w:tcW w:w="2639" w:type="dxa"/>
            <w:gridSpan w:val="2"/>
          </w:tcPr>
          <w:p w14:paraId="37083EEA">
            <w:pPr>
              <w:pStyle w:val="40"/>
              <w:ind w:firstLine="620"/>
              <w:rPr>
                <w:rFonts w:ascii="新宋体"/>
                <w:b/>
                <w:sz w:val="31"/>
              </w:rPr>
            </w:pPr>
          </w:p>
          <w:p w14:paraId="2AE56967">
            <w:pPr>
              <w:pStyle w:val="40"/>
              <w:ind w:right="174" w:firstLine="660" w:firstLineChars="300"/>
              <w:jc w:val="both"/>
            </w:pPr>
          </w:p>
          <w:p w14:paraId="32A9F61E">
            <w:pPr>
              <w:pStyle w:val="40"/>
              <w:ind w:right="174" w:firstLine="422"/>
              <w:jc w:val="center"/>
            </w:pPr>
            <w:r>
              <w:t>备注</w:t>
            </w:r>
          </w:p>
        </w:tc>
        <w:tc>
          <w:tcPr>
            <w:tcW w:w="6090" w:type="dxa"/>
            <w:gridSpan w:val="7"/>
          </w:tcPr>
          <w:p w14:paraId="741BE2EF">
            <w:pPr>
              <w:pStyle w:val="40"/>
              <w:rPr>
                <w:rFonts w:ascii="Times New Roman"/>
              </w:rPr>
            </w:pPr>
          </w:p>
        </w:tc>
      </w:tr>
    </w:tbl>
    <w:p w14:paraId="33A9E717">
      <w:pPr>
        <w:pStyle w:val="12"/>
        <w:spacing w:before="189"/>
        <w:ind w:firstLine="630" w:firstLineChars="300"/>
      </w:pPr>
      <w:r>
        <w:t>注：</w:t>
      </w:r>
      <w:r>
        <w:rPr>
          <w:rFonts w:hint="eastAsia"/>
        </w:rPr>
        <w:t>1.</w:t>
      </w:r>
      <w:r>
        <w:t>本表应填写项目经总工关情况，，可以根据项目情况增减表格内容。</w:t>
      </w:r>
    </w:p>
    <w:p w14:paraId="30F6DCC5">
      <w:pPr>
        <w:pStyle w:val="12"/>
        <w:spacing w:before="2"/>
        <w:ind w:firstLine="341"/>
        <w:rPr>
          <w:sz w:val="17"/>
        </w:rPr>
      </w:pPr>
    </w:p>
    <w:p w14:paraId="54FCE58A">
      <w:pPr>
        <w:pStyle w:val="39"/>
        <w:tabs>
          <w:tab w:val="left" w:pos="800"/>
        </w:tabs>
        <w:spacing w:line="360" w:lineRule="auto"/>
        <w:ind w:left="480" w:firstLine="210" w:firstLineChars="100"/>
        <w:rPr>
          <w:sz w:val="21"/>
        </w:rPr>
      </w:pPr>
      <w:r>
        <w:rPr>
          <w:rFonts w:hint="eastAsia"/>
          <w:sz w:val="21"/>
        </w:rPr>
        <w:t>2.</w:t>
      </w:r>
      <w:r>
        <w:rPr>
          <w:rFonts w:hint="eastAsia"/>
          <w:sz w:val="21"/>
          <w:lang w:eastAsia="zh-CN"/>
        </w:rPr>
        <w:t>供应商</w:t>
      </w:r>
      <w:r>
        <w:rPr>
          <w:sz w:val="21"/>
        </w:rPr>
        <w:t>应在本表后附项目总工身份证扫描件、注册证扫描件、职称证扫描件、安全生产考核合格证扫描件及由县级以上（含县级）社会养老保险经办机构出具的供应商为项目实施人员交纳的</w:t>
      </w:r>
      <w:r>
        <w:rPr>
          <w:rFonts w:hint="eastAsia"/>
          <w:sz w:val="21"/>
          <w:lang w:eastAsia="zh-CN"/>
        </w:rPr>
        <w:t>响应文件</w:t>
      </w:r>
      <w:r>
        <w:rPr>
          <w:sz w:val="21"/>
        </w:rPr>
        <w:t>递交截止时间前半年内任意连续三个月社保证明扫描件、业绩证明等相关证明材</w:t>
      </w:r>
      <w:r>
        <w:rPr>
          <w:rFonts w:hint="eastAsia"/>
          <w:sz w:val="21"/>
        </w:rPr>
        <w:t>。</w:t>
      </w:r>
    </w:p>
    <w:p w14:paraId="6D1B0561">
      <w:pPr>
        <w:pStyle w:val="39"/>
        <w:tabs>
          <w:tab w:val="left" w:pos="800"/>
        </w:tabs>
        <w:ind w:left="480" w:firstLine="422"/>
        <w:rPr>
          <w:sz w:val="21"/>
        </w:rPr>
      </w:pPr>
    </w:p>
    <w:p w14:paraId="41CBB0F7">
      <w:pPr>
        <w:pStyle w:val="39"/>
        <w:tabs>
          <w:tab w:val="left" w:pos="800"/>
        </w:tabs>
        <w:ind w:left="480" w:firstLine="422"/>
        <w:rPr>
          <w:sz w:val="21"/>
        </w:rPr>
      </w:pPr>
    </w:p>
    <w:p w14:paraId="193CC5A0">
      <w:pPr>
        <w:pStyle w:val="39"/>
        <w:tabs>
          <w:tab w:val="left" w:pos="800"/>
        </w:tabs>
        <w:ind w:left="480" w:firstLine="422"/>
        <w:rPr>
          <w:sz w:val="21"/>
        </w:rPr>
      </w:pPr>
    </w:p>
    <w:p w14:paraId="57B49E65">
      <w:pPr>
        <w:pStyle w:val="39"/>
        <w:tabs>
          <w:tab w:val="left" w:pos="800"/>
        </w:tabs>
        <w:ind w:left="480" w:firstLine="422"/>
        <w:rPr>
          <w:sz w:val="21"/>
        </w:rPr>
      </w:pPr>
    </w:p>
    <w:p w14:paraId="74C2B118">
      <w:pPr>
        <w:pStyle w:val="39"/>
        <w:tabs>
          <w:tab w:val="left" w:pos="800"/>
        </w:tabs>
        <w:ind w:left="480" w:firstLine="422"/>
        <w:rPr>
          <w:sz w:val="21"/>
        </w:rPr>
      </w:pPr>
    </w:p>
    <w:p w14:paraId="17307990">
      <w:pPr>
        <w:pStyle w:val="39"/>
        <w:tabs>
          <w:tab w:val="left" w:pos="800"/>
        </w:tabs>
        <w:ind w:left="0" w:firstLine="422"/>
        <w:rPr>
          <w:b w:val="0"/>
          <w:bCs w:val="0"/>
          <w:sz w:val="21"/>
        </w:rPr>
      </w:pPr>
    </w:p>
    <w:p w14:paraId="418FD511">
      <w:pPr>
        <w:pStyle w:val="39"/>
        <w:tabs>
          <w:tab w:val="left" w:pos="800"/>
        </w:tabs>
        <w:ind w:left="0" w:leftChars="0" w:firstLine="640" w:firstLineChars="200"/>
        <w:rPr>
          <w:b w:val="0"/>
          <w:bCs w:val="0"/>
          <w:sz w:val="32"/>
        </w:rPr>
      </w:pPr>
      <w:r>
        <w:rPr>
          <w:rFonts w:hint="eastAsia"/>
          <w:b w:val="0"/>
          <w:bCs w:val="0"/>
          <w:sz w:val="32"/>
        </w:rPr>
        <w:t>8.供应商参加政府采购活动前3年内在经营活动中没有重大违法记录及有关信用信息的书面声明（必须提供）</w:t>
      </w:r>
    </w:p>
    <w:p w14:paraId="576F3588">
      <w:pPr>
        <w:pStyle w:val="39"/>
        <w:tabs>
          <w:tab w:val="left" w:pos="800"/>
        </w:tabs>
        <w:ind w:left="480" w:firstLine="600"/>
        <w:rPr>
          <w:b w:val="0"/>
          <w:bCs w:val="0"/>
          <w:sz w:val="30"/>
        </w:rPr>
      </w:pPr>
    </w:p>
    <w:p w14:paraId="397632A1">
      <w:pPr>
        <w:spacing w:before="54"/>
        <w:ind w:firstLine="640"/>
        <w:rPr>
          <w:b/>
          <w:sz w:val="32"/>
        </w:rPr>
      </w:pPr>
    </w:p>
    <w:p w14:paraId="076BDF78">
      <w:pPr>
        <w:spacing w:before="54"/>
        <w:ind w:firstLine="643"/>
        <w:rPr>
          <w:sz w:val="35"/>
        </w:rPr>
      </w:pPr>
      <w:r>
        <w:rPr>
          <w:b/>
          <w:sz w:val="32"/>
        </w:rPr>
        <w:t>附件：</w:t>
      </w:r>
    </w:p>
    <w:p w14:paraId="52909E23">
      <w:pPr>
        <w:tabs>
          <w:tab w:val="left" w:pos="1133"/>
        </w:tabs>
        <w:spacing w:before="1"/>
        <w:ind w:left="329" w:firstLine="643"/>
        <w:jc w:val="center"/>
        <w:rPr>
          <w:b/>
          <w:sz w:val="26"/>
        </w:rPr>
      </w:pPr>
      <w:r>
        <w:rPr>
          <w:b/>
          <w:sz w:val="32"/>
        </w:rPr>
        <w:t>声</w:t>
      </w:r>
      <w:r>
        <w:rPr>
          <w:b/>
          <w:sz w:val="32"/>
        </w:rPr>
        <w:tab/>
      </w:r>
      <w:r>
        <w:rPr>
          <w:b/>
          <w:sz w:val="32"/>
        </w:rPr>
        <w:t>明（格式）</w:t>
      </w:r>
    </w:p>
    <w:p w14:paraId="294A3877">
      <w:pPr>
        <w:pStyle w:val="12"/>
        <w:spacing w:before="113"/>
        <w:ind w:left="480" w:firstLine="422"/>
        <w:rPr>
          <w:rFonts w:hint="eastAsia" w:eastAsia="宋体"/>
          <w:lang w:eastAsia="zh-CN"/>
        </w:rPr>
      </w:pPr>
      <w:r>
        <w:rPr>
          <w:b/>
        </w:rPr>
        <w:t>致</w:t>
      </w:r>
      <w:r>
        <w:t>：</w:t>
      </w:r>
      <w:r>
        <w:rPr>
          <w:rFonts w:hint="eastAsia"/>
          <w:u w:val="single"/>
          <w:lang w:eastAsia="zh-CN"/>
        </w:rPr>
        <w:t>广西壮族自治区临桂公路养护中心</w:t>
      </w:r>
    </w:p>
    <w:p w14:paraId="64A101CB">
      <w:pPr>
        <w:pStyle w:val="12"/>
        <w:ind w:firstLine="520"/>
        <w:rPr>
          <w:b/>
          <w:sz w:val="26"/>
        </w:rPr>
      </w:pPr>
    </w:p>
    <w:p w14:paraId="1437C04B">
      <w:pPr>
        <w:pStyle w:val="12"/>
        <w:spacing w:before="70" w:line="357" w:lineRule="auto"/>
        <w:ind w:left="480" w:right="796" w:firstLine="422"/>
        <w:jc w:val="both"/>
      </w:pPr>
      <w: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3F2DD9A">
      <w:pPr>
        <w:pStyle w:val="12"/>
        <w:ind w:firstLine="402"/>
        <w:rPr>
          <w:sz w:val="20"/>
        </w:rPr>
      </w:pPr>
    </w:p>
    <w:p w14:paraId="2CF2A9CF">
      <w:pPr>
        <w:pStyle w:val="12"/>
        <w:spacing w:before="140"/>
        <w:ind w:right="1627"/>
        <w:jc w:val="center"/>
      </w:pPr>
      <w:r>
        <w:t>磋商供应商[公章(CA签章)自然人签字或个人CA签章]：</w:t>
      </w:r>
    </w:p>
    <w:p w14:paraId="23990D74">
      <w:pPr>
        <w:pStyle w:val="12"/>
        <w:tabs>
          <w:tab w:val="left" w:pos="1991"/>
        </w:tabs>
        <w:spacing w:before="131"/>
        <w:ind w:left="731"/>
        <w:jc w:val="center"/>
      </w:pPr>
      <w:r>
        <w:t>日</w:t>
      </w:r>
      <w:r>
        <w:tab/>
      </w:r>
      <w:r>
        <w:t>期：</w:t>
      </w:r>
    </w:p>
    <w:p w14:paraId="19A0C890">
      <w:pPr>
        <w:pStyle w:val="12"/>
        <w:ind w:firstLine="402"/>
        <w:rPr>
          <w:sz w:val="20"/>
        </w:rPr>
      </w:pPr>
    </w:p>
    <w:p w14:paraId="01FA3C97">
      <w:pPr>
        <w:pStyle w:val="12"/>
        <w:ind w:firstLine="402"/>
        <w:rPr>
          <w:sz w:val="20"/>
        </w:rPr>
      </w:pPr>
    </w:p>
    <w:p w14:paraId="2A3D94E3">
      <w:pPr>
        <w:pStyle w:val="12"/>
        <w:ind w:firstLine="402"/>
        <w:rPr>
          <w:sz w:val="20"/>
        </w:rPr>
      </w:pPr>
    </w:p>
    <w:p w14:paraId="26FDF0A2">
      <w:pPr>
        <w:pStyle w:val="12"/>
        <w:ind w:firstLine="402"/>
        <w:rPr>
          <w:sz w:val="20"/>
        </w:rPr>
      </w:pPr>
    </w:p>
    <w:p w14:paraId="01574C72">
      <w:pPr>
        <w:pStyle w:val="12"/>
        <w:spacing w:before="7"/>
        <w:ind w:firstLine="361"/>
        <w:rPr>
          <w:b w:val="0"/>
          <w:bCs w:val="0"/>
          <w:sz w:val="18"/>
        </w:rPr>
      </w:pPr>
    </w:p>
    <w:p w14:paraId="0ADF1662">
      <w:pPr>
        <w:pStyle w:val="10"/>
        <w:spacing w:line="242" w:lineRule="auto"/>
        <w:ind w:left="480" w:right="800" w:firstLine="422"/>
        <w:jc w:val="both"/>
        <w:rPr>
          <w:b w:val="0"/>
          <w:bCs w:val="0"/>
        </w:rPr>
      </w:pPr>
      <w:r>
        <w:rPr>
          <w:b w:val="0"/>
          <w:bCs w:val="0"/>
        </w:rPr>
        <w:t>注：供应商参加政府采购活动前3年内在经营活动中没有重大违法记录及有关信用信息的书面声明须由法定代表人(负责人、自然人)或相应的委托代理人签字（或个人CA证书签章）并加盖供应商公章（CA证书签章）。</w:t>
      </w:r>
    </w:p>
    <w:p w14:paraId="4D5086B8">
      <w:pPr>
        <w:pStyle w:val="12"/>
        <w:spacing w:before="3"/>
        <w:ind w:firstLine="380"/>
        <w:rPr>
          <w:b w:val="0"/>
          <w:bCs w:val="0"/>
          <w:sz w:val="19"/>
        </w:rPr>
      </w:pPr>
    </w:p>
    <w:p w14:paraId="42CC60A4">
      <w:pPr>
        <w:pStyle w:val="12"/>
        <w:spacing w:before="3"/>
        <w:ind w:firstLine="380"/>
        <w:rPr>
          <w:b w:val="0"/>
          <w:bCs w:val="0"/>
          <w:sz w:val="19"/>
        </w:rPr>
      </w:pPr>
    </w:p>
    <w:p w14:paraId="4C88FCFF">
      <w:pPr>
        <w:pStyle w:val="12"/>
        <w:spacing w:before="3"/>
        <w:ind w:firstLine="380"/>
        <w:rPr>
          <w:b w:val="0"/>
          <w:bCs w:val="0"/>
          <w:sz w:val="19"/>
        </w:rPr>
      </w:pPr>
    </w:p>
    <w:p w14:paraId="54E94897">
      <w:pPr>
        <w:pStyle w:val="12"/>
        <w:spacing w:before="3"/>
        <w:ind w:firstLine="380"/>
        <w:rPr>
          <w:b w:val="0"/>
          <w:bCs w:val="0"/>
          <w:sz w:val="19"/>
        </w:rPr>
      </w:pPr>
    </w:p>
    <w:p w14:paraId="2ED95132">
      <w:pPr>
        <w:pStyle w:val="12"/>
        <w:spacing w:before="3"/>
        <w:rPr>
          <w:b w:val="0"/>
          <w:bCs w:val="0"/>
          <w:sz w:val="19"/>
        </w:rPr>
      </w:pPr>
    </w:p>
    <w:p w14:paraId="0DA92A0E">
      <w:pPr>
        <w:pStyle w:val="12"/>
        <w:spacing w:before="3"/>
        <w:ind w:firstLine="420"/>
        <w:rPr>
          <w:rFonts w:ascii="微软雅黑" w:hAnsi="微软雅黑" w:eastAsia="微软雅黑" w:cs="微软雅黑"/>
          <w:b w:val="0"/>
          <w:bCs w:val="0"/>
        </w:rPr>
      </w:pPr>
    </w:p>
    <w:p w14:paraId="6AFC3CF9">
      <w:pPr>
        <w:pStyle w:val="12"/>
        <w:spacing w:before="3"/>
        <w:ind w:firstLine="3780" w:firstLineChars="1800"/>
        <w:rPr>
          <w:rFonts w:ascii="微软雅黑" w:hAnsi="微软雅黑" w:eastAsia="微软雅黑" w:cs="微软雅黑"/>
          <w:b w:val="0"/>
          <w:bCs w:val="0"/>
        </w:rPr>
      </w:pPr>
    </w:p>
    <w:p w14:paraId="6DF942ED">
      <w:pPr>
        <w:pStyle w:val="39"/>
        <w:tabs>
          <w:tab w:val="left" w:pos="800"/>
        </w:tabs>
        <w:ind w:left="0" w:leftChars="0" w:firstLine="640" w:firstLineChars="200"/>
        <w:rPr>
          <w:b w:val="0"/>
          <w:bCs w:val="0"/>
          <w:sz w:val="32"/>
        </w:rPr>
      </w:pPr>
      <w:r>
        <w:rPr>
          <w:rFonts w:hint="eastAsia"/>
          <w:b w:val="0"/>
          <w:bCs w:val="0"/>
          <w:sz w:val="32"/>
        </w:rPr>
        <w:t>9.供应商202</w:t>
      </w:r>
      <w:r>
        <w:rPr>
          <w:rFonts w:hint="eastAsia"/>
          <w:b w:val="0"/>
          <w:bCs w:val="0"/>
          <w:sz w:val="32"/>
          <w:lang w:val="en-US" w:eastAsia="zh-CN"/>
        </w:rPr>
        <w:t>1</w:t>
      </w:r>
      <w:r>
        <w:rPr>
          <w:rFonts w:hint="eastAsia"/>
          <w:b w:val="0"/>
          <w:bCs w:val="0"/>
          <w:sz w:val="32"/>
        </w:rPr>
        <w:t>-202</w:t>
      </w:r>
      <w:r>
        <w:rPr>
          <w:rFonts w:hint="eastAsia"/>
          <w:b w:val="0"/>
          <w:bCs w:val="0"/>
          <w:sz w:val="32"/>
          <w:lang w:val="en-US" w:eastAsia="zh-CN"/>
        </w:rPr>
        <w:t>3</w:t>
      </w:r>
      <w:r>
        <w:rPr>
          <w:rFonts w:hint="eastAsia"/>
          <w:b w:val="0"/>
          <w:bCs w:val="0"/>
          <w:sz w:val="32"/>
        </w:rPr>
        <w:t>年度以来通过中介审计的有效财务审计报告（新成立的公司应提供公司成立日之后的财务报表扫描件）（必须提供）；</w:t>
      </w:r>
    </w:p>
    <w:p w14:paraId="44FC5596">
      <w:pPr>
        <w:pStyle w:val="12"/>
        <w:spacing w:before="3"/>
        <w:ind w:firstLine="3780" w:firstLineChars="1800"/>
        <w:rPr>
          <w:rFonts w:ascii="微软雅黑" w:hAnsi="微软雅黑" w:eastAsia="微软雅黑" w:cs="微软雅黑"/>
          <w:b w:val="0"/>
          <w:bCs w:val="0"/>
        </w:rPr>
      </w:pPr>
    </w:p>
    <w:p w14:paraId="6EB1C6E0">
      <w:pPr>
        <w:pStyle w:val="12"/>
        <w:spacing w:before="3"/>
        <w:ind w:firstLine="3780" w:firstLineChars="1800"/>
        <w:rPr>
          <w:rFonts w:ascii="微软雅黑" w:hAnsi="微软雅黑" w:eastAsia="微软雅黑" w:cs="微软雅黑"/>
          <w:b w:val="0"/>
          <w:bCs w:val="0"/>
        </w:rPr>
      </w:pPr>
    </w:p>
    <w:p w14:paraId="7EC3E79D">
      <w:pPr>
        <w:pStyle w:val="12"/>
        <w:spacing w:before="3"/>
        <w:ind w:firstLine="420"/>
        <w:rPr>
          <w:rFonts w:ascii="微软雅黑" w:hAnsi="微软雅黑" w:eastAsia="微软雅黑" w:cs="微软雅黑"/>
          <w:b w:val="0"/>
          <w:bCs w:val="0"/>
        </w:rPr>
      </w:pPr>
    </w:p>
    <w:p w14:paraId="6E913120">
      <w:pPr>
        <w:pStyle w:val="12"/>
        <w:spacing w:before="3"/>
        <w:ind w:firstLine="420"/>
        <w:rPr>
          <w:rFonts w:ascii="微软雅黑" w:hAnsi="微软雅黑" w:eastAsia="微软雅黑" w:cs="微软雅黑"/>
          <w:b w:val="0"/>
          <w:bCs w:val="0"/>
        </w:rPr>
      </w:pPr>
    </w:p>
    <w:p w14:paraId="3AF52E52">
      <w:pPr>
        <w:pStyle w:val="12"/>
        <w:spacing w:before="3"/>
        <w:ind w:firstLine="420"/>
        <w:rPr>
          <w:rFonts w:ascii="微软雅黑" w:hAnsi="微软雅黑" w:eastAsia="微软雅黑" w:cs="微软雅黑"/>
          <w:b w:val="0"/>
          <w:bCs w:val="0"/>
        </w:rPr>
      </w:pPr>
    </w:p>
    <w:p w14:paraId="666BE67B">
      <w:pPr>
        <w:pStyle w:val="12"/>
        <w:spacing w:before="3"/>
        <w:ind w:firstLine="3780" w:firstLineChars="1800"/>
        <w:rPr>
          <w:rFonts w:ascii="微软雅黑" w:hAnsi="微软雅黑" w:eastAsia="微软雅黑" w:cs="微软雅黑"/>
          <w:b w:val="0"/>
          <w:bCs w:val="0"/>
        </w:rPr>
      </w:pPr>
    </w:p>
    <w:p w14:paraId="612CE017">
      <w:pPr>
        <w:pStyle w:val="39"/>
        <w:tabs>
          <w:tab w:val="left" w:pos="800"/>
        </w:tabs>
        <w:ind w:left="0" w:leftChars="0" w:firstLine="640" w:firstLineChars="200"/>
        <w:rPr>
          <w:b w:val="0"/>
          <w:bCs w:val="0"/>
          <w:sz w:val="32"/>
        </w:rPr>
      </w:pPr>
      <w:r>
        <w:rPr>
          <w:rFonts w:hint="eastAsia"/>
          <w:b w:val="0"/>
          <w:bCs w:val="0"/>
          <w:sz w:val="32"/>
        </w:rPr>
        <w:t>10.本项目专门面向中小微企业采购。(监狱企业或残疾人福利性单位)的相关材料；根据企业所属类型，必须提供以下材料之一：</w:t>
      </w:r>
    </w:p>
    <w:p w14:paraId="0A76295B">
      <w:pPr>
        <w:pStyle w:val="12"/>
        <w:spacing w:before="102" w:line="357" w:lineRule="auto"/>
        <w:ind w:right="799" w:firstLine="420" w:firstLineChars="200"/>
      </w:pPr>
      <w:r>
        <w:rPr>
          <w:b w:val="0"/>
          <w:bCs w:val="0"/>
        </w:rPr>
        <w:t>①中小企业声明函（如供应商为中小微型企业的，格式见附件，供应商对出具的</w:t>
      </w:r>
      <w:r>
        <w:t>声明函真实性负责，成交结果将同时公告企业《中小企业声明函》，接受社会监督）；</w:t>
      </w:r>
    </w:p>
    <w:p w14:paraId="058E4787">
      <w:pPr>
        <w:pStyle w:val="12"/>
        <w:spacing w:line="355" w:lineRule="auto"/>
        <w:ind w:right="800" w:firstLine="420" w:firstLineChars="200"/>
      </w:pPr>
      <w:r>
        <w:t>②监狱企业的证明文件[供应商如为监狱企业的，应当提供由省级以上监狱管理局、戒毒管理局（含新疆生产建设兵团）出具的属于监狱企业的证明文件,否则不予享受优惠政策]；</w:t>
      </w:r>
    </w:p>
    <w:p w14:paraId="4B546DE9">
      <w:pPr>
        <w:pStyle w:val="12"/>
        <w:spacing w:before="3" w:line="357" w:lineRule="auto"/>
        <w:ind w:right="796" w:firstLine="420" w:firstLineChars="200"/>
        <w:jc w:val="both"/>
      </w:pPr>
      <w:r>
        <w:t>③《残疾人福利性单位声明函》【符合条件的残疾人福利性单位在参加政府采购活动时，应当提供《残疾人福利性单位声明函》（格式见附件），并对声明的真实性负责，成交结果将同时公告企业《残疾人福利性单位声明函》，接受社会监督】。</w:t>
      </w:r>
    </w:p>
    <w:p w14:paraId="09F481F4">
      <w:pPr>
        <w:pStyle w:val="12"/>
        <w:spacing w:before="76" w:line="446" w:lineRule="auto"/>
        <w:ind w:right="799" w:firstLine="420" w:firstLineChars="200"/>
      </w:pPr>
      <w:r>
        <w:t>注：本项目专门面向中小微企业采购（监狱企业及残疾人福利性单位视同于小微企业），本项目不接受非上述企业参与磋商。）</w:t>
      </w:r>
    </w:p>
    <w:p w14:paraId="501234AE">
      <w:pPr>
        <w:spacing w:line="446" w:lineRule="auto"/>
        <w:ind w:firstLine="422"/>
        <w:sectPr>
          <w:footerReference r:id="rId13" w:type="default"/>
          <w:type w:val="continuous"/>
          <w:pgSz w:w="11910" w:h="16840"/>
          <w:pgMar w:top="1134" w:right="1134" w:bottom="1134" w:left="1134" w:header="0" w:footer="954" w:gutter="0"/>
          <w:cols w:space="720" w:num="1"/>
        </w:sectPr>
      </w:pPr>
    </w:p>
    <w:p w14:paraId="0D608641">
      <w:pPr>
        <w:ind w:firstLine="422"/>
        <w:rPr>
          <w:b/>
          <w:bCs/>
        </w:rPr>
      </w:pPr>
      <w:r>
        <w:rPr>
          <w:b/>
          <w:bCs/>
        </w:rPr>
        <w:t>附件：</w:t>
      </w:r>
    </w:p>
    <w:p w14:paraId="1CDB7FA1">
      <w:pPr>
        <w:jc w:val="center"/>
        <w:rPr>
          <w:b/>
          <w:bCs/>
          <w:sz w:val="30"/>
          <w:szCs w:val="30"/>
        </w:rPr>
      </w:pPr>
      <w:r>
        <w:rPr>
          <w:b/>
          <w:bCs/>
          <w:sz w:val="30"/>
          <w:szCs w:val="30"/>
        </w:rPr>
        <w:t>中小企业声明函（格式）</w:t>
      </w:r>
    </w:p>
    <w:p w14:paraId="7B80F309">
      <w:pPr>
        <w:pStyle w:val="12"/>
        <w:spacing w:before="11"/>
        <w:ind w:firstLine="280"/>
        <w:rPr>
          <w:b/>
          <w:sz w:val="14"/>
        </w:rPr>
      </w:pPr>
    </w:p>
    <w:p w14:paraId="05E2D53C">
      <w:pPr>
        <w:pStyle w:val="8"/>
        <w:tabs>
          <w:tab w:val="left" w:pos="5939"/>
          <w:tab w:val="left" w:pos="7259"/>
        </w:tabs>
        <w:spacing w:before="67" w:line="249" w:lineRule="auto"/>
        <w:ind w:left="0" w:leftChars="0" w:right="797" w:firstLine="480" w:firstLineChars="200"/>
      </w:pPr>
      <w:r>
        <w:t>本公司（联合体）郑重声明，根据《政府采购促进中小企业发展暂行办法》（财库[2020]46号）的规定，本公司（联合体）参加</w:t>
      </w:r>
      <w:r>
        <w:rPr>
          <w:u w:val="single"/>
        </w:rPr>
        <w:t>（</w:t>
      </w:r>
      <w:r>
        <w:rPr>
          <w:u w:val="single"/>
        </w:rPr>
        <w:tab/>
      </w:r>
      <w:r>
        <w:rPr>
          <w:u w:val="single"/>
        </w:rPr>
        <w:t>单位名称</w:t>
      </w:r>
      <w:r>
        <w:rPr>
          <w:u w:val="single"/>
        </w:rPr>
        <w:tab/>
      </w:r>
      <w:r>
        <w:rPr>
          <w:u w:val="single"/>
        </w:rPr>
        <w:t>）</w:t>
      </w:r>
      <w:r>
        <w:t>的_</w:t>
      </w:r>
      <w:r>
        <w:rPr>
          <w:u w:val="single"/>
        </w:rPr>
        <w:t>（项目名称）_</w:t>
      </w:r>
      <w:r>
        <w:t>采购活动，服务全部由符合政策要求的中小企业承接。相关企业（含联合体中的中小企业、签订分包意向协议的中小企业）的具体情况如下：</w:t>
      </w:r>
    </w:p>
    <w:p w14:paraId="4F7AF48E">
      <w:pPr>
        <w:pStyle w:val="12"/>
        <w:spacing w:before="11"/>
        <w:ind w:firstLine="361"/>
        <w:rPr>
          <w:sz w:val="18"/>
        </w:rPr>
      </w:pPr>
    </w:p>
    <w:p w14:paraId="1E6EDAD3">
      <w:pPr>
        <w:pStyle w:val="8"/>
        <w:numPr>
          <w:ilvl w:val="0"/>
          <w:numId w:val="0"/>
        </w:numPr>
        <w:tabs>
          <w:tab w:val="left" w:pos="1200"/>
          <w:tab w:val="left" w:pos="1559"/>
          <w:tab w:val="left" w:pos="1667"/>
          <w:tab w:val="left" w:pos="3812"/>
        </w:tabs>
        <w:spacing w:line="249" w:lineRule="auto"/>
        <w:ind w:right="677" w:rightChars="0" w:firstLine="480" w:firstLineChars="200"/>
        <w:rPr>
          <w:sz w:val="22"/>
        </w:rPr>
      </w:pPr>
      <w:r>
        <w:rPr>
          <w:rFonts w:hint="eastAsia" w:ascii="Times New Roman" w:eastAsia="宋体"/>
          <w:u w:val="single"/>
          <w:lang w:val="en-US" w:eastAsia="zh-CN"/>
        </w:rPr>
        <w:t>1、</w:t>
      </w:r>
      <w:r>
        <w:rPr>
          <w:rFonts w:ascii="Times New Roman" w:eastAsia="Times New Roman"/>
          <w:u w:val="single"/>
        </w:rPr>
        <w:tab/>
      </w:r>
      <w:r>
        <w:rPr>
          <w:rFonts w:ascii="Times New Roman" w:eastAsia="Times New Roman"/>
          <w:u w:val="single"/>
        </w:rPr>
        <w:tab/>
      </w:r>
      <w:r>
        <w:rPr>
          <w:u w:val="single"/>
        </w:rPr>
        <w:t>（标的名称）</w:t>
      </w:r>
      <w:r>
        <w:rPr>
          <w:u w:val="single"/>
        </w:rPr>
        <w:tab/>
      </w:r>
      <w:r>
        <w:t>，属于</w:t>
      </w:r>
      <w:r>
        <w:rPr>
          <w:u w:val="single"/>
        </w:rPr>
        <w:t>（</w:t>
      </w:r>
      <w:r>
        <w:rPr>
          <w:b/>
          <w:u w:val="single"/>
        </w:rPr>
        <w:t>建筑业</w:t>
      </w:r>
      <w:r>
        <w:rPr>
          <w:u w:val="single"/>
        </w:rPr>
        <w:t>）</w:t>
      </w:r>
      <w:r>
        <w:t>；承建（承接）企业为</w:t>
      </w:r>
      <w:r>
        <w:rPr>
          <w:u w:val="single"/>
        </w:rPr>
        <w:t>（企业名称）</w:t>
      </w:r>
      <w:r>
        <w:t>，从业人员人，营业收入为万元，资产总额为万元，属于</w:t>
      </w:r>
      <w:r>
        <w:rPr>
          <w:u w:val="single"/>
        </w:rPr>
        <w:t>（中型企业、小型企业、微型企业）</w:t>
      </w:r>
      <w:r>
        <w:rPr>
          <w:u w:val="single"/>
        </w:rPr>
        <w:tab/>
      </w:r>
      <w:r>
        <w:rPr>
          <w:u w:val="single"/>
        </w:rPr>
        <w:tab/>
      </w:r>
      <w:r>
        <w:t>；</w:t>
      </w:r>
    </w:p>
    <w:p w14:paraId="22EB417B">
      <w:pPr>
        <w:pStyle w:val="12"/>
        <w:spacing w:before="10"/>
        <w:ind w:firstLine="361"/>
        <w:rPr>
          <w:sz w:val="18"/>
        </w:rPr>
      </w:pPr>
    </w:p>
    <w:p w14:paraId="267A882C">
      <w:pPr>
        <w:pStyle w:val="8"/>
        <w:numPr>
          <w:ilvl w:val="0"/>
          <w:numId w:val="0"/>
        </w:numPr>
        <w:tabs>
          <w:tab w:val="left" w:pos="1200"/>
          <w:tab w:val="left" w:pos="1559"/>
          <w:tab w:val="left" w:pos="1667"/>
          <w:tab w:val="left" w:pos="3812"/>
        </w:tabs>
        <w:spacing w:line="249" w:lineRule="auto"/>
        <w:ind w:right="677" w:rightChars="0" w:firstLine="480" w:firstLineChars="200"/>
        <w:rPr>
          <w:sz w:val="22"/>
        </w:rPr>
      </w:pPr>
      <w:r>
        <w:rPr>
          <w:rFonts w:hint="eastAsia" w:ascii="Times New Roman" w:eastAsia="宋体"/>
          <w:u w:val="single"/>
          <w:lang w:val="en-US" w:eastAsia="zh-CN"/>
        </w:rPr>
        <w:t>2、</w:t>
      </w:r>
      <w:r>
        <w:rPr>
          <w:rFonts w:ascii="Times New Roman" w:eastAsia="Times New Roman"/>
          <w:u w:val="single"/>
        </w:rPr>
        <w:tab/>
      </w:r>
      <w:r>
        <w:rPr>
          <w:rFonts w:ascii="Times New Roman" w:eastAsia="Times New Roman"/>
          <w:u w:val="single"/>
        </w:rPr>
        <w:tab/>
      </w:r>
      <w:r>
        <w:rPr>
          <w:u w:val="single"/>
        </w:rPr>
        <w:t>（标的名称）</w:t>
      </w:r>
      <w:r>
        <w:rPr>
          <w:u w:val="single"/>
        </w:rPr>
        <w:tab/>
      </w:r>
      <w:r>
        <w:t>，属于</w:t>
      </w:r>
      <w:r>
        <w:rPr>
          <w:u w:val="single"/>
        </w:rPr>
        <w:t>（</w:t>
      </w:r>
      <w:r>
        <w:rPr>
          <w:b/>
          <w:u w:val="single"/>
        </w:rPr>
        <w:t>建筑业</w:t>
      </w:r>
      <w:r>
        <w:rPr>
          <w:u w:val="single"/>
        </w:rPr>
        <w:t>）</w:t>
      </w:r>
      <w:r>
        <w:t>；承建（承接）企业为</w:t>
      </w:r>
      <w:r>
        <w:rPr>
          <w:u w:val="single"/>
        </w:rPr>
        <w:t>（企业名称）</w:t>
      </w:r>
      <w:r>
        <w:t>，从业人员人，营业收入为万元，资产总额为万元，属于</w:t>
      </w:r>
      <w:r>
        <w:rPr>
          <w:u w:val="single"/>
        </w:rPr>
        <w:t>（中型企业、小型企业、微型企业）</w:t>
      </w:r>
      <w:r>
        <w:rPr>
          <w:u w:val="single"/>
        </w:rPr>
        <w:tab/>
      </w:r>
      <w:r>
        <w:rPr>
          <w:u w:val="single"/>
        </w:rPr>
        <w:tab/>
      </w:r>
      <w:r>
        <w:t>；</w:t>
      </w:r>
    </w:p>
    <w:p w14:paraId="69D31CC4">
      <w:pPr>
        <w:pStyle w:val="12"/>
        <w:spacing w:before="10"/>
        <w:ind w:firstLine="361"/>
        <w:rPr>
          <w:sz w:val="18"/>
        </w:rPr>
      </w:pPr>
    </w:p>
    <w:p w14:paraId="55FD4D6A">
      <w:pPr>
        <w:ind w:firstLine="480" w:firstLineChars="200"/>
        <w:rPr>
          <w:sz w:val="24"/>
        </w:rPr>
      </w:pPr>
      <w:r>
        <w:rPr>
          <w:sz w:val="24"/>
        </w:rPr>
        <w:t>……</w:t>
      </w:r>
    </w:p>
    <w:p w14:paraId="309E0230">
      <w:pPr>
        <w:pStyle w:val="12"/>
        <w:spacing w:before="8"/>
        <w:ind w:firstLine="381"/>
        <w:rPr>
          <w:sz w:val="19"/>
        </w:rPr>
      </w:pPr>
    </w:p>
    <w:p w14:paraId="4B856056">
      <w:pPr>
        <w:pStyle w:val="8"/>
        <w:spacing w:before="1" w:line="249" w:lineRule="auto"/>
        <w:ind w:left="0" w:leftChars="0" w:right="797" w:firstLine="480" w:firstLineChars="200"/>
      </w:pPr>
      <w:r>
        <w:t>以上企业，不属于大企业的分支机构，不存在控股股东为大企业的情形，也不存在与大企业的负责人为同一人的情况。</w:t>
      </w:r>
    </w:p>
    <w:p w14:paraId="32E5E20E">
      <w:pPr>
        <w:pStyle w:val="12"/>
        <w:spacing w:before="10"/>
        <w:ind w:firstLine="361"/>
        <w:rPr>
          <w:sz w:val="18"/>
        </w:rPr>
      </w:pPr>
    </w:p>
    <w:p w14:paraId="3FD6D24B">
      <w:pPr>
        <w:pStyle w:val="8"/>
        <w:ind w:left="0" w:leftChars="0" w:firstLine="480" w:firstLineChars="200"/>
      </w:pPr>
      <w:r>
        <w:t>本企业对上述声明内容的真实性负责。如有虚假，将依法承担相应责任。</w:t>
      </w:r>
    </w:p>
    <w:p w14:paraId="2C31302B">
      <w:pPr>
        <w:pStyle w:val="12"/>
        <w:ind w:firstLine="482"/>
        <w:rPr>
          <w:sz w:val="24"/>
        </w:rPr>
      </w:pPr>
    </w:p>
    <w:p w14:paraId="5841C7E0">
      <w:pPr>
        <w:pStyle w:val="12"/>
        <w:ind w:firstLine="482"/>
        <w:rPr>
          <w:sz w:val="24"/>
        </w:rPr>
      </w:pPr>
    </w:p>
    <w:p w14:paraId="4DC8085B">
      <w:pPr>
        <w:pStyle w:val="8"/>
        <w:tabs>
          <w:tab w:val="left" w:pos="8879"/>
        </w:tabs>
        <w:spacing w:before="196"/>
        <w:ind w:left="3120" w:firstLine="482"/>
      </w:pPr>
      <w:r>
        <w:t>企业名称（加盖供应商CA证书签章）：</w:t>
      </w:r>
      <w:r>
        <w:rPr>
          <w:rFonts w:ascii="Times New Roman" w:eastAsia="Times New Roman"/>
          <w:u w:val="single"/>
        </w:rPr>
        <w:tab/>
      </w:r>
      <w:r>
        <w:rPr>
          <w:u w:val="single"/>
        </w:rPr>
        <w:t>；</w:t>
      </w:r>
    </w:p>
    <w:p w14:paraId="4540076D">
      <w:pPr>
        <w:pStyle w:val="12"/>
        <w:spacing w:before="1"/>
        <w:ind w:firstLine="281"/>
        <w:rPr>
          <w:sz w:val="14"/>
        </w:rPr>
      </w:pPr>
    </w:p>
    <w:p w14:paraId="63ECB436">
      <w:pPr>
        <w:pStyle w:val="8"/>
        <w:tabs>
          <w:tab w:val="left" w:pos="7559"/>
        </w:tabs>
        <w:spacing w:before="74"/>
        <w:ind w:left="5640" w:firstLine="1245" w:firstLineChars="519"/>
      </w:pPr>
      <w:r>
        <w:t>日</w:t>
      </w:r>
      <w:r>
        <w:rPr>
          <w:rFonts w:hint="eastAsia"/>
          <w:lang w:val="en-US" w:eastAsia="zh-CN"/>
        </w:rPr>
        <w:t xml:space="preserve"> </w:t>
      </w:r>
      <w:r>
        <w:t>期：</w:t>
      </w:r>
      <w:r>
        <w:rPr>
          <w:rFonts w:ascii="Times New Roman" w:eastAsia="Times New Roman"/>
          <w:u w:val="single"/>
        </w:rPr>
        <w:tab/>
      </w:r>
      <w:r>
        <w:rPr>
          <w:rFonts w:hint="eastAsia" w:ascii="Times New Roman" w:eastAsia="宋体"/>
          <w:u w:val="single"/>
          <w:lang w:val="en-US" w:eastAsia="zh-CN"/>
        </w:rPr>
        <w:t xml:space="preserve">                </w:t>
      </w:r>
      <w:r>
        <w:rPr>
          <w:u w:val="single"/>
        </w:rPr>
        <w:t>；</w:t>
      </w:r>
    </w:p>
    <w:p w14:paraId="596D2B23">
      <w:pPr>
        <w:pStyle w:val="12"/>
        <w:spacing w:before="1"/>
        <w:ind w:firstLine="522"/>
        <w:rPr>
          <w:rFonts w:hint="eastAsia" w:eastAsia="宋体"/>
          <w:sz w:val="26"/>
          <w:lang w:val="en-US" w:eastAsia="zh-CN"/>
        </w:rPr>
      </w:pPr>
      <w:r>
        <w:rPr>
          <w:rFonts w:hint="eastAsia"/>
          <w:sz w:val="26"/>
          <w:lang w:val="en-US" w:eastAsia="zh-CN"/>
        </w:rPr>
        <w:t xml:space="preserve"> </w:t>
      </w:r>
    </w:p>
    <w:p w14:paraId="29D90151">
      <w:pPr>
        <w:pStyle w:val="10"/>
        <w:spacing w:before="70"/>
        <w:ind w:left="0" w:leftChars="0" w:firstLine="420" w:firstLineChars="200"/>
        <w:rPr>
          <w:b w:val="0"/>
          <w:bCs w:val="0"/>
        </w:rPr>
      </w:pPr>
      <w:r>
        <w:rPr>
          <w:b w:val="0"/>
          <w:bCs w:val="0"/>
        </w:rPr>
        <w:t>注：从业人员、营业收入、资产总额填报上一年度数据，无上一年度数据的新成立企业可不填报。</w:t>
      </w:r>
    </w:p>
    <w:p w14:paraId="5D9642D6">
      <w:pPr>
        <w:pStyle w:val="7"/>
        <w:spacing w:before="140"/>
        <w:ind w:left="0" w:leftChars="0" w:firstLine="480" w:firstLineChars="200"/>
        <w:rPr>
          <w:b w:val="0"/>
          <w:bCs w:val="0"/>
        </w:rPr>
      </w:pPr>
      <w:r>
        <w:rPr>
          <w:b w:val="0"/>
          <w:bCs w:val="0"/>
        </w:rPr>
        <w:t>①本项目所属行业参照《统计上大中小微型企业划分标准表》，</w:t>
      </w:r>
      <w:r>
        <w:rPr>
          <w:b w:val="0"/>
          <w:bCs w:val="0"/>
          <w:u w:val="single"/>
        </w:rPr>
        <w:t>属于“建筑业”</w:t>
      </w:r>
      <w:r>
        <w:rPr>
          <w:b w:val="0"/>
          <w:bCs w:val="0"/>
        </w:rPr>
        <w:t>。</w:t>
      </w:r>
    </w:p>
    <w:p w14:paraId="78308AA1">
      <w:pPr>
        <w:pStyle w:val="12"/>
        <w:ind w:firstLine="480"/>
        <w:rPr>
          <w:b w:val="0"/>
          <w:bCs w:val="0"/>
          <w:sz w:val="24"/>
        </w:rPr>
      </w:pPr>
    </w:p>
    <w:p w14:paraId="11A9BB80">
      <w:pPr>
        <w:pStyle w:val="12"/>
        <w:ind w:firstLine="480"/>
        <w:rPr>
          <w:b/>
          <w:sz w:val="24"/>
        </w:rPr>
      </w:pPr>
    </w:p>
    <w:p w14:paraId="7E33B451">
      <w:pPr>
        <w:pStyle w:val="12"/>
        <w:ind w:firstLine="480"/>
        <w:rPr>
          <w:b/>
          <w:sz w:val="24"/>
        </w:rPr>
      </w:pPr>
    </w:p>
    <w:p w14:paraId="2246486B">
      <w:pPr>
        <w:pStyle w:val="12"/>
        <w:ind w:firstLine="480"/>
        <w:rPr>
          <w:b/>
          <w:sz w:val="24"/>
        </w:rPr>
      </w:pPr>
    </w:p>
    <w:p w14:paraId="534F04F5">
      <w:pPr>
        <w:pStyle w:val="12"/>
        <w:ind w:firstLine="480"/>
        <w:rPr>
          <w:b/>
          <w:sz w:val="24"/>
        </w:rPr>
      </w:pPr>
    </w:p>
    <w:p w14:paraId="1AC319D5">
      <w:pPr>
        <w:pStyle w:val="12"/>
        <w:ind w:firstLine="480"/>
        <w:rPr>
          <w:b/>
          <w:sz w:val="24"/>
        </w:rPr>
      </w:pPr>
    </w:p>
    <w:p w14:paraId="6C3776BC">
      <w:pPr>
        <w:pStyle w:val="12"/>
        <w:ind w:firstLine="480"/>
        <w:rPr>
          <w:b/>
          <w:sz w:val="24"/>
        </w:rPr>
      </w:pPr>
    </w:p>
    <w:p w14:paraId="55BADD64">
      <w:pPr>
        <w:pStyle w:val="12"/>
        <w:ind w:firstLine="480"/>
        <w:rPr>
          <w:b/>
          <w:sz w:val="24"/>
        </w:rPr>
      </w:pPr>
    </w:p>
    <w:p w14:paraId="0C081F7D">
      <w:pPr>
        <w:pStyle w:val="12"/>
        <w:ind w:firstLine="480"/>
        <w:rPr>
          <w:b/>
          <w:sz w:val="24"/>
        </w:rPr>
      </w:pPr>
    </w:p>
    <w:p w14:paraId="2427E148">
      <w:pPr>
        <w:pStyle w:val="12"/>
        <w:ind w:firstLine="480"/>
        <w:rPr>
          <w:b/>
          <w:sz w:val="24"/>
        </w:rPr>
      </w:pPr>
    </w:p>
    <w:p w14:paraId="3DDF04E7">
      <w:pPr>
        <w:pStyle w:val="12"/>
        <w:ind w:firstLine="480"/>
        <w:rPr>
          <w:b/>
          <w:sz w:val="24"/>
        </w:rPr>
      </w:pPr>
    </w:p>
    <w:p w14:paraId="4FB5916E">
      <w:pPr>
        <w:pStyle w:val="12"/>
        <w:ind w:firstLine="480"/>
        <w:rPr>
          <w:b/>
          <w:sz w:val="24"/>
        </w:rPr>
      </w:pPr>
    </w:p>
    <w:p w14:paraId="738532BF">
      <w:pPr>
        <w:pStyle w:val="12"/>
        <w:ind w:firstLine="480"/>
        <w:rPr>
          <w:b/>
          <w:sz w:val="24"/>
        </w:rPr>
      </w:pPr>
    </w:p>
    <w:p w14:paraId="08D84501">
      <w:pPr>
        <w:tabs>
          <w:tab w:val="left" w:pos="4860"/>
        </w:tabs>
        <w:spacing w:line="588" w:lineRule="exact"/>
        <w:ind w:right="1560" w:firstLine="480"/>
        <w:jc w:val="both"/>
        <w:rPr>
          <w:b/>
          <w:sz w:val="24"/>
        </w:rPr>
      </w:pPr>
    </w:p>
    <w:p w14:paraId="051DE048">
      <w:pPr>
        <w:pStyle w:val="12"/>
        <w:ind w:firstLine="380"/>
        <w:rPr>
          <w:b/>
          <w:sz w:val="19"/>
        </w:rPr>
      </w:pPr>
    </w:p>
    <w:p w14:paraId="5FDAD4BE">
      <w:pPr>
        <w:pStyle w:val="10"/>
        <w:ind w:left="480" w:firstLine="422"/>
      </w:pPr>
      <w:r>
        <w:t>附表</w:t>
      </w:r>
    </w:p>
    <w:p w14:paraId="13C3762E">
      <w:pPr>
        <w:pStyle w:val="4"/>
        <w:ind w:firstLine="602"/>
      </w:pPr>
      <w:r>
        <w:t>统计上大中小微型企业划分标准</w:t>
      </w:r>
    </w:p>
    <w:p w14:paraId="245BF62D">
      <w:pPr>
        <w:pStyle w:val="12"/>
        <w:ind w:firstLine="180"/>
        <w:rPr>
          <w:b/>
          <w:sz w:val="9"/>
        </w:rPr>
      </w:pPr>
    </w:p>
    <w:tbl>
      <w:tblPr>
        <w:tblStyle w:val="23"/>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7"/>
        <w:gridCol w:w="1451"/>
        <w:gridCol w:w="750"/>
        <w:gridCol w:w="1191"/>
        <w:gridCol w:w="1803"/>
        <w:gridCol w:w="1511"/>
        <w:gridCol w:w="1049"/>
      </w:tblGrid>
      <w:tr w14:paraId="4D793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847" w:type="dxa"/>
            <w:shd w:val="clear" w:color="auto" w:fill="8DB3E1"/>
          </w:tcPr>
          <w:p w14:paraId="012765DC">
            <w:pPr>
              <w:pStyle w:val="40"/>
              <w:spacing w:before="8"/>
              <w:ind w:firstLine="300"/>
              <w:rPr>
                <w:b/>
                <w:color w:val="auto"/>
                <w:sz w:val="15"/>
              </w:rPr>
            </w:pPr>
          </w:p>
          <w:p w14:paraId="7C69D1C6">
            <w:pPr>
              <w:pStyle w:val="40"/>
              <w:ind w:left="561" w:firstLine="361"/>
              <w:rPr>
                <w:b/>
                <w:color w:val="auto"/>
                <w:sz w:val="18"/>
              </w:rPr>
            </w:pPr>
            <w:r>
              <w:rPr>
                <w:b/>
                <w:color w:val="auto"/>
                <w:sz w:val="18"/>
              </w:rPr>
              <w:t>行业名称</w:t>
            </w:r>
          </w:p>
        </w:tc>
        <w:tc>
          <w:tcPr>
            <w:tcW w:w="1451" w:type="dxa"/>
            <w:shd w:val="clear" w:color="auto" w:fill="8DB3E1"/>
          </w:tcPr>
          <w:p w14:paraId="65DC475F">
            <w:pPr>
              <w:pStyle w:val="40"/>
              <w:spacing w:before="11"/>
              <w:ind w:firstLine="280"/>
              <w:rPr>
                <w:b/>
                <w:color w:val="auto"/>
                <w:sz w:val="14"/>
              </w:rPr>
            </w:pPr>
          </w:p>
          <w:p w14:paraId="6B23EABF">
            <w:pPr>
              <w:pStyle w:val="40"/>
              <w:spacing w:before="1"/>
              <w:ind w:left="216" w:right="209" w:firstLine="361"/>
              <w:jc w:val="center"/>
              <w:rPr>
                <w:b/>
                <w:color w:val="auto"/>
                <w:sz w:val="18"/>
              </w:rPr>
            </w:pPr>
            <w:r>
              <w:rPr>
                <w:b/>
                <w:color w:val="auto"/>
                <w:sz w:val="18"/>
              </w:rPr>
              <w:t>指标名称</w:t>
            </w:r>
          </w:p>
        </w:tc>
        <w:tc>
          <w:tcPr>
            <w:tcW w:w="750" w:type="dxa"/>
            <w:shd w:val="clear" w:color="auto" w:fill="8DB3E1"/>
          </w:tcPr>
          <w:p w14:paraId="54F53342">
            <w:pPr>
              <w:pStyle w:val="40"/>
              <w:spacing w:before="76" w:line="242" w:lineRule="auto"/>
              <w:ind w:left="193" w:right="184" w:firstLine="361"/>
              <w:rPr>
                <w:b/>
                <w:color w:val="auto"/>
                <w:sz w:val="18"/>
              </w:rPr>
            </w:pPr>
            <w:r>
              <w:rPr>
                <w:b/>
                <w:color w:val="auto"/>
                <w:sz w:val="18"/>
              </w:rPr>
              <w:t>计量单位</w:t>
            </w:r>
          </w:p>
        </w:tc>
        <w:tc>
          <w:tcPr>
            <w:tcW w:w="1191" w:type="dxa"/>
            <w:shd w:val="clear" w:color="auto" w:fill="8DB3E1"/>
          </w:tcPr>
          <w:p w14:paraId="5688D999">
            <w:pPr>
              <w:pStyle w:val="40"/>
              <w:spacing w:before="11"/>
              <w:ind w:firstLine="280"/>
              <w:rPr>
                <w:b/>
                <w:color w:val="auto"/>
                <w:sz w:val="14"/>
              </w:rPr>
            </w:pPr>
          </w:p>
          <w:p w14:paraId="17F01A92">
            <w:pPr>
              <w:pStyle w:val="40"/>
              <w:spacing w:before="1"/>
              <w:ind w:left="178" w:right="168" w:firstLine="361"/>
              <w:jc w:val="center"/>
              <w:rPr>
                <w:b/>
                <w:color w:val="auto"/>
                <w:sz w:val="18"/>
              </w:rPr>
            </w:pPr>
            <w:r>
              <w:rPr>
                <w:b/>
                <w:color w:val="auto"/>
                <w:sz w:val="18"/>
              </w:rPr>
              <w:t>大型</w:t>
            </w:r>
          </w:p>
        </w:tc>
        <w:tc>
          <w:tcPr>
            <w:tcW w:w="1803" w:type="dxa"/>
            <w:shd w:val="clear" w:color="auto" w:fill="8DB3E1"/>
          </w:tcPr>
          <w:p w14:paraId="416FF4BB">
            <w:pPr>
              <w:pStyle w:val="40"/>
              <w:spacing w:before="11"/>
              <w:ind w:firstLine="280"/>
              <w:rPr>
                <w:b/>
                <w:color w:val="auto"/>
                <w:sz w:val="14"/>
              </w:rPr>
            </w:pPr>
          </w:p>
          <w:p w14:paraId="4CA16BAF">
            <w:pPr>
              <w:pStyle w:val="40"/>
              <w:spacing w:before="1"/>
              <w:ind w:left="704" w:right="698" w:firstLine="361"/>
              <w:jc w:val="center"/>
              <w:rPr>
                <w:b/>
                <w:color w:val="auto"/>
                <w:sz w:val="18"/>
              </w:rPr>
            </w:pPr>
            <w:r>
              <w:rPr>
                <w:b/>
                <w:color w:val="auto"/>
                <w:sz w:val="18"/>
              </w:rPr>
              <w:t>中型</w:t>
            </w:r>
          </w:p>
        </w:tc>
        <w:tc>
          <w:tcPr>
            <w:tcW w:w="1511" w:type="dxa"/>
            <w:shd w:val="clear" w:color="auto" w:fill="8DB3E1"/>
          </w:tcPr>
          <w:p w14:paraId="790CB695">
            <w:pPr>
              <w:pStyle w:val="40"/>
              <w:spacing w:before="11"/>
              <w:ind w:firstLine="280"/>
              <w:rPr>
                <w:b/>
                <w:color w:val="auto"/>
                <w:sz w:val="14"/>
              </w:rPr>
            </w:pPr>
          </w:p>
          <w:p w14:paraId="209F05D5">
            <w:pPr>
              <w:pStyle w:val="40"/>
              <w:spacing w:before="1"/>
              <w:ind w:left="560" w:right="551" w:firstLine="361"/>
              <w:jc w:val="center"/>
              <w:rPr>
                <w:b/>
                <w:color w:val="auto"/>
                <w:sz w:val="18"/>
              </w:rPr>
            </w:pPr>
            <w:r>
              <w:rPr>
                <w:b/>
                <w:color w:val="auto"/>
                <w:sz w:val="18"/>
              </w:rPr>
              <w:t>小型</w:t>
            </w:r>
          </w:p>
        </w:tc>
        <w:tc>
          <w:tcPr>
            <w:tcW w:w="1049" w:type="dxa"/>
            <w:shd w:val="clear" w:color="auto" w:fill="8DB3E1"/>
          </w:tcPr>
          <w:p w14:paraId="7C1C024D">
            <w:pPr>
              <w:pStyle w:val="40"/>
              <w:spacing w:before="11"/>
              <w:ind w:firstLine="280"/>
              <w:rPr>
                <w:b/>
                <w:color w:val="auto"/>
                <w:sz w:val="14"/>
              </w:rPr>
            </w:pPr>
          </w:p>
          <w:p w14:paraId="40A8ABB8">
            <w:pPr>
              <w:pStyle w:val="40"/>
              <w:spacing w:before="1"/>
              <w:ind w:left="194" w:right="186" w:firstLine="361"/>
              <w:jc w:val="center"/>
              <w:rPr>
                <w:b/>
                <w:color w:val="auto"/>
                <w:sz w:val="18"/>
              </w:rPr>
            </w:pPr>
            <w:r>
              <w:rPr>
                <w:b/>
                <w:color w:val="auto"/>
                <w:sz w:val="18"/>
              </w:rPr>
              <w:t>微型</w:t>
            </w:r>
          </w:p>
        </w:tc>
      </w:tr>
      <w:tr w14:paraId="225E6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tcPr>
          <w:p w14:paraId="0EB267C1">
            <w:pPr>
              <w:pStyle w:val="40"/>
              <w:spacing w:before="85"/>
              <w:ind w:left="107" w:firstLine="361"/>
              <w:rPr>
                <w:sz w:val="18"/>
              </w:rPr>
            </w:pPr>
            <w:r>
              <w:rPr>
                <w:sz w:val="18"/>
              </w:rPr>
              <w:t>农、林、牧、渔业</w:t>
            </w:r>
          </w:p>
        </w:tc>
        <w:tc>
          <w:tcPr>
            <w:tcW w:w="1451" w:type="dxa"/>
          </w:tcPr>
          <w:p w14:paraId="250B031D">
            <w:pPr>
              <w:pStyle w:val="40"/>
              <w:spacing w:before="78"/>
              <w:ind w:left="216" w:right="210" w:firstLine="361"/>
              <w:jc w:val="center"/>
              <w:rPr>
                <w:sz w:val="18"/>
              </w:rPr>
            </w:pPr>
            <w:r>
              <w:rPr>
                <w:sz w:val="18"/>
              </w:rPr>
              <w:t>营业收入(Y)</w:t>
            </w:r>
          </w:p>
        </w:tc>
        <w:tc>
          <w:tcPr>
            <w:tcW w:w="750" w:type="dxa"/>
          </w:tcPr>
          <w:p w14:paraId="06AA0792">
            <w:pPr>
              <w:pStyle w:val="40"/>
              <w:spacing w:before="78"/>
              <w:ind w:left="178" w:right="171" w:firstLine="361"/>
              <w:jc w:val="center"/>
              <w:rPr>
                <w:sz w:val="18"/>
              </w:rPr>
            </w:pPr>
            <w:r>
              <w:rPr>
                <w:sz w:val="18"/>
              </w:rPr>
              <w:t>万元</w:t>
            </w:r>
          </w:p>
        </w:tc>
        <w:tc>
          <w:tcPr>
            <w:tcW w:w="1191" w:type="dxa"/>
          </w:tcPr>
          <w:p w14:paraId="499C01C8">
            <w:pPr>
              <w:pStyle w:val="40"/>
              <w:spacing w:before="78"/>
              <w:ind w:left="178" w:right="169" w:firstLine="361"/>
              <w:jc w:val="center"/>
              <w:rPr>
                <w:sz w:val="18"/>
              </w:rPr>
            </w:pPr>
            <w:r>
              <w:rPr>
                <w:sz w:val="18"/>
              </w:rPr>
              <w:t>Y≥20000</w:t>
            </w:r>
          </w:p>
        </w:tc>
        <w:tc>
          <w:tcPr>
            <w:tcW w:w="1803" w:type="dxa"/>
          </w:tcPr>
          <w:p w14:paraId="27E9B01B">
            <w:pPr>
              <w:pStyle w:val="40"/>
              <w:spacing w:before="78"/>
              <w:ind w:left="316" w:firstLine="361"/>
              <w:rPr>
                <w:sz w:val="18"/>
              </w:rPr>
            </w:pPr>
            <w:r>
              <w:rPr>
                <w:sz w:val="18"/>
              </w:rPr>
              <w:t>500≤Y＜20000</w:t>
            </w:r>
          </w:p>
        </w:tc>
        <w:tc>
          <w:tcPr>
            <w:tcW w:w="1511" w:type="dxa"/>
          </w:tcPr>
          <w:p w14:paraId="5D62365B">
            <w:pPr>
              <w:pStyle w:val="40"/>
              <w:spacing w:before="78"/>
              <w:ind w:left="304" w:firstLine="361"/>
              <w:rPr>
                <w:sz w:val="18"/>
              </w:rPr>
            </w:pPr>
            <w:r>
              <w:rPr>
                <w:sz w:val="18"/>
              </w:rPr>
              <w:t>50≤Y＜500</w:t>
            </w:r>
          </w:p>
        </w:tc>
        <w:tc>
          <w:tcPr>
            <w:tcW w:w="1049" w:type="dxa"/>
          </w:tcPr>
          <w:p w14:paraId="3EF65865">
            <w:pPr>
              <w:pStyle w:val="40"/>
              <w:spacing w:before="78"/>
              <w:ind w:left="195" w:right="186" w:firstLine="361"/>
              <w:jc w:val="center"/>
              <w:rPr>
                <w:sz w:val="18"/>
              </w:rPr>
            </w:pPr>
            <w:r>
              <w:rPr>
                <w:sz w:val="18"/>
              </w:rPr>
              <w:t>Y＜50</w:t>
            </w:r>
          </w:p>
        </w:tc>
      </w:tr>
      <w:tr w14:paraId="49839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restart"/>
          </w:tcPr>
          <w:p w14:paraId="2B2F18B8">
            <w:pPr>
              <w:pStyle w:val="40"/>
              <w:spacing w:before="4"/>
              <w:ind w:firstLine="420"/>
              <w:rPr>
                <w:b/>
              </w:rPr>
            </w:pPr>
          </w:p>
          <w:p w14:paraId="465EE369">
            <w:pPr>
              <w:pStyle w:val="40"/>
              <w:ind w:left="107" w:firstLine="361"/>
              <w:rPr>
                <w:sz w:val="18"/>
              </w:rPr>
            </w:pPr>
            <w:r>
              <w:rPr>
                <w:sz w:val="18"/>
              </w:rPr>
              <w:t>工业*</w:t>
            </w:r>
          </w:p>
        </w:tc>
        <w:tc>
          <w:tcPr>
            <w:tcW w:w="1451" w:type="dxa"/>
          </w:tcPr>
          <w:p w14:paraId="219BE10C">
            <w:pPr>
              <w:pStyle w:val="40"/>
              <w:spacing w:before="77"/>
              <w:ind w:left="216" w:right="210" w:firstLine="361"/>
              <w:jc w:val="center"/>
              <w:rPr>
                <w:sz w:val="18"/>
              </w:rPr>
            </w:pPr>
            <w:r>
              <w:rPr>
                <w:sz w:val="18"/>
              </w:rPr>
              <w:t>从业人员(X)</w:t>
            </w:r>
          </w:p>
        </w:tc>
        <w:tc>
          <w:tcPr>
            <w:tcW w:w="750" w:type="dxa"/>
          </w:tcPr>
          <w:p w14:paraId="361BB6F8">
            <w:pPr>
              <w:pStyle w:val="40"/>
              <w:spacing w:before="77"/>
              <w:ind w:left="9" w:firstLine="361"/>
              <w:jc w:val="center"/>
              <w:rPr>
                <w:sz w:val="18"/>
              </w:rPr>
            </w:pPr>
            <w:r>
              <w:rPr>
                <w:sz w:val="18"/>
              </w:rPr>
              <w:t>人</w:t>
            </w:r>
          </w:p>
        </w:tc>
        <w:tc>
          <w:tcPr>
            <w:tcW w:w="1191" w:type="dxa"/>
          </w:tcPr>
          <w:p w14:paraId="3B7EC218">
            <w:pPr>
              <w:pStyle w:val="40"/>
              <w:spacing w:before="77"/>
              <w:ind w:left="178" w:right="169" w:firstLine="361"/>
              <w:jc w:val="center"/>
              <w:rPr>
                <w:sz w:val="18"/>
              </w:rPr>
            </w:pPr>
            <w:r>
              <w:rPr>
                <w:sz w:val="18"/>
              </w:rPr>
              <w:t>X≥1000</w:t>
            </w:r>
          </w:p>
        </w:tc>
        <w:tc>
          <w:tcPr>
            <w:tcW w:w="1803" w:type="dxa"/>
          </w:tcPr>
          <w:p w14:paraId="3BA35589">
            <w:pPr>
              <w:pStyle w:val="40"/>
              <w:spacing w:before="77"/>
              <w:ind w:left="359" w:firstLine="361"/>
              <w:rPr>
                <w:sz w:val="18"/>
              </w:rPr>
            </w:pPr>
            <w:r>
              <w:rPr>
                <w:sz w:val="18"/>
              </w:rPr>
              <w:t>300≤X＜1000</w:t>
            </w:r>
          </w:p>
        </w:tc>
        <w:tc>
          <w:tcPr>
            <w:tcW w:w="1511" w:type="dxa"/>
          </w:tcPr>
          <w:p w14:paraId="5215C176">
            <w:pPr>
              <w:pStyle w:val="40"/>
              <w:spacing w:before="77"/>
              <w:ind w:left="304" w:firstLine="361"/>
              <w:rPr>
                <w:sz w:val="18"/>
              </w:rPr>
            </w:pPr>
            <w:r>
              <w:rPr>
                <w:sz w:val="18"/>
              </w:rPr>
              <w:t>20≤X＜300</w:t>
            </w:r>
          </w:p>
        </w:tc>
        <w:tc>
          <w:tcPr>
            <w:tcW w:w="1049" w:type="dxa"/>
          </w:tcPr>
          <w:p w14:paraId="0F956C61">
            <w:pPr>
              <w:pStyle w:val="40"/>
              <w:spacing w:before="77"/>
              <w:ind w:left="195" w:right="186" w:firstLine="361"/>
              <w:jc w:val="center"/>
              <w:rPr>
                <w:sz w:val="18"/>
              </w:rPr>
            </w:pPr>
            <w:r>
              <w:rPr>
                <w:sz w:val="18"/>
              </w:rPr>
              <w:t>X＜20</w:t>
            </w:r>
          </w:p>
        </w:tc>
      </w:tr>
      <w:tr w14:paraId="44EB8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continue"/>
            <w:tcBorders>
              <w:top w:val="nil"/>
            </w:tcBorders>
          </w:tcPr>
          <w:p w14:paraId="34223CB8">
            <w:pPr>
              <w:ind w:firstLine="40"/>
              <w:rPr>
                <w:sz w:val="2"/>
                <w:szCs w:val="2"/>
              </w:rPr>
            </w:pPr>
          </w:p>
        </w:tc>
        <w:tc>
          <w:tcPr>
            <w:tcW w:w="1451" w:type="dxa"/>
          </w:tcPr>
          <w:p w14:paraId="3D5EA196">
            <w:pPr>
              <w:pStyle w:val="40"/>
              <w:spacing w:before="86"/>
              <w:ind w:left="216" w:right="210" w:firstLine="361"/>
              <w:jc w:val="center"/>
              <w:rPr>
                <w:sz w:val="18"/>
              </w:rPr>
            </w:pPr>
            <w:r>
              <w:rPr>
                <w:sz w:val="18"/>
              </w:rPr>
              <w:t>营业收入(Y)</w:t>
            </w:r>
          </w:p>
        </w:tc>
        <w:tc>
          <w:tcPr>
            <w:tcW w:w="750" w:type="dxa"/>
          </w:tcPr>
          <w:p w14:paraId="150EB4D8">
            <w:pPr>
              <w:pStyle w:val="40"/>
              <w:spacing w:before="78"/>
              <w:ind w:left="178" w:right="171" w:firstLine="361"/>
              <w:jc w:val="center"/>
              <w:rPr>
                <w:sz w:val="18"/>
              </w:rPr>
            </w:pPr>
            <w:r>
              <w:rPr>
                <w:sz w:val="18"/>
              </w:rPr>
              <w:t>万元</w:t>
            </w:r>
          </w:p>
        </w:tc>
        <w:tc>
          <w:tcPr>
            <w:tcW w:w="1191" w:type="dxa"/>
          </w:tcPr>
          <w:p w14:paraId="33A37663">
            <w:pPr>
              <w:pStyle w:val="40"/>
              <w:spacing w:before="78"/>
              <w:ind w:left="178" w:right="169" w:firstLine="361"/>
              <w:jc w:val="center"/>
              <w:rPr>
                <w:sz w:val="18"/>
              </w:rPr>
            </w:pPr>
            <w:r>
              <w:rPr>
                <w:sz w:val="18"/>
              </w:rPr>
              <w:t>Y≥40000</w:t>
            </w:r>
          </w:p>
        </w:tc>
        <w:tc>
          <w:tcPr>
            <w:tcW w:w="1803" w:type="dxa"/>
          </w:tcPr>
          <w:p w14:paraId="4ED21770">
            <w:pPr>
              <w:pStyle w:val="40"/>
              <w:spacing w:before="78"/>
              <w:ind w:left="271" w:firstLine="361"/>
              <w:rPr>
                <w:sz w:val="18"/>
              </w:rPr>
            </w:pPr>
            <w:r>
              <w:rPr>
                <w:sz w:val="18"/>
              </w:rPr>
              <w:t>2000≤Y＜40000</w:t>
            </w:r>
          </w:p>
        </w:tc>
        <w:tc>
          <w:tcPr>
            <w:tcW w:w="1511" w:type="dxa"/>
          </w:tcPr>
          <w:p w14:paraId="1136BC86">
            <w:pPr>
              <w:pStyle w:val="40"/>
              <w:spacing w:before="78"/>
              <w:ind w:left="215" w:firstLine="361"/>
              <w:rPr>
                <w:sz w:val="18"/>
              </w:rPr>
            </w:pPr>
            <w:r>
              <w:rPr>
                <w:sz w:val="18"/>
              </w:rPr>
              <w:t>300≤Y＜2000</w:t>
            </w:r>
          </w:p>
        </w:tc>
        <w:tc>
          <w:tcPr>
            <w:tcW w:w="1049" w:type="dxa"/>
          </w:tcPr>
          <w:p w14:paraId="2F49024A">
            <w:pPr>
              <w:pStyle w:val="40"/>
              <w:spacing w:before="78"/>
              <w:ind w:left="195" w:right="186" w:firstLine="361"/>
              <w:jc w:val="center"/>
              <w:rPr>
                <w:sz w:val="18"/>
              </w:rPr>
            </w:pPr>
            <w:r>
              <w:rPr>
                <w:sz w:val="18"/>
              </w:rPr>
              <w:t>Y＜300</w:t>
            </w:r>
          </w:p>
        </w:tc>
      </w:tr>
      <w:tr w14:paraId="32681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restart"/>
          </w:tcPr>
          <w:p w14:paraId="407D60F6">
            <w:pPr>
              <w:pStyle w:val="40"/>
              <w:spacing w:before="2"/>
              <w:ind w:firstLine="420"/>
              <w:rPr>
                <w:b/>
              </w:rPr>
            </w:pPr>
          </w:p>
          <w:p w14:paraId="0B8F8019">
            <w:pPr>
              <w:pStyle w:val="40"/>
              <w:ind w:left="107" w:firstLine="361"/>
              <w:rPr>
                <w:sz w:val="18"/>
              </w:rPr>
            </w:pPr>
            <w:r>
              <w:rPr>
                <w:sz w:val="18"/>
              </w:rPr>
              <w:t>建筑业</w:t>
            </w:r>
          </w:p>
        </w:tc>
        <w:tc>
          <w:tcPr>
            <w:tcW w:w="1451" w:type="dxa"/>
          </w:tcPr>
          <w:p w14:paraId="0ABD79D9">
            <w:pPr>
              <w:pStyle w:val="40"/>
              <w:spacing w:before="77"/>
              <w:ind w:left="216" w:right="210" w:firstLine="361"/>
              <w:jc w:val="center"/>
              <w:rPr>
                <w:sz w:val="18"/>
              </w:rPr>
            </w:pPr>
            <w:r>
              <w:rPr>
                <w:sz w:val="18"/>
              </w:rPr>
              <w:t>营业收入(Y)</w:t>
            </w:r>
          </w:p>
        </w:tc>
        <w:tc>
          <w:tcPr>
            <w:tcW w:w="750" w:type="dxa"/>
          </w:tcPr>
          <w:p w14:paraId="345863FC">
            <w:pPr>
              <w:pStyle w:val="40"/>
              <w:spacing w:before="77"/>
              <w:ind w:left="178" w:right="171" w:firstLine="361"/>
              <w:jc w:val="center"/>
              <w:rPr>
                <w:sz w:val="18"/>
              </w:rPr>
            </w:pPr>
            <w:r>
              <w:rPr>
                <w:sz w:val="18"/>
              </w:rPr>
              <w:t>万元</w:t>
            </w:r>
          </w:p>
        </w:tc>
        <w:tc>
          <w:tcPr>
            <w:tcW w:w="1191" w:type="dxa"/>
          </w:tcPr>
          <w:p w14:paraId="30489236">
            <w:pPr>
              <w:pStyle w:val="40"/>
              <w:spacing w:before="77"/>
              <w:ind w:left="178" w:right="169" w:firstLine="361"/>
              <w:jc w:val="center"/>
              <w:rPr>
                <w:sz w:val="18"/>
              </w:rPr>
            </w:pPr>
            <w:r>
              <w:rPr>
                <w:sz w:val="18"/>
              </w:rPr>
              <w:t>Y≥80000</w:t>
            </w:r>
          </w:p>
        </w:tc>
        <w:tc>
          <w:tcPr>
            <w:tcW w:w="1803" w:type="dxa"/>
          </w:tcPr>
          <w:p w14:paraId="7D8321DC">
            <w:pPr>
              <w:pStyle w:val="40"/>
              <w:spacing w:before="77"/>
              <w:ind w:left="271" w:firstLine="361"/>
              <w:rPr>
                <w:sz w:val="18"/>
              </w:rPr>
            </w:pPr>
            <w:r>
              <w:rPr>
                <w:sz w:val="18"/>
              </w:rPr>
              <w:t>6000≤Y＜80000</w:t>
            </w:r>
          </w:p>
        </w:tc>
        <w:tc>
          <w:tcPr>
            <w:tcW w:w="1511" w:type="dxa"/>
          </w:tcPr>
          <w:p w14:paraId="0FFA92C4">
            <w:pPr>
              <w:pStyle w:val="40"/>
              <w:spacing w:before="77"/>
              <w:ind w:left="215" w:firstLine="361"/>
              <w:rPr>
                <w:sz w:val="18"/>
              </w:rPr>
            </w:pPr>
            <w:r>
              <w:rPr>
                <w:sz w:val="18"/>
              </w:rPr>
              <w:t>300≤Y＜6000</w:t>
            </w:r>
          </w:p>
        </w:tc>
        <w:tc>
          <w:tcPr>
            <w:tcW w:w="1049" w:type="dxa"/>
          </w:tcPr>
          <w:p w14:paraId="7DB5F123">
            <w:pPr>
              <w:pStyle w:val="40"/>
              <w:spacing w:before="77"/>
              <w:ind w:left="195" w:right="186" w:firstLine="361"/>
              <w:jc w:val="center"/>
              <w:rPr>
                <w:sz w:val="18"/>
              </w:rPr>
            </w:pPr>
            <w:r>
              <w:rPr>
                <w:sz w:val="18"/>
              </w:rPr>
              <w:t>Y＜300</w:t>
            </w:r>
          </w:p>
        </w:tc>
      </w:tr>
      <w:tr w14:paraId="2A408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47" w:type="dxa"/>
            <w:vMerge w:val="continue"/>
            <w:tcBorders>
              <w:top w:val="nil"/>
            </w:tcBorders>
          </w:tcPr>
          <w:p w14:paraId="3FB2AB4C">
            <w:pPr>
              <w:ind w:firstLine="40"/>
              <w:rPr>
                <w:sz w:val="2"/>
                <w:szCs w:val="2"/>
              </w:rPr>
            </w:pPr>
          </w:p>
        </w:tc>
        <w:tc>
          <w:tcPr>
            <w:tcW w:w="1451" w:type="dxa"/>
          </w:tcPr>
          <w:p w14:paraId="56BAECBB">
            <w:pPr>
              <w:pStyle w:val="40"/>
              <w:spacing w:before="86"/>
              <w:ind w:left="216" w:right="210" w:firstLine="361"/>
              <w:jc w:val="center"/>
              <w:rPr>
                <w:sz w:val="18"/>
              </w:rPr>
            </w:pPr>
            <w:r>
              <w:rPr>
                <w:sz w:val="18"/>
              </w:rPr>
              <w:t>资产总额(Z)</w:t>
            </w:r>
          </w:p>
        </w:tc>
        <w:tc>
          <w:tcPr>
            <w:tcW w:w="750" w:type="dxa"/>
          </w:tcPr>
          <w:p w14:paraId="68DCA5E0">
            <w:pPr>
              <w:pStyle w:val="40"/>
              <w:spacing w:before="79"/>
              <w:ind w:left="178" w:right="171" w:firstLine="361"/>
              <w:jc w:val="center"/>
              <w:rPr>
                <w:sz w:val="18"/>
              </w:rPr>
            </w:pPr>
            <w:r>
              <w:rPr>
                <w:sz w:val="18"/>
              </w:rPr>
              <w:t>万元</w:t>
            </w:r>
          </w:p>
        </w:tc>
        <w:tc>
          <w:tcPr>
            <w:tcW w:w="1191" w:type="dxa"/>
          </w:tcPr>
          <w:p w14:paraId="41817AC8">
            <w:pPr>
              <w:pStyle w:val="40"/>
              <w:spacing w:before="79"/>
              <w:ind w:left="178" w:right="169" w:firstLine="361"/>
              <w:jc w:val="center"/>
              <w:rPr>
                <w:sz w:val="18"/>
              </w:rPr>
            </w:pPr>
            <w:r>
              <w:rPr>
                <w:sz w:val="18"/>
              </w:rPr>
              <w:t>Z≥80000</w:t>
            </w:r>
          </w:p>
        </w:tc>
        <w:tc>
          <w:tcPr>
            <w:tcW w:w="1803" w:type="dxa"/>
          </w:tcPr>
          <w:p w14:paraId="49EAF2F8">
            <w:pPr>
              <w:pStyle w:val="40"/>
              <w:spacing w:before="79"/>
              <w:ind w:left="271" w:firstLine="361"/>
              <w:rPr>
                <w:sz w:val="18"/>
              </w:rPr>
            </w:pPr>
            <w:r>
              <w:rPr>
                <w:sz w:val="18"/>
              </w:rPr>
              <w:t>5000≤Z＜80000</w:t>
            </w:r>
          </w:p>
        </w:tc>
        <w:tc>
          <w:tcPr>
            <w:tcW w:w="1511" w:type="dxa"/>
          </w:tcPr>
          <w:p w14:paraId="60F5CCC0">
            <w:pPr>
              <w:pStyle w:val="40"/>
              <w:spacing w:before="79"/>
              <w:ind w:left="215" w:firstLine="361"/>
              <w:rPr>
                <w:sz w:val="18"/>
              </w:rPr>
            </w:pPr>
            <w:r>
              <w:rPr>
                <w:sz w:val="18"/>
              </w:rPr>
              <w:t>300≤Z＜5000</w:t>
            </w:r>
          </w:p>
        </w:tc>
        <w:tc>
          <w:tcPr>
            <w:tcW w:w="1049" w:type="dxa"/>
          </w:tcPr>
          <w:p w14:paraId="20784EB8">
            <w:pPr>
              <w:pStyle w:val="40"/>
              <w:spacing w:before="79"/>
              <w:ind w:left="195" w:right="186" w:firstLine="361"/>
              <w:jc w:val="center"/>
              <w:rPr>
                <w:sz w:val="18"/>
              </w:rPr>
            </w:pPr>
            <w:r>
              <w:rPr>
                <w:sz w:val="18"/>
              </w:rPr>
              <w:t>Z＜300</w:t>
            </w:r>
          </w:p>
        </w:tc>
      </w:tr>
      <w:tr w14:paraId="76171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restart"/>
          </w:tcPr>
          <w:p w14:paraId="2050E1FB">
            <w:pPr>
              <w:pStyle w:val="40"/>
              <w:spacing w:before="2"/>
              <w:ind w:firstLine="420"/>
              <w:rPr>
                <w:b/>
              </w:rPr>
            </w:pPr>
          </w:p>
          <w:p w14:paraId="602B6851">
            <w:pPr>
              <w:pStyle w:val="40"/>
              <w:ind w:left="107" w:firstLine="361"/>
              <w:rPr>
                <w:sz w:val="18"/>
              </w:rPr>
            </w:pPr>
            <w:r>
              <w:rPr>
                <w:sz w:val="18"/>
              </w:rPr>
              <w:t>批发业</w:t>
            </w:r>
          </w:p>
        </w:tc>
        <w:tc>
          <w:tcPr>
            <w:tcW w:w="1451" w:type="dxa"/>
          </w:tcPr>
          <w:p w14:paraId="3C150074">
            <w:pPr>
              <w:pStyle w:val="40"/>
              <w:spacing w:before="78"/>
              <w:ind w:left="216" w:right="210" w:firstLine="361"/>
              <w:jc w:val="center"/>
              <w:rPr>
                <w:sz w:val="18"/>
              </w:rPr>
            </w:pPr>
            <w:r>
              <w:rPr>
                <w:sz w:val="18"/>
              </w:rPr>
              <w:t>从业人员(X)</w:t>
            </w:r>
          </w:p>
        </w:tc>
        <w:tc>
          <w:tcPr>
            <w:tcW w:w="750" w:type="dxa"/>
          </w:tcPr>
          <w:p w14:paraId="7EDB4978">
            <w:pPr>
              <w:pStyle w:val="40"/>
              <w:spacing w:before="78"/>
              <w:ind w:left="9" w:firstLine="361"/>
              <w:jc w:val="center"/>
              <w:rPr>
                <w:sz w:val="18"/>
              </w:rPr>
            </w:pPr>
            <w:r>
              <w:rPr>
                <w:sz w:val="18"/>
              </w:rPr>
              <w:t>人</w:t>
            </w:r>
          </w:p>
        </w:tc>
        <w:tc>
          <w:tcPr>
            <w:tcW w:w="1191" w:type="dxa"/>
          </w:tcPr>
          <w:p w14:paraId="3CE61830">
            <w:pPr>
              <w:pStyle w:val="40"/>
              <w:spacing w:before="78"/>
              <w:ind w:left="178" w:right="169" w:firstLine="361"/>
              <w:jc w:val="center"/>
              <w:rPr>
                <w:sz w:val="18"/>
              </w:rPr>
            </w:pPr>
            <w:r>
              <w:rPr>
                <w:sz w:val="18"/>
              </w:rPr>
              <w:t>X≥200</w:t>
            </w:r>
          </w:p>
        </w:tc>
        <w:tc>
          <w:tcPr>
            <w:tcW w:w="1803" w:type="dxa"/>
          </w:tcPr>
          <w:p w14:paraId="4C8EC69E">
            <w:pPr>
              <w:pStyle w:val="40"/>
              <w:spacing w:before="78"/>
              <w:ind w:left="451" w:firstLine="361"/>
              <w:rPr>
                <w:sz w:val="18"/>
              </w:rPr>
            </w:pPr>
            <w:r>
              <w:rPr>
                <w:sz w:val="18"/>
              </w:rPr>
              <w:t>20≤X＜200</w:t>
            </w:r>
          </w:p>
        </w:tc>
        <w:tc>
          <w:tcPr>
            <w:tcW w:w="1511" w:type="dxa"/>
          </w:tcPr>
          <w:p w14:paraId="6081A98E">
            <w:pPr>
              <w:pStyle w:val="40"/>
              <w:spacing w:before="78"/>
              <w:ind w:left="395" w:firstLine="361"/>
              <w:rPr>
                <w:sz w:val="18"/>
              </w:rPr>
            </w:pPr>
            <w:r>
              <w:rPr>
                <w:sz w:val="18"/>
              </w:rPr>
              <w:t>5≤X＜20</w:t>
            </w:r>
          </w:p>
        </w:tc>
        <w:tc>
          <w:tcPr>
            <w:tcW w:w="1049" w:type="dxa"/>
          </w:tcPr>
          <w:p w14:paraId="4F1AC52D">
            <w:pPr>
              <w:pStyle w:val="40"/>
              <w:spacing w:before="78"/>
              <w:ind w:left="195" w:right="186" w:firstLine="361"/>
              <w:jc w:val="center"/>
              <w:rPr>
                <w:sz w:val="18"/>
              </w:rPr>
            </w:pPr>
            <w:r>
              <w:rPr>
                <w:sz w:val="18"/>
              </w:rPr>
              <w:t>X＜5</w:t>
            </w:r>
          </w:p>
        </w:tc>
      </w:tr>
      <w:tr w14:paraId="71FFA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continue"/>
            <w:tcBorders>
              <w:top w:val="nil"/>
            </w:tcBorders>
          </w:tcPr>
          <w:p w14:paraId="7087440A">
            <w:pPr>
              <w:ind w:firstLine="40"/>
              <w:rPr>
                <w:sz w:val="2"/>
                <w:szCs w:val="2"/>
              </w:rPr>
            </w:pPr>
          </w:p>
        </w:tc>
        <w:tc>
          <w:tcPr>
            <w:tcW w:w="1451" w:type="dxa"/>
          </w:tcPr>
          <w:p w14:paraId="60E9C929">
            <w:pPr>
              <w:pStyle w:val="40"/>
              <w:spacing w:before="86"/>
              <w:ind w:left="216" w:right="210" w:firstLine="361"/>
              <w:jc w:val="center"/>
              <w:rPr>
                <w:sz w:val="18"/>
              </w:rPr>
            </w:pPr>
            <w:r>
              <w:rPr>
                <w:sz w:val="18"/>
              </w:rPr>
              <w:t>营业收入(Y)</w:t>
            </w:r>
          </w:p>
        </w:tc>
        <w:tc>
          <w:tcPr>
            <w:tcW w:w="750" w:type="dxa"/>
          </w:tcPr>
          <w:p w14:paraId="7F98E839">
            <w:pPr>
              <w:pStyle w:val="40"/>
              <w:spacing w:before="77"/>
              <w:ind w:left="178" w:right="171" w:firstLine="361"/>
              <w:jc w:val="center"/>
              <w:rPr>
                <w:sz w:val="18"/>
              </w:rPr>
            </w:pPr>
            <w:r>
              <w:rPr>
                <w:sz w:val="18"/>
              </w:rPr>
              <w:t>万元</w:t>
            </w:r>
          </w:p>
        </w:tc>
        <w:tc>
          <w:tcPr>
            <w:tcW w:w="1191" w:type="dxa"/>
          </w:tcPr>
          <w:p w14:paraId="34DEDCE9">
            <w:pPr>
              <w:pStyle w:val="40"/>
              <w:spacing w:before="77"/>
              <w:ind w:left="178" w:right="169" w:firstLine="361"/>
              <w:jc w:val="center"/>
              <w:rPr>
                <w:sz w:val="18"/>
              </w:rPr>
            </w:pPr>
            <w:r>
              <w:rPr>
                <w:sz w:val="18"/>
              </w:rPr>
              <w:t>Y≥40000</w:t>
            </w:r>
          </w:p>
        </w:tc>
        <w:tc>
          <w:tcPr>
            <w:tcW w:w="1803" w:type="dxa"/>
          </w:tcPr>
          <w:p w14:paraId="13F1D39A">
            <w:pPr>
              <w:pStyle w:val="40"/>
              <w:spacing w:before="77"/>
              <w:ind w:left="271" w:firstLine="361"/>
              <w:rPr>
                <w:sz w:val="18"/>
              </w:rPr>
            </w:pPr>
            <w:r>
              <w:rPr>
                <w:sz w:val="18"/>
              </w:rPr>
              <w:t>5000≤Y＜40000</w:t>
            </w:r>
          </w:p>
        </w:tc>
        <w:tc>
          <w:tcPr>
            <w:tcW w:w="1511" w:type="dxa"/>
          </w:tcPr>
          <w:p w14:paraId="524B384D">
            <w:pPr>
              <w:pStyle w:val="40"/>
              <w:spacing w:before="77"/>
              <w:ind w:left="169" w:firstLine="361"/>
              <w:rPr>
                <w:sz w:val="18"/>
              </w:rPr>
            </w:pPr>
            <w:r>
              <w:rPr>
                <w:sz w:val="18"/>
              </w:rPr>
              <w:t>1000≤Y＜5000</w:t>
            </w:r>
          </w:p>
        </w:tc>
        <w:tc>
          <w:tcPr>
            <w:tcW w:w="1049" w:type="dxa"/>
          </w:tcPr>
          <w:p w14:paraId="0E0EE9FC">
            <w:pPr>
              <w:pStyle w:val="40"/>
              <w:spacing w:before="77"/>
              <w:ind w:left="195" w:right="186" w:firstLine="361"/>
              <w:jc w:val="center"/>
              <w:rPr>
                <w:sz w:val="18"/>
              </w:rPr>
            </w:pPr>
            <w:r>
              <w:rPr>
                <w:sz w:val="18"/>
              </w:rPr>
              <w:t>Y＜1000</w:t>
            </w:r>
          </w:p>
        </w:tc>
      </w:tr>
      <w:tr w14:paraId="13755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restart"/>
          </w:tcPr>
          <w:p w14:paraId="730BB059">
            <w:pPr>
              <w:pStyle w:val="40"/>
              <w:spacing w:before="3"/>
              <w:ind w:firstLine="420"/>
              <w:rPr>
                <w:b/>
              </w:rPr>
            </w:pPr>
          </w:p>
          <w:p w14:paraId="48043F72">
            <w:pPr>
              <w:pStyle w:val="40"/>
              <w:ind w:left="107" w:firstLine="361"/>
              <w:rPr>
                <w:sz w:val="18"/>
              </w:rPr>
            </w:pPr>
            <w:r>
              <w:rPr>
                <w:sz w:val="18"/>
              </w:rPr>
              <w:t>零售业</w:t>
            </w:r>
          </w:p>
        </w:tc>
        <w:tc>
          <w:tcPr>
            <w:tcW w:w="1451" w:type="dxa"/>
          </w:tcPr>
          <w:p w14:paraId="13C5C2BA">
            <w:pPr>
              <w:pStyle w:val="40"/>
              <w:spacing w:before="78"/>
              <w:ind w:left="216" w:right="210" w:firstLine="361"/>
              <w:jc w:val="center"/>
              <w:rPr>
                <w:sz w:val="18"/>
              </w:rPr>
            </w:pPr>
            <w:r>
              <w:rPr>
                <w:sz w:val="18"/>
              </w:rPr>
              <w:t>从业人员(X)</w:t>
            </w:r>
          </w:p>
        </w:tc>
        <w:tc>
          <w:tcPr>
            <w:tcW w:w="750" w:type="dxa"/>
          </w:tcPr>
          <w:p w14:paraId="1C82AF2F">
            <w:pPr>
              <w:pStyle w:val="40"/>
              <w:spacing w:before="78"/>
              <w:ind w:left="9" w:firstLine="361"/>
              <w:jc w:val="center"/>
              <w:rPr>
                <w:sz w:val="18"/>
              </w:rPr>
            </w:pPr>
            <w:r>
              <w:rPr>
                <w:sz w:val="18"/>
              </w:rPr>
              <w:t>人</w:t>
            </w:r>
          </w:p>
        </w:tc>
        <w:tc>
          <w:tcPr>
            <w:tcW w:w="1191" w:type="dxa"/>
          </w:tcPr>
          <w:p w14:paraId="1746393E">
            <w:pPr>
              <w:pStyle w:val="40"/>
              <w:spacing w:before="78"/>
              <w:ind w:left="178" w:right="169" w:firstLine="361"/>
              <w:jc w:val="center"/>
              <w:rPr>
                <w:sz w:val="18"/>
              </w:rPr>
            </w:pPr>
            <w:r>
              <w:rPr>
                <w:sz w:val="18"/>
              </w:rPr>
              <w:t>X≥300</w:t>
            </w:r>
          </w:p>
        </w:tc>
        <w:tc>
          <w:tcPr>
            <w:tcW w:w="1803" w:type="dxa"/>
          </w:tcPr>
          <w:p w14:paraId="7C160725">
            <w:pPr>
              <w:pStyle w:val="40"/>
              <w:spacing w:before="78"/>
              <w:ind w:left="451" w:firstLine="361"/>
              <w:rPr>
                <w:sz w:val="18"/>
              </w:rPr>
            </w:pPr>
            <w:r>
              <w:rPr>
                <w:sz w:val="18"/>
              </w:rPr>
              <w:t>50≤X＜300</w:t>
            </w:r>
          </w:p>
        </w:tc>
        <w:tc>
          <w:tcPr>
            <w:tcW w:w="1511" w:type="dxa"/>
          </w:tcPr>
          <w:p w14:paraId="699B2D8E">
            <w:pPr>
              <w:pStyle w:val="40"/>
              <w:spacing w:before="78"/>
              <w:ind w:left="349" w:firstLine="361"/>
              <w:rPr>
                <w:sz w:val="18"/>
              </w:rPr>
            </w:pPr>
            <w:r>
              <w:rPr>
                <w:sz w:val="18"/>
              </w:rPr>
              <w:t>10≤X＜50</w:t>
            </w:r>
          </w:p>
        </w:tc>
        <w:tc>
          <w:tcPr>
            <w:tcW w:w="1049" w:type="dxa"/>
          </w:tcPr>
          <w:p w14:paraId="259D580E">
            <w:pPr>
              <w:pStyle w:val="40"/>
              <w:spacing w:before="78"/>
              <w:ind w:left="195" w:right="186" w:firstLine="361"/>
              <w:jc w:val="center"/>
              <w:rPr>
                <w:sz w:val="18"/>
              </w:rPr>
            </w:pPr>
            <w:r>
              <w:rPr>
                <w:sz w:val="18"/>
              </w:rPr>
              <w:t>X＜10</w:t>
            </w:r>
          </w:p>
        </w:tc>
      </w:tr>
      <w:tr w14:paraId="24FAF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continue"/>
            <w:tcBorders>
              <w:top w:val="nil"/>
            </w:tcBorders>
          </w:tcPr>
          <w:p w14:paraId="53127C9B">
            <w:pPr>
              <w:ind w:firstLine="40"/>
              <w:rPr>
                <w:sz w:val="2"/>
                <w:szCs w:val="2"/>
              </w:rPr>
            </w:pPr>
          </w:p>
        </w:tc>
        <w:tc>
          <w:tcPr>
            <w:tcW w:w="1451" w:type="dxa"/>
          </w:tcPr>
          <w:p w14:paraId="3FCFC4F5">
            <w:pPr>
              <w:pStyle w:val="40"/>
              <w:spacing w:before="87"/>
              <w:ind w:left="216" w:right="210" w:firstLine="361"/>
              <w:jc w:val="center"/>
              <w:rPr>
                <w:sz w:val="18"/>
              </w:rPr>
            </w:pPr>
            <w:r>
              <w:rPr>
                <w:sz w:val="18"/>
              </w:rPr>
              <w:t>营业收入(Y)</w:t>
            </w:r>
          </w:p>
        </w:tc>
        <w:tc>
          <w:tcPr>
            <w:tcW w:w="750" w:type="dxa"/>
          </w:tcPr>
          <w:p w14:paraId="60BEEC20">
            <w:pPr>
              <w:pStyle w:val="40"/>
              <w:spacing w:before="77"/>
              <w:ind w:left="178" w:right="171" w:firstLine="361"/>
              <w:jc w:val="center"/>
              <w:rPr>
                <w:sz w:val="18"/>
              </w:rPr>
            </w:pPr>
            <w:r>
              <w:rPr>
                <w:sz w:val="18"/>
              </w:rPr>
              <w:t>万元</w:t>
            </w:r>
          </w:p>
        </w:tc>
        <w:tc>
          <w:tcPr>
            <w:tcW w:w="1191" w:type="dxa"/>
          </w:tcPr>
          <w:p w14:paraId="1A14F6BA">
            <w:pPr>
              <w:pStyle w:val="40"/>
              <w:spacing w:before="77"/>
              <w:ind w:left="178" w:right="169" w:firstLine="361"/>
              <w:jc w:val="center"/>
              <w:rPr>
                <w:sz w:val="18"/>
              </w:rPr>
            </w:pPr>
            <w:r>
              <w:rPr>
                <w:sz w:val="18"/>
              </w:rPr>
              <w:t>Y≥20000</w:t>
            </w:r>
          </w:p>
        </w:tc>
        <w:tc>
          <w:tcPr>
            <w:tcW w:w="1803" w:type="dxa"/>
          </w:tcPr>
          <w:p w14:paraId="6931D223">
            <w:pPr>
              <w:pStyle w:val="40"/>
              <w:spacing w:before="77"/>
              <w:ind w:left="316" w:firstLine="361"/>
              <w:rPr>
                <w:sz w:val="18"/>
              </w:rPr>
            </w:pPr>
            <w:r>
              <w:rPr>
                <w:sz w:val="18"/>
              </w:rPr>
              <w:t>500≤Y＜20000</w:t>
            </w:r>
          </w:p>
        </w:tc>
        <w:tc>
          <w:tcPr>
            <w:tcW w:w="1511" w:type="dxa"/>
          </w:tcPr>
          <w:p w14:paraId="3079CBD8">
            <w:pPr>
              <w:pStyle w:val="40"/>
              <w:spacing w:before="77"/>
              <w:ind w:left="258" w:firstLine="361"/>
              <w:rPr>
                <w:sz w:val="18"/>
              </w:rPr>
            </w:pPr>
            <w:r>
              <w:rPr>
                <w:sz w:val="18"/>
              </w:rPr>
              <w:t>100≤Y＜500</w:t>
            </w:r>
          </w:p>
        </w:tc>
        <w:tc>
          <w:tcPr>
            <w:tcW w:w="1049" w:type="dxa"/>
          </w:tcPr>
          <w:p w14:paraId="591045D7">
            <w:pPr>
              <w:pStyle w:val="40"/>
              <w:spacing w:before="77"/>
              <w:ind w:left="195" w:right="186" w:firstLine="361"/>
              <w:jc w:val="center"/>
              <w:rPr>
                <w:sz w:val="18"/>
              </w:rPr>
            </w:pPr>
            <w:r>
              <w:rPr>
                <w:sz w:val="18"/>
              </w:rPr>
              <w:t>Y＜100</w:t>
            </w:r>
          </w:p>
        </w:tc>
      </w:tr>
      <w:tr w14:paraId="14A37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47" w:type="dxa"/>
            <w:vMerge w:val="restart"/>
          </w:tcPr>
          <w:p w14:paraId="23E057D9">
            <w:pPr>
              <w:pStyle w:val="40"/>
              <w:spacing w:before="3"/>
              <w:ind w:firstLine="420"/>
              <w:rPr>
                <w:b/>
              </w:rPr>
            </w:pPr>
          </w:p>
          <w:p w14:paraId="53CB1B12">
            <w:pPr>
              <w:pStyle w:val="40"/>
              <w:ind w:left="107" w:firstLine="361"/>
              <w:rPr>
                <w:sz w:val="18"/>
              </w:rPr>
            </w:pPr>
            <w:r>
              <w:rPr>
                <w:sz w:val="18"/>
              </w:rPr>
              <w:t>交通运输业*</w:t>
            </w:r>
          </w:p>
        </w:tc>
        <w:tc>
          <w:tcPr>
            <w:tcW w:w="1451" w:type="dxa"/>
          </w:tcPr>
          <w:p w14:paraId="02848FD2">
            <w:pPr>
              <w:pStyle w:val="40"/>
              <w:spacing w:before="79"/>
              <w:ind w:left="216" w:right="210" w:firstLine="361"/>
              <w:jc w:val="center"/>
              <w:rPr>
                <w:sz w:val="18"/>
              </w:rPr>
            </w:pPr>
            <w:r>
              <w:rPr>
                <w:sz w:val="18"/>
              </w:rPr>
              <w:t>从业人员(X)</w:t>
            </w:r>
          </w:p>
        </w:tc>
        <w:tc>
          <w:tcPr>
            <w:tcW w:w="750" w:type="dxa"/>
          </w:tcPr>
          <w:p w14:paraId="6951D90E">
            <w:pPr>
              <w:pStyle w:val="40"/>
              <w:spacing w:before="79"/>
              <w:ind w:left="9" w:firstLine="361"/>
              <w:jc w:val="center"/>
              <w:rPr>
                <w:sz w:val="18"/>
              </w:rPr>
            </w:pPr>
            <w:r>
              <w:rPr>
                <w:sz w:val="18"/>
              </w:rPr>
              <w:t>人</w:t>
            </w:r>
          </w:p>
        </w:tc>
        <w:tc>
          <w:tcPr>
            <w:tcW w:w="1191" w:type="dxa"/>
          </w:tcPr>
          <w:p w14:paraId="3BD7C98D">
            <w:pPr>
              <w:pStyle w:val="40"/>
              <w:spacing w:before="79"/>
              <w:ind w:left="178" w:right="169" w:firstLine="361"/>
              <w:jc w:val="center"/>
              <w:rPr>
                <w:sz w:val="18"/>
              </w:rPr>
            </w:pPr>
            <w:r>
              <w:rPr>
                <w:sz w:val="18"/>
              </w:rPr>
              <w:t>X≥1000</w:t>
            </w:r>
          </w:p>
        </w:tc>
        <w:tc>
          <w:tcPr>
            <w:tcW w:w="1803" w:type="dxa"/>
          </w:tcPr>
          <w:p w14:paraId="698D3CEB">
            <w:pPr>
              <w:pStyle w:val="40"/>
              <w:spacing w:before="79"/>
              <w:ind w:left="359" w:firstLine="361"/>
              <w:rPr>
                <w:sz w:val="18"/>
              </w:rPr>
            </w:pPr>
            <w:r>
              <w:rPr>
                <w:sz w:val="18"/>
              </w:rPr>
              <w:t>300≤X＜1000</w:t>
            </w:r>
          </w:p>
        </w:tc>
        <w:tc>
          <w:tcPr>
            <w:tcW w:w="1511" w:type="dxa"/>
          </w:tcPr>
          <w:p w14:paraId="56A697B9">
            <w:pPr>
              <w:pStyle w:val="40"/>
              <w:spacing w:before="79"/>
              <w:ind w:left="304" w:firstLine="361"/>
              <w:rPr>
                <w:sz w:val="18"/>
              </w:rPr>
            </w:pPr>
            <w:r>
              <w:rPr>
                <w:sz w:val="18"/>
              </w:rPr>
              <w:t>20≤X＜300</w:t>
            </w:r>
          </w:p>
        </w:tc>
        <w:tc>
          <w:tcPr>
            <w:tcW w:w="1049" w:type="dxa"/>
          </w:tcPr>
          <w:p w14:paraId="66CBD3CA">
            <w:pPr>
              <w:pStyle w:val="40"/>
              <w:spacing w:before="79"/>
              <w:ind w:left="195" w:right="186" w:firstLine="361"/>
              <w:jc w:val="center"/>
              <w:rPr>
                <w:sz w:val="18"/>
              </w:rPr>
            </w:pPr>
            <w:r>
              <w:rPr>
                <w:sz w:val="18"/>
              </w:rPr>
              <w:t>X＜20</w:t>
            </w:r>
          </w:p>
        </w:tc>
      </w:tr>
      <w:tr w14:paraId="5884E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continue"/>
            <w:tcBorders>
              <w:top w:val="nil"/>
            </w:tcBorders>
          </w:tcPr>
          <w:p w14:paraId="0EB8E4F9">
            <w:pPr>
              <w:ind w:firstLine="40"/>
              <w:rPr>
                <w:sz w:val="2"/>
                <w:szCs w:val="2"/>
              </w:rPr>
            </w:pPr>
          </w:p>
        </w:tc>
        <w:tc>
          <w:tcPr>
            <w:tcW w:w="1451" w:type="dxa"/>
          </w:tcPr>
          <w:p w14:paraId="7EFAFA1C">
            <w:pPr>
              <w:pStyle w:val="40"/>
              <w:spacing w:before="85"/>
              <w:ind w:left="216" w:right="210" w:firstLine="361"/>
              <w:jc w:val="center"/>
              <w:rPr>
                <w:sz w:val="18"/>
              </w:rPr>
            </w:pPr>
            <w:r>
              <w:rPr>
                <w:sz w:val="18"/>
              </w:rPr>
              <w:t>营业收入(Y)</w:t>
            </w:r>
          </w:p>
        </w:tc>
        <w:tc>
          <w:tcPr>
            <w:tcW w:w="750" w:type="dxa"/>
          </w:tcPr>
          <w:p w14:paraId="24E5CF10">
            <w:pPr>
              <w:pStyle w:val="40"/>
              <w:spacing w:before="78"/>
              <w:ind w:left="178" w:right="171" w:firstLine="361"/>
              <w:jc w:val="center"/>
              <w:rPr>
                <w:sz w:val="18"/>
              </w:rPr>
            </w:pPr>
            <w:r>
              <w:rPr>
                <w:sz w:val="18"/>
              </w:rPr>
              <w:t>万元</w:t>
            </w:r>
          </w:p>
        </w:tc>
        <w:tc>
          <w:tcPr>
            <w:tcW w:w="1191" w:type="dxa"/>
          </w:tcPr>
          <w:p w14:paraId="1B1FACF0">
            <w:pPr>
              <w:pStyle w:val="40"/>
              <w:spacing w:before="78"/>
              <w:ind w:left="178" w:right="169" w:firstLine="361"/>
              <w:jc w:val="center"/>
              <w:rPr>
                <w:sz w:val="18"/>
              </w:rPr>
            </w:pPr>
            <w:r>
              <w:rPr>
                <w:sz w:val="18"/>
              </w:rPr>
              <w:t>Y≥30000</w:t>
            </w:r>
          </w:p>
        </w:tc>
        <w:tc>
          <w:tcPr>
            <w:tcW w:w="1803" w:type="dxa"/>
          </w:tcPr>
          <w:p w14:paraId="4E8B5271">
            <w:pPr>
              <w:pStyle w:val="40"/>
              <w:spacing w:before="78"/>
              <w:ind w:left="271" w:firstLine="361"/>
              <w:rPr>
                <w:sz w:val="18"/>
              </w:rPr>
            </w:pPr>
            <w:r>
              <w:rPr>
                <w:sz w:val="18"/>
              </w:rPr>
              <w:t>3000≤Y＜30000</w:t>
            </w:r>
          </w:p>
        </w:tc>
        <w:tc>
          <w:tcPr>
            <w:tcW w:w="1511" w:type="dxa"/>
          </w:tcPr>
          <w:p w14:paraId="75C55F99">
            <w:pPr>
              <w:pStyle w:val="40"/>
              <w:spacing w:before="78"/>
              <w:ind w:left="215" w:firstLine="361"/>
              <w:rPr>
                <w:sz w:val="18"/>
              </w:rPr>
            </w:pPr>
            <w:r>
              <w:rPr>
                <w:sz w:val="18"/>
              </w:rPr>
              <w:t>200≤Y＜3000</w:t>
            </w:r>
          </w:p>
        </w:tc>
        <w:tc>
          <w:tcPr>
            <w:tcW w:w="1049" w:type="dxa"/>
          </w:tcPr>
          <w:p w14:paraId="31AD681E">
            <w:pPr>
              <w:pStyle w:val="40"/>
              <w:spacing w:before="78"/>
              <w:ind w:left="195" w:right="186" w:firstLine="361"/>
              <w:jc w:val="center"/>
              <w:rPr>
                <w:sz w:val="18"/>
              </w:rPr>
            </w:pPr>
            <w:r>
              <w:rPr>
                <w:sz w:val="18"/>
              </w:rPr>
              <w:t>Y＜200</w:t>
            </w:r>
          </w:p>
        </w:tc>
      </w:tr>
      <w:tr w14:paraId="29824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47" w:type="dxa"/>
            <w:vMerge w:val="restart"/>
          </w:tcPr>
          <w:p w14:paraId="7E8445A7">
            <w:pPr>
              <w:pStyle w:val="40"/>
              <w:spacing w:before="3"/>
              <w:ind w:firstLine="420"/>
              <w:rPr>
                <w:b/>
              </w:rPr>
            </w:pPr>
          </w:p>
          <w:p w14:paraId="717D8475">
            <w:pPr>
              <w:pStyle w:val="40"/>
              <w:spacing w:before="1"/>
              <w:ind w:left="107" w:firstLine="361"/>
              <w:rPr>
                <w:sz w:val="18"/>
              </w:rPr>
            </w:pPr>
            <w:r>
              <w:rPr>
                <w:sz w:val="18"/>
              </w:rPr>
              <w:t>仓储业*</w:t>
            </w:r>
          </w:p>
        </w:tc>
        <w:tc>
          <w:tcPr>
            <w:tcW w:w="1451" w:type="dxa"/>
          </w:tcPr>
          <w:p w14:paraId="52E686C7">
            <w:pPr>
              <w:pStyle w:val="40"/>
              <w:spacing w:before="77"/>
              <w:ind w:left="216" w:right="210" w:firstLine="361"/>
              <w:jc w:val="center"/>
              <w:rPr>
                <w:sz w:val="18"/>
              </w:rPr>
            </w:pPr>
            <w:r>
              <w:rPr>
                <w:sz w:val="18"/>
              </w:rPr>
              <w:t>从业人员(X)</w:t>
            </w:r>
          </w:p>
        </w:tc>
        <w:tc>
          <w:tcPr>
            <w:tcW w:w="750" w:type="dxa"/>
          </w:tcPr>
          <w:p w14:paraId="4F6E236E">
            <w:pPr>
              <w:pStyle w:val="40"/>
              <w:spacing w:before="77"/>
              <w:ind w:left="9" w:firstLine="361"/>
              <w:jc w:val="center"/>
              <w:rPr>
                <w:sz w:val="18"/>
              </w:rPr>
            </w:pPr>
            <w:r>
              <w:rPr>
                <w:sz w:val="18"/>
              </w:rPr>
              <w:t>人</w:t>
            </w:r>
          </w:p>
        </w:tc>
        <w:tc>
          <w:tcPr>
            <w:tcW w:w="1191" w:type="dxa"/>
          </w:tcPr>
          <w:p w14:paraId="3C6330D2">
            <w:pPr>
              <w:pStyle w:val="40"/>
              <w:spacing w:before="77"/>
              <w:ind w:left="178" w:right="169" w:firstLine="361"/>
              <w:jc w:val="center"/>
              <w:rPr>
                <w:sz w:val="18"/>
              </w:rPr>
            </w:pPr>
            <w:r>
              <w:rPr>
                <w:sz w:val="18"/>
              </w:rPr>
              <w:t>X≥200</w:t>
            </w:r>
          </w:p>
        </w:tc>
        <w:tc>
          <w:tcPr>
            <w:tcW w:w="1803" w:type="dxa"/>
          </w:tcPr>
          <w:p w14:paraId="0C31E83C">
            <w:pPr>
              <w:pStyle w:val="40"/>
              <w:spacing w:before="77"/>
              <w:ind w:left="352" w:firstLine="361"/>
              <w:rPr>
                <w:sz w:val="18"/>
              </w:rPr>
            </w:pPr>
            <w:r>
              <w:rPr>
                <w:sz w:val="18"/>
              </w:rPr>
              <w:t>100≤X＜200</w:t>
            </w:r>
          </w:p>
        </w:tc>
        <w:tc>
          <w:tcPr>
            <w:tcW w:w="1511" w:type="dxa"/>
          </w:tcPr>
          <w:p w14:paraId="27A5C7E8">
            <w:pPr>
              <w:pStyle w:val="40"/>
              <w:spacing w:before="77"/>
              <w:ind w:left="304" w:firstLine="361"/>
              <w:rPr>
                <w:sz w:val="18"/>
              </w:rPr>
            </w:pPr>
            <w:r>
              <w:rPr>
                <w:sz w:val="18"/>
              </w:rPr>
              <w:t>20≤X＜100</w:t>
            </w:r>
          </w:p>
        </w:tc>
        <w:tc>
          <w:tcPr>
            <w:tcW w:w="1049" w:type="dxa"/>
          </w:tcPr>
          <w:p w14:paraId="7A4B4EA4">
            <w:pPr>
              <w:pStyle w:val="40"/>
              <w:spacing w:before="77"/>
              <w:ind w:left="195" w:right="186" w:firstLine="361"/>
              <w:jc w:val="center"/>
              <w:rPr>
                <w:sz w:val="18"/>
              </w:rPr>
            </w:pPr>
            <w:r>
              <w:rPr>
                <w:sz w:val="18"/>
              </w:rPr>
              <w:t>X＜20</w:t>
            </w:r>
          </w:p>
        </w:tc>
      </w:tr>
      <w:tr w14:paraId="24EE6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continue"/>
            <w:tcBorders>
              <w:top w:val="nil"/>
            </w:tcBorders>
          </w:tcPr>
          <w:p w14:paraId="76ED5682">
            <w:pPr>
              <w:ind w:firstLine="40"/>
              <w:rPr>
                <w:sz w:val="2"/>
                <w:szCs w:val="2"/>
              </w:rPr>
            </w:pPr>
          </w:p>
        </w:tc>
        <w:tc>
          <w:tcPr>
            <w:tcW w:w="1451" w:type="dxa"/>
          </w:tcPr>
          <w:p w14:paraId="29242086">
            <w:pPr>
              <w:pStyle w:val="40"/>
              <w:spacing w:before="85"/>
              <w:ind w:left="216" w:right="210" w:firstLine="361"/>
              <w:jc w:val="center"/>
              <w:rPr>
                <w:sz w:val="18"/>
              </w:rPr>
            </w:pPr>
            <w:r>
              <w:rPr>
                <w:sz w:val="18"/>
              </w:rPr>
              <w:t>营业收入(Y)</w:t>
            </w:r>
          </w:p>
        </w:tc>
        <w:tc>
          <w:tcPr>
            <w:tcW w:w="750" w:type="dxa"/>
          </w:tcPr>
          <w:p w14:paraId="1AF656D2">
            <w:pPr>
              <w:pStyle w:val="40"/>
              <w:spacing w:before="78"/>
              <w:ind w:left="178" w:right="171" w:firstLine="361"/>
              <w:jc w:val="center"/>
              <w:rPr>
                <w:sz w:val="18"/>
              </w:rPr>
            </w:pPr>
            <w:r>
              <w:rPr>
                <w:sz w:val="18"/>
              </w:rPr>
              <w:t>万元</w:t>
            </w:r>
          </w:p>
        </w:tc>
        <w:tc>
          <w:tcPr>
            <w:tcW w:w="1191" w:type="dxa"/>
          </w:tcPr>
          <w:p w14:paraId="0BEE3415">
            <w:pPr>
              <w:pStyle w:val="40"/>
              <w:spacing w:before="78"/>
              <w:ind w:left="178" w:right="169" w:firstLine="361"/>
              <w:jc w:val="center"/>
              <w:rPr>
                <w:sz w:val="18"/>
              </w:rPr>
            </w:pPr>
            <w:r>
              <w:rPr>
                <w:sz w:val="18"/>
              </w:rPr>
              <w:t>Y≥30000</w:t>
            </w:r>
          </w:p>
        </w:tc>
        <w:tc>
          <w:tcPr>
            <w:tcW w:w="1803" w:type="dxa"/>
          </w:tcPr>
          <w:p w14:paraId="3708B52E">
            <w:pPr>
              <w:pStyle w:val="40"/>
              <w:spacing w:before="78"/>
              <w:ind w:left="271" w:firstLine="361"/>
              <w:rPr>
                <w:sz w:val="18"/>
              </w:rPr>
            </w:pPr>
            <w:r>
              <w:rPr>
                <w:sz w:val="18"/>
              </w:rPr>
              <w:t>1000≤Y＜30000</w:t>
            </w:r>
          </w:p>
        </w:tc>
        <w:tc>
          <w:tcPr>
            <w:tcW w:w="1511" w:type="dxa"/>
          </w:tcPr>
          <w:p w14:paraId="30FAEF21">
            <w:pPr>
              <w:pStyle w:val="40"/>
              <w:spacing w:before="78"/>
              <w:ind w:left="215" w:firstLine="361"/>
              <w:rPr>
                <w:sz w:val="18"/>
              </w:rPr>
            </w:pPr>
            <w:r>
              <w:rPr>
                <w:sz w:val="18"/>
              </w:rPr>
              <w:t>100≤Y＜1000</w:t>
            </w:r>
          </w:p>
        </w:tc>
        <w:tc>
          <w:tcPr>
            <w:tcW w:w="1049" w:type="dxa"/>
          </w:tcPr>
          <w:p w14:paraId="15209E49">
            <w:pPr>
              <w:pStyle w:val="40"/>
              <w:spacing w:before="78"/>
              <w:ind w:left="195" w:right="186" w:firstLine="361"/>
              <w:jc w:val="center"/>
              <w:rPr>
                <w:sz w:val="18"/>
              </w:rPr>
            </w:pPr>
            <w:r>
              <w:rPr>
                <w:sz w:val="18"/>
              </w:rPr>
              <w:t>Y＜100</w:t>
            </w:r>
          </w:p>
        </w:tc>
      </w:tr>
      <w:tr w14:paraId="5A6DB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47" w:type="dxa"/>
            <w:vMerge w:val="restart"/>
          </w:tcPr>
          <w:p w14:paraId="7F2F1480">
            <w:pPr>
              <w:pStyle w:val="40"/>
              <w:spacing w:before="4"/>
              <w:ind w:firstLine="420"/>
              <w:rPr>
                <w:b/>
              </w:rPr>
            </w:pPr>
          </w:p>
          <w:p w14:paraId="505442F4">
            <w:pPr>
              <w:pStyle w:val="40"/>
              <w:ind w:left="107" w:firstLine="361"/>
              <w:rPr>
                <w:sz w:val="18"/>
              </w:rPr>
            </w:pPr>
            <w:r>
              <w:rPr>
                <w:sz w:val="18"/>
              </w:rPr>
              <w:t>邮政业</w:t>
            </w:r>
          </w:p>
        </w:tc>
        <w:tc>
          <w:tcPr>
            <w:tcW w:w="1451" w:type="dxa"/>
          </w:tcPr>
          <w:p w14:paraId="5E7C4E27">
            <w:pPr>
              <w:pStyle w:val="40"/>
              <w:spacing w:before="77"/>
              <w:ind w:left="216" w:right="210" w:firstLine="361"/>
              <w:jc w:val="center"/>
              <w:rPr>
                <w:sz w:val="18"/>
              </w:rPr>
            </w:pPr>
            <w:r>
              <w:rPr>
                <w:sz w:val="18"/>
              </w:rPr>
              <w:t>从业人员(X)</w:t>
            </w:r>
          </w:p>
        </w:tc>
        <w:tc>
          <w:tcPr>
            <w:tcW w:w="750" w:type="dxa"/>
          </w:tcPr>
          <w:p w14:paraId="1BD0AC81">
            <w:pPr>
              <w:pStyle w:val="40"/>
              <w:spacing w:before="77"/>
              <w:ind w:left="9" w:firstLine="361"/>
              <w:jc w:val="center"/>
              <w:rPr>
                <w:sz w:val="18"/>
              </w:rPr>
            </w:pPr>
            <w:r>
              <w:rPr>
                <w:sz w:val="18"/>
              </w:rPr>
              <w:t>人</w:t>
            </w:r>
          </w:p>
        </w:tc>
        <w:tc>
          <w:tcPr>
            <w:tcW w:w="1191" w:type="dxa"/>
          </w:tcPr>
          <w:p w14:paraId="3CD60F01">
            <w:pPr>
              <w:pStyle w:val="40"/>
              <w:spacing w:before="77"/>
              <w:ind w:left="178" w:right="169" w:firstLine="361"/>
              <w:jc w:val="center"/>
              <w:rPr>
                <w:sz w:val="18"/>
              </w:rPr>
            </w:pPr>
            <w:r>
              <w:rPr>
                <w:sz w:val="18"/>
              </w:rPr>
              <w:t>X≥1000</w:t>
            </w:r>
          </w:p>
        </w:tc>
        <w:tc>
          <w:tcPr>
            <w:tcW w:w="1803" w:type="dxa"/>
          </w:tcPr>
          <w:p w14:paraId="2EAFF96C">
            <w:pPr>
              <w:pStyle w:val="40"/>
              <w:spacing w:before="77"/>
              <w:ind w:left="359" w:firstLine="361"/>
              <w:rPr>
                <w:sz w:val="18"/>
              </w:rPr>
            </w:pPr>
            <w:r>
              <w:rPr>
                <w:sz w:val="18"/>
              </w:rPr>
              <w:t>300≤X＜1000</w:t>
            </w:r>
          </w:p>
        </w:tc>
        <w:tc>
          <w:tcPr>
            <w:tcW w:w="1511" w:type="dxa"/>
          </w:tcPr>
          <w:p w14:paraId="7E631CB0">
            <w:pPr>
              <w:pStyle w:val="40"/>
              <w:spacing w:before="77"/>
              <w:ind w:left="304" w:firstLine="361"/>
              <w:rPr>
                <w:sz w:val="18"/>
              </w:rPr>
            </w:pPr>
            <w:r>
              <w:rPr>
                <w:sz w:val="18"/>
              </w:rPr>
              <w:t>20≤X＜300</w:t>
            </w:r>
          </w:p>
        </w:tc>
        <w:tc>
          <w:tcPr>
            <w:tcW w:w="1049" w:type="dxa"/>
          </w:tcPr>
          <w:p w14:paraId="7905DCF6">
            <w:pPr>
              <w:pStyle w:val="40"/>
              <w:spacing w:before="77"/>
              <w:ind w:left="195" w:right="186" w:firstLine="361"/>
              <w:jc w:val="center"/>
              <w:rPr>
                <w:sz w:val="18"/>
              </w:rPr>
            </w:pPr>
            <w:r>
              <w:rPr>
                <w:sz w:val="18"/>
              </w:rPr>
              <w:t>X＜20</w:t>
            </w:r>
          </w:p>
        </w:tc>
      </w:tr>
      <w:tr w14:paraId="000A1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continue"/>
            <w:tcBorders>
              <w:top w:val="nil"/>
            </w:tcBorders>
          </w:tcPr>
          <w:p w14:paraId="1477F2C6">
            <w:pPr>
              <w:ind w:firstLine="40"/>
              <w:rPr>
                <w:sz w:val="2"/>
                <w:szCs w:val="2"/>
              </w:rPr>
            </w:pPr>
          </w:p>
        </w:tc>
        <w:tc>
          <w:tcPr>
            <w:tcW w:w="1451" w:type="dxa"/>
          </w:tcPr>
          <w:p w14:paraId="17F364B1">
            <w:pPr>
              <w:pStyle w:val="40"/>
              <w:spacing w:before="86"/>
              <w:ind w:left="216" w:right="210" w:firstLine="361"/>
              <w:jc w:val="center"/>
              <w:rPr>
                <w:sz w:val="18"/>
              </w:rPr>
            </w:pPr>
            <w:r>
              <w:rPr>
                <w:sz w:val="18"/>
              </w:rPr>
              <w:t>营业收入(Y)</w:t>
            </w:r>
          </w:p>
        </w:tc>
        <w:tc>
          <w:tcPr>
            <w:tcW w:w="750" w:type="dxa"/>
          </w:tcPr>
          <w:p w14:paraId="768A8417">
            <w:pPr>
              <w:pStyle w:val="40"/>
              <w:spacing w:before="79"/>
              <w:ind w:left="178" w:right="171" w:firstLine="361"/>
              <w:jc w:val="center"/>
              <w:rPr>
                <w:sz w:val="18"/>
              </w:rPr>
            </w:pPr>
            <w:r>
              <w:rPr>
                <w:sz w:val="18"/>
              </w:rPr>
              <w:t>万元</w:t>
            </w:r>
          </w:p>
        </w:tc>
        <w:tc>
          <w:tcPr>
            <w:tcW w:w="1191" w:type="dxa"/>
          </w:tcPr>
          <w:p w14:paraId="0C67BE76">
            <w:pPr>
              <w:pStyle w:val="40"/>
              <w:spacing w:before="79"/>
              <w:ind w:left="178" w:right="169" w:firstLine="361"/>
              <w:jc w:val="center"/>
              <w:rPr>
                <w:sz w:val="18"/>
              </w:rPr>
            </w:pPr>
            <w:r>
              <w:rPr>
                <w:sz w:val="18"/>
              </w:rPr>
              <w:t>Y≥30000</w:t>
            </w:r>
          </w:p>
        </w:tc>
        <w:tc>
          <w:tcPr>
            <w:tcW w:w="1803" w:type="dxa"/>
          </w:tcPr>
          <w:p w14:paraId="3DB3DFB3">
            <w:pPr>
              <w:pStyle w:val="40"/>
              <w:spacing w:before="79"/>
              <w:ind w:left="271" w:firstLine="361"/>
              <w:rPr>
                <w:sz w:val="18"/>
              </w:rPr>
            </w:pPr>
            <w:r>
              <w:rPr>
                <w:sz w:val="18"/>
              </w:rPr>
              <w:t>2000≤Y＜30000</w:t>
            </w:r>
          </w:p>
        </w:tc>
        <w:tc>
          <w:tcPr>
            <w:tcW w:w="1511" w:type="dxa"/>
          </w:tcPr>
          <w:p w14:paraId="72FDBB56">
            <w:pPr>
              <w:pStyle w:val="40"/>
              <w:spacing w:before="79"/>
              <w:ind w:left="215" w:firstLine="361"/>
              <w:rPr>
                <w:sz w:val="18"/>
              </w:rPr>
            </w:pPr>
            <w:r>
              <w:rPr>
                <w:sz w:val="18"/>
              </w:rPr>
              <w:t>100≤Y＜2000</w:t>
            </w:r>
          </w:p>
        </w:tc>
        <w:tc>
          <w:tcPr>
            <w:tcW w:w="1049" w:type="dxa"/>
          </w:tcPr>
          <w:p w14:paraId="69431D6C">
            <w:pPr>
              <w:pStyle w:val="40"/>
              <w:spacing w:before="79"/>
              <w:ind w:left="195" w:right="186" w:firstLine="361"/>
              <w:jc w:val="center"/>
              <w:rPr>
                <w:sz w:val="18"/>
              </w:rPr>
            </w:pPr>
            <w:r>
              <w:rPr>
                <w:sz w:val="18"/>
              </w:rPr>
              <w:t>Y＜100</w:t>
            </w:r>
          </w:p>
        </w:tc>
      </w:tr>
      <w:tr w14:paraId="5E99B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restart"/>
          </w:tcPr>
          <w:p w14:paraId="49F8FBF2">
            <w:pPr>
              <w:pStyle w:val="40"/>
              <w:spacing w:before="2"/>
              <w:ind w:firstLine="420"/>
              <w:rPr>
                <w:b/>
              </w:rPr>
            </w:pPr>
          </w:p>
          <w:p w14:paraId="2EDF8291">
            <w:pPr>
              <w:pStyle w:val="40"/>
              <w:ind w:left="107" w:firstLine="361"/>
              <w:rPr>
                <w:sz w:val="18"/>
              </w:rPr>
            </w:pPr>
            <w:r>
              <w:rPr>
                <w:sz w:val="18"/>
              </w:rPr>
              <w:t>住宿业</w:t>
            </w:r>
          </w:p>
        </w:tc>
        <w:tc>
          <w:tcPr>
            <w:tcW w:w="1451" w:type="dxa"/>
          </w:tcPr>
          <w:p w14:paraId="68D198E0">
            <w:pPr>
              <w:pStyle w:val="40"/>
              <w:spacing w:before="77"/>
              <w:ind w:left="216" w:right="210" w:firstLine="361"/>
              <w:jc w:val="center"/>
              <w:rPr>
                <w:sz w:val="18"/>
              </w:rPr>
            </w:pPr>
            <w:r>
              <w:rPr>
                <w:sz w:val="18"/>
              </w:rPr>
              <w:t>从业人员(X)</w:t>
            </w:r>
          </w:p>
        </w:tc>
        <w:tc>
          <w:tcPr>
            <w:tcW w:w="750" w:type="dxa"/>
          </w:tcPr>
          <w:p w14:paraId="633EAEC7">
            <w:pPr>
              <w:pStyle w:val="40"/>
              <w:spacing w:before="77"/>
              <w:ind w:left="9" w:firstLine="361"/>
              <w:jc w:val="center"/>
              <w:rPr>
                <w:sz w:val="18"/>
              </w:rPr>
            </w:pPr>
            <w:r>
              <w:rPr>
                <w:sz w:val="18"/>
              </w:rPr>
              <w:t>人</w:t>
            </w:r>
          </w:p>
        </w:tc>
        <w:tc>
          <w:tcPr>
            <w:tcW w:w="1191" w:type="dxa"/>
          </w:tcPr>
          <w:p w14:paraId="428DE709">
            <w:pPr>
              <w:pStyle w:val="40"/>
              <w:spacing w:before="77"/>
              <w:ind w:left="178" w:right="169" w:firstLine="361"/>
              <w:jc w:val="center"/>
              <w:rPr>
                <w:sz w:val="18"/>
              </w:rPr>
            </w:pPr>
            <w:r>
              <w:rPr>
                <w:sz w:val="18"/>
              </w:rPr>
              <w:t>X≥300</w:t>
            </w:r>
          </w:p>
        </w:tc>
        <w:tc>
          <w:tcPr>
            <w:tcW w:w="1803" w:type="dxa"/>
          </w:tcPr>
          <w:p w14:paraId="04F90E18">
            <w:pPr>
              <w:pStyle w:val="40"/>
              <w:spacing w:before="77"/>
              <w:ind w:left="352" w:firstLine="361"/>
              <w:rPr>
                <w:sz w:val="18"/>
              </w:rPr>
            </w:pPr>
            <w:r>
              <w:rPr>
                <w:sz w:val="18"/>
              </w:rPr>
              <w:t>100≤X＜300</w:t>
            </w:r>
          </w:p>
        </w:tc>
        <w:tc>
          <w:tcPr>
            <w:tcW w:w="1511" w:type="dxa"/>
          </w:tcPr>
          <w:p w14:paraId="5B468193">
            <w:pPr>
              <w:pStyle w:val="40"/>
              <w:spacing w:before="77"/>
              <w:ind w:left="304" w:firstLine="361"/>
              <w:rPr>
                <w:sz w:val="18"/>
              </w:rPr>
            </w:pPr>
            <w:r>
              <w:rPr>
                <w:sz w:val="18"/>
              </w:rPr>
              <w:t>10≤X＜100</w:t>
            </w:r>
          </w:p>
        </w:tc>
        <w:tc>
          <w:tcPr>
            <w:tcW w:w="1049" w:type="dxa"/>
          </w:tcPr>
          <w:p w14:paraId="1ECC2517">
            <w:pPr>
              <w:pStyle w:val="40"/>
              <w:spacing w:before="77"/>
              <w:ind w:left="195" w:right="186" w:firstLine="361"/>
              <w:jc w:val="center"/>
              <w:rPr>
                <w:sz w:val="18"/>
              </w:rPr>
            </w:pPr>
            <w:r>
              <w:rPr>
                <w:sz w:val="18"/>
              </w:rPr>
              <w:t>X＜10</w:t>
            </w:r>
          </w:p>
        </w:tc>
      </w:tr>
      <w:tr w14:paraId="43B21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47" w:type="dxa"/>
            <w:vMerge w:val="continue"/>
            <w:tcBorders>
              <w:top w:val="nil"/>
            </w:tcBorders>
          </w:tcPr>
          <w:p w14:paraId="6B983B41">
            <w:pPr>
              <w:ind w:firstLine="40"/>
              <w:rPr>
                <w:sz w:val="2"/>
                <w:szCs w:val="2"/>
              </w:rPr>
            </w:pPr>
          </w:p>
        </w:tc>
        <w:tc>
          <w:tcPr>
            <w:tcW w:w="1451" w:type="dxa"/>
          </w:tcPr>
          <w:p w14:paraId="0344227D">
            <w:pPr>
              <w:pStyle w:val="40"/>
              <w:spacing w:before="86"/>
              <w:ind w:left="216" w:right="210" w:firstLine="361"/>
              <w:jc w:val="center"/>
              <w:rPr>
                <w:sz w:val="18"/>
              </w:rPr>
            </w:pPr>
            <w:r>
              <w:rPr>
                <w:sz w:val="18"/>
              </w:rPr>
              <w:t>营业收入(Y)</w:t>
            </w:r>
          </w:p>
        </w:tc>
        <w:tc>
          <w:tcPr>
            <w:tcW w:w="750" w:type="dxa"/>
          </w:tcPr>
          <w:p w14:paraId="37116069">
            <w:pPr>
              <w:pStyle w:val="40"/>
              <w:spacing w:before="79"/>
              <w:ind w:left="178" w:right="171" w:firstLine="361"/>
              <w:jc w:val="center"/>
              <w:rPr>
                <w:sz w:val="18"/>
              </w:rPr>
            </w:pPr>
            <w:r>
              <w:rPr>
                <w:sz w:val="18"/>
              </w:rPr>
              <w:t>万元</w:t>
            </w:r>
          </w:p>
        </w:tc>
        <w:tc>
          <w:tcPr>
            <w:tcW w:w="1191" w:type="dxa"/>
          </w:tcPr>
          <w:p w14:paraId="6858B707">
            <w:pPr>
              <w:pStyle w:val="40"/>
              <w:spacing w:before="79"/>
              <w:ind w:left="178" w:right="169" w:firstLine="361"/>
              <w:jc w:val="center"/>
              <w:rPr>
                <w:sz w:val="18"/>
              </w:rPr>
            </w:pPr>
            <w:r>
              <w:rPr>
                <w:sz w:val="18"/>
              </w:rPr>
              <w:t>Y≥10000</w:t>
            </w:r>
          </w:p>
        </w:tc>
        <w:tc>
          <w:tcPr>
            <w:tcW w:w="1803" w:type="dxa"/>
          </w:tcPr>
          <w:p w14:paraId="2E3DD9B6">
            <w:pPr>
              <w:pStyle w:val="40"/>
              <w:spacing w:before="79"/>
              <w:ind w:left="271" w:firstLine="361"/>
              <w:rPr>
                <w:sz w:val="18"/>
              </w:rPr>
            </w:pPr>
            <w:r>
              <w:rPr>
                <w:sz w:val="18"/>
              </w:rPr>
              <w:t>2000≤Y＜10000</w:t>
            </w:r>
          </w:p>
        </w:tc>
        <w:tc>
          <w:tcPr>
            <w:tcW w:w="1511" w:type="dxa"/>
          </w:tcPr>
          <w:p w14:paraId="1E019934">
            <w:pPr>
              <w:pStyle w:val="40"/>
              <w:spacing w:before="79"/>
              <w:ind w:left="215" w:firstLine="361"/>
              <w:rPr>
                <w:sz w:val="18"/>
              </w:rPr>
            </w:pPr>
            <w:r>
              <w:rPr>
                <w:sz w:val="18"/>
              </w:rPr>
              <w:t>100≤Y＜2000</w:t>
            </w:r>
          </w:p>
        </w:tc>
        <w:tc>
          <w:tcPr>
            <w:tcW w:w="1049" w:type="dxa"/>
          </w:tcPr>
          <w:p w14:paraId="2D599A4A">
            <w:pPr>
              <w:pStyle w:val="40"/>
              <w:spacing w:before="79"/>
              <w:ind w:left="195" w:right="186" w:firstLine="361"/>
              <w:jc w:val="center"/>
              <w:rPr>
                <w:sz w:val="18"/>
              </w:rPr>
            </w:pPr>
            <w:r>
              <w:rPr>
                <w:sz w:val="18"/>
              </w:rPr>
              <w:t>Y＜100</w:t>
            </w:r>
          </w:p>
        </w:tc>
      </w:tr>
      <w:tr w14:paraId="2EF23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restart"/>
          </w:tcPr>
          <w:p w14:paraId="633B318A">
            <w:pPr>
              <w:pStyle w:val="40"/>
              <w:spacing w:before="2"/>
              <w:ind w:firstLine="420"/>
              <w:rPr>
                <w:b/>
              </w:rPr>
            </w:pPr>
          </w:p>
          <w:p w14:paraId="2565A927">
            <w:pPr>
              <w:pStyle w:val="40"/>
              <w:ind w:left="107" w:firstLine="361"/>
              <w:rPr>
                <w:sz w:val="18"/>
              </w:rPr>
            </w:pPr>
            <w:r>
              <w:rPr>
                <w:sz w:val="18"/>
              </w:rPr>
              <w:t>餐饮业</w:t>
            </w:r>
          </w:p>
        </w:tc>
        <w:tc>
          <w:tcPr>
            <w:tcW w:w="1451" w:type="dxa"/>
          </w:tcPr>
          <w:p w14:paraId="4693D3EB">
            <w:pPr>
              <w:pStyle w:val="40"/>
              <w:spacing w:before="78"/>
              <w:ind w:left="216" w:right="210" w:firstLine="361"/>
              <w:jc w:val="center"/>
              <w:rPr>
                <w:sz w:val="18"/>
              </w:rPr>
            </w:pPr>
            <w:r>
              <w:rPr>
                <w:sz w:val="18"/>
              </w:rPr>
              <w:t>从业人员(X)</w:t>
            </w:r>
          </w:p>
        </w:tc>
        <w:tc>
          <w:tcPr>
            <w:tcW w:w="750" w:type="dxa"/>
          </w:tcPr>
          <w:p w14:paraId="5E053279">
            <w:pPr>
              <w:pStyle w:val="40"/>
              <w:spacing w:before="78"/>
              <w:ind w:left="9" w:firstLine="361"/>
              <w:jc w:val="center"/>
              <w:rPr>
                <w:sz w:val="18"/>
              </w:rPr>
            </w:pPr>
            <w:r>
              <w:rPr>
                <w:sz w:val="18"/>
              </w:rPr>
              <w:t>人</w:t>
            </w:r>
          </w:p>
        </w:tc>
        <w:tc>
          <w:tcPr>
            <w:tcW w:w="1191" w:type="dxa"/>
          </w:tcPr>
          <w:p w14:paraId="7215AA18">
            <w:pPr>
              <w:pStyle w:val="40"/>
              <w:spacing w:before="78"/>
              <w:ind w:left="178" w:right="169" w:firstLine="361"/>
              <w:jc w:val="center"/>
              <w:rPr>
                <w:sz w:val="18"/>
              </w:rPr>
            </w:pPr>
            <w:r>
              <w:rPr>
                <w:sz w:val="18"/>
              </w:rPr>
              <w:t>X≥300</w:t>
            </w:r>
          </w:p>
        </w:tc>
        <w:tc>
          <w:tcPr>
            <w:tcW w:w="1803" w:type="dxa"/>
          </w:tcPr>
          <w:p w14:paraId="645A7CC3">
            <w:pPr>
              <w:pStyle w:val="40"/>
              <w:spacing w:before="78"/>
              <w:ind w:left="352" w:firstLine="361"/>
              <w:rPr>
                <w:sz w:val="18"/>
              </w:rPr>
            </w:pPr>
            <w:r>
              <w:rPr>
                <w:sz w:val="18"/>
              </w:rPr>
              <w:t>100≤X＜300</w:t>
            </w:r>
          </w:p>
        </w:tc>
        <w:tc>
          <w:tcPr>
            <w:tcW w:w="1511" w:type="dxa"/>
          </w:tcPr>
          <w:p w14:paraId="10773F29">
            <w:pPr>
              <w:pStyle w:val="40"/>
              <w:spacing w:before="78"/>
              <w:ind w:left="304" w:firstLine="361"/>
              <w:rPr>
                <w:sz w:val="18"/>
              </w:rPr>
            </w:pPr>
            <w:r>
              <w:rPr>
                <w:sz w:val="18"/>
              </w:rPr>
              <w:t>10≤X＜100</w:t>
            </w:r>
          </w:p>
        </w:tc>
        <w:tc>
          <w:tcPr>
            <w:tcW w:w="1049" w:type="dxa"/>
          </w:tcPr>
          <w:p w14:paraId="02D2195E">
            <w:pPr>
              <w:pStyle w:val="40"/>
              <w:spacing w:before="78"/>
              <w:ind w:left="195" w:right="186" w:firstLine="361"/>
              <w:jc w:val="center"/>
              <w:rPr>
                <w:sz w:val="18"/>
              </w:rPr>
            </w:pPr>
            <w:r>
              <w:rPr>
                <w:sz w:val="18"/>
              </w:rPr>
              <w:t>X＜10</w:t>
            </w:r>
          </w:p>
        </w:tc>
      </w:tr>
      <w:tr w14:paraId="17091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47" w:type="dxa"/>
            <w:vMerge w:val="continue"/>
            <w:tcBorders>
              <w:top w:val="nil"/>
            </w:tcBorders>
          </w:tcPr>
          <w:p w14:paraId="680C3621">
            <w:pPr>
              <w:ind w:firstLine="40"/>
              <w:rPr>
                <w:sz w:val="2"/>
                <w:szCs w:val="2"/>
              </w:rPr>
            </w:pPr>
          </w:p>
        </w:tc>
        <w:tc>
          <w:tcPr>
            <w:tcW w:w="1451" w:type="dxa"/>
          </w:tcPr>
          <w:p w14:paraId="38F243B9">
            <w:pPr>
              <w:pStyle w:val="40"/>
              <w:spacing w:before="86"/>
              <w:ind w:left="216" w:right="210" w:firstLine="361"/>
              <w:jc w:val="center"/>
              <w:rPr>
                <w:sz w:val="18"/>
              </w:rPr>
            </w:pPr>
            <w:r>
              <w:rPr>
                <w:sz w:val="18"/>
              </w:rPr>
              <w:t>营业收入(Y)</w:t>
            </w:r>
          </w:p>
        </w:tc>
        <w:tc>
          <w:tcPr>
            <w:tcW w:w="750" w:type="dxa"/>
          </w:tcPr>
          <w:p w14:paraId="594A144D">
            <w:pPr>
              <w:pStyle w:val="40"/>
              <w:spacing w:before="77"/>
              <w:ind w:left="178" w:right="171" w:firstLine="361"/>
              <w:jc w:val="center"/>
              <w:rPr>
                <w:sz w:val="18"/>
              </w:rPr>
            </w:pPr>
            <w:r>
              <w:rPr>
                <w:sz w:val="18"/>
              </w:rPr>
              <w:t>万元</w:t>
            </w:r>
          </w:p>
        </w:tc>
        <w:tc>
          <w:tcPr>
            <w:tcW w:w="1191" w:type="dxa"/>
          </w:tcPr>
          <w:p w14:paraId="79ADA297">
            <w:pPr>
              <w:pStyle w:val="40"/>
              <w:spacing w:before="77"/>
              <w:ind w:left="178" w:right="169" w:firstLine="361"/>
              <w:jc w:val="center"/>
              <w:rPr>
                <w:sz w:val="18"/>
              </w:rPr>
            </w:pPr>
            <w:r>
              <w:rPr>
                <w:sz w:val="18"/>
              </w:rPr>
              <w:t>Y≥10000</w:t>
            </w:r>
          </w:p>
        </w:tc>
        <w:tc>
          <w:tcPr>
            <w:tcW w:w="1803" w:type="dxa"/>
          </w:tcPr>
          <w:p w14:paraId="3EAFAB01">
            <w:pPr>
              <w:pStyle w:val="40"/>
              <w:spacing w:before="77"/>
              <w:ind w:left="271" w:firstLine="361"/>
              <w:rPr>
                <w:sz w:val="18"/>
              </w:rPr>
            </w:pPr>
            <w:r>
              <w:rPr>
                <w:sz w:val="18"/>
              </w:rPr>
              <w:t>2000≤Y＜10000</w:t>
            </w:r>
          </w:p>
        </w:tc>
        <w:tc>
          <w:tcPr>
            <w:tcW w:w="1511" w:type="dxa"/>
          </w:tcPr>
          <w:p w14:paraId="7AE6189D">
            <w:pPr>
              <w:pStyle w:val="40"/>
              <w:spacing w:before="77"/>
              <w:ind w:left="215" w:firstLine="361"/>
              <w:rPr>
                <w:sz w:val="18"/>
              </w:rPr>
            </w:pPr>
            <w:r>
              <w:rPr>
                <w:sz w:val="18"/>
              </w:rPr>
              <w:t>100≤Y＜2000</w:t>
            </w:r>
          </w:p>
        </w:tc>
        <w:tc>
          <w:tcPr>
            <w:tcW w:w="1049" w:type="dxa"/>
          </w:tcPr>
          <w:p w14:paraId="1CBAE395">
            <w:pPr>
              <w:pStyle w:val="40"/>
              <w:spacing w:before="77"/>
              <w:ind w:left="195" w:right="186" w:firstLine="361"/>
              <w:jc w:val="center"/>
              <w:rPr>
                <w:sz w:val="18"/>
              </w:rPr>
            </w:pPr>
            <w:r>
              <w:rPr>
                <w:sz w:val="18"/>
              </w:rPr>
              <w:t>Y＜100</w:t>
            </w:r>
          </w:p>
        </w:tc>
      </w:tr>
      <w:tr w14:paraId="68B0B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restart"/>
          </w:tcPr>
          <w:p w14:paraId="0E29FD8A">
            <w:pPr>
              <w:pStyle w:val="40"/>
              <w:spacing w:before="3"/>
              <w:ind w:firstLine="420"/>
              <w:rPr>
                <w:b/>
              </w:rPr>
            </w:pPr>
          </w:p>
          <w:p w14:paraId="7FE5C152">
            <w:pPr>
              <w:pStyle w:val="40"/>
              <w:ind w:left="107" w:firstLine="361"/>
              <w:rPr>
                <w:sz w:val="18"/>
              </w:rPr>
            </w:pPr>
            <w:r>
              <w:rPr>
                <w:sz w:val="18"/>
              </w:rPr>
              <w:t>信息传输业*</w:t>
            </w:r>
          </w:p>
        </w:tc>
        <w:tc>
          <w:tcPr>
            <w:tcW w:w="1451" w:type="dxa"/>
          </w:tcPr>
          <w:p w14:paraId="11C4718E">
            <w:pPr>
              <w:pStyle w:val="40"/>
              <w:spacing w:before="78"/>
              <w:ind w:left="216" w:right="210" w:firstLine="361"/>
              <w:jc w:val="center"/>
              <w:rPr>
                <w:sz w:val="18"/>
              </w:rPr>
            </w:pPr>
            <w:r>
              <w:rPr>
                <w:sz w:val="18"/>
              </w:rPr>
              <w:t>从业人员(X)</w:t>
            </w:r>
          </w:p>
        </w:tc>
        <w:tc>
          <w:tcPr>
            <w:tcW w:w="750" w:type="dxa"/>
          </w:tcPr>
          <w:p w14:paraId="5125D3C9">
            <w:pPr>
              <w:pStyle w:val="40"/>
              <w:spacing w:before="78"/>
              <w:ind w:left="9" w:firstLine="361"/>
              <w:jc w:val="center"/>
              <w:rPr>
                <w:sz w:val="18"/>
              </w:rPr>
            </w:pPr>
            <w:r>
              <w:rPr>
                <w:sz w:val="18"/>
              </w:rPr>
              <w:t>人</w:t>
            </w:r>
          </w:p>
        </w:tc>
        <w:tc>
          <w:tcPr>
            <w:tcW w:w="1191" w:type="dxa"/>
          </w:tcPr>
          <w:p w14:paraId="52D459DE">
            <w:pPr>
              <w:pStyle w:val="40"/>
              <w:spacing w:before="78"/>
              <w:ind w:left="178" w:right="169" w:firstLine="361"/>
              <w:jc w:val="center"/>
              <w:rPr>
                <w:sz w:val="18"/>
              </w:rPr>
            </w:pPr>
            <w:r>
              <w:rPr>
                <w:sz w:val="18"/>
              </w:rPr>
              <w:t>X≥2000</w:t>
            </w:r>
          </w:p>
        </w:tc>
        <w:tc>
          <w:tcPr>
            <w:tcW w:w="1803" w:type="dxa"/>
          </w:tcPr>
          <w:p w14:paraId="1D8FE875">
            <w:pPr>
              <w:pStyle w:val="40"/>
              <w:spacing w:before="78"/>
              <w:ind w:left="359" w:firstLine="361"/>
              <w:rPr>
                <w:sz w:val="18"/>
              </w:rPr>
            </w:pPr>
            <w:r>
              <w:rPr>
                <w:sz w:val="18"/>
              </w:rPr>
              <w:t>100≤X＜2000</w:t>
            </w:r>
          </w:p>
        </w:tc>
        <w:tc>
          <w:tcPr>
            <w:tcW w:w="1511" w:type="dxa"/>
          </w:tcPr>
          <w:p w14:paraId="6898D92D">
            <w:pPr>
              <w:pStyle w:val="40"/>
              <w:spacing w:before="78"/>
              <w:ind w:left="304" w:firstLine="361"/>
              <w:rPr>
                <w:sz w:val="18"/>
              </w:rPr>
            </w:pPr>
            <w:r>
              <w:rPr>
                <w:sz w:val="18"/>
              </w:rPr>
              <w:t>10≤X＜100</w:t>
            </w:r>
          </w:p>
        </w:tc>
        <w:tc>
          <w:tcPr>
            <w:tcW w:w="1049" w:type="dxa"/>
          </w:tcPr>
          <w:p w14:paraId="397E95A2">
            <w:pPr>
              <w:pStyle w:val="40"/>
              <w:spacing w:before="78"/>
              <w:ind w:left="195" w:right="186" w:firstLine="361"/>
              <w:jc w:val="center"/>
              <w:rPr>
                <w:sz w:val="18"/>
              </w:rPr>
            </w:pPr>
            <w:r>
              <w:rPr>
                <w:sz w:val="18"/>
              </w:rPr>
              <w:t>X＜10</w:t>
            </w:r>
          </w:p>
        </w:tc>
      </w:tr>
      <w:tr w14:paraId="26587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47" w:type="dxa"/>
            <w:vMerge w:val="continue"/>
            <w:tcBorders>
              <w:top w:val="nil"/>
            </w:tcBorders>
          </w:tcPr>
          <w:p w14:paraId="4682881E">
            <w:pPr>
              <w:ind w:firstLine="40"/>
              <w:rPr>
                <w:sz w:val="2"/>
                <w:szCs w:val="2"/>
              </w:rPr>
            </w:pPr>
          </w:p>
        </w:tc>
        <w:tc>
          <w:tcPr>
            <w:tcW w:w="1451" w:type="dxa"/>
          </w:tcPr>
          <w:p w14:paraId="0CBE39ED">
            <w:pPr>
              <w:pStyle w:val="40"/>
              <w:spacing w:before="87"/>
              <w:ind w:left="216" w:right="210" w:firstLine="361"/>
              <w:jc w:val="center"/>
              <w:rPr>
                <w:sz w:val="18"/>
              </w:rPr>
            </w:pPr>
            <w:r>
              <w:rPr>
                <w:sz w:val="18"/>
              </w:rPr>
              <w:t>营业收入(Y)</w:t>
            </w:r>
          </w:p>
        </w:tc>
        <w:tc>
          <w:tcPr>
            <w:tcW w:w="750" w:type="dxa"/>
          </w:tcPr>
          <w:p w14:paraId="796C9056">
            <w:pPr>
              <w:pStyle w:val="40"/>
              <w:spacing w:before="77"/>
              <w:ind w:left="178" w:right="171" w:firstLine="361"/>
              <w:jc w:val="center"/>
              <w:rPr>
                <w:sz w:val="18"/>
              </w:rPr>
            </w:pPr>
            <w:r>
              <w:rPr>
                <w:sz w:val="18"/>
              </w:rPr>
              <w:t>万元</w:t>
            </w:r>
          </w:p>
        </w:tc>
        <w:tc>
          <w:tcPr>
            <w:tcW w:w="1191" w:type="dxa"/>
          </w:tcPr>
          <w:p w14:paraId="7BB5D72C">
            <w:pPr>
              <w:pStyle w:val="40"/>
              <w:spacing w:before="77"/>
              <w:ind w:left="178" w:right="169" w:firstLine="361"/>
              <w:jc w:val="center"/>
              <w:rPr>
                <w:sz w:val="18"/>
              </w:rPr>
            </w:pPr>
            <w:r>
              <w:rPr>
                <w:sz w:val="18"/>
              </w:rPr>
              <w:t>Y≥100000</w:t>
            </w:r>
          </w:p>
        </w:tc>
        <w:tc>
          <w:tcPr>
            <w:tcW w:w="1803" w:type="dxa"/>
          </w:tcPr>
          <w:p w14:paraId="48BD8465">
            <w:pPr>
              <w:pStyle w:val="40"/>
              <w:spacing w:before="77"/>
              <w:ind w:left="225" w:firstLine="361"/>
              <w:rPr>
                <w:sz w:val="18"/>
              </w:rPr>
            </w:pPr>
            <w:r>
              <w:rPr>
                <w:sz w:val="18"/>
              </w:rPr>
              <w:t>1000≤Y＜100000</w:t>
            </w:r>
          </w:p>
        </w:tc>
        <w:tc>
          <w:tcPr>
            <w:tcW w:w="1511" w:type="dxa"/>
          </w:tcPr>
          <w:p w14:paraId="16914412">
            <w:pPr>
              <w:pStyle w:val="40"/>
              <w:spacing w:before="77"/>
              <w:ind w:left="215" w:firstLine="361"/>
              <w:rPr>
                <w:sz w:val="18"/>
              </w:rPr>
            </w:pPr>
            <w:r>
              <w:rPr>
                <w:sz w:val="18"/>
              </w:rPr>
              <w:t>100≤Y＜1000</w:t>
            </w:r>
          </w:p>
        </w:tc>
        <w:tc>
          <w:tcPr>
            <w:tcW w:w="1049" w:type="dxa"/>
          </w:tcPr>
          <w:p w14:paraId="1CBEAF32">
            <w:pPr>
              <w:pStyle w:val="40"/>
              <w:spacing w:before="77"/>
              <w:ind w:left="195" w:right="186" w:firstLine="361"/>
              <w:jc w:val="center"/>
              <w:rPr>
                <w:sz w:val="18"/>
              </w:rPr>
            </w:pPr>
            <w:r>
              <w:rPr>
                <w:sz w:val="18"/>
              </w:rPr>
              <w:t>Y＜100</w:t>
            </w:r>
          </w:p>
        </w:tc>
      </w:tr>
      <w:tr w14:paraId="15B49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restart"/>
          </w:tcPr>
          <w:p w14:paraId="32DBA18D">
            <w:pPr>
              <w:pStyle w:val="40"/>
              <w:spacing w:before="9"/>
              <w:ind w:firstLine="340"/>
              <w:rPr>
                <w:b/>
                <w:sz w:val="17"/>
              </w:rPr>
            </w:pPr>
          </w:p>
          <w:p w14:paraId="5CB921E1">
            <w:pPr>
              <w:pStyle w:val="40"/>
              <w:spacing w:before="1"/>
              <w:ind w:left="107" w:firstLine="361"/>
              <w:rPr>
                <w:sz w:val="18"/>
              </w:rPr>
            </w:pPr>
            <w:r>
              <w:rPr>
                <w:sz w:val="18"/>
              </w:rPr>
              <w:t>软件和信息技术服务业</w:t>
            </w:r>
          </w:p>
        </w:tc>
        <w:tc>
          <w:tcPr>
            <w:tcW w:w="1451" w:type="dxa"/>
          </w:tcPr>
          <w:p w14:paraId="02B41326">
            <w:pPr>
              <w:pStyle w:val="40"/>
              <w:spacing w:before="50"/>
              <w:ind w:left="216" w:right="210" w:firstLine="361"/>
              <w:jc w:val="center"/>
              <w:rPr>
                <w:sz w:val="18"/>
              </w:rPr>
            </w:pPr>
            <w:r>
              <w:rPr>
                <w:sz w:val="18"/>
              </w:rPr>
              <w:t>从业人员(X)</w:t>
            </w:r>
          </w:p>
        </w:tc>
        <w:tc>
          <w:tcPr>
            <w:tcW w:w="750" w:type="dxa"/>
          </w:tcPr>
          <w:p w14:paraId="4375CB78">
            <w:pPr>
              <w:pStyle w:val="40"/>
              <w:spacing w:before="50"/>
              <w:ind w:left="9" w:firstLine="361"/>
              <w:jc w:val="center"/>
              <w:rPr>
                <w:sz w:val="18"/>
              </w:rPr>
            </w:pPr>
            <w:r>
              <w:rPr>
                <w:sz w:val="18"/>
              </w:rPr>
              <w:t>人</w:t>
            </w:r>
          </w:p>
        </w:tc>
        <w:tc>
          <w:tcPr>
            <w:tcW w:w="1191" w:type="dxa"/>
          </w:tcPr>
          <w:p w14:paraId="1DB824EA">
            <w:pPr>
              <w:pStyle w:val="40"/>
              <w:spacing w:before="50"/>
              <w:ind w:left="178" w:right="169" w:firstLine="361"/>
              <w:jc w:val="center"/>
              <w:rPr>
                <w:sz w:val="18"/>
              </w:rPr>
            </w:pPr>
            <w:r>
              <w:rPr>
                <w:sz w:val="18"/>
              </w:rPr>
              <w:t>X≥300</w:t>
            </w:r>
          </w:p>
        </w:tc>
        <w:tc>
          <w:tcPr>
            <w:tcW w:w="1803" w:type="dxa"/>
          </w:tcPr>
          <w:p w14:paraId="049D7FDA">
            <w:pPr>
              <w:pStyle w:val="40"/>
              <w:spacing w:before="50"/>
              <w:ind w:left="352" w:firstLine="361"/>
              <w:rPr>
                <w:sz w:val="18"/>
              </w:rPr>
            </w:pPr>
            <w:r>
              <w:rPr>
                <w:sz w:val="18"/>
              </w:rPr>
              <w:t>100≤X＜300</w:t>
            </w:r>
          </w:p>
        </w:tc>
        <w:tc>
          <w:tcPr>
            <w:tcW w:w="1511" w:type="dxa"/>
          </w:tcPr>
          <w:p w14:paraId="5E5E498C">
            <w:pPr>
              <w:pStyle w:val="40"/>
              <w:spacing w:before="50"/>
              <w:ind w:left="304" w:firstLine="361"/>
              <w:rPr>
                <w:sz w:val="18"/>
              </w:rPr>
            </w:pPr>
            <w:r>
              <w:rPr>
                <w:sz w:val="18"/>
              </w:rPr>
              <w:t>10≤X＜100</w:t>
            </w:r>
          </w:p>
        </w:tc>
        <w:tc>
          <w:tcPr>
            <w:tcW w:w="1049" w:type="dxa"/>
          </w:tcPr>
          <w:p w14:paraId="0052BBFC">
            <w:pPr>
              <w:pStyle w:val="40"/>
              <w:spacing w:before="50"/>
              <w:ind w:left="195" w:right="186" w:firstLine="361"/>
              <w:jc w:val="center"/>
              <w:rPr>
                <w:sz w:val="18"/>
              </w:rPr>
            </w:pPr>
            <w:r>
              <w:rPr>
                <w:sz w:val="18"/>
              </w:rPr>
              <w:t>X＜10</w:t>
            </w:r>
          </w:p>
        </w:tc>
      </w:tr>
      <w:tr w14:paraId="27B6E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continue"/>
            <w:tcBorders>
              <w:top w:val="nil"/>
            </w:tcBorders>
          </w:tcPr>
          <w:p w14:paraId="08D33C46">
            <w:pPr>
              <w:ind w:firstLine="40"/>
              <w:rPr>
                <w:sz w:val="2"/>
                <w:szCs w:val="2"/>
              </w:rPr>
            </w:pPr>
          </w:p>
        </w:tc>
        <w:tc>
          <w:tcPr>
            <w:tcW w:w="1451" w:type="dxa"/>
          </w:tcPr>
          <w:p w14:paraId="3E68915B">
            <w:pPr>
              <w:pStyle w:val="40"/>
              <w:spacing w:before="51"/>
              <w:ind w:left="216" w:right="210" w:firstLine="361"/>
              <w:jc w:val="center"/>
              <w:rPr>
                <w:sz w:val="18"/>
              </w:rPr>
            </w:pPr>
            <w:r>
              <w:rPr>
                <w:sz w:val="18"/>
              </w:rPr>
              <w:t>营业收入(Y)</w:t>
            </w:r>
          </w:p>
        </w:tc>
        <w:tc>
          <w:tcPr>
            <w:tcW w:w="750" w:type="dxa"/>
          </w:tcPr>
          <w:p w14:paraId="1FBF9114">
            <w:pPr>
              <w:pStyle w:val="40"/>
              <w:spacing w:before="51"/>
              <w:ind w:left="178" w:right="171" w:firstLine="361"/>
              <w:jc w:val="center"/>
              <w:rPr>
                <w:sz w:val="18"/>
              </w:rPr>
            </w:pPr>
            <w:r>
              <w:rPr>
                <w:sz w:val="18"/>
              </w:rPr>
              <w:t>万元</w:t>
            </w:r>
          </w:p>
        </w:tc>
        <w:tc>
          <w:tcPr>
            <w:tcW w:w="1191" w:type="dxa"/>
          </w:tcPr>
          <w:p w14:paraId="2B7E9EF2">
            <w:pPr>
              <w:pStyle w:val="40"/>
              <w:spacing w:before="51"/>
              <w:ind w:left="178" w:right="169" w:firstLine="361"/>
              <w:jc w:val="center"/>
              <w:rPr>
                <w:sz w:val="18"/>
              </w:rPr>
            </w:pPr>
            <w:r>
              <w:rPr>
                <w:sz w:val="18"/>
              </w:rPr>
              <w:t>Y≥10000</w:t>
            </w:r>
          </w:p>
        </w:tc>
        <w:tc>
          <w:tcPr>
            <w:tcW w:w="1803" w:type="dxa"/>
          </w:tcPr>
          <w:p w14:paraId="5D3A8B9E">
            <w:pPr>
              <w:pStyle w:val="40"/>
              <w:spacing w:before="51"/>
              <w:ind w:left="271" w:firstLine="361"/>
              <w:rPr>
                <w:sz w:val="18"/>
              </w:rPr>
            </w:pPr>
            <w:r>
              <w:rPr>
                <w:sz w:val="18"/>
              </w:rPr>
              <w:t>1000≤Y＜10000</w:t>
            </w:r>
          </w:p>
        </w:tc>
        <w:tc>
          <w:tcPr>
            <w:tcW w:w="1511" w:type="dxa"/>
          </w:tcPr>
          <w:p w14:paraId="5858D039">
            <w:pPr>
              <w:pStyle w:val="40"/>
              <w:spacing w:before="51"/>
              <w:ind w:left="258" w:firstLine="361"/>
              <w:rPr>
                <w:sz w:val="18"/>
              </w:rPr>
            </w:pPr>
            <w:r>
              <w:rPr>
                <w:sz w:val="18"/>
              </w:rPr>
              <w:t>50≤Y＜1000</w:t>
            </w:r>
          </w:p>
        </w:tc>
        <w:tc>
          <w:tcPr>
            <w:tcW w:w="1049" w:type="dxa"/>
          </w:tcPr>
          <w:p w14:paraId="76FB5B0C">
            <w:pPr>
              <w:pStyle w:val="40"/>
              <w:spacing w:before="51"/>
              <w:ind w:left="195" w:right="186" w:firstLine="361"/>
              <w:jc w:val="center"/>
              <w:rPr>
                <w:sz w:val="18"/>
              </w:rPr>
            </w:pPr>
            <w:r>
              <w:rPr>
                <w:sz w:val="18"/>
              </w:rPr>
              <w:t>Y＜50</w:t>
            </w:r>
          </w:p>
        </w:tc>
      </w:tr>
      <w:tr w14:paraId="193A8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restart"/>
          </w:tcPr>
          <w:p w14:paraId="04DB1B97">
            <w:pPr>
              <w:pStyle w:val="40"/>
              <w:spacing w:before="9"/>
              <w:ind w:firstLine="340"/>
              <w:rPr>
                <w:b/>
                <w:sz w:val="17"/>
              </w:rPr>
            </w:pPr>
          </w:p>
          <w:p w14:paraId="1146A98B">
            <w:pPr>
              <w:pStyle w:val="40"/>
              <w:ind w:left="107" w:firstLine="361"/>
              <w:rPr>
                <w:sz w:val="18"/>
              </w:rPr>
            </w:pPr>
            <w:r>
              <w:rPr>
                <w:sz w:val="18"/>
              </w:rPr>
              <w:t>房地产开发经营</w:t>
            </w:r>
          </w:p>
        </w:tc>
        <w:tc>
          <w:tcPr>
            <w:tcW w:w="1451" w:type="dxa"/>
          </w:tcPr>
          <w:p w14:paraId="5B7E3367">
            <w:pPr>
              <w:pStyle w:val="40"/>
              <w:spacing w:before="49"/>
              <w:ind w:left="216" w:right="210" w:firstLine="361"/>
              <w:jc w:val="center"/>
              <w:rPr>
                <w:sz w:val="18"/>
              </w:rPr>
            </w:pPr>
            <w:r>
              <w:rPr>
                <w:sz w:val="18"/>
              </w:rPr>
              <w:t>营业收入(Y)</w:t>
            </w:r>
          </w:p>
        </w:tc>
        <w:tc>
          <w:tcPr>
            <w:tcW w:w="750" w:type="dxa"/>
          </w:tcPr>
          <w:p w14:paraId="7659D69D">
            <w:pPr>
              <w:pStyle w:val="40"/>
              <w:spacing w:before="49"/>
              <w:ind w:left="178" w:right="171" w:firstLine="361"/>
              <w:jc w:val="center"/>
              <w:rPr>
                <w:sz w:val="18"/>
              </w:rPr>
            </w:pPr>
            <w:r>
              <w:rPr>
                <w:sz w:val="18"/>
              </w:rPr>
              <w:t>万元</w:t>
            </w:r>
          </w:p>
        </w:tc>
        <w:tc>
          <w:tcPr>
            <w:tcW w:w="1191" w:type="dxa"/>
          </w:tcPr>
          <w:p w14:paraId="589B3759">
            <w:pPr>
              <w:pStyle w:val="40"/>
              <w:spacing w:before="49"/>
              <w:ind w:left="178" w:right="169" w:firstLine="361"/>
              <w:jc w:val="center"/>
              <w:rPr>
                <w:sz w:val="18"/>
              </w:rPr>
            </w:pPr>
            <w:r>
              <w:rPr>
                <w:sz w:val="18"/>
              </w:rPr>
              <w:t>Y≥200000</w:t>
            </w:r>
          </w:p>
        </w:tc>
        <w:tc>
          <w:tcPr>
            <w:tcW w:w="1803" w:type="dxa"/>
          </w:tcPr>
          <w:p w14:paraId="4A6E6485">
            <w:pPr>
              <w:pStyle w:val="40"/>
              <w:spacing w:before="49"/>
              <w:ind w:left="225" w:firstLine="361"/>
              <w:rPr>
                <w:sz w:val="18"/>
              </w:rPr>
            </w:pPr>
            <w:r>
              <w:rPr>
                <w:sz w:val="18"/>
              </w:rPr>
              <w:t>1000≤Y＜200000</w:t>
            </w:r>
          </w:p>
        </w:tc>
        <w:tc>
          <w:tcPr>
            <w:tcW w:w="1511" w:type="dxa"/>
          </w:tcPr>
          <w:p w14:paraId="2DE7A01F">
            <w:pPr>
              <w:pStyle w:val="40"/>
              <w:spacing w:before="49"/>
              <w:ind w:left="215" w:firstLine="361"/>
              <w:rPr>
                <w:sz w:val="18"/>
              </w:rPr>
            </w:pPr>
            <w:r>
              <w:rPr>
                <w:sz w:val="18"/>
              </w:rPr>
              <w:t>100≤Y＜1000</w:t>
            </w:r>
          </w:p>
        </w:tc>
        <w:tc>
          <w:tcPr>
            <w:tcW w:w="1049" w:type="dxa"/>
          </w:tcPr>
          <w:p w14:paraId="7FB06D02">
            <w:pPr>
              <w:pStyle w:val="40"/>
              <w:spacing w:before="49"/>
              <w:ind w:left="195" w:right="186" w:firstLine="361"/>
              <w:jc w:val="center"/>
              <w:rPr>
                <w:sz w:val="18"/>
              </w:rPr>
            </w:pPr>
            <w:r>
              <w:rPr>
                <w:sz w:val="18"/>
              </w:rPr>
              <w:t>Y＜100</w:t>
            </w:r>
          </w:p>
        </w:tc>
      </w:tr>
      <w:tr w14:paraId="27E02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continue"/>
            <w:tcBorders>
              <w:top w:val="nil"/>
            </w:tcBorders>
          </w:tcPr>
          <w:p w14:paraId="2829F474">
            <w:pPr>
              <w:ind w:firstLine="40"/>
              <w:rPr>
                <w:sz w:val="2"/>
                <w:szCs w:val="2"/>
              </w:rPr>
            </w:pPr>
          </w:p>
        </w:tc>
        <w:tc>
          <w:tcPr>
            <w:tcW w:w="1451" w:type="dxa"/>
          </w:tcPr>
          <w:p w14:paraId="470E0257">
            <w:pPr>
              <w:pStyle w:val="40"/>
              <w:spacing w:before="57"/>
              <w:ind w:left="216" w:right="210" w:firstLine="361"/>
              <w:jc w:val="center"/>
              <w:rPr>
                <w:sz w:val="18"/>
              </w:rPr>
            </w:pPr>
            <w:r>
              <w:rPr>
                <w:sz w:val="18"/>
              </w:rPr>
              <w:t>资产总额(Z)</w:t>
            </w:r>
          </w:p>
        </w:tc>
        <w:tc>
          <w:tcPr>
            <w:tcW w:w="750" w:type="dxa"/>
          </w:tcPr>
          <w:p w14:paraId="57D43E70">
            <w:pPr>
              <w:pStyle w:val="40"/>
              <w:spacing w:before="50"/>
              <w:ind w:left="178" w:right="171" w:firstLine="361"/>
              <w:jc w:val="center"/>
              <w:rPr>
                <w:sz w:val="18"/>
              </w:rPr>
            </w:pPr>
            <w:r>
              <w:rPr>
                <w:sz w:val="18"/>
              </w:rPr>
              <w:t>万元</w:t>
            </w:r>
          </w:p>
        </w:tc>
        <w:tc>
          <w:tcPr>
            <w:tcW w:w="1191" w:type="dxa"/>
          </w:tcPr>
          <w:p w14:paraId="02645F91">
            <w:pPr>
              <w:pStyle w:val="40"/>
              <w:spacing w:before="50"/>
              <w:ind w:left="178" w:right="169" w:firstLine="361"/>
              <w:jc w:val="center"/>
              <w:rPr>
                <w:sz w:val="18"/>
              </w:rPr>
            </w:pPr>
            <w:r>
              <w:rPr>
                <w:sz w:val="18"/>
              </w:rPr>
              <w:t>Z≥10000</w:t>
            </w:r>
          </w:p>
        </w:tc>
        <w:tc>
          <w:tcPr>
            <w:tcW w:w="1803" w:type="dxa"/>
          </w:tcPr>
          <w:p w14:paraId="38F1E438">
            <w:pPr>
              <w:pStyle w:val="40"/>
              <w:spacing w:before="50"/>
              <w:ind w:left="271" w:firstLine="361"/>
              <w:rPr>
                <w:sz w:val="18"/>
              </w:rPr>
            </w:pPr>
            <w:r>
              <w:rPr>
                <w:sz w:val="18"/>
              </w:rPr>
              <w:t>5000≤Z＜10000</w:t>
            </w:r>
          </w:p>
        </w:tc>
        <w:tc>
          <w:tcPr>
            <w:tcW w:w="1511" w:type="dxa"/>
          </w:tcPr>
          <w:p w14:paraId="642DF168">
            <w:pPr>
              <w:pStyle w:val="40"/>
              <w:spacing w:before="50"/>
              <w:ind w:left="169" w:firstLine="361"/>
              <w:rPr>
                <w:sz w:val="18"/>
              </w:rPr>
            </w:pPr>
            <w:r>
              <w:rPr>
                <w:sz w:val="18"/>
              </w:rPr>
              <w:t>2000≤Z＜5000</w:t>
            </w:r>
          </w:p>
        </w:tc>
        <w:tc>
          <w:tcPr>
            <w:tcW w:w="1049" w:type="dxa"/>
          </w:tcPr>
          <w:p w14:paraId="2CB827D4">
            <w:pPr>
              <w:pStyle w:val="40"/>
              <w:spacing w:before="50"/>
              <w:ind w:left="195" w:right="186" w:firstLine="361"/>
              <w:jc w:val="center"/>
              <w:rPr>
                <w:sz w:val="18"/>
              </w:rPr>
            </w:pPr>
            <w:r>
              <w:rPr>
                <w:sz w:val="18"/>
              </w:rPr>
              <w:t>Z＜2000</w:t>
            </w:r>
          </w:p>
        </w:tc>
      </w:tr>
      <w:tr w14:paraId="53E75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restart"/>
          </w:tcPr>
          <w:p w14:paraId="550E8054">
            <w:pPr>
              <w:pStyle w:val="40"/>
              <w:spacing w:before="10"/>
              <w:ind w:firstLine="340"/>
              <w:rPr>
                <w:b/>
                <w:sz w:val="17"/>
              </w:rPr>
            </w:pPr>
          </w:p>
          <w:p w14:paraId="72BDA43A">
            <w:pPr>
              <w:pStyle w:val="40"/>
              <w:ind w:left="107" w:firstLine="361"/>
              <w:rPr>
                <w:sz w:val="18"/>
              </w:rPr>
            </w:pPr>
            <w:r>
              <w:rPr>
                <w:sz w:val="18"/>
              </w:rPr>
              <w:t>物业管理</w:t>
            </w:r>
          </w:p>
        </w:tc>
        <w:tc>
          <w:tcPr>
            <w:tcW w:w="1451" w:type="dxa"/>
          </w:tcPr>
          <w:p w14:paraId="7DBE844D">
            <w:pPr>
              <w:pStyle w:val="40"/>
              <w:spacing w:before="51"/>
              <w:ind w:left="216" w:right="210" w:firstLine="361"/>
              <w:jc w:val="center"/>
              <w:rPr>
                <w:sz w:val="18"/>
              </w:rPr>
            </w:pPr>
            <w:r>
              <w:rPr>
                <w:sz w:val="18"/>
              </w:rPr>
              <w:t>从业人员(X)</w:t>
            </w:r>
          </w:p>
        </w:tc>
        <w:tc>
          <w:tcPr>
            <w:tcW w:w="750" w:type="dxa"/>
          </w:tcPr>
          <w:p w14:paraId="1095C7B6">
            <w:pPr>
              <w:pStyle w:val="40"/>
              <w:spacing w:before="51"/>
              <w:ind w:left="9" w:firstLine="361"/>
              <w:jc w:val="center"/>
              <w:rPr>
                <w:sz w:val="18"/>
              </w:rPr>
            </w:pPr>
            <w:r>
              <w:rPr>
                <w:sz w:val="18"/>
              </w:rPr>
              <w:t>人</w:t>
            </w:r>
          </w:p>
        </w:tc>
        <w:tc>
          <w:tcPr>
            <w:tcW w:w="1191" w:type="dxa"/>
          </w:tcPr>
          <w:p w14:paraId="66D36B80">
            <w:pPr>
              <w:pStyle w:val="40"/>
              <w:spacing w:before="51"/>
              <w:ind w:left="178" w:right="169" w:firstLine="361"/>
              <w:jc w:val="center"/>
              <w:rPr>
                <w:sz w:val="18"/>
              </w:rPr>
            </w:pPr>
            <w:r>
              <w:rPr>
                <w:sz w:val="18"/>
              </w:rPr>
              <w:t>X≥1000</w:t>
            </w:r>
          </w:p>
        </w:tc>
        <w:tc>
          <w:tcPr>
            <w:tcW w:w="1803" w:type="dxa"/>
          </w:tcPr>
          <w:p w14:paraId="3BFE931C">
            <w:pPr>
              <w:pStyle w:val="40"/>
              <w:spacing w:before="51"/>
              <w:ind w:left="359" w:firstLine="361"/>
              <w:rPr>
                <w:sz w:val="18"/>
              </w:rPr>
            </w:pPr>
            <w:r>
              <w:rPr>
                <w:sz w:val="18"/>
              </w:rPr>
              <w:t>300≤X＜1000</w:t>
            </w:r>
          </w:p>
        </w:tc>
        <w:tc>
          <w:tcPr>
            <w:tcW w:w="1511" w:type="dxa"/>
          </w:tcPr>
          <w:p w14:paraId="054D6A3B">
            <w:pPr>
              <w:pStyle w:val="40"/>
              <w:spacing w:before="51"/>
              <w:ind w:left="258" w:firstLine="361"/>
              <w:rPr>
                <w:sz w:val="18"/>
              </w:rPr>
            </w:pPr>
            <w:r>
              <w:rPr>
                <w:sz w:val="18"/>
              </w:rPr>
              <w:t>100≤X＜300</w:t>
            </w:r>
          </w:p>
        </w:tc>
        <w:tc>
          <w:tcPr>
            <w:tcW w:w="1049" w:type="dxa"/>
          </w:tcPr>
          <w:p w14:paraId="1112F809">
            <w:pPr>
              <w:pStyle w:val="40"/>
              <w:spacing w:before="51"/>
              <w:ind w:left="195" w:right="186" w:firstLine="361"/>
              <w:jc w:val="center"/>
              <w:rPr>
                <w:sz w:val="18"/>
              </w:rPr>
            </w:pPr>
            <w:r>
              <w:rPr>
                <w:sz w:val="18"/>
              </w:rPr>
              <w:t>X＜100</w:t>
            </w:r>
          </w:p>
        </w:tc>
      </w:tr>
      <w:tr w14:paraId="5D0DE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continue"/>
            <w:tcBorders>
              <w:top w:val="nil"/>
            </w:tcBorders>
          </w:tcPr>
          <w:p w14:paraId="51D095C2">
            <w:pPr>
              <w:ind w:firstLine="40"/>
              <w:rPr>
                <w:sz w:val="2"/>
                <w:szCs w:val="2"/>
              </w:rPr>
            </w:pPr>
          </w:p>
        </w:tc>
        <w:tc>
          <w:tcPr>
            <w:tcW w:w="1451" w:type="dxa"/>
          </w:tcPr>
          <w:p w14:paraId="3C14E44A">
            <w:pPr>
              <w:pStyle w:val="40"/>
              <w:spacing w:before="59"/>
              <w:ind w:left="216" w:right="210" w:firstLine="361"/>
              <w:jc w:val="center"/>
              <w:rPr>
                <w:sz w:val="18"/>
              </w:rPr>
            </w:pPr>
            <w:r>
              <w:rPr>
                <w:sz w:val="18"/>
              </w:rPr>
              <w:t>营业收入(Y)</w:t>
            </w:r>
          </w:p>
        </w:tc>
        <w:tc>
          <w:tcPr>
            <w:tcW w:w="750" w:type="dxa"/>
          </w:tcPr>
          <w:p w14:paraId="03240EAD">
            <w:pPr>
              <w:pStyle w:val="40"/>
              <w:spacing w:before="49"/>
              <w:ind w:left="178" w:right="171" w:firstLine="361"/>
              <w:jc w:val="center"/>
              <w:rPr>
                <w:sz w:val="18"/>
              </w:rPr>
            </w:pPr>
            <w:r>
              <w:rPr>
                <w:sz w:val="18"/>
              </w:rPr>
              <w:t>万元</w:t>
            </w:r>
          </w:p>
        </w:tc>
        <w:tc>
          <w:tcPr>
            <w:tcW w:w="1191" w:type="dxa"/>
          </w:tcPr>
          <w:p w14:paraId="2A0EBAA4">
            <w:pPr>
              <w:pStyle w:val="40"/>
              <w:spacing w:before="49"/>
              <w:ind w:left="178" w:right="169" w:firstLine="361"/>
              <w:jc w:val="center"/>
              <w:rPr>
                <w:sz w:val="18"/>
              </w:rPr>
            </w:pPr>
            <w:r>
              <w:rPr>
                <w:sz w:val="18"/>
              </w:rPr>
              <w:t>Y≥5000</w:t>
            </w:r>
          </w:p>
        </w:tc>
        <w:tc>
          <w:tcPr>
            <w:tcW w:w="1803" w:type="dxa"/>
          </w:tcPr>
          <w:p w14:paraId="3D0BEEB5">
            <w:pPr>
              <w:pStyle w:val="40"/>
              <w:spacing w:before="49"/>
              <w:ind w:left="261" w:firstLine="361"/>
              <w:rPr>
                <w:sz w:val="18"/>
              </w:rPr>
            </w:pPr>
            <w:r>
              <w:rPr>
                <w:sz w:val="18"/>
              </w:rPr>
              <w:t>1000≤Y＜5000</w:t>
            </w:r>
          </w:p>
        </w:tc>
        <w:tc>
          <w:tcPr>
            <w:tcW w:w="1511" w:type="dxa"/>
          </w:tcPr>
          <w:p w14:paraId="2A5E3872">
            <w:pPr>
              <w:pStyle w:val="40"/>
              <w:spacing w:before="49"/>
              <w:ind w:left="215" w:firstLine="361"/>
              <w:rPr>
                <w:sz w:val="18"/>
              </w:rPr>
            </w:pPr>
            <w:r>
              <w:rPr>
                <w:sz w:val="18"/>
              </w:rPr>
              <w:t>500≤Y＜1000</w:t>
            </w:r>
          </w:p>
        </w:tc>
        <w:tc>
          <w:tcPr>
            <w:tcW w:w="1049" w:type="dxa"/>
          </w:tcPr>
          <w:p w14:paraId="47DB62A4">
            <w:pPr>
              <w:pStyle w:val="40"/>
              <w:spacing w:before="49"/>
              <w:ind w:left="195" w:right="186" w:firstLine="361"/>
              <w:jc w:val="center"/>
              <w:rPr>
                <w:sz w:val="18"/>
              </w:rPr>
            </w:pPr>
            <w:r>
              <w:rPr>
                <w:sz w:val="18"/>
              </w:rPr>
              <w:t>Y＜500</w:t>
            </w:r>
          </w:p>
        </w:tc>
      </w:tr>
      <w:tr w14:paraId="0336D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restart"/>
          </w:tcPr>
          <w:p w14:paraId="4D4747C0">
            <w:pPr>
              <w:pStyle w:val="40"/>
              <w:spacing w:before="9"/>
              <w:ind w:firstLine="340"/>
              <w:rPr>
                <w:b/>
                <w:sz w:val="17"/>
              </w:rPr>
            </w:pPr>
          </w:p>
          <w:p w14:paraId="120615FF">
            <w:pPr>
              <w:pStyle w:val="40"/>
              <w:spacing w:before="1"/>
              <w:ind w:left="107" w:firstLine="361"/>
              <w:rPr>
                <w:sz w:val="18"/>
              </w:rPr>
            </w:pPr>
            <w:r>
              <w:rPr>
                <w:sz w:val="18"/>
              </w:rPr>
              <w:t>租赁和商务服务业</w:t>
            </w:r>
          </w:p>
        </w:tc>
        <w:tc>
          <w:tcPr>
            <w:tcW w:w="1451" w:type="dxa"/>
          </w:tcPr>
          <w:p w14:paraId="128E7F90">
            <w:pPr>
              <w:pStyle w:val="40"/>
              <w:spacing w:before="50"/>
              <w:ind w:left="216" w:right="210" w:firstLine="361"/>
              <w:jc w:val="center"/>
              <w:rPr>
                <w:sz w:val="18"/>
              </w:rPr>
            </w:pPr>
            <w:r>
              <w:rPr>
                <w:sz w:val="18"/>
              </w:rPr>
              <w:t>从业人员(X)</w:t>
            </w:r>
          </w:p>
        </w:tc>
        <w:tc>
          <w:tcPr>
            <w:tcW w:w="750" w:type="dxa"/>
          </w:tcPr>
          <w:p w14:paraId="24CFE555">
            <w:pPr>
              <w:pStyle w:val="40"/>
              <w:spacing w:before="50"/>
              <w:ind w:left="9" w:firstLine="361"/>
              <w:jc w:val="center"/>
              <w:rPr>
                <w:sz w:val="18"/>
              </w:rPr>
            </w:pPr>
            <w:r>
              <w:rPr>
                <w:sz w:val="18"/>
              </w:rPr>
              <w:t>人</w:t>
            </w:r>
          </w:p>
        </w:tc>
        <w:tc>
          <w:tcPr>
            <w:tcW w:w="1191" w:type="dxa"/>
          </w:tcPr>
          <w:p w14:paraId="0E004456">
            <w:pPr>
              <w:pStyle w:val="40"/>
              <w:spacing w:before="50"/>
              <w:ind w:left="178" w:right="169" w:firstLine="361"/>
              <w:jc w:val="center"/>
              <w:rPr>
                <w:sz w:val="18"/>
              </w:rPr>
            </w:pPr>
            <w:r>
              <w:rPr>
                <w:sz w:val="18"/>
              </w:rPr>
              <w:t>X≥300</w:t>
            </w:r>
          </w:p>
        </w:tc>
        <w:tc>
          <w:tcPr>
            <w:tcW w:w="1803" w:type="dxa"/>
          </w:tcPr>
          <w:p w14:paraId="717C2C51">
            <w:pPr>
              <w:pStyle w:val="40"/>
              <w:spacing w:before="50"/>
              <w:ind w:left="352" w:firstLine="361"/>
              <w:rPr>
                <w:sz w:val="18"/>
              </w:rPr>
            </w:pPr>
            <w:r>
              <w:rPr>
                <w:sz w:val="18"/>
              </w:rPr>
              <w:t>100≤X＜300</w:t>
            </w:r>
          </w:p>
        </w:tc>
        <w:tc>
          <w:tcPr>
            <w:tcW w:w="1511" w:type="dxa"/>
          </w:tcPr>
          <w:p w14:paraId="74F564CA">
            <w:pPr>
              <w:pStyle w:val="40"/>
              <w:spacing w:before="50"/>
              <w:ind w:left="304" w:firstLine="361"/>
              <w:rPr>
                <w:sz w:val="18"/>
              </w:rPr>
            </w:pPr>
            <w:r>
              <w:rPr>
                <w:sz w:val="18"/>
              </w:rPr>
              <w:t>10≤X＜100</w:t>
            </w:r>
          </w:p>
        </w:tc>
        <w:tc>
          <w:tcPr>
            <w:tcW w:w="1049" w:type="dxa"/>
          </w:tcPr>
          <w:p w14:paraId="52C962CB">
            <w:pPr>
              <w:pStyle w:val="40"/>
              <w:spacing w:before="50"/>
              <w:ind w:left="195" w:right="186" w:firstLine="361"/>
              <w:jc w:val="center"/>
              <w:rPr>
                <w:sz w:val="18"/>
              </w:rPr>
            </w:pPr>
            <w:r>
              <w:rPr>
                <w:sz w:val="18"/>
              </w:rPr>
              <w:t>X＜10</w:t>
            </w:r>
          </w:p>
        </w:tc>
      </w:tr>
      <w:tr w14:paraId="67F40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continue"/>
            <w:tcBorders>
              <w:top w:val="nil"/>
            </w:tcBorders>
          </w:tcPr>
          <w:p w14:paraId="6D1CA86C">
            <w:pPr>
              <w:ind w:firstLine="40"/>
              <w:rPr>
                <w:sz w:val="2"/>
                <w:szCs w:val="2"/>
              </w:rPr>
            </w:pPr>
          </w:p>
        </w:tc>
        <w:tc>
          <w:tcPr>
            <w:tcW w:w="1451" w:type="dxa"/>
          </w:tcPr>
          <w:p w14:paraId="035A60E3">
            <w:pPr>
              <w:pStyle w:val="40"/>
              <w:spacing w:before="58"/>
              <w:ind w:left="216" w:right="210" w:firstLine="361"/>
              <w:jc w:val="center"/>
              <w:rPr>
                <w:sz w:val="18"/>
              </w:rPr>
            </w:pPr>
            <w:r>
              <w:rPr>
                <w:sz w:val="18"/>
              </w:rPr>
              <w:t>资产总额(Z)</w:t>
            </w:r>
          </w:p>
        </w:tc>
        <w:tc>
          <w:tcPr>
            <w:tcW w:w="750" w:type="dxa"/>
          </w:tcPr>
          <w:p w14:paraId="4CB93133">
            <w:pPr>
              <w:pStyle w:val="40"/>
              <w:spacing w:before="51"/>
              <w:ind w:left="178" w:right="171" w:firstLine="361"/>
              <w:jc w:val="center"/>
              <w:rPr>
                <w:sz w:val="18"/>
              </w:rPr>
            </w:pPr>
            <w:r>
              <w:rPr>
                <w:sz w:val="18"/>
              </w:rPr>
              <w:t>万元</w:t>
            </w:r>
          </w:p>
        </w:tc>
        <w:tc>
          <w:tcPr>
            <w:tcW w:w="1191" w:type="dxa"/>
          </w:tcPr>
          <w:p w14:paraId="32B046FC">
            <w:pPr>
              <w:pStyle w:val="40"/>
              <w:spacing w:before="51"/>
              <w:ind w:left="178" w:right="169" w:firstLine="361"/>
              <w:jc w:val="center"/>
              <w:rPr>
                <w:sz w:val="18"/>
              </w:rPr>
            </w:pPr>
            <w:r>
              <w:rPr>
                <w:sz w:val="18"/>
              </w:rPr>
              <w:t>Z≥120000</w:t>
            </w:r>
          </w:p>
        </w:tc>
        <w:tc>
          <w:tcPr>
            <w:tcW w:w="1803" w:type="dxa"/>
          </w:tcPr>
          <w:p w14:paraId="14FDCCAF">
            <w:pPr>
              <w:pStyle w:val="40"/>
              <w:spacing w:before="51"/>
              <w:ind w:left="225" w:firstLine="361"/>
              <w:rPr>
                <w:sz w:val="18"/>
              </w:rPr>
            </w:pPr>
            <w:r>
              <w:rPr>
                <w:sz w:val="18"/>
              </w:rPr>
              <w:t>8000≤Z＜120000</w:t>
            </w:r>
          </w:p>
        </w:tc>
        <w:tc>
          <w:tcPr>
            <w:tcW w:w="1511" w:type="dxa"/>
          </w:tcPr>
          <w:p w14:paraId="1CCA49D9">
            <w:pPr>
              <w:pStyle w:val="40"/>
              <w:spacing w:before="51"/>
              <w:ind w:left="215" w:firstLine="361"/>
              <w:rPr>
                <w:sz w:val="18"/>
              </w:rPr>
            </w:pPr>
            <w:r>
              <w:rPr>
                <w:sz w:val="18"/>
              </w:rPr>
              <w:t>100≤Z＜8000</w:t>
            </w:r>
          </w:p>
        </w:tc>
        <w:tc>
          <w:tcPr>
            <w:tcW w:w="1049" w:type="dxa"/>
          </w:tcPr>
          <w:p w14:paraId="71B20207">
            <w:pPr>
              <w:pStyle w:val="40"/>
              <w:spacing w:before="51"/>
              <w:ind w:left="195" w:right="186" w:firstLine="361"/>
              <w:jc w:val="center"/>
              <w:rPr>
                <w:sz w:val="18"/>
              </w:rPr>
            </w:pPr>
            <w:r>
              <w:rPr>
                <w:sz w:val="18"/>
              </w:rPr>
              <w:t>Z＜100</w:t>
            </w:r>
          </w:p>
        </w:tc>
      </w:tr>
      <w:tr w14:paraId="483ED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tcPr>
          <w:p w14:paraId="121F4B97">
            <w:pPr>
              <w:pStyle w:val="40"/>
              <w:spacing w:before="85"/>
              <w:ind w:left="107" w:firstLine="361"/>
              <w:rPr>
                <w:sz w:val="18"/>
              </w:rPr>
            </w:pPr>
            <w:r>
              <w:rPr>
                <w:sz w:val="18"/>
              </w:rPr>
              <w:t>建筑业*</w:t>
            </w:r>
          </w:p>
        </w:tc>
        <w:tc>
          <w:tcPr>
            <w:tcW w:w="1451" w:type="dxa"/>
          </w:tcPr>
          <w:p w14:paraId="61681A15">
            <w:pPr>
              <w:pStyle w:val="40"/>
              <w:spacing w:before="78"/>
              <w:ind w:left="216" w:right="210" w:firstLine="361"/>
              <w:jc w:val="center"/>
              <w:rPr>
                <w:sz w:val="18"/>
              </w:rPr>
            </w:pPr>
            <w:r>
              <w:rPr>
                <w:sz w:val="18"/>
              </w:rPr>
              <w:t>从业人员(X)</w:t>
            </w:r>
          </w:p>
        </w:tc>
        <w:tc>
          <w:tcPr>
            <w:tcW w:w="750" w:type="dxa"/>
          </w:tcPr>
          <w:p w14:paraId="485E364A">
            <w:pPr>
              <w:pStyle w:val="40"/>
              <w:spacing w:before="78"/>
              <w:ind w:left="9" w:firstLine="361"/>
              <w:jc w:val="center"/>
              <w:rPr>
                <w:sz w:val="18"/>
              </w:rPr>
            </w:pPr>
            <w:r>
              <w:rPr>
                <w:sz w:val="18"/>
              </w:rPr>
              <w:t>人</w:t>
            </w:r>
          </w:p>
        </w:tc>
        <w:tc>
          <w:tcPr>
            <w:tcW w:w="1191" w:type="dxa"/>
          </w:tcPr>
          <w:p w14:paraId="13A3D00C">
            <w:pPr>
              <w:pStyle w:val="40"/>
              <w:spacing w:before="78"/>
              <w:ind w:left="178" w:right="169" w:firstLine="361"/>
              <w:jc w:val="center"/>
              <w:rPr>
                <w:sz w:val="18"/>
              </w:rPr>
            </w:pPr>
            <w:r>
              <w:rPr>
                <w:sz w:val="18"/>
              </w:rPr>
              <w:t>X≥300</w:t>
            </w:r>
          </w:p>
        </w:tc>
        <w:tc>
          <w:tcPr>
            <w:tcW w:w="1803" w:type="dxa"/>
          </w:tcPr>
          <w:p w14:paraId="27DC013D">
            <w:pPr>
              <w:pStyle w:val="40"/>
              <w:spacing w:before="78"/>
              <w:ind w:left="352" w:firstLine="361"/>
              <w:rPr>
                <w:sz w:val="18"/>
              </w:rPr>
            </w:pPr>
            <w:r>
              <w:rPr>
                <w:sz w:val="18"/>
              </w:rPr>
              <w:t>100≤X＜300</w:t>
            </w:r>
          </w:p>
        </w:tc>
        <w:tc>
          <w:tcPr>
            <w:tcW w:w="1511" w:type="dxa"/>
          </w:tcPr>
          <w:p w14:paraId="0DFDF56B">
            <w:pPr>
              <w:pStyle w:val="40"/>
              <w:spacing w:before="78"/>
              <w:ind w:left="304" w:firstLine="361"/>
              <w:rPr>
                <w:sz w:val="18"/>
              </w:rPr>
            </w:pPr>
            <w:r>
              <w:rPr>
                <w:sz w:val="18"/>
              </w:rPr>
              <w:t>10≤X＜100</w:t>
            </w:r>
          </w:p>
        </w:tc>
        <w:tc>
          <w:tcPr>
            <w:tcW w:w="1049" w:type="dxa"/>
          </w:tcPr>
          <w:p w14:paraId="75B95826">
            <w:pPr>
              <w:pStyle w:val="40"/>
              <w:spacing w:before="78"/>
              <w:ind w:left="195" w:right="186" w:firstLine="361"/>
              <w:jc w:val="center"/>
              <w:rPr>
                <w:sz w:val="18"/>
              </w:rPr>
            </w:pPr>
            <w:r>
              <w:rPr>
                <w:sz w:val="18"/>
              </w:rPr>
              <w:t>X＜10</w:t>
            </w:r>
          </w:p>
        </w:tc>
      </w:tr>
    </w:tbl>
    <w:p w14:paraId="0385FBB6">
      <w:pPr>
        <w:pStyle w:val="12"/>
        <w:ind w:firstLine="400"/>
        <w:rPr>
          <w:b/>
          <w:sz w:val="20"/>
        </w:rPr>
      </w:pPr>
    </w:p>
    <w:p w14:paraId="0DE1DE0C">
      <w:pPr>
        <w:pStyle w:val="12"/>
        <w:spacing w:before="9"/>
        <w:ind w:firstLine="280"/>
        <w:rPr>
          <w:b/>
          <w:sz w:val="14"/>
        </w:rPr>
      </w:pPr>
    </w:p>
    <w:p w14:paraId="09EA21AD">
      <w:pPr>
        <w:pStyle w:val="8"/>
        <w:keepNext w:val="0"/>
        <w:keepLines w:val="0"/>
        <w:pageBreakBefore w:val="0"/>
        <w:widowControl w:val="0"/>
        <w:kinsoku/>
        <w:wordWrap/>
        <w:overflowPunct/>
        <w:topLinePunct w:val="0"/>
        <w:autoSpaceDE w:val="0"/>
        <w:autoSpaceDN w:val="0"/>
        <w:bidi w:val="0"/>
        <w:adjustRightInd/>
        <w:snapToGrid/>
        <w:spacing w:before="67" w:line="360" w:lineRule="auto"/>
        <w:ind w:firstLine="482"/>
        <w:textAlignment w:val="auto"/>
        <w:rPr>
          <w:sz w:val="21"/>
          <w:szCs w:val="21"/>
        </w:rPr>
      </w:pPr>
      <w:r>
        <w:rPr>
          <w:sz w:val="21"/>
          <w:szCs w:val="21"/>
        </w:rPr>
        <w:t>说明：</w:t>
      </w:r>
    </w:p>
    <w:p w14:paraId="7CC4EC5D">
      <w:pPr>
        <w:pStyle w:val="8"/>
        <w:keepNext w:val="0"/>
        <w:keepLines w:val="0"/>
        <w:pageBreakBefore w:val="0"/>
        <w:widowControl w:val="0"/>
        <w:numPr>
          <w:ilvl w:val="0"/>
          <w:numId w:val="0"/>
        </w:numPr>
        <w:tabs>
          <w:tab w:val="left" w:pos="1249"/>
        </w:tabs>
        <w:kinsoku/>
        <w:wordWrap/>
        <w:overflowPunct/>
        <w:topLinePunct w:val="0"/>
        <w:autoSpaceDE w:val="0"/>
        <w:autoSpaceDN w:val="0"/>
        <w:bidi w:val="0"/>
        <w:adjustRightInd/>
        <w:snapToGrid/>
        <w:spacing w:before="48" w:line="360" w:lineRule="auto"/>
        <w:ind w:right="814" w:rightChars="0" w:firstLine="420" w:firstLineChars="200"/>
        <w:textAlignment w:val="auto"/>
        <w:rPr>
          <w:sz w:val="21"/>
          <w:szCs w:val="21"/>
        </w:rPr>
      </w:pPr>
      <w:r>
        <w:rPr>
          <w:rFonts w:hint="eastAsia"/>
          <w:sz w:val="21"/>
          <w:szCs w:val="21"/>
          <w:lang w:val="en-US" w:eastAsia="zh-CN"/>
        </w:rPr>
        <w:t>1、</w:t>
      </w:r>
      <w:r>
        <w:rPr>
          <w:sz w:val="21"/>
          <w:szCs w:val="21"/>
        </w:rPr>
        <w:t>大型、中型和小型企业须同时满足所列指标的下限，否则下划一档；微型企业只须满足所列指标中的一项即可。</w:t>
      </w:r>
    </w:p>
    <w:p w14:paraId="307B2155">
      <w:pPr>
        <w:pStyle w:val="8"/>
        <w:keepNext w:val="0"/>
        <w:keepLines w:val="0"/>
        <w:pageBreakBefore w:val="0"/>
        <w:widowControl w:val="0"/>
        <w:numPr>
          <w:ilvl w:val="0"/>
          <w:numId w:val="0"/>
        </w:numPr>
        <w:tabs>
          <w:tab w:val="left" w:pos="1247"/>
        </w:tabs>
        <w:kinsoku/>
        <w:wordWrap/>
        <w:overflowPunct/>
        <w:topLinePunct w:val="0"/>
        <w:autoSpaceDE w:val="0"/>
        <w:autoSpaceDN w:val="0"/>
        <w:bidi w:val="0"/>
        <w:adjustRightInd/>
        <w:snapToGrid/>
        <w:spacing w:before="1" w:line="360" w:lineRule="auto"/>
        <w:textAlignment w:val="auto"/>
        <w:rPr>
          <w:sz w:val="21"/>
          <w:szCs w:val="21"/>
        </w:rPr>
      </w:pPr>
      <w:r>
        <w:rPr>
          <w:sz w:val="21"/>
          <w:szCs w:val="21"/>
        </w:rPr>
        <w:t>附表中各行业的范围以《国民经济行业分类》（GB/T4754-2017）为准。带</w:t>
      </w:r>
    </w:p>
    <w:p w14:paraId="30EC022C">
      <w:pPr>
        <w:pStyle w:val="8"/>
        <w:keepNext w:val="0"/>
        <w:keepLines w:val="0"/>
        <w:pageBreakBefore w:val="0"/>
        <w:widowControl w:val="0"/>
        <w:kinsoku/>
        <w:wordWrap/>
        <w:overflowPunct/>
        <w:topLinePunct w:val="0"/>
        <w:autoSpaceDE w:val="0"/>
        <w:autoSpaceDN w:val="0"/>
        <w:bidi w:val="0"/>
        <w:adjustRightInd/>
        <w:snapToGrid/>
        <w:spacing w:before="75" w:line="360" w:lineRule="auto"/>
        <w:ind w:left="0" w:leftChars="0" w:right="814" w:firstLine="420" w:firstLineChars="200"/>
        <w:jc w:val="both"/>
        <w:textAlignment w:val="auto"/>
        <w:rPr>
          <w:sz w:val="21"/>
          <w:szCs w:val="21"/>
        </w:rPr>
      </w:pPr>
      <w:r>
        <w:rPr>
          <w:rFonts w:hint="eastAsia"/>
          <w:sz w:val="21"/>
          <w:szCs w:val="21"/>
          <w:lang w:val="en-US" w:eastAsia="zh-CN"/>
        </w:rPr>
        <w:t>2、</w:t>
      </w:r>
      <w:r>
        <w:rPr>
          <w:sz w:val="21"/>
          <w:szCs w:val="21"/>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建筑业包括科学研究和技术服务业，水利、环境和公共设施管理业，居民服务、修理和其他服务业，社会工作，文化、体育和娱乐业，以及房地产中介服务，其他房地产业等，不包括自有房地产经营活动。</w:t>
      </w:r>
    </w:p>
    <w:p w14:paraId="257B425A">
      <w:pPr>
        <w:pStyle w:val="8"/>
        <w:keepNext w:val="0"/>
        <w:keepLines w:val="0"/>
        <w:pageBreakBefore w:val="0"/>
        <w:widowControl w:val="0"/>
        <w:numPr>
          <w:ilvl w:val="0"/>
          <w:numId w:val="0"/>
        </w:numPr>
        <w:tabs>
          <w:tab w:val="left" w:pos="1247"/>
        </w:tabs>
        <w:kinsoku/>
        <w:wordWrap/>
        <w:overflowPunct/>
        <w:topLinePunct w:val="0"/>
        <w:autoSpaceDE w:val="0"/>
        <w:autoSpaceDN w:val="0"/>
        <w:bidi w:val="0"/>
        <w:adjustRightInd/>
        <w:snapToGrid/>
        <w:spacing w:line="360" w:lineRule="auto"/>
        <w:ind w:right="687" w:rightChars="0" w:firstLine="420" w:firstLineChars="200"/>
        <w:textAlignment w:val="auto"/>
        <w:rPr>
          <w:sz w:val="21"/>
          <w:szCs w:val="21"/>
        </w:rPr>
      </w:pPr>
      <w:r>
        <w:rPr>
          <w:rFonts w:hint="eastAsia"/>
          <w:sz w:val="21"/>
          <w:szCs w:val="21"/>
          <w:lang w:val="en-US" w:eastAsia="zh-CN"/>
        </w:rPr>
        <w:t>3、</w:t>
      </w:r>
      <w:r>
        <w:rPr>
          <w:sz w:val="21"/>
          <w:szCs w:val="21"/>
        </w:rPr>
        <w:t>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E301316">
      <w:pPr>
        <w:spacing w:line="297" w:lineRule="auto"/>
        <w:ind w:firstLine="422"/>
        <w:sectPr>
          <w:pgSz w:w="11910" w:h="16840"/>
          <w:pgMar w:top="1080" w:right="640" w:bottom="1180" w:left="1134" w:header="0" w:footer="954" w:gutter="0"/>
          <w:cols w:space="720" w:num="1"/>
        </w:sectPr>
      </w:pPr>
    </w:p>
    <w:p w14:paraId="7D2DB7FA">
      <w:pPr>
        <w:pStyle w:val="5"/>
        <w:spacing w:before="33"/>
        <w:ind w:firstLine="562"/>
      </w:pPr>
      <w:r>
        <w:t>附件：</w:t>
      </w:r>
    </w:p>
    <w:p w14:paraId="1EBF4368">
      <w:pPr>
        <w:pStyle w:val="12"/>
        <w:spacing w:before="1"/>
        <w:ind w:firstLine="260"/>
        <w:rPr>
          <w:b/>
          <w:sz w:val="13"/>
        </w:rPr>
      </w:pPr>
    </w:p>
    <w:p w14:paraId="0478AC3B">
      <w:pPr>
        <w:pStyle w:val="5"/>
        <w:spacing w:before="62"/>
        <w:ind w:left="0" w:right="327" w:firstLine="562"/>
        <w:jc w:val="center"/>
      </w:pPr>
      <w:r>
        <w:t>残疾人福利性单位声明函（格式）</w:t>
      </w:r>
    </w:p>
    <w:p w14:paraId="0EA850B0">
      <w:pPr>
        <w:pStyle w:val="12"/>
        <w:ind w:firstLine="560"/>
        <w:rPr>
          <w:b/>
          <w:sz w:val="28"/>
        </w:rPr>
      </w:pPr>
    </w:p>
    <w:p w14:paraId="794F77CD">
      <w:pPr>
        <w:pStyle w:val="12"/>
        <w:spacing w:before="11"/>
        <w:ind w:firstLine="760"/>
        <w:rPr>
          <w:b/>
          <w:sz w:val="38"/>
        </w:rPr>
      </w:pPr>
    </w:p>
    <w:p w14:paraId="7312BBFE">
      <w:pPr>
        <w:pStyle w:val="8"/>
        <w:tabs>
          <w:tab w:val="left" w:pos="4718"/>
          <w:tab w:val="left" w:pos="6230"/>
        </w:tabs>
        <w:spacing w:line="458" w:lineRule="auto"/>
        <w:ind w:right="809" w:firstLine="482"/>
        <w:jc w:val="both"/>
      </w:pPr>
      <w:r>
        <w:t>本单位郑重声明，根据《财政部民政部中国残疾人联合会关于促进残疾人就业政府采购政策的通知》（财库〔2017〕141号）的规定，本单位为符合条件的残疾人福利性单位，且本单位参加</w:t>
      </w:r>
      <w:r>
        <w:rPr>
          <w:rFonts w:ascii="Times New Roman" w:eastAsia="Times New Roman"/>
          <w:u w:val="single"/>
        </w:rPr>
        <w:tab/>
      </w:r>
      <w:r>
        <w:t>单位的</w:t>
      </w:r>
      <w:r>
        <w:rPr>
          <w:rFonts w:ascii="Times New Roman" w:eastAsia="Times New Roman"/>
          <w:u w:val="single"/>
        </w:rPr>
        <w:tab/>
      </w:r>
      <w:r>
        <w:t>项目采购活动提供本单位制造的货物（由本单位承担工程/提供服务），或者提供其他残疾人福利性单位制造的货物（不包括使用非残疾人福利性单位注册商标的货物）。</w:t>
      </w:r>
    </w:p>
    <w:p w14:paraId="186C566E">
      <w:pPr>
        <w:pStyle w:val="8"/>
        <w:spacing w:before="4"/>
        <w:ind w:left="984" w:firstLine="482"/>
      </w:pPr>
      <w:r>
        <w:t>本单位对上述声明的真实性负责。如有虚假，将依法承担相应责任。</w:t>
      </w:r>
    </w:p>
    <w:p w14:paraId="73C1E9EE">
      <w:pPr>
        <w:pStyle w:val="12"/>
        <w:ind w:firstLine="482"/>
        <w:rPr>
          <w:sz w:val="24"/>
        </w:rPr>
      </w:pPr>
    </w:p>
    <w:p w14:paraId="14A45C33">
      <w:pPr>
        <w:pStyle w:val="12"/>
        <w:ind w:firstLine="482"/>
        <w:rPr>
          <w:sz w:val="24"/>
        </w:rPr>
      </w:pPr>
    </w:p>
    <w:p w14:paraId="373D8B7A">
      <w:pPr>
        <w:pStyle w:val="12"/>
        <w:spacing w:before="10"/>
        <w:ind w:firstLine="381"/>
        <w:rPr>
          <w:sz w:val="19"/>
        </w:rPr>
      </w:pPr>
    </w:p>
    <w:p w14:paraId="4499CC2F">
      <w:pPr>
        <w:pStyle w:val="8"/>
        <w:ind w:left="1488" w:firstLine="482"/>
      </w:pPr>
      <w:r>
        <w:t>单位名称（加盖供应商CA证书签章）：</w:t>
      </w:r>
    </w:p>
    <w:p w14:paraId="70F7D24F">
      <w:pPr>
        <w:pStyle w:val="12"/>
        <w:spacing w:before="11"/>
      </w:pPr>
    </w:p>
    <w:p w14:paraId="55F011D8">
      <w:pPr>
        <w:pStyle w:val="8"/>
        <w:ind w:left="0" w:right="1257" w:firstLine="482"/>
        <w:jc w:val="center"/>
      </w:pPr>
      <w:r>
        <w:t>日期：</w:t>
      </w:r>
    </w:p>
    <w:p w14:paraId="2A6D6859">
      <w:pPr>
        <w:ind w:firstLine="422"/>
        <w:jc w:val="center"/>
        <w:sectPr>
          <w:pgSz w:w="11910" w:h="16840"/>
          <w:pgMar w:top="1220" w:right="640" w:bottom="1180" w:left="960" w:header="0" w:footer="954" w:gutter="0"/>
          <w:cols w:space="720" w:num="1"/>
        </w:sectPr>
      </w:pPr>
    </w:p>
    <w:p w14:paraId="3643F244">
      <w:pPr>
        <w:spacing w:before="24"/>
        <w:ind w:right="322" w:firstLine="643"/>
        <w:jc w:val="center"/>
        <w:rPr>
          <w:b/>
          <w:sz w:val="32"/>
        </w:rPr>
      </w:pPr>
      <w:r>
        <w:rPr>
          <w:b/>
          <w:sz w:val="32"/>
        </w:rPr>
        <w:t>（二）符合性响应证明材料目录</w:t>
      </w:r>
    </w:p>
    <w:p w14:paraId="041DC2F9">
      <w:pPr>
        <w:pStyle w:val="8"/>
        <w:numPr>
          <w:ilvl w:val="1"/>
          <w:numId w:val="14"/>
        </w:numPr>
        <w:tabs>
          <w:tab w:val="left" w:pos="1440"/>
        </w:tabs>
        <w:spacing w:before="211"/>
        <w:ind w:left="1440" w:firstLine="482"/>
      </w:pPr>
      <w:r>
        <w:t>响应函</w:t>
      </w:r>
      <w:r>
        <w:rPr>
          <w:rFonts w:hint="eastAsia"/>
        </w:rPr>
        <w:t>及响应函附录</w:t>
      </w:r>
      <w:r>
        <w:t>（必须提供）</w:t>
      </w:r>
    </w:p>
    <w:p w14:paraId="452EA07E">
      <w:pPr>
        <w:pStyle w:val="8"/>
        <w:numPr>
          <w:ilvl w:val="1"/>
          <w:numId w:val="14"/>
        </w:numPr>
        <w:tabs>
          <w:tab w:val="left" w:pos="1440"/>
        </w:tabs>
        <w:spacing w:before="211"/>
        <w:ind w:left="1440" w:firstLine="482"/>
      </w:pPr>
      <w:r>
        <w:t>已标价工程量清单（必须提供）；</w:t>
      </w:r>
    </w:p>
    <w:p w14:paraId="2C194457">
      <w:pPr>
        <w:pStyle w:val="8"/>
        <w:numPr>
          <w:ilvl w:val="1"/>
          <w:numId w:val="14"/>
        </w:numPr>
        <w:tabs>
          <w:tab w:val="left" w:pos="1440"/>
        </w:tabs>
        <w:spacing w:before="211"/>
        <w:ind w:left="1440" w:firstLine="482"/>
      </w:pPr>
      <w:r>
        <w:rPr>
          <w:rFonts w:hint="eastAsia"/>
        </w:rPr>
        <w:t>施工组织设计</w:t>
      </w:r>
      <w:r>
        <w:t>（必须提供）；</w:t>
      </w:r>
    </w:p>
    <w:p w14:paraId="45073740">
      <w:pPr>
        <w:pStyle w:val="8"/>
        <w:numPr>
          <w:ilvl w:val="1"/>
          <w:numId w:val="14"/>
        </w:numPr>
        <w:tabs>
          <w:tab w:val="left" w:pos="1440"/>
        </w:tabs>
        <w:spacing w:before="211"/>
        <w:ind w:left="1440" w:firstLine="482"/>
      </w:pPr>
      <w:r>
        <w:rPr>
          <w:rFonts w:hint="eastAsia"/>
        </w:rPr>
        <w:t>项目管理机构（必须提供）；</w:t>
      </w:r>
    </w:p>
    <w:p w14:paraId="375C9AF9">
      <w:pPr>
        <w:pStyle w:val="8"/>
        <w:numPr>
          <w:ilvl w:val="1"/>
          <w:numId w:val="14"/>
        </w:numPr>
        <w:tabs>
          <w:tab w:val="left" w:pos="1440"/>
        </w:tabs>
        <w:spacing w:before="211"/>
        <w:ind w:left="1440" w:firstLine="482"/>
      </w:pPr>
      <w:r>
        <w:rPr>
          <w:rFonts w:hint="eastAsia"/>
        </w:rPr>
        <w:t>农民工工资保证金承诺书及供应商承诺函（必须提供）；</w:t>
      </w:r>
    </w:p>
    <w:p w14:paraId="07ED1338">
      <w:pPr>
        <w:ind w:firstLine="422"/>
      </w:pPr>
    </w:p>
    <w:p w14:paraId="7FE83FC7">
      <w:pPr>
        <w:ind w:firstLine="422"/>
      </w:pPr>
    </w:p>
    <w:p w14:paraId="20DE5D49">
      <w:pPr>
        <w:ind w:firstLine="422"/>
      </w:pPr>
    </w:p>
    <w:p w14:paraId="44EC4C2C">
      <w:pPr>
        <w:ind w:firstLine="422"/>
      </w:pPr>
    </w:p>
    <w:p w14:paraId="4E9E11B4">
      <w:pPr>
        <w:ind w:firstLine="422"/>
      </w:pPr>
    </w:p>
    <w:p w14:paraId="55026C40">
      <w:pPr>
        <w:ind w:firstLine="422"/>
      </w:pPr>
    </w:p>
    <w:p w14:paraId="25BC823C">
      <w:pPr>
        <w:ind w:firstLine="422"/>
      </w:pPr>
    </w:p>
    <w:p w14:paraId="07308D2B">
      <w:pPr>
        <w:ind w:firstLine="422"/>
      </w:pPr>
    </w:p>
    <w:p w14:paraId="44EFBF85">
      <w:pPr>
        <w:ind w:firstLine="422"/>
      </w:pPr>
    </w:p>
    <w:p w14:paraId="10205060">
      <w:pPr>
        <w:ind w:firstLine="422"/>
      </w:pPr>
    </w:p>
    <w:p w14:paraId="55DEB7D8">
      <w:pPr>
        <w:ind w:firstLine="422"/>
      </w:pPr>
    </w:p>
    <w:p w14:paraId="0ED33E67">
      <w:pPr>
        <w:ind w:firstLine="422"/>
      </w:pPr>
    </w:p>
    <w:p w14:paraId="1F99DDE0">
      <w:pPr>
        <w:ind w:firstLine="422"/>
      </w:pPr>
    </w:p>
    <w:p w14:paraId="692EF914">
      <w:pPr>
        <w:ind w:firstLine="422"/>
      </w:pPr>
    </w:p>
    <w:p w14:paraId="5C1D98AD">
      <w:pPr>
        <w:ind w:firstLine="422"/>
      </w:pPr>
    </w:p>
    <w:p w14:paraId="3329CC78">
      <w:pPr>
        <w:ind w:firstLine="422"/>
      </w:pPr>
    </w:p>
    <w:p w14:paraId="06D1EEB0">
      <w:pPr>
        <w:ind w:firstLine="422"/>
      </w:pPr>
    </w:p>
    <w:p w14:paraId="293AEA37">
      <w:pPr>
        <w:ind w:firstLine="422"/>
      </w:pPr>
    </w:p>
    <w:p w14:paraId="3819AD37">
      <w:pPr>
        <w:ind w:firstLine="422"/>
      </w:pPr>
    </w:p>
    <w:p w14:paraId="4E38F4A6">
      <w:pPr>
        <w:ind w:firstLine="422"/>
      </w:pPr>
    </w:p>
    <w:p w14:paraId="00D7C866">
      <w:pPr>
        <w:ind w:firstLine="422"/>
      </w:pPr>
    </w:p>
    <w:p w14:paraId="3A681976">
      <w:pPr>
        <w:ind w:firstLine="422"/>
      </w:pPr>
    </w:p>
    <w:p w14:paraId="05C14063">
      <w:pPr>
        <w:ind w:firstLine="422"/>
      </w:pPr>
    </w:p>
    <w:p w14:paraId="1F82E67C">
      <w:pPr>
        <w:ind w:firstLine="422"/>
      </w:pPr>
    </w:p>
    <w:p w14:paraId="11073453">
      <w:pPr>
        <w:ind w:firstLine="422"/>
      </w:pPr>
    </w:p>
    <w:p w14:paraId="0EEEBECA">
      <w:pPr>
        <w:ind w:firstLine="422"/>
      </w:pPr>
    </w:p>
    <w:p w14:paraId="2F8179BF">
      <w:pPr>
        <w:ind w:firstLine="422"/>
      </w:pPr>
    </w:p>
    <w:p w14:paraId="234C282D">
      <w:pPr>
        <w:ind w:firstLine="422"/>
      </w:pPr>
    </w:p>
    <w:p w14:paraId="60E07C30">
      <w:pPr>
        <w:ind w:firstLine="422"/>
      </w:pPr>
    </w:p>
    <w:p w14:paraId="33DDAFF9">
      <w:pPr>
        <w:ind w:firstLine="422"/>
      </w:pPr>
    </w:p>
    <w:p w14:paraId="684F47EB">
      <w:pPr>
        <w:ind w:firstLine="422"/>
      </w:pPr>
    </w:p>
    <w:p w14:paraId="59A7F0CA">
      <w:pPr>
        <w:ind w:firstLine="422"/>
      </w:pPr>
    </w:p>
    <w:p w14:paraId="12F0488E">
      <w:pPr>
        <w:ind w:firstLine="422"/>
      </w:pPr>
    </w:p>
    <w:p w14:paraId="183EE3BE">
      <w:pPr>
        <w:ind w:firstLine="422"/>
      </w:pPr>
    </w:p>
    <w:p w14:paraId="519BC6B6">
      <w:pPr>
        <w:ind w:firstLine="422"/>
      </w:pPr>
    </w:p>
    <w:p w14:paraId="7FFFB539">
      <w:pPr>
        <w:ind w:firstLine="422"/>
      </w:pPr>
    </w:p>
    <w:p w14:paraId="6E88922E">
      <w:pPr>
        <w:ind w:firstLine="422"/>
      </w:pPr>
    </w:p>
    <w:p w14:paraId="2F674F43">
      <w:pPr>
        <w:ind w:firstLine="422"/>
      </w:pPr>
    </w:p>
    <w:p w14:paraId="3C6666B7">
      <w:pPr>
        <w:ind w:firstLine="422"/>
      </w:pPr>
    </w:p>
    <w:p w14:paraId="3E316882">
      <w:pPr>
        <w:ind w:firstLine="422"/>
      </w:pPr>
    </w:p>
    <w:p w14:paraId="583E8A2A">
      <w:pPr>
        <w:pStyle w:val="5"/>
        <w:tabs>
          <w:tab w:val="left" w:pos="760"/>
        </w:tabs>
        <w:spacing w:before="45"/>
        <w:ind w:firstLine="643"/>
        <w:rPr>
          <w:sz w:val="32"/>
          <w:szCs w:val="32"/>
        </w:rPr>
      </w:pPr>
      <w:r>
        <w:rPr>
          <w:rFonts w:hint="eastAsia"/>
          <w:sz w:val="32"/>
          <w:szCs w:val="32"/>
        </w:rPr>
        <w:t>1.</w:t>
      </w:r>
      <w:r>
        <w:rPr>
          <w:sz w:val="32"/>
          <w:szCs w:val="32"/>
        </w:rPr>
        <w:t>响应函</w:t>
      </w:r>
      <w:r>
        <w:rPr>
          <w:rFonts w:hint="eastAsia"/>
          <w:sz w:val="32"/>
          <w:szCs w:val="32"/>
        </w:rPr>
        <w:t>及响应函附录</w:t>
      </w:r>
      <w:r>
        <w:rPr>
          <w:sz w:val="32"/>
          <w:szCs w:val="32"/>
        </w:rPr>
        <w:t>（必须提供）</w:t>
      </w:r>
    </w:p>
    <w:p w14:paraId="6B83B980">
      <w:pPr>
        <w:pStyle w:val="7"/>
        <w:spacing w:before="133"/>
        <w:ind w:firstLine="482"/>
      </w:pPr>
      <w:r>
        <w:t>附件：</w:t>
      </w:r>
    </w:p>
    <w:p w14:paraId="645532DE">
      <w:pPr>
        <w:ind w:firstLine="643"/>
        <w:jc w:val="center"/>
        <w:rPr>
          <w:b/>
          <w:sz w:val="32"/>
          <w:szCs w:val="20"/>
        </w:rPr>
      </w:pPr>
      <w:r>
        <w:rPr>
          <w:rFonts w:hint="eastAsia"/>
          <w:b/>
          <w:sz w:val="32"/>
          <w:szCs w:val="20"/>
        </w:rPr>
        <w:t>（一）响应函</w:t>
      </w:r>
    </w:p>
    <w:p w14:paraId="4B3D18F6">
      <w:pPr>
        <w:spacing w:line="400" w:lineRule="exact"/>
        <w:ind w:firstLine="482"/>
        <w:rPr>
          <w:rFonts w:hint="eastAsia" w:eastAsia="宋体"/>
          <w:sz w:val="24"/>
          <w:lang w:eastAsia="zh-CN"/>
        </w:rPr>
      </w:pPr>
      <w:r>
        <w:rPr>
          <w:rFonts w:hint="eastAsia"/>
          <w:sz w:val="24"/>
        </w:rPr>
        <w:t>致：</w:t>
      </w:r>
      <w:r>
        <w:rPr>
          <w:rFonts w:hint="eastAsia"/>
          <w:sz w:val="24"/>
          <w:u w:val="single"/>
          <w:lang w:eastAsia="zh-CN"/>
        </w:rPr>
        <w:t>广西壮族自治区临桂公路养护中心</w:t>
      </w:r>
    </w:p>
    <w:p w14:paraId="3F1D4490">
      <w:pPr>
        <w:spacing w:line="360" w:lineRule="exact"/>
        <w:ind w:firstLine="480" w:firstLineChars="200"/>
        <w:rPr>
          <w:sz w:val="24"/>
        </w:rPr>
      </w:pPr>
      <w:r>
        <w:rPr>
          <w:rFonts w:hint="eastAsia"/>
          <w:sz w:val="24"/>
        </w:rPr>
        <w:t>根据贵方</w:t>
      </w:r>
      <w:r>
        <w:rPr>
          <w:rFonts w:hint="eastAsia"/>
          <w:sz w:val="24"/>
          <w:u w:val="single"/>
        </w:rPr>
        <w:t>（项目名称）</w:t>
      </w:r>
      <w:r>
        <w:rPr>
          <w:rFonts w:hint="eastAsia"/>
          <w:sz w:val="24"/>
        </w:rPr>
        <w:t>项目磋商文件，项目编号，签字代表（姓名）经正式授权并代表供应商（供应商单位名称），提交电子响应文件。</w:t>
      </w:r>
    </w:p>
    <w:p w14:paraId="26229076">
      <w:pPr>
        <w:spacing w:line="360" w:lineRule="exact"/>
        <w:ind w:firstLine="480" w:firstLineChars="200"/>
        <w:rPr>
          <w:sz w:val="24"/>
        </w:rPr>
      </w:pPr>
      <w:r>
        <w:rPr>
          <w:rFonts w:hint="eastAsia"/>
          <w:sz w:val="24"/>
        </w:rPr>
        <w:t>据此函，签字代表宣布同意如下：</w:t>
      </w:r>
    </w:p>
    <w:p w14:paraId="51498CDC">
      <w:pPr>
        <w:spacing w:line="360" w:lineRule="exact"/>
        <w:ind w:firstLine="480" w:firstLineChars="200"/>
        <w:rPr>
          <w:sz w:val="24"/>
          <w:lang w:bidi="zh-CN"/>
        </w:rPr>
      </w:pPr>
      <w:r>
        <w:rPr>
          <w:rFonts w:hint="eastAsia"/>
          <w:sz w:val="24"/>
        </w:rPr>
        <w:t>1.</w:t>
      </w:r>
      <w:r>
        <w:rPr>
          <w:sz w:val="24"/>
          <w:szCs w:val="20"/>
          <w:lang w:bidi="zh-CN"/>
        </w:rPr>
        <w:t>我方已仔细研究</w:t>
      </w:r>
      <w:r>
        <w:rPr>
          <w:rFonts w:hint="eastAsia"/>
          <w:sz w:val="24"/>
        </w:rPr>
        <w:t>磋商文件</w:t>
      </w:r>
      <w:r>
        <w:rPr>
          <w:sz w:val="24"/>
          <w:szCs w:val="20"/>
          <w:lang w:bidi="zh-CN"/>
        </w:rPr>
        <w:t>的全部内容，愿意以人民币</w:t>
      </w:r>
      <w:r>
        <w:rPr>
          <w:sz w:val="24"/>
          <w:lang w:bidi="zh-CN"/>
        </w:rPr>
        <w:t>（大写）</w:t>
      </w:r>
      <w:r>
        <w:rPr>
          <w:sz w:val="24"/>
          <w:u w:val="single"/>
          <w:lang w:bidi="zh-CN"/>
        </w:rPr>
        <w:tab/>
      </w:r>
      <w:r>
        <w:rPr>
          <w:sz w:val="24"/>
          <w:lang w:bidi="zh-CN"/>
        </w:rPr>
        <w:t>元（¥</w:t>
      </w:r>
      <w:r>
        <w:rPr>
          <w:sz w:val="24"/>
          <w:u w:val="single"/>
          <w:lang w:bidi="zh-CN"/>
        </w:rPr>
        <w:tab/>
      </w:r>
      <w:r>
        <w:rPr>
          <w:sz w:val="24"/>
          <w:lang w:bidi="zh-CN"/>
        </w:rPr>
        <w:t>）的</w:t>
      </w:r>
      <w:r>
        <w:rPr>
          <w:rFonts w:hint="eastAsia"/>
          <w:sz w:val="24"/>
        </w:rPr>
        <w:t>磋商</w:t>
      </w:r>
      <w:r>
        <w:rPr>
          <w:sz w:val="24"/>
          <w:lang w:bidi="zh-CN"/>
        </w:rPr>
        <w:t>报价（或根据</w:t>
      </w:r>
      <w:r>
        <w:rPr>
          <w:rFonts w:hint="eastAsia"/>
          <w:sz w:val="24"/>
        </w:rPr>
        <w:t>磋商文件</w:t>
      </w:r>
      <w:r>
        <w:rPr>
          <w:sz w:val="24"/>
          <w:lang w:bidi="zh-CN"/>
        </w:rPr>
        <w:t>规定修正核实后确定的另一金额），按合同约定实施和完成承包工程，修补工程中的任何缺陷。</w:t>
      </w:r>
    </w:p>
    <w:p w14:paraId="02730247">
      <w:pPr>
        <w:spacing w:line="360" w:lineRule="exact"/>
        <w:ind w:firstLine="480" w:firstLineChars="200"/>
        <w:rPr>
          <w:sz w:val="24"/>
        </w:rPr>
      </w:pPr>
      <w:r>
        <w:rPr>
          <w:rFonts w:hint="eastAsia"/>
          <w:sz w:val="24"/>
          <w:lang w:bidi="zh-CN"/>
        </w:rPr>
        <w:t>2.</w:t>
      </w:r>
      <w:r>
        <w:rPr>
          <w:sz w:val="24"/>
          <w:lang w:val="zh-CN" w:bidi="zh-CN"/>
        </w:rPr>
        <w:t>工程质量：</w:t>
      </w:r>
      <w:r>
        <w:rPr>
          <w:sz w:val="24"/>
          <w:u w:val="single"/>
          <w:lang w:val="zh-CN" w:bidi="zh-CN"/>
        </w:rPr>
        <w:tab/>
      </w:r>
      <w:r>
        <w:rPr>
          <w:sz w:val="24"/>
          <w:lang w:val="zh-CN" w:bidi="zh-CN"/>
        </w:rPr>
        <w:t>，工期：</w:t>
      </w:r>
      <w:r>
        <w:rPr>
          <w:sz w:val="24"/>
          <w:u w:val="single"/>
          <w:lang w:val="zh-CN" w:bidi="zh-CN"/>
        </w:rPr>
        <w:tab/>
      </w:r>
      <w:r>
        <w:rPr>
          <w:sz w:val="24"/>
          <w:lang w:val="zh-CN" w:bidi="zh-CN"/>
        </w:rPr>
        <w:t>。</w:t>
      </w:r>
    </w:p>
    <w:p w14:paraId="52BEB796">
      <w:pPr>
        <w:spacing w:line="360" w:lineRule="exact"/>
        <w:ind w:firstLine="480" w:firstLineChars="200"/>
        <w:rPr>
          <w:sz w:val="24"/>
        </w:rPr>
      </w:pPr>
      <w:r>
        <w:rPr>
          <w:rFonts w:hint="eastAsia"/>
          <w:sz w:val="24"/>
        </w:rPr>
        <w:t>3.我方承诺已具备磋商文件规定的供应商资格条件。</w:t>
      </w:r>
    </w:p>
    <w:p w14:paraId="720EEFBF">
      <w:pPr>
        <w:spacing w:line="360" w:lineRule="exact"/>
        <w:ind w:firstLine="480" w:firstLineChars="200"/>
        <w:rPr>
          <w:sz w:val="24"/>
        </w:rPr>
      </w:pPr>
      <w:r>
        <w:rPr>
          <w:rFonts w:hint="eastAsia"/>
          <w:sz w:val="24"/>
        </w:rPr>
        <w:t>4.我方已详细审核磋商文件，包括修改文件（如有的话）和有关附件，将自行承担因对全部磋商文件理解不正确或误解而产生的相应后果。</w:t>
      </w:r>
    </w:p>
    <w:p w14:paraId="51ACC6A7">
      <w:pPr>
        <w:spacing w:line="360" w:lineRule="exact"/>
        <w:ind w:firstLine="480" w:firstLineChars="200"/>
        <w:rPr>
          <w:sz w:val="24"/>
        </w:rPr>
      </w:pPr>
      <w:r>
        <w:rPr>
          <w:rFonts w:hint="eastAsia"/>
          <w:sz w:val="24"/>
        </w:rPr>
        <w:t>5.响应文件有效期为响应文件递交截止时间之日起90天。</w:t>
      </w:r>
    </w:p>
    <w:p w14:paraId="45979397">
      <w:pPr>
        <w:spacing w:line="360" w:lineRule="exact"/>
        <w:ind w:firstLine="480" w:firstLineChars="200"/>
        <w:rPr>
          <w:sz w:val="24"/>
        </w:rPr>
      </w:pPr>
      <w:r>
        <w:rPr>
          <w:rFonts w:hint="eastAsia"/>
          <w:sz w:val="24"/>
        </w:rPr>
        <w:t>6.如我方成交：</w:t>
      </w:r>
    </w:p>
    <w:p w14:paraId="2818A2F7">
      <w:pPr>
        <w:spacing w:line="360" w:lineRule="exact"/>
        <w:ind w:firstLine="480" w:firstLineChars="200"/>
        <w:rPr>
          <w:sz w:val="24"/>
        </w:rPr>
      </w:pPr>
      <w:r>
        <w:rPr>
          <w:rFonts w:hint="eastAsia"/>
          <w:sz w:val="24"/>
        </w:rPr>
        <w:t>（1）我方承诺在收到成交通知书后，在成交通知书规定的期限内与采购人签订合同。</w:t>
      </w:r>
    </w:p>
    <w:p w14:paraId="40D57BDA">
      <w:pPr>
        <w:spacing w:line="360" w:lineRule="exact"/>
        <w:ind w:firstLine="480" w:firstLineChars="200"/>
        <w:rPr>
          <w:sz w:val="24"/>
        </w:rPr>
      </w:pPr>
      <w:r>
        <w:rPr>
          <w:rFonts w:hint="eastAsia"/>
          <w:sz w:val="24"/>
        </w:rPr>
        <w:t>（2）我方承诺按照磋商文件规定递交履约担保。</w:t>
      </w:r>
    </w:p>
    <w:p w14:paraId="21C56CCD">
      <w:pPr>
        <w:spacing w:line="360" w:lineRule="exact"/>
        <w:ind w:firstLine="480" w:firstLineChars="200"/>
        <w:rPr>
          <w:sz w:val="24"/>
        </w:rPr>
      </w:pPr>
      <w:r>
        <w:rPr>
          <w:rFonts w:hint="eastAsia"/>
          <w:sz w:val="24"/>
        </w:rPr>
        <w:t>（3）我方承诺本响应文件至本项目合同履行完毕止均保持有效，按磋商文件及政府采购法律、法规的规定履行合同责任和义务。</w:t>
      </w:r>
    </w:p>
    <w:p w14:paraId="251F068D">
      <w:pPr>
        <w:spacing w:line="360" w:lineRule="exact"/>
        <w:ind w:firstLine="480" w:firstLineChars="200"/>
        <w:rPr>
          <w:sz w:val="24"/>
        </w:rPr>
      </w:pPr>
    </w:p>
    <w:p w14:paraId="4E7ECF5A">
      <w:pPr>
        <w:spacing w:line="360" w:lineRule="exact"/>
        <w:ind w:firstLine="480" w:firstLineChars="200"/>
        <w:rPr>
          <w:sz w:val="24"/>
        </w:rPr>
      </w:pPr>
      <w:r>
        <w:rPr>
          <w:rFonts w:hint="eastAsia"/>
          <w:sz w:val="24"/>
        </w:rPr>
        <w:t>与本项目有关的正式通讯地址为：</w:t>
      </w:r>
    </w:p>
    <w:p w14:paraId="470669A1">
      <w:pPr>
        <w:spacing w:line="360" w:lineRule="exact"/>
        <w:ind w:firstLine="480" w:firstLineChars="200"/>
        <w:rPr>
          <w:sz w:val="24"/>
        </w:rPr>
      </w:pPr>
      <w:r>
        <w:rPr>
          <w:rFonts w:hint="eastAsia"/>
          <w:sz w:val="24"/>
        </w:rPr>
        <w:t>地址：邮编：邮箱：</w:t>
      </w:r>
    </w:p>
    <w:p w14:paraId="51A3CF36">
      <w:pPr>
        <w:spacing w:line="360" w:lineRule="exact"/>
        <w:ind w:firstLine="480" w:firstLineChars="200"/>
        <w:rPr>
          <w:sz w:val="24"/>
          <w:u w:val="single"/>
        </w:rPr>
      </w:pPr>
      <w:r>
        <w:rPr>
          <w:rFonts w:hint="eastAsia"/>
          <w:sz w:val="24"/>
        </w:rPr>
        <w:t>办公电话：传真：</w:t>
      </w:r>
    </w:p>
    <w:p w14:paraId="3B370213">
      <w:pPr>
        <w:spacing w:line="360" w:lineRule="exact"/>
        <w:ind w:firstLine="480" w:firstLineChars="200"/>
        <w:rPr>
          <w:sz w:val="24"/>
          <w:u w:val="single"/>
        </w:rPr>
      </w:pPr>
      <w:r>
        <w:rPr>
          <w:rFonts w:hint="eastAsia"/>
          <w:sz w:val="24"/>
        </w:rPr>
        <w:t>委托代理人联系电话：</w:t>
      </w:r>
    </w:p>
    <w:p w14:paraId="282120B6">
      <w:pPr>
        <w:spacing w:line="320" w:lineRule="exact"/>
        <w:ind w:firstLine="480" w:firstLineChars="200"/>
        <w:rPr>
          <w:sz w:val="24"/>
        </w:rPr>
      </w:pPr>
      <w:r>
        <w:rPr>
          <w:rFonts w:hint="eastAsia"/>
          <w:sz w:val="24"/>
        </w:rPr>
        <w:t>开户名称：</w:t>
      </w:r>
    </w:p>
    <w:p w14:paraId="3EA01123">
      <w:pPr>
        <w:spacing w:line="320" w:lineRule="exact"/>
        <w:ind w:firstLine="480" w:firstLineChars="200"/>
        <w:rPr>
          <w:sz w:val="24"/>
        </w:rPr>
      </w:pPr>
      <w:r>
        <w:rPr>
          <w:rFonts w:hint="eastAsia"/>
          <w:sz w:val="24"/>
        </w:rPr>
        <w:t>开户银行：</w:t>
      </w:r>
      <w:r>
        <w:rPr>
          <w:rFonts w:hint="eastAsia"/>
          <w:sz w:val="24"/>
          <w:u w:val="single"/>
        </w:rPr>
        <w:t>　</w:t>
      </w:r>
    </w:p>
    <w:p w14:paraId="2BCAD03D">
      <w:pPr>
        <w:spacing w:line="320" w:lineRule="exact"/>
        <w:ind w:firstLine="480" w:firstLineChars="200"/>
        <w:rPr>
          <w:sz w:val="24"/>
        </w:rPr>
      </w:pPr>
      <w:r>
        <w:rPr>
          <w:rFonts w:hint="eastAsia"/>
          <w:sz w:val="24"/>
        </w:rPr>
        <w:t>账号：</w:t>
      </w:r>
      <w:r>
        <w:rPr>
          <w:rFonts w:hint="eastAsia"/>
          <w:sz w:val="24"/>
          <w:u w:val="single"/>
        </w:rPr>
        <w:t>　　　</w:t>
      </w:r>
    </w:p>
    <w:p w14:paraId="7AE2E263">
      <w:pPr>
        <w:pStyle w:val="12"/>
        <w:spacing w:before="10"/>
        <w:ind w:firstLine="482"/>
        <w:rPr>
          <w:rFonts w:ascii="Times New Roman"/>
          <w:sz w:val="24"/>
        </w:rPr>
      </w:pPr>
    </w:p>
    <w:p w14:paraId="0B8FE03D">
      <w:pPr>
        <w:pStyle w:val="12"/>
        <w:spacing w:before="69"/>
        <w:ind w:firstLine="720" w:firstLineChars="300"/>
        <w:rPr>
          <w:sz w:val="24"/>
          <w:szCs w:val="22"/>
        </w:rPr>
      </w:pPr>
      <w:r>
        <w:rPr>
          <w:rFonts w:hint="eastAsia"/>
          <w:sz w:val="24"/>
          <w:szCs w:val="22"/>
        </w:rPr>
        <w:t>磋商供应商（CA证书签章）：</w:t>
      </w:r>
    </w:p>
    <w:p w14:paraId="3C53430D">
      <w:pPr>
        <w:ind w:firstLine="720" w:firstLineChars="300"/>
      </w:pPr>
      <w:r>
        <w:rPr>
          <w:rFonts w:hint="eastAsia"/>
          <w:sz w:val="24"/>
          <w:szCs w:val="24"/>
        </w:rPr>
        <w:t>法定代表人(负责人、自然人)或相应的委托代理人签字（或个人CA证书章）：</w:t>
      </w:r>
    </w:p>
    <w:p w14:paraId="7DB9A7F7">
      <w:pPr>
        <w:pStyle w:val="12"/>
        <w:spacing w:before="70" w:line="304" w:lineRule="auto"/>
        <w:ind w:right="1949" w:firstLine="720" w:firstLineChars="300"/>
        <w:rPr>
          <w:sz w:val="24"/>
          <w:szCs w:val="22"/>
        </w:rPr>
      </w:pPr>
      <w:r>
        <w:rPr>
          <w:rFonts w:hint="eastAsia"/>
          <w:sz w:val="24"/>
          <w:szCs w:val="22"/>
        </w:rPr>
        <w:t>响应日期：</w:t>
      </w:r>
    </w:p>
    <w:p w14:paraId="486C5961">
      <w:pPr>
        <w:pStyle w:val="12"/>
        <w:spacing w:before="3"/>
        <w:ind w:firstLine="522"/>
        <w:rPr>
          <w:sz w:val="26"/>
        </w:rPr>
      </w:pPr>
    </w:p>
    <w:p w14:paraId="5B214174">
      <w:pPr>
        <w:pStyle w:val="12"/>
        <w:spacing w:line="304" w:lineRule="auto"/>
        <w:ind w:left="480" w:right="796" w:firstLine="422"/>
      </w:pPr>
      <w:r>
        <w:t>注：1.未按照本响应函（格式）要求填报的应函将被视为非实质性响应竞争性磋商文件要求，从而导致该响应被拒绝。</w:t>
      </w:r>
    </w:p>
    <w:p w14:paraId="33A32186">
      <w:pPr>
        <w:pStyle w:val="39"/>
        <w:numPr>
          <w:ilvl w:val="1"/>
          <w:numId w:val="15"/>
        </w:numPr>
        <w:tabs>
          <w:tab w:val="left" w:pos="1108"/>
        </w:tabs>
        <w:spacing w:line="302" w:lineRule="auto"/>
        <w:ind w:right="694" w:firstLine="422"/>
        <w:rPr>
          <w:sz w:val="19"/>
        </w:rPr>
      </w:pPr>
      <w:r>
        <w:rPr>
          <w:sz w:val="21"/>
        </w:rPr>
        <w:t>供应商必须按本响应函（格式）要求注明清楚联系方式（包括地址、邮编、邮箱、电话等），从而确保成交结果等相关信息能及时通知到位。</w:t>
      </w:r>
    </w:p>
    <w:p w14:paraId="5A747469">
      <w:pPr>
        <w:pStyle w:val="39"/>
        <w:numPr>
          <w:ilvl w:val="1"/>
          <w:numId w:val="15"/>
        </w:numPr>
        <w:tabs>
          <w:tab w:val="left" w:pos="1111"/>
        </w:tabs>
        <w:spacing w:line="304" w:lineRule="auto"/>
        <w:ind w:right="799" w:firstLine="422"/>
        <w:rPr>
          <w:sz w:val="19"/>
        </w:rPr>
      </w:pPr>
      <w:r>
        <w:rPr>
          <w:sz w:val="21"/>
        </w:rPr>
        <w:t>响应函须由法定代表人(负责人、自然人)或相应的委托代理人签字（或个人CA证书签章）并加盖供应商公章（CA证书签章）。</w:t>
      </w:r>
    </w:p>
    <w:p w14:paraId="02FF66EA">
      <w:pPr>
        <w:spacing w:line="304" w:lineRule="auto"/>
        <w:ind w:firstLine="381"/>
        <w:rPr>
          <w:sz w:val="19"/>
        </w:rPr>
      </w:pPr>
    </w:p>
    <w:p w14:paraId="52C1960E">
      <w:pPr>
        <w:spacing w:line="304" w:lineRule="auto"/>
        <w:ind w:firstLine="381"/>
        <w:rPr>
          <w:sz w:val="19"/>
        </w:rPr>
      </w:pPr>
    </w:p>
    <w:p w14:paraId="489F5D31">
      <w:pPr>
        <w:spacing w:line="304" w:lineRule="auto"/>
        <w:ind w:firstLine="381"/>
        <w:rPr>
          <w:sz w:val="19"/>
        </w:rPr>
      </w:pPr>
    </w:p>
    <w:p w14:paraId="0462F255">
      <w:pPr>
        <w:spacing w:before="212"/>
        <w:ind w:right="176" w:firstLine="602"/>
        <w:jc w:val="center"/>
        <w:rPr>
          <w:b/>
          <w:sz w:val="30"/>
          <w:lang w:val="zh-CN" w:bidi="zh-CN"/>
        </w:rPr>
      </w:pPr>
      <w:r>
        <w:rPr>
          <w:b/>
          <w:sz w:val="30"/>
          <w:lang w:val="zh-CN" w:bidi="zh-CN"/>
        </w:rPr>
        <w:t>（二）</w:t>
      </w:r>
      <w:r>
        <w:rPr>
          <w:rFonts w:hint="eastAsia"/>
          <w:b/>
          <w:sz w:val="30"/>
          <w:lang w:val="zh-CN" w:bidi="zh-CN"/>
        </w:rPr>
        <w:t>响应函附录</w:t>
      </w:r>
    </w:p>
    <w:p w14:paraId="5D307071">
      <w:pPr>
        <w:spacing w:before="212"/>
        <w:ind w:right="176" w:firstLine="600"/>
        <w:jc w:val="center"/>
        <w:rPr>
          <w:b/>
          <w:sz w:val="30"/>
          <w:lang w:val="zh-CN" w:bidi="zh-CN"/>
        </w:rPr>
      </w:pPr>
    </w:p>
    <w:tbl>
      <w:tblPr>
        <w:tblStyle w:val="38"/>
        <w:tblW w:w="93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5"/>
        <w:gridCol w:w="2888"/>
        <w:gridCol w:w="1434"/>
        <w:gridCol w:w="3421"/>
        <w:gridCol w:w="724"/>
      </w:tblGrid>
      <w:tr w14:paraId="6F467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835" w:type="dxa"/>
            <w:vAlign w:val="center"/>
          </w:tcPr>
          <w:p w14:paraId="736D1393">
            <w:pPr>
              <w:pStyle w:val="41"/>
              <w:spacing w:before="164" w:line="186" w:lineRule="auto"/>
              <w:ind w:left="213"/>
              <w:rPr>
                <w:rFonts w:ascii="宋体" w:hAnsi="宋体" w:eastAsia="宋体" w:cs="宋体"/>
                <w:sz w:val="21"/>
                <w:szCs w:val="21"/>
              </w:rPr>
            </w:pPr>
            <w:r>
              <w:rPr>
                <w:rFonts w:hint="eastAsia" w:ascii="宋体" w:hAnsi="宋体" w:eastAsia="宋体" w:cs="宋体"/>
                <w:sz w:val="21"/>
                <w:szCs w:val="21"/>
              </w:rPr>
              <w:t>序号</w:t>
            </w:r>
          </w:p>
        </w:tc>
        <w:tc>
          <w:tcPr>
            <w:tcW w:w="2888" w:type="dxa"/>
            <w:vAlign w:val="center"/>
          </w:tcPr>
          <w:p w14:paraId="4331C7DF">
            <w:pPr>
              <w:pStyle w:val="41"/>
              <w:spacing w:before="163" w:line="187" w:lineRule="auto"/>
              <w:ind w:left="1032"/>
              <w:rPr>
                <w:rFonts w:ascii="宋体" w:hAnsi="宋体" w:eastAsia="宋体" w:cs="宋体"/>
                <w:sz w:val="21"/>
                <w:szCs w:val="21"/>
              </w:rPr>
            </w:pPr>
            <w:r>
              <w:rPr>
                <w:rFonts w:hint="eastAsia" w:ascii="宋体" w:hAnsi="宋体" w:eastAsia="宋体" w:cs="宋体"/>
                <w:sz w:val="21"/>
                <w:szCs w:val="21"/>
              </w:rPr>
              <w:t>条款名称</w:t>
            </w:r>
          </w:p>
        </w:tc>
        <w:tc>
          <w:tcPr>
            <w:tcW w:w="1434" w:type="dxa"/>
            <w:vAlign w:val="center"/>
          </w:tcPr>
          <w:p w14:paraId="36A9D143">
            <w:pPr>
              <w:pStyle w:val="41"/>
              <w:spacing w:before="164" w:line="186" w:lineRule="auto"/>
              <w:ind w:left="197"/>
              <w:rPr>
                <w:rFonts w:ascii="宋体" w:hAnsi="宋体" w:eastAsia="宋体" w:cs="宋体"/>
                <w:sz w:val="21"/>
                <w:szCs w:val="21"/>
              </w:rPr>
            </w:pPr>
            <w:r>
              <w:rPr>
                <w:rFonts w:hint="eastAsia" w:ascii="宋体" w:hAnsi="宋体" w:eastAsia="宋体" w:cs="宋体"/>
                <w:sz w:val="21"/>
                <w:szCs w:val="21"/>
              </w:rPr>
              <w:t>合同条目号</w:t>
            </w:r>
          </w:p>
        </w:tc>
        <w:tc>
          <w:tcPr>
            <w:tcW w:w="3421" w:type="dxa"/>
            <w:vAlign w:val="center"/>
          </w:tcPr>
          <w:p w14:paraId="6E1B4811">
            <w:pPr>
              <w:pStyle w:val="41"/>
              <w:spacing w:before="164" w:line="186" w:lineRule="auto"/>
              <w:ind w:left="1302"/>
              <w:rPr>
                <w:rFonts w:ascii="宋体" w:hAnsi="宋体" w:eastAsia="宋体" w:cs="宋体"/>
                <w:sz w:val="21"/>
                <w:szCs w:val="21"/>
              </w:rPr>
            </w:pPr>
            <w:r>
              <w:rPr>
                <w:rFonts w:hint="eastAsia" w:ascii="宋体" w:hAnsi="宋体" w:eastAsia="宋体" w:cs="宋体"/>
                <w:sz w:val="21"/>
                <w:szCs w:val="21"/>
              </w:rPr>
              <w:t>约定内容</w:t>
            </w:r>
          </w:p>
        </w:tc>
        <w:tc>
          <w:tcPr>
            <w:tcW w:w="724" w:type="dxa"/>
            <w:vAlign w:val="center"/>
          </w:tcPr>
          <w:p w14:paraId="2E958BFE">
            <w:pPr>
              <w:pStyle w:val="41"/>
              <w:spacing w:before="163" w:line="188" w:lineRule="auto"/>
              <w:ind w:left="163"/>
              <w:rPr>
                <w:rFonts w:ascii="宋体" w:hAnsi="宋体" w:eastAsia="宋体" w:cs="宋体"/>
                <w:sz w:val="21"/>
                <w:szCs w:val="21"/>
              </w:rPr>
            </w:pPr>
            <w:r>
              <w:rPr>
                <w:rFonts w:hint="eastAsia" w:ascii="宋体" w:hAnsi="宋体" w:eastAsia="宋体" w:cs="宋体"/>
                <w:sz w:val="21"/>
                <w:szCs w:val="21"/>
              </w:rPr>
              <w:t>备注</w:t>
            </w:r>
          </w:p>
        </w:tc>
      </w:tr>
      <w:tr w14:paraId="2B5A0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35" w:type="dxa"/>
            <w:vAlign w:val="center"/>
          </w:tcPr>
          <w:p w14:paraId="399B7AD2">
            <w:pPr>
              <w:pStyle w:val="41"/>
              <w:spacing w:before="207" w:line="161" w:lineRule="auto"/>
              <w:ind w:left="388"/>
              <w:rPr>
                <w:rFonts w:ascii="宋体" w:hAnsi="宋体" w:eastAsia="宋体" w:cs="宋体"/>
                <w:sz w:val="21"/>
                <w:szCs w:val="21"/>
              </w:rPr>
            </w:pPr>
            <w:r>
              <w:rPr>
                <w:rFonts w:hint="eastAsia" w:ascii="宋体" w:hAnsi="宋体" w:eastAsia="宋体" w:cs="宋体"/>
                <w:sz w:val="21"/>
                <w:szCs w:val="21"/>
              </w:rPr>
              <w:t>1</w:t>
            </w:r>
          </w:p>
        </w:tc>
        <w:tc>
          <w:tcPr>
            <w:tcW w:w="2888" w:type="dxa"/>
            <w:vAlign w:val="center"/>
          </w:tcPr>
          <w:p w14:paraId="2F17D17F">
            <w:pPr>
              <w:pStyle w:val="41"/>
              <w:spacing w:before="174" w:line="186" w:lineRule="auto"/>
              <w:ind w:left="925"/>
              <w:rPr>
                <w:rFonts w:ascii="宋体" w:hAnsi="宋体" w:eastAsia="宋体" w:cs="宋体"/>
                <w:sz w:val="21"/>
                <w:szCs w:val="21"/>
              </w:rPr>
            </w:pPr>
            <w:r>
              <w:rPr>
                <w:rFonts w:hint="eastAsia" w:ascii="宋体" w:hAnsi="宋体" w:eastAsia="宋体" w:cs="宋体"/>
                <w:sz w:val="21"/>
                <w:szCs w:val="21"/>
              </w:rPr>
              <w:t>缺陷责任期</w:t>
            </w:r>
          </w:p>
        </w:tc>
        <w:tc>
          <w:tcPr>
            <w:tcW w:w="1434" w:type="dxa"/>
            <w:vAlign w:val="center"/>
          </w:tcPr>
          <w:p w14:paraId="38BB3846">
            <w:pPr>
              <w:pStyle w:val="41"/>
              <w:spacing w:before="207" w:line="161" w:lineRule="auto"/>
              <w:jc w:val="center"/>
              <w:rPr>
                <w:rFonts w:ascii="宋体" w:hAnsi="宋体" w:eastAsia="宋体" w:cs="宋体"/>
                <w:sz w:val="21"/>
                <w:szCs w:val="21"/>
              </w:rPr>
            </w:pPr>
            <w:r>
              <w:fldChar w:fldCharType="begin"/>
            </w:r>
            <w:r>
              <w:instrText xml:space="preserve"> HYPERLINK "1.1.4.5" </w:instrText>
            </w:r>
            <w:r>
              <w:fldChar w:fldCharType="separate"/>
            </w:r>
            <w:r>
              <w:rPr>
                <w:rFonts w:hint="eastAsia" w:ascii="宋体" w:hAnsi="宋体" w:eastAsia="宋体" w:cs="宋体"/>
                <w:sz w:val="21"/>
                <w:szCs w:val="21"/>
              </w:rPr>
              <w:t>1.1.4.5</w:t>
            </w:r>
            <w:r>
              <w:rPr>
                <w:rFonts w:hint="eastAsia" w:ascii="宋体" w:hAnsi="宋体" w:eastAsia="宋体" w:cs="宋体"/>
                <w:sz w:val="21"/>
                <w:szCs w:val="21"/>
              </w:rPr>
              <w:fldChar w:fldCharType="end"/>
            </w:r>
          </w:p>
        </w:tc>
        <w:tc>
          <w:tcPr>
            <w:tcW w:w="3421" w:type="dxa"/>
            <w:vAlign w:val="center"/>
          </w:tcPr>
          <w:p w14:paraId="48DE4530">
            <w:pPr>
              <w:pStyle w:val="41"/>
              <w:spacing w:before="174" w:line="186" w:lineRule="auto"/>
              <w:ind w:left="151"/>
              <w:rPr>
                <w:rFonts w:ascii="宋体" w:hAnsi="宋体" w:eastAsia="宋体" w:cs="宋体"/>
                <w:sz w:val="21"/>
                <w:szCs w:val="21"/>
                <w:lang w:eastAsia="zh-CN"/>
              </w:rPr>
            </w:pPr>
            <w:r>
              <w:rPr>
                <w:rFonts w:hint="eastAsia" w:ascii="宋体" w:hAnsi="宋体" w:eastAsia="宋体" w:cs="宋体"/>
                <w:sz w:val="21"/>
                <w:szCs w:val="21"/>
                <w:lang w:eastAsia="zh-CN"/>
              </w:rPr>
              <w:t>自实际交工期起计算12个月</w:t>
            </w:r>
          </w:p>
        </w:tc>
        <w:tc>
          <w:tcPr>
            <w:tcW w:w="724" w:type="dxa"/>
            <w:vAlign w:val="center"/>
          </w:tcPr>
          <w:p w14:paraId="3F09E692">
            <w:pPr>
              <w:ind w:firstLine="422"/>
              <w:rPr>
                <w:sz w:val="21"/>
                <w:szCs w:val="21"/>
              </w:rPr>
            </w:pPr>
          </w:p>
        </w:tc>
      </w:tr>
      <w:tr w14:paraId="52779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35" w:type="dxa"/>
            <w:vAlign w:val="center"/>
          </w:tcPr>
          <w:p w14:paraId="2D368838">
            <w:pPr>
              <w:pStyle w:val="41"/>
              <w:spacing w:before="202" w:line="161" w:lineRule="auto"/>
              <w:ind w:left="375"/>
              <w:rPr>
                <w:rFonts w:ascii="宋体" w:hAnsi="宋体" w:eastAsia="宋体" w:cs="宋体"/>
                <w:sz w:val="21"/>
                <w:szCs w:val="21"/>
              </w:rPr>
            </w:pPr>
            <w:r>
              <w:rPr>
                <w:rFonts w:hint="eastAsia" w:ascii="宋体" w:hAnsi="宋体" w:eastAsia="宋体" w:cs="宋体"/>
                <w:sz w:val="21"/>
                <w:szCs w:val="21"/>
              </w:rPr>
              <w:t>2</w:t>
            </w:r>
          </w:p>
        </w:tc>
        <w:tc>
          <w:tcPr>
            <w:tcW w:w="2888" w:type="dxa"/>
            <w:vAlign w:val="center"/>
          </w:tcPr>
          <w:p w14:paraId="4F2C06B3">
            <w:pPr>
              <w:pStyle w:val="41"/>
              <w:spacing w:before="169" w:line="186" w:lineRule="auto"/>
              <w:ind w:left="712"/>
              <w:rPr>
                <w:rFonts w:ascii="宋体" w:hAnsi="宋体" w:eastAsia="宋体" w:cs="宋体"/>
                <w:sz w:val="21"/>
                <w:szCs w:val="21"/>
              </w:rPr>
            </w:pPr>
            <w:r>
              <w:rPr>
                <w:rFonts w:hint="eastAsia" w:ascii="宋体" w:hAnsi="宋体" w:eastAsia="宋体" w:cs="宋体"/>
                <w:sz w:val="21"/>
                <w:szCs w:val="21"/>
              </w:rPr>
              <w:t>逾期交工违约金</w:t>
            </w:r>
          </w:p>
        </w:tc>
        <w:tc>
          <w:tcPr>
            <w:tcW w:w="1434" w:type="dxa"/>
            <w:vAlign w:val="center"/>
          </w:tcPr>
          <w:p w14:paraId="643113E1">
            <w:pPr>
              <w:pStyle w:val="41"/>
              <w:spacing w:before="202" w:line="161" w:lineRule="auto"/>
              <w:ind w:left="529"/>
              <w:rPr>
                <w:rFonts w:ascii="宋体" w:hAnsi="宋体" w:eastAsia="宋体" w:cs="宋体"/>
                <w:sz w:val="21"/>
                <w:szCs w:val="21"/>
              </w:rPr>
            </w:pPr>
            <w:r>
              <w:rPr>
                <w:rFonts w:hint="eastAsia" w:ascii="宋体" w:hAnsi="宋体" w:eastAsia="宋体" w:cs="宋体"/>
                <w:sz w:val="21"/>
                <w:szCs w:val="21"/>
              </w:rPr>
              <w:t>11.5</w:t>
            </w:r>
          </w:p>
        </w:tc>
        <w:tc>
          <w:tcPr>
            <w:tcW w:w="3421" w:type="dxa"/>
            <w:vAlign w:val="center"/>
          </w:tcPr>
          <w:p w14:paraId="54F6D653">
            <w:pPr>
              <w:pStyle w:val="41"/>
              <w:spacing w:before="169" w:line="187" w:lineRule="auto"/>
              <w:ind w:left="120"/>
              <w:rPr>
                <w:rFonts w:ascii="宋体" w:hAnsi="宋体" w:eastAsia="宋体" w:cs="宋体"/>
                <w:sz w:val="21"/>
                <w:szCs w:val="21"/>
              </w:rPr>
            </w:pPr>
            <w:r>
              <w:rPr>
                <w:rFonts w:hint="eastAsia" w:ascii="宋体" w:hAnsi="宋体" w:eastAsia="宋体" w:cs="宋体"/>
                <w:sz w:val="21"/>
                <w:szCs w:val="21"/>
              </w:rPr>
              <w:t>5000元/天</w:t>
            </w:r>
          </w:p>
        </w:tc>
        <w:tc>
          <w:tcPr>
            <w:tcW w:w="724" w:type="dxa"/>
            <w:vAlign w:val="center"/>
          </w:tcPr>
          <w:p w14:paraId="7D912E8B">
            <w:pPr>
              <w:ind w:firstLine="422"/>
              <w:rPr>
                <w:sz w:val="21"/>
                <w:szCs w:val="21"/>
              </w:rPr>
            </w:pPr>
          </w:p>
        </w:tc>
      </w:tr>
      <w:tr w14:paraId="1C858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835" w:type="dxa"/>
            <w:vAlign w:val="center"/>
          </w:tcPr>
          <w:p w14:paraId="65BFE4F9">
            <w:pPr>
              <w:pStyle w:val="41"/>
              <w:spacing w:before="193" w:line="160" w:lineRule="auto"/>
              <w:ind w:left="377"/>
              <w:rPr>
                <w:rFonts w:ascii="宋体" w:hAnsi="宋体" w:eastAsia="宋体" w:cs="宋体"/>
                <w:sz w:val="21"/>
                <w:szCs w:val="21"/>
              </w:rPr>
            </w:pPr>
            <w:r>
              <w:rPr>
                <w:rFonts w:hint="eastAsia" w:ascii="宋体" w:hAnsi="宋体" w:eastAsia="宋体" w:cs="宋体"/>
                <w:sz w:val="21"/>
                <w:szCs w:val="21"/>
              </w:rPr>
              <w:t>3</w:t>
            </w:r>
          </w:p>
        </w:tc>
        <w:tc>
          <w:tcPr>
            <w:tcW w:w="2888" w:type="dxa"/>
            <w:vAlign w:val="center"/>
          </w:tcPr>
          <w:p w14:paraId="67E5EB58">
            <w:pPr>
              <w:pStyle w:val="41"/>
              <w:spacing w:before="159" w:line="186" w:lineRule="auto"/>
              <w:ind w:left="500"/>
              <w:rPr>
                <w:rFonts w:ascii="宋体" w:hAnsi="宋体" w:eastAsia="宋体" w:cs="宋体"/>
                <w:sz w:val="21"/>
                <w:szCs w:val="21"/>
              </w:rPr>
            </w:pPr>
            <w:r>
              <w:rPr>
                <w:rFonts w:hint="eastAsia" w:ascii="宋体" w:hAnsi="宋体" w:eastAsia="宋体" w:cs="宋体"/>
                <w:sz w:val="21"/>
                <w:szCs w:val="21"/>
              </w:rPr>
              <w:t>逾期交工违约金限额</w:t>
            </w:r>
          </w:p>
        </w:tc>
        <w:tc>
          <w:tcPr>
            <w:tcW w:w="1434" w:type="dxa"/>
            <w:vAlign w:val="center"/>
          </w:tcPr>
          <w:p w14:paraId="072D48F6">
            <w:pPr>
              <w:pStyle w:val="41"/>
              <w:spacing w:before="192" w:line="161" w:lineRule="auto"/>
              <w:ind w:left="529"/>
              <w:rPr>
                <w:rFonts w:ascii="宋体" w:hAnsi="宋体" w:eastAsia="宋体" w:cs="宋体"/>
                <w:sz w:val="21"/>
                <w:szCs w:val="21"/>
              </w:rPr>
            </w:pPr>
            <w:r>
              <w:rPr>
                <w:rFonts w:hint="eastAsia" w:ascii="宋体" w:hAnsi="宋体" w:eastAsia="宋体" w:cs="宋体"/>
                <w:sz w:val="21"/>
                <w:szCs w:val="21"/>
              </w:rPr>
              <w:t>11.5</w:t>
            </w:r>
          </w:p>
        </w:tc>
        <w:tc>
          <w:tcPr>
            <w:tcW w:w="3421" w:type="dxa"/>
            <w:vAlign w:val="center"/>
          </w:tcPr>
          <w:p w14:paraId="71963EC4">
            <w:pPr>
              <w:pStyle w:val="41"/>
              <w:spacing w:before="160" w:line="186" w:lineRule="auto"/>
              <w:ind w:left="132"/>
              <w:rPr>
                <w:rFonts w:ascii="宋体" w:hAnsi="宋体" w:eastAsia="宋体" w:cs="宋体"/>
                <w:sz w:val="21"/>
                <w:szCs w:val="21"/>
              </w:rPr>
            </w:pPr>
            <w:r>
              <w:rPr>
                <w:rFonts w:hint="eastAsia" w:ascii="宋体" w:hAnsi="宋体" w:eastAsia="宋体" w:cs="宋体"/>
                <w:sz w:val="21"/>
                <w:szCs w:val="21"/>
              </w:rPr>
              <w:t>10%签约合同价</w:t>
            </w:r>
          </w:p>
        </w:tc>
        <w:tc>
          <w:tcPr>
            <w:tcW w:w="724" w:type="dxa"/>
            <w:vAlign w:val="center"/>
          </w:tcPr>
          <w:p w14:paraId="4F9C1A13">
            <w:pPr>
              <w:ind w:firstLine="422"/>
              <w:rPr>
                <w:sz w:val="21"/>
                <w:szCs w:val="21"/>
              </w:rPr>
            </w:pPr>
          </w:p>
        </w:tc>
      </w:tr>
      <w:tr w14:paraId="43989E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35" w:type="dxa"/>
            <w:vAlign w:val="center"/>
          </w:tcPr>
          <w:p w14:paraId="5959C67E">
            <w:pPr>
              <w:pStyle w:val="41"/>
              <w:spacing w:before="207" w:line="161" w:lineRule="auto"/>
              <w:ind w:left="371"/>
              <w:rPr>
                <w:rFonts w:ascii="宋体" w:hAnsi="宋体" w:eastAsia="宋体" w:cs="宋体"/>
                <w:sz w:val="21"/>
                <w:szCs w:val="21"/>
              </w:rPr>
            </w:pPr>
            <w:r>
              <w:rPr>
                <w:rFonts w:hint="eastAsia" w:ascii="宋体" w:hAnsi="宋体" w:eastAsia="宋体" w:cs="宋体"/>
                <w:sz w:val="21"/>
                <w:szCs w:val="21"/>
              </w:rPr>
              <w:t>4</w:t>
            </w:r>
          </w:p>
        </w:tc>
        <w:tc>
          <w:tcPr>
            <w:tcW w:w="2888" w:type="dxa"/>
            <w:vAlign w:val="center"/>
          </w:tcPr>
          <w:p w14:paraId="4B27C454">
            <w:pPr>
              <w:pStyle w:val="41"/>
              <w:spacing w:before="175" w:line="186" w:lineRule="auto"/>
              <w:ind w:left="714"/>
              <w:rPr>
                <w:rFonts w:ascii="宋体" w:hAnsi="宋体" w:eastAsia="宋体" w:cs="宋体"/>
                <w:sz w:val="21"/>
                <w:szCs w:val="21"/>
              </w:rPr>
            </w:pPr>
            <w:r>
              <w:rPr>
                <w:rFonts w:hint="eastAsia" w:ascii="宋体" w:hAnsi="宋体" w:eastAsia="宋体" w:cs="宋体"/>
                <w:sz w:val="21"/>
                <w:szCs w:val="21"/>
              </w:rPr>
              <w:t>提前交工的奖金</w:t>
            </w:r>
          </w:p>
        </w:tc>
        <w:tc>
          <w:tcPr>
            <w:tcW w:w="1434" w:type="dxa"/>
            <w:vAlign w:val="center"/>
          </w:tcPr>
          <w:p w14:paraId="6E9D7875">
            <w:pPr>
              <w:pStyle w:val="41"/>
              <w:spacing w:before="207" w:line="161" w:lineRule="auto"/>
              <w:ind w:left="529"/>
              <w:rPr>
                <w:rFonts w:ascii="宋体" w:hAnsi="宋体" w:eastAsia="宋体" w:cs="宋体"/>
                <w:sz w:val="21"/>
                <w:szCs w:val="21"/>
              </w:rPr>
            </w:pPr>
            <w:r>
              <w:rPr>
                <w:rFonts w:hint="eastAsia" w:ascii="宋体" w:hAnsi="宋体" w:eastAsia="宋体" w:cs="宋体"/>
                <w:sz w:val="21"/>
                <w:szCs w:val="21"/>
              </w:rPr>
              <w:t>11.6</w:t>
            </w:r>
          </w:p>
        </w:tc>
        <w:tc>
          <w:tcPr>
            <w:tcW w:w="3421" w:type="dxa"/>
            <w:vAlign w:val="center"/>
          </w:tcPr>
          <w:p w14:paraId="40A25545">
            <w:pPr>
              <w:pStyle w:val="41"/>
              <w:spacing w:before="174" w:line="188" w:lineRule="auto"/>
              <w:ind w:left="115"/>
              <w:rPr>
                <w:rFonts w:ascii="宋体" w:hAnsi="宋体" w:eastAsia="宋体" w:cs="宋体"/>
                <w:sz w:val="21"/>
                <w:szCs w:val="21"/>
              </w:rPr>
            </w:pPr>
            <w:r>
              <w:rPr>
                <w:rFonts w:hint="eastAsia" w:ascii="宋体" w:hAnsi="宋体" w:eastAsia="宋体" w:cs="宋体"/>
                <w:sz w:val="21"/>
                <w:szCs w:val="21"/>
              </w:rPr>
              <w:t>/</w:t>
            </w:r>
          </w:p>
        </w:tc>
        <w:tc>
          <w:tcPr>
            <w:tcW w:w="724" w:type="dxa"/>
            <w:vAlign w:val="center"/>
          </w:tcPr>
          <w:p w14:paraId="272F4075">
            <w:pPr>
              <w:ind w:firstLine="422"/>
              <w:rPr>
                <w:sz w:val="21"/>
                <w:szCs w:val="21"/>
              </w:rPr>
            </w:pPr>
          </w:p>
        </w:tc>
      </w:tr>
      <w:tr w14:paraId="5D686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35" w:type="dxa"/>
            <w:vAlign w:val="center"/>
          </w:tcPr>
          <w:p w14:paraId="00CDD808">
            <w:pPr>
              <w:pStyle w:val="41"/>
              <w:spacing w:before="204" w:line="159" w:lineRule="auto"/>
              <w:ind w:left="377"/>
              <w:rPr>
                <w:rFonts w:ascii="宋体" w:hAnsi="宋体" w:eastAsia="宋体" w:cs="宋体"/>
                <w:sz w:val="21"/>
                <w:szCs w:val="21"/>
              </w:rPr>
            </w:pPr>
            <w:r>
              <w:rPr>
                <w:rFonts w:hint="eastAsia" w:ascii="宋体" w:hAnsi="宋体" w:eastAsia="宋体" w:cs="宋体"/>
                <w:sz w:val="21"/>
                <w:szCs w:val="21"/>
              </w:rPr>
              <w:t>5</w:t>
            </w:r>
          </w:p>
        </w:tc>
        <w:tc>
          <w:tcPr>
            <w:tcW w:w="2888" w:type="dxa"/>
            <w:vAlign w:val="center"/>
          </w:tcPr>
          <w:p w14:paraId="4DE67165">
            <w:pPr>
              <w:pStyle w:val="41"/>
              <w:spacing w:before="169" w:line="186" w:lineRule="auto"/>
              <w:ind w:left="503"/>
              <w:rPr>
                <w:rFonts w:ascii="宋体" w:hAnsi="宋体" w:eastAsia="宋体" w:cs="宋体"/>
                <w:sz w:val="21"/>
                <w:szCs w:val="21"/>
              </w:rPr>
            </w:pPr>
            <w:r>
              <w:rPr>
                <w:rFonts w:hint="eastAsia" w:ascii="宋体" w:hAnsi="宋体" w:eastAsia="宋体" w:cs="宋体"/>
                <w:sz w:val="21"/>
                <w:szCs w:val="21"/>
              </w:rPr>
              <w:t>提前交工的奖金限额</w:t>
            </w:r>
          </w:p>
        </w:tc>
        <w:tc>
          <w:tcPr>
            <w:tcW w:w="1434" w:type="dxa"/>
            <w:vAlign w:val="center"/>
          </w:tcPr>
          <w:p w14:paraId="66C7C60D">
            <w:pPr>
              <w:pStyle w:val="41"/>
              <w:spacing w:before="202" w:line="161" w:lineRule="auto"/>
              <w:ind w:left="529"/>
              <w:rPr>
                <w:rFonts w:ascii="宋体" w:hAnsi="宋体" w:eastAsia="宋体" w:cs="宋体"/>
                <w:sz w:val="21"/>
                <w:szCs w:val="21"/>
              </w:rPr>
            </w:pPr>
            <w:r>
              <w:rPr>
                <w:rFonts w:hint="eastAsia" w:ascii="宋体" w:hAnsi="宋体" w:eastAsia="宋体" w:cs="宋体"/>
                <w:sz w:val="21"/>
                <w:szCs w:val="21"/>
              </w:rPr>
              <w:t>11.6</w:t>
            </w:r>
          </w:p>
        </w:tc>
        <w:tc>
          <w:tcPr>
            <w:tcW w:w="3421" w:type="dxa"/>
            <w:vAlign w:val="center"/>
          </w:tcPr>
          <w:p w14:paraId="69210ED2">
            <w:pPr>
              <w:pStyle w:val="41"/>
              <w:spacing w:before="169" w:line="188" w:lineRule="auto"/>
              <w:ind w:left="115"/>
              <w:rPr>
                <w:rFonts w:ascii="宋体" w:hAnsi="宋体" w:eastAsia="宋体" w:cs="宋体"/>
                <w:sz w:val="21"/>
                <w:szCs w:val="21"/>
              </w:rPr>
            </w:pPr>
            <w:r>
              <w:rPr>
                <w:rFonts w:hint="eastAsia" w:ascii="宋体" w:hAnsi="宋体" w:eastAsia="宋体" w:cs="宋体"/>
                <w:sz w:val="21"/>
                <w:szCs w:val="21"/>
              </w:rPr>
              <w:t>/</w:t>
            </w:r>
          </w:p>
        </w:tc>
        <w:tc>
          <w:tcPr>
            <w:tcW w:w="724" w:type="dxa"/>
            <w:vAlign w:val="center"/>
          </w:tcPr>
          <w:p w14:paraId="5F81BDEC">
            <w:pPr>
              <w:ind w:firstLine="422"/>
              <w:rPr>
                <w:sz w:val="21"/>
                <w:szCs w:val="21"/>
              </w:rPr>
            </w:pPr>
          </w:p>
        </w:tc>
      </w:tr>
      <w:tr w14:paraId="3542A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35" w:type="dxa"/>
            <w:vAlign w:val="center"/>
          </w:tcPr>
          <w:p w14:paraId="368BAA3F">
            <w:pPr>
              <w:pStyle w:val="41"/>
              <w:spacing w:before="193" w:line="160" w:lineRule="auto"/>
              <w:ind w:left="374"/>
              <w:rPr>
                <w:rFonts w:ascii="宋体" w:hAnsi="宋体" w:eastAsia="宋体" w:cs="宋体"/>
                <w:sz w:val="21"/>
                <w:szCs w:val="21"/>
              </w:rPr>
            </w:pPr>
            <w:r>
              <w:rPr>
                <w:rFonts w:hint="eastAsia" w:ascii="宋体" w:hAnsi="宋体" w:eastAsia="宋体" w:cs="宋体"/>
                <w:sz w:val="21"/>
                <w:szCs w:val="21"/>
              </w:rPr>
              <w:t>6</w:t>
            </w:r>
          </w:p>
        </w:tc>
        <w:tc>
          <w:tcPr>
            <w:tcW w:w="2888" w:type="dxa"/>
            <w:vAlign w:val="center"/>
          </w:tcPr>
          <w:p w14:paraId="26BF496A">
            <w:pPr>
              <w:pStyle w:val="41"/>
              <w:spacing w:before="159" w:line="186" w:lineRule="auto"/>
              <w:ind w:left="503"/>
              <w:rPr>
                <w:rFonts w:ascii="宋体" w:hAnsi="宋体" w:eastAsia="宋体" w:cs="宋体"/>
                <w:sz w:val="21"/>
                <w:szCs w:val="21"/>
              </w:rPr>
            </w:pPr>
            <w:r>
              <w:rPr>
                <w:rFonts w:hint="eastAsia" w:ascii="宋体" w:hAnsi="宋体" w:eastAsia="宋体" w:cs="宋体"/>
                <w:sz w:val="21"/>
                <w:szCs w:val="21"/>
              </w:rPr>
              <w:t>价格调整的差额计算</w:t>
            </w:r>
          </w:p>
        </w:tc>
        <w:tc>
          <w:tcPr>
            <w:tcW w:w="1434" w:type="dxa"/>
            <w:vAlign w:val="center"/>
          </w:tcPr>
          <w:p w14:paraId="4CA041FA">
            <w:pPr>
              <w:pStyle w:val="41"/>
              <w:spacing w:before="193" w:line="161" w:lineRule="auto"/>
              <w:ind w:left="423"/>
              <w:rPr>
                <w:rFonts w:ascii="宋体" w:hAnsi="宋体" w:eastAsia="宋体" w:cs="宋体"/>
                <w:sz w:val="21"/>
                <w:szCs w:val="21"/>
              </w:rPr>
            </w:pPr>
            <w:r>
              <w:rPr>
                <w:rFonts w:hint="eastAsia" w:ascii="宋体" w:hAnsi="宋体" w:eastAsia="宋体" w:cs="宋体"/>
                <w:sz w:val="21"/>
                <w:szCs w:val="21"/>
              </w:rPr>
              <w:t>16.1.1</w:t>
            </w:r>
          </w:p>
        </w:tc>
        <w:tc>
          <w:tcPr>
            <w:tcW w:w="3421" w:type="dxa"/>
            <w:vAlign w:val="center"/>
          </w:tcPr>
          <w:p w14:paraId="3219DE5B">
            <w:pPr>
              <w:pStyle w:val="41"/>
              <w:spacing w:before="160" w:line="186" w:lineRule="auto"/>
              <w:ind w:left="120"/>
              <w:rPr>
                <w:rFonts w:ascii="宋体" w:hAnsi="宋体" w:eastAsia="宋体" w:cs="宋体"/>
                <w:sz w:val="21"/>
                <w:szCs w:val="21"/>
              </w:rPr>
            </w:pPr>
            <w:r>
              <w:rPr>
                <w:rFonts w:hint="eastAsia" w:ascii="宋体" w:hAnsi="宋体" w:eastAsia="宋体" w:cs="宋体"/>
                <w:sz w:val="21"/>
                <w:szCs w:val="21"/>
              </w:rPr>
              <w:t>不调价</w:t>
            </w:r>
          </w:p>
        </w:tc>
        <w:tc>
          <w:tcPr>
            <w:tcW w:w="724" w:type="dxa"/>
            <w:vAlign w:val="center"/>
          </w:tcPr>
          <w:p w14:paraId="16E9F115">
            <w:pPr>
              <w:ind w:firstLine="422"/>
              <w:rPr>
                <w:sz w:val="21"/>
                <w:szCs w:val="21"/>
              </w:rPr>
            </w:pPr>
          </w:p>
        </w:tc>
      </w:tr>
      <w:tr w14:paraId="4ED7D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35" w:type="dxa"/>
            <w:vAlign w:val="center"/>
          </w:tcPr>
          <w:p w14:paraId="36DCA898">
            <w:pPr>
              <w:pStyle w:val="41"/>
              <w:spacing w:before="204" w:line="161" w:lineRule="auto"/>
              <w:ind w:left="377"/>
              <w:rPr>
                <w:rFonts w:ascii="宋体" w:hAnsi="宋体" w:eastAsia="宋体" w:cs="宋体"/>
                <w:sz w:val="21"/>
                <w:szCs w:val="21"/>
              </w:rPr>
            </w:pPr>
            <w:r>
              <w:rPr>
                <w:rFonts w:hint="eastAsia" w:ascii="宋体" w:hAnsi="宋体" w:eastAsia="宋体" w:cs="宋体"/>
                <w:sz w:val="21"/>
                <w:szCs w:val="21"/>
              </w:rPr>
              <w:t>7</w:t>
            </w:r>
          </w:p>
        </w:tc>
        <w:tc>
          <w:tcPr>
            <w:tcW w:w="2888" w:type="dxa"/>
            <w:vAlign w:val="center"/>
          </w:tcPr>
          <w:p w14:paraId="1CE078FA">
            <w:pPr>
              <w:pStyle w:val="41"/>
              <w:spacing w:before="169" w:line="186" w:lineRule="auto"/>
              <w:ind w:left="714"/>
              <w:rPr>
                <w:rFonts w:ascii="宋体" w:hAnsi="宋体" w:eastAsia="宋体" w:cs="宋体"/>
                <w:sz w:val="21"/>
                <w:szCs w:val="21"/>
              </w:rPr>
            </w:pPr>
            <w:r>
              <w:rPr>
                <w:rFonts w:hint="eastAsia" w:ascii="宋体" w:hAnsi="宋体" w:eastAsia="宋体" w:cs="宋体"/>
                <w:sz w:val="21"/>
                <w:szCs w:val="21"/>
              </w:rPr>
              <w:t>开工预付款金额</w:t>
            </w:r>
          </w:p>
        </w:tc>
        <w:tc>
          <w:tcPr>
            <w:tcW w:w="1434" w:type="dxa"/>
            <w:vAlign w:val="center"/>
          </w:tcPr>
          <w:p w14:paraId="586D89CF">
            <w:pPr>
              <w:pStyle w:val="41"/>
              <w:spacing w:before="203" w:line="161" w:lineRule="auto"/>
              <w:ind w:left="423"/>
              <w:rPr>
                <w:rFonts w:ascii="宋体" w:hAnsi="宋体" w:eastAsia="宋体" w:cs="宋体"/>
                <w:sz w:val="21"/>
                <w:szCs w:val="21"/>
              </w:rPr>
            </w:pPr>
            <w:r>
              <w:rPr>
                <w:rFonts w:hint="eastAsia" w:ascii="宋体" w:hAnsi="宋体" w:eastAsia="宋体" w:cs="宋体"/>
                <w:sz w:val="21"/>
                <w:szCs w:val="21"/>
              </w:rPr>
              <w:t>17.2.1</w:t>
            </w:r>
          </w:p>
        </w:tc>
        <w:tc>
          <w:tcPr>
            <w:tcW w:w="3421" w:type="dxa"/>
            <w:vAlign w:val="center"/>
          </w:tcPr>
          <w:p w14:paraId="10EA21C3">
            <w:pPr>
              <w:pStyle w:val="41"/>
              <w:spacing w:before="170" w:line="186" w:lineRule="auto"/>
              <w:ind w:firstLine="211" w:firstLineChars="100"/>
              <w:rPr>
                <w:rFonts w:ascii="宋体" w:hAnsi="宋体" w:eastAsia="宋体" w:cs="宋体"/>
                <w:sz w:val="21"/>
                <w:szCs w:val="21"/>
              </w:rPr>
            </w:pPr>
            <w:r>
              <w:rPr>
                <w:rFonts w:hint="eastAsia" w:ascii="宋体" w:hAnsi="宋体" w:eastAsia="宋体" w:cs="宋体"/>
                <w:b/>
                <w:bCs/>
                <w:sz w:val="21"/>
                <w:szCs w:val="21"/>
                <w:u w:val="single"/>
              </w:rPr>
              <w:t>10</w:t>
            </w:r>
            <w:r>
              <w:rPr>
                <w:rFonts w:hint="eastAsia" w:ascii="宋体" w:hAnsi="宋体" w:eastAsia="宋体" w:cs="宋体"/>
                <w:b/>
                <w:bCs/>
                <w:sz w:val="21"/>
                <w:szCs w:val="21"/>
              </w:rPr>
              <w:t>%签约合同价</w:t>
            </w:r>
          </w:p>
        </w:tc>
        <w:tc>
          <w:tcPr>
            <w:tcW w:w="724" w:type="dxa"/>
            <w:vAlign w:val="center"/>
          </w:tcPr>
          <w:p w14:paraId="13690A39">
            <w:pPr>
              <w:ind w:firstLine="422"/>
              <w:rPr>
                <w:sz w:val="21"/>
                <w:szCs w:val="21"/>
              </w:rPr>
            </w:pPr>
          </w:p>
        </w:tc>
      </w:tr>
      <w:tr w14:paraId="33A18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835" w:type="dxa"/>
            <w:vAlign w:val="center"/>
          </w:tcPr>
          <w:p w14:paraId="4DE4AC56">
            <w:pPr>
              <w:pStyle w:val="41"/>
              <w:spacing w:before="309" w:line="160" w:lineRule="auto"/>
              <w:ind w:left="373"/>
              <w:rPr>
                <w:rFonts w:ascii="宋体" w:hAnsi="宋体" w:eastAsia="宋体" w:cs="宋体"/>
                <w:sz w:val="21"/>
                <w:szCs w:val="21"/>
              </w:rPr>
            </w:pPr>
            <w:r>
              <w:rPr>
                <w:rFonts w:hint="eastAsia" w:ascii="宋体" w:hAnsi="宋体" w:eastAsia="宋体" w:cs="宋体"/>
                <w:sz w:val="21"/>
                <w:szCs w:val="21"/>
              </w:rPr>
              <w:t>8</w:t>
            </w:r>
          </w:p>
        </w:tc>
        <w:tc>
          <w:tcPr>
            <w:tcW w:w="2888" w:type="dxa"/>
            <w:vAlign w:val="center"/>
          </w:tcPr>
          <w:p w14:paraId="639A40B2">
            <w:pPr>
              <w:pStyle w:val="41"/>
              <w:spacing w:before="275" w:line="186" w:lineRule="auto"/>
              <w:ind w:left="401"/>
              <w:rPr>
                <w:rFonts w:ascii="宋体" w:hAnsi="宋体" w:eastAsia="宋体" w:cs="宋体"/>
                <w:sz w:val="21"/>
                <w:szCs w:val="21"/>
                <w:lang w:eastAsia="zh-CN"/>
              </w:rPr>
            </w:pPr>
            <w:r>
              <w:rPr>
                <w:rFonts w:hint="eastAsia" w:ascii="宋体" w:hAnsi="宋体" w:eastAsia="宋体" w:cs="宋体"/>
                <w:sz w:val="21"/>
                <w:szCs w:val="21"/>
                <w:lang w:eastAsia="zh-CN"/>
              </w:rPr>
              <w:t>材料、设备预付款比例</w:t>
            </w:r>
          </w:p>
        </w:tc>
        <w:tc>
          <w:tcPr>
            <w:tcW w:w="1434" w:type="dxa"/>
            <w:vAlign w:val="center"/>
          </w:tcPr>
          <w:p w14:paraId="3704EA6F">
            <w:pPr>
              <w:pStyle w:val="41"/>
              <w:spacing w:before="308" w:line="161" w:lineRule="auto"/>
              <w:ind w:left="423"/>
              <w:rPr>
                <w:rFonts w:ascii="宋体" w:hAnsi="宋体" w:eastAsia="宋体" w:cs="宋体"/>
                <w:sz w:val="21"/>
                <w:szCs w:val="21"/>
              </w:rPr>
            </w:pPr>
            <w:r>
              <w:rPr>
                <w:rFonts w:hint="eastAsia" w:ascii="宋体" w:hAnsi="宋体" w:eastAsia="宋体" w:cs="宋体"/>
                <w:sz w:val="21"/>
                <w:szCs w:val="21"/>
              </w:rPr>
              <w:t>17.2.1</w:t>
            </w:r>
          </w:p>
        </w:tc>
        <w:tc>
          <w:tcPr>
            <w:tcW w:w="3421" w:type="dxa"/>
            <w:vAlign w:val="center"/>
          </w:tcPr>
          <w:p w14:paraId="4FAE373F">
            <w:pPr>
              <w:pStyle w:val="41"/>
              <w:spacing w:before="141"/>
              <w:ind w:right="153" w:firstLine="210" w:firstLineChars="100"/>
              <w:rPr>
                <w:rFonts w:ascii="宋体" w:hAnsi="宋体" w:eastAsia="宋体" w:cs="宋体"/>
                <w:sz w:val="21"/>
                <w:szCs w:val="21"/>
                <w:lang w:eastAsia="zh-CN"/>
              </w:rPr>
            </w:pPr>
            <w:r>
              <w:rPr>
                <w:rFonts w:hint="eastAsia" w:ascii="宋体" w:hAnsi="宋体" w:eastAsia="宋体" w:cs="宋体"/>
                <w:sz w:val="21"/>
                <w:szCs w:val="21"/>
                <w:u w:val="single"/>
                <w:lang w:eastAsia="zh-CN"/>
              </w:rPr>
              <w:t>钢材、水泥、沥青、砂、石</w:t>
            </w:r>
            <w:r>
              <w:rPr>
                <w:rFonts w:hint="eastAsia" w:ascii="宋体" w:hAnsi="宋体" w:eastAsia="宋体" w:cs="宋体"/>
                <w:sz w:val="21"/>
                <w:szCs w:val="21"/>
                <w:lang w:eastAsia="zh-CN"/>
              </w:rPr>
              <w:t>等主要材料、设备单据所列费用70%</w:t>
            </w:r>
          </w:p>
        </w:tc>
        <w:tc>
          <w:tcPr>
            <w:tcW w:w="724" w:type="dxa"/>
            <w:vAlign w:val="center"/>
          </w:tcPr>
          <w:p w14:paraId="21A2C021">
            <w:pPr>
              <w:ind w:firstLine="422"/>
              <w:rPr>
                <w:sz w:val="21"/>
                <w:szCs w:val="21"/>
              </w:rPr>
            </w:pPr>
          </w:p>
        </w:tc>
      </w:tr>
      <w:tr w14:paraId="06406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trPr>
        <w:tc>
          <w:tcPr>
            <w:tcW w:w="835" w:type="dxa"/>
            <w:vAlign w:val="center"/>
          </w:tcPr>
          <w:p w14:paraId="61C0EA0B">
            <w:pPr>
              <w:pStyle w:val="41"/>
              <w:spacing w:before="276" w:line="160" w:lineRule="auto"/>
              <w:ind w:left="373"/>
              <w:rPr>
                <w:rFonts w:ascii="宋体" w:hAnsi="宋体" w:eastAsia="宋体" w:cs="宋体"/>
                <w:sz w:val="21"/>
                <w:szCs w:val="21"/>
              </w:rPr>
            </w:pPr>
            <w:r>
              <w:rPr>
                <w:rFonts w:hint="eastAsia" w:ascii="宋体" w:hAnsi="宋体" w:eastAsia="宋体" w:cs="宋体"/>
                <w:sz w:val="21"/>
                <w:szCs w:val="21"/>
              </w:rPr>
              <w:t>9</w:t>
            </w:r>
          </w:p>
        </w:tc>
        <w:tc>
          <w:tcPr>
            <w:tcW w:w="2888" w:type="dxa"/>
            <w:vAlign w:val="center"/>
          </w:tcPr>
          <w:p w14:paraId="0F0A5059">
            <w:pPr>
              <w:pStyle w:val="41"/>
              <w:spacing w:before="242" w:line="186" w:lineRule="auto"/>
              <w:ind w:left="400"/>
              <w:rPr>
                <w:rFonts w:ascii="宋体" w:hAnsi="宋体" w:eastAsia="宋体" w:cs="宋体"/>
                <w:sz w:val="21"/>
                <w:szCs w:val="21"/>
                <w:lang w:eastAsia="zh-CN"/>
              </w:rPr>
            </w:pPr>
            <w:r>
              <w:rPr>
                <w:rFonts w:hint="eastAsia" w:ascii="宋体" w:hAnsi="宋体" w:eastAsia="宋体" w:cs="宋体"/>
                <w:sz w:val="21"/>
                <w:szCs w:val="21"/>
                <w:lang w:eastAsia="zh-CN"/>
              </w:rPr>
              <w:t>进度付款证书最低限额</w:t>
            </w:r>
          </w:p>
        </w:tc>
        <w:tc>
          <w:tcPr>
            <w:tcW w:w="1434" w:type="dxa"/>
            <w:vAlign w:val="center"/>
          </w:tcPr>
          <w:p w14:paraId="17932910">
            <w:pPr>
              <w:pStyle w:val="41"/>
              <w:spacing w:before="242" w:line="182" w:lineRule="auto"/>
              <w:ind w:left="159"/>
              <w:rPr>
                <w:rFonts w:ascii="宋体" w:hAnsi="宋体" w:eastAsia="宋体" w:cs="宋体"/>
                <w:sz w:val="21"/>
                <w:szCs w:val="21"/>
              </w:rPr>
            </w:pPr>
            <w:r>
              <w:rPr>
                <w:rFonts w:hint="eastAsia" w:ascii="宋体" w:hAnsi="宋体" w:eastAsia="宋体" w:cs="宋体"/>
                <w:sz w:val="21"/>
                <w:szCs w:val="21"/>
              </w:rPr>
              <w:t>17.3.3（1）</w:t>
            </w:r>
          </w:p>
        </w:tc>
        <w:tc>
          <w:tcPr>
            <w:tcW w:w="3421" w:type="dxa"/>
            <w:vAlign w:val="center"/>
          </w:tcPr>
          <w:p w14:paraId="52FC7C16">
            <w:pPr>
              <w:pStyle w:val="41"/>
              <w:spacing w:before="242"/>
              <w:ind w:firstLine="211" w:firstLineChars="100"/>
              <w:jc w:val="both"/>
              <w:rPr>
                <w:rFonts w:ascii="宋体" w:hAnsi="宋体" w:eastAsia="宋体" w:cs="宋体"/>
                <w:sz w:val="21"/>
                <w:szCs w:val="21"/>
                <w:lang w:eastAsia="zh-CN"/>
              </w:rPr>
            </w:pPr>
            <w:r>
              <w:rPr>
                <w:rFonts w:hint="eastAsia" w:ascii="宋体" w:hAnsi="宋体" w:eastAsia="宋体" w:cs="宋体"/>
                <w:b/>
                <w:bCs/>
                <w:sz w:val="21"/>
                <w:szCs w:val="21"/>
                <w:lang w:eastAsia="zh-CN"/>
              </w:rPr>
              <w:t>按每月完成的任务工程量逐月结算或按进度结算</w:t>
            </w:r>
          </w:p>
        </w:tc>
        <w:tc>
          <w:tcPr>
            <w:tcW w:w="724" w:type="dxa"/>
            <w:vAlign w:val="center"/>
          </w:tcPr>
          <w:p w14:paraId="1BF4DC97">
            <w:pPr>
              <w:ind w:firstLine="422"/>
              <w:rPr>
                <w:sz w:val="21"/>
                <w:szCs w:val="21"/>
              </w:rPr>
            </w:pPr>
          </w:p>
        </w:tc>
      </w:tr>
      <w:tr w14:paraId="62580C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trPr>
        <w:tc>
          <w:tcPr>
            <w:tcW w:w="835" w:type="dxa"/>
            <w:vAlign w:val="center"/>
          </w:tcPr>
          <w:p w14:paraId="06869924">
            <w:pPr>
              <w:spacing w:line="326" w:lineRule="auto"/>
              <w:ind w:firstLine="422"/>
              <w:rPr>
                <w:sz w:val="21"/>
                <w:szCs w:val="21"/>
              </w:rPr>
            </w:pPr>
          </w:p>
          <w:p w14:paraId="3C343366">
            <w:pPr>
              <w:pStyle w:val="41"/>
              <w:spacing w:before="90" w:line="161" w:lineRule="auto"/>
              <w:ind w:left="335"/>
              <w:rPr>
                <w:rFonts w:ascii="宋体" w:hAnsi="宋体" w:eastAsia="宋体" w:cs="宋体"/>
                <w:sz w:val="21"/>
                <w:szCs w:val="21"/>
              </w:rPr>
            </w:pPr>
            <w:r>
              <w:rPr>
                <w:rFonts w:hint="eastAsia" w:ascii="宋体" w:hAnsi="宋体" w:eastAsia="宋体" w:cs="宋体"/>
                <w:sz w:val="21"/>
                <w:szCs w:val="21"/>
              </w:rPr>
              <w:t>10</w:t>
            </w:r>
          </w:p>
        </w:tc>
        <w:tc>
          <w:tcPr>
            <w:tcW w:w="2888" w:type="dxa"/>
            <w:vAlign w:val="center"/>
          </w:tcPr>
          <w:p w14:paraId="4700D5C5">
            <w:pPr>
              <w:spacing w:line="294" w:lineRule="auto"/>
              <w:ind w:firstLine="422"/>
              <w:rPr>
                <w:sz w:val="21"/>
                <w:szCs w:val="21"/>
              </w:rPr>
            </w:pPr>
          </w:p>
          <w:p w14:paraId="3FFFA15D">
            <w:pPr>
              <w:pStyle w:val="41"/>
              <w:spacing w:before="90" w:line="186" w:lineRule="auto"/>
              <w:ind w:left="400"/>
              <w:rPr>
                <w:rFonts w:ascii="宋体" w:hAnsi="宋体" w:eastAsia="宋体" w:cs="宋体"/>
                <w:sz w:val="21"/>
                <w:szCs w:val="21"/>
                <w:lang w:eastAsia="zh-CN"/>
              </w:rPr>
            </w:pPr>
            <w:r>
              <w:rPr>
                <w:rFonts w:hint="eastAsia" w:ascii="宋体" w:hAnsi="宋体" w:eastAsia="宋体" w:cs="宋体"/>
                <w:sz w:val="21"/>
                <w:szCs w:val="21"/>
                <w:lang w:eastAsia="zh-CN"/>
              </w:rPr>
              <w:t>逾期付款违约金的利率</w:t>
            </w:r>
          </w:p>
        </w:tc>
        <w:tc>
          <w:tcPr>
            <w:tcW w:w="1434" w:type="dxa"/>
            <w:vAlign w:val="center"/>
          </w:tcPr>
          <w:p w14:paraId="132C1BD7">
            <w:pPr>
              <w:spacing w:line="294" w:lineRule="auto"/>
              <w:ind w:firstLine="422"/>
              <w:rPr>
                <w:sz w:val="21"/>
                <w:szCs w:val="21"/>
              </w:rPr>
            </w:pPr>
          </w:p>
          <w:p w14:paraId="4E60525B">
            <w:pPr>
              <w:pStyle w:val="41"/>
              <w:spacing w:before="90" w:line="182" w:lineRule="auto"/>
              <w:ind w:left="159"/>
              <w:rPr>
                <w:rFonts w:ascii="宋体" w:hAnsi="宋体" w:eastAsia="宋体" w:cs="宋体"/>
                <w:sz w:val="21"/>
                <w:szCs w:val="21"/>
              </w:rPr>
            </w:pPr>
            <w:r>
              <w:rPr>
                <w:rFonts w:hint="eastAsia" w:ascii="宋体" w:hAnsi="宋体" w:eastAsia="宋体" w:cs="宋体"/>
                <w:sz w:val="21"/>
                <w:szCs w:val="21"/>
              </w:rPr>
              <w:t>17.3.3（2）</w:t>
            </w:r>
          </w:p>
        </w:tc>
        <w:tc>
          <w:tcPr>
            <w:tcW w:w="3421" w:type="dxa"/>
            <w:vAlign w:val="center"/>
          </w:tcPr>
          <w:p w14:paraId="68DBE697">
            <w:pPr>
              <w:spacing w:line="295" w:lineRule="auto"/>
              <w:ind w:firstLine="422"/>
              <w:rPr>
                <w:sz w:val="21"/>
                <w:szCs w:val="21"/>
              </w:rPr>
            </w:pPr>
          </w:p>
          <w:p w14:paraId="0F7CEC88">
            <w:pPr>
              <w:pStyle w:val="41"/>
              <w:spacing w:before="90" w:line="187" w:lineRule="auto"/>
              <w:ind w:left="118"/>
              <w:rPr>
                <w:rFonts w:ascii="宋体" w:hAnsi="宋体" w:eastAsia="宋体" w:cs="宋体"/>
                <w:sz w:val="21"/>
                <w:szCs w:val="21"/>
              </w:rPr>
            </w:pPr>
            <w:r>
              <w:rPr>
                <w:rFonts w:hint="eastAsia" w:ascii="宋体" w:hAnsi="宋体" w:eastAsia="宋体" w:cs="宋体"/>
                <w:sz w:val="21"/>
                <w:szCs w:val="21"/>
              </w:rPr>
              <w:t>0.15‰/天</w:t>
            </w:r>
          </w:p>
        </w:tc>
        <w:tc>
          <w:tcPr>
            <w:tcW w:w="724" w:type="dxa"/>
            <w:vAlign w:val="center"/>
          </w:tcPr>
          <w:p w14:paraId="114C4B6C">
            <w:pPr>
              <w:ind w:firstLine="422"/>
              <w:rPr>
                <w:sz w:val="21"/>
                <w:szCs w:val="21"/>
              </w:rPr>
            </w:pPr>
          </w:p>
        </w:tc>
      </w:tr>
      <w:tr w14:paraId="3F184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9" w:hRule="atLeast"/>
        </w:trPr>
        <w:tc>
          <w:tcPr>
            <w:tcW w:w="835" w:type="dxa"/>
            <w:vAlign w:val="center"/>
          </w:tcPr>
          <w:p w14:paraId="6DFC09DF">
            <w:pPr>
              <w:spacing w:line="269" w:lineRule="auto"/>
              <w:ind w:firstLine="422"/>
              <w:rPr>
                <w:sz w:val="21"/>
                <w:szCs w:val="21"/>
              </w:rPr>
            </w:pPr>
          </w:p>
          <w:p w14:paraId="6684BBF2">
            <w:pPr>
              <w:spacing w:line="270" w:lineRule="auto"/>
              <w:ind w:firstLine="422"/>
              <w:rPr>
                <w:sz w:val="21"/>
                <w:szCs w:val="21"/>
              </w:rPr>
            </w:pPr>
          </w:p>
          <w:p w14:paraId="7C7AEBF9">
            <w:pPr>
              <w:pStyle w:val="41"/>
              <w:spacing w:before="90" w:line="161" w:lineRule="auto"/>
              <w:ind w:left="335"/>
              <w:rPr>
                <w:rFonts w:ascii="宋体" w:hAnsi="宋体" w:eastAsia="宋体" w:cs="宋体"/>
                <w:sz w:val="21"/>
                <w:szCs w:val="21"/>
              </w:rPr>
            </w:pPr>
            <w:r>
              <w:rPr>
                <w:rFonts w:hint="eastAsia" w:ascii="宋体" w:hAnsi="宋体" w:eastAsia="宋体" w:cs="宋体"/>
                <w:sz w:val="21"/>
                <w:szCs w:val="21"/>
              </w:rPr>
              <w:t>11</w:t>
            </w:r>
          </w:p>
        </w:tc>
        <w:tc>
          <w:tcPr>
            <w:tcW w:w="2888" w:type="dxa"/>
            <w:vAlign w:val="center"/>
          </w:tcPr>
          <w:p w14:paraId="43BBC0FC">
            <w:pPr>
              <w:spacing w:line="261" w:lineRule="auto"/>
              <w:ind w:firstLine="422"/>
              <w:rPr>
                <w:sz w:val="21"/>
                <w:szCs w:val="21"/>
              </w:rPr>
            </w:pPr>
          </w:p>
          <w:p w14:paraId="3AF89E17">
            <w:pPr>
              <w:spacing w:line="261" w:lineRule="auto"/>
              <w:ind w:firstLine="422"/>
              <w:rPr>
                <w:sz w:val="21"/>
                <w:szCs w:val="21"/>
              </w:rPr>
            </w:pPr>
          </w:p>
          <w:p w14:paraId="51F4FE1C">
            <w:pPr>
              <w:pStyle w:val="41"/>
              <w:spacing w:before="90" w:line="186" w:lineRule="auto"/>
              <w:ind w:left="714"/>
              <w:rPr>
                <w:rFonts w:ascii="宋体" w:hAnsi="宋体" w:eastAsia="宋体" w:cs="宋体"/>
                <w:sz w:val="21"/>
                <w:szCs w:val="21"/>
              </w:rPr>
            </w:pPr>
            <w:r>
              <w:rPr>
                <w:rFonts w:hint="eastAsia" w:ascii="宋体" w:hAnsi="宋体" w:eastAsia="宋体" w:cs="宋体"/>
                <w:sz w:val="21"/>
                <w:szCs w:val="21"/>
              </w:rPr>
              <w:t>质量保证金限额</w:t>
            </w:r>
          </w:p>
        </w:tc>
        <w:tc>
          <w:tcPr>
            <w:tcW w:w="1434" w:type="dxa"/>
            <w:vAlign w:val="center"/>
          </w:tcPr>
          <w:p w14:paraId="6CF61954">
            <w:pPr>
              <w:pStyle w:val="41"/>
              <w:spacing w:before="90" w:line="161" w:lineRule="auto"/>
              <w:jc w:val="center"/>
              <w:rPr>
                <w:rFonts w:ascii="宋体" w:hAnsi="宋体" w:eastAsia="宋体" w:cs="宋体"/>
                <w:sz w:val="21"/>
                <w:szCs w:val="21"/>
              </w:rPr>
            </w:pPr>
            <w:r>
              <w:rPr>
                <w:rFonts w:hint="eastAsia" w:ascii="宋体" w:hAnsi="宋体" w:eastAsia="宋体" w:cs="宋体"/>
                <w:sz w:val="21"/>
                <w:szCs w:val="21"/>
              </w:rPr>
              <w:t>17.4.1</w:t>
            </w:r>
          </w:p>
        </w:tc>
        <w:tc>
          <w:tcPr>
            <w:tcW w:w="3421" w:type="dxa"/>
            <w:vAlign w:val="center"/>
          </w:tcPr>
          <w:p w14:paraId="563AC22F">
            <w:pPr>
              <w:pStyle w:val="41"/>
              <w:tabs>
                <w:tab w:val="left" w:pos="375"/>
              </w:tabs>
              <w:spacing w:before="290" w:line="269" w:lineRule="auto"/>
              <w:ind w:left="221" w:right="181" w:firstLine="422"/>
              <w:jc w:val="both"/>
              <w:rPr>
                <w:rFonts w:ascii="宋体" w:hAnsi="宋体" w:eastAsia="宋体" w:cs="宋体"/>
                <w:sz w:val="21"/>
                <w:szCs w:val="21"/>
                <w:lang w:eastAsia="zh-CN"/>
              </w:rPr>
            </w:pPr>
            <w:r>
              <w:rPr>
                <w:rFonts w:hint="eastAsia" w:ascii="宋体" w:hAnsi="宋体" w:eastAsia="宋体" w:cs="宋体"/>
                <w:b/>
                <w:bCs/>
                <w:sz w:val="21"/>
                <w:szCs w:val="21"/>
                <w:u w:val="single"/>
                <w:lang w:eastAsia="zh-CN"/>
              </w:rPr>
              <w:t>2%签约合同价格。每次计量支付前按支付比例2%，转入建设单位指定银行账号</w:t>
            </w:r>
          </w:p>
        </w:tc>
        <w:tc>
          <w:tcPr>
            <w:tcW w:w="724" w:type="dxa"/>
            <w:vAlign w:val="center"/>
          </w:tcPr>
          <w:p w14:paraId="77FDBD34">
            <w:pPr>
              <w:ind w:firstLine="422"/>
              <w:rPr>
                <w:sz w:val="21"/>
                <w:szCs w:val="21"/>
              </w:rPr>
            </w:pPr>
          </w:p>
        </w:tc>
      </w:tr>
      <w:tr w14:paraId="775C3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835" w:type="dxa"/>
            <w:vAlign w:val="center"/>
          </w:tcPr>
          <w:p w14:paraId="534E25C4">
            <w:pPr>
              <w:pStyle w:val="41"/>
              <w:spacing w:before="316" w:line="161" w:lineRule="auto"/>
              <w:ind w:left="335"/>
              <w:rPr>
                <w:rFonts w:ascii="宋体" w:hAnsi="宋体" w:eastAsia="宋体" w:cs="宋体"/>
                <w:sz w:val="21"/>
                <w:szCs w:val="21"/>
              </w:rPr>
            </w:pPr>
            <w:r>
              <w:rPr>
                <w:rFonts w:hint="eastAsia" w:ascii="宋体" w:hAnsi="宋体" w:eastAsia="宋体" w:cs="宋体"/>
                <w:sz w:val="21"/>
                <w:szCs w:val="21"/>
              </w:rPr>
              <w:t>12</w:t>
            </w:r>
          </w:p>
        </w:tc>
        <w:tc>
          <w:tcPr>
            <w:tcW w:w="2888" w:type="dxa"/>
            <w:vAlign w:val="center"/>
          </w:tcPr>
          <w:p w14:paraId="6B44CDB9">
            <w:pPr>
              <w:pStyle w:val="41"/>
              <w:spacing w:before="283" w:line="186" w:lineRule="auto"/>
              <w:ind w:left="1137"/>
              <w:rPr>
                <w:rFonts w:ascii="宋体" w:hAnsi="宋体" w:eastAsia="宋体" w:cs="宋体"/>
                <w:sz w:val="21"/>
                <w:szCs w:val="21"/>
              </w:rPr>
            </w:pPr>
            <w:r>
              <w:rPr>
                <w:rFonts w:hint="eastAsia" w:ascii="宋体" w:hAnsi="宋体" w:eastAsia="宋体" w:cs="宋体"/>
                <w:sz w:val="21"/>
                <w:szCs w:val="21"/>
              </w:rPr>
              <w:t>保修期</w:t>
            </w:r>
          </w:p>
        </w:tc>
        <w:tc>
          <w:tcPr>
            <w:tcW w:w="1434" w:type="dxa"/>
            <w:vAlign w:val="center"/>
          </w:tcPr>
          <w:p w14:paraId="1A2E84DE">
            <w:pPr>
              <w:pStyle w:val="41"/>
              <w:spacing w:before="316" w:line="161" w:lineRule="auto"/>
              <w:ind w:left="529"/>
              <w:rPr>
                <w:rFonts w:ascii="宋体" w:hAnsi="宋体" w:eastAsia="宋体" w:cs="宋体"/>
                <w:sz w:val="21"/>
                <w:szCs w:val="21"/>
              </w:rPr>
            </w:pPr>
            <w:r>
              <w:rPr>
                <w:rFonts w:hint="eastAsia" w:ascii="宋体" w:hAnsi="宋体" w:eastAsia="宋体" w:cs="宋体"/>
                <w:sz w:val="21"/>
                <w:szCs w:val="21"/>
              </w:rPr>
              <w:t>19.7</w:t>
            </w:r>
          </w:p>
        </w:tc>
        <w:tc>
          <w:tcPr>
            <w:tcW w:w="3421" w:type="dxa"/>
            <w:vAlign w:val="center"/>
          </w:tcPr>
          <w:p w14:paraId="46F42820">
            <w:pPr>
              <w:pStyle w:val="41"/>
              <w:spacing w:before="283" w:line="186" w:lineRule="auto"/>
              <w:ind w:left="151"/>
              <w:rPr>
                <w:rFonts w:ascii="宋体" w:hAnsi="宋体" w:eastAsia="宋体" w:cs="宋体"/>
                <w:sz w:val="21"/>
                <w:szCs w:val="21"/>
                <w:lang w:eastAsia="zh-CN"/>
              </w:rPr>
            </w:pPr>
            <w:r>
              <w:rPr>
                <w:rFonts w:hint="eastAsia" w:ascii="宋体" w:hAnsi="宋体" w:eastAsia="宋体" w:cs="宋体"/>
                <w:sz w:val="21"/>
                <w:szCs w:val="21"/>
                <w:lang w:eastAsia="zh-CN"/>
              </w:rPr>
              <w:t>自实际交工日期起计算5年</w:t>
            </w:r>
          </w:p>
        </w:tc>
        <w:tc>
          <w:tcPr>
            <w:tcW w:w="724" w:type="dxa"/>
            <w:vAlign w:val="center"/>
          </w:tcPr>
          <w:p w14:paraId="0F8B88AF">
            <w:pPr>
              <w:ind w:firstLine="422"/>
              <w:rPr>
                <w:sz w:val="21"/>
                <w:szCs w:val="21"/>
              </w:rPr>
            </w:pPr>
          </w:p>
        </w:tc>
      </w:tr>
    </w:tbl>
    <w:p w14:paraId="1F3EAEAD">
      <w:pPr>
        <w:pStyle w:val="12"/>
        <w:spacing w:before="69"/>
        <w:ind w:firstLine="630" w:firstLineChars="300"/>
      </w:pPr>
    </w:p>
    <w:p w14:paraId="5EE2D22E">
      <w:pPr>
        <w:pStyle w:val="12"/>
        <w:spacing w:before="69"/>
        <w:ind w:firstLine="720" w:firstLineChars="300"/>
        <w:rPr>
          <w:sz w:val="24"/>
          <w:szCs w:val="22"/>
        </w:rPr>
      </w:pPr>
      <w:r>
        <w:rPr>
          <w:rFonts w:hint="eastAsia"/>
          <w:sz w:val="24"/>
          <w:szCs w:val="22"/>
        </w:rPr>
        <w:t>磋商供应商（CA证书签章）：</w:t>
      </w:r>
    </w:p>
    <w:p w14:paraId="0A2FE124">
      <w:pPr>
        <w:ind w:firstLine="720" w:firstLineChars="300"/>
      </w:pPr>
      <w:r>
        <w:rPr>
          <w:rFonts w:hint="eastAsia"/>
          <w:sz w:val="24"/>
          <w:szCs w:val="24"/>
        </w:rPr>
        <w:t>法定代表人(负责人、自然人)或相应的委托代理人签字（或个人CA证书章）：</w:t>
      </w:r>
    </w:p>
    <w:p w14:paraId="4553C593">
      <w:pPr>
        <w:spacing w:line="304" w:lineRule="auto"/>
        <w:ind w:firstLine="720" w:firstLineChars="300"/>
        <w:rPr>
          <w:sz w:val="19"/>
        </w:rPr>
        <w:sectPr>
          <w:pgSz w:w="11910" w:h="16840"/>
          <w:pgMar w:top="920" w:right="640" w:bottom="280" w:left="960" w:header="0" w:footer="954" w:gutter="0"/>
          <w:cols w:space="720" w:num="1"/>
        </w:sectPr>
      </w:pPr>
      <w:r>
        <w:rPr>
          <w:rFonts w:hint="eastAsia"/>
          <w:sz w:val="24"/>
        </w:rPr>
        <w:t>响应日期：</w:t>
      </w:r>
    </w:p>
    <w:p w14:paraId="75D972A4">
      <w:pPr>
        <w:ind w:firstLine="422"/>
      </w:pPr>
    </w:p>
    <w:p w14:paraId="26C203CC">
      <w:pPr>
        <w:pStyle w:val="5"/>
        <w:tabs>
          <w:tab w:val="left" w:pos="760"/>
        </w:tabs>
        <w:spacing w:before="45"/>
        <w:ind w:left="0" w:leftChars="0" w:firstLine="643" w:firstLineChars="200"/>
        <w:rPr>
          <w:sz w:val="32"/>
          <w:szCs w:val="32"/>
        </w:rPr>
      </w:pPr>
      <w:r>
        <w:rPr>
          <w:rFonts w:hint="eastAsia"/>
          <w:sz w:val="32"/>
          <w:szCs w:val="32"/>
        </w:rPr>
        <w:t>2.已标价工程量清单（必须提供）</w:t>
      </w:r>
    </w:p>
    <w:p w14:paraId="43E77E72">
      <w:pPr>
        <w:pStyle w:val="12"/>
        <w:ind w:firstLine="560"/>
        <w:rPr>
          <w:b/>
          <w:sz w:val="28"/>
        </w:rPr>
      </w:pPr>
    </w:p>
    <w:p w14:paraId="30E5A438">
      <w:pPr>
        <w:pStyle w:val="12"/>
        <w:ind w:firstLine="560"/>
        <w:rPr>
          <w:b/>
          <w:sz w:val="28"/>
        </w:rPr>
      </w:pPr>
    </w:p>
    <w:p w14:paraId="7306C775">
      <w:pPr>
        <w:pStyle w:val="10"/>
        <w:spacing w:before="46"/>
        <w:ind w:left="0" w:right="319" w:firstLine="602"/>
        <w:jc w:val="center"/>
        <w:rPr>
          <w:sz w:val="30"/>
          <w:szCs w:val="30"/>
        </w:rPr>
      </w:pPr>
      <w:r>
        <w:rPr>
          <w:sz w:val="30"/>
          <w:szCs w:val="30"/>
        </w:rPr>
        <w:t>已标价工程量清单（</w:t>
      </w:r>
      <w:r>
        <w:rPr>
          <w:rFonts w:hint="eastAsia"/>
          <w:sz w:val="30"/>
          <w:szCs w:val="30"/>
        </w:rPr>
        <w:t>必须提供</w:t>
      </w:r>
      <w:r>
        <w:rPr>
          <w:sz w:val="30"/>
          <w:szCs w:val="30"/>
        </w:rPr>
        <w:t>）</w:t>
      </w:r>
    </w:p>
    <w:p w14:paraId="04B222A1">
      <w:pPr>
        <w:pStyle w:val="12"/>
        <w:ind w:firstLine="400"/>
        <w:rPr>
          <w:b/>
          <w:sz w:val="20"/>
        </w:rPr>
      </w:pPr>
    </w:p>
    <w:p w14:paraId="323046B3">
      <w:pPr>
        <w:pStyle w:val="12"/>
        <w:ind w:firstLine="400"/>
        <w:rPr>
          <w:b/>
          <w:sz w:val="20"/>
        </w:rPr>
      </w:pPr>
    </w:p>
    <w:p w14:paraId="1A9B2CA2">
      <w:pPr>
        <w:pStyle w:val="12"/>
        <w:spacing w:before="12"/>
        <w:ind w:firstLine="320"/>
        <w:rPr>
          <w:b/>
          <w:sz w:val="16"/>
        </w:rPr>
      </w:pPr>
    </w:p>
    <w:p w14:paraId="654E6A55">
      <w:pPr>
        <w:tabs>
          <w:tab w:val="left" w:pos="433"/>
        </w:tabs>
        <w:spacing w:line="348" w:lineRule="auto"/>
        <w:ind w:firstLine="480" w:firstLineChars="200"/>
        <w:rPr>
          <w:sz w:val="24"/>
        </w:rPr>
      </w:pPr>
      <w:r>
        <w:rPr>
          <w:rFonts w:hint="eastAsia"/>
          <w:sz w:val="24"/>
        </w:rPr>
        <w:tab/>
      </w:r>
      <w:r>
        <w:rPr>
          <w:rFonts w:hint="eastAsia"/>
          <w:b/>
          <w:bCs/>
          <w:sz w:val="24"/>
        </w:rPr>
        <w:t>供应商</w:t>
      </w:r>
      <w:r>
        <w:rPr>
          <w:b/>
          <w:bCs/>
          <w:sz w:val="24"/>
        </w:rPr>
        <w:t>应按照</w:t>
      </w:r>
      <w:r>
        <w:rPr>
          <w:rFonts w:hint="eastAsia"/>
          <w:b/>
          <w:bCs/>
          <w:sz w:val="24"/>
        </w:rPr>
        <w:t>本项目招标</w:t>
      </w:r>
      <w:r>
        <w:rPr>
          <w:b/>
          <w:bCs/>
          <w:sz w:val="24"/>
        </w:rPr>
        <w:t>工程量清单的要求逐项填报工程量清单</w:t>
      </w:r>
      <w:r>
        <w:rPr>
          <w:rFonts w:hint="eastAsia"/>
          <w:b/>
          <w:bCs/>
        </w:rPr>
        <w:t>。</w:t>
      </w:r>
    </w:p>
    <w:p w14:paraId="1C417B35">
      <w:pPr>
        <w:pStyle w:val="12"/>
        <w:ind w:firstLine="400"/>
        <w:rPr>
          <w:b/>
          <w:sz w:val="20"/>
        </w:rPr>
      </w:pPr>
    </w:p>
    <w:p w14:paraId="586981E7">
      <w:pPr>
        <w:pStyle w:val="12"/>
        <w:ind w:firstLine="400"/>
        <w:rPr>
          <w:b/>
          <w:sz w:val="20"/>
        </w:rPr>
      </w:pPr>
    </w:p>
    <w:p w14:paraId="4C2254EA">
      <w:pPr>
        <w:pStyle w:val="12"/>
        <w:ind w:firstLine="400"/>
        <w:rPr>
          <w:b/>
          <w:sz w:val="20"/>
        </w:rPr>
      </w:pPr>
    </w:p>
    <w:p w14:paraId="49E94345">
      <w:pPr>
        <w:pStyle w:val="12"/>
        <w:ind w:firstLine="400"/>
        <w:rPr>
          <w:b/>
          <w:sz w:val="20"/>
        </w:rPr>
      </w:pPr>
    </w:p>
    <w:p w14:paraId="505D0345">
      <w:pPr>
        <w:pStyle w:val="12"/>
        <w:ind w:firstLine="400"/>
        <w:rPr>
          <w:b/>
          <w:sz w:val="20"/>
        </w:rPr>
      </w:pPr>
    </w:p>
    <w:p w14:paraId="6A64BA63">
      <w:pPr>
        <w:pStyle w:val="12"/>
        <w:ind w:firstLine="400"/>
        <w:rPr>
          <w:b/>
          <w:sz w:val="20"/>
        </w:rPr>
      </w:pPr>
    </w:p>
    <w:p w14:paraId="2582042F">
      <w:pPr>
        <w:pStyle w:val="12"/>
        <w:ind w:firstLine="400"/>
        <w:rPr>
          <w:b/>
          <w:sz w:val="20"/>
        </w:rPr>
      </w:pPr>
    </w:p>
    <w:p w14:paraId="7E1468EC">
      <w:pPr>
        <w:pStyle w:val="12"/>
        <w:ind w:firstLine="400"/>
        <w:rPr>
          <w:b/>
          <w:sz w:val="20"/>
        </w:rPr>
      </w:pPr>
    </w:p>
    <w:p w14:paraId="3203C14F">
      <w:pPr>
        <w:pStyle w:val="12"/>
        <w:spacing w:before="4"/>
        <w:ind w:firstLine="300"/>
        <w:rPr>
          <w:b/>
          <w:sz w:val="15"/>
        </w:rPr>
      </w:pPr>
    </w:p>
    <w:p w14:paraId="215DF976">
      <w:pPr>
        <w:pStyle w:val="12"/>
        <w:ind w:left="1320"/>
      </w:pPr>
      <w:r>
        <w:t>磋商供应商（CA证书签章）：</w:t>
      </w:r>
    </w:p>
    <w:p w14:paraId="611BD910">
      <w:pPr>
        <w:pStyle w:val="12"/>
        <w:spacing w:before="72" w:line="302" w:lineRule="auto"/>
        <w:ind w:left="1320" w:right="1529"/>
      </w:pPr>
      <w:r>
        <w:t>法定代表人(负责人、自然人)或相应的委托代理人签字（或个人CA证书签章）：日期：</w:t>
      </w:r>
    </w:p>
    <w:p w14:paraId="636AEBF5">
      <w:pPr>
        <w:pStyle w:val="12"/>
        <w:spacing w:before="10"/>
      </w:pPr>
    </w:p>
    <w:p w14:paraId="42570DC4">
      <w:pPr>
        <w:pStyle w:val="10"/>
        <w:spacing w:line="244" w:lineRule="auto"/>
        <w:ind w:left="480" w:right="840" w:firstLine="422"/>
      </w:pPr>
      <w:r>
        <w:t>备注：工程量清单报价表由多页构成，需逐页加盖供应商</w:t>
      </w:r>
      <w:r>
        <w:rPr>
          <w:rFonts w:ascii="Times New Roman" w:eastAsia="Times New Roman"/>
        </w:rPr>
        <w:t>CA</w:t>
      </w:r>
      <w:r>
        <w:t>章（</w:t>
      </w:r>
      <w:r>
        <w:rPr>
          <w:rFonts w:ascii="Times New Roman" w:eastAsia="Times New Roman"/>
        </w:rPr>
        <w:t>CA</w:t>
      </w:r>
      <w:r>
        <w:t>签章）（属自然人的须逐页签字或个人</w:t>
      </w:r>
      <w:r>
        <w:rPr>
          <w:rFonts w:ascii="Times New Roman" w:eastAsia="Times New Roman"/>
        </w:rPr>
        <w:t>CA</w:t>
      </w:r>
      <w:r>
        <w:t>签章）。</w:t>
      </w:r>
    </w:p>
    <w:p w14:paraId="65154832">
      <w:pPr>
        <w:spacing w:line="244" w:lineRule="auto"/>
        <w:ind w:firstLine="422"/>
        <w:sectPr>
          <w:pgSz w:w="11910" w:h="16840"/>
          <w:pgMar w:top="1560" w:right="640" w:bottom="1180" w:left="960" w:header="0" w:footer="954" w:gutter="0"/>
          <w:cols w:space="720" w:num="1"/>
        </w:sectPr>
      </w:pPr>
    </w:p>
    <w:p w14:paraId="3D137EB1">
      <w:pPr>
        <w:pStyle w:val="5"/>
        <w:tabs>
          <w:tab w:val="left" w:pos="760"/>
        </w:tabs>
        <w:spacing w:before="45"/>
        <w:ind w:firstLine="643"/>
        <w:rPr>
          <w:sz w:val="32"/>
          <w:szCs w:val="32"/>
        </w:rPr>
      </w:pPr>
      <w:r>
        <w:rPr>
          <w:rFonts w:hint="eastAsia"/>
          <w:sz w:val="32"/>
          <w:szCs w:val="32"/>
        </w:rPr>
        <w:t>3.施工组织设计（必须提供）</w:t>
      </w:r>
    </w:p>
    <w:p w14:paraId="29939347">
      <w:pPr>
        <w:spacing w:line="400" w:lineRule="exact"/>
        <w:ind w:firstLine="640"/>
        <w:jc w:val="center"/>
        <w:rPr>
          <w:b/>
          <w:sz w:val="32"/>
          <w:szCs w:val="32"/>
        </w:rPr>
      </w:pPr>
    </w:p>
    <w:p w14:paraId="2A9A4F33">
      <w:pPr>
        <w:spacing w:line="340" w:lineRule="exact"/>
        <w:ind w:firstLine="560"/>
        <w:rPr>
          <w:b/>
          <w:sz w:val="28"/>
          <w:szCs w:val="28"/>
        </w:rPr>
      </w:pPr>
    </w:p>
    <w:p w14:paraId="05EC9978">
      <w:pPr>
        <w:spacing w:line="340" w:lineRule="exact"/>
        <w:ind w:firstLine="560"/>
        <w:rPr>
          <w:b/>
          <w:sz w:val="28"/>
          <w:szCs w:val="28"/>
        </w:rPr>
      </w:pPr>
    </w:p>
    <w:p w14:paraId="16380FCA">
      <w:pPr>
        <w:spacing w:line="340" w:lineRule="exact"/>
        <w:ind w:firstLine="562"/>
        <w:rPr>
          <w:b/>
          <w:sz w:val="28"/>
          <w:szCs w:val="28"/>
        </w:rPr>
      </w:pPr>
      <w:r>
        <w:rPr>
          <w:rFonts w:hint="eastAsia"/>
          <w:b/>
          <w:sz w:val="28"/>
          <w:szCs w:val="28"/>
        </w:rPr>
        <w:t>（根据工程量清单、评分办法及工程情况自行编制，格式自拟）（必须提供）</w:t>
      </w:r>
    </w:p>
    <w:p w14:paraId="576E29DC">
      <w:pPr>
        <w:spacing w:line="400" w:lineRule="exact"/>
        <w:ind w:firstLine="640"/>
        <w:jc w:val="center"/>
        <w:rPr>
          <w:b/>
          <w:sz w:val="32"/>
          <w:szCs w:val="32"/>
        </w:rPr>
      </w:pPr>
    </w:p>
    <w:p w14:paraId="07D6840D">
      <w:pPr>
        <w:spacing w:before="206"/>
        <w:ind w:left="864" w:firstLine="640"/>
        <w:rPr>
          <w:b/>
          <w:sz w:val="32"/>
          <w:szCs w:val="32"/>
        </w:rPr>
      </w:pPr>
    </w:p>
    <w:p w14:paraId="4CB1B737">
      <w:pPr>
        <w:spacing w:before="206"/>
        <w:ind w:left="864" w:firstLine="640"/>
        <w:rPr>
          <w:b/>
          <w:sz w:val="32"/>
          <w:szCs w:val="32"/>
        </w:rPr>
      </w:pPr>
    </w:p>
    <w:p w14:paraId="592874CE">
      <w:pPr>
        <w:pStyle w:val="12"/>
        <w:spacing w:before="72" w:line="302" w:lineRule="auto"/>
        <w:ind w:right="1529" w:firstLine="420" w:firstLineChars="200"/>
      </w:pPr>
      <w:r>
        <w:rPr>
          <w:rFonts w:hint="eastAsia"/>
        </w:rPr>
        <w:t>供</w:t>
      </w:r>
      <w:r>
        <w:t>磋商供应商（CA证书签章）：</w:t>
      </w:r>
    </w:p>
    <w:p w14:paraId="2A7EF678">
      <w:pPr>
        <w:pStyle w:val="12"/>
        <w:spacing w:before="72" w:line="302" w:lineRule="auto"/>
        <w:ind w:right="1529" w:firstLine="420" w:firstLineChars="200"/>
      </w:pPr>
      <w:r>
        <w:t>法定代表人(负责人、自然人)或相应的委托代理人签字（或个人CA证书签章）：</w:t>
      </w:r>
    </w:p>
    <w:p w14:paraId="2167BA1E">
      <w:pPr>
        <w:pStyle w:val="12"/>
        <w:spacing w:before="72" w:line="302" w:lineRule="auto"/>
        <w:ind w:right="1529" w:firstLine="420" w:firstLineChars="200"/>
      </w:pPr>
      <w:r>
        <w:t>日期：</w:t>
      </w:r>
    </w:p>
    <w:p w14:paraId="7DAB9E42">
      <w:pPr>
        <w:spacing w:line="400" w:lineRule="exact"/>
        <w:ind w:firstLine="640"/>
        <w:jc w:val="center"/>
        <w:rPr>
          <w:b/>
          <w:sz w:val="32"/>
          <w:szCs w:val="32"/>
        </w:rPr>
      </w:pPr>
    </w:p>
    <w:p w14:paraId="10811D07">
      <w:pPr>
        <w:spacing w:line="400" w:lineRule="exact"/>
        <w:ind w:firstLine="640"/>
        <w:jc w:val="center"/>
        <w:rPr>
          <w:b/>
          <w:sz w:val="32"/>
          <w:szCs w:val="32"/>
        </w:rPr>
      </w:pPr>
    </w:p>
    <w:p w14:paraId="3853F3C8">
      <w:pPr>
        <w:spacing w:line="400" w:lineRule="exact"/>
        <w:ind w:firstLine="640"/>
        <w:jc w:val="both"/>
        <w:rPr>
          <w:b/>
          <w:sz w:val="32"/>
          <w:szCs w:val="32"/>
        </w:rPr>
      </w:pPr>
    </w:p>
    <w:p w14:paraId="0B815F8B">
      <w:pPr>
        <w:pStyle w:val="5"/>
        <w:tabs>
          <w:tab w:val="left" w:pos="760"/>
        </w:tabs>
        <w:spacing w:before="47"/>
        <w:ind w:firstLine="723"/>
        <w:rPr>
          <w:sz w:val="36"/>
          <w:szCs w:val="36"/>
        </w:rPr>
      </w:pPr>
    </w:p>
    <w:p w14:paraId="6844E4FC">
      <w:pPr>
        <w:ind w:firstLine="723"/>
        <w:rPr>
          <w:sz w:val="36"/>
          <w:szCs w:val="36"/>
        </w:rPr>
      </w:pPr>
    </w:p>
    <w:p w14:paraId="2B406094">
      <w:pPr>
        <w:ind w:firstLine="723"/>
        <w:rPr>
          <w:sz w:val="36"/>
          <w:szCs w:val="36"/>
        </w:rPr>
      </w:pPr>
    </w:p>
    <w:p w14:paraId="3F6BDD6D">
      <w:pPr>
        <w:ind w:firstLine="723"/>
        <w:rPr>
          <w:sz w:val="36"/>
          <w:szCs w:val="36"/>
        </w:rPr>
      </w:pPr>
    </w:p>
    <w:p w14:paraId="634D5570">
      <w:pPr>
        <w:ind w:firstLine="723"/>
        <w:rPr>
          <w:sz w:val="36"/>
          <w:szCs w:val="36"/>
        </w:rPr>
      </w:pPr>
    </w:p>
    <w:p w14:paraId="4CCD2154">
      <w:pPr>
        <w:ind w:firstLine="723"/>
        <w:rPr>
          <w:sz w:val="36"/>
          <w:szCs w:val="36"/>
        </w:rPr>
      </w:pPr>
    </w:p>
    <w:p w14:paraId="79057C78">
      <w:pPr>
        <w:ind w:firstLine="723"/>
        <w:rPr>
          <w:sz w:val="36"/>
          <w:szCs w:val="36"/>
        </w:rPr>
      </w:pPr>
    </w:p>
    <w:p w14:paraId="2B42B1BE">
      <w:pPr>
        <w:ind w:firstLine="723"/>
        <w:rPr>
          <w:sz w:val="36"/>
          <w:szCs w:val="36"/>
        </w:rPr>
      </w:pPr>
    </w:p>
    <w:p w14:paraId="2F46C1F5">
      <w:pPr>
        <w:ind w:firstLine="723"/>
        <w:rPr>
          <w:sz w:val="36"/>
          <w:szCs w:val="36"/>
        </w:rPr>
      </w:pPr>
    </w:p>
    <w:p w14:paraId="02893D50">
      <w:pPr>
        <w:ind w:firstLine="723"/>
        <w:rPr>
          <w:sz w:val="36"/>
          <w:szCs w:val="36"/>
        </w:rPr>
      </w:pPr>
    </w:p>
    <w:p w14:paraId="65B6AEBF">
      <w:pPr>
        <w:ind w:firstLine="723"/>
        <w:rPr>
          <w:sz w:val="36"/>
          <w:szCs w:val="36"/>
        </w:rPr>
      </w:pPr>
    </w:p>
    <w:p w14:paraId="7EFDFB93">
      <w:pPr>
        <w:ind w:firstLine="723"/>
        <w:rPr>
          <w:sz w:val="36"/>
          <w:szCs w:val="36"/>
        </w:rPr>
      </w:pPr>
    </w:p>
    <w:p w14:paraId="669B8CDC">
      <w:pPr>
        <w:ind w:firstLine="723"/>
        <w:rPr>
          <w:sz w:val="36"/>
          <w:szCs w:val="36"/>
        </w:rPr>
      </w:pPr>
    </w:p>
    <w:p w14:paraId="543C6891">
      <w:pPr>
        <w:ind w:firstLine="723"/>
        <w:rPr>
          <w:sz w:val="36"/>
          <w:szCs w:val="36"/>
        </w:rPr>
      </w:pPr>
    </w:p>
    <w:p w14:paraId="7B0C38DE">
      <w:pPr>
        <w:ind w:firstLine="723"/>
        <w:rPr>
          <w:sz w:val="36"/>
          <w:szCs w:val="36"/>
        </w:rPr>
      </w:pPr>
    </w:p>
    <w:p w14:paraId="5B52A6FD">
      <w:pPr>
        <w:ind w:firstLine="723"/>
        <w:rPr>
          <w:sz w:val="36"/>
          <w:szCs w:val="36"/>
        </w:rPr>
      </w:pPr>
    </w:p>
    <w:p w14:paraId="198B61F9">
      <w:pPr>
        <w:ind w:firstLine="723"/>
        <w:rPr>
          <w:sz w:val="36"/>
          <w:szCs w:val="36"/>
        </w:rPr>
      </w:pPr>
    </w:p>
    <w:p w14:paraId="5BD29246">
      <w:pPr>
        <w:ind w:firstLine="723"/>
        <w:rPr>
          <w:sz w:val="36"/>
          <w:szCs w:val="36"/>
        </w:rPr>
      </w:pPr>
    </w:p>
    <w:p w14:paraId="3F4DDAAE">
      <w:pPr>
        <w:ind w:firstLine="723"/>
        <w:rPr>
          <w:sz w:val="36"/>
          <w:szCs w:val="36"/>
        </w:rPr>
      </w:pPr>
    </w:p>
    <w:p w14:paraId="083F8243">
      <w:pPr>
        <w:pStyle w:val="5"/>
        <w:tabs>
          <w:tab w:val="left" w:pos="760"/>
        </w:tabs>
        <w:spacing w:before="45"/>
        <w:ind w:firstLine="643"/>
        <w:rPr>
          <w:sz w:val="32"/>
          <w:szCs w:val="32"/>
        </w:rPr>
      </w:pPr>
      <w:r>
        <w:rPr>
          <w:rFonts w:hint="eastAsia"/>
          <w:sz w:val="32"/>
          <w:szCs w:val="32"/>
        </w:rPr>
        <w:t>4.项目管理机构（必须提供）</w:t>
      </w:r>
    </w:p>
    <w:p w14:paraId="1C05BDBD">
      <w:pPr>
        <w:widowControl/>
        <w:ind w:firstLine="560"/>
        <w:rPr>
          <w:b/>
          <w:bCs/>
          <w:sz w:val="28"/>
          <w:szCs w:val="28"/>
        </w:rPr>
      </w:pPr>
    </w:p>
    <w:p w14:paraId="41026BE8">
      <w:pPr>
        <w:widowControl/>
        <w:ind w:firstLine="562"/>
        <w:jc w:val="center"/>
      </w:pPr>
      <w:r>
        <w:rPr>
          <w:rFonts w:hint="eastAsia"/>
          <w:b/>
          <w:bCs/>
          <w:sz w:val="28"/>
          <w:szCs w:val="28"/>
        </w:rPr>
        <w:t>（一）项目管理机构（格式）</w:t>
      </w:r>
    </w:p>
    <w:tbl>
      <w:tblPr>
        <w:tblStyle w:val="38"/>
        <w:tblW w:w="90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2"/>
      </w:tblGrid>
      <w:tr w14:paraId="2B9CFB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7" w:hRule="atLeast"/>
        </w:trPr>
        <w:tc>
          <w:tcPr>
            <w:tcW w:w="9042" w:type="dxa"/>
          </w:tcPr>
          <w:p w14:paraId="75AF79C0">
            <w:pPr>
              <w:pStyle w:val="41"/>
              <w:spacing w:before="38" w:line="186" w:lineRule="auto"/>
              <w:ind w:left="118" w:firstLine="420"/>
              <w:rPr>
                <w:sz w:val="21"/>
                <w:szCs w:val="21"/>
                <w:lang w:eastAsia="zh-CN"/>
              </w:rPr>
            </w:pPr>
            <w:r>
              <w:rPr>
                <w:sz w:val="21"/>
                <w:szCs w:val="21"/>
                <w:lang w:eastAsia="zh-CN"/>
              </w:rPr>
              <w:t>拟为承包本标段工程设立的组织机构以框图方式表示</w:t>
            </w:r>
          </w:p>
        </w:tc>
      </w:tr>
      <w:tr w14:paraId="1CA94D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3" w:hRule="atLeast"/>
        </w:trPr>
        <w:tc>
          <w:tcPr>
            <w:tcW w:w="9042" w:type="dxa"/>
          </w:tcPr>
          <w:p w14:paraId="68AAE539">
            <w:pPr>
              <w:pStyle w:val="41"/>
              <w:spacing w:before="34" w:line="186" w:lineRule="auto"/>
              <w:ind w:left="120" w:firstLine="420"/>
              <w:rPr>
                <w:sz w:val="21"/>
                <w:szCs w:val="21"/>
              </w:rPr>
            </w:pPr>
            <w:r>
              <w:rPr>
                <w:sz w:val="21"/>
                <w:szCs w:val="21"/>
              </w:rPr>
              <w:t>说明</w:t>
            </w:r>
          </w:p>
        </w:tc>
      </w:tr>
    </w:tbl>
    <w:p w14:paraId="2B62FB5B">
      <w:pPr>
        <w:spacing w:line="400" w:lineRule="exact"/>
        <w:ind w:firstLine="640"/>
        <w:jc w:val="center"/>
        <w:rPr>
          <w:b/>
          <w:sz w:val="32"/>
          <w:szCs w:val="32"/>
        </w:rPr>
      </w:pPr>
    </w:p>
    <w:p w14:paraId="5FB98E0C">
      <w:pPr>
        <w:pStyle w:val="5"/>
        <w:tabs>
          <w:tab w:val="left" w:pos="760"/>
        </w:tabs>
        <w:spacing w:before="45"/>
        <w:ind w:firstLine="723"/>
        <w:rPr>
          <w:sz w:val="36"/>
          <w:szCs w:val="36"/>
        </w:rPr>
      </w:pPr>
    </w:p>
    <w:p w14:paraId="66774C07">
      <w:pPr>
        <w:pStyle w:val="5"/>
        <w:tabs>
          <w:tab w:val="left" w:pos="760"/>
        </w:tabs>
        <w:spacing w:before="45"/>
        <w:ind w:firstLine="723"/>
        <w:rPr>
          <w:sz w:val="36"/>
          <w:szCs w:val="36"/>
        </w:rPr>
      </w:pPr>
    </w:p>
    <w:p w14:paraId="1644C97B">
      <w:pPr>
        <w:pStyle w:val="5"/>
        <w:tabs>
          <w:tab w:val="left" w:pos="760"/>
        </w:tabs>
        <w:spacing w:before="45"/>
        <w:ind w:firstLine="723"/>
        <w:rPr>
          <w:sz w:val="36"/>
          <w:szCs w:val="36"/>
        </w:rPr>
      </w:pPr>
    </w:p>
    <w:p w14:paraId="14C47D32">
      <w:pPr>
        <w:pStyle w:val="5"/>
        <w:tabs>
          <w:tab w:val="left" w:pos="760"/>
        </w:tabs>
        <w:spacing w:before="45"/>
        <w:ind w:firstLine="723"/>
        <w:rPr>
          <w:sz w:val="36"/>
          <w:szCs w:val="36"/>
        </w:rPr>
      </w:pPr>
    </w:p>
    <w:p w14:paraId="308881D1">
      <w:pPr>
        <w:ind w:firstLine="422"/>
      </w:pPr>
    </w:p>
    <w:p w14:paraId="7741DC31">
      <w:pPr>
        <w:pStyle w:val="5"/>
        <w:tabs>
          <w:tab w:val="left" w:pos="760"/>
        </w:tabs>
        <w:spacing w:before="45"/>
        <w:ind w:firstLine="723"/>
        <w:rPr>
          <w:sz w:val="36"/>
          <w:szCs w:val="36"/>
        </w:rPr>
      </w:pPr>
    </w:p>
    <w:p w14:paraId="032925D6">
      <w:pPr>
        <w:pStyle w:val="5"/>
        <w:tabs>
          <w:tab w:val="left" w:pos="760"/>
        </w:tabs>
        <w:spacing w:before="45"/>
        <w:ind w:firstLine="643"/>
        <w:rPr>
          <w:sz w:val="32"/>
          <w:szCs w:val="32"/>
        </w:rPr>
      </w:pPr>
      <w:r>
        <w:rPr>
          <w:rFonts w:hint="eastAsia"/>
          <w:sz w:val="32"/>
          <w:szCs w:val="32"/>
        </w:rPr>
        <w:t>5.农民工工资保证金承诺书及承诺函（必须提供）</w:t>
      </w:r>
    </w:p>
    <w:p w14:paraId="7093941C">
      <w:pPr>
        <w:pStyle w:val="12"/>
        <w:spacing w:line="294" w:lineRule="auto"/>
      </w:pPr>
    </w:p>
    <w:p w14:paraId="23D142C2">
      <w:pPr>
        <w:spacing w:before="137" w:line="182" w:lineRule="auto"/>
        <w:ind w:firstLine="640"/>
        <w:jc w:val="center"/>
        <w:rPr>
          <w:rFonts w:asciiTheme="minorEastAsia" w:hAnsiTheme="minorEastAsia" w:eastAsiaTheme="minorEastAsia" w:cstheme="minorEastAsia"/>
          <w:b/>
          <w:bCs/>
          <w:sz w:val="32"/>
          <w:szCs w:val="32"/>
        </w:rPr>
      </w:pPr>
    </w:p>
    <w:p w14:paraId="04FB3FE2">
      <w:pPr>
        <w:spacing w:before="137" w:line="182" w:lineRule="auto"/>
        <w:ind w:firstLine="643"/>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农民工工资保证金承诺书</w:t>
      </w:r>
    </w:p>
    <w:p w14:paraId="7E970494">
      <w:pPr>
        <w:spacing w:before="137" w:line="182" w:lineRule="auto"/>
        <w:ind w:firstLine="640"/>
        <w:jc w:val="center"/>
        <w:rPr>
          <w:rFonts w:asciiTheme="minorEastAsia" w:hAnsiTheme="minorEastAsia" w:eastAsiaTheme="minorEastAsia" w:cstheme="minorEastAsia"/>
          <w:b/>
          <w:bCs/>
          <w:sz w:val="32"/>
          <w:szCs w:val="32"/>
        </w:rPr>
      </w:pPr>
    </w:p>
    <w:p w14:paraId="2708A31B">
      <w:pPr>
        <w:spacing w:line="460" w:lineRule="exact"/>
        <w:ind w:firstLine="482"/>
        <w:rPr>
          <w:sz w:val="24"/>
        </w:rPr>
      </w:pPr>
      <w:r>
        <w:rPr>
          <w:rFonts w:hint="eastAsia"/>
          <w:sz w:val="24"/>
        </w:rPr>
        <w:t>致：（采购人名称）</w:t>
      </w:r>
    </w:p>
    <w:p w14:paraId="660530FA">
      <w:pPr>
        <w:spacing w:line="460" w:lineRule="exact"/>
        <w:ind w:firstLine="482"/>
        <w:rPr>
          <w:sz w:val="24"/>
        </w:rPr>
      </w:pPr>
      <w:r>
        <w:rPr>
          <w:rFonts w:hint="eastAsia" w:cs="Arial"/>
          <w:sz w:val="24"/>
        </w:rPr>
        <w:t>根据</w:t>
      </w:r>
      <w:r>
        <w:rPr>
          <w:rFonts w:hint="eastAsia"/>
          <w:sz w:val="24"/>
        </w:rPr>
        <w:t>《</w:t>
      </w:r>
      <w:r>
        <w:rPr>
          <w:rFonts w:hint="eastAsia" w:cs="Arial"/>
          <w:bCs/>
          <w:sz w:val="24"/>
        </w:rPr>
        <w:t>关于建立交通行业农民工工资保证金制度的通知》</w:t>
      </w:r>
      <w:r>
        <w:rPr>
          <w:rFonts w:hint="eastAsia"/>
          <w:sz w:val="24"/>
        </w:rPr>
        <w:t>（</w:t>
      </w:r>
      <w:r>
        <w:rPr>
          <w:rFonts w:hint="eastAsia" w:cs="Arial"/>
          <w:bCs/>
          <w:sz w:val="24"/>
        </w:rPr>
        <w:t>桂劳社发[2007]147号</w:t>
      </w:r>
      <w:r>
        <w:rPr>
          <w:rFonts w:hint="eastAsia"/>
          <w:sz w:val="24"/>
        </w:rPr>
        <w:t>）</w:t>
      </w:r>
      <w:r>
        <w:rPr>
          <w:rFonts w:hint="eastAsia" w:cs="Arial"/>
          <w:sz w:val="24"/>
        </w:rPr>
        <w:t>，在</w:t>
      </w:r>
      <w:r>
        <w:rPr>
          <w:rFonts w:hint="eastAsia"/>
          <w:sz w:val="24"/>
          <w:u w:val="single"/>
        </w:rPr>
        <w:t xml:space="preserve"> （项目名称） </w:t>
      </w:r>
      <w:r>
        <w:rPr>
          <w:rFonts w:hint="eastAsia" w:cs="Arial"/>
          <w:sz w:val="24"/>
        </w:rPr>
        <w:t>工程施工招标的投标中，我单位对农民工工资的支付作出以下郑重承诺：</w:t>
      </w:r>
    </w:p>
    <w:p w14:paraId="54344B36">
      <w:pPr>
        <w:spacing w:line="460" w:lineRule="exact"/>
        <w:ind w:firstLine="482"/>
        <w:rPr>
          <w:sz w:val="24"/>
        </w:rPr>
      </w:pPr>
      <w:r>
        <w:rPr>
          <w:rFonts w:hint="eastAsia" w:cs="Arial"/>
          <w:sz w:val="24"/>
        </w:rPr>
        <w:t>（一）我单位在本招标项目递交响应文件截止时间</w:t>
      </w:r>
      <w:r>
        <w:rPr>
          <w:rFonts w:hint="eastAsia" w:cs="Arial"/>
          <w:sz w:val="24"/>
          <w:u w:val="single"/>
        </w:rPr>
        <w:t xml:space="preserve">        年  月  日（开标日）</w:t>
      </w:r>
      <w:r>
        <w:rPr>
          <w:rFonts w:hint="eastAsia" w:cs="Arial"/>
          <w:sz w:val="24"/>
        </w:rPr>
        <w:t>前所承建的工程项目，不存在拖欠或克扣农民工工资的行为。</w:t>
      </w:r>
    </w:p>
    <w:p w14:paraId="5FA91FFA">
      <w:pPr>
        <w:spacing w:line="460" w:lineRule="exact"/>
        <w:ind w:firstLine="482"/>
        <w:rPr>
          <w:color w:val="auto"/>
          <w:sz w:val="24"/>
        </w:rPr>
      </w:pPr>
      <w:r>
        <w:rPr>
          <w:rFonts w:hint="eastAsia"/>
          <w:sz w:val="24"/>
        </w:rPr>
        <w:t>（二）在签订合同后及项目开工前，我单位按（桂薪联发[2016]1号）《关于印发广西壮族自治区工程建设领域工人工资支付专用账户管理办法的通知》、（桂薪联发[2016]2号）《关于明确农民工工资保证金制度有关问题的通知》文要求预存工程中标价</w:t>
      </w:r>
      <w:r>
        <w:rPr>
          <w:rFonts w:hint="eastAsia"/>
          <w:color w:val="auto"/>
          <w:sz w:val="24"/>
        </w:rPr>
        <w:t>的</w:t>
      </w:r>
      <w:r>
        <w:rPr>
          <w:rFonts w:hint="eastAsia"/>
          <w:color w:val="auto"/>
          <w:sz w:val="24"/>
          <w:highlight w:val="none"/>
        </w:rPr>
        <w:t>3%作为</w:t>
      </w:r>
      <w:r>
        <w:rPr>
          <w:rFonts w:hint="eastAsia"/>
          <w:color w:val="auto"/>
          <w:sz w:val="24"/>
        </w:rPr>
        <w:t>农民工工资保证金转入项目所在地人力资源和社会保障局农民工工资保证金专户</w:t>
      </w:r>
      <w:r>
        <w:rPr>
          <w:rFonts w:hint="eastAsia" w:cs="Arial"/>
          <w:color w:val="auto"/>
          <w:sz w:val="24"/>
        </w:rPr>
        <w:t>。</w:t>
      </w:r>
    </w:p>
    <w:p w14:paraId="0ABA664A">
      <w:pPr>
        <w:spacing w:line="460" w:lineRule="exact"/>
        <w:ind w:firstLine="482"/>
        <w:rPr>
          <w:color w:val="auto"/>
          <w:sz w:val="24"/>
        </w:rPr>
      </w:pPr>
      <w:r>
        <w:rPr>
          <w:rFonts w:hint="eastAsia" w:cs="Arial"/>
          <w:color w:val="auto"/>
          <w:sz w:val="24"/>
        </w:rPr>
        <w:t>（三）</w:t>
      </w:r>
      <w:r>
        <w:rPr>
          <w:color w:val="auto"/>
          <w:sz w:val="24"/>
        </w:rPr>
        <w:t>在项目实施过程中，若出现结算价超出合同价时，以实际结算金额</w:t>
      </w:r>
      <w:r>
        <w:rPr>
          <w:color w:val="auto"/>
          <w:sz w:val="24"/>
          <w:highlight w:val="none"/>
        </w:rPr>
        <w:t>的</w:t>
      </w:r>
      <w:r>
        <w:rPr>
          <w:rFonts w:hint="eastAsia"/>
          <w:color w:val="auto"/>
          <w:sz w:val="24"/>
          <w:highlight w:val="none"/>
        </w:rPr>
        <w:t>3</w:t>
      </w:r>
      <w:r>
        <w:rPr>
          <w:color w:val="auto"/>
          <w:sz w:val="24"/>
          <w:highlight w:val="none"/>
        </w:rPr>
        <w:t>%的额</w:t>
      </w:r>
      <w:r>
        <w:rPr>
          <w:color w:val="auto"/>
          <w:sz w:val="24"/>
        </w:rPr>
        <w:t>度补充存入农民工工资保证金</w:t>
      </w:r>
      <w:r>
        <w:rPr>
          <w:rFonts w:hint="eastAsia" w:cs="Arial"/>
          <w:color w:val="auto"/>
          <w:sz w:val="24"/>
        </w:rPr>
        <w:t>。</w:t>
      </w:r>
    </w:p>
    <w:p w14:paraId="0BB0166F">
      <w:pPr>
        <w:spacing w:line="460" w:lineRule="exact"/>
        <w:ind w:firstLine="482"/>
        <w:rPr>
          <w:rFonts w:cs="Arial"/>
          <w:sz w:val="24"/>
        </w:rPr>
      </w:pPr>
      <w:r>
        <w:rPr>
          <w:rFonts w:hint="eastAsia" w:cs="Arial"/>
          <w:sz w:val="24"/>
        </w:rPr>
        <w:t xml:space="preserve">（四）我单位向建设单位承诺依法足额支付农民工工资，一旦我单位（包含我单位的分包商）承建的 </w:t>
      </w:r>
      <w:r>
        <w:rPr>
          <w:rFonts w:hint="eastAsia" w:cs="Arial"/>
          <w:sz w:val="24"/>
          <w:u w:val="single"/>
        </w:rPr>
        <w:t xml:space="preserve"> （项目名称）</w:t>
      </w:r>
      <w:r>
        <w:rPr>
          <w:rFonts w:hint="eastAsia" w:cs="Arial"/>
          <w:sz w:val="24"/>
        </w:rPr>
        <w:t>出现拖欠农民工工资情况的，可由劳动保障、交通主管部门（或授权机构）及建设单位根据相关规定从我单位缴纳的农民工工资保证金中先予支取。</w:t>
      </w:r>
    </w:p>
    <w:p w14:paraId="6D08637B">
      <w:pPr>
        <w:spacing w:line="460" w:lineRule="exact"/>
        <w:ind w:firstLine="482"/>
        <w:rPr>
          <w:rFonts w:cs="Arial"/>
          <w:sz w:val="24"/>
        </w:rPr>
      </w:pPr>
      <w:r>
        <w:rPr>
          <w:rFonts w:hint="eastAsia" w:cs="Arial"/>
          <w:sz w:val="24"/>
        </w:rPr>
        <w:t>（五）其它未尽事宜按农民工工资保证金现行的有关规定执行。</w:t>
      </w:r>
    </w:p>
    <w:p w14:paraId="10F35AA1">
      <w:pPr>
        <w:spacing w:before="137" w:line="182" w:lineRule="auto"/>
        <w:ind w:firstLine="640"/>
        <w:jc w:val="center"/>
        <w:rPr>
          <w:rFonts w:asciiTheme="minorEastAsia" w:hAnsiTheme="minorEastAsia" w:eastAsiaTheme="minorEastAsia" w:cstheme="minorEastAsia"/>
          <w:b/>
          <w:bCs/>
          <w:sz w:val="32"/>
          <w:szCs w:val="32"/>
        </w:rPr>
      </w:pPr>
    </w:p>
    <w:p w14:paraId="20EF9B0C">
      <w:pPr>
        <w:ind w:firstLine="422"/>
        <w:rPr>
          <w:szCs w:val="21"/>
          <w:lang w:val="zh-CN" w:bidi="zh-CN"/>
        </w:rPr>
      </w:pPr>
    </w:p>
    <w:p w14:paraId="167A1F2F">
      <w:pPr>
        <w:ind w:firstLine="422"/>
        <w:rPr>
          <w:szCs w:val="21"/>
          <w:lang w:val="zh-CN" w:bidi="zh-CN"/>
        </w:rPr>
      </w:pPr>
    </w:p>
    <w:p w14:paraId="46F99F6A">
      <w:pPr>
        <w:snapToGrid w:val="0"/>
        <w:spacing w:line="400" w:lineRule="exact"/>
        <w:ind w:firstLine="482"/>
        <w:outlineLvl w:val="4"/>
        <w:rPr>
          <w:sz w:val="24"/>
          <w:u w:val="single"/>
        </w:rPr>
      </w:pPr>
      <w:r>
        <w:rPr>
          <w:rFonts w:hint="eastAsia"/>
          <w:sz w:val="24"/>
        </w:rPr>
        <w:t>供应商[</w:t>
      </w:r>
      <w:r>
        <w:rPr>
          <w:rFonts w:hint="eastAsia"/>
          <w:bCs/>
          <w:sz w:val="24"/>
        </w:rPr>
        <w:t>公章(CA签章)</w:t>
      </w:r>
      <w:r>
        <w:rPr>
          <w:rFonts w:hint="eastAsia"/>
          <w:sz w:val="24"/>
        </w:rPr>
        <w:t>]：</w:t>
      </w:r>
    </w:p>
    <w:p w14:paraId="08DA8CDE">
      <w:pPr>
        <w:spacing w:line="340" w:lineRule="exact"/>
        <w:ind w:firstLine="480" w:firstLineChars="200"/>
        <w:rPr>
          <w:sz w:val="24"/>
        </w:rPr>
      </w:pPr>
      <w:r>
        <w:rPr>
          <w:rFonts w:hint="eastAsia"/>
          <w:sz w:val="24"/>
        </w:rPr>
        <w:t>法定代表人或相应的委托代理人签字[或盖章(CA签章)]：</w:t>
      </w:r>
    </w:p>
    <w:p w14:paraId="64C37831">
      <w:pPr>
        <w:ind w:firstLine="482"/>
        <w:rPr>
          <w:szCs w:val="21"/>
          <w:lang w:val="zh-CN" w:bidi="zh-CN"/>
        </w:rPr>
      </w:pPr>
      <w:r>
        <w:rPr>
          <w:rFonts w:hint="eastAsia"/>
          <w:sz w:val="24"/>
        </w:rPr>
        <w:t>日期：</w:t>
      </w:r>
    </w:p>
    <w:p w14:paraId="2930EB23">
      <w:pPr>
        <w:pStyle w:val="12"/>
        <w:spacing w:line="266" w:lineRule="auto"/>
      </w:pPr>
    </w:p>
    <w:p w14:paraId="47B1660E">
      <w:pPr>
        <w:spacing w:line="181" w:lineRule="auto"/>
        <w:ind w:firstLine="480"/>
        <w:rPr>
          <w:rFonts w:ascii="微软雅黑" w:hAnsi="微软雅黑" w:eastAsia="微软雅黑" w:cs="微软雅黑"/>
          <w:sz w:val="24"/>
          <w:szCs w:val="24"/>
        </w:rPr>
        <w:sectPr>
          <w:footerReference r:id="rId14" w:type="default"/>
          <w:pgSz w:w="11900" w:h="16840"/>
          <w:pgMar w:top="1112" w:right="1244" w:bottom="840" w:left="1305" w:header="0" w:footer="676" w:gutter="0"/>
          <w:cols w:space="720" w:num="1"/>
        </w:sectPr>
      </w:pPr>
    </w:p>
    <w:p w14:paraId="28F0F4A5">
      <w:pPr>
        <w:spacing w:before="137" w:line="182" w:lineRule="auto"/>
        <w:ind w:firstLine="643"/>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供应商承诺函</w:t>
      </w:r>
    </w:p>
    <w:p w14:paraId="26D1FDF0">
      <w:pPr>
        <w:pStyle w:val="12"/>
        <w:spacing w:line="335" w:lineRule="auto"/>
      </w:pPr>
    </w:p>
    <w:p w14:paraId="1414CA7B">
      <w:pPr>
        <w:tabs>
          <w:tab w:val="left" w:pos="1261"/>
        </w:tabs>
        <w:spacing w:before="90" w:line="360" w:lineRule="auto"/>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（采购人名称）：</w:t>
      </w:r>
    </w:p>
    <w:p w14:paraId="24D6C8B5">
      <w:pPr>
        <w:pStyle w:val="12"/>
        <w:spacing w:line="360" w:lineRule="auto"/>
        <w:ind w:firstLine="482"/>
        <w:rPr>
          <w:rFonts w:asciiTheme="minorEastAsia" w:hAnsiTheme="minorEastAsia" w:eastAsiaTheme="minorEastAsia" w:cstheme="minorEastAsia"/>
          <w:sz w:val="24"/>
          <w:szCs w:val="24"/>
        </w:rPr>
      </w:pPr>
    </w:p>
    <w:p w14:paraId="05E3FEE7">
      <w:pPr>
        <w:spacing w:before="90" w:line="360" w:lineRule="auto"/>
        <w:ind w:left="432"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我方参加了</w:t>
      </w:r>
      <w:r>
        <w:rPr>
          <w:rFonts w:hint="eastAsia" w:asciiTheme="minorEastAsia" w:hAnsiTheme="minorEastAsia" w:eastAsiaTheme="minorEastAsia" w:cstheme="minorEastAsia"/>
          <w:sz w:val="24"/>
          <w:szCs w:val="24"/>
          <w:u w:val="single"/>
        </w:rPr>
        <w:t>（项目名称）工程</w:t>
      </w:r>
      <w:r>
        <w:rPr>
          <w:rFonts w:hint="eastAsia" w:asciiTheme="minorEastAsia" w:hAnsiTheme="minorEastAsia" w:eastAsiaTheme="minorEastAsia" w:cstheme="minorEastAsia"/>
          <w:sz w:val="24"/>
          <w:szCs w:val="24"/>
        </w:rPr>
        <w:t>施工投标，若我方成交，我方在此承诺：</w:t>
      </w:r>
    </w:p>
    <w:p w14:paraId="0C5C0F4E">
      <w:pPr>
        <w:spacing w:before="228" w:line="360" w:lineRule="auto"/>
        <w:ind w:left="11" w:right="168"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本项目资格预审文件或采购文件未要求我方在资格预审申请文件或响应文件中填报派驻本标段的其他主要管理人员和技术人员及主要机械设备和试验检测设备，在采购人向我方发出成交通知书之前，我方将按照合同附件提出的最低要求填报派驻本标段的其他主要管理人员和技术人员及主要机械设备和试验检测设备，在经采购人审批后作为派驻本标段的项目管理机构主要人员和主要设备且不进行更换。</w:t>
      </w:r>
    </w:p>
    <w:p w14:paraId="691A1640">
      <w:pPr>
        <w:spacing w:before="218" w:line="360" w:lineRule="auto"/>
        <w:ind w:left="9" w:right="168"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我方已按本项目资格预审文件或采购文件要求在资格预审申请文件或响应文件中填报派驻本标段的其他主要管理人员和技术人员及主要机械设备和试验检测设备，我方将严格按照在资格预审申请文件或响应文件中填报的其他主要管理人员和技术人员及主要机械设备和试验检测设备组织进场施工，且不进行更换。</w:t>
      </w:r>
    </w:p>
    <w:p w14:paraId="55CD649B">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如我方违背了上述承诺，本项目采购人有权取消我方的成交资格，并由采购人将我方的违约行为上报省级交通主管部门，作为不良记录纳入公路建设市场信息管理系统。</w:t>
      </w:r>
    </w:p>
    <w:p w14:paraId="7B130108">
      <w:pPr>
        <w:pStyle w:val="12"/>
        <w:spacing w:line="298" w:lineRule="auto"/>
      </w:pPr>
    </w:p>
    <w:p w14:paraId="046A6BD3">
      <w:pPr>
        <w:pStyle w:val="12"/>
        <w:spacing w:line="299" w:lineRule="auto"/>
      </w:pPr>
    </w:p>
    <w:p w14:paraId="06323EC3">
      <w:pPr>
        <w:pStyle w:val="12"/>
        <w:spacing w:line="299" w:lineRule="auto"/>
      </w:pPr>
    </w:p>
    <w:p w14:paraId="7D670833">
      <w:pPr>
        <w:pStyle w:val="12"/>
        <w:spacing w:before="72" w:line="302" w:lineRule="auto"/>
        <w:ind w:left="1320" w:right="1529"/>
      </w:pPr>
      <w:r>
        <w:rPr>
          <w:rFonts w:hint="eastAsia"/>
        </w:rPr>
        <w:t>供</w:t>
      </w:r>
      <w:r>
        <w:t>磋商供应商（CA证书签章）：</w:t>
      </w:r>
    </w:p>
    <w:p w14:paraId="53C78E2C">
      <w:pPr>
        <w:pStyle w:val="12"/>
        <w:spacing w:before="72" w:line="302" w:lineRule="auto"/>
        <w:ind w:left="1320" w:right="1529"/>
      </w:pPr>
      <w:r>
        <w:t>法定代表人(负责人、自然人)或相应的委托代理人签字（或个人CA证书签章）：日期：</w:t>
      </w:r>
    </w:p>
    <w:p w14:paraId="786C1D35">
      <w:pPr>
        <w:pStyle w:val="12"/>
        <w:spacing w:before="3"/>
        <w:ind w:firstLine="3780" w:firstLineChars="1800"/>
        <w:rPr>
          <w:rFonts w:ascii="微软雅黑" w:hAnsi="微软雅黑" w:eastAsia="微软雅黑" w:cs="微软雅黑"/>
        </w:rPr>
      </w:pPr>
    </w:p>
    <w:p w14:paraId="62C8D70F">
      <w:pPr>
        <w:pStyle w:val="12"/>
        <w:ind w:firstLine="640"/>
        <w:rPr>
          <w:b/>
          <w:sz w:val="32"/>
        </w:rPr>
      </w:pPr>
    </w:p>
    <w:p w14:paraId="6081FE6F">
      <w:pPr>
        <w:pStyle w:val="12"/>
        <w:ind w:firstLine="640"/>
        <w:rPr>
          <w:b/>
          <w:sz w:val="32"/>
        </w:rPr>
      </w:pPr>
    </w:p>
    <w:p w14:paraId="5A7C4620">
      <w:pPr>
        <w:pStyle w:val="12"/>
        <w:ind w:firstLine="640"/>
        <w:rPr>
          <w:b/>
          <w:sz w:val="32"/>
        </w:rPr>
      </w:pPr>
    </w:p>
    <w:p w14:paraId="2F7A1B48">
      <w:pPr>
        <w:pStyle w:val="12"/>
        <w:ind w:firstLine="640"/>
        <w:rPr>
          <w:b/>
          <w:sz w:val="32"/>
        </w:rPr>
      </w:pPr>
    </w:p>
    <w:p w14:paraId="4D44137E">
      <w:pPr>
        <w:pStyle w:val="12"/>
        <w:ind w:firstLine="640"/>
        <w:rPr>
          <w:b/>
          <w:sz w:val="32"/>
        </w:rPr>
      </w:pPr>
    </w:p>
    <w:p w14:paraId="100EF9A7">
      <w:pPr>
        <w:pStyle w:val="12"/>
        <w:ind w:firstLine="640"/>
        <w:rPr>
          <w:b/>
          <w:sz w:val="32"/>
        </w:rPr>
      </w:pPr>
    </w:p>
    <w:p w14:paraId="7F9F2507">
      <w:pPr>
        <w:pStyle w:val="12"/>
        <w:ind w:firstLine="400"/>
        <w:rPr>
          <w:b/>
          <w:sz w:val="20"/>
        </w:rPr>
      </w:pPr>
    </w:p>
    <w:p w14:paraId="63F3DB01">
      <w:pPr>
        <w:pStyle w:val="12"/>
        <w:spacing w:before="8"/>
        <w:ind w:firstLine="201"/>
        <w:rPr>
          <w:sz w:val="10"/>
        </w:rPr>
      </w:pPr>
    </w:p>
    <w:p w14:paraId="4643D194">
      <w:pPr>
        <w:spacing w:before="55"/>
        <w:ind w:left="120" w:firstLine="643"/>
        <w:rPr>
          <w:b/>
          <w:sz w:val="32"/>
        </w:rPr>
      </w:pPr>
      <w:r>
        <w:rPr>
          <w:b/>
          <w:sz w:val="32"/>
        </w:rPr>
        <w:t>（三）其它有效证明材料目录</w:t>
      </w:r>
    </w:p>
    <w:p w14:paraId="158D8259">
      <w:pPr>
        <w:pStyle w:val="12"/>
        <w:spacing w:before="8"/>
        <w:ind w:firstLine="820"/>
        <w:rPr>
          <w:b/>
          <w:sz w:val="41"/>
        </w:rPr>
      </w:pPr>
    </w:p>
    <w:p w14:paraId="67D5069E">
      <w:pPr>
        <w:pStyle w:val="8"/>
        <w:tabs>
          <w:tab w:val="left" w:pos="840"/>
        </w:tabs>
        <w:spacing w:before="113" w:line="328" w:lineRule="auto"/>
        <w:ind w:left="600" w:right="440" w:firstLine="482"/>
        <w:rPr>
          <w:sz w:val="22"/>
        </w:rPr>
      </w:pPr>
      <w:r>
        <w:rPr>
          <w:rFonts w:hint="eastAsia"/>
        </w:rPr>
        <w:t>1.</w:t>
      </w:r>
      <w:r>
        <w:t>供应商</w:t>
      </w:r>
      <w:r>
        <w:rPr>
          <w:rFonts w:hint="eastAsia"/>
        </w:rPr>
        <w:t>20</w:t>
      </w:r>
      <w:r>
        <w:rPr>
          <w:rFonts w:hint="eastAsia"/>
          <w:lang w:val="en-US" w:eastAsia="zh-CN"/>
        </w:rPr>
        <w:t>20</w:t>
      </w:r>
      <w:r>
        <w:t>年</w:t>
      </w:r>
      <w:r>
        <w:rPr>
          <w:rFonts w:hint="eastAsia"/>
          <w:lang w:val="en-US" w:eastAsia="zh-CN"/>
        </w:rPr>
        <w:t>3</w:t>
      </w:r>
      <w:r>
        <w:rPr>
          <w:rFonts w:hint="eastAsia"/>
        </w:rPr>
        <w:t>月1日</w:t>
      </w:r>
      <w:r>
        <w:t>以来具有同类项目业绩的相关证明材料</w:t>
      </w:r>
      <w:r>
        <w:rPr>
          <w:b/>
        </w:rPr>
        <w:t>（如有，请提供）；</w:t>
      </w:r>
    </w:p>
    <w:p w14:paraId="613589F8">
      <w:pPr>
        <w:pStyle w:val="39"/>
        <w:tabs>
          <w:tab w:val="left" w:pos="840"/>
        </w:tabs>
        <w:spacing w:line="305" w:lineRule="exact"/>
        <w:ind w:left="600" w:firstLine="482"/>
        <w:sectPr>
          <w:pgSz w:w="11910" w:h="16840"/>
          <w:pgMar w:top="1920" w:right="640" w:bottom="1180" w:left="960" w:header="0" w:footer="954" w:gutter="0"/>
          <w:cols w:space="720" w:num="1"/>
        </w:sectPr>
      </w:pPr>
      <w:r>
        <w:rPr>
          <w:rFonts w:hint="eastAsia"/>
          <w:sz w:val="24"/>
        </w:rPr>
        <w:t>2.</w:t>
      </w:r>
      <w:r>
        <w:rPr>
          <w:sz w:val="24"/>
        </w:rPr>
        <w:t>供应商可结合本项目的评审办法视自身情况自行提交相关证明材料</w:t>
      </w:r>
      <w:r>
        <w:rPr>
          <w:b/>
          <w:sz w:val="24"/>
        </w:rPr>
        <w:t>（如有，请提供）</w:t>
      </w:r>
      <w:r>
        <w:rPr>
          <w:sz w:val="24"/>
        </w:rPr>
        <w:t>。</w:t>
      </w:r>
    </w:p>
    <w:p w14:paraId="5F480793">
      <w:pPr>
        <w:pStyle w:val="12"/>
        <w:ind w:firstLine="660"/>
        <w:rPr>
          <w:b/>
          <w:sz w:val="33"/>
        </w:rPr>
      </w:pPr>
    </w:p>
    <w:p w14:paraId="4AC52492">
      <w:pPr>
        <w:pStyle w:val="39"/>
        <w:numPr>
          <w:ilvl w:val="0"/>
          <w:numId w:val="16"/>
        </w:numPr>
        <w:tabs>
          <w:tab w:val="left" w:pos="440"/>
        </w:tabs>
        <w:spacing w:line="242" w:lineRule="auto"/>
        <w:ind w:left="120" w:right="440" w:firstLine="643"/>
        <w:jc w:val="both"/>
        <w:rPr>
          <w:b/>
          <w:sz w:val="32"/>
        </w:rPr>
      </w:pPr>
      <w:r>
        <w:rPr>
          <w:b/>
          <w:sz w:val="32"/>
        </w:rPr>
        <w:t>供应商</w:t>
      </w:r>
      <w:r>
        <w:rPr>
          <w:rFonts w:hint="eastAsia"/>
          <w:b/>
          <w:sz w:val="32"/>
        </w:rPr>
        <w:t>20</w:t>
      </w:r>
      <w:r>
        <w:rPr>
          <w:rFonts w:hint="eastAsia"/>
          <w:b/>
          <w:sz w:val="32"/>
          <w:lang w:val="en-US" w:eastAsia="zh-CN"/>
        </w:rPr>
        <w:t>20</w:t>
      </w:r>
      <w:r>
        <w:rPr>
          <w:b/>
          <w:sz w:val="32"/>
        </w:rPr>
        <w:t>年</w:t>
      </w:r>
      <w:r>
        <w:rPr>
          <w:rFonts w:hint="eastAsia"/>
          <w:b/>
          <w:sz w:val="32"/>
          <w:lang w:val="en-US" w:eastAsia="zh-CN"/>
        </w:rPr>
        <w:t>3</w:t>
      </w:r>
      <w:r>
        <w:rPr>
          <w:rFonts w:hint="eastAsia"/>
          <w:b/>
          <w:sz w:val="32"/>
        </w:rPr>
        <w:t>月1日</w:t>
      </w:r>
      <w:r>
        <w:rPr>
          <w:b/>
          <w:sz w:val="32"/>
        </w:rPr>
        <w:t>以来具有同类项目业绩的相关证明材料（如有，请提供）</w:t>
      </w:r>
    </w:p>
    <w:p w14:paraId="22A9B7E1">
      <w:pPr>
        <w:pStyle w:val="12"/>
        <w:ind w:firstLine="640"/>
        <w:rPr>
          <w:b/>
          <w:sz w:val="32"/>
        </w:rPr>
      </w:pPr>
    </w:p>
    <w:p w14:paraId="2DDD22C7">
      <w:pPr>
        <w:pStyle w:val="12"/>
        <w:ind w:firstLine="640"/>
        <w:rPr>
          <w:b/>
          <w:sz w:val="32"/>
        </w:rPr>
      </w:pPr>
    </w:p>
    <w:p w14:paraId="4A9F2823">
      <w:pPr>
        <w:pStyle w:val="12"/>
        <w:ind w:firstLine="640"/>
        <w:rPr>
          <w:b/>
          <w:sz w:val="32"/>
        </w:rPr>
      </w:pPr>
    </w:p>
    <w:p w14:paraId="0F2EB6F6">
      <w:pPr>
        <w:pStyle w:val="12"/>
        <w:ind w:firstLine="640"/>
        <w:rPr>
          <w:b/>
          <w:sz w:val="32"/>
        </w:rPr>
      </w:pPr>
    </w:p>
    <w:p w14:paraId="377975EE">
      <w:pPr>
        <w:pStyle w:val="12"/>
        <w:ind w:firstLine="640"/>
        <w:rPr>
          <w:b/>
          <w:sz w:val="32"/>
        </w:rPr>
      </w:pPr>
    </w:p>
    <w:p w14:paraId="5EC3AB98">
      <w:pPr>
        <w:pStyle w:val="12"/>
        <w:ind w:firstLine="640"/>
        <w:rPr>
          <w:b/>
          <w:sz w:val="32"/>
        </w:rPr>
      </w:pPr>
    </w:p>
    <w:p w14:paraId="6572C868">
      <w:pPr>
        <w:pStyle w:val="12"/>
        <w:ind w:firstLine="640"/>
        <w:rPr>
          <w:b/>
          <w:sz w:val="32"/>
        </w:rPr>
      </w:pPr>
    </w:p>
    <w:p w14:paraId="26B82051">
      <w:pPr>
        <w:pStyle w:val="12"/>
        <w:ind w:firstLine="640"/>
        <w:rPr>
          <w:b/>
          <w:sz w:val="32"/>
        </w:rPr>
      </w:pPr>
    </w:p>
    <w:p w14:paraId="69971278">
      <w:pPr>
        <w:pStyle w:val="12"/>
        <w:ind w:firstLine="640"/>
        <w:rPr>
          <w:b/>
          <w:sz w:val="32"/>
        </w:rPr>
      </w:pPr>
    </w:p>
    <w:p w14:paraId="4D90B7CD">
      <w:pPr>
        <w:pStyle w:val="12"/>
        <w:ind w:firstLine="640"/>
        <w:rPr>
          <w:b/>
          <w:sz w:val="32"/>
        </w:rPr>
      </w:pPr>
    </w:p>
    <w:p w14:paraId="0CC0F9E7">
      <w:pPr>
        <w:pStyle w:val="12"/>
        <w:ind w:firstLine="640"/>
        <w:rPr>
          <w:b/>
          <w:sz w:val="32"/>
        </w:rPr>
      </w:pPr>
    </w:p>
    <w:p w14:paraId="3EE9EE36">
      <w:pPr>
        <w:pStyle w:val="12"/>
        <w:spacing w:before="6"/>
        <w:ind w:firstLine="640"/>
        <w:rPr>
          <w:b/>
          <w:sz w:val="32"/>
        </w:rPr>
      </w:pPr>
    </w:p>
    <w:p w14:paraId="5B280F6D">
      <w:pPr>
        <w:pStyle w:val="39"/>
        <w:numPr>
          <w:ilvl w:val="0"/>
          <w:numId w:val="16"/>
        </w:numPr>
        <w:tabs>
          <w:tab w:val="left" w:pos="445"/>
        </w:tabs>
        <w:ind w:left="445" w:firstLine="643"/>
        <w:rPr>
          <w:b/>
          <w:sz w:val="32"/>
        </w:rPr>
      </w:pPr>
      <w:r>
        <w:rPr>
          <w:b/>
          <w:sz w:val="32"/>
        </w:rPr>
        <w:t>供应商可结合本项目的评审办法视自身情况自行提交相关证明材料</w:t>
      </w:r>
    </w:p>
    <w:p w14:paraId="66DD96FD">
      <w:pPr>
        <w:spacing w:before="178"/>
        <w:ind w:left="120" w:firstLine="643"/>
        <w:rPr>
          <w:b/>
          <w:sz w:val="32"/>
        </w:rPr>
      </w:pPr>
      <w:r>
        <w:rPr>
          <w:b/>
          <w:sz w:val="32"/>
        </w:rPr>
        <w:t>（如有，请提供）</w:t>
      </w:r>
    </w:p>
    <w:sectPr>
      <w:pgSz w:w="11910" w:h="16840"/>
      <w:pgMar w:top="1400" w:right="640" w:bottom="1180" w:left="960" w:header="0" w:footer="95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PMingLiU-ExtB">
    <w:panose1 w:val="02020500000000000000"/>
    <w:charset w:val="88"/>
    <w:family w:val="auto"/>
    <w:pitch w:val="default"/>
    <w:sig w:usb0="8000002F" w:usb1="02000008" w:usb2="00000000" w:usb3="00000000" w:csb0="00100001" w:csb1="00000000"/>
  </w:font>
  <w:font w:name="Symbol">
    <w:panose1 w:val="05050102010706020507"/>
    <w:charset w:val="00"/>
    <w:family w:val="auto"/>
    <w:pitch w:val="default"/>
    <w:sig w:usb0="00000000" w:usb1="00000000" w:usb2="00000000" w:usb3="00000000" w:csb0="80000000" w:csb1="0000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C69D5">
    <w:pPr>
      <w:pStyle w:val="1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3684905</wp:posOffset>
              </wp:positionH>
              <wp:positionV relativeFrom="page">
                <wp:posOffset>10095230</wp:posOffset>
              </wp:positionV>
              <wp:extent cx="204470" cy="152400"/>
              <wp:effectExtent l="0" t="0" r="0" b="0"/>
              <wp:wrapNone/>
              <wp:docPr id="9" name="Textbox 6"/>
              <wp:cNvGraphicFramePr/>
              <a:graphic xmlns:a="http://schemas.openxmlformats.org/drawingml/2006/main">
                <a:graphicData uri="http://schemas.microsoft.com/office/word/2010/wordprocessingShape">
                  <wps:wsp>
                    <wps:cNvSpPr txBox="1"/>
                    <wps:spPr>
                      <a:xfrm>
                        <a:off x="0" y="0"/>
                        <a:ext cx="204470" cy="152400"/>
                      </a:xfrm>
                      <a:prstGeom prst="rect">
                        <a:avLst/>
                      </a:prstGeom>
                      <a:noFill/>
                      <a:ln>
                        <a:noFill/>
                      </a:ln>
                      <a:effectLst/>
                    </wps:spPr>
                    <wps:txbx>
                      <w:txbxContent>
                        <w:p w14:paraId="1ADE98B9">
                          <w:pPr>
                            <w:spacing w:before="12"/>
                            <w:ind w:left="6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21</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id="Textbox 6" o:spid="_x0000_s1026" o:spt="202" type="#_x0000_t202" style="position:absolute;left:0pt;margin-left:290.15pt;margin-top:794.9pt;height:12pt;width:16.1pt;mso-position-horizontal-relative:page;mso-position-vertical-relative:page;z-index:-251656192;mso-width-relative:page;mso-height-relative:page;" filled="f" stroked="f" coordsize="21600,21600" o:gfxdata="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c0WbT2wAAAA0BAAAPAAAAAAAAAAEAIAAAACIAAABkcnMvZG93&#10;bnJldi54bWxQSwECFAAUAAAACACHTuJAS45IU8QBAACkAwAADgAAAAAAAAABACAAAAAqAQAAZHJz&#10;L2Uyb0RvYy54bWxQSwUGAAAAAAYABgBZAQAAYAUAAAAA&#10;">
              <v:fill on="f" focussize="0,0"/>
              <v:stroke on="f"/>
              <v:imagedata o:title=""/>
              <o:lock v:ext="edit" aspectratio="f"/>
              <v:textbox inset="0mm,0mm,0mm,0mm">
                <w:txbxContent>
                  <w:p w14:paraId="1ADE98B9">
                    <w:pPr>
                      <w:spacing w:before="12"/>
                      <w:ind w:left="6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21</w:t>
                    </w:r>
                    <w:r>
                      <w:rPr>
                        <w:rFonts w:ascii="Times New Roman"/>
                        <w:spacing w:val="-5"/>
                        <w:sz w:val="1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E58EB">
    <w:pPr>
      <w:spacing w:line="178" w:lineRule="auto"/>
      <w:ind w:left="45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E1EF59">
                          <w:pPr>
                            <w:pStyle w:val="16"/>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0nKMU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mlGim0PHL92+X&#10;H78uP78S3EGgxvo54nYWkaF9a1qMzXDvcRl5t6VT8ReMCPyQ93yVV7SB8PhoNp3NxnBx+IYD8LPH&#10;59b58E4YRaKRU4f+JVnZaetDFzqExGzabGopUw+lJg1I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ScoxTgCAABxBAAADgAAAAAAAAABACAAAAAfAQAAZHJzL2Uyb0RvYy54&#10;bWxQSwUGAAAAAAYABgBZAQAAyQUAAAAA&#10;">
              <v:fill on="f" focussize="0,0"/>
              <v:stroke on="f" weight="0.5pt"/>
              <v:imagedata o:title=""/>
              <o:lock v:ext="edit" aspectratio="f"/>
              <v:textbox inset="0mm,0mm,0mm,0mm" style="mso-fit-shape-to-text:t;">
                <w:txbxContent>
                  <w:p w14:paraId="68E1EF59">
                    <w:pPr>
                      <w:pStyle w:val="16"/>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C04E8">
    <w:pPr>
      <w:spacing w:line="178" w:lineRule="auto"/>
      <w:ind w:left="45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A3A3DDD">
                          <w:pPr>
                            <w:pStyle w:val="16"/>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ufaQ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i59pDgCAABxBAAADgAAAAAAAAABACAAAAAfAQAAZHJzL2Uyb0RvYy54&#10;bWxQSwUGAAAAAAYABgBZAQAAyQUAAAAA&#10;">
              <v:fill on="f" focussize="0,0"/>
              <v:stroke on="f" weight="0.5pt"/>
              <v:imagedata o:title=""/>
              <o:lock v:ext="edit" aspectratio="f"/>
              <v:textbox inset="0mm,0mm,0mm,0mm" style="mso-fit-shape-to-text:t;">
                <w:txbxContent>
                  <w:p w14:paraId="5A3A3DDD">
                    <w:pPr>
                      <w:pStyle w:val="16"/>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E5D62">
    <w:pPr>
      <w:pStyle w:val="12"/>
      <w:spacing w:line="14" w:lineRule="auto"/>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C88FE0D">
                          <w:pPr>
                            <w:pStyle w:val="16"/>
                          </w:pPr>
                          <w:r>
                            <w:fldChar w:fldCharType="begin"/>
                          </w:r>
                          <w:r>
                            <w:instrText xml:space="preserve"> PAGE  \* MERGEFORMAT </w:instrText>
                          </w:r>
                          <w:r>
                            <w:fldChar w:fldCharType="separate"/>
                          </w:r>
                          <w:r>
                            <w:t>35</w:t>
                          </w:r>
                          <w:r>
                            <w:fldChar w:fldCharType="end"/>
                          </w:r>
                        </w:p>
                      </w:txbxContent>
                    </wps:txbx>
                    <wps:bodyPr vert="horz" wrap="none" lIns="0" tIns="0" rIns="0" bIns="0" anchor="t" anchorCtr="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UoQzT+IBAADNAwAADgAA&#10;AAAAAAABACAAAAAeAQAAZHJzL2Uyb0RvYy54bWxQSwUGAAAAAAYABgBZAQAAcgUAAAAA&#10;">
              <v:fill on="f" focussize="0,0"/>
              <v:stroke on="f"/>
              <v:imagedata o:title=""/>
              <o:lock v:ext="edit" aspectratio="f"/>
              <v:textbox inset="0mm,0mm,0mm,0mm" style="mso-fit-shape-to-text:t;">
                <w:txbxContent>
                  <w:p w14:paraId="7C88FE0D">
                    <w:pPr>
                      <w:pStyle w:val="16"/>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03131">
    <w:pPr>
      <w:pStyle w:val="12"/>
      <w:spacing w:line="14" w:lineRule="auto"/>
      <w:rPr>
        <w:sz w:val="16"/>
      </w:rPr>
    </w:pPr>
    <w:r>
      <mc:AlternateContent>
        <mc:Choice Requires="wps">
          <w:drawing>
            <wp:anchor distT="0" distB="0" distL="114300" distR="114300" simplePos="0" relativeHeight="251661312" behindDoc="1" locked="0" layoutInCell="1" allowOverlap="1">
              <wp:simplePos x="0" y="0"/>
              <wp:positionH relativeFrom="page">
                <wp:posOffset>3684905</wp:posOffset>
              </wp:positionH>
              <wp:positionV relativeFrom="page">
                <wp:posOffset>9921240</wp:posOffset>
              </wp:positionV>
              <wp:extent cx="204470" cy="152400"/>
              <wp:effectExtent l="0" t="0" r="0" b="0"/>
              <wp:wrapNone/>
              <wp:docPr id="14" name="Textbox 14"/>
              <wp:cNvGraphicFramePr/>
              <a:graphic xmlns:a="http://schemas.openxmlformats.org/drawingml/2006/main">
                <a:graphicData uri="http://schemas.microsoft.com/office/word/2010/wordprocessingShape">
                  <wps:wsp>
                    <wps:cNvSpPr txBox="1"/>
                    <wps:spPr>
                      <a:xfrm>
                        <a:off x="0" y="0"/>
                        <a:ext cx="204470" cy="152400"/>
                      </a:xfrm>
                      <a:prstGeom prst="rect">
                        <a:avLst/>
                      </a:prstGeom>
                      <a:noFill/>
                      <a:ln>
                        <a:noFill/>
                      </a:ln>
                      <a:effectLst/>
                    </wps:spPr>
                    <wps:txbx>
                      <w:txbxContent>
                        <w:p w14:paraId="3B71053A">
                          <w:pPr>
                            <w:spacing w:before="12"/>
                            <w:ind w:left="6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38</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id="Textbox 14" o:spid="_x0000_s1026" o:spt="202" type="#_x0000_t202" style="position:absolute;left:0pt;margin-left:290.15pt;margin-top:781.2pt;height:12pt;width:16.1pt;mso-position-horizontal-relative:page;mso-position-vertical-relative:page;z-index:-251655168;mso-width-relative:page;mso-height-relative:page;" filled="f" stroked="f" coordsize="21600,21600" o:gfxdata="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6a7pLaAAAADQEAAA8AAAAAAAAAAQAgAAAAIgAAAGRycy9kb3du&#10;cmV2LnhtbFBLAQIUABQAAAAIAIdO4kC/IoALxAEAAKYDAAAOAAAAAAAAAAEAIAAAACkBAABkcnMv&#10;ZTJvRG9jLnhtbFBLBQYAAAAABgAGAFkBAABfBQAAAAA=&#10;">
              <v:fill on="f" focussize="0,0"/>
              <v:stroke on="f"/>
              <v:imagedata o:title=""/>
              <o:lock v:ext="edit" aspectratio="f"/>
              <v:textbox inset="0mm,0mm,0mm,0mm">
                <w:txbxContent>
                  <w:p w14:paraId="3B71053A">
                    <w:pPr>
                      <w:spacing w:before="12"/>
                      <w:ind w:left="6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38</w:t>
                    </w:r>
                    <w:r>
                      <w:rPr>
                        <w:rFonts w:ascii="Times New Roman"/>
                        <w:spacing w:val="-5"/>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192BA">
    <w:pPr>
      <w:spacing w:line="178" w:lineRule="auto"/>
      <w:ind w:left="45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485BE69">
                          <w:pPr>
                            <w:pStyle w:val="16"/>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QH8aY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QH8aY5AgAAcQQAAA4AAAAAAAAAAQAgAAAAHwEAAGRycy9lMm9Eb2Mu&#10;eG1sUEsFBgAAAAAGAAYAWQEAAMoFAAAAAA==&#10;">
              <v:fill on="f" focussize="0,0"/>
              <v:stroke on="f" weight="0.5pt"/>
              <v:imagedata o:title=""/>
              <o:lock v:ext="edit" aspectratio="f"/>
              <v:textbox inset="0mm,0mm,0mm,0mm" style="mso-fit-shape-to-text:t;">
                <w:txbxContent>
                  <w:p w14:paraId="3485BE69">
                    <w:pPr>
                      <w:pStyle w:val="16"/>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17DC2">
    <w:pPr>
      <w:spacing w:line="178" w:lineRule="auto"/>
      <w:ind w:left="45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47C4790">
                          <w:pPr>
                            <w:pStyle w:val="16"/>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en6w5AgAAcQQAAA4AAABkcnMvZTJvRG9jLnhtbK1UzY7aMBC+V+o7&#10;WL6XAKs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AXen6w5AgAAcQQAAA4AAAAAAAAAAQAgAAAAHwEAAGRycy9lMm9Eb2Mu&#10;eG1sUEsFBgAAAAAGAAYAWQEAAMoFAAAAAA==&#10;">
              <v:fill on="f" focussize="0,0"/>
              <v:stroke on="f" weight="0.5pt"/>
              <v:imagedata o:title=""/>
              <o:lock v:ext="edit" aspectratio="f"/>
              <v:textbox inset="0mm,0mm,0mm,0mm" style="mso-fit-shape-to-text:t;">
                <w:txbxContent>
                  <w:p w14:paraId="347C4790">
                    <w:pPr>
                      <w:pStyle w:val="16"/>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A5F5C">
    <w:pPr>
      <w:spacing w:line="178" w:lineRule="auto"/>
      <w:ind w:left="40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11F82E">
                          <w:pPr>
                            <w:pStyle w:val="16"/>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s1ek6AgAAcQ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kbNXpOgIAAHEEAAAOAAAAAAAAAAEAIAAAAB8BAABkcnMvZTJvRG9j&#10;LnhtbFBLBQYAAAAABgAGAFkBAADLBQAAAAA=&#10;">
              <v:fill on="f" focussize="0,0"/>
              <v:stroke on="f" weight="0.5pt"/>
              <v:imagedata o:title=""/>
              <o:lock v:ext="edit" aspectratio="f"/>
              <v:textbox inset="0mm,0mm,0mm,0mm" style="mso-fit-shape-to-text:t;">
                <w:txbxContent>
                  <w:p w14:paraId="5D11F82E">
                    <w:pPr>
                      <w:pStyle w:val="16"/>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A99CF">
    <w:pPr>
      <w:spacing w:line="178" w:lineRule="auto"/>
      <w:ind w:left="45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63554CB">
                          <w:pPr>
                            <w:pStyle w:val="16"/>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I4vhk6AgAAcQ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dUaKZQsdP37+d&#10;fvw6/fxKcAeBWutniHuwiAzdW9NhbIZ7j8vIu6ucir9gROCHvMeLvKILhMdH08l0msPF4RsOwM8e&#10;n1vnwzthFIlGQR36l2Rlh40PfegQErNps26kTD2UmrQFvX79J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COL4ZOgIAAHEEAAAOAAAAAAAAAAEAIAAAAB8BAABkcnMvZTJvRG9j&#10;LnhtbFBLBQYAAAAABgAGAFkBAADLBQAAAAA=&#10;">
              <v:fill on="f" focussize="0,0"/>
              <v:stroke on="f" weight="0.5pt"/>
              <v:imagedata o:title=""/>
              <o:lock v:ext="edit" aspectratio="f"/>
              <v:textbox inset="0mm,0mm,0mm,0mm" style="mso-fit-shape-to-text:t;">
                <w:txbxContent>
                  <w:p w14:paraId="563554CB">
                    <w:pPr>
                      <w:pStyle w:val="16"/>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09E92">
    <w:pPr>
      <w:spacing w:line="178"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C7479A5">
                          <w:pPr>
                            <w:pStyle w:val="16"/>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K9Fw6AgAAcQQAAA4AAABkcnMvZTJvRG9jLnhtbK1UzY7TMBC+I/EO&#10;lu80aWFX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5ok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jivRcOgIAAHEEAAAOAAAAAAAAAAEAIAAAAB8BAABkcnMvZTJvRG9j&#10;LnhtbFBLBQYAAAAABgAGAFkBAADLBQAAAAA=&#10;">
              <v:fill on="f" focussize="0,0"/>
              <v:stroke on="f" weight="0.5pt"/>
              <v:imagedata o:title=""/>
              <o:lock v:ext="edit" aspectratio="f"/>
              <v:textbox inset="0mm,0mm,0mm,0mm" style="mso-fit-shape-to-text:t;">
                <w:txbxContent>
                  <w:p w14:paraId="7C7479A5">
                    <w:pPr>
                      <w:pStyle w:val="16"/>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C1FF7">
    <w:pPr>
      <w:spacing w:line="178" w:lineRule="auto"/>
      <w:ind w:left="45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28E43FB">
                          <w:pPr>
                            <w:pStyle w:val="16"/>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3fadU5AgAAcQQAAA4AAABkcnMvZTJvRG9jLnhtbK1UzY7TMBC+I/EO&#10;lu80aYFVqZ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K3fadU5AgAAcQQAAA4AAAAAAAAAAQAgAAAAHwEAAGRycy9lMm9Eb2Mu&#10;eG1sUEsFBgAAAAAGAAYAWQEAAMoFAAAAAA==&#10;">
              <v:fill on="f" focussize="0,0"/>
              <v:stroke on="f" weight="0.5pt"/>
              <v:imagedata o:title=""/>
              <o:lock v:ext="edit" aspectratio="f"/>
              <v:textbox inset="0mm,0mm,0mm,0mm" style="mso-fit-shape-to-text:t;">
                <w:txbxContent>
                  <w:p w14:paraId="528E43FB">
                    <w:pPr>
                      <w:pStyle w:val="16"/>
                    </w:pPr>
                    <w:r>
                      <w:fldChar w:fldCharType="begin"/>
                    </w:r>
                    <w:r>
                      <w:instrText xml:space="preserve"> PAGE  \* MERGEFORMAT </w:instrText>
                    </w:r>
                    <w:r>
                      <w:fldChar w:fldCharType="separate"/>
                    </w:r>
                    <w:r>
                      <w:t>77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DCFCB">
    <w:pPr>
      <w:pStyle w:val="12"/>
      <w:spacing w:line="14" w:lineRule="auto"/>
      <w:rPr>
        <w:sz w:val="20"/>
      </w:rPr>
    </w:pPr>
    <w:r>
      <mc:AlternateContent>
        <mc:Choice Requires="wps">
          <w:drawing>
            <wp:anchor distT="0" distB="0" distL="114300" distR="114300" simplePos="0" relativeHeight="251672576" behindDoc="1" locked="0" layoutInCell="1" allowOverlap="1">
              <wp:simplePos x="0" y="0"/>
              <wp:positionH relativeFrom="page">
                <wp:posOffset>774700</wp:posOffset>
              </wp:positionH>
              <wp:positionV relativeFrom="page">
                <wp:posOffset>600075</wp:posOffset>
              </wp:positionV>
              <wp:extent cx="6026150" cy="9525"/>
              <wp:effectExtent l="0" t="0" r="0" b="0"/>
              <wp:wrapNone/>
              <wp:docPr id="15" name="Graphic 15"/>
              <wp:cNvGraphicFramePr/>
              <a:graphic xmlns:a="http://schemas.openxmlformats.org/drawingml/2006/main">
                <a:graphicData uri="http://schemas.microsoft.com/office/word/2010/wordprocessingShape">
                  <wps:wsp>
                    <wps:cNvSpPr/>
                    <wps:spPr>
                      <a:xfrm>
                        <a:off x="0" y="0"/>
                        <a:ext cx="6026150" cy="9525"/>
                      </a:xfrm>
                      <a:custGeom>
                        <a:avLst/>
                        <a:gdLst>
                          <a:gd name="A1" fmla="val 0"/>
                          <a:gd name="A2" fmla="val 0"/>
                          <a:gd name="A3" fmla="val 0"/>
                        </a:gdLst>
                        <a:ahLst/>
                        <a:cxnLst/>
                        <a:pathLst>
                          <a:path w="6026150" h="9525">
                            <a:moveTo>
                              <a:pt x="6026150" y="9144"/>
                            </a:moveTo>
                            <a:lnTo>
                              <a:pt x="0" y="9144"/>
                            </a:lnTo>
                            <a:lnTo>
                              <a:pt x="0" y="0"/>
                            </a:lnTo>
                            <a:lnTo>
                              <a:pt x="6026150" y="0"/>
                            </a:lnTo>
                            <a:lnTo>
                              <a:pt x="6026150" y="9144"/>
                            </a:lnTo>
                            <a:close/>
                          </a:path>
                        </a:pathLst>
                      </a:custGeom>
                      <a:solidFill>
                        <a:srgbClr val="000000"/>
                      </a:solidFill>
                      <a:ln>
                        <a:noFill/>
                      </a:ln>
                    </wps:spPr>
                    <wps:bodyPr lIns="0" tIns="0" rIns="0" bIns="0" upright="1"/>
                  </wps:wsp>
                </a:graphicData>
              </a:graphic>
            </wp:anchor>
          </w:drawing>
        </mc:Choice>
        <mc:Fallback>
          <w:pict>
            <v:shape id="Graphic 15" o:spid="_x0000_s1026" o:spt="100" style="position:absolute;left:0pt;margin-left:61pt;margin-top:47.25pt;height:0.75pt;width:474.5pt;mso-position-horizontal-relative:page;mso-position-vertical-relative:page;z-index:-251643904;mso-width-relative:page;mso-height-relative:page;" fillcolor="#000000" filled="t" stroked="f" coordsize="6026150,9525" o:gfxdata="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1PxaY&#10;1wAAAAoBAAAPAAAAAAAAAAEAIAAAACIAAABkcnMvZG93bnJldi54bWxQSwECFAAUAAAACACHTuJA&#10;/N7C4yICAAAUBQAADgAAAAAAAAABACAAAAAmAQAAZHJzL2Uyb0RvYy54bWxQSwUGAAAAAAYABgBZ&#10;AQAAugUAAAAA&#10;" path="m6026150,9144l0,9144,0,0,6026150,0,6026150,9144xe">
              <v:fill on="t" focussize="0,0"/>
              <v:stroke on="f"/>
              <v:imagedata o:title=""/>
              <o:lock v:ext="edit" aspectratio="f"/>
              <v:textbox inset="0mm,0mm,0mm,0m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F12F34"/>
    <w:multiLevelType w:val="multilevel"/>
    <w:tmpl w:val="D5F12F34"/>
    <w:lvl w:ilvl="0" w:tentative="0">
      <w:start w:val="1"/>
      <w:numFmt w:val="decimal"/>
      <w:lvlText w:val="%1."/>
      <w:lvlJc w:val="left"/>
      <w:pPr>
        <w:ind w:left="943" w:hanging="284"/>
      </w:pPr>
      <w:rPr>
        <w:rFonts w:hint="default"/>
        <w:spacing w:val="-2"/>
        <w:w w:val="92"/>
        <w:lang w:val="en-US" w:eastAsia="zh-CN" w:bidi="ar-SA"/>
      </w:rPr>
    </w:lvl>
    <w:lvl w:ilvl="1" w:tentative="0">
      <w:start w:val="1"/>
      <w:numFmt w:val="decimal"/>
      <w:lvlText w:val="%2."/>
      <w:lvlJc w:val="left"/>
      <w:pPr>
        <w:ind w:left="660" w:hanging="241"/>
      </w:pPr>
      <w:rPr>
        <w:rFonts w:hint="default"/>
        <w:spacing w:val="0"/>
        <w:w w:val="91"/>
        <w:lang w:val="en-US" w:eastAsia="zh-CN" w:bidi="ar-SA"/>
      </w:rPr>
    </w:lvl>
    <w:lvl w:ilvl="2" w:tentative="0">
      <w:start w:val="0"/>
      <w:numFmt w:val="bullet"/>
      <w:lvlText w:val="•"/>
      <w:lvlJc w:val="left"/>
      <w:pPr>
        <w:ind w:left="1500" w:hanging="241"/>
      </w:pPr>
      <w:rPr>
        <w:rFonts w:hint="default"/>
        <w:lang w:val="en-US" w:eastAsia="zh-CN" w:bidi="ar-SA"/>
      </w:rPr>
    </w:lvl>
    <w:lvl w:ilvl="3" w:tentative="0">
      <w:start w:val="0"/>
      <w:numFmt w:val="bullet"/>
      <w:lvlText w:val="•"/>
      <w:lvlJc w:val="left"/>
      <w:pPr>
        <w:ind w:left="1775" w:hanging="241"/>
      </w:pPr>
      <w:rPr>
        <w:rFonts w:hint="default"/>
        <w:lang w:val="en-US" w:eastAsia="zh-CN" w:bidi="ar-SA"/>
      </w:rPr>
    </w:lvl>
    <w:lvl w:ilvl="4" w:tentative="0">
      <w:start w:val="0"/>
      <w:numFmt w:val="bullet"/>
      <w:lvlText w:val="•"/>
      <w:lvlJc w:val="left"/>
      <w:pPr>
        <w:ind w:left="2051" w:hanging="241"/>
      </w:pPr>
      <w:rPr>
        <w:rFonts w:hint="default"/>
        <w:lang w:val="en-US" w:eastAsia="zh-CN" w:bidi="ar-SA"/>
      </w:rPr>
    </w:lvl>
    <w:lvl w:ilvl="5" w:tentative="0">
      <w:start w:val="0"/>
      <w:numFmt w:val="bullet"/>
      <w:lvlText w:val="•"/>
      <w:lvlJc w:val="left"/>
      <w:pPr>
        <w:ind w:left="2326" w:hanging="241"/>
      </w:pPr>
      <w:rPr>
        <w:rFonts w:hint="default"/>
        <w:lang w:val="en-US" w:eastAsia="zh-CN" w:bidi="ar-SA"/>
      </w:rPr>
    </w:lvl>
    <w:lvl w:ilvl="6" w:tentative="0">
      <w:start w:val="0"/>
      <w:numFmt w:val="bullet"/>
      <w:lvlText w:val="•"/>
      <w:lvlJc w:val="left"/>
      <w:pPr>
        <w:ind w:left="2602" w:hanging="241"/>
      </w:pPr>
      <w:rPr>
        <w:rFonts w:hint="default"/>
        <w:lang w:val="en-US" w:eastAsia="zh-CN" w:bidi="ar-SA"/>
      </w:rPr>
    </w:lvl>
    <w:lvl w:ilvl="7" w:tentative="0">
      <w:start w:val="0"/>
      <w:numFmt w:val="bullet"/>
      <w:lvlText w:val="•"/>
      <w:lvlJc w:val="left"/>
      <w:pPr>
        <w:ind w:left="2878" w:hanging="241"/>
      </w:pPr>
      <w:rPr>
        <w:rFonts w:hint="default"/>
        <w:lang w:val="en-US" w:eastAsia="zh-CN" w:bidi="ar-SA"/>
      </w:rPr>
    </w:lvl>
    <w:lvl w:ilvl="8" w:tentative="0">
      <w:start w:val="0"/>
      <w:numFmt w:val="bullet"/>
      <w:lvlText w:val="•"/>
      <w:lvlJc w:val="left"/>
      <w:pPr>
        <w:ind w:left="3153" w:hanging="241"/>
      </w:pPr>
      <w:rPr>
        <w:rFonts w:hint="default"/>
        <w:lang w:val="en-US" w:eastAsia="zh-CN" w:bidi="ar-SA"/>
      </w:rPr>
    </w:lvl>
  </w:abstractNum>
  <w:abstractNum w:abstractNumId="1">
    <w:nsid w:val="D7BE1E84"/>
    <w:multiLevelType w:val="singleLevel"/>
    <w:tmpl w:val="D7BE1E84"/>
    <w:lvl w:ilvl="0" w:tentative="0">
      <w:start w:val="2"/>
      <w:numFmt w:val="decimal"/>
      <w:suff w:val="nothing"/>
      <w:lvlText w:val="（%1）"/>
      <w:lvlJc w:val="left"/>
    </w:lvl>
  </w:abstractNum>
  <w:abstractNum w:abstractNumId="2">
    <w:nsid w:val="DAD3A854"/>
    <w:multiLevelType w:val="multilevel"/>
    <w:tmpl w:val="DAD3A854"/>
    <w:lvl w:ilvl="0" w:tentative="0">
      <w:start w:val="0"/>
      <w:numFmt w:val="bullet"/>
      <w:lvlText w:val="□"/>
      <w:lvlJc w:val="left"/>
      <w:pPr>
        <w:ind w:left="119" w:hanging="281"/>
      </w:pPr>
      <w:rPr>
        <w:rFonts w:hint="default" w:ascii="宋体" w:hAnsi="宋体" w:eastAsia="宋体" w:cs="宋体"/>
        <w:b w:val="0"/>
        <w:bCs w:val="0"/>
        <w:i w:val="0"/>
        <w:iCs w:val="0"/>
        <w:spacing w:val="0"/>
        <w:w w:val="100"/>
        <w:sz w:val="22"/>
        <w:szCs w:val="22"/>
        <w:lang w:val="en-US" w:eastAsia="zh-CN" w:bidi="ar-SA"/>
      </w:rPr>
    </w:lvl>
    <w:lvl w:ilvl="1" w:tentative="0">
      <w:start w:val="0"/>
      <w:numFmt w:val="bullet"/>
      <w:lvlText w:val="•"/>
      <w:lvlJc w:val="left"/>
      <w:pPr>
        <w:ind w:left="716" w:hanging="281"/>
      </w:pPr>
      <w:rPr>
        <w:rFonts w:hint="default"/>
        <w:lang w:val="en-US" w:eastAsia="zh-CN" w:bidi="ar-SA"/>
      </w:rPr>
    </w:lvl>
    <w:lvl w:ilvl="2" w:tentative="0">
      <w:start w:val="0"/>
      <w:numFmt w:val="bullet"/>
      <w:lvlText w:val="•"/>
      <w:lvlJc w:val="left"/>
      <w:pPr>
        <w:ind w:left="1313" w:hanging="281"/>
      </w:pPr>
      <w:rPr>
        <w:rFonts w:hint="default"/>
        <w:lang w:val="en-US" w:eastAsia="zh-CN" w:bidi="ar-SA"/>
      </w:rPr>
    </w:lvl>
    <w:lvl w:ilvl="3" w:tentative="0">
      <w:start w:val="0"/>
      <w:numFmt w:val="bullet"/>
      <w:lvlText w:val="•"/>
      <w:lvlJc w:val="left"/>
      <w:pPr>
        <w:ind w:left="1909" w:hanging="281"/>
      </w:pPr>
      <w:rPr>
        <w:rFonts w:hint="default"/>
        <w:lang w:val="en-US" w:eastAsia="zh-CN" w:bidi="ar-SA"/>
      </w:rPr>
    </w:lvl>
    <w:lvl w:ilvl="4" w:tentative="0">
      <w:start w:val="0"/>
      <w:numFmt w:val="bullet"/>
      <w:lvlText w:val="•"/>
      <w:lvlJc w:val="left"/>
      <w:pPr>
        <w:ind w:left="2506" w:hanging="281"/>
      </w:pPr>
      <w:rPr>
        <w:rFonts w:hint="default"/>
        <w:lang w:val="en-US" w:eastAsia="zh-CN" w:bidi="ar-SA"/>
      </w:rPr>
    </w:lvl>
    <w:lvl w:ilvl="5" w:tentative="0">
      <w:start w:val="0"/>
      <w:numFmt w:val="bullet"/>
      <w:lvlText w:val="•"/>
      <w:lvlJc w:val="left"/>
      <w:pPr>
        <w:ind w:left="3102" w:hanging="281"/>
      </w:pPr>
      <w:rPr>
        <w:rFonts w:hint="default"/>
        <w:lang w:val="en-US" w:eastAsia="zh-CN" w:bidi="ar-SA"/>
      </w:rPr>
    </w:lvl>
    <w:lvl w:ilvl="6" w:tentative="0">
      <w:start w:val="0"/>
      <w:numFmt w:val="bullet"/>
      <w:lvlText w:val="•"/>
      <w:lvlJc w:val="left"/>
      <w:pPr>
        <w:ind w:left="3699" w:hanging="281"/>
      </w:pPr>
      <w:rPr>
        <w:rFonts w:hint="default"/>
        <w:lang w:val="en-US" w:eastAsia="zh-CN" w:bidi="ar-SA"/>
      </w:rPr>
    </w:lvl>
    <w:lvl w:ilvl="7" w:tentative="0">
      <w:start w:val="0"/>
      <w:numFmt w:val="bullet"/>
      <w:lvlText w:val="•"/>
      <w:lvlJc w:val="left"/>
      <w:pPr>
        <w:ind w:left="4295" w:hanging="281"/>
      </w:pPr>
      <w:rPr>
        <w:rFonts w:hint="default"/>
        <w:lang w:val="en-US" w:eastAsia="zh-CN" w:bidi="ar-SA"/>
      </w:rPr>
    </w:lvl>
    <w:lvl w:ilvl="8" w:tentative="0">
      <w:start w:val="0"/>
      <w:numFmt w:val="bullet"/>
      <w:lvlText w:val="•"/>
      <w:lvlJc w:val="left"/>
      <w:pPr>
        <w:ind w:left="4892" w:hanging="281"/>
      </w:pPr>
      <w:rPr>
        <w:rFonts w:hint="default"/>
        <w:lang w:val="en-US" w:eastAsia="zh-CN" w:bidi="ar-SA"/>
      </w:rPr>
    </w:lvl>
  </w:abstractNum>
  <w:abstractNum w:abstractNumId="3">
    <w:nsid w:val="E093A4B0"/>
    <w:multiLevelType w:val="multilevel"/>
    <w:tmpl w:val="E093A4B0"/>
    <w:lvl w:ilvl="0" w:tentative="0">
      <w:start w:val="1"/>
      <w:numFmt w:val="upperLetter"/>
      <w:lvlText w:val="%1."/>
      <w:lvlJc w:val="left"/>
      <w:pPr>
        <w:ind w:left="362" w:hanging="244"/>
        <w:jc w:val="right"/>
      </w:pPr>
      <w:rPr>
        <w:rFonts w:hint="default" w:ascii="宋体" w:hAnsi="宋体" w:eastAsia="宋体" w:cs="宋体"/>
        <w:b/>
        <w:bCs/>
        <w:i w:val="0"/>
        <w:iCs w:val="0"/>
        <w:spacing w:val="0"/>
        <w:w w:val="99"/>
        <w:sz w:val="22"/>
        <w:szCs w:val="22"/>
        <w:lang w:val="en-US" w:eastAsia="zh-CN" w:bidi="ar-SA"/>
      </w:rPr>
    </w:lvl>
    <w:lvl w:ilvl="1" w:tentative="0">
      <w:start w:val="0"/>
      <w:numFmt w:val="bullet"/>
      <w:lvlText w:val="•"/>
      <w:lvlJc w:val="left"/>
      <w:pPr>
        <w:ind w:left="1309" w:hanging="244"/>
      </w:pPr>
      <w:rPr>
        <w:rFonts w:hint="default"/>
        <w:lang w:val="en-US" w:eastAsia="zh-CN" w:bidi="ar-SA"/>
      </w:rPr>
    </w:lvl>
    <w:lvl w:ilvl="2" w:tentative="0">
      <w:start w:val="0"/>
      <w:numFmt w:val="bullet"/>
      <w:lvlText w:val="•"/>
      <w:lvlJc w:val="left"/>
      <w:pPr>
        <w:ind w:left="2258" w:hanging="244"/>
      </w:pPr>
      <w:rPr>
        <w:rFonts w:hint="default"/>
        <w:lang w:val="en-US" w:eastAsia="zh-CN" w:bidi="ar-SA"/>
      </w:rPr>
    </w:lvl>
    <w:lvl w:ilvl="3" w:tentative="0">
      <w:start w:val="0"/>
      <w:numFmt w:val="bullet"/>
      <w:lvlText w:val="•"/>
      <w:lvlJc w:val="left"/>
      <w:pPr>
        <w:ind w:left="3207" w:hanging="244"/>
      </w:pPr>
      <w:rPr>
        <w:rFonts w:hint="default"/>
        <w:lang w:val="en-US" w:eastAsia="zh-CN" w:bidi="ar-SA"/>
      </w:rPr>
    </w:lvl>
    <w:lvl w:ilvl="4" w:tentative="0">
      <w:start w:val="0"/>
      <w:numFmt w:val="bullet"/>
      <w:lvlText w:val="•"/>
      <w:lvlJc w:val="left"/>
      <w:pPr>
        <w:ind w:left="4156" w:hanging="244"/>
      </w:pPr>
      <w:rPr>
        <w:rFonts w:hint="default"/>
        <w:lang w:val="en-US" w:eastAsia="zh-CN" w:bidi="ar-SA"/>
      </w:rPr>
    </w:lvl>
    <w:lvl w:ilvl="5" w:tentative="0">
      <w:start w:val="0"/>
      <w:numFmt w:val="bullet"/>
      <w:lvlText w:val="•"/>
      <w:lvlJc w:val="left"/>
      <w:pPr>
        <w:ind w:left="5105" w:hanging="244"/>
      </w:pPr>
      <w:rPr>
        <w:rFonts w:hint="default"/>
        <w:lang w:val="en-US" w:eastAsia="zh-CN" w:bidi="ar-SA"/>
      </w:rPr>
    </w:lvl>
    <w:lvl w:ilvl="6" w:tentative="0">
      <w:start w:val="0"/>
      <w:numFmt w:val="bullet"/>
      <w:lvlText w:val="•"/>
      <w:lvlJc w:val="left"/>
      <w:pPr>
        <w:ind w:left="6054" w:hanging="244"/>
      </w:pPr>
      <w:rPr>
        <w:rFonts w:hint="default"/>
        <w:lang w:val="en-US" w:eastAsia="zh-CN" w:bidi="ar-SA"/>
      </w:rPr>
    </w:lvl>
    <w:lvl w:ilvl="7" w:tentative="0">
      <w:start w:val="0"/>
      <w:numFmt w:val="bullet"/>
      <w:lvlText w:val="•"/>
      <w:lvlJc w:val="left"/>
      <w:pPr>
        <w:ind w:left="7003" w:hanging="244"/>
      </w:pPr>
      <w:rPr>
        <w:rFonts w:hint="default"/>
        <w:lang w:val="en-US" w:eastAsia="zh-CN" w:bidi="ar-SA"/>
      </w:rPr>
    </w:lvl>
    <w:lvl w:ilvl="8" w:tentative="0">
      <w:start w:val="0"/>
      <w:numFmt w:val="bullet"/>
      <w:lvlText w:val="•"/>
      <w:lvlJc w:val="left"/>
      <w:pPr>
        <w:ind w:left="7952" w:hanging="244"/>
      </w:pPr>
      <w:rPr>
        <w:rFonts w:hint="default"/>
        <w:lang w:val="en-US" w:eastAsia="zh-CN" w:bidi="ar-SA"/>
      </w:rPr>
    </w:lvl>
  </w:abstractNum>
  <w:abstractNum w:abstractNumId="4">
    <w:nsid w:val="FCC85EE2"/>
    <w:multiLevelType w:val="multilevel"/>
    <w:tmpl w:val="FCC85EE2"/>
    <w:lvl w:ilvl="0" w:tentative="0">
      <w:start w:val="1"/>
      <w:numFmt w:val="decimal"/>
      <w:lvlText w:val="%1."/>
      <w:lvlJc w:val="left"/>
      <w:pPr>
        <w:ind w:left="480" w:hanging="260"/>
      </w:pPr>
      <w:rPr>
        <w:rFonts w:hint="default" w:ascii="宋体" w:hAnsi="宋体" w:eastAsia="宋体" w:cs="宋体"/>
        <w:b w:val="0"/>
        <w:bCs w:val="0"/>
        <w:i w:val="0"/>
        <w:iCs w:val="0"/>
        <w:spacing w:val="4"/>
        <w:w w:val="100"/>
        <w:sz w:val="22"/>
        <w:szCs w:val="22"/>
        <w:lang w:val="en-US" w:eastAsia="zh-CN" w:bidi="ar-SA"/>
      </w:rPr>
    </w:lvl>
    <w:lvl w:ilvl="1" w:tentative="0">
      <w:start w:val="1"/>
      <w:numFmt w:val="decimal"/>
      <w:lvlText w:val="%2."/>
      <w:lvlJc w:val="left"/>
      <w:pPr>
        <w:ind w:left="1441" w:hanging="241"/>
      </w:pPr>
      <w:rPr>
        <w:rFonts w:hint="default" w:ascii="宋体" w:hAnsi="宋体" w:eastAsia="宋体" w:cs="宋体"/>
        <w:b w:val="0"/>
        <w:bCs w:val="0"/>
        <w:i w:val="0"/>
        <w:iCs w:val="0"/>
        <w:spacing w:val="0"/>
        <w:w w:val="99"/>
        <w:sz w:val="22"/>
        <w:szCs w:val="22"/>
        <w:lang w:val="en-US" w:eastAsia="zh-CN" w:bidi="ar-SA"/>
      </w:rPr>
    </w:lvl>
    <w:lvl w:ilvl="2" w:tentative="0">
      <w:start w:val="0"/>
      <w:numFmt w:val="bullet"/>
      <w:lvlText w:val="•"/>
      <w:lvlJc w:val="left"/>
      <w:pPr>
        <w:ind w:left="2425" w:hanging="241"/>
      </w:pPr>
      <w:rPr>
        <w:rFonts w:hint="default"/>
        <w:lang w:val="en-US" w:eastAsia="zh-CN" w:bidi="ar-SA"/>
      </w:rPr>
    </w:lvl>
    <w:lvl w:ilvl="3" w:tentative="0">
      <w:start w:val="0"/>
      <w:numFmt w:val="bullet"/>
      <w:lvlText w:val="•"/>
      <w:lvlJc w:val="left"/>
      <w:pPr>
        <w:ind w:left="3410" w:hanging="241"/>
      </w:pPr>
      <w:rPr>
        <w:rFonts w:hint="default"/>
        <w:lang w:val="en-US" w:eastAsia="zh-CN" w:bidi="ar-SA"/>
      </w:rPr>
    </w:lvl>
    <w:lvl w:ilvl="4" w:tentative="0">
      <w:start w:val="0"/>
      <w:numFmt w:val="bullet"/>
      <w:lvlText w:val="•"/>
      <w:lvlJc w:val="left"/>
      <w:pPr>
        <w:ind w:left="4395" w:hanging="241"/>
      </w:pPr>
      <w:rPr>
        <w:rFonts w:hint="default"/>
        <w:lang w:val="en-US" w:eastAsia="zh-CN" w:bidi="ar-SA"/>
      </w:rPr>
    </w:lvl>
    <w:lvl w:ilvl="5" w:tentative="0">
      <w:start w:val="0"/>
      <w:numFmt w:val="bullet"/>
      <w:lvlText w:val="•"/>
      <w:lvlJc w:val="left"/>
      <w:pPr>
        <w:ind w:left="5380" w:hanging="241"/>
      </w:pPr>
      <w:rPr>
        <w:rFonts w:hint="default"/>
        <w:lang w:val="en-US" w:eastAsia="zh-CN" w:bidi="ar-SA"/>
      </w:rPr>
    </w:lvl>
    <w:lvl w:ilvl="6" w:tentative="0">
      <w:start w:val="0"/>
      <w:numFmt w:val="bullet"/>
      <w:lvlText w:val="•"/>
      <w:lvlJc w:val="left"/>
      <w:pPr>
        <w:ind w:left="6365" w:hanging="241"/>
      </w:pPr>
      <w:rPr>
        <w:rFonts w:hint="default"/>
        <w:lang w:val="en-US" w:eastAsia="zh-CN" w:bidi="ar-SA"/>
      </w:rPr>
    </w:lvl>
    <w:lvl w:ilvl="7" w:tentative="0">
      <w:start w:val="0"/>
      <w:numFmt w:val="bullet"/>
      <w:lvlText w:val="•"/>
      <w:lvlJc w:val="left"/>
      <w:pPr>
        <w:ind w:left="7350" w:hanging="241"/>
      </w:pPr>
      <w:rPr>
        <w:rFonts w:hint="default"/>
        <w:lang w:val="en-US" w:eastAsia="zh-CN" w:bidi="ar-SA"/>
      </w:rPr>
    </w:lvl>
    <w:lvl w:ilvl="8" w:tentative="0">
      <w:start w:val="0"/>
      <w:numFmt w:val="bullet"/>
      <w:lvlText w:val="•"/>
      <w:lvlJc w:val="left"/>
      <w:pPr>
        <w:ind w:left="8335" w:hanging="241"/>
      </w:pPr>
      <w:rPr>
        <w:rFonts w:hint="default"/>
        <w:lang w:val="en-US" w:eastAsia="zh-CN" w:bidi="ar-SA"/>
      </w:rPr>
    </w:lvl>
  </w:abstractNum>
  <w:abstractNum w:abstractNumId="5">
    <w:nsid w:val="00000004"/>
    <w:multiLevelType w:val="multilevel"/>
    <w:tmpl w:val="00000004"/>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00000005"/>
    <w:multiLevelType w:val="multilevel"/>
    <w:tmpl w:val="00000005"/>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7">
    <w:nsid w:val="00000006"/>
    <w:multiLevelType w:val="multilevel"/>
    <w:tmpl w:val="00000006"/>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0000000A"/>
    <w:multiLevelType w:val="multilevel"/>
    <w:tmpl w:val="0000000A"/>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9">
    <w:nsid w:val="0000000B"/>
    <w:multiLevelType w:val="multilevel"/>
    <w:tmpl w:val="0000000B"/>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0">
    <w:nsid w:val="0000000C"/>
    <w:multiLevelType w:val="multilevel"/>
    <w:tmpl w:val="0000000C"/>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1">
    <w:nsid w:val="30FB3B63"/>
    <w:multiLevelType w:val="singleLevel"/>
    <w:tmpl w:val="30FB3B63"/>
    <w:lvl w:ilvl="0" w:tentative="0">
      <w:start w:val="1"/>
      <w:numFmt w:val="decimal"/>
      <w:lvlText w:val="%1."/>
      <w:lvlJc w:val="left"/>
      <w:pPr>
        <w:tabs>
          <w:tab w:val="left" w:pos="312"/>
        </w:tabs>
      </w:pPr>
    </w:lvl>
  </w:abstractNum>
  <w:abstractNum w:abstractNumId="12">
    <w:nsid w:val="30FC5B15"/>
    <w:multiLevelType w:val="multilevel"/>
    <w:tmpl w:val="30FC5B15"/>
    <w:lvl w:ilvl="0" w:tentative="0">
      <w:start w:val="1"/>
      <w:numFmt w:val="decimal"/>
      <w:lvlText w:val="%1."/>
      <w:lvlJc w:val="left"/>
      <w:pPr>
        <w:ind w:left="119" w:hanging="212"/>
        <w:jc w:val="right"/>
      </w:pPr>
      <w:rPr>
        <w:rFonts w:hint="default" w:ascii="宋体" w:hAnsi="宋体" w:eastAsia="宋体" w:cs="宋体"/>
        <w:b w:val="0"/>
        <w:bCs w:val="0"/>
        <w:i w:val="0"/>
        <w:iCs w:val="0"/>
        <w:spacing w:val="1"/>
        <w:w w:val="98"/>
        <w:sz w:val="19"/>
        <w:szCs w:val="19"/>
        <w:lang w:val="en-US" w:eastAsia="zh-CN" w:bidi="ar-SA"/>
      </w:rPr>
    </w:lvl>
    <w:lvl w:ilvl="1" w:tentative="0">
      <w:start w:val="1"/>
      <w:numFmt w:val="decimal"/>
      <w:lvlText w:val="%1.%2."/>
      <w:lvlJc w:val="left"/>
      <w:pPr>
        <w:ind w:left="1484" w:hanging="526"/>
      </w:pPr>
      <w:rPr>
        <w:rFonts w:hint="default" w:ascii="宋体" w:hAnsi="宋体" w:eastAsia="宋体" w:cs="宋体"/>
        <w:b w:val="0"/>
        <w:bCs w:val="0"/>
        <w:i w:val="0"/>
        <w:iCs w:val="0"/>
        <w:spacing w:val="0"/>
        <w:w w:val="99"/>
        <w:sz w:val="21"/>
        <w:szCs w:val="21"/>
        <w:lang w:val="en-US" w:eastAsia="zh-CN" w:bidi="ar-SA"/>
      </w:rPr>
    </w:lvl>
    <w:lvl w:ilvl="2" w:tentative="0">
      <w:start w:val="0"/>
      <w:numFmt w:val="bullet"/>
      <w:lvlText w:val="•"/>
      <w:lvlJc w:val="left"/>
      <w:pPr>
        <w:ind w:left="2410" w:hanging="526"/>
      </w:pPr>
      <w:rPr>
        <w:rFonts w:hint="default"/>
        <w:lang w:val="en-US" w:eastAsia="zh-CN" w:bidi="ar-SA"/>
      </w:rPr>
    </w:lvl>
    <w:lvl w:ilvl="3" w:tentative="0">
      <w:start w:val="0"/>
      <w:numFmt w:val="bullet"/>
      <w:lvlText w:val="•"/>
      <w:lvlJc w:val="left"/>
      <w:pPr>
        <w:ind w:left="3340" w:hanging="526"/>
      </w:pPr>
      <w:rPr>
        <w:rFonts w:hint="default"/>
        <w:lang w:val="en-US" w:eastAsia="zh-CN" w:bidi="ar-SA"/>
      </w:rPr>
    </w:lvl>
    <w:lvl w:ilvl="4" w:tentative="0">
      <w:start w:val="0"/>
      <w:numFmt w:val="bullet"/>
      <w:lvlText w:val="•"/>
      <w:lvlJc w:val="left"/>
      <w:pPr>
        <w:ind w:left="4270" w:hanging="526"/>
      </w:pPr>
      <w:rPr>
        <w:rFonts w:hint="default"/>
        <w:lang w:val="en-US" w:eastAsia="zh-CN" w:bidi="ar-SA"/>
      </w:rPr>
    </w:lvl>
    <w:lvl w:ilvl="5" w:tentative="0">
      <w:start w:val="0"/>
      <w:numFmt w:val="bullet"/>
      <w:lvlText w:val="•"/>
      <w:lvlJc w:val="left"/>
      <w:pPr>
        <w:ind w:left="5200" w:hanging="526"/>
      </w:pPr>
      <w:rPr>
        <w:rFonts w:hint="default"/>
        <w:lang w:val="en-US" w:eastAsia="zh-CN" w:bidi="ar-SA"/>
      </w:rPr>
    </w:lvl>
    <w:lvl w:ilvl="6" w:tentative="0">
      <w:start w:val="0"/>
      <w:numFmt w:val="bullet"/>
      <w:lvlText w:val="•"/>
      <w:lvlJc w:val="left"/>
      <w:pPr>
        <w:ind w:left="6130" w:hanging="526"/>
      </w:pPr>
      <w:rPr>
        <w:rFonts w:hint="default"/>
        <w:lang w:val="en-US" w:eastAsia="zh-CN" w:bidi="ar-SA"/>
      </w:rPr>
    </w:lvl>
    <w:lvl w:ilvl="7" w:tentative="0">
      <w:start w:val="0"/>
      <w:numFmt w:val="bullet"/>
      <w:lvlText w:val="•"/>
      <w:lvlJc w:val="left"/>
      <w:pPr>
        <w:ind w:left="7060" w:hanging="526"/>
      </w:pPr>
      <w:rPr>
        <w:rFonts w:hint="default"/>
        <w:lang w:val="en-US" w:eastAsia="zh-CN" w:bidi="ar-SA"/>
      </w:rPr>
    </w:lvl>
    <w:lvl w:ilvl="8" w:tentative="0">
      <w:start w:val="0"/>
      <w:numFmt w:val="bullet"/>
      <w:lvlText w:val="•"/>
      <w:lvlJc w:val="left"/>
      <w:pPr>
        <w:ind w:left="7990" w:hanging="526"/>
      </w:pPr>
      <w:rPr>
        <w:rFonts w:hint="default"/>
        <w:lang w:val="en-US" w:eastAsia="zh-CN" w:bidi="ar-SA"/>
      </w:rPr>
    </w:lvl>
  </w:abstractNum>
  <w:abstractNum w:abstractNumId="13">
    <w:nsid w:val="429CD0B5"/>
    <w:multiLevelType w:val="multilevel"/>
    <w:tmpl w:val="429CD0B5"/>
    <w:lvl w:ilvl="0" w:tentative="0">
      <w:start w:val="1"/>
      <w:numFmt w:val="decimal"/>
      <w:lvlText w:val="%1."/>
      <w:lvlJc w:val="left"/>
      <w:pPr>
        <w:ind w:left="441" w:hanging="322"/>
      </w:pPr>
      <w:rPr>
        <w:rFonts w:hint="default" w:ascii="宋体" w:hAnsi="宋体" w:eastAsia="宋体" w:cs="宋体"/>
        <w:b/>
        <w:bCs/>
        <w:i w:val="0"/>
        <w:iCs w:val="0"/>
        <w:spacing w:val="1"/>
        <w:w w:val="97"/>
        <w:sz w:val="30"/>
        <w:szCs w:val="30"/>
        <w:lang w:val="en-US" w:eastAsia="zh-CN" w:bidi="ar-SA"/>
      </w:rPr>
    </w:lvl>
    <w:lvl w:ilvl="1" w:tentative="0">
      <w:start w:val="0"/>
      <w:numFmt w:val="bullet"/>
      <w:lvlText w:val="•"/>
      <w:lvlJc w:val="left"/>
      <w:pPr>
        <w:ind w:left="1426" w:hanging="322"/>
      </w:pPr>
      <w:rPr>
        <w:rFonts w:hint="default"/>
        <w:lang w:val="en-US" w:eastAsia="zh-CN" w:bidi="ar-SA"/>
      </w:rPr>
    </w:lvl>
    <w:lvl w:ilvl="2" w:tentative="0">
      <w:start w:val="0"/>
      <w:numFmt w:val="bullet"/>
      <w:lvlText w:val="•"/>
      <w:lvlJc w:val="left"/>
      <w:pPr>
        <w:ind w:left="2413" w:hanging="322"/>
      </w:pPr>
      <w:rPr>
        <w:rFonts w:hint="default"/>
        <w:lang w:val="en-US" w:eastAsia="zh-CN" w:bidi="ar-SA"/>
      </w:rPr>
    </w:lvl>
    <w:lvl w:ilvl="3" w:tentative="0">
      <w:start w:val="0"/>
      <w:numFmt w:val="bullet"/>
      <w:lvlText w:val="•"/>
      <w:lvlJc w:val="left"/>
      <w:pPr>
        <w:ind w:left="3399" w:hanging="322"/>
      </w:pPr>
      <w:rPr>
        <w:rFonts w:hint="default"/>
        <w:lang w:val="en-US" w:eastAsia="zh-CN" w:bidi="ar-SA"/>
      </w:rPr>
    </w:lvl>
    <w:lvl w:ilvl="4" w:tentative="0">
      <w:start w:val="0"/>
      <w:numFmt w:val="bullet"/>
      <w:lvlText w:val="•"/>
      <w:lvlJc w:val="left"/>
      <w:pPr>
        <w:ind w:left="4386" w:hanging="322"/>
      </w:pPr>
      <w:rPr>
        <w:rFonts w:hint="default"/>
        <w:lang w:val="en-US" w:eastAsia="zh-CN" w:bidi="ar-SA"/>
      </w:rPr>
    </w:lvl>
    <w:lvl w:ilvl="5" w:tentative="0">
      <w:start w:val="0"/>
      <w:numFmt w:val="bullet"/>
      <w:lvlText w:val="•"/>
      <w:lvlJc w:val="left"/>
      <w:pPr>
        <w:ind w:left="5373" w:hanging="322"/>
      </w:pPr>
      <w:rPr>
        <w:rFonts w:hint="default"/>
        <w:lang w:val="en-US" w:eastAsia="zh-CN" w:bidi="ar-SA"/>
      </w:rPr>
    </w:lvl>
    <w:lvl w:ilvl="6" w:tentative="0">
      <w:start w:val="0"/>
      <w:numFmt w:val="bullet"/>
      <w:lvlText w:val="•"/>
      <w:lvlJc w:val="left"/>
      <w:pPr>
        <w:ind w:left="6359" w:hanging="322"/>
      </w:pPr>
      <w:rPr>
        <w:rFonts w:hint="default"/>
        <w:lang w:val="en-US" w:eastAsia="zh-CN" w:bidi="ar-SA"/>
      </w:rPr>
    </w:lvl>
    <w:lvl w:ilvl="7" w:tentative="0">
      <w:start w:val="0"/>
      <w:numFmt w:val="bullet"/>
      <w:lvlText w:val="•"/>
      <w:lvlJc w:val="left"/>
      <w:pPr>
        <w:ind w:left="7346" w:hanging="322"/>
      </w:pPr>
      <w:rPr>
        <w:rFonts w:hint="default"/>
        <w:lang w:val="en-US" w:eastAsia="zh-CN" w:bidi="ar-SA"/>
      </w:rPr>
    </w:lvl>
    <w:lvl w:ilvl="8" w:tentative="0">
      <w:start w:val="0"/>
      <w:numFmt w:val="bullet"/>
      <w:lvlText w:val="•"/>
      <w:lvlJc w:val="left"/>
      <w:pPr>
        <w:ind w:left="8332" w:hanging="322"/>
      </w:pPr>
      <w:rPr>
        <w:rFonts w:hint="default"/>
        <w:lang w:val="en-US" w:eastAsia="zh-CN" w:bidi="ar-SA"/>
      </w:rPr>
    </w:lvl>
  </w:abstractNum>
  <w:abstractNum w:abstractNumId="14">
    <w:nsid w:val="6AC2D86A"/>
    <w:multiLevelType w:val="singleLevel"/>
    <w:tmpl w:val="6AC2D86A"/>
    <w:lvl w:ilvl="0" w:tentative="0">
      <w:start w:val="5"/>
      <w:numFmt w:val="chineseCounting"/>
      <w:suff w:val="space"/>
      <w:lvlText w:val="第%1章"/>
      <w:lvlJc w:val="left"/>
      <w:rPr>
        <w:rFonts w:hint="eastAsia"/>
      </w:rPr>
    </w:lvl>
  </w:abstractNum>
  <w:abstractNum w:abstractNumId="15">
    <w:nsid w:val="79AA4FA4"/>
    <w:multiLevelType w:val="multilevel"/>
    <w:tmpl w:val="79AA4FA4"/>
    <w:lvl w:ilvl="0" w:tentative="0">
      <w:start w:val="1"/>
      <w:numFmt w:val="decimal"/>
      <w:lvlText w:val="（%1）"/>
      <w:lvlJc w:val="left"/>
      <w:pPr>
        <w:ind w:left="119" w:hanging="527"/>
      </w:pPr>
      <w:rPr>
        <w:rFonts w:hint="default" w:ascii="宋体" w:hAnsi="宋体" w:eastAsia="宋体" w:cs="宋体"/>
        <w:b w:val="0"/>
        <w:bCs w:val="0"/>
        <w:i w:val="0"/>
        <w:iCs w:val="0"/>
        <w:spacing w:val="-63"/>
        <w:w w:val="99"/>
        <w:sz w:val="19"/>
        <w:szCs w:val="19"/>
        <w:lang w:val="en-US" w:eastAsia="zh-CN" w:bidi="ar-SA"/>
      </w:rPr>
    </w:lvl>
    <w:lvl w:ilvl="1" w:tentative="0">
      <w:start w:val="0"/>
      <w:numFmt w:val="bullet"/>
      <w:lvlText w:val="•"/>
      <w:lvlJc w:val="left"/>
      <w:pPr>
        <w:ind w:left="1093" w:hanging="527"/>
      </w:pPr>
      <w:rPr>
        <w:rFonts w:hint="default"/>
        <w:lang w:val="en-US" w:eastAsia="zh-CN" w:bidi="ar-SA"/>
      </w:rPr>
    </w:lvl>
    <w:lvl w:ilvl="2" w:tentative="0">
      <w:start w:val="0"/>
      <w:numFmt w:val="bullet"/>
      <w:lvlText w:val="•"/>
      <w:lvlJc w:val="left"/>
      <w:pPr>
        <w:ind w:left="2066" w:hanging="527"/>
      </w:pPr>
      <w:rPr>
        <w:rFonts w:hint="default"/>
        <w:lang w:val="en-US" w:eastAsia="zh-CN" w:bidi="ar-SA"/>
      </w:rPr>
    </w:lvl>
    <w:lvl w:ilvl="3" w:tentative="0">
      <w:start w:val="0"/>
      <w:numFmt w:val="bullet"/>
      <w:lvlText w:val="•"/>
      <w:lvlJc w:val="left"/>
      <w:pPr>
        <w:ind w:left="3039" w:hanging="527"/>
      </w:pPr>
      <w:rPr>
        <w:rFonts w:hint="default"/>
        <w:lang w:val="en-US" w:eastAsia="zh-CN" w:bidi="ar-SA"/>
      </w:rPr>
    </w:lvl>
    <w:lvl w:ilvl="4" w:tentative="0">
      <w:start w:val="0"/>
      <w:numFmt w:val="bullet"/>
      <w:lvlText w:val="•"/>
      <w:lvlJc w:val="left"/>
      <w:pPr>
        <w:ind w:left="4012" w:hanging="527"/>
      </w:pPr>
      <w:rPr>
        <w:rFonts w:hint="default"/>
        <w:lang w:val="en-US" w:eastAsia="zh-CN" w:bidi="ar-SA"/>
      </w:rPr>
    </w:lvl>
    <w:lvl w:ilvl="5" w:tentative="0">
      <w:start w:val="0"/>
      <w:numFmt w:val="bullet"/>
      <w:lvlText w:val="•"/>
      <w:lvlJc w:val="left"/>
      <w:pPr>
        <w:ind w:left="4985" w:hanging="527"/>
      </w:pPr>
      <w:rPr>
        <w:rFonts w:hint="default"/>
        <w:lang w:val="en-US" w:eastAsia="zh-CN" w:bidi="ar-SA"/>
      </w:rPr>
    </w:lvl>
    <w:lvl w:ilvl="6" w:tentative="0">
      <w:start w:val="0"/>
      <w:numFmt w:val="bullet"/>
      <w:lvlText w:val="•"/>
      <w:lvlJc w:val="left"/>
      <w:pPr>
        <w:ind w:left="5958" w:hanging="527"/>
      </w:pPr>
      <w:rPr>
        <w:rFonts w:hint="default"/>
        <w:lang w:val="en-US" w:eastAsia="zh-CN" w:bidi="ar-SA"/>
      </w:rPr>
    </w:lvl>
    <w:lvl w:ilvl="7" w:tentative="0">
      <w:start w:val="0"/>
      <w:numFmt w:val="bullet"/>
      <w:lvlText w:val="•"/>
      <w:lvlJc w:val="left"/>
      <w:pPr>
        <w:ind w:left="6931" w:hanging="527"/>
      </w:pPr>
      <w:rPr>
        <w:rFonts w:hint="default"/>
        <w:lang w:val="en-US" w:eastAsia="zh-CN" w:bidi="ar-SA"/>
      </w:rPr>
    </w:lvl>
    <w:lvl w:ilvl="8" w:tentative="0">
      <w:start w:val="0"/>
      <w:numFmt w:val="bullet"/>
      <w:lvlText w:val="•"/>
      <w:lvlJc w:val="left"/>
      <w:pPr>
        <w:ind w:left="7904" w:hanging="527"/>
      </w:pPr>
      <w:rPr>
        <w:rFonts w:hint="default"/>
        <w:lang w:val="en-US" w:eastAsia="zh-CN" w:bidi="ar-SA"/>
      </w:rPr>
    </w:lvl>
  </w:abstractNum>
  <w:num w:numId="1">
    <w:abstractNumId w:val="1"/>
  </w:num>
  <w:num w:numId="2">
    <w:abstractNumId w:val="14"/>
  </w:num>
  <w:num w:numId="3">
    <w:abstractNumId w:val="3"/>
  </w:num>
  <w:num w:numId="4">
    <w:abstractNumId w:val="12"/>
  </w:num>
  <w:num w:numId="5">
    <w:abstractNumId w:val="15"/>
  </w:num>
  <w:num w:numId="6">
    <w:abstractNumId w:val="11"/>
  </w:num>
  <w:num w:numId="7">
    <w:abstractNumId w:val="7"/>
  </w:num>
  <w:num w:numId="8">
    <w:abstractNumId w:val="9"/>
  </w:num>
  <w:num w:numId="9">
    <w:abstractNumId w:val="5"/>
  </w:num>
  <w:num w:numId="10">
    <w:abstractNumId w:val="8"/>
  </w:num>
  <w:num w:numId="11">
    <w:abstractNumId w:val="6"/>
  </w:num>
  <w:num w:numId="12">
    <w:abstractNumId w:val="10"/>
  </w:num>
  <w:num w:numId="13">
    <w:abstractNumId w:val="2"/>
  </w:num>
  <w:num w:numId="14">
    <w:abstractNumId w:val="4"/>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jM2RmMjQ5ZjhhZDg1YzlkYTgwYzQ5ODIzZjI0NzgifQ=="/>
  </w:docVars>
  <w:rsids>
    <w:rsidRoot w:val="00F72E13"/>
    <w:rsid w:val="0003205C"/>
    <w:rsid w:val="00042C68"/>
    <w:rsid w:val="00045E7E"/>
    <w:rsid w:val="000608F8"/>
    <w:rsid w:val="00061CA9"/>
    <w:rsid w:val="00077609"/>
    <w:rsid w:val="000817D7"/>
    <w:rsid w:val="00094C95"/>
    <w:rsid w:val="000B1392"/>
    <w:rsid w:val="000F026D"/>
    <w:rsid w:val="001061D0"/>
    <w:rsid w:val="00113F6F"/>
    <w:rsid w:val="00143A24"/>
    <w:rsid w:val="00157175"/>
    <w:rsid w:val="001E55EC"/>
    <w:rsid w:val="001E7300"/>
    <w:rsid w:val="001F0CC0"/>
    <w:rsid w:val="002140BD"/>
    <w:rsid w:val="0024309A"/>
    <w:rsid w:val="00250505"/>
    <w:rsid w:val="00256ACB"/>
    <w:rsid w:val="00285A99"/>
    <w:rsid w:val="002B5E1B"/>
    <w:rsid w:val="002C5246"/>
    <w:rsid w:val="00316F5E"/>
    <w:rsid w:val="00327DA3"/>
    <w:rsid w:val="00341561"/>
    <w:rsid w:val="00354CF2"/>
    <w:rsid w:val="00357894"/>
    <w:rsid w:val="00375F8C"/>
    <w:rsid w:val="003807AF"/>
    <w:rsid w:val="00396EDF"/>
    <w:rsid w:val="003A51CE"/>
    <w:rsid w:val="003B3840"/>
    <w:rsid w:val="003C1A7F"/>
    <w:rsid w:val="00445044"/>
    <w:rsid w:val="004506E0"/>
    <w:rsid w:val="004555C7"/>
    <w:rsid w:val="004A01FE"/>
    <w:rsid w:val="004D4DEF"/>
    <w:rsid w:val="004F1E94"/>
    <w:rsid w:val="0050369E"/>
    <w:rsid w:val="00503ECE"/>
    <w:rsid w:val="00585BDE"/>
    <w:rsid w:val="0059739E"/>
    <w:rsid w:val="005D10D6"/>
    <w:rsid w:val="005E2968"/>
    <w:rsid w:val="005F089C"/>
    <w:rsid w:val="005F35E5"/>
    <w:rsid w:val="00601D46"/>
    <w:rsid w:val="00620A5F"/>
    <w:rsid w:val="0062261A"/>
    <w:rsid w:val="00626A9F"/>
    <w:rsid w:val="00631FE5"/>
    <w:rsid w:val="0065494E"/>
    <w:rsid w:val="006747FD"/>
    <w:rsid w:val="00675280"/>
    <w:rsid w:val="006B7CB5"/>
    <w:rsid w:val="006C14C7"/>
    <w:rsid w:val="006C150E"/>
    <w:rsid w:val="006F539F"/>
    <w:rsid w:val="00737A2F"/>
    <w:rsid w:val="00774072"/>
    <w:rsid w:val="00793B6C"/>
    <w:rsid w:val="00814CEE"/>
    <w:rsid w:val="00884C48"/>
    <w:rsid w:val="008C0084"/>
    <w:rsid w:val="008D138C"/>
    <w:rsid w:val="008D732A"/>
    <w:rsid w:val="00902B4B"/>
    <w:rsid w:val="009043DA"/>
    <w:rsid w:val="0094502A"/>
    <w:rsid w:val="009467F4"/>
    <w:rsid w:val="009820C2"/>
    <w:rsid w:val="009B69E2"/>
    <w:rsid w:val="009C16D8"/>
    <w:rsid w:val="009D571E"/>
    <w:rsid w:val="009F63E1"/>
    <w:rsid w:val="00A27E15"/>
    <w:rsid w:val="00A415B2"/>
    <w:rsid w:val="00A45F57"/>
    <w:rsid w:val="00B01C53"/>
    <w:rsid w:val="00B1411B"/>
    <w:rsid w:val="00B25D2F"/>
    <w:rsid w:val="00B30935"/>
    <w:rsid w:val="00B32650"/>
    <w:rsid w:val="00B35CAB"/>
    <w:rsid w:val="00B40149"/>
    <w:rsid w:val="00B85A8A"/>
    <w:rsid w:val="00BA40FA"/>
    <w:rsid w:val="00BF1726"/>
    <w:rsid w:val="00C073E8"/>
    <w:rsid w:val="00C16595"/>
    <w:rsid w:val="00C22C18"/>
    <w:rsid w:val="00C23661"/>
    <w:rsid w:val="00C64D1E"/>
    <w:rsid w:val="00C92F97"/>
    <w:rsid w:val="00CB63CB"/>
    <w:rsid w:val="00CB74F5"/>
    <w:rsid w:val="00CD2DD0"/>
    <w:rsid w:val="00CF0AAB"/>
    <w:rsid w:val="00D10BE7"/>
    <w:rsid w:val="00D136AB"/>
    <w:rsid w:val="00D404BE"/>
    <w:rsid w:val="00D77229"/>
    <w:rsid w:val="00DB4472"/>
    <w:rsid w:val="00DC6435"/>
    <w:rsid w:val="00E127ED"/>
    <w:rsid w:val="00E30000"/>
    <w:rsid w:val="00E525AE"/>
    <w:rsid w:val="00EA046C"/>
    <w:rsid w:val="00EA1B5F"/>
    <w:rsid w:val="00EB31F8"/>
    <w:rsid w:val="00EC75AA"/>
    <w:rsid w:val="00ED3CB9"/>
    <w:rsid w:val="00EE07FA"/>
    <w:rsid w:val="00F02927"/>
    <w:rsid w:val="00F0432D"/>
    <w:rsid w:val="00F05A66"/>
    <w:rsid w:val="00F120BC"/>
    <w:rsid w:val="00F14904"/>
    <w:rsid w:val="00F21C69"/>
    <w:rsid w:val="00F55B9C"/>
    <w:rsid w:val="00F66C39"/>
    <w:rsid w:val="00F72E13"/>
    <w:rsid w:val="00F752EC"/>
    <w:rsid w:val="00FC5530"/>
    <w:rsid w:val="00FE44E1"/>
    <w:rsid w:val="01081BE6"/>
    <w:rsid w:val="018041D4"/>
    <w:rsid w:val="01A761C5"/>
    <w:rsid w:val="01AA2265"/>
    <w:rsid w:val="01C422C3"/>
    <w:rsid w:val="01FF4B87"/>
    <w:rsid w:val="023E1BBB"/>
    <w:rsid w:val="02421F52"/>
    <w:rsid w:val="025C49EE"/>
    <w:rsid w:val="026B0E39"/>
    <w:rsid w:val="02820D07"/>
    <w:rsid w:val="03242788"/>
    <w:rsid w:val="03373607"/>
    <w:rsid w:val="03660F5C"/>
    <w:rsid w:val="03716AB5"/>
    <w:rsid w:val="039E4C22"/>
    <w:rsid w:val="03C82140"/>
    <w:rsid w:val="03EF297E"/>
    <w:rsid w:val="0423608D"/>
    <w:rsid w:val="04D75F69"/>
    <w:rsid w:val="04F433AE"/>
    <w:rsid w:val="04F43AEC"/>
    <w:rsid w:val="05373674"/>
    <w:rsid w:val="05942BAC"/>
    <w:rsid w:val="05995A60"/>
    <w:rsid w:val="05A36F5B"/>
    <w:rsid w:val="05A607FA"/>
    <w:rsid w:val="05AF5900"/>
    <w:rsid w:val="06503885"/>
    <w:rsid w:val="0681016A"/>
    <w:rsid w:val="06C47618"/>
    <w:rsid w:val="07492961"/>
    <w:rsid w:val="07852DBD"/>
    <w:rsid w:val="07F76E9E"/>
    <w:rsid w:val="087010E6"/>
    <w:rsid w:val="087B3986"/>
    <w:rsid w:val="087D1CE6"/>
    <w:rsid w:val="08AE240B"/>
    <w:rsid w:val="08EA516D"/>
    <w:rsid w:val="096157DF"/>
    <w:rsid w:val="0976663B"/>
    <w:rsid w:val="099355F8"/>
    <w:rsid w:val="09AD3A47"/>
    <w:rsid w:val="09B502AE"/>
    <w:rsid w:val="09DD541A"/>
    <w:rsid w:val="09F10450"/>
    <w:rsid w:val="0A384706"/>
    <w:rsid w:val="0A3F2E4F"/>
    <w:rsid w:val="0B203415"/>
    <w:rsid w:val="0B27506F"/>
    <w:rsid w:val="0B4C5888"/>
    <w:rsid w:val="0B5A0591"/>
    <w:rsid w:val="0B8C5B00"/>
    <w:rsid w:val="0BC820E2"/>
    <w:rsid w:val="0BF40511"/>
    <w:rsid w:val="0C065F88"/>
    <w:rsid w:val="0C302D8B"/>
    <w:rsid w:val="0CD87D21"/>
    <w:rsid w:val="0CF66CB3"/>
    <w:rsid w:val="0D073860"/>
    <w:rsid w:val="0D385650"/>
    <w:rsid w:val="0D891129"/>
    <w:rsid w:val="0DAA4406"/>
    <w:rsid w:val="0E8E42AF"/>
    <w:rsid w:val="0EDC6A0F"/>
    <w:rsid w:val="0F026AA1"/>
    <w:rsid w:val="0FA71D21"/>
    <w:rsid w:val="0FE64614"/>
    <w:rsid w:val="0FF4473B"/>
    <w:rsid w:val="0FFD7573"/>
    <w:rsid w:val="103E3030"/>
    <w:rsid w:val="10696E6F"/>
    <w:rsid w:val="108125EE"/>
    <w:rsid w:val="10B27235"/>
    <w:rsid w:val="10B60628"/>
    <w:rsid w:val="10BC4087"/>
    <w:rsid w:val="11567578"/>
    <w:rsid w:val="116A10AE"/>
    <w:rsid w:val="12092208"/>
    <w:rsid w:val="121A4373"/>
    <w:rsid w:val="12333942"/>
    <w:rsid w:val="12646638"/>
    <w:rsid w:val="128F7744"/>
    <w:rsid w:val="129C2D65"/>
    <w:rsid w:val="12A22F6F"/>
    <w:rsid w:val="12B620EE"/>
    <w:rsid w:val="12CB3A7F"/>
    <w:rsid w:val="130B144A"/>
    <w:rsid w:val="133F6DBC"/>
    <w:rsid w:val="13716B19"/>
    <w:rsid w:val="1396735C"/>
    <w:rsid w:val="14225EAD"/>
    <w:rsid w:val="144A4625"/>
    <w:rsid w:val="144A774A"/>
    <w:rsid w:val="1491511C"/>
    <w:rsid w:val="14DB27D8"/>
    <w:rsid w:val="15347BD0"/>
    <w:rsid w:val="154619B7"/>
    <w:rsid w:val="157835F1"/>
    <w:rsid w:val="15943BE4"/>
    <w:rsid w:val="16646CBF"/>
    <w:rsid w:val="16B769A1"/>
    <w:rsid w:val="16CD76C6"/>
    <w:rsid w:val="16F83795"/>
    <w:rsid w:val="1729478D"/>
    <w:rsid w:val="175547FF"/>
    <w:rsid w:val="176236E3"/>
    <w:rsid w:val="1767428D"/>
    <w:rsid w:val="17A13152"/>
    <w:rsid w:val="181F3A21"/>
    <w:rsid w:val="182061EA"/>
    <w:rsid w:val="18640C92"/>
    <w:rsid w:val="186B5020"/>
    <w:rsid w:val="19130410"/>
    <w:rsid w:val="19155099"/>
    <w:rsid w:val="191E023B"/>
    <w:rsid w:val="194D2952"/>
    <w:rsid w:val="196A5947"/>
    <w:rsid w:val="196C0F94"/>
    <w:rsid w:val="19B12B72"/>
    <w:rsid w:val="19E13681"/>
    <w:rsid w:val="1A3368A7"/>
    <w:rsid w:val="1A387A77"/>
    <w:rsid w:val="1ADD2620"/>
    <w:rsid w:val="1B0100C6"/>
    <w:rsid w:val="1B197001"/>
    <w:rsid w:val="1B400C6F"/>
    <w:rsid w:val="1B445E80"/>
    <w:rsid w:val="1B5A0CF0"/>
    <w:rsid w:val="1C347690"/>
    <w:rsid w:val="1C8156AA"/>
    <w:rsid w:val="1C8F719B"/>
    <w:rsid w:val="1D4E748C"/>
    <w:rsid w:val="1D5D4C3D"/>
    <w:rsid w:val="1D810C82"/>
    <w:rsid w:val="1D883533"/>
    <w:rsid w:val="1DB91C37"/>
    <w:rsid w:val="1DC439BC"/>
    <w:rsid w:val="1DC55A34"/>
    <w:rsid w:val="1DDC5928"/>
    <w:rsid w:val="1E3D37AB"/>
    <w:rsid w:val="1E9E6116"/>
    <w:rsid w:val="1EFB602E"/>
    <w:rsid w:val="1F056238"/>
    <w:rsid w:val="1F3D3B25"/>
    <w:rsid w:val="1F7D3294"/>
    <w:rsid w:val="202A3F09"/>
    <w:rsid w:val="207D33B2"/>
    <w:rsid w:val="2095673E"/>
    <w:rsid w:val="20AB7F59"/>
    <w:rsid w:val="20C92CE4"/>
    <w:rsid w:val="20CC2578"/>
    <w:rsid w:val="20DB339B"/>
    <w:rsid w:val="20DE7688"/>
    <w:rsid w:val="20E47373"/>
    <w:rsid w:val="21214387"/>
    <w:rsid w:val="21D108A8"/>
    <w:rsid w:val="2249436E"/>
    <w:rsid w:val="225348C7"/>
    <w:rsid w:val="225D430F"/>
    <w:rsid w:val="228F19B7"/>
    <w:rsid w:val="229D3590"/>
    <w:rsid w:val="229F5102"/>
    <w:rsid w:val="22A10C5C"/>
    <w:rsid w:val="22CA140C"/>
    <w:rsid w:val="231057D9"/>
    <w:rsid w:val="233F7E6C"/>
    <w:rsid w:val="23741B32"/>
    <w:rsid w:val="24125BC8"/>
    <w:rsid w:val="24492E48"/>
    <w:rsid w:val="245E26EC"/>
    <w:rsid w:val="246A0CA0"/>
    <w:rsid w:val="2496149D"/>
    <w:rsid w:val="249F7694"/>
    <w:rsid w:val="24FE4812"/>
    <w:rsid w:val="256C067B"/>
    <w:rsid w:val="256C23F4"/>
    <w:rsid w:val="25C16E1F"/>
    <w:rsid w:val="261629E0"/>
    <w:rsid w:val="26375014"/>
    <w:rsid w:val="26531CD5"/>
    <w:rsid w:val="26AB4ECA"/>
    <w:rsid w:val="26BB4C65"/>
    <w:rsid w:val="273E3D6E"/>
    <w:rsid w:val="274028C2"/>
    <w:rsid w:val="27CE5BE7"/>
    <w:rsid w:val="281C077C"/>
    <w:rsid w:val="28AE7A00"/>
    <w:rsid w:val="28E8012C"/>
    <w:rsid w:val="295264D7"/>
    <w:rsid w:val="29995DFC"/>
    <w:rsid w:val="29A22F02"/>
    <w:rsid w:val="29AA2CCE"/>
    <w:rsid w:val="2A341DE9"/>
    <w:rsid w:val="2ACB4472"/>
    <w:rsid w:val="2AD106B8"/>
    <w:rsid w:val="2AFA603F"/>
    <w:rsid w:val="2B6A376B"/>
    <w:rsid w:val="2B8E29B7"/>
    <w:rsid w:val="2BFE4E64"/>
    <w:rsid w:val="2C166231"/>
    <w:rsid w:val="2C6E22A9"/>
    <w:rsid w:val="2C717120"/>
    <w:rsid w:val="2CA32EC2"/>
    <w:rsid w:val="2CE11997"/>
    <w:rsid w:val="2D0F6B01"/>
    <w:rsid w:val="2D3E1112"/>
    <w:rsid w:val="2D6B7AAF"/>
    <w:rsid w:val="2D7365A0"/>
    <w:rsid w:val="2D907A6A"/>
    <w:rsid w:val="2DAB6C49"/>
    <w:rsid w:val="2DC72229"/>
    <w:rsid w:val="2E29045C"/>
    <w:rsid w:val="2E2C24D4"/>
    <w:rsid w:val="2E382087"/>
    <w:rsid w:val="2EC351CA"/>
    <w:rsid w:val="2ED753FC"/>
    <w:rsid w:val="2F294B9D"/>
    <w:rsid w:val="30B26229"/>
    <w:rsid w:val="30B7098A"/>
    <w:rsid w:val="30BA7D15"/>
    <w:rsid w:val="30C536FA"/>
    <w:rsid w:val="310061F3"/>
    <w:rsid w:val="31024C96"/>
    <w:rsid w:val="311D311F"/>
    <w:rsid w:val="313D17BE"/>
    <w:rsid w:val="314F7571"/>
    <w:rsid w:val="31BC0B24"/>
    <w:rsid w:val="31EF3B00"/>
    <w:rsid w:val="323F10FE"/>
    <w:rsid w:val="32C12BAF"/>
    <w:rsid w:val="32E43392"/>
    <w:rsid w:val="32FC645C"/>
    <w:rsid w:val="33210C6F"/>
    <w:rsid w:val="33274BD5"/>
    <w:rsid w:val="3345288B"/>
    <w:rsid w:val="335704AD"/>
    <w:rsid w:val="33B2575C"/>
    <w:rsid w:val="33BD6150"/>
    <w:rsid w:val="346103BB"/>
    <w:rsid w:val="346671F6"/>
    <w:rsid w:val="35244234"/>
    <w:rsid w:val="3538296D"/>
    <w:rsid w:val="35C22146"/>
    <w:rsid w:val="36111DC3"/>
    <w:rsid w:val="36203481"/>
    <w:rsid w:val="36470979"/>
    <w:rsid w:val="366C4FC4"/>
    <w:rsid w:val="36C86B4A"/>
    <w:rsid w:val="36CF4A91"/>
    <w:rsid w:val="36E903C3"/>
    <w:rsid w:val="37386830"/>
    <w:rsid w:val="379167DA"/>
    <w:rsid w:val="381E547B"/>
    <w:rsid w:val="3831374F"/>
    <w:rsid w:val="38A9721D"/>
    <w:rsid w:val="38EE4A5F"/>
    <w:rsid w:val="3908401F"/>
    <w:rsid w:val="39494261"/>
    <w:rsid w:val="39DA5E57"/>
    <w:rsid w:val="3A106F32"/>
    <w:rsid w:val="3A534E77"/>
    <w:rsid w:val="3A60099C"/>
    <w:rsid w:val="3A6431C6"/>
    <w:rsid w:val="3A9D5B5B"/>
    <w:rsid w:val="3AAC0258"/>
    <w:rsid w:val="3AD50E95"/>
    <w:rsid w:val="3B043E9A"/>
    <w:rsid w:val="3B1D4ADF"/>
    <w:rsid w:val="3B653D90"/>
    <w:rsid w:val="3B8A6DB4"/>
    <w:rsid w:val="3BBA0580"/>
    <w:rsid w:val="3BE176FA"/>
    <w:rsid w:val="3BF13B36"/>
    <w:rsid w:val="3C0C45F3"/>
    <w:rsid w:val="3C303062"/>
    <w:rsid w:val="3C6628CF"/>
    <w:rsid w:val="3C9F3748"/>
    <w:rsid w:val="3CBA4223"/>
    <w:rsid w:val="3CD236A7"/>
    <w:rsid w:val="3CD72A6B"/>
    <w:rsid w:val="3CE06912"/>
    <w:rsid w:val="3CEA67D5"/>
    <w:rsid w:val="3D515C28"/>
    <w:rsid w:val="3D5A3BAB"/>
    <w:rsid w:val="3DF9669F"/>
    <w:rsid w:val="3DFC0F76"/>
    <w:rsid w:val="3E033D2A"/>
    <w:rsid w:val="3E1716BD"/>
    <w:rsid w:val="3E2E6510"/>
    <w:rsid w:val="3E5514C2"/>
    <w:rsid w:val="3E6B790F"/>
    <w:rsid w:val="3E7D7914"/>
    <w:rsid w:val="3EDA202D"/>
    <w:rsid w:val="3F6031EC"/>
    <w:rsid w:val="3FBC1E24"/>
    <w:rsid w:val="3FDF697D"/>
    <w:rsid w:val="3FED6871"/>
    <w:rsid w:val="3FFB6333"/>
    <w:rsid w:val="408D24DA"/>
    <w:rsid w:val="40CF046E"/>
    <w:rsid w:val="40DC2D46"/>
    <w:rsid w:val="40E43586"/>
    <w:rsid w:val="40FF7D51"/>
    <w:rsid w:val="417E259C"/>
    <w:rsid w:val="41D43C02"/>
    <w:rsid w:val="42394698"/>
    <w:rsid w:val="42692A7A"/>
    <w:rsid w:val="429146ED"/>
    <w:rsid w:val="42FC70B2"/>
    <w:rsid w:val="43051C38"/>
    <w:rsid w:val="433B4B0C"/>
    <w:rsid w:val="436F01CA"/>
    <w:rsid w:val="436F1C02"/>
    <w:rsid w:val="438C2802"/>
    <w:rsid w:val="43921508"/>
    <w:rsid w:val="43952960"/>
    <w:rsid w:val="43C138BD"/>
    <w:rsid w:val="43CB5548"/>
    <w:rsid w:val="43FF6E44"/>
    <w:rsid w:val="4403299E"/>
    <w:rsid w:val="44036B4C"/>
    <w:rsid w:val="441655A2"/>
    <w:rsid w:val="442706C0"/>
    <w:rsid w:val="444E229E"/>
    <w:rsid w:val="44634A97"/>
    <w:rsid w:val="446819DB"/>
    <w:rsid w:val="4473105F"/>
    <w:rsid w:val="450E5B7D"/>
    <w:rsid w:val="454D7C42"/>
    <w:rsid w:val="45500AE0"/>
    <w:rsid w:val="459E2002"/>
    <w:rsid w:val="463B406B"/>
    <w:rsid w:val="469F0A9E"/>
    <w:rsid w:val="46E71F62"/>
    <w:rsid w:val="46EB0BDC"/>
    <w:rsid w:val="46FE4846"/>
    <w:rsid w:val="47574ED5"/>
    <w:rsid w:val="47D15DFF"/>
    <w:rsid w:val="48071717"/>
    <w:rsid w:val="485745AA"/>
    <w:rsid w:val="4907467E"/>
    <w:rsid w:val="490E5C22"/>
    <w:rsid w:val="49550E02"/>
    <w:rsid w:val="497C6E74"/>
    <w:rsid w:val="498540AB"/>
    <w:rsid w:val="4A7B715E"/>
    <w:rsid w:val="4AA565D6"/>
    <w:rsid w:val="4B425326"/>
    <w:rsid w:val="4B4E65EF"/>
    <w:rsid w:val="4B6202EC"/>
    <w:rsid w:val="4B6D4481"/>
    <w:rsid w:val="4BCF0C16"/>
    <w:rsid w:val="4BD9235C"/>
    <w:rsid w:val="4BF56DAC"/>
    <w:rsid w:val="4C00235D"/>
    <w:rsid w:val="4C742EFD"/>
    <w:rsid w:val="4C787DC7"/>
    <w:rsid w:val="4C942727"/>
    <w:rsid w:val="4CC5050B"/>
    <w:rsid w:val="4D0E2AB2"/>
    <w:rsid w:val="4D222CE9"/>
    <w:rsid w:val="4D432C40"/>
    <w:rsid w:val="4DB52C4D"/>
    <w:rsid w:val="4E37493D"/>
    <w:rsid w:val="4EAE2B39"/>
    <w:rsid w:val="4ECC61A8"/>
    <w:rsid w:val="4F074161"/>
    <w:rsid w:val="4F246F6F"/>
    <w:rsid w:val="4F2F7727"/>
    <w:rsid w:val="4F8D6891"/>
    <w:rsid w:val="4F9A742C"/>
    <w:rsid w:val="4FAC1E35"/>
    <w:rsid w:val="4FD15017"/>
    <w:rsid w:val="4FE60326"/>
    <w:rsid w:val="4FE71AF7"/>
    <w:rsid w:val="4FF736F9"/>
    <w:rsid w:val="5027330E"/>
    <w:rsid w:val="507E5F1B"/>
    <w:rsid w:val="509074BA"/>
    <w:rsid w:val="509520F0"/>
    <w:rsid w:val="511F2DF0"/>
    <w:rsid w:val="518D4880"/>
    <w:rsid w:val="51BD2490"/>
    <w:rsid w:val="51E2385D"/>
    <w:rsid w:val="520D1772"/>
    <w:rsid w:val="52446E01"/>
    <w:rsid w:val="52C03774"/>
    <w:rsid w:val="52F37652"/>
    <w:rsid w:val="530449C0"/>
    <w:rsid w:val="533D01A8"/>
    <w:rsid w:val="535556C4"/>
    <w:rsid w:val="53791E73"/>
    <w:rsid w:val="53C22044"/>
    <w:rsid w:val="54145E9B"/>
    <w:rsid w:val="542778FC"/>
    <w:rsid w:val="548136DA"/>
    <w:rsid w:val="54C432DB"/>
    <w:rsid w:val="551C7392"/>
    <w:rsid w:val="553F510E"/>
    <w:rsid w:val="55443E40"/>
    <w:rsid w:val="555B0397"/>
    <w:rsid w:val="557269EA"/>
    <w:rsid w:val="557B1FB1"/>
    <w:rsid w:val="557E7653"/>
    <w:rsid w:val="55911D3E"/>
    <w:rsid w:val="55A80497"/>
    <w:rsid w:val="55AD491E"/>
    <w:rsid w:val="55B84EAE"/>
    <w:rsid w:val="55FF7827"/>
    <w:rsid w:val="565165EB"/>
    <w:rsid w:val="56743D30"/>
    <w:rsid w:val="56DE53C5"/>
    <w:rsid w:val="56FC15AA"/>
    <w:rsid w:val="572E6369"/>
    <w:rsid w:val="577971A2"/>
    <w:rsid w:val="578A4C34"/>
    <w:rsid w:val="578C1931"/>
    <w:rsid w:val="57996562"/>
    <w:rsid w:val="57CF589D"/>
    <w:rsid w:val="57D47FE5"/>
    <w:rsid w:val="584E7471"/>
    <w:rsid w:val="58663036"/>
    <w:rsid w:val="58C3434A"/>
    <w:rsid w:val="593F10FC"/>
    <w:rsid w:val="59B326E7"/>
    <w:rsid w:val="59BA2135"/>
    <w:rsid w:val="59D625D1"/>
    <w:rsid w:val="5A085235"/>
    <w:rsid w:val="5A0F185C"/>
    <w:rsid w:val="5A221B2E"/>
    <w:rsid w:val="5A633192"/>
    <w:rsid w:val="5B9D2886"/>
    <w:rsid w:val="5BA16CA9"/>
    <w:rsid w:val="5D4F04B0"/>
    <w:rsid w:val="5DE27D97"/>
    <w:rsid w:val="5E006DF8"/>
    <w:rsid w:val="5E0133B7"/>
    <w:rsid w:val="5E462D0A"/>
    <w:rsid w:val="5E4F2949"/>
    <w:rsid w:val="5E553AC2"/>
    <w:rsid w:val="5E980438"/>
    <w:rsid w:val="5F0955FB"/>
    <w:rsid w:val="5F12376C"/>
    <w:rsid w:val="5F4911C8"/>
    <w:rsid w:val="5F6367FE"/>
    <w:rsid w:val="5F724B4A"/>
    <w:rsid w:val="5F7B0B93"/>
    <w:rsid w:val="5F853D43"/>
    <w:rsid w:val="5F8D2CC9"/>
    <w:rsid w:val="5FC92A22"/>
    <w:rsid w:val="5FDE07EF"/>
    <w:rsid w:val="601F0B2B"/>
    <w:rsid w:val="60243B12"/>
    <w:rsid w:val="603B794C"/>
    <w:rsid w:val="604E0C27"/>
    <w:rsid w:val="60575AEE"/>
    <w:rsid w:val="60585D44"/>
    <w:rsid w:val="605D58E0"/>
    <w:rsid w:val="608359BC"/>
    <w:rsid w:val="60F44AF8"/>
    <w:rsid w:val="618F607B"/>
    <w:rsid w:val="61A0175F"/>
    <w:rsid w:val="61A72957"/>
    <w:rsid w:val="628B5EC2"/>
    <w:rsid w:val="628B7A5D"/>
    <w:rsid w:val="62E50DCE"/>
    <w:rsid w:val="635307EE"/>
    <w:rsid w:val="637A6239"/>
    <w:rsid w:val="63811978"/>
    <w:rsid w:val="63CC7186"/>
    <w:rsid w:val="63D30A57"/>
    <w:rsid w:val="63E63410"/>
    <w:rsid w:val="640261BF"/>
    <w:rsid w:val="64303D77"/>
    <w:rsid w:val="64BE25DF"/>
    <w:rsid w:val="652706FC"/>
    <w:rsid w:val="652D313E"/>
    <w:rsid w:val="655A5E64"/>
    <w:rsid w:val="656023DA"/>
    <w:rsid w:val="6597789D"/>
    <w:rsid w:val="659F166F"/>
    <w:rsid w:val="66155BD9"/>
    <w:rsid w:val="666174DB"/>
    <w:rsid w:val="66AE4F91"/>
    <w:rsid w:val="6718400E"/>
    <w:rsid w:val="672A6670"/>
    <w:rsid w:val="674462E7"/>
    <w:rsid w:val="67595674"/>
    <w:rsid w:val="678911AB"/>
    <w:rsid w:val="67C04BAB"/>
    <w:rsid w:val="67CF6E95"/>
    <w:rsid w:val="687256A3"/>
    <w:rsid w:val="68907DEF"/>
    <w:rsid w:val="68951C23"/>
    <w:rsid w:val="68FD754C"/>
    <w:rsid w:val="693353A9"/>
    <w:rsid w:val="6A316CB8"/>
    <w:rsid w:val="6B0A19EB"/>
    <w:rsid w:val="6BD04C6F"/>
    <w:rsid w:val="6BDA5DCF"/>
    <w:rsid w:val="6C283EAB"/>
    <w:rsid w:val="6C5D5BC5"/>
    <w:rsid w:val="6CD53E78"/>
    <w:rsid w:val="6D042B59"/>
    <w:rsid w:val="6D0520F7"/>
    <w:rsid w:val="6D195F0B"/>
    <w:rsid w:val="6D2B6338"/>
    <w:rsid w:val="6D7C40F7"/>
    <w:rsid w:val="6D950538"/>
    <w:rsid w:val="6E085B41"/>
    <w:rsid w:val="6E0E27DB"/>
    <w:rsid w:val="6E1A3C66"/>
    <w:rsid w:val="6E6A3D7F"/>
    <w:rsid w:val="6E8D504A"/>
    <w:rsid w:val="6ECD3A3D"/>
    <w:rsid w:val="6ED5666A"/>
    <w:rsid w:val="6F1F3C7A"/>
    <w:rsid w:val="6F201237"/>
    <w:rsid w:val="6FAF4C4A"/>
    <w:rsid w:val="6FC22F83"/>
    <w:rsid w:val="6FFB5E68"/>
    <w:rsid w:val="70344EA3"/>
    <w:rsid w:val="706B662B"/>
    <w:rsid w:val="708A15C7"/>
    <w:rsid w:val="708E5491"/>
    <w:rsid w:val="70C26258"/>
    <w:rsid w:val="70C66990"/>
    <w:rsid w:val="70DB5B09"/>
    <w:rsid w:val="71205421"/>
    <w:rsid w:val="71511D80"/>
    <w:rsid w:val="716F71A9"/>
    <w:rsid w:val="71877EBD"/>
    <w:rsid w:val="71B27028"/>
    <w:rsid w:val="71B83C78"/>
    <w:rsid w:val="724D0DFA"/>
    <w:rsid w:val="72532C9F"/>
    <w:rsid w:val="727D73D5"/>
    <w:rsid w:val="732F1389"/>
    <w:rsid w:val="736C64A5"/>
    <w:rsid w:val="737F1AF0"/>
    <w:rsid w:val="738053F9"/>
    <w:rsid w:val="73EA2AA9"/>
    <w:rsid w:val="73F50D50"/>
    <w:rsid w:val="74002A9F"/>
    <w:rsid w:val="74106EF3"/>
    <w:rsid w:val="74337243"/>
    <w:rsid w:val="743B05C1"/>
    <w:rsid w:val="74583EB6"/>
    <w:rsid w:val="74CF594D"/>
    <w:rsid w:val="74EC6556"/>
    <w:rsid w:val="74F41F6E"/>
    <w:rsid w:val="751759A6"/>
    <w:rsid w:val="7534150C"/>
    <w:rsid w:val="756E5C1E"/>
    <w:rsid w:val="75CF36D6"/>
    <w:rsid w:val="762E7B7B"/>
    <w:rsid w:val="76476A82"/>
    <w:rsid w:val="76A378E3"/>
    <w:rsid w:val="76BB697E"/>
    <w:rsid w:val="76D66663"/>
    <w:rsid w:val="76DF3D2B"/>
    <w:rsid w:val="76F0011C"/>
    <w:rsid w:val="76F26E6C"/>
    <w:rsid w:val="77630DEE"/>
    <w:rsid w:val="777032C5"/>
    <w:rsid w:val="77B5517C"/>
    <w:rsid w:val="77D81C3E"/>
    <w:rsid w:val="786603F9"/>
    <w:rsid w:val="78795D02"/>
    <w:rsid w:val="78922459"/>
    <w:rsid w:val="79F94A3C"/>
    <w:rsid w:val="7A320D06"/>
    <w:rsid w:val="7A3F3E02"/>
    <w:rsid w:val="7A6E36DB"/>
    <w:rsid w:val="7AAE2547"/>
    <w:rsid w:val="7AB00F65"/>
    <w:rsid w:val="7AB228ED"/>
    <w:rsid w:val="7ABC12FA"/>
    <w:rsid w:val="7AC626AE"/>
    <w:rsid w:val="7AEE0BA6"/>
    <w:rsid w:val="7B2A0AE2"/>
    <w:rsid w:val="7BA35CA6"/>
    <w:rsid w:val="7BD229EC"/>
    <w:rsid w:val="7BD538A8"/>
    <w:rsid w:val="7BF00B62"/>
    <w:rsid w:val="7C307981"/>
    <w:rsid w:val="7C3264FE"/>
    <w:rsid w:val="7C4316D6"/>
    <w:rsid w:val="7C5510E6"/>
    <w:rsid w:val="7C6505C5"/>
    <w:rsid w:val="7C883F4E"/>
    <w:rsid w:val="7C8E215C"/>
    <w:rsid w:val="7C990C10"/>
    <w:rsid w:val="7CBB0B30"/>
    <w:rsid w:val="7CC97F0E"/>
    <w:rsid w:val="7E470AF8"/>
    <w:rsid w:val="7E4B67C3"/>
    <w:rsid w:val="7E602EE5"/>
    <w:rsid w:val="7F1C364B"/>
    <w:rsid w:val="7F6810A2"/>
    <w:rsid w:val="7F9D28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link w:val="42"/>
    <w:autoRedefine/>
    <w:qFormat/>
    <w:uiPriority w:val="1"/>
    <w:pPr>
      <w:outlineLvl w:val="0"/>
    </w:pPr>
    <w:rPr>
      <w:b/>
      <w:bCs/>
      <w:sz w:val="32"/>
      <w:szCs w:val="32"/>
    </w:rPr>
  </w:style>
  <w:style w:type="paragraph" w:styleId="3">
    <w:name w:val="heading 2"/>
    <w:basedOn w:val="1"/>
    <w:next w:val="1"/>
    <w:autoRedefine/>
    <w:qFormat/>
    <w:uiPriority w:val="1"/>
    <w:pPr>
      <w:spacing w:before="255"/>
      <w:ind w:right="317"/>
      <w:jc w:val="center"/>
      <w:outlineLvl w:val="1"/>
    </w:pPr>
    <w:rPr>
      <w:sz w:val="32"/>
      <w:szCs w:val="32"/>
    </w:rPr>
  </w:style>
  <w:style w:type="paragraph" w:styleId="4">
    <w:name w:val="heading 3"/>
    <w:basedOn w:val="1"/>
    <w:next w:val="1"/>
    <w:autoRedefine/>
    <w:qFormat/>
    <w:uiPriority w:val="1"/>
    <w:pPr>
      <w:spacing w:before="42"/>
      <w:ind w:right="320"/>
      <w:jc w:val="center"/>
      <w:outlineLvl w:val="2"/>
    </w:pPr>
    <w:rPr>
      <w:b/>
      <w:bCs/>
      <w:sz w:val="30"/>
      <w:szCs w:val="30"/>
    </w:rPr>
  </w:style>
  <w:style w:type="paragraph" w:styleId="5">
    <w:name w:val="heading 4"/>
    <w:basedOn w:val="1"/>
    <w:next w:val="1"/>
    <w:autoRedefine/>
    <w:qFormat/>
    <w:uiPriority w:val="1"/>
    <w:pPr>
      <w:ind w:left="480"/>
      <w:outlineLvl w:val="3"/>
    </w:pPr>
    <w:rPr>
      <w:b/>
      <w:bCs/>
      <w:sz w:val="28"/>
      <w:szCs w:val="28"/>
    </w:rPr>
  </w:style>
  <w:style w:type="paragraph" w:styleId="6">
    <w:name w:val="heading 5"/>
    <w:basedOn w:val="1"/>
    <w:next w:val="1"/>
    <w:autoRedefine/>
    <w:qFormat/>
    <w:uiPriority w:val="1"/>
    <w:pPr>
      <w:ind w:left="1812"/>
      <w:outlineLvl w:val="4"/>
    </w:pPr>
    <w:rPr>
      <w:sz w:val="28"/>
      <w:szCs w:val="28"/>
    </w:rPr>
  </w:style>
  <w:style w:type="paragraph" w:styleId="7">
    <w:name w:val="heading 6"/>
    <w:basedOn w:val="1"/>
    <w:next w:val="1"/>
    <w:qFormat/>
    <w:uiPriority w:val="1"/>
    <w:pPr>
      <w:ind w:left="480"/>
      <w:outlineLvl w:val="5"/>
    </w:pPr>
    <w:rPr>
      <w:b/>
      <w:bCs/>
      <w:sz w:val="24"/>
      <w:szCs w:val="24"/>
    </w:rPr>
  </w:style>
  <w:style w:type="paragraph" w:styleId="8">
    <w:name w:val="heading 7"/>
    <w:basedOn w:val="1"/>
    <w:next w:val="1"/>
    <w:autoRedefine/>
    <w:qFormat/>
    <w:uiPriority w:val="1"/>
    <w:pPr>
      <w:ind w:left="480"/>
      <w:outlineLvl w:val="6"/>
    </w:pPr>
    <w:rPr>
      <w:sz w:val="24"/>
      <w:szCs w:val="24"/>
    </w:rPr>
  </w:style>
  <w:style w:type="paragraph" w:styleId="9">
    <w:name w:val="heading 8"/>
    <w:basedOn w:val="1"/>
    <w:next w:val="1"/>
    <w:autoRedefine/>
    <w:qFormat/>
    <w:uiPriority w:val="1"/>
    <w:pPr>
      <w:ind w:left="900"/>
      <w:outlineLvl w:val="7"/>
    </w:pPr>
  </w:style>
  <w:style w:type="paragraph" w:styleId="10">
    <w:name w:val="heading 9"/>
    <w:basedOn w:val="1"/>
    <w:next w:val="1"/>
    <w:autoRedefine/>
    <w:qFormat/>
    <w:uiPriority w:val="1"/>
    <w:pPr>
      <w:ind w:left="343"/>
      <w:outlineLvl w:val="8"/>
    </w:pPr>
    <w:rPr>
      <w:b/>
      <w:bCs/>
      <w:sz w:val="21"/>
      <w:szCs w:val="21"/>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qFormat/>
    <w:uiPriority w:val="99"/>
  </w:style>
  <w:style w:type="paragraph" w:styleId="12">
    <w:name w:val="Body Text"/>
    <w:basedOn w:val="1"/>
    <w:next w:val="1"/>
    <w:link w:val="60"/>
    <w:autoRedefine/>
    <w:qFormat/>
    <w:uiPriority w:val="99"/>
    <w:rPr>
      <w:sz w:val="21"/>
      <w:szCs w:val="21"/>
    </w:rPr>
  </w:style>
  <w:style w:type="paragraph" w:styleId="13">
    <w:name w:val="toc 3"/>
    <w:basedOn w:val="1"/>
    <w:next w:val="1"/>
    <w:autoRedefine/>
    <w:qFormat/>
    <w:uiPriority w:val="0"/>
    <w:pPr>
      <w:ind w:left="840" w:leftChars="400"/>
    </w:pPr>
  </w:style>
  <w:style w:type="paragraph" w:styleId="14">
    <w:name w:val="Plain Text"/>
    <w:basedOn w:val="1"/>
    <w:next w:val="5"/>
    <w:autoRedefine/>
    <w:qFormat/>
    <w:uiPriority w:val="0"/>
    <w:rPr>
      <w:rFonts w:hAnsi="Courier New"/>
      <w:szCs w:val="20"/>
    </w:rPr>
  </w:style>
  <w:style w:type="paragraph" w:styleId="15">
    <w:name w:val="Balloon Text"/>
    <w:basedOn w:val="1"/>
    <w:link w:val="59"/>
    <w:qFormat/>
    <w:uiPriority w:val="0"/>
    <w:rPr>
      <w:sz w:val="18"/>
      <w:szCs w:val="18"/>
    </w:rPr>
  </w:style>
  <w:style w:type="paragraph" w:styleId="16">
    <w:name w:val="footer"/>
    <w:basedOn w:val="1"/>
    <w:autoRedefine/>
    <w:qFormat/>
    <w:uiPriority w:val="0"/>
    <w:pPr>
      <w:tabs>
        <w:tab w:val="center" w:pos="4153"/>
        <w:tab w:val="right" w:pos="8306"/>
      </w:tabs>
      <w:snapToGrid w:val="0"/>
    </w:pPr>
    <w:rPr>
      <w:sz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8">
    <w:name w:val="toc 1"/>
    <w:basedOn w:val="1"/>
    <w:next w:val="1"/>
    <w:autoRedefine/>
    <w:qFormat/>
    <w:uiPriority w:val="1"/>
    <w:pPr>
      <w:spacing w:before="434"/>
      <w:ind w:left="583"/>
    </w:pPr>
    <w:rPr>
      <w:b/>
      <w:bCs/>
      <w:sz w:val="24"/>
      <w:szCs w:val="24"/>
    </w:rPr>
  </w:style>
  <w:style w:type="paragraph" w:styleId="19">
    <w:name w:val="toc 2"/>
    <w:basedOn w:val="1"/>
    <w:next w:val="1"/>
    <w:autoRedefine/>
    <w:qFormat/>
    <w:uiPriority w:val="0"/>
    <w:pPr>
      <w:ind w:left="420" w:leftChars="200"/>
    </w:pPr>
  </w:style>
  <w:style w:type="paragraph" w:styleId="20">
    <w:name w:val="Normal (Web)"/>
    <w:basedOn w:val="1"/>
    <w:qFormat/>
    <w:uiPriority w:val="0"/>
    <w:pPr>
      <w:widowControl/>
      <w:spacing w:before="100" w:beforeAutospacing="1" w:after="100" w:afterAutospacing="1"/>
    </w:pPr>
    <w:rPr>
      <w:sz w:val="24"/>
    </w:rPr>
  </w:style>
  <w:style w:type="paragraph" w:styleId="21">
    <w:name w:val="index 1"/>
    <w:basedOn w:val="1"/>
    <w:next w:val="1"/>
    <w:autoRedefine/>
    <w:semiHidden/>
    <w:qFormat/>
    <w:uiPriority w:val="0"/>
    <w:pPr>
      <w:spacing w:line="400" w:lineRule="exact"/>
      <w:ind w:firstLine="420" w:firstLineChars="200"/>
    </w:pPr>
    <w:rPr>
      <w:rFonts w:hAnsi="Courier New"/>
      <w:szCs w:val="20"/>
    </w:rPr>
  </w:style>
  <w:style w:type="paragraph" w:styleId="22">
    <w:name w:val="Title"/>
    <w:basedOn w:val="1"/>
    <w:autoRedefine/>
    <w:qFormat/>
    <w:uiPriority w:val="1"/>
    <w:pPr>
      <w:spacing w:before="1"/>
      <w:ind w:right="324"/>
      <w:jc w:val="center"/>
    </w:pPr>
    <w:rPr>
      <w:rFonts w:ascii="楷体" w:hAnsi="楷体" w:eastAsia="楷体" w:cs="楷体"/>
      <w:b/>
      <w:bCs/>
      <w:sz w:val="84"/>
      <w:szCs w:val="84"/>
    </w:rPr>
  </w:style>
  <w:style w:type="character" w:styleId="25">
    <w:name w:val="Strong"/>
    <w:basedOn w:val="24"/>
    <w:qFormat/>
    <w:uiPriority w:val="0"/>
    <w:rPr>
      <w:b/>
      <w:bCs/>
    </w:rPr>
  </w:style>
  <w:style w:type="character" w:styleId="26">
    <w:name w:val="FollowedHyperlink"/>
    <w:basedOn w:val="24"/>
    <w:uiPriority w:val="0"/>
    <w:rPr>
      <w:color w:val="800080"/>
      <w:u w:val="none"/>
    </w:rPr>
  </w:style>
  <w:style w:type="character" w:styleId="27">
    <w:name w:val="Emphasis"/>
    <w:basedOn w:val="24"/>
    <w:qFormat/>
    <w:uiPriority w:val="0"/>
    <w:rPr>
      <w:b/>
      <w:bCs/>
    </w:rPr>
  </w:style>
  <w:style w:type="character" w:styleId="28">
    <w:name w:val="HTML Definition"/>
    <w:basedOn w:val="24"/>
    <w:uiPriority w:val="0"/>
  </w:style>
  <w:style w:type="character" w:styleId="29">
    <w:name w:val="HTML Typewriter"/>
    <w:basedOn w:val="24"/>
    <w:uiPriority w:val="0"/>
    <w:rPr>
      <w:rFonts w:hint="default" w:ascii="monospace" w:hAnsi="monospace" w:eastAsia="monospace" w:cs="monospace"/>
      <w:sz w:val="20"/>
    </w:rPr>
  </w:style>
  <w:style w:type="character" w:styleId="30">
    <w:name w:val="HTML Acronym"/>
    <w:basedOn w:val="24"/>
    <w:uiPriority w:val="0"/>
    <w:rPr>
      <w:bdr w:val="none" w:color="auto" w:sz="0" w:space="0"/>
    </w:rPr>
  </w:style>
  <w:style w:type="character" w:styleId="31">
    <w:name w:val="HTML Variable"/>
    <w:basedOn w:val="24"/>
    <w:uiPriority w:val="0"/>
  </w:style>
  <w:style w:type="character" w:styleId="32">
    <w:name w:val="Hyperlink"/>
    <w:basedOn w:val="24"/>
    <w:uiPriority w:val="0"/>
    <w:rPr>
      <w:color w:val="0000FF"/>
      <w:u w:val="none"/>
    </w:rPr>
  </w:style>
  <w:style w:type="character" w:styleId="33">
    <w:name w:val="HTML Code"/>
    <w:basedOn w:val="24"/>
    <w:uiPriority w:val="0"/>
    <w:rPr>
      <w:rFonts w:ascii="monospace" w:hAnsi="monospace" w:eastAsia="monospace" w:cs="monospace"/>
      <w:sz w:val="20"/>
      <w:bdr w:val="none" w:color="auto" w:sz="0" w:space="0"/>
    </w:rPr>
  </w:style>
  <w:style w:type="character" w:styleId="34">
    <w:name w:val="annotation reference"/>
    <w:basedOn w:val="24"/>
    <w:qFormat/>
    <w:uiPriority w:val="0"/>
    <w:rPr>
      <w:sz w:val="21"/>
      <w:szCs w:val="21"/>
    </w:rPr>
  </w:style>
  <w:style w:type="character" w:styleId="35">
    <w:name w:val="HTML Cite"/>
    <w:basedOn w:val="24"/>
    <w:uiPriority w:val="0"/>
  </w:style>
  <w:style w:type="character" w:styleId="36">
    <w:name w:val="HTML Keyboard"/>
    <w:basedOn w:val="24"/>
    <w:uiPriority w:val="0"/>
    <w:rPr>
      <w:rFonts w:hint="default" w:ascii="monospace" w:hAnsi="monospace" w:eastAsia="monospace" w:cs="monospace"/>
      <w:sz w:val="20"/>
    </w:rPr>
  </w:style>
  <w:style w:type="character" w:styleId="37">
    <w:name w:val="HTML Sample"/>
    <w:basedOn w:val="24"/>
    <w:qFormat/>
    <w:uiPriority w:val="0"/>
    <w:rPr>
      <w:rFonts w:hint="default" w:ascii="monospace" w:hAnsi="monospace" w:eastAsia="monospace" w:cs="monospace"/>
    </w:rPr>
  </w:style>
  <w:style w:type="table" w:customStyle="1" w:styleId="38">
    <w:name w:val="Table Normal"/>
    <w:autoRedefine/>
    <w:semiHidden/>
    <w:unhideWhenUsed/>
    <w:qFormat/>
    <w:uiPriority w:val="2"/>
    <w:tblPr>
      <w:tblCellMar>
        <w:top w:w="0" w:type="dxa"/>
        <w:left w:w="0" w:type="dxa"/>
        <w:bottom w:w="0" w:type="dxa"/>
        <w:right w:w="0" w:type="dxa"/>
      </w:tblCellMar>
    </w:tblPr>
  </w:style>
  <w:style w:type="paragraph" w:styleId="39">
    <w:name w:val="List Paragraph"/>
    <w:basedOn w:val="1"/>
    <w:autoRedefine/>
    <w:qFormat/>
    <w:uiPriority w:val="1"/>
    <w:pPr>
      <w:ind w:left="343" w:firstLine="420"/>
    </w:pPr>
  </w:style>
  <w:style w:type="paragraph" w:customStyle="1" w:styleId="40">
    <w:name w:val="Table Paragraph"/>
    <w:basedOn w:val="1"/>
    <w:autoRedefine/>
    <w:qFormat/>
    <w:uiPriority w:val="1"/>
  </w:style>
  <w:style w:type="paragraph" w:customStyle="1" w:styleId="41">
    <w:name w:val="Table Text"/>
    <w:basedOn w:val="1"/>
    <w:autoRedefine/>
    <w:semiHidden/>
    <w:qFormat/>
    <w:uiPriority w:val="0"/>
    <w:rPr>
      <w:rFonts w:ascii="微软雅黑" w:hAnsi="微软雅黑" w:eastAsia="微软雅黑" w:cs="微软雅黑"/>
      <w:sz w:val="24"/>
      <w:szCs w:val="24"/>
      <w:lang w:eastAsia="en-US"/>
    </w:rPr>
  </w:style>
  <w:style w:type="character" w:customStyle="1" w:styleId="42">
    <w:name w:val="标题 1 Char"/>
    <w:link w:val="2"/>
    <w:autoRedefine/>
    <w:qFormat/>
    <w:uiPriority w:val="1"/>
    <w:rPr>
      <w:rFonts w:ascii="宋体" w:hAnsi="宋体" w:eastAsia="宋体" w:cs="宋体"/>
      <w:b/>
      <w:bCs/>
      <w:sz w:val="32"/>
      <w:szCs w:val="32"/>
      <w:lang w:val="en-US" w:eastAsia="zh-CN" w:bidi="ar-SA"/>
    </w:rPr>
  </w:style>
  <w:style w:type="paragraph" w:customStyle="1" w:styleId="43">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44">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45">
    <w:name w:val="WPSOffice手动目录 1"/>
    <w:autoRedefine/>
    <w:qFormat/>
    <w:uiPriority w:val="0"/>
    <w:rPr>
      <w:rFonts w:ascii="Times New Roman" w:hAnsi="Times New Roman" w:eastAsia="宋体" w:cs="Times New Roman"/>
      <w:lang w:val="en-US" w:eastAsia="zh-CN" w:bidi="ar-SA"/>
    </w:rPr>
  </w:style>
  <w:style w:type="character" w:customStyle="1" w:styleId="46">
    <w:name w:val="标题 #7 (4) + 间距 7 pt"/>
    <w:qFormat/>
    <w:uiPriority w:val="0"/>
    <w:rPr>
      <w:rFonts w:ascii="MingLiU" w:hAnsi="MingLiU" w:eastAsia="MingLiU" w:cs="Times New Roman"/>
      <w:color w:val="000000"/>
      <w:spacing w:val="140"/>
      <w:w w:val="100"/>
      <w:position w:val="0"/>
      <w:sz w:val="26"/>
      <w:szCs w:val="26"/>
      <w:lang w:val="zh-CN" w:eastAsia="zh-CN" w:bidi="ar-SA"/>
    </w:rPr>
  </w:style>
  <w:style w:type="paragraph" w:customStyle="1" w:styleId="47">
    <w:name w:val="List Paragraph1"/>
    <w:basedOn w:val="1"/>
    <w:qFormat/>
    <w:uiPriority w:val="0"/>
    <w:pPr>
      <w:ind w:left="424" w:firstLine="480"/>
    </w:pPr>
  </w:style>
  <w:style w:type="character" w:customStyle="1" w:styleId="48">
    <w:name w:val="标题 #7 + 间距 0 pt2"/>
    <w:qFormat/>
    <w:uiPriority w:val="0"/>
    <w:rPr>
      <w:rFonts w:ascii="MingLiU" w:hAnsi="MingLiU" w:eastAsia="MingLiU" w:cs="MingLiU"/>
      <w:color w:val="000000"/>
      <w:spacing w:val="10"/>
      <w:w w:val="100"/>
      <w:position w:val="0"/>
      <w:sz w:val="26"/>
      <w:szCs w:val="26"/>
      <w:u w:val="single"/>
      <w:shd w:val="clear" w:color="auto" w:fill="FFFFFF"/>
      <w:lang w:val="zh-CN" w:eastAsia="zh-CN"/>
    </w:rPr>
  </w:style>
  <w:style w:type="character" w:customStyle="1" w:styleId="49">
    <w:name w:val="标题 #7 + 间距 0 pt1"/>
    <w:qFormat/>
    <w:uiPriority w:val="0"/>
    <w:rPr>
      <w:rFonts w:ascii="MingLiU" w:hAnsi="MingLiU" w:eastAsia="MingLiU" w:cs="MingLiU"/>
      <w:color w:val="000000"/>
      <w:spacing w:val="10"/>
      <w:w w:val="100"/>
      <w:position w:val="0"/>
      <w:sz w:val="26"/>
      <w:szCs w:val="26"/>
      <w:u w:val="none"/>
      <w:shd w:val="clear" w:color="auto" w:fill="FFFFFF"/>
      <w:lang w:val="zh-CN" w:eastAsia="zh-CN"/>
    </w:rPr>
  </w:style>
  <w:style w:type="paragraph" w:customStyle="1" w:styleId="50">
    <w:name w:val="正文文本 (2)4"/>
    <w:basedOn w:val="1"/>
    <w:qFormat/>
    <w:uiPriority w:val="0"/>
    <w:pPr>
      <w:shd w:val="clear" w:color="auto" w:fill="FFFFFF"/>
      <w:spacing w:before="300" w:line="439" w:lineRule="exact"/>
      <w:jc w:val="distribute"/>
    </w:pPr>
    <w:rPr>
      <w:rFonts w:ascii="MingLiU" w:hAnsi="MingLiU" w:eastAsia="MingLiU"/>
      <w:spacing w:val="20"/>
      <w:szCs w:val="20"/>
    </w:rPr>
  </w:style>
  <w:style w:type="character" w:customStyle="1" w:styleId="51">
    <w:name w:val="正文文本 (2) + 间距 0 pt2"/>
    <w:qFormat/>
    <w:uiPriority w:val="0"/>
    <w:rPr>
      <w:rFonts w:ascii="MingLiU" w:hAnsi="MingLiU" w:eastAsia="MingLiU" w:cs="MingLiU"/>
      <w:color w:val="000000"/>
      <w:spacing w:val="0"/>
      <w:w w:val="100"/>
      <w:position w:val="0"/>
      <w:sz w:val="22"/>
      <w:szCs w:val="22"/>
      <w:u w:val="none"/>
      <w:shd w:val="clear" w:color="auto" w:fill="FFFFFF"/>
      <w:lang w:val="zh-CN" w:eastAsia="zh-CN" w:bidi="zh-CN"/>
    </w:rPr>
  </w:style>
  <w:style w:type="character" w:customStyle="1" w:styleId="52">
    <w:name w:val="正文文本 (2) + 间距 0 pt6"/>
    <w:qFormat/>
    <w:uiPriority w:val="0"/>
    <w:rPr>
      <w:rFonts w:ascii="MingLiU" w:hAnsi="MingLiU" w:eastAsia="MingLiU" w:cs="MingLiU"/>
      <w:color w:val="000000"/>
      <w:spacing w:val="0"/>
      <w:w w:val="100"/>
      <w:position w:val="0"/>
      <w:sz w:val="22"/>
      <w:szCs w:val="22"/>
      <w:u w:val="single"/>
      <w:shd w:val="clear" w:color="auto" w:fill="FFFFFF"/>
      <w:lang w:val="zh-CN" w:eastAsia="zh-CN"/>
    </w:rPr>
  </w:style>
  <w:style w:type="paragraph" w:customStyle="1" w:styleId="53">
    <w:name w:val="正文文本 (42)1"/>
    <w:basedOn w:val="1"/>
    <w:qFormat/>
    <w:uiPriority w:val="0"/>
    <w:pPr>
      <w:shd w:val="clear" w:color="auto" w:fill="FFFFFF"/>
      <w:spacing w:line="398" w:lineRule="exact"/>
      <w:jc w:val="distribute"/>
    </w:pPr>
    <w:rPr>
      <w:rFonts w:ascii="MingLiU" w:hAnsi="MingLiU" w:eastAsia="MingLiU"/>
      <w:b/>
      <w:bCs/>
      <w:sz w:val="20"/>
      <w:szCs w:val="20"/>
    </w:rPr>
  </w:style>
  <w:style w:type="character" w:customStyle="1" w:styleId="54">
    <w:name w:val="正文文本 (42)"/>
    <w:qFormat/>
    <w:uiPriority w:val="0"/>
    <w:rPr>
      <w:rFonts w:ascii="MingLiU" w:hAnsi="MingLiU" w:eastAsia="MingLiU" w:cs="Times New Roman"/>
      <w:b/>
      <w:bCs/>
      <w:color w:val="000000"/>
      <w:spacing w:val="0"/>
      <w:w w:val="100"/>
      <w:position w:val="0"/>
      <w:u w:val="single"/>
      <w:lang w:val="zh-CN" w:eastAsia="zh-CN" w:bidi="ar-SA"/>
    </w:rPr>
  </w:style>
  <w:style w:type="character" w:customStyle="1" w:styleId="55">
    <w:name w:val="标题 #7 (5) + 间距 0 pt"/>
    <w:qFormat/>
    <w:uiPriority w:val="0"/>
    <w:rPr>
      <w:rFonts w:ascii="MingLiU" w:hAnsi="MingLiU" w:eastAsia="MingLiU" w:cs="Times New Roman"/>
      <w:color w:val="000000"/>
      <w:spacing w:val="0"/>
      <w:w w:val="100"/>
      <w:position w:val="0"/>
      <w:sz w:val="30"/>
      <w:szCs w:val="30"/>
      <w:lang w:val="zh-CN" w:eastAsia="zh-CN" w:bidi="ar-SA"/>
    </w:rPr>
  </w:style>
  <w:style w:type="paragraph" w:customStyle="1" w:styleId="56">
    <w:name w:val="正文文本 (14)"/>
    <w:basedOn w:val="1"/>
    <w:qFormat/>
    <w:uiPriority w:val="0"/>
    <w:pPr>
      <w:shd w:val="clear" w:color="auto" w:fill="FFFFFF"/>
      <w:spacing w:before="300" w:line="300" w:lineRule="exact"/>
      <w:jc w:val="distribute"/>
    </w:pPr>
    <w:rPr>
      <w:rFonts w:ascii="MingLiU" w:hAnsi="MingLiU" w:eastAsia="MingLiU"/>
      <w:sz w:val="18"/>
      <w:szCs w:val="18"/>
    </w:rPr>
  </w:style>
  <w:style w:type="character" w:customStyle="1" w:styleId="57">
    <w:name w:val="正文文本 (2) + 5.5 pt"/>
    <w:qFormat/>
    <w:uiPriority w:val="0"/>
    <w:rPr>
      <w:rFonts w:ascii="MingLiU" w:hAnsi="MingLiU" w:eastAsia="MingLiU" w:cs="MingLiU"/>
      <w:i/>
      <w:iCs/>
      <w:color w:val="000000"/>
      <w:spacing w:val="10"/>
      <w:w w:val="100"/>
      <w:position w:val="0"/>
      <w:sz w:val="11"/>
      <w:szCs w:val="11"/>
      <w:u w:val="none"/>
      <w:shd w:val="clear" w:color="auto" w:fill="FFFFFF"/>
      <w:lang w:val="zh-CN" w:eastAsia="zh-CN"/>
    </w:rPr>
  </w:style>
  <w:style w:type="character" w:customStyle="1" w:styleId="58">
    <w:name w:val="正文文本 (2) + 间距 0 pt Exact1"/>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character" w:customStyle="1" w:styleId="59">
    <w:name w:val="批注框文本 Char"/>
    <w:basedOn w:val="24"/>
    <w:link w:val="15"/>
    <w:qFormat/>
    <w:uiPriority w:val="0"/>
    <w:rPr>
      <w:rFonts w:ascii="宋体" w:hAnsi="宋体" w:cs="宋体"/>
      <w:sz w:val="18"/>
      <w:szCs w:val="18"/>
    </w:rPr>
  </w:style>
  <w:style w:type="character" w:customStyle="1" w:styleId="60">
    <w:name w:val="正文文本 Char"/>
    <w:basedOn w:val="24"/>
    <w:link w:val="12"/>
    <w:qFormat/>
    <w:uiPriority w:val="99"/>
    <w:rPr>
      <w:rFonts w:ascii="宋体" w:hAnsi="宋体" w:cs="宋体"/>
      <w:sz w:val="21"/>
      <w:szCs w:val="21"/>
    </w:rPr>
  </w:style>
  <w:style w:type="character" w:customStyle="1" w:styleId="61">
    <w:name w:val="hover"/>
    <w:basedOn w:val="24"/>
    <w:uiPriority w:val="0"/>
    <w:rPr>
      <w:color w:val="2590EB"/>
    </w:rPr>
  </w:style>
  <w:style w:type="character" w:customStyle="1" w:styleId="62">
    <w:name w:val="hover1"/>
    <w:basedOn w:val="24"/>
    <w:uiPriority w:val="0"/>
    <w:rPr>
      <w:color w:val="2590EB"/>
    </w:rPr>
  </w:style>
  <w:style w:type="character" w:customStyle="1" w:styleId="63">
    <w:name w:val="hover2"/>
    <w:basedOn w:val="24"/>
    <w:uiPriority w:val="0"/>
    <w:rPr>
      <w:bdr w:val="none" w:color="AFD1EE" w:sz="0" w:space="0"/>
    </w:rPr>
  </w:style>
  <w:style w:type="character" w:customStyle="1" w:styleId="64">
    <w:name w:val="mini-outputtext1"/>
    <w:basedOn w:val="24"/>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png"/><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92</Pages>
  <Words>123</Words>
  <Characters>150</Characters>
  <Lines>447</Lines>
  <Paragraphs>125</Paragraphs>
  <TotalTime>11</TotalTime>
  <ScaleCrop>false</ScaleCrop>
  <LinksUpToDate>false</LinksUpToDate>
  <CharactersWithSpaces>152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2024-04-10T02:08:00Z</dcterms:created>
  <dc:creator>微软用户</dc:creator>
  <cp:lastModifiedBy>仍然</cp:lastModifiedBy>
  <cp:lastPrinted>2025-03-05T08:48:00Z</cp:lastPrinted>
  <dcterms:modified xsi:type="dcterms:W3CDTF">2025-04-08T02:03:43Z</dcterms:modified>
  <dc:title>医疗设备采购</dc:title>
  <cp:revision>276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2024-04-02T00:00:00Z</vt:filetime>
  </property>
  <property fmtid="{D5CDD505-2E9C-101B-9397-08002B2CF9AE}" pid="3" name="Creator">
    <vt:lpwstr>WPS 文字</vt:lpwstr>
  </property>
  <property fmtid="{D5CDD505-2E9C-101B-9397-08002B2CF9AE}" pid="4" name="LastSaved">
    <vt:filetime>2024-04-10T00:00:00Z</vt:filetime>
  </property>
  <property fmtid="{D5CDD505-2E9C-101B-9397-08002B2CF9AE}" pid="5" name="SourceModified">
    <vt:lpwstr>D:20240402164517+08'45'</vt:lpwstr>
  </property>
  <property fmtid="{D5CDD505-2E9C-101B-9397-08002B2CF9AE}" pid="6" name="KSOProductBuildVer">
    <vt:lpwstr>2052-12.1.0.20784</vt:lpwstr>
  </property>
  <property fmtid="{D5CDD505-2E9C-101B-9397-08002B2CF9AE}" pid="7" name="ICV">
    <vt:lpwstr>DE632F832E7147BDBDE918BF61F8AEB6_13</vt:lpwstr>
  </property>
  <property fmtid="{D5CDD505-2E9C-101B-9397-08002B2CF9AE}" pid="8" name="KSOTemplateDocerSaveRecord">
    <vt:lpwstr>eyJoZGlkIjoiYWUzMWQ5NGJmNmNjZmVlNDY5NzY4ODQyZWJjY2EzNjgiLCJ1c2VySWQiOiIzMTI1NzAzNjgifQ==</vt:lpwstr>
  </property>
</Properties>
</file>